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46CEE22F" w:rsidR="00886690" w:rsidRPr="00E634E0" w:rsidRDefault="00886690" w:rsidP="00CF03D7">
      <w:pPr>
        <w:jc w:val="center"/>
        <w:rPr>
          <w:rFonts w:cs="Calibri"/>
        </w:rPr>
      </w:pPr>
      <w:r w:rsidRPr="00E634E0">
        <w:rPr>
          <w:rFonts w:cs="Calibri"/>
        </w:rPr>
        <w:t>Ka</w:t>
      </w:r>
      <w:r w:rsidRPr="00CA7094">
        <w:rPr>
          <w:rFonts w:cs="Calibri"/>
        </w:rPr>
        <w:t xml:space="preserve">towice, </w:t>
      </w:r>
      <w:r w:rsidR="00B000BD">
        <w:rPr>
          <w:rFonts w:cs="Calibri"/>
        </w:rPr>
        <w:t xml:space="preserve">listopada </w:t>
      </w:r>
      <w:r w:rsidR="004E5A71">
        <w:rPr>
          <w:rFonts w:cs="Calibri"/>
        </w:rPr>
        <w:t>2019</w:t>
      </w:r>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6C2206"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6C2206"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6C2206"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6C2206">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6C2206"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6C2206"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6C2206"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6C2206"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6C2206"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6C2206">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6C2206"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6C2206"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6C2206"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6C2206"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6C2206"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7AA167D1" w:rsidR="00731223" w:rsidRDefault="006C2206"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69F021B" w14:textId="59FCA2A5" w:rsidR="00731223" w:rsidRDefault="006C2206"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6C2206"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6C2206"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6C2206"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6C2206"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6C2206"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6C2206"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6C2206"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6C2206"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6C2206"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6C2206"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6C2206"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6C2206"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6C2206"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6C2206"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6C2206"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6C2206"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6C2206"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6C2206"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6C2206">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6C2206"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6C2206"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6C2206"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6C2206"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6C2206"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6C2206"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6C2206"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6C2206"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6C2206"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6C2206">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6C2206"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6C2206"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6C2206"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6C2206"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6C2206"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6C2206"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6C2206">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6C2206">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6C2206"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6C2206"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6C2206"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6C2206">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6C2206"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6C2206"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6C2206">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6C2206">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6C2206"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6C2206"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6C2206">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rsidRPr="00697E5E">
        <w:rPr>
          <w:rFonts w:cs="Calibri"/>
        </w:rPr>
        <w:t>bezemisyjnego</w:t>
      </w:r>
      <w:proofErr w:type="spellEnd"/>
      <w:r w:rsidRPr="00697E5E">
        <w:rPr>
          <w:rFonts w:cs="Calibri"/>
        </w:rP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lastRenderedPageBreak/>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lastRenderedPageBreak/>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9255E96" w14:textId="78E228C9" w:rsidR="00045CA3" w:rsidRPr="00697E5E" w:rsidRDefault="00AF2083" w:rsidP="000E7694">
      <w:pPr>
        <w:spacing w:before="120" w:after="120"/>
        <w:jc w:val="both"/>
        <w:rPr>
          <w:rFonts w:asciiTheme="minorHAnsi" w:hAnsiTheme="minorHAnsi" w:cstheme="minorHAnsi"/>
          <w:noProof/>
          <w:sz w:val="20"/>
          <w:szCs w:val="20"/>
        </w:rPr>
      </w:pPr>
      <w:r w:rsidRPr="00697E5E">
        <w:rPr>
          <w:rFonts w:asciiTheme="minorHAnsi" w:hAnsiTheme="minorHAnsi" w:cstheme="minorHAnsi"/>
          <w:noProof/>
          <w:sz w:val="20"/>
          <w:szCs w:val="20"/>
        </w:rPr>
        <w:t xml:space="preserve">Dla projektów składanych w ramach działania </w:t>
      </w:r>
      <w:r w:rsidR="00B000BD">
        <w:rPr>
          <w:rFonts w:asciiTheme="minorHAnsi" w:hAnsiTheme="minorHAnsi" w:cstheme="minorHAnsi"/>
          <w:noProof/>
          <w:sz w:val="20"/>
          <w:szCs w:val="20"/>
        </w:rPr>
        <w:t>4..5 Niskoemisyjny transport miejski oraz efektywne oświetlenie</w:t>
      </w:r>
      <w:r w:rsidRPr="00697E5E">
        <w:rPr>
          <w:rFonts w:asciiTheme="minorHAnsi" w:hAnsiTheme="minorHAnsi" w:cstheme="minorHAnsi"/>
          <w:noProof/>
          <w:sz w:val="20"/>
          <w:szCs w:val="20"/>
        </w:rPr>
        <w:t xml:space="preserve"> powinno wskazywać na: </w:t>
      </w:r>
      <w:r w:rsidR="00B000BD">
        <w:rPr>
          <w:rFonts w:asciiTheme="minorHAnsi" w:hAnsiTheme="minorHAnsi" w:cstheme="minorHAnsi"/>
          <w:noProof/>
          <w:sz w:val="20"/>
          <w:szCs w:val="20"/>
        </w:rPr>
        <w:t xml:space="preserve">Transport i składowaniie. </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287A83E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w:t>
      </w:r>
      <w:r w:rsidRPr="000C391F">
        <w:rPr>
          <w:rFonts w:cs="Calibri"/>
          <w:noProof/>
        </w:rPr>
        <w:lastRenderedPageBreak/>
        <w:t>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lastRenderedPageBreak/>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2D336CBB"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28DF1674" w14:textId="59D6A1AD"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w:t>
      </w:r>
      <w:r w:rsidR="008D1150">
        <w:rPr>
          <w:rFonts w:cs="Calibri"/>
          <w:bCs/>
          <w:sz w:val="20"/>
          <w:szCs w:val="20"/>
        </w:rPr>
        <w:t>a</w:t>
      </w:r>
      <w:r w:rsidRPr="00E634E0">
        <w:rPr>
          <w:rFonts w:cs="Calibri"/>
          <w:bCs/>
          <w:sz w:val="20"/>
          <w:szCs w:val="20"/>
        </w:rPr>
        <w:t xml:space="preserve"> o udzielenie zamówienia na wyłonienie wykonawcy w trybie "zaprojektuj i wybuduj"</w:t>
      </w:r>
      <w:r w:rsidR="00AA450F">
        <w:rPr>
          <w:rFonts w:cs="Calibri"/>
          <w:bCs/>
          <w:sz w:val="20"/>
          <w:szCs w:val="20"/>
        </w:rPr>
        <w:t>.</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lastRenderedPageBreak/>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lastRenderedPageBreak/>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0271E011" w14:textId="01D00D11" w:rsidR="00C61949" w:rsidRPr="00C61949" w:rsidRDefault="00C61949" w:rsidP="00C61949">
      <w:pPr>
        <w:pStyle w:val="Akapitzlist"/>
        <w:numPr>
          <w:ilvl w:val="0"/>
          <w:numId w:val="45"/>
        </w:numPr>
        <w:rPr>
          <w:rFonts w:cs="Calibri"/>
          <w:noProof/>
          <w:sz w:val="20"/>
        </w:rPr>
      </w:pPr>
      <w:r w:rsidRPr="00C61949">
        <w:rPr>
          <w:rFonts w:cs="Calibri"/>
          <w:noProof/>
          <w:sz w:val="20"/>
        </w:rPr>
        <w:t>opisać zasady dotyczące systemu monitorowania i kontroli grantobiorców w okresie trwałości,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 xml:space="preserve">cji projektu bądź </w:t>
      </w:r>
      <w:r w:rsidR="002046BA">
        <w:rPr>
          <w:rFonts w:cs="Calibri"/>
          <w:noProof/>
        </w:rPr>
        <w:lastRenderedPageBreak/>
        <w:t>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6C2206"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lastRenderedPageBreak/>
        <w:t>W przypadku niektórych sektorów funkcjonują również dokumenty robocze – tzw. siatki analityczne dostępny pod adresem:</w:t>
      </w:r>
    </w:p>
    <w:p w14:paraId="139A37CF" w14:textId="77777777" w:rsidR="002168D6" w:rsidRPr="00A14357" w:rsidRDefault="006C2206"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8" w:name="_Toc496864346"/>
      <w:r w:rsidRPr="00E634E0">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xml:space="preserve">, </w:t>
      </w:r>
      <w:proofErr w:type="spellStart"/>
      <w:r w:rsidR="002168D6" w:rsidRPr="00AC1AFF">
        <w:rPr>
          <w:rFonts w:cs="Calibri"/>
        </w:rPr>
        <w:t>uwzgledniając</w:t>
      </w:r>
      <w:proofErr w:type="spellEnd"/>
      <w:r w:rsidR="002168D6" w:rsidRPr="00AC1AFF">
        <w:rPr>
          <w:rFonts w:cs="Calibri"/>
        </w:rPr>
        <w:t xml:space="preserve">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 xml:space="preserve">że organ ten zamierza świadczyć tę usługę we własnym zakresie) nie wyklucza istnienia działalności gospodarczej. Mimo takiego zamknięcia rynku działalność gospodarcza może istnieć, jeżeli inne podmioty </w:t>
      </w:r>
      <w:r w:rsidRPr="00C34508">
        <w:rPr>
          <w:sz w:val="20"/>
          <w:szCs w:val="20"/>
          <w:lang w:eastAsia="en-US"/>
        </w:rPr>
        <w:lastRenderedPageBreak/>
        <w:t>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 xml:space="preserve">głyby świadczyć takie </w:t>
      </w:r>
      <w:r w:rsidRPr="00C34508">
        <w:rPr>
          <w:sz w:val="20"/>
          <w:szCs w:val="20"/>
          <w:lang w:eastAsia="en-US"/>
        </w:rPr>
        <w:lastRenderedPageBreak/>
        <w:t>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00487D7A">
        <w:rPr>
          <w:rFonts w:asciiTheme="minorHAnsi" w:hAnsiTheme="minorHAnsi"/>
          <w:sz w:val="20"/>
          <w:szCs w:val="20"/>
          <w:lang w:eastAsia="en-US"/>
        </w:rPr>
        <w:t xml:space="preserve"> </w:t>
      </w:r>
      <w:r w:rsidR="00860724">
        <w:rPr>
          <w:rFonts w:asciiTheme="minorHAnsi" w:hAnsiTheme="minorHAnsi"/>
          <w:sz w:val="20"/>
          <w:szCs w:val="20"/>
          <w:lang w:eastAsia="en-US"/>
        </w:rPr>
        <w:t xml:space="preserve">oraz pomocy de </w:t>
      </w:r>
      <w:proofErr w:type="spellStart"/>
      <w:r w:rsidR="00860724">
        <w:rPr>
          <w:rFonts w:asciiTheme="minorHAnsi" w:hAnsiTheme="minorHAnsi"/>
          <w:sz w:val="20"/>
          <w:szCs w:val="20"/>
          <w:lang w:eastAsia="en-US"/>
        </w:rPr>
        <w:t>minimis</w:t>
      </w:r>
      <w:proofErr w:type="spellEnd"/>
      <w:r w:rsidR="00860724">
        <w:rPr>
          <w:rFonts w:asciiTheme="minorHAnsi" w:hAnsiTheme="minorHAnsi"/>
          <w:sz w:val="20"/>
          <w:szCs w:val="20"/>
          <w:lang w:eastAsia="en-US"/>
        </w:rPr>
        <w:t xml:space="preserve">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w:t>
      </w:r>
      <w:r w:rsidRPr="0048237A">
        <w:rPr>
          <w:rFonts w:asciiTheme="minorHAnsi" w:hAnsiTheme="minorHAnsi"/>
          <w:sz w:val="20"/>
          <w:szCs w:val="20"/>
          <w:lang w:eastAsia="en-US"/>
        </w:rPr>
        <w:lastRenderedPageBreak/>
        <w:t>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w:t>
      </w:r>
      <w:r w:rsidRPr="0048237A">
        <w:rPr>
          <w:rFonts w:asciiTheme="minorHAnsi" w:hAnsiTheme="minorHAnsi"/>
          <w:sz w:val="20"/>
          <w:szCs w:val="20"/>
          <w:lang w:eastAsia="en-US"/>
        </w:rPr>
        <w:lastRenderedPageBreak/>
        <w:t>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w:t>
            </w:r>
            <w:r w:rsidRPr="0048237A">
              <w:rPr>
                <w:rFonts w:asciiTheme="minorHAnsi" w:hAnsiTheme="minorHAnsi"/>
                <w:sz w:val="20"/>
                <w:szCs w:val="20"/>
              </w:rPr>
              <w:lastRenderedPageBreak/>
              <w:t>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lastRenderedPageBreak/>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w:t>
      </w:r>
      <w:proofErr w:type="spellStart"/>
      <w:r>
        <w:rPr>
          <w:rFonts w:asciiTheme="minorHAnsi" w:hAnsiTheme="minorHAnsi"/>
          <w:sz w:val="20"/>
          <w:szCs w:val="20"/>
          <w:lang w:eastAsia="en-US"/>
        </w:rPr>
        <w:t>minimis</w:t>
      </w:r>
      <w:proofErr w:type="spellEnd"/>
      <w:r>
        <w:rPr>
          <w:rFonts w:asciiTheme="minorHAnsi" w:hAnsiTheme="minorHAnsi"/>
          <w:sz w:val="20"/>
          <w:szCs w:val="20"/>
          <w:lang w:eastAsia="en-US"/>
        </w:rPr>
        <w:t xml:space="preserve">, pomoc w formie rekompensat z tytułu wypełniania obowiązku </w:t>
      </w:r>
      <w:proofErr w:type="spellStart"/>
      <w:r>
        <w:rPr>
          <w:rFonts w:asciiTheme="minorHAnsi" w:hAnsiTheme="minorHAnsi"/>
          <w:sz w:val="20"/>
          <w:szCs w:val="20"/>
          <w:lang w:eastAsia="en-US"/>
        </w:rPr>
        <w:t>swiadczenia</w:t>
      </w:r>
      <w:proofErr w:type="spellEnd"/>
      <w:r>
        <w:rPr>
          <w:rFonts w:asciiTheme="minorHAnsi" w:hAnsiTheme="minorHAnsi"/>
          <w:sz w:val="20"/>
          <w:szCs w:val="20"/>
          <w:lang w:eastAsia="en-US"/>
        </w:rPr>
        <w:t xml:space="preserve"> UOIG)</w:t>
      </w:r>
    </w:p>
    <w:p w14:paraId="7115DBE8" w14:textId="77777777" w:rsidR="00886690" w:rsidRPr="00E634E0" w:rsidRDefault="00886690" w:rsidP="00E354DA">
      <w:pPr>
        <w:pStyle w:val="Pole"/>
      </w:pPr>
      <w:bookmarkStart w:id="40" w:name="_Toc496864348"/>
      <w:r w:rsidRPr="00E634E0">
        <w:lastRenderedPageBreak/>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5857E2">
      <w:pPr>
        <w:pStyle w:val="Akapitzlist1"/>
        <w:tabs>
          <w:tab w:val="left" w:pos="1418"/>
        </w:tabs>
        <w:spacing w:before="120" w:after="120"/>
        <w:ind w:left="0"/>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F512A8">
        <w:lastRenderedPageBreak/>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119A661E"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W ramach analizy specyficznej dla działania 4.5 Niskoemisyjny transport miejski oraz efektywne oświetlenie (w zakresie transportu) wnioskodawca powinien wykazać, że realizowana/planowana do realizacji inwestycja zgodna jest/ wynika z Programu ochrony powietrza dla terenu województwa śląskiego oraz Strategii Rozwoju Systemu Transportu Województwa Śląskiego. </w:t>
      </w:r>
    </w:p>
    <w:p w14:paraId="6B4C574D" w14:textId="77777777" w:rsidR="00425C14" w:rsidRPr="00F3234C" w:rsidRDefault="00425C14" w:rsidP="00425C14">
      <w:pPr>
        <w:autoSpaceDE w:val="0"/>
        <w:autoSpaceDN w:val="0"/>
        <w:adjustRightInd w:val="0"/>
        <w:spacing w:after="0" w:line="240" w:lineRule="auto"/>
        <w:jc w:val="both"/>
        <w:rPr>
          <w:rFonts w:cs="Calibri"/>
          <w:sz w:val="20"/>
          <w:szCs w:val="20"/>
        </w:rPr>
      </w:pPr>
    </w:p>
    <w:p w14:paraId="6ABE0CF9"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Projekty realizowane w ramach działań 4.5. odnoszące się do niskoemisyjnego transportu miejskiego powinny wynikać z dokumentu o charakterze planistycznym w zakresie planów, zawierających odniesienia do kwestii przechodzenia na bardziej ekologiczne i zrównoważone systemy transportowe w miastach. Dokumentami takimi są Plany Zrównoważonej Mobilności Miejskiej (PZMM), Plany Gospodarki Niskoemisyjnej zawierające elementy planu zrównoważonej mobilności miejskie lub inne dokumenty zawierające takie elementy. Wskazany plan/y powinny zostać przyjęty/e przez organ uchwałodawczy w terminie przed złożeniem wniosku o dofinansowanie. W celu weryfikacji spełnienia powyższego wymogu do wniosku o dofinansowanie należy dołączyć uchwałę lub inny dokument na podstawie, którego został on przyjęty do realizacji przez JST/ związek. </w:t>
      </w:r>
    </w:p>
    <w:p w14:paraId="18048ACB" w14:textId="77777777" w:rsidR="00425C14" w:rsidRPr="00F3234C" w:rsidRDefault="00425C14" w:rsidP="00425C14">
      <w:pPr>
        <w:autoSpaceDE w:val="0"/>
        <w:autoSpaceDN w:val="0"/>
        <w:adjustRightInd w:val="0"/>
        <w:spacing w:after="0" w:line="240" w:lineRule="auto"/>
        <w:ind w:left="709"/>
        <w:jc w:val="both"/>
        <w:rPr>
          <w:rFonts w:cs="Calibri"/>
          <w:sz w:val="20"/>
          <w:szCs w:val="20"/>
        </w:rPr>
      </w:pPr>
      <w:r w:rsidRPr="00F3234C">
        <w:rPr>
          <w:rFonts w:cs="Calibri"/>
          <w:sz w:val="20"/>
          <w:szCs w:val="20"/>
        </w:rPr>
        <w:t>Ocena merytoryczna projektu pod kątem wynikania z ww. dokumentów ma charakter warunkujący kwalifikowalność projektu, stąd też istotne jest, aby wnioskodawca dołączył, jako załącznik obligatoryjny, jeden z ww. dokumentów. Przy opracowywaniu planów zrównoważonej mobilności miejskiej szczególnie pomocne mogą być opracowane przez Komisję Europejską lub inne podmioty unijne dokumenty, komunikaty i wytyczne. W pierwszym rzędzie, co do wymogów odnoszących się do PZMM należy zapoznać się z załącznikiem „Koncepcja dotycząca planów mobilności w miastach zgodnej z zasadami zrównoważonego rozwoju” opracowanym w ramach Komunikat Komisji do Parlamentu Europejskiego, Rady, Europejskiego Komitetu Ekonomiczno-Społecznego i Komitetu Regionów „Wspólne dążenie do osiągnięcia konkurencyjnej i </w:t>
      </w:r>
      <w:proofErr w:type="spellStart"/>
      <w:r w:rsidRPr="00F3234C">
        <w:rPr>
          <w:rFonts w:cs="Calibri"/>
          <w:sz w:val="20"/>
          <w:szCs w:val="20"/>
        </w:rPr>
        <w:t>zasobooszczędnej</w:t>
      </w:r>
      <w:proofErr w:type="spellEnd"/>
      <w:r w:rsidRPr="00F3234C">
        <w:rPr>
          <w:rFonts w:cs="Calibri"/>
          <w:sz w:val="20"/>
          <w:szCs w:val="20"/>
        </w:rPr>
        <w:t xml:space="preserve"> mobilności w miastach”</w:t>
      </w:r>
      <w:r w:rsidRPr="00F512A8">
        <w:rPr>
          <w:rFonts w:cs="Calibri"/>
          <w:vertAlign w:val="superscript"/>
        </w:rPr>
        <w:footnoteReference w:id="6"/>
      </w:r>
      <w:r w:rsidRPr="00F3234C">
        <w:rPr>
          <w:rFonts w:cs="Calibri"/>
          <w:sz w:val="20"/>
          <w:szCs w:val="20"/>
        </w:rPr>
        <w:t xml:space="preserve"> . </w:t>
      </w:r>
    </w:p>
    <w:p w14:paraId="014D5B87" w14:textId="77777777" w:rsidR="00425C14" w:rsidRPr="00F3234C" w:rsidRDefault="00425C14" w:rsidP="00425C14">
      <w:pPr>
        <w:autoSpaceDE w:val="0"/>
        <w:autoSpaceDN w:val="0"/>
        <w:adjustRightInd w:val="0"/>
        <w:spacing w:after="0" w:line="240" w:lineRule="auto"/>
        <w:ind w:left="709"/>
        <w:jc w:val="both"/>
        <w:rPr>
          <w:rFonts w:cs="Calibri"/>
          <w:sz w:val="20"/>
          <w:szCs w:val="20"/>
        </w:rPr>
      </w:pPr>
      <w:r w:rsidRPr="00F3234C">
        <w:rPr>
          <w:rFonts w:cs="Calibri"/>
          <w:sz w:val="20"/>
          <w:szCs w:val="20"/>
        </w:rPr>
        <w:t>Kompendium wiedzy nt. zasad opracowywania PZMM zostało przedstawione w Wytycznych pn. „Opracowanie i wdrożenie planu zrównoważonej mobilności miejskiej”.</w:t>
      </w:r>
      <w:r w:rsidRPr="00F512A8">
        <w:rPr>
          <w:rFonts w:cs="Calibri"/>
          <w:vertAlign w:val="superscript"/>
        </w:rPr>
        <w:footnoteReference w:id="7"/>
      </w:r>
      <w:r w:rsidRPr="00F512A8">
        <w:rPr>
          <w:rFonts w:cs="Calibri"/>
          <w:sz w:val="20"/>
          <w:szCs w:val="20"/>
          <w:vertAlign w:val="superscript"/>
        </w:rPr>
        <w:t xml:space="preserve"> </w:t>
      </w:r>
      <w:r w:rsidRPr="00F3234C">
        <w:rPr>
          <w:rFonts w:cs="Calibri"/>
          <w:sz w:val="20"/>
          <w:szCs w:val="20"/>
        </w:rPr>
        <w:br/>
        <w:t xml:space="preserve">Wzmiankowane dokumenty zawierające odniesienia do kwestii przechodzenia na bardziej ekologiczne i zrównoważone systemy transportowe w miastach powinny określać kierunki planowanych interwencji na danym obszarze i w zależności od zidentyfikowanych potrzeb, zawierać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 Przedmiotowe dokumenty powinny zawierać szczegółowe analizy i diagnozy, z których wynika uzasadnienie/ potrzeba planowanego do realizacji przedsięwzięcia. </w:t>
      </w:r>
    </w:p>
    <w:p w14:paraId="0FBCEBFD" w14:textId="77777777" w:rsidR="00425C14" w:rsidRPr="00F3234C" w:rsidRDefault="00425C14" w:rsidP="00425C14">
      <w:pPr>
        <w:autoSpaceDE w:val="0"/>
        <w:autoSpaceDN w:val="0"/>
        <w:adjustRightInd w:val="0"/>
        <w:spacing w:after="0" w:line="240" w:lineRule="auto"/>
        <w:ind w:left="709"/>
        <w:jc w:val="both"/>
        <w:rPr>
          <w:rFonts w:cs="Calibri"/>
          <w:sz w:val="20"/>
          <w:szCs w:val="20"/>
        </w:rPr>
      </w:pPr>
      <w:r w:rsidRPr="00F3234C">
        <w:rPr>
          <w:rFonts w:cs="Calibri"/>
          <w:sz w:val="20"/>
          <w:szCs w:val="20"/>
        </w:rPr>
        <w:t xml:space="preserve">W ramach analiz specyficznych Wnioskodawca powinien przedstawić jedynie krótkie podsumowanie PZZM, PGN lub innego analogicznego dokumentu, z którego wynikać ma realizacja projektu. Do wniosku o dofinansowanie obligatoryjnie należy jednak dołączyć jeden z ww. dokumentów (pełną treść), w celu umożliwienia weryfikacji zasadności realizacji projektu pod kątem wpisywania się w zapisy PZZM lub PGN z elementami PZZM lub innych analogicznych dokumentów. </w:t>
      </w:r>
    </w:p>
    <w:p w14:paraId="5DB60740" w14:textId="77777777" w:rsidR="00425C14" w:rsidRPr="00F3234C" w:rsidRDefault="00425C14" w:rsidP="00425C14">
      <w:pPr>
        <w:autoSpaceDE w:val="0"/>
        <w:autoSpaceDN w:val="0"/>
        <w:adjustRightInd w:val="0"/>
        <w:spacing w:after="0" w:line="240" w:lineRule="auto"/>
        <w:ind w:left="709"/>
        <w:jc w:val="both"/>
        <w:rPr>
          <w:rFonts w:cs="Calibri"/>
          <w:sz w:val="20"/>
          <w:szCs w:val="20"/>
        </w:rPr>
      </w:pPr>
    </w:p>
    <w:p w14:paraId="2B410C63"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Należy przedstawić informacje nt. ilości osób korzystających z transportu publicznego w stosunku do wariantu bezinwestycyjnego (odniesienie do całości systemu) będących efektem zrealizowanego przedsięwzięcia. Wyniki analizy ruchu należy przedstawić dla wariantu inwestycyjnego i bezinwestycyjnego. Dane należy również przedstawić w postaci procentowej.  </w:t>
      </w:r>
    </w:p>
    <w:p w14:paraId="798503EF" w14:textId="77777777" w:rsidR="00425C14" w:rsidRPr="00F3234C" w:rsidRDefault="00425C14" w:rsidP="00425C14">
      <w:pPr>
        <w:autoSpaceDE w:val="0"/>
        <w:autoSpaceDN w:val="0"/>
        <w:adjustRightInd w:val="0"/>
        <w:spacing w:after="0" w:line="240" w:lineRule="auto"/>
        <w:jc w:val="both"/>
        <w:rPr>
          <w:rFonts w:cs="Calibri"/>
          <w:sz w:val="20"/>
          <w:szCs w:val="20"/>
        </w:rPr>
      </w:pPr>
    </w:p>
    <w:p w14:paraId="7EF4DD15" w14:textId="41E6D05B" w:rsidR="00425C14" w:rsidRPr="00F3234C" w:rsidRDefault="00425C14" w:rsidP="00672BC1">
      <w:pPr>
        <w:pStyle w:val="Akapitzlist"/>
        <w:autoSpaceDE w:val="0"/>
        <w:autoSpaceDN w:val="0"/>
        <w:adjustRightInd w:val="0"/>
        <w:spacing w:after="0" w:line="240" w:lineRule="auto"/>
        <w:ind w:left="426"/>
        <w:jc w:val="both"/>
        <w:rPr>
          <w:rFonts w:cs="Calibri"/>
          <w:sz w:val="20"/>
        </w:rPr>
      </w:pPr>
      <w:r w:rsidRPr="00F3234C">
        <w:rPr>
          <w:rFonts w:cs="Calibri"/>
          <w:sz w:val="20"/>
        </w:rPr>
        <w:t>W przypadku projektów realizowanych w ramach Podziałania 4.5.</w:t>
      </w:r>
      <w:r w:rsidR="00672BC1" w:rsidRPr="00F3234C">
        <w:rPr>
          <w:rFonts w:cs="Calibri"/>
          <w:sz w:val="20"/>
        </w:rPr>
        <w:t xml:space="preserve"> </w:t>
      </w:r>
      <w:r w:rsidRPr="00F3234C">
        <w:rPr>
          <w:rFonts w:cs="Calibri"/>
          <w:sz w:val="20"/>
        </w:rPr>
        <w:t xml:space="preserve">typ projektu 3 należy opisać przyjęte rozwiązania w ramach projektu pod względem ich przystosowania do potrzeb osób z ograniczoną </w:t>
      </w:r>
      <w:r w:rsidRPr="00F3234C">
        <w:rPr>
          <w:rFonts w:cs="Calibri"/>
          <w:sz w:val="20"/>
        </w:rPr>
        <w:lastRenderedPageBreak/>
        <w:t xml:space="preserve">możliwością poruszania się (w tym także do osób niedosłyszących, niedowidzących, słabowidzących). </w:t>
      </w:r>
      <w:r w:rsidRPr="00F3234C">
        <w:rPr>
          <w:rFonts w:cs="Calibri"/>
          <w:sz w:val="20"/>
        </w:rPr>
        <w:br/>
      </w:r>
    </w:p>
    <w:p w14:paraId="12D2792D" w14:textId="77777777" w:rsidR="00425C14" w:rsidRPr="00F3234C" w:rsidRDefault="00425C14" w:rsidP="00425C14">
      <w:pPr>
        <w:pStyle w:val="Akapitzlist"/>
        <w:numPr>
          <w:ilvl w:val="0"/>
          <w:numId w:val="48"/>
        </w:numPr>
        <w:autoSpaceDE w:val="0"/>
        <w:autoSpaceDN w:val="0"/>
        <w:adjustRightInd w:val="0"/>
        <w:spacing w:after="0" w:line="240" w:lineRule="auto"/>
        <w:jc w:val="both"/>
        <w:rPr>
          <w:rFonts w:cs="Calibri"/>
          <w:sz w:val="20"/>
        </w:rPr>
      </w:pPr>
      <w:r w:rsidRPr="00F3234C">
        <w:rPr>
          <w:rFonts w:cs="Calibri"/>
          <w:sz w:val="20"/>
        </w:rPr>
        <w:t xml:space="preserve">Należy również odnieść się do zastosowanych w ramach projektu rozwiązań w zakresie dostosowania powstałej infrastruktury/ zakupionego taboru autobusowego pod względem bezpieczeństwa (np. monitoring, przyciski alarmowe). </w:t>
      </w:r>
      <w:r w:rsidRPr="00F3234C">
        <w:rPr>
          <w:rFonts w:cs="Calibri"/>
          <w:sz w:val="20"/>
        </w:rPr>
        <w:br/>
      </w:r>
    </w:p>
    <w:p w14:paraId="2F7F6148" w14:textId="77777777" w:rsidR="00425C14" w:rsidRPr="00F3234C" w:rsidRDefault="00425C14" w:rsidP="00425C14">
      <w:pPr>
        <w:pStyle w:val="Akapitzlist"/>
        <w:numPr>
          <w:ilvl w:val="0"/>
          <w:numId w:val="48"/>
        </w:numPr>
        <w:autoSpaceDE w:val="0"/>
        <w:autoSpaceDN w:val="0"/>
        <w:adjustRightInd w:val="0"/>
        <w:spacing w:after="15" w:line="240" w:lineRule="auto"/>
        <w:jc w:val="both"/>
        <w:rPr>
          <w:rFonts w:cs="Calibri"/>
          <w:sz w:val="20"/>
        </w:rPr>
      </w:pPr>
      <w:r w:rsidRPr="00F3234C">
        <w:rPr>
          <w:rFonts w:cs="Calibri"/>
          <w:sz w:val="20"/>
        </w:rPr>
        <w:t xml:space="preserve">Opis powinien odnosić się do rozwiązań w zakresie dostosowania zakupionego taboru pod względem jakości i komfortu podróżowania oraz w zakresie zastosowania systemów ITS (w tym systemy dynamicznej informacji pasażerskiej (SDIP)). W ramach niniejszego pkt. należy również odnieść się, czy przedmiot projektu uwzględnia elementy i/ lub koreluje z organizacją ruchu ułatwiającą sprawne poruszanie się pojazdów komunikacji zbiorowej (np. organizacja pasa ruchu dla pojazdów komunikacji zbiorowej). Należy również określić, czy realizacja projektu wpłynie na zwiększenie pracy eksploatacyjnej wykonywanej zakupionym taborem. </w:t>
      </w:r>
    </w:p>
    <w:p w14:paraId="44C3C7E5" w14:textId="77777777" w:rsidR="00425C14" w:rsidRPr="00F3234C" w:rsidRDefault="00425C14" w:rsidP="00425C14">
      <w:pPr>
        <w:pStyle w:val="Akapitzlist"/>
        <w:autoSpaceDE w:val="0"/>
        <w:autoSpaceDN w:val="0"/>
        <w:adjustRightInd w:val="0"/>
        <w:spacing w:after="15" w:line="240" w:lineRule="auto"/>
        <w:jc w:val="both"/>
        <w:rPr>
          <w:rFonts w:cs="Calibri"/>
          <w:sz w:val="20"/>
        </w:rPr>
      </w:pPr>
    </w:p>
    <w:p w14:paraId="25D873A2" w14:textId="77777777" w:rsidR="00425C14" w:rsidRPr="00F3234C" w:rsidRDefault="00425C14" w:rsidP="00425C14">
      <w:pPr>
        <w:pStyle w:val="Akapitzlist"/>
        <w:numPr>
          <w:ilvl w:val="0"/>
          <w:numId w:val="48"/>
        </w:numPr>
        <w:autoSpaceDE w:val="0"/>
        <w:autoSpaceDN w:val="0"/>
        <w:adjustRightInd w:val="0"/>
        <w:spacing w:after="15" w:line="240" w:lineRule="auto"/>
        <w:jc w:val="both"/>
        <w:rPr>
          <w:rFonts w:cs="Calibri"/>
          <w:sz w:val="20"/>
        </w:rPr>
      </w:pPr>
      <w:r w:rsidRPr="00F3234C">
        <w:rPr>
          <w:rFonts w:cs="Calibri"/>
          <w:sz w:val="20"/>
        </w:rPr>
        <w:t xml:space="preserve">Należy przedstawić zastosowane w ramach projektu rozwiązania w zakresie dostosowania taboru pod względem minimalizacji negatywnego wpływu na środowisko. </w:t>
      </w:r>
    </w:p>
    <w:p w14:paraId="7BD8E6B7" w14:textId="77777777" w:rsidR="00425C14" w:rsidRPr="00F3234C" w:rsidRDefault="00425C14" w:rsidP="00425C14">
      <w:pPr>
        <w:pStyle w:val="Akapitzlist1"/>
        <w:tabs>
          <w:tab w:val="left" w:pos="1418"/>
        </w:tabs>
        <w:spacing w:before="120" w:after="120"/>
        <w:ind w:left="709"/>
        <w:jc w:val="both"/>
        <w:rPr>
          <w:rFonts w:cs="Calibri"/>
        </w:rPr>
      </w:pPr>
      <w:r w:rsidRPr="00F3234C">
        <w:rPr>
          <w:rFonts w:cs="Calibri"/>
        </w:rPr>
        <w:t xml:space="preserve">Wpływu realizowanego projektu na redukcje emisji zanieczyszczeń gazowych i cząstek stałych, w szczególności: CO (tlenek węgla), HC (węglowodory), </w:t>
      </w:r>
      <w:proofErr w:type="spellStart"/>
      <w:r w:rsidRPr="00F3234C">
        <w:rPr>
          <w:rFonts w:cs="Calibri"/>
        </w:rPr>
        <w:t>NOx</w:t>
      </w:r>
      <w:proofErr w:type="spellEnd"/>
      <w:r w:rsidRPr="00F3234C">
        <w:rPr>
          <w:rFonts w:cs="Calibri"/>
        </w:rPr>
        <w:t xml:space="preserve"> (tlenek azotu), PM (cząstki stałe). redukcja emisji gazów cieplarnianych: CO2 (dwutlenek węgla).</w:t>
      </w:r>
    </w:p>
    <w:p w14:paraId="4608A454" w14:textId="77777777" w:rsidR="002046BA" w:rsidRPr="00E82B2B" w:rsidRDefault="002046BA" w:rsidP="002046BA">
      <w:pPr>
        <w:pStyle w:val="Akapitzlist1"/>
        <w:tabs>
          <w:tab w:val="left" w:pos="1134"/>
        </w:tabs>
        <w:spacing w:before="120" w:after="120"/>
        <w:ind w:left="0"/>
        <w:jc w:val="both"/>
      </w:pPr>
    </w:p>
    <w:p w14:paraId="54950C99" w14:textId="7AB8D6D2"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lastRenderedPageBreak/>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t>
      </w:r>
      <w:r w:rsidRPr="00E634E0">
        <w:rPr>
          <w:rFonts w:cs="Calibri"/>
          <w:noProof/>
        </w:rPr>
        <w:lastRenderedPageBreak/>
        <w:t xml:space="preserve">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w:t>
      </w:r>
      <w:r w:rsidRPr="00E634E0">
        <w:rPr>
          <w:rFonts w:cs="Calibri"/>
        </w:rPr>
        <w:lastRenderedPageBreak/>
        <w:t xml:space="preserve">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lastRenderedPageBreak/>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lastRenderedPageBreak/>
        <w:t>Głównym celem przedmiotowej zasady jest zapewnienie, osobom z niepełnosprawnościami</w:t>
      </w:r>
      <w:r w:rsidRPr="0080733C">
        <w:rPr>
          <w:color w:val="000000"/>
          <w:sz w:val="20"/>
          <w:szCs w:val="20"/>
          <w:vertAlign w:val="superscript"/>
        </w:rPr>
        <w:footnoteReference w:id="8"/>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9"/>
      </w:r>
      <w:r w:rsidRPr="0080733C">
        <w:rPr>
          <w:rFonts w:cs="Calibri"/>
          <w:color w:val="000000"/>
          <w:sz w:val="20"/>
          <w:szCs w:val="20"/>
        </w:rPr>
        <w:t>, rozbudowa</w:t>
      </w:r>
      <w:r w:rsidRPr="0080733C">
        <w:rPr>
          <w:color w:val="000000"/>
          <w:sz w:val="20"/>
          <w:szCs w:val="20"/>
          <w:vertAlign w:val="superscript"/>
        </w:rPr>
        <w:footnoteReference w:id="10"/>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 xml:space="preserve">olwiek z elementów wskazanych </w:t>
      </w:r>
      <w:r w:rsidR="00DC6F60">
        <w:rPr>
          <w:rFonts w:cs="Calibri"/>
          <w:color w:val="000000"/>
          <w:sz w:val="20"/>
          <w:szCs w:val="20"/>
        </w:rPr>
        <w:lastRenderedPageBreak/>
        <w:t>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5E6C970E"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11"/>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lastRenderedPageBreak/>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 xml:space="preserve">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w:t>
      </w:r>
      <w:r w:rsidRPr="00FB1A11">
        <w:rPr>
          <w:rFonts w:cs="Calibri"/>
          <w:noProof/>
          <w:color w:val="000000" w:themeColor="text1"/>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2"/>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lastRenderedPageBreak/>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0F7D1D87"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170060" w:rsidRPr="00170060">
        <w:t xml:space="preserve"> </w:t>
      </w:r>
      <w:r w:rsidR="00170060" w:rsidRPr="00170060">
        <w:rPr>
          <w:rFonts w:cs="Calibri"/>
          <w:b/>
          <w:noProof/>
          <w:sz w:val="20"/>
        </w:rPr>
        <w:t>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lastRenderedPageBreak/>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w:t>
      </w:r>
      <w:r w:rsidR="00655E6E" w:rsidRPr="009E13CB">
        <w:rPr>
          <w:rFonts w:asciiTheme="minorHAnsi" w:hAnsiTheme="minorHAnsi" w:cs="Calibri"/>
        </w:rPr>
        <w:lastRenderedPageBreak/>
        <w:t xml:space="preserve">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0704997" w:rsidR="00886690" w:rsidRPr="00E634E0" w:rsidRDefault="00886690" w:rsidP="00F430E1">
      <w:pPr>
        <w:pStyle w:val="Akapitzlist1"/>
        <w:numPr>
          <w:ilvl w:val="2"/>
          <w:numId w:val="17"/>
        </w:numPr>
        <w:tabs>
          <w:tab w:val="left" w:pos="851"/>
        </w:tabs>
        <w:spacing w:before="120" w:after="120"/>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F430E1">
        <w:rPr>
          <w:rFonts w:cs="Calibri"/>
        </w:rPr>
        <w:t>Dla </w:t>
      </w:r>
      <w:r w:rsidR="00F430E1" w:rsidRPr="00F430E1">
        <w:rPr>
          <w:rFonts w:cs="Calibri"/>
        </w:rPr>
        <w:t>niekluczowych elementów projektu nie jest konieczne podawanie ich ilości, objętości, powierzchni  (np. długości kabli z wewnętrznej instalacji elektrycznej, objętości/wagi zaprawy murarskiej, ilości zakupionych krzeseł, powierzchni wykafelkowanych ścian itp.).</w:t>
      </w:r>
      <w:r w:rsidR="00F430E1">
        <w:rPr>
          <w:rFonts w:cs="Calibri"/>
        </w:rPr>
        <w:t xml:space="preserve">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280FFA">
        <w:rPr>
          <w:color w:val="FF0000"/>
        </w:rPr>
        <w:t xml:space="preserve">W opisie należy wskazać jeden </w:t>
      </w:r>
      <w:proofErr w:type="spellStart"/>
      <w:r w:rsidR="00280FFA">
        <w:rPr>
          <w:color w:val="FF0000"/>
        </w:rPr>
        <w:t>pramentr</w:t>
      </w:r>
      <w:proofErr w:type="spellEnd"/>
      <w:r w:rsidR="00280FFA">
        <w:rPr>
          <w:color w:val="FF0000"/>
        </w:rPr>
        <w:t xml:space="preserve"> w odniesieniu do którego będzie rozliczany dany wydatek. </w:t>
      </w:r>
      <w:r w:rsidRPr="00E634E0">
        <w:rPr>
          <w:rFonts w:cs="Calibri"/>
        </w:rPr>
        <w:t>W przypadku realizowania więcej niż jednego typu projektu (ocenianych różnym zestawem kryteriów merytorycznych)</w:t>
      </w:r>
      <w:r w:rsidR="00D21532">
        <w:rPr>
          <w:rFonts w:cs="Calibri"/>
        </w:rPr>
        <w:t>,</w:t>
      </w:r>
      <w:r w:rsidRPr="00E634E0">
        <w:rPr>
          <w:rFonts w:cs="Calibri"/>
        </w:rPr>
        <w:t xml:space="preserve"> w tym polu należy przypisać koszt do określonego typu projektu. W przypadku kosztów wspólnych (tj. </w:t>
      </w:r>
      <w:r w:rsidRPr="009E13CB">
        <w:rPr>
          <w:rFonts w:cs="Calibri"/>
        </w:rPr>
        <w:t xml:space="preserve">właściwych dla więcej niż jednego typu projektu) </w:t>
      </w:r>
      <w:r w:rsidR="00560486" w:rsidRPr="009E13CB">
        <w:rPr>
          <w:rFonts w:cs="Calibri"/>
        </w:rPr>
        <w:t xml:space="preserve">należy je przypisać </w:t>
      </w:r>
      <w:r w:rsidR="00560486">
        <w:rPr>
          <w:rFonts w:cs="Calibri"/>
        </w:rPr>
        <w:t xml:space="preserve">zgodnie z procentowym podziałem określonym w polu B.16 </w:t>
      </w:r>
      <w:r w:rsidR="00560486" w:rsidRPr="009E13CB">
        <w:rPr>
          <w:rFonts w:cs="Calibri"/>
        </w:rPr>
        <w:t xml:space="preserve">do </w:t>
      </w:r>
      <w:r w:rsidR="00560486">
        <w:rPr>
          <w:rFonts w:cs="Calibri"/>
        </w:rPr>
        <w:t xml:space="preserve">każdego z typów </w:t>
      </w:r>
      <w:r w:rsidR="00560486" w:rsidRPr="009E13CB">
        <w:rPr>
          <w:rFonts w:cs="Calibri"/>
        </w:rPr>
        <w:t>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 xml:space="preserve">e po uwzględnieniu dochodu” zostanie przeliczona półautomatycznie na podstawie tabeli D.1. Powyższe oznacza, iż po wprowadzeniu danych w tabeli </w:t>
      </w:r>
      <w:r>
        <w:rPr>
          <w:rFonts w:cs="Calibri"/>
        </w:rPr>
        <w:lastRenderedPageBreak/>
        <w:t>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lastRenderedPageBreak/>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lastRenderedPageBreak/>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3"/>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lastRenderedPageBreak/>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1" w:name="_Toc496864375"/>
      <w:r w:rsidRPr="00E634E0">
        <w:lastRenderedPageBreak/>
        <w:t>F.1. Wskaźniki produktu</w:t>
      </w:r>
      <w:bookmarkEnd w:id="121"/>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06865C2F" w14:textId="0A057769" w:rsidR="00886690" w:rsidRPr="00E634E0" w:rsidRDefault="00886690" w:rsidP="00E354DA">
      <w:pPr>
        <w:pStyle w:val="Pole"/>
      </w:pPr>
      <w:r w:rsidRPr="00E634E0">
        <w:lastRenderedPageBreak/>
        <w:t>F.2. Wskaźniki rezultatu</w:t>
      </w:r>
      <w:bookmarkEnd w:id="122"/>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3" w:name="_Toc496864377"/>
      <w:r w:rsidRPr="00E634E0">
        <w:t>F.3. Wpływ projektu na zatrudnienie</w:t>
      </w:r>
      <w:bookmarkEnd w:id="123"/>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w:t>
      </w:r>
      <w:r w:rsidRPr="00E634E0">
        <w:rPr>
          <w:rFonts w:cs="Calibri"/>
          <w:noProof/>
          <w:sz w:val="20"/>
          <w:szCs w:val="20"/>
        </w:rPr>
        <w:lastRenderedPageBreak/>
        <w:t>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4" w:name="_Toc496864378"/>
      <w:r w:rsidRPr="00E634E0">
        <w:t>G.   ZAŁĄCZNIKI DO WNIOSKU</w:t>
      </w:r>
      <w:bookmarkEnd w:id="124"/>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4"/>
      </w:r>
      <w:r w:rsidR="000B7E21" w:rsidRPr="000B7E21">
        <w:t xml:space="preserve">. </w:t>
      </w:r>
    </w:p>
    <w:p w14:paraId="3BEE991D" w14:textId="3F4E1824"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5"/>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lastRenderedPageBreak/>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lastRenderedPageBreak/>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2AFF4358" w:rsidR="00C0248E" w:rsidRDefault="008E2610" w:rsidP="007E39D9">
      <w:pPr>
        <w:pStyle w:val="Akapitzlist1"/>
        <w:tabs>
          <w:tab w:val="left" w:pos="1418"/>
        </w:tabs>
        <w:spacing w:before="120" w:after="240"/>
        <w:ind w:left="0"/>
        <w:contextualSpacing w:val="0"/>
        <w:jc w:val="both"/>
        <w:rPr>
          <w:b/>
          <w:bCs/>
        </w:rPr>
      </w:pPr>
      <w:r w:rsidRPr="008E2610">
        <w:rPr>
          <w:b/>
          <w:bCs/>
        </w:rPr>
        <w:t xml:space="preserve">Ważne: Dla Działania 4.5. (Typ: </w:t>
      </w:r>
      <w:r>
        <w:rPr>
          <w:b/>
          <w:bCs/>
        </w:rPr>
        <w:t>3</w:t>
      </w:r>
      <w:r w:rsidRPr="008E2610">
        <w:rPr>
          <w:b/>
          <w:bCs/>
        </w:rPr>
        <w:t>) przyjmuje się okres odniesienia 25 lat. Nakłady na realizację projektu</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lastRenderedPageBreak/>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w:t>
      </w:r>
      <w:r w:rsidRPr="00E634E0">
        <w:rPr>
          <w:rFonts w:cs="Calibri"/>
          <w:sz w:val="20"/>
          <w:szCs w:val="20"/>
        </w:rPr>
        <w:lastRenderedPageBreak/>
        <w:t xml:space="preserve">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5"/>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lastRenderedPageBreak/>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20D63A89"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538E1">
        <w:rPr>
          <w:rFonts w:cs="Calibri"/>
          <w:noProof/>
        </w:rPr>
        <w:t>Ni</w:t>
      </w:r>
      <w:r w:rsidR="00A538E1" w:rsidRPr="0015393F">
        <w:rPr>
          <w:rFonts w:cs="Calibri"/>
          <w:noProof/>
        </w:rPr>
        <w:t>e jest konieczne dostarczenie kosztorysu inwestorskiego.</w:t>
      </w:r>
    </w:p>
    <w:p w14:paraId="32C48F00" w14:textId="045B5391"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w:t>
      </w:r>
      <w:r w:rsidR="00AA450F">
        <w:rPr>
          <w:rFonts w:cs="Calibri"/>
          <w:noProof/>
          <w:sz w:val="20"/>
          <w:szCs w:val="20"/>
        </w:rPr>
        <w:t>.</w:t>
      </w:r>
      <w:r w:rsidRPr="00E634E0">
        <w:rPr>
          <w:rFonts w:cs="Calibri"/>
          <w:noProof/>
          <w:sz w:val="20"/>
          <w:szCs w:val="20"/>
        </w:rPr>
        <w:t xml:space="preserve">. </w:t>
      </w: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33CB5808"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xml:space="preserve">], wskazać, </w:t>
      </w:r>
      <w:r w:rsidRPr="00D07E9B">
        <w:rPr>
          <w:rFonts w:cs="Calibri"/>
          <w:noProof/>
        </w:rPr>
        <w:lastRenderedPageBreak/>
        <w:t>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6" w:name="_Toc496864380"/>
      <w:r w:rsidRPr="00E634E0">
        <w:t>G.2. Załączniki dodatkowe</w:t>
      </w:r>
      <w:bookmarkEnd w:id="126"/>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stwierdzono prawdopodobieństwo istotnego negatywnego wpływu na ww. obszary i w związku z tym została przeprowadzona ocena, o której mowa w art. 6 ust. 3 dyrektywy siedliskowej, w wyniku której </w:t>
      </w:r>
      <w:r w:rsidRPr="00C567C7">
        <w:rPr>
          <w:rFonts w:cs="Calibri"/>
          <w:noProof/>
        </w:rPr>
        <w:lastRenderedPageBreak/>
        <w:t>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lastRenderedPageBreak/>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64CB898C"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 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0ED899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lastRenderedPageBreak/>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7FA71A4D"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w:t>
      </w:r>
      <w:r w:rsidR="00EE2904">
        <w:rPr>
          <w:rFonts w:cs="Calibri"/>
        </w:rPr>
        <w:t>o IZ RPO WSL stosowne dokumenty</w:t>
      </w:r>
      <w:r w:rsidR="00EE2904" w:rsidRPr="00EE2904">
        <w:rPr>
          <w:rFonts w:cs="Calibri"/>
        </w:rPr>
        <w:t>, aktualne na moment podpisywania umowy o dofinansowanie projektu.</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1AFC087E"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w:t>
      </w:r>
      <w:r w:rsidR="006C2206">
        <w:rPr>
          <w:rFonts w:cs="Calibri"/>
          <w:noProof/>
        </w:rPr>
        <w:t>i</w:t>
      </w:r>
      <w:r w:rsidR="00CE3D2D">
        <w:rPr>
          <w:rFonts w:cs="Calibri"/>
          <w:noProof/>
        </w:rPr>
        <w:t>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B15B04">
        <w:rPr>
          <w:rFonts w:cs="Calibri"/>
          <w:noProof/>
        </w:rPr>
        <w:t xml:space="preserve"> z późn. zm.</w:t>
      </w:r>
      <w:r w:rsidR="00C934E9">
        <w:rPr>
          <w:rFonts w:cs="Calibri"/>
          <w:noProof/>
        </w:rPr>
        <w:t>)</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6C84A360" w14:textId="77777777" w:rsidR="009B4288" w:rsidRPr="008542F0" w:rsidRDefault="00886690" w:rsidP="009B4288">
      <w:pPr>
        <w:pStyle w:val="Akapitzlist1"/>
        <w:numPr>
          <w:ilvl w:val="2"/>
          <w:numId w:val="17"/>
        </w:numPr>
        <w:tabs>
          <w:tab w:val="left" w:pos="851"/>
        </w:tabs>
        <w:spacing w:before="120" w:after="120"/>
        <w:jc w:val="both"/>
        <w:rPr>
          <w:rFonts w:cs="Calibri"/>
        </w:rPr>
      </w:pPr>
      <w:r w:rsidRPr="00E634E0">
        <w:rPr>
          <w:rFonts w:cs="Calibri"/>
        </w:rPr>
        <w:lastRenderedPageBreak/>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t>
      </w:r>
      <w:r w:rsidR="009B4288" w:rsidRPr="008542F0">
        <w:rPr>
          <w:rFonts w:cs="Calibri"/>
        </w:rPr>
        <w:t xml:space="preserve">Dokumentem potwierdzającym posiadanie środków może być:     </w:t>
      </w:r>
    </w:p>
    <w:p w14:paraId="377C86F9" w14:textId="77777777" w:rsidR="009B4288" w:rsidRPr="008542F0" w:rsidRDefault="009B4288" w:rsidP="009B4288">
      <w:pPr>
        <w:pStyle w:val="Akapitzlist1"/>
        <w:numPr>
          <w:ilvl w:val="0"/>
          <w:numId w:val="58"/>
        </w:numPr>
        <w:tabs>
          <w:tab w:val="left" w:pos="851"/>
        </w:tabs>
        <w:spacing w:before="120" w:after="120"/>
        <w:ind w:left="1276"/>
        <w:rPr>
          <w:rFonts w:cs="Calibri"/>
        </w:rPr>
      </w:pPr>
      <w:r w:rsidRPr="008542F0">
        <w:rPr>
          <w:rFonts w:cs="Calibri"/>
        </w:rPr>
        <w:t xml:space="preserve">oświadczenie (deklaracja) danego organu -   w przypadku, gdy z przepisów regulujących funkcjonowanie danego kościoła lub związku wyznaniowego wynika, że w imieniu kościelnej osoby prawnej występuje organ jednoosobowy (np. biskup diecezji katolickiej)  </w:t>
      </w:r>
    </w:p>
    <w:p w14:paraId="3F52C3EA" w14:textId="77777777" w:rsidR="009B4288" w:rsidRDefault="009B4288" w:rsidP="009B4288">
      <w:pPr>
        <w:pStyle w:val="Akapitzlist1"/>
        <w:numPr>
          <w:ilvl w:val="0"/>
          <w:numId w:val="58"/>
        </w:numPr>
        <w:tabs>
          <w:tab w:val="left" w:pos="851"/>
        </w:tabs>
        <w:spacing w:before="120" w:after="120"/>
        <w:ind w:left="1276"/>
        <w:rPr>
          <w:rFonts w:cs="Calibri"/>
        </w:rPr>
      </w:pPr>
      <w:r w:rsidRPr="008542F0">
        <w:rPr>
          <w:rFonts w:cs="Calibri"/>
        </w:rPr>
        <w:t xml:space="preserve">uchwała – w przypadku, gdy z przepisów regulujących funkcjonowanie danego kościoła lub związku wyznaniowego wynika, że organem właściwym do postępowania w imieniu kościelnej osoby prawnej jest organ kolegialny (np. rada parafialna, synod)   </w:t>
      </w:r>
    </w:p>
    <w:p w14:paraId="6532D075" w14:textId="77777777" w:rsidR="009B4288" w:rsidRPr="008542F0" w:rsidRDefault="009B4288" w:rsidP="009B4288">
      <w:pPr>
        <w:pStyle w:val="Akapitzlist1"/>
        <w:numPr>
          <w:ilvl w:val="0"/>
          <w:numId w:val="58"/>
        </w:numPr>
        <w:tabs>
          <w:tab w:val="left" w:pos="851"/>
        </w:tabs>
        <w:spacing w:before="120" w:after="120"/>
        <w:ind w:left="1276"/>
        <w:rPr>
          <w:rFonts w:cs="Calibri"/>
        </w:rPr>
      </w:pPr>
      <w:r w:rsidRPr="008542F0">
        <w:rPr>
          <w:rFonts w:cs="Calibri"/>
        </w:rPr>
        <w:t>wyciąg z wyodrębnionego na realizację projektu rachunku bankowego beneficjenta wskazujący wartość, co najmniej wkładu własnego wraz z o</w:t>
      </w:r>
      <w:r>
        <w:rPr>
          <w:rFonts w:cs="Calibri"/>
        </w:rPr>
        <w:t xml:space="preserve">świadczeniem  </w:t>
      </w:r>
      <w:r w:rsidRPr="008542F0">
        <w:rPr>
          <w:rFonts w:cs="Calibri"/>
        </w:rPr>
        <w:t>o wykorzystaniu środków na cele projektu,</w:t>
      </w:r>
    </w:p>
    <w:p w14:paraId="6973FA48" w14:textId="77777777" w:rsidR="009B4288" w:rsidRDefault="009B4288" w:rsidP="009B4288">
      <w:pPr>
        <w:pStyle w:val="Akapitzlist1"/>
        <w:numPr>
          <w:ilvl w:val="0"/>
          <w:numId w:val="58"/>
        </w:numPr>
        <w:tabs>
          <w:tab w:val="left" w:pos="851"/>
        </w:tabs>
        <w:spacing w:before="120" w:after="120"/>
        <w:ind w:left="1276"/>
        <w:contextualSpacing w:val="0"/>
        <w:rPr>
          <w:rFonts w:cs="Calibri"/>
        </w:rPr>
      </w:pPr>
      <w:r w:rsidRPr="008542F0">
        <w:rPr>
          <w:rFonts w:cs="Calibri"/>
        </w:rPr>
        <w:t xml:space="preserve">dokument z banku potwierdzający średnie saldo za trzy ostatnie miesiące (średnie saldo wyliczane jest z sumy środków znajdującej się na rachunku bieżącym w kolejnych dniach miesiąca podzielonej przez liczbę dni w danym miesiącu kalendarzowym),     </w:t>
      </w:r>
    </w:p>
    <w:p w14:paraId="21559DEF" w14:textId="77777777" w:rsidR="009B4288" w:rsidRDefault="009B4288" w:rsidP="009B4288">
      <w:pPr>
        <w:pStyle w:val="Akapitzlist1"/>
        <w:numPr>
          <w:ilvl w:val="0"/>
          <w:numId w:val="58"/>
        </w:numPr>
        <w:tabs>
          <w:tab w:val="left" w:pos="851"/>
        </w:tabs>
        <w:spacing w:before="120" w:after="120"/>
        <w:ind w:left="1276"/>
        <w:contextualSpacing w:val="0"/>
        <w:rPr>
          <w:rFonts w:cs="Calibri"/>
        </w:rPr>
      </w:pPr>
      <w:r w:rsidRPr="008542F0">
        <w:rPr>
          <w:rFonts w:cs="Calibri"/>
        </w:rPr>
        <w:t>o najmniej trzymiesięczna lokata terminowa (dokument potwierdzający lokatę powinien zawierać i</w:t>
      </w:r>
      <w:r>
        <w:rPr>
          <w:rFonts w:cs="Calibri"/>
        </w:rPr>
        <w:t xml:space="preserve">nformację </w:t>
      </w:r>
      <w:r w:rsidRPr="008542F0">
        <w:rPr>
          <w:rFonts w:cs="Calibri"/>
        </w:rPr>
        <w:t xml:space="preserve">o terminie założenia lokaty wraz z terminem jej zapadalności),     </w:t>
      </w:r>
    </w:p>
    <w:p w14:paraId="53C4BCB7" w14:textId="1DC210A2" w:rsidR="00886690" w:rsidRPr="009B4288" w:rsidRDefault="009B4288" w:rsidP="009B4288">
      <w:pPr>
        <w:pStyle w:val="Akapitzlist1"/>
        <w:numPr>
          <w:ilvl w:val="0"/>
          <w:numId w:val="58"/>
        </w:numPr>
        <w:tabs>
          <w:tab w:val="left" w:pos="851"/>
        </w:tabs>
        <w:spacing w:before="120" w:after="120"/>
        <w:ind w:left="1276"/>
        <w:contextualSpacing w:val="0"/>
        <w:rPr>
          <w:rFonts w:cs="Calibri"/>
        </w:rPr>
      </w:pPr>
      <w:r w:rsidRPr="008542F0">
        <w:rPr>
          <w:rFonts w:cs="Calibri"/>
        </w:rPr>
        <w:t>promesa bankowa, (w przypadku promesy warunkowej dokument będzie podlegał indywidualnej oce</w:t>
      </w:r>
      <w:r>
        <w:rPr>
          <w:rFonts w:cs="Calibri"/>
        </w:rPr>
        <w:t>nie</w:t>
      </w:r>
      <w:r w:rsidRPr="008542F0">
        <w:rPr>
          <w:rFonts w:cs="Calibri"/>
        </w:rPr>
        <w:t xml:space="preserve"> i akceptacji IZ RPO WSL w zakresie wskazanych przez bank warunków);</w:t>
      </w:r>
    </w:p>
    <w:p w14:paraId="5D8F23C9" w14:textId="77777777" w:rsidR="009B4288" w:rsidRPr="000313AF" w:rsidRDefault="00886690" w:rsidP="009B4288">
      <w:pPr>
        <w:pStyle w:val="Akapitzlist1"/>
        <w:numPr>
          <w:ilvl w:val="2"/>
          <w:numId w:val="17"/>
        </w:numPr>
        <w:tabs>
          <w:tab w:val="left" w:pos="851"/>
        </w:tabs>
        <w:spacing w:before="120" w:after="120"/>
        <w:jc w:val="both"/>
        <w:rPr>
          <w:rFonts w:cs="Calibri"/>
        </w:rPr>
      </w:pPr>
      <w:r w:rsidRPr="00E634E0">
        <w:rPr>
          <w:rFonts w:cs="Calibri"/>
        </w:rPr>
        <w:t>w przypadku beneficjentów, którzy nie są zobowiązani przepisami prawa do sporządzania Uchwały Budżetowej i Wieloletniej Prognozy Finansowej (np. NZOZ, MOSIR będący spółką prawa handlowego</w:t>
      </w:r>
      <w:r w:rsidR="009B4288">
        <w:rPr>
          <w:rFonts w:cs="Calibri"/>
        </w:rPr>
        <w:t xml:space="preserve">, </w:t>
      </w:r>
      <w:r w:rsidR="009B4288" w:rsidRPr="00E634E0">
        <w:rPr>
          <w:rFonts w:cs="Calibri"/>
        </w:rPr>
        <w:t xml:space="preserve"> </w:t>
      </w:r>
      <w:r w:rsidR="009B4288" w:rsidRPr="000313AF">
        <w:rPr>
          <w:rFonts w:cs="Calibri"/>
        </w:rPr>
        <w:t xml:space="preserve">stowarzyszenia i fundacje), dokumentem potwierdzającym posiadanie środków może być:         </w:t>
      </w:r>
    </w:p>
    <w:p w14:paraId="575CB481" w14:textId="77777777" w:rsidR="009B4288" w:rsidRPr="000313AF" w:rsidRDefault="009B4288" w:rsidP="009B4288">
      <w:pPr>
        <w:pStyle w:val="Akapitzlist1"/>
        <w:numPr>
          <w:ilvl w:val="0"/>
          <w:numId w:val="59"/>
        </w:numPr>
        <w:tabs>
          <w:tab w:val="left" w:pos="851"/>
        </w:tabs>
        <w:spacing w:before="120" w:after="120"/>
        <w:ind w:left="1276"/>
        <w:rPr>
          <w:rFonts w:cs="Calibri"/>
        </w:rPr>
      </w:pPr>
      <w:r w:rsidRPr="000313AF">
        <w:rPr>
          <w:rFonts w:cs="Calibri"/>
        </w:rPr>
        <w:t>Wieloletnia Prognoza Finansowa lub uchwała budżetowa podjęta przez organ założycielski pełniący nadzór i kontrolę nad podmiotem realizującym zadania jednostki samorządu terytorialnego,</w:t>
      </w:r>
    </w:p>
    <w:p w14:paraId="1A859494" w14:textId="77777777" w:rsidR="009B4288" w:rsidRPr="000313AF" w:rsidRDefault="009B4288" w:rsidP="009B4288">
      <w:pPr>
        <w:pStyle w:val="Akapitzlist1"/>
        <w:numPr>
          <w:ilvl w:val="0"/>
          <w:numId w:val="59"/>
        </w:numPr>
        <w:tabs>
          <w:tab w:val="left" w:pos="851"/>
        </w:tabs>
        <w:spacing w:before="120" w:after="120"/>
        <w:ind w:left="1276"/>
        <w:rPr>
          <w:rFonts w:cs="Calibri"/>
        </w:rPr>
      </w:pPr>
      <w:r w:rsidRPr="000313AF">
        <w:rPr>
          <w:rFonts w:cs="Calibri"/>
        </w:rPr>
        <w:t xml:space="preserve">wyciąg z wyodrębnionego na realizację projektu rachunku bankowego beneficjenta wskazujący wartość, co najmniej wkładu </w:t>
      </w:r>
      <w:r>
        <w:rPr>
          <w:rFonts w:cs="Calibri"/>
        </w:rPr>
        <w:t xml:space="preserve">własnego wraz z oświadczeniem  </w:t>
      </w:r>
      <w:r w:rsidRPr="000313AF">
        <w:rPr>
          <w:rFonts w:cs="Calibri"/>
        </w:rPr>
        <w:t xml:space="preserve">o wykorzystaniu środków na cele projektu, </w:t>
      </w:r>
    </w:p>
    <w:p w14:paraId="11A1B1D5" w14:textId="77777777" w:rsidR="009B4288" w:rsidRDefault="009B4288" w:rsidP="009B4288">
      <w:pPr>
        <w:pStyle w:val="Akapitzlist1"/>
        <w:numPr>
          <w:ilvl w:val="0"/>
          <w:numId w:val="59"/>
        </w:numPr>
        <w:tabs>
          <w:tab w:val="left" w:pos="851"/>
        </w:tabs>
        <w:spacing w:before="120" w:after="120"/>
        <w:ind w:left="1276"/>
        <w:contextualSpacing w:val="0"/>
        <w:rPr>
          <w:rFonts w:cs="Calibri"/>
          <w:noProof/>
        </w:rPr>
      </w:pPr>
      <w:r w:rsidRPr="000313AF">
        <w:rPr>
          <w:rFonts w:cs="Calibri"/>
        </w:rPr>
        <w:t xml:space="preserve">dokument z banku potwierdzający średnie saldo za trzy ostatnie miesiące (średnie saldo wyliczane jest z sumy środków znajdującej się na rachunku bieżącym w kolejnych dniach miesiąca podzielonej przez liczbę dni w danym miesiącu kalendarzowym,       </w:t>
      </w:r>
    </w:p>
    <w:p w14:paraId="032FF779" w14:textId="77777777" w:rsidR="009B4288" w:rsidRDefault="009B4288" w:rsidP="009B4288">
      <w:pPr>
        <w:pStyle w:val="Akapitzlist1"/>
        <w:numPr>
          <w:ilvl w:val="0"/>
          <w:numId w:val="59"/>
        </w:numPr>
        <w:tabs>
          <w:tab w:val="left" w:pos="851"/>
        </w:tabs>
        <w:spacing w:before="120" w:after="120"/>
        <w:ind w:left="1276"/>
        <w:contextualSpacing w:val="0"/>
        <w:rPr>
          <w:rFonts w:cs="Calibri"/>
          <w:noProof/>
        </w:rPr>
      </w:pPr>
      <w:r w:rsidRPr="000313AF">
        <w:rPr>
          <w:rFonts w:cs="Calibri"/>
        </w:rPr>
        <w:t>co najmniej trzymiesięczna lokata terminowa (dokument potwierdzający lokatę pow</w:t>
      </w:r>
      <w:r>
        <w:rPr>
          <w:rFonts w:cs="Calibri"/>
        </w:rPr>
        <w:t xml:space="preserve">inien zawierać informację  </w:t>
      </w:r>
      <w:r w:rsidRPr="000313AF">
        <w:rPr>
          <w:rFonts w:cs="Calibri"/>
        </w:rPr>
        <w:t xml:space="preserve">o terminie założenia lokaty wraz z terminem jej zapadalności),                                                                                                           </w:t>
      </w:r>
    </w:p>
    <w:p w14:paraId="62358E2F" w14:textId="77777777" w:rsidR="009B4288" w:rsidRDefault="009B4288" w:rsidP="009B4288">
      <w:pPr>
        <w:pStyle w:val="Akapitzlist1"/>
        <w:numPr>
          <w:ilvl w:val="0"/>
          <w:numId w:val="59"/>
        </w:numPr>
        <w:tabs>
          <w:tab w:val="left" w:pos="0"/>
          <w:tab w:val="left" w:pos="851"/>
        </w:tabs>
        <w:spacing w:before="120" w:after="120"/>
        <w:ind w:left="1276"/>
        <w:rPr>
          <w:rFonts w:cs="Calibri"/>
          <w:noProof/>
        </w:rPr>
      </w:pPr>
      <w:r w:rsidRPr="000313AF">
        <w:rPr>
          <w:rFonts w:cs="Calibri"/>
        </w:rPr>
        <w:t>promesa bankowa, (w przypadku promesy warunkowej dokument będzie podlegał indywidualnej ocenie i akceptacji IZ RPO WSL w zakresie wskazanych przez bank warunków</w:t>
      </w:r>
      <w:r>
        <w:rPr>
          <w:rFonts w:cs="Calibri"/>
        </w:rPr>
        <w:t>).</w:t>
      </w:r>
    </w:p>
    <w:p w14:paraId="3D88A38E" w14:textId="113C9E3C" w:rsidR="009C4541" w:rsidRDefault="009C4541" w:rsidP="009B4288">
      <w:pPr>
        <w:pStyle w:val="Akapitzlist1"/>
        <w:tabs>
          <w:tab w:val="left" w:pos="851"/>
        </w:tabs>
        <w:spacing w:before="120" w:after="120"/>
        <w:contextualSpacing w:val="0"/>
        <w:jc w:val="both"/>
        <w:rPr>
          <w:rFonts w:cs="Calibri"/>
          <w:noProof/>
        </w:rPr>
      </w:pPr>
    </w:p>
    <w:p w14:paraId="3DF747B7" w14:textId="51DE7C20"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wartość tych wydat</w:t>
      </w:r>
      <w:bookmarkStart w:id="127" w:name="_GoBack"/>
      <w:bookmarkEnd w:id="127"/>
      <w:r w:rsidRPr="00E634E0">
        <w:rPr>
          <w:rFonts w:cs="Calibri"/>
          <w:noProof/>
          <w:sz w:val="20"/>
          <w:szCs w:val="20"/>
        </w:rPr>
        <w:t xml:space="preserve">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lastRenderedPageBreak/>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w:t>
      </w:r>
      <w:r w:rsidRPr="00E634E0">
        <w:rPr>
          <w:rFonts w:cs="Calibri"/>
          <w:noProof/>
          <w:sz w:val="20"/>
          <w:szCs w:val="20"/>
        </w:rPr>
        <w:lastRenderedPageBreak/>
        <w:t xml:space="preserve">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6"/>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lastRenderedPageBreak/>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7"/>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8"/>
      </w:r>
      <w:r w:rsidRPr="00E634E0">
        <w:rPr>
          <w:rStyle w:val="Odwoanieprzypisudolnego"/>
          <w:rFonts w:cs="Calibri"/>
          <w:noProof/>
        </w:rPr>
        <w:footnoteReference w:id="19"/>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 xml:space="preserve">nioskodawca zobowiązany jest na etapie aplikowania </w:t>
      </w:r>
      <w:r w:rsidRPr="00BB46D6">
        <w:rPr>
          <w:rFonts w:asciiTheme="minorHAnsi" w:hAnsiTheme="minorHAnsi" w:cs="Calibri"/>
          <w:noProof/>
        </w:rPr>
        <w:lastRenderedPageBreak/>
        <w:t>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xml:space="preserve">, przyznanie dofinansowania, rozumiane jako zawarcie umowy o dofinansowanie projektu ze </w:t>
      </w:r>
      <w:r w:rsidRPr="005454DE">
        <w:rPr>
          <w:rFonts w:asciiTheme="minorHAnsi" w:hAnsiTheme="minorHAnsi" w:cs="Calibri"/>
          <w:noProof/>
        </w:rPr>
        <w:lastRenderedPageBreak/>
        <w:t>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lastRenderedPageBreak/>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lastRenderedPageBreak/>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95F3045"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265474">
        <w:rPr>
          <w:rFonts w:cs="Calibri"/>
          <w:noProof/>
        </w:rPr>
        <w:t xml:space="preserve"> </w:t>
      </w:r>
      <w:r w:rsidR="00265474" w:rsidRPr="00FD04EB">
        <w:rPr>
          <w:rFonts w:cs="Calibri"/>
          <w:noProof/>
        </w:rPr>
        <w:t>Certyfikat należy dołączyć do wniosku o dofinansowanie w przypadku, jeśli ten zakres projektu został zrealizowany przed złożeniem wniosku o dofinansowanie. W pozostałych przypadkach certyfikat może być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6C2206" w:rsidP="00B73740">
      <w:pPr>
        <w:pStyle w:val="Akapitzlist1"/>
        <w:tabs>
          <w:tab w:val="left" w:pos="1418"/>
        </w:tabs>
        <w:spacing w:before="120" w:after="120"/>
        <w:ind w:left="0"/>
        <w:contextualSpacing w:val="0"/>
        <w:jc w:val="both"/>
        <w:rPr>
          <w:rStyle w:val="Hipercze"/>
          <w:rFonts w:cs="Calibri"/>
          <w:noProof/>
        </w:rPr>
      </w:pPr>
      <w:hyperlink r:id="rId14"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 xml:space="preserve">Formularza nie należy dołączać, jeśli pomoc ma zostać udzielona dopiero na drugim poziomie. Przykładowo, gdy o dofinansowanie ubiega się JST, który samodzielnie nie będzie wykorzystywał instalacji PV, lecz udostępni </w:t>
      </w:r>
      <w:r w:rsidRPr="00E634E0">
        <w:rPr>
          <w:rFonts w:cs="Calibri"/>
          <w:noProof/>
        </w:rPr>
        <w:lastRenderedPageBreak/>
        <w:t>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6C2206" w:rsidP="00B73740">
      <w:pPr>
        <w:autoSpaceDE w:val="0"/>
        <w:autoSpaceDN w:val="0"/>
        <w:adjustRightInd w:val="0"/>
        <w:spacing w:before="120" w:after="120"/>
        <w:jc w:val="both"/>
        <w:rPr>
          <w:rStyle w:val="Hipercze"/>
          <w:rFonts w:cs="Calibri"/>
          <w:sz w:val="20"/>
          <w:szCs w:val="20"/>
        </w:rPr>
      </w:pPr>
      <w:hyperlink r:id="rId15"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73E4CFEC" w14:textId="77777777" w:rsidR="00790361" w:rsidRDefault="00790361" w:rsidP="00D80B36">
      <w:pPr>
        <w:spacing w:after="160"/>
        <w:jc w:val="both"/>
        <w:rPr>
          <w:sz w:val="20"/>
          <w:szCs w:val="20"/>
          <w:lang w:eastAsia="en-US"/>
        </w:rPr>
      </w:pPr>
      <w:r w:rsidRPr="00277583">
        <w:rPr>
          <w:sz w:val="20"/>
          <w:szCs w:val="20"/>
          <w:lang w:eastAsia="en-US"/>
        </w:rPr>
        <w:t xml:space="preserve">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w:t>
      </w:r>
      <w:r w:rsidRPr="00277583">
        <w:rPr>
          <w:sz w:val="20"/>
          <w:szCs w:val="20"/>
          <w:lang w:eastAsia="en-US"/>
        </w:rPr>
        <w:lastRenderedPageBreak/>
        <w:t>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6C2206" w:rsidP="00790361">
      <w:pPr>
        <w:spacing w:after="160" w:line="259" w:lineRule="auto"/>
        <w:jc w:val="both"/>
        <w:rPr>
          <w:sz w:val="20"/>
          <w:szCs w:val="20"/>
          <w:lang w:eastAsia="en-US"/>
        </w:rPr>
      </w:pPr>
      <w:hyperlink r:id="rId16"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0"/>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7CF86258"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lastRenderedPageBreak/>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lastRenderedPageBreak/>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lastRenderedPageBreak/>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1"/>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w:t>
      </w:r>
      <w:proofErr w:type="spellStart"/>
      <w:r w:rsidRPr="000A6DA9">
        <w:rPr>
          <w:rFonts w:cs="Calibri"/>
          <w:color w:val="000000"/>
          <w:sz w:val="20"/>
          <w:szCs w:val="20"/>
        </w:rPr>
        <w:t>grantobiorcą</w:t>
      </w:r>
      <w:proofErr w:type="spellEnd"/>
      <w:r w:rsidRPr="000A6DA9">
        <w:rPr>
          <w:rFonts w:cs="Calibri"/>
          <w:color w:val="000000"/>
          <w:sz w:val="20"/>
          <w:szCs w:val="20"/>
        </w:rPr>
        <w:t xml:space="preserve">.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w:t>
      </w:r>
      <w:proofErr w:type="spellStart"/>
      <w:r w:rsidRPr="000A6DA9">
        <w:rPr>
          <w:rFonts w:cs="Calibri"/>
          <w:color w:val="000000"/>
          <w:sz w:val="20"/>
          <w:szCs w:val="20"/>
        </w:rPr>
        <w:t>grantobiorcy</w:t>
      </w:r>
      <w:proofErr w:type="spellEnd"/>
      <w:r w:rsidRPr="000A6DA9">
        <w:rPr>
          <w:rFonts w:cs="Calibri"/>
          <w:color w:val="000000"/>
          <w:sz w:val="20"/>
          <w:szCs w:val="20"/>
        </w:rPr>
        <w:t xml:space="preserve">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 xml:space="preserve">zobligowanie </w:t>
      </w:r>
      <w:proofErr w:type="spellStart"/>
      <w:r w:rsidRPr="000A6DA9">
        <w:rPr>
          <w:sz w:val="20"/>
        </w:rPr>
        <w:t>grantobiorcy</w:t>
      </w:r>
      <w:proofErr w:type="spellEnd"/>
      <w:r w:rsidRPr="000A6DA9">
        <w:rPr>
          <w:sz w:val="20"/>
        </w:rPr>
        <w:t xml:space="preserve"> do złożenia  dokumentów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2"/>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3"/>
      </w:r>
      <w:r w:rsidRPr="000A6DA9">
        <w:rPr>
          <w:sz w:val="20"/>
          <w:szCs w:val="20"/>
          <w:lang w:eastAsia="ja-JP"/>
        </w:rPr>
        <w:t xml:space="preserve"> o nieprowadzeniu działalności gospodarczej lub oświadczenie w sprawie pomocy de </w:t>
      </w:r>
      <w:proofErr w:type="spellStart"/>
      <w:r w:rsidRPr="000A6DA9">
        <w:rPr>
          <w:sz w:val="20"/>
          <w:szCs w:val="20"/>
          <w:lang w:eastAsia="ja-JP"/>
        </w:rPr>
        <w:t>minimis</w:t>
      </w:r>
      <w:proofErr w:type="spellEnd"/>
      <w:r w:rsidRPr="000A6DA9">
        <w:rPr>
          <w:sz w:val="20"/>
          <w:szCs w:val="20"/>
          <w:lang w:eastAsia="ja-JP"/>
        </w:rPr>
        <w:t xml:space="preserve">,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w:t>
      </w:r>
      <w:proofErr w:type="spellStart"/>
      <w:r w:rsidRPr="000A6DA9">
        <w:rPr>
          <w:sz w:val="20"/>
          <w:szCs w:val="20"/>
          <w:lang w:eastAsia="ja-JP"/>
        </w:rPr>
        <w:t>grantobiorca</w:t>
      </w:r>
      <w:proofErr w:type="spellEnd"/>
      <w:r w:rsidRPr="000A6DA9">
        <w:rPr>
          <w:sz w:val="20"/>
          <w:szCs w:val="20"/>
          <w:lang w:eastAsia="ja-JP"/>
        </w:rPr>
        <w:t>)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w:t>
      </w:r>
      <w:proofErr w:type="spellStart"/>
      <w:r w:rsidRPr="000A6DA9">
        <w:rPr>
          <w:sz w:val="20"/>
          <w:szCs w:val="20"/>
          <w:lang w:eastAsia="ja-JP"/>
        </w:rPr>
        <w:t>grantobiorcy</w:t>
      </w:r>
      <w:proofErr w:type="spellEnd"/>
      <w:r w:rsidRPr="000A6DA9">
        <w:rPr>
          <w:sz w:val="20"/>
          <w:szCs w:val="20"/>
          <w:lang w:eastAsia="ja-JP"/>
        </w:rPr>
        <w:t xml:space="preserve"> o nie wykluczeniu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w:t>
      </w:r>
      <w:proofErr w:type="spellStart"/>
      <w:r w:rsidRPr="000A6DA9">
        <w:rPr>
          <w:sz w:val="20"/>
          <w:szCs w:val="20"/>
        </w:rPr>
        <w:t>grantobiorcą</w:t>
      </w:r>
      <w:proofErr w:type="spellEnd"/>
      <w:r w:rsidRPr="000A6DA9">
        <w:rPr>
          <w:sz w:val="20"/>
          <w:szCs w:val="20"/>
        </w:rPr>
        <w:t xml:space="preserve">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lastRenderedPageBreak/>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czynności, jakie beneficjent podejmie, w przypadku braku dobrowolnego zwrotu środków przez </w:t>
      </w:r>
      <w:proofErr w:type="spellStart"/>
      <w:r w:rsidRPr="000A6DA9">
        <w:rPr>
          <w:rFonts w:cs="Calibri"/>
          <w:color w:val="000000"/>
          <w:sz w:val="20"/>
        </w:rPr>
        <w:t>grantobiorcę</w:t>
      </w:r>
      <w:proofErr w:type="spellEnd"/>
      <w:r w:rsidRPr="000A6DA9">
        <w:rPr>
          <w:rFonts w:cs="Calibri"/>
          <w:color w:val="000000"/>
          <w:sz w:val="20"/>
        </w:rPr>
        <w:t>,</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wskazania sądu właściwego do rozstrzygania </w:t>
      </w:r>
      <w:proofErr w:type="spellStart"/>
      <w:r w:rsidRPr="000A6DA9">
        <w:rPr>
          <w:rFonts w:cs="Calibri"/>
          <w:color w:val="000000"/>
          <w:sz w:val="20"/>
          <w:szCs w:val="20"/>
        </w:rPr>
        <w:t>sporów,</w:t>
      </w:r>
      <w:r w:rsidRPr="000A6DA9">
        <w:rPr>
          <w:sz w:val="20"/>
          <w:szCs w:val="20"/>
        </w:rPr>
        <w:t>zagadnienia</w:t>
      </w:r>
      <w:proofErr w:type="spellEnd"/>
      <w:r w:rsidRPr="000A6DA9">
        <w:rPr>
          <w:sz w:val="20"/>
          <w:szCs w:val="20"/>
        </w:rPr>
        <w:t xml:space="preserve"> związane z przetwarzaniem danych osobowych </w:t>
      </w:r>
      <w:proofErr w:type="spellStart"/>
      <w:r w:rsidRPr="000A6DA9">
        <w:rPr>
          <w:sz w:val="20"/>
          <w:szCs w:val="20"/>
        </w:rPr>
        <w:t>grantobiorców</w:t>
      </w:r>
      <w:proofErr w:type="spellEnd"/>
      <w:r w:rsidRPr="000A6DA9">
        <w:rPr>
          <w:sz w:val="20"/>
          <w:szCs w:val="20"/>
        </w:rPr>
        <w:t xml:space="preserve"> zgodnie przepisami prawa powszechnie obowiązującego o ochronie danych osobowych, w szczególności z przepisami RODO, w tym również w zakresie  wyrażenia zgody </w:t>
      </w:r>
      <w:proofErr w:type="spellStart"/>
      <w:r w:rsidRPr="000A6DA9">
        <w:rPr>
          <w:sz w:val="20"/>
          <w:szCs w:val="20"/>
        </w:rPr>
        <w:t>grantobiorcy</w:t>
      </w:r>
      <w:proofErr w:type="spellEnd"/>
      <w:r w:rsidRPr="000A6DA9">
        <w:rPr>
          <w:sz w:val="20"/>
          <w:szCs w:val="20"/>
        </w:rPr>
        <w:t xml:space="preserve">  </w:t>
      </w:r>
      <w:r w:rsidRPr="000A6DA9">
        <w:rPr>
          <w:rFonts w:cs="Calibri"/>
          <w:color w:val="000000"/>
          <w:sz w:val="20"/>
          <w:szCs w:val="20"/>
        </w:rPr>
        <w:t xml:space="preserve">na uczestnictwo w wywiadach, ankietach i panelach w ramach ewaluacji, badań i analiz, itp. </w:t>
      </w:r>
    </w:p>
    <w:p w14:paraId="211DD706" w14:textId="77777777" w:rsidR="0057183C" w:rsidRPr="000A6DA9" w:rsidRDefault="0057183C" w:rsidP="0057183C">
      <w:pPr>
        <w:spacing w:after="0" w:line="240" w:lineRule="auto"/>
        <w:jc w:val="both"/>
        <w:rPr>
          <w:b/>
          <w:sz w:val="20"/>
          <w:szCs w:val="20"/>
        </w:rPr>
      </w:pPr>
    </w:p>
    <w:p w14:paraId="10CEBC0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60F160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496864381"/>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496864382"/>
      <w:r w:rsidRPr="00E634E0">
        <w:lastRenderedPageBreak/>
        <w:t>I. ZAŁĄCZNIKI GENEROWANE W SYSTEMIE</w:t>
      </w:r>
      <w:bookmarkEnd w:id="129"/>
    </w:p>
    <w:p w14:paraId="7BE50DE1" w14:textId="77777777" w:rsidR="00886690" w:rsidRPr="00E634E0" w:rsidRDefault="00886690" w:rsidP="00E354DA">
      <w:pPr>
        <w:pStyle w:val="Pole"/>
      </w:pPr>
      <w:bookmarkStart w:id="130" w:name="_Toc496864383"/>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lastRenderedPageBreak/>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6C2206" w:rsidP="009C50B8">
      <w:pPr>
        <w:spacing w:after="120"/>
        <w:ind w:left="567"/>
        <w:jc w:val="both"/>
        <w:rPr>
          <w:rFonts w:cs="Calibri"/>
          <w:sz w:val="20"/>
          <w:szCs w:val="20"/>
        </w:rPr>
      </w:pPr>
      <w:hyperlink r:id="rId17"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w:t>
      </w:r>
      <w:r w:rsidRPr="00732F45">
        <w:rPr>
          <w:rFonts w:cs="Calibri"/>
          <w:sz w:val="20"/>
          <w:szCs w:val="20"/>
        </w:rPr>
        <w:lastRenderedPageBreak/>
        <w:t xml:space="preserve">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lastRenderedPageBreak/>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lastRenderedPageBreak/>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6C2206" w:rsidP="00585AB6">
      <w:pPr>
        <w:pStyle w:val="Akapitzlist1"/>
        <w:spacing w:before="120" w:after="120"/>
        <w:ind w:left="0"/>
        <w:contextualSpacing w:val="0"/>
        <w:jc w:val="both"/>
        <w:rPr>
          <w:rFonts w:cs="Calibri"/>
          <w:noProof/>
        </w:rPr>
      </w:pPr>
      <w:hyperlink r:id="rId19"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lastRenderedPageBreak/>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F152F"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7D88D7"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w:t>
      </w:r>
      <w:r w:rsidRPr="00E634E0">
        <w:rPr>
          <w:rFonts w:cs="Calibri"/>
          <w:b/>
          <w:bCs/>
          <w:sz w:val="20"/>
          <w:szCs w:val="20"/>
        </w:rPr>
        <w:lastRenderedPageBreak/>
        <w:t xml:space="preserve">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5"/>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2548" w14:textId="77777777" w:rsidR="00154ED1" w:rsidRDefault="00154ED1" w:rsidP="00416763">
      <w:pPr>
        <w:spacing w:after="0" w:line="240" w:lineRule="auto"/>
      </w:pPr>
      <w:r>
        <w:separator/>
      </w:r>
    </w:p>
  </w:endnote>
  <w:endnote w:type="continuationSeparator" w:id="0">
    <w:p w14:paraId="4C3A3EBF" w14:textId="77777777" w:rsidR="00154ED1" w:rsidRDefault="00154ED1"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21002A87" w:usb1="00000000" w:usb2="00000000"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17B4" w14:textId="3A51B167" w:rsidR="00951238" w:rsidRDefault="00951238">
    <w:pPr>
      <w:pStyle w:val="Stopka"/>
      <w:jc w:val="right"/>
    </w:pPr>
    <w:r>
      <w:fldChar w:fldCharType="begin"/>
    </w:r>
    <w:r>
      <w:instrText>PAGE   \* MERGEFORMAT</w:instrText>
    </w:r>
    <w:r>
      <w:fldChar w:fldCharType="separate"/>
    </w:r>
    <w:r w:rsidR="009B4288">
      <w:rPr>
        <w:noProof/>
      </w:rPr>
      <w:t>59</w:t>
    </w:r>
    <w:r>
      <w:fldChar w:fldCharType="end"/>
    </w:r>
  </w:p>
  <w:p w14:paraId="7FBF4BE6" w14:textId="77777777" w:rsidR="00951238" w:rsidRDefault="00951238"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FFFB" w14:textId="77777777" w:rsidR="00154ED1" w:rsidRDefault="00154ED1" w:rsidP="00416763">
      <w:pPr>
        <w:spacing w:after="0" w:line="240" w:lineRule="auto"/>
      </w:pPr>
      <w:r>
        <w:separator/>
      </w:r>
    </w:p>
  </w:footnote>
  <w:footnote w:type="continuationSeparator" w:id="0">
    <w:p w14:paraId="66768027" w14:textId="77777777" w:rsidR="00154ED1" w:rsidRDefault="00154ED1" w:rsidP="00416763">
      <w:pPr>
        <w:spacing w:after="0" w:line="240" w:lineRule="auto"/>
      </w:pPr>
      <w:r>
        <w:continuationSeparator/>
      </w:r>
    </w:p>
  </w:footnote>
  <w:footnote w:id="1">
    <w:p w14:paraId="29BA0ACB" w14:textId="77777777" w:rsidR="00951238" w:rsidRDefault="00951238"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951238" w:rsidRDefault="00951238">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951238" w:rsidRDefault="00951238"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951238" w:rsidRDefault="00951238">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951238" w:rsidRPr="00460FD1" w:rsidRDefault="00951238"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951238" w:rsidRPr="00460FD1" w:rsidRDefault="006C2206" w:rsidP="00460FD1">
      <w:pPr>
        <w:pStyle w:val="Tekstprzypisudolnego"/>
        <w:jc w:val="both"/>
        <w:rPr>
          <w:sz w:val="18"/>
        </w:rPr>
      </w:pPr>
      <w:hyperlink r:id="rId1" w:history="1">
        <w:r w:rsidR="00951238"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951238" w:rsidRDefault="006C2206" w:rsidP="00460FD1">
      <w:pPr>
        <w:pStyle w:val="Tekstprzypisudolnego"/>
        <w:jc w:val="both"/>
      </w:pPr>
      <w:hyperlink r:id="rId2" w:history="1">
        <w:r w:rsidR="00951238"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951238" w:rsidRPr="00460FD1">
        <w:rPr>
          <w:sz w:val="18"/>
        </w:rPr>
        <w:t xml:space="preserve"> </w:t>
      </w:r>
    </w:p>
  </w:footnote>
  <w:footnote w:id="6">
    <w:p w14:paraId="4B17E4A7" w14:textId="77777777" w:rsidR="00425C14" w:rsidRPr="000647EE" w:rsidRDefault="00425C14" w:rsidP="00425C14">
      <w:pPr>
        <w:pStyle w:val="Tekstprzypisudolnego"/>
        <w:jc w:val="both"/>
      </w:pPr>
      <w:r>
        <w:rPr>
          <w:rStyle w:val="Odwoanieprzypisudolnego"/>
          <w:rFonts w:eastAsiaTheme="majorEastAsia"/>
        </w:rPr>
        <w:footnoteRef/>
      </w:r>
      <w:r w:rsidRPr="000647EE">
        <w:t xml:space="preserve"> </w:t>
      </w:r>
      <w:r w:rsidRPr="000647EE">
        <w:rPr>
          <w:rFonts w:asciiTheme="minorHAnsi" w:hAnsiTheme="minorHAnsi" w:cs="Calibri"/>
          <w:color w:val="000000"/>
        </w:rPr>
        <w:t>http://eur-lex.europa.eu/legal-content/PL/TXT/?uri=celex:52013DC0913</w:t>
      </w:r>
    </w:p>
  </w:footnote>
  <w:footnote w:id="7">
    <w:p w14:paraId="6EABC357" w14:textId="77777777" w:rsidR="00425C14" w:rsidRPr="00D53B07" w:rsidRDefault="00425C14" w:rsidP="00425C14">
      <w:pPr>
        <w:pStyle w:val="Tekstprzypisudolnego"/>
        <w:jc w:val="both"/>
      </w:pPr>
      <w:r>
        <w:rPr>
          <w:rStyle w:val="Odwoanieprzypisudolnego"/>
          <w:rFonts w:eastAsiaTheme="majorEastAsia"/>
        </w:rPr>
        <w:footnoteRef/>
      </w:r>
      <w:r w:rsidRPr="00D53B07">
        <w:t xml:space="preserve"> </w:t>
      </w:r>
      <w:r w:rsidRPr="00D53B07">
        <w:rPr>
          <w:rFonts w:asciiTheme="minorHAnsi" w:hAnsiTheme="minorHAnsi" w:cs="Calibri"/>
          <w:color w:val="000000"/>
        </w:rPr>
        <w:t>www.eltis.org/sites/eltis/files/BUMP_Guidelines_PL.pdf</w:t>
      </w:r>
    </w:p>
  </w:footnote>
  <w:footnote w:id="8">
    <w:p w14:paraId="76A002A2" w14:textId="107C397A" w:rsidR="00951238" w:rsidRPr="00DC6F60" w:rsidRDefault="00951238"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9">
    <w:p w14:paraId="739203D3" w14:textId="77777777" w:rsidR="00951238" w:rsidRPr="00DC6F60" w:rsidRDefault="00951238"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0">
    <w:p w14:paraId="43A9A2F9" w14:textId="77777777" w:rsidR="00951238" w:rsidRDefault="00951238"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1">
    <w:p w14:paraId="32DB1ACC" w14:textId="3A483EF1" w:rsidR="00951238" w:rsidRDefault="00951238">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2">
    <w:p w14:paraId="296EA840" w14:textId="77777777" w:rsidR="00951238" w:rsidRDefault="00951238">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3">
    <w:p w14:paraId="153957AD" w14:textId="77777777" w:rsidR="00951238" w:rsidRPr="00B04F16" w:rsidRDefault="00951238"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951238" w:rsidRPr="00B04F16" w:rsidRDefault="00951238" w:rsidP="00B04F16">
      <w:pPr>
        <w:pStyle w:val="Tekstprzypisudolnego"/>
        <w:jc w:val="both"/>
        <w:rPr>
          <w:sz w:val="18"/>
        </w:rPr>
      </w:pPr>
      <w:r w:rsidRPr="00B04F16">
        <w:rPr>
          <w:sz w:val="18"/>
        </w:rPr>
        <w:t>-są projektami rewitalizacyjnymi (zgodnie z def. określoną w Regulaminie konkursu),</w:t>
      </w:r>
    </w:p>
    <w:p w14:paraId="1AD71FB3" w14:textId="77777777" w:rsidR="00951238" w:rsidRPr="00B04F16" w:rsidRDefault="00951238" w:rsidP="00B04F16">
      <w:pPr>
        <w:pStyle w:val="Tekstprzypisudolnego"/>
        <w:jc w:val="both"/>
        <w:rPr>
          <w:sz w:val="18"/>
        </w:rPr>
      </w:pPr>
      <w:r w:rsidRPr="00B04F16">
        <w:rPr>
          <w:sz w:val="18"/>
        </w:rPr>
        <w:t>-nie są objęte pomocą publiczną, w tym rekompensatą,</w:t>
      </w:r>
    </w:p>
    <w:p w14:paraId="49E7D69E" w14:textId="77777777" w:rsidR="00951238" w:rsidRPr="00B04F16" w:rsidRDefault="00951238" w:rsidP="00B04F16">
      <w:pPr>
        <w:pStyle w:val="Tekstprzypisudolnego"/>
        <w:jc w:val="both"/>
        <w:rPr>
          <w:sz w:val="18"/>
        </w:rPr>
      </w:pPr>
      <w:r w:rsidRPr="00B04F16">
        <w:rPr>
          <w:sz w:val="18"/>
        </w:rPr>
        <w:t>-nie są objęte pomocą de minimis,</w:t>
      </w:r>
    </w:p>
    <w:p w14:paraId="5E2134E7" w14:textId="77777777" w:rsidR="00951238" w:rsidRDefault="00951238" w:rsidP="00B04F16">
      <w:pPr>
        <w:pStyle w:val="Tekstprzypisudolnego"/>
        <w:jc w:val="both"/>
      </w:pPr>
      <w:r w:rsidRPr="00B04F16">
        <w:rPr>
          <w:sz w:val="18"/>
        </w:rPr>
        <w:t>-nie są projektami generującymi dochód w rozumieniu art. 61 rozporządzenia nr 1303/2013</w:t>
      </w:r>
      <w:r>
        <w:rPr>
          <w:sz w:val="18"/>
        </w:rPr>
        <w:t>.</w:t>
      </w:r>
    </w:p>
  </w:footnote>
  <w:footnote w:id="14">
    <w:p w14:paraId="3AF76307" w14:textId="77777777" w:rsidR="00951238" w:rsidRDefault="00951238"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5">
    <w:p w14:paraId="5E0AC1A8" w14:textId="1C0348D6" w:rsidR="00951238" w:rsidRDefault="00951238"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6">
    <w:p w14:paraId="3F9EC69B" w14:textId="77777777" w:rsidR="00951238" w:rsidRDefault="00951238">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7">
    <w:p w14:paraId="4935F197" w14:textId="77777777" w:rsidR="00951238" w:rsidRDefault="00951238">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8">
    <w:p w14:paraId="3581FA0F" w14:textId="77777777" w:rsidR="00951238" w:rsidRDefault="00951238">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9">
    <w:p w14:paraId="5662E0DF" w14:textId="77777777" w:rsidR="00951238" w:rsidRDefault="00951238">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0">
    <w:p w14:paraId="2A59B988" w14:textId="77777777" w:rsidR="00951238" w:rsidRPr="00796FBB" w:rsidRDefault="00951238"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1">
    <w:p w14:paraId="4F2F6D2C" w14:textId="77777777" w:rsidR="00951238" w:rsidRDefault="00951238"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2">
    <w:p w14:paraId="3657D62B" w14:textId="77777777" w:rsidR="00951238" w:rsidRPr="00AA043B" w:rsidRDefault="00951238"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3">
    <w:p w14:paraId="62BFF11B" w14:textId="77777777" w:rsidR="00951238" w:rsidRPr="00E827BC" w:rsidRDefault="00951238"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2B46A3"/>
    <w:multiLevelType w:val="hybridMultilevel"/>
    <w:tmpl w:val="8BA4AE38"/>
    <w:lvl w:ilvl="0" w:tplc="04150017">
      <w:start w:val="1"/>
      <w:numFmt w:val="lowerLetter"/>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14"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5"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8"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6F3CBA"/>
    <w:multiLevelType w:val="hybridMultilevel"/>
    <w:tmpl w:val="9C0E3C40"/>
    <w:lvl w:ilvl="0" w:tplc="04150017">
      <w:start w:val="1"/>
      <w:numFmt w:val="lowerLetter"/>
      <w:lvlText w:val="%1)"/>
      <w:lvlJc w:val="left"/>
      <w:pPr>
        <w:ind w:left="1610" w:hanging="360"/>
      </w:p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21"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3"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4"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5"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7"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7"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3"/>
  </w:num>
  <w:num w:numId="2">
    <w:abstractNumId w:val="30"/>
  </w:num>
  <w:num w:numId="3">
    <w:abstractNumId w:val="41"/>
  </w:num>
  <w:num w:numId="4">
    <w:abstractNumId w:val="55"/>
  </w:num>
  <w:num w:numId="5">
    <w:abstractNumId w:val="21"/>
  </w:num>
  <w:num w:numId="6">
    <w:abstractNumId w:val="8"/>
  </w:num>
  <w:num w:numId="7">
    <w:abstractNumId w:val="50"/>
  </w:num>
  <w:num w:numId="8">
    <w:abstractNumId w:val="22"/>
  </w:num>
  <w:num w:numId="9">
    <w:abstractNumId w:val="43"/>
  </w:num>
  <w:num w:numId="10">
    <w:abstractNumId w:val="44"/>
  </w:num>
  <w:num w:numId="11">
    <w:abstractNumId w:val="57"/>
  </w:num>
  <w:num w:numId="12">
    <w:abstractNumId w:val="47"/>
  </w:num>
  <w:num w:numId="13">
    <w:abstractNumId w:val="34"/>
  </w:num>
  <w:num w:numId="14">
    <w:abstractNumId w:val="26"/>
  </w:num>
  <w:num w:numId="15">
    <w:abstractNumId w:val="51"/>
  </w:num>
  <w:num w:numId="16">
    <w:abstractNumId w:val="24"/>
  </w:num>
  <w:num w:numId="17">
    <w:abstractNumId w:val="11"/>
  </w:num>
  <w:num w:numId="18">
    <w:abstractNumId w:val="2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0"/>
  </w:num>
  <w:num w:numId="21">
    <w:abstractNumId w:val="23"/>
  </w:num>
  <w:num w:numId="22">
    <w:abstractNumId w:val="42"/>
  </w:num>
  <w:num w:numId="23">
    <w:abstractNumId w:val="12"/>
  </w:num>
  <w:num w:numId="24">
    <w:abstractNumId w:val="16"/>
  </w:num>
  <w:num w:numId="25">
    <w:abstractNumId w:val="27"/>
  </w:num>
  <w:num w:numId="26">
    <w:abstractNumId w:val="1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7"/>
  </w:num>
  <w:num w:numId="30">
    <w:abstractNumId w:val="19"/>
  </w:num>
  <w:num w:numId="31">
    <w:abstractNumId w:val="45"/>
  </w:num>
  <w:num w:numId="32">
    <w:abstractNumId w:val="35"/>
  </w:num>
  <w:num w:numId="33">
    <w:abstractNumId w:val="38"/>
  </w:num>
  <w:num w:numId="34">
    <w:abstractNumId w:val="1"/>
  </w:num>
  <w:num w:numId="35">
    <w:abstractNumId w:val="9"/>
  </w:num>
  <w:num w:numId="36">
    <w:abstractNumId w:val="56"/>
  </w:num>
  <w:num w:numId="37">
    <w:abstractNumId w:val="36"/>
  </w:num>
  <w:num w:numId="38">
    <w:abstractNumId w:val="5"/>
  </w:num>
  <w:num w:numId="39">
    <w:abstractNumId w:val="17"/>
  </w:num>
  <w:num w:numId="40">
    <w:abstractNumId w:val="10"/>
  </w:num>
  <w:num w:numId="41">
    <w:abstractNumId w:val="52"/>
  </w:num>
  <w:num w:numId="42">
    <w:abstractNumId w:val="33"/>
  </w:num>
  <w:num w:numId="43">
    <w:abstractNumId w:val="4"/>
  </w:num>
  <w:num w:numId="44">
    <w:abstractNumId w:val="15"/>
  </w:num>
  <w:num w:numId="45">
    <w:abstractNumId w:val="37"/>
  </w:num>
  <w:num w:numId="46">
    <w:abstractNumId w:val="18"/>
  </w:num>
  <w:num w:numId="47">
    <w:abstractNumId w:val="2"/>
  </w:num>
  <w:num w:numId="48">
    <w:abstractNumId w:val="6"/>
  </w:num>
  <w:num w:numId="49">
    <w:abstractNumId w:val="39"/>
  </w:num>
  <w:num w:numId="50">
    <w:abstractNumId w:val="54"/>
  </w:num>
  <w:num w:numId="51">
    <w:abstractNumId w:val="31"/>
  </w:num>
  <w:num w:numId="52">
    <w:abstractNumId w:val="48"/>
  </w:num>
  <w:num w:numId="53">
    <w:abstractNumId w:val="29"/>
  </w:num>
  <w:num w:numId="54">
    <w:abstractNumId w:val="40"/>
  </w:num>
  <w:num w:numId="55">
    <w:abstractNumId w:val="3"/>
  </w:num>
  <w:num w:numId="56">
    <w:abstractNumId w:val="49"/>
  </w:num>
  <w:num w:numId="57">
    <w:abstractNumId w:val="58"/>
  </w:num>
  <w:num w:numId="58">
    <w:abstractNumId w:val="20"/>
  </w:num>
  <w:num w:numId="59">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3D0"/>
    <w:rsid w:val="0007398E"/>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4ED1"/>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060"/>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572"/>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474"/>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0FFA"/>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5C14"/>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0FE"/>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C1"/>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206"/>
    <w:rsid w:val="006C2553"/>
    <w:rsid w:val="006C2EEF"/>
    <w:rsid w:val="006C4449"/>
    <w:rsid w:val="006C53B0"/>
    <w:rsid w:val="006C5F47"/>
    <w:rsid w:val="006C669B"/>
    <w:rsid w:val="006C69AE"/>
    <w:rsid w:val="006C6BF8"/>
    <w:rsid w:val="006C6E3C"/>
    <w:rsid w:val="006C713B"/>
    <w:rsid w:val="006D0055"/>
    <w:rsid w:val="006D0DBC"/>
    <w:rsid w:val="006D0F4D"/>
    <w:rsid w:val="006D1AC6"/>
    <w:rsid w:val="006D22F8"/>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610"/>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1238"/>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288"/>
    <w:rsid w:val="009B4DB1"/>
    <w:rsid w:val="009B5162"/>
    <w:rsid w:val="009B693F"/>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8E1"/>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50F"/>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BD"/>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5B04"/>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2FA5"/>
    <w:rsid w:val="00BF3066"/>
    <w:rsid w:val="00BF371C"/>
    <w:rsid w:val="00BF3E94"/>
    <w:rsid w:val="00BF4356"/>
    <w:rsid w:val="00BF46BD"/>
    <w:rsid w:val="00BF49E9"/>
    <w:rsid w:val="00BF4CB0"/>
    <w:rsid w:val="00BF598E"/>
    <w:rsid w:val="00BF65B3"/>
    <w:rsid w:val="00BF6909"/>
    <w:rsid w:val="00BF6CA1"/>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94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0ED6"/>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2904"/>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34C"/>
    <w:rsid w:val="00F32A29"/>
    <w:rsid w:val="00F359A7"/>
    <w:rsid w:val="00F35B92"/>
    <w:rsid w:val="00F35CA9"/>
    <w:rsid w:val="00F35F7D"/>
    <w:rsid w:val="00F3656A"/>
    <w:rsid w:val="00F36E31"/>
    <w:rsid w:val="00F410B6"/>
    <w:rsid w:val="00F430E1"/>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2A8"/>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F5AB2228-09FE-4A2F-A8AA-5D3263F5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ur-lex.europa.eu/LexUriServ/LexUriServ.do?uri=CELEX:62002TJ0137:P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okik.gov.pl/stopa_referencyjna_i_archiwum.php"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uokik.gov.pl/wzor_formularza_inna_niz_pomoc_de_minimis.php" TargetMode="External"/><Relationship Id="rId23" Type="http://schemas.openxmlformats.org/officeDocument/2006/relationships/image" Target="media/image8.png"/><Relationship Id="rId10" Type="http://schemas.openxmlformats.org/officeDocument/2006/relationships/hyperlink" Target="http://ec.europa.eu/competition/state_aid/modernisation/notice_aid_en.html" TargetMode="External"/><Relationship Id="rId19" Type="http://schemas.openxmlformats.org/officeDocument/2006/relationships/hyperlink" Target="https://ec.europa.eu/docsroom/documents/15582/attachments/1/translations/pl/renditions/pdf" TargetMode="Externa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uokik.gov.pl/wzory_formularzy_pomocy_de_minimis.php"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3F45-F96D-42B8-AF74-7C22A864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1181</TotalTime>
  <Pages>81</Pages>
  <Words>39678</Words>
  <Characters>238071</Characters>
  <Application>Microsoft Office Word</Application>
  <DocSecurity>0</DocSecurity>
  <Lines>1983</Lines>
  <Paragraphs>554</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277195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Musiał Ewelina</cp:lastModifiedBy>
  <cp:revision>192</cp:revision>
  <cp:lastPrinted>2019-02-22T12:30:00Z</cp:lastPrinted>
  <dcterms:created xsi:type="dcterms:W3CDTF">2019-01-18T12:09:00Z</dcterms:created>
  <dcterms:modified xsi:type="dcterms:W3CDTF">2021-02-01T08:41:00Z</dcterms:modified>
</cp:coreProperties>
</file>