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41" w:rsidRDefault="00783241" w:rsidP="00E925E7">
      <w:pPr>
        <w:spacing w:after="0" w:line="240" w:lineRule="auto"/>
        <w:contextualSpacing/>
        <w:jc w:val="center"/>
        <w:rPr>
          <w:b/>
        </w:rPr>
      </w:pPr>
    </w:p>
    <w:p w:rsidR="00783241" w:rsidRDefault="00783241" w:rsidP="0078324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249" w:rsidRPr="00783241" w:rsidRDefault="00235249" w:rsidP="0078324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3241">
        <w:rPr>
          <w:rFonts w:ascii="Arial" w:hAnsi="Arial" w:cs="Arial"/>
          <w:b/>
          <w:sz w:val="24"/>
          <w:szCs w:val="24"/>
        </w:rPr>
        <w:t xml:space="preserve">Zestawienie </w:t>
      </w:r>
      <w:r w:rsidR="00783241" w:rsidRPr="00783241">
        <w:rPr>
          <w:rFonts w:ascii="Arial" w:hAnsi="Arial" w:cs="Arial"/>
          <w:b/>
          <w:sz w:val="24"/>
          <w:szCs w:val="24"/>
        </w:rPr>
        <w:t xml:space="preserve">najczęściej </w:t>
      </w:r>
      <w:r w:rsidR="004D60C9">
        <w:rPr>
          <w:rFonts w:ascii="Arial" w:hAnsi="Arial" w:cs="Arial"/>
          <w:b/>
          <w:sz w:val="24"/>
          <w:szCs w:val="24"/>
        </w:rPr>
        <w:t>poruszanych zagadnień</w:t>
      </w:r>
      <w:r w:rsidRPr="00783241">
        <w:rPr>
          <w:rFonts w:ascii="Arial" w:hAnsi="Arial" w:cs="Arial"/>
          <w:b/>
          <w:sz w:val="24"/>
          <w:szCs w:val="24"/>
        </w:rPr>
        <w:t xml:space="preserve"> – materiał zebrany od członków Podgrupy ds. programowania PT</w:t>
      </w:r>
    </w:p>
    <w:p w:rsidR="00235249" w:rsidRPr="00783241" w:rsidRDefault="00235249" w:rsidP="0078324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6367"/>
        <w:gridCol w:w="6946"/>
      </w:tblGrid>
      <w:tr w:rsidR="00783241" w:rsidRPr="00783241" w:rsidTr="00FD011D">
        <w:tc>
          <w:tcPr>
            <w:tcW w:w="643" w:type="dxa"/>
            <w:shd w:val="clear" w:color="auto" w:fill="BFBFBF" w:themeFill="background1" w:themeFillShade="BF"/>
          </w:tcPr>
          <w:p w:rsidR="00783241" w:rsidRPr="00783241" w:rsidRDefault="00783241" w:rsidP="00783241">
            <w:pPr>
              <w:spacing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8324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783241" w:rsidRPr="00783241" w:rsidRDefault="004D60C9" w:rsidP="00783241">
            <w:pPr>
              <w:spacing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Zagadnienie</w:t>
            </w:r>
            <w:r w:rsidR="00783241" w:rsidRPr="0078324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783241" w:rsidRPr="00783241" w:rsidRDefault="004D60C9" w:rsidP="00783241">
            <w:pPr>
              <w:spacing w:after="120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Wyjaśnienie</w:t>
            </w:r>
            <w:r w:rsidR="00783241" w:rsidRPr="0078324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83241" w:rsidRPr="00783241" w:rsidTr="00FD011D">
        <w:tc>
          <w:tcPr>
            <w:tcW w:w="643" w:type="dxa"/>
            <w:vAlign w:val="center"/>
          </w:tcPr>
          <w:p w:rsidR="00783241" w:rsidRPr="00783241" w:rsidRDefault="00783241" w:rsidP="00114D64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2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67" w:type="dxa"/>
            <w:vAlign w:val="center"/>
          </w:tcPr>
          <w:p w:rsidR="00783241" w:rsidRPr="00783241" w:rsidRDefault="00266F42" w:rsidP="004D60C9">
            <w:pPr>
              <w:overflowPunct w:val="0"/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rozliczania PT na poziomie Polska-KE</w:t>
            </w:r>
          </w:p>
        </w:tc>
        <w:tc>
          <w:tcPr>
            <w:tcW w:w="6946" w:type="dxa"/>
          </w:tcPr>
          <w:p w:rsidR="00783241" w:rsidRPr="00783241" w:rsidRDefault="00F37C12" w:rsidP="00F37C12">
            <w:pPr>
              <w:spacing w:after="120" w:line="360" w:lineRule="auto"/>
              <w:contextualSpacing/>
            </w:pPr>
            <w:r w:rsidRPr="00F37C12">
              <w:rPr>
                <w:rFonts w:ascii="Arial" w:hAnsi="Arial" w:cs="Arial"/>
                <w:sz w:val="24"/>
                <w:szCs w:val="24"/>
              </w:rPr>
              <w:t>Polska będzie rozliczać PT z Komisją Europejską na podstawie kosztów rzeczywistych (zgodnie z Art. 46 (b) projektu rozporządzenia ogólnego). To rozwiązanie nie wyklucza jednak stosowania kosztów uproszczonych w rozliczeniach z beneficjentami.</w:t>
            </w:r>
            <w:r w:rsidR="00783241" w:rsidRPr="00DC31FC">
              <w:t xml:space="preserve"> </w:t>
            </w:r>
          </w:p>
        </w:tc>
      </w:tr>
      <w:tr w:rsidR="00783241" w:rsidRPr="00783241" w:rsidTr="00FD011D">
        <w:tc>
          <w:tcPr>
            <w:tcW w:w="643" w:type="dxa"/>
            <w:vAlign w:val="center"/>
          </w:tcPr>
          <w:p w:rsidR="00783241" w:rsidRPr="00783241" w:rsidRDefault="00F37C12" w:rsidP="00114D64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83241" w:rsidRPr="007832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7" w:type="dxa"/>
            <w:vAlign w:val="center"/>
          </w:tcPr>
          <w:p w:rsidR="00783241" w:rsidRPr="00783241" w:rsidRDefault="004D60C9" w:rsidP="00F37C12">
            <w:pPr>
              <w:spacing w:after="120"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Stosowanie kosztów uproszczonych w </w:t>
            </w:r>
            <w:r w:rsidR="00F37C12">
              <w:rPr>
                <w:rFonts w:ascii="Arial" w:hAnsi="Arial" w:cs="Arial"/>
                <w:color w:val="000000"/>
                <w:sz w:val="24"/>
                <w:szCs w:val="24"/>
              </w:rPr>
              <w:t>PT w rozliczeniach z beneficjentami</w:t>
            </w:r>
          </w:p>
        </w:tc>
        <w:tc>
          <w:tcPr>
            <w:tcW w:w="6946" w:type="dxa"/>
          </w:tcPr>
          <w:p w:rsidR="004D60C9" w:rsidRPr="004D60C9" w:rsidRDefault="004D60C9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Założeniem kosztów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 uproszczonych jest zmniejszenie obciążenia administracyjnego. Komisja Europejska zachęca państwa członkowskie do jak najszerszego ich stosowania. </w:t>
            </w:r>
            <w:r>
              <w:rPr>
                <w:rFonts w:ascii="Arial" w:hAnsi="Arial" w:cs="Arial"/>
                <w:sz w:val="24"/>
                <w:szCs w:val="24"/>
              </w:rPr>
              <w:t>Możliwość zastosowania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kosztów </w:t>
            </w:r>
            <w:r w:rsidRPr="004D60C9">
              <w:rPr>
                <w:rFonts w:ascii="Arial" w:hAnsi="Arial" w:cs="Arial"/>
                <w:sz w:val="24"/>
                <w:szCs w:val="24"/>
              </w:rPr>
              <w:t>uproszczonych w PT</w:t>
            </w:r>
            <w:r>
              <w:rPr>
                <w:rFonts w:ascii="Arial" w:hAnsi="Arial" w:cs="Arial"/>
                <w:sz w:val="24"/>
                <w:szCs w:val="24"/>
              </w:rPr>
              <w:t xml:space="preserve"> została dokładnie przeanalizowana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 wydaje się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, że będzie to dobre </w:t>
            </w:r>
            <w:r>
              <w:rPr>
                <w:rFonts w:ascii="Arial" w:hAnsi="Arial" w:cs="Arial"/>
                <w:sz w:val="24"/>
                <w:szCs w:val="24"/>
              </w:rPr>
              <w:t>rozwiązanie w przypadku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 rozliczania kosztów pośrednich (np. wynajem, opłaty za media, utrzymanie powierzchni, zakup materiałów eksploatacyjnych, koszty personelu wspierającego itp.). Rozliczanie tego rodzaju wydatków w oparciu o koszty rzeczywiste wymaga czasochłonnego przygotowania i stosowania skomplikowanych metodologii. Należy uprościć ten </w:t>
            </w:r>
            <w:r w:rsidRPr="004D60C9">
              <w:rPr>
                <w:rFonts w:ascii="Arial" w:hAnsi="Arial" w:cs="Arial"/>
                <w:sz w:val="24"/>
                <w:szCs w:val="24"/>
              </w:rPr>
              <w:lastRenderedPageBreak/>
              <w:t>proces poprzez zobowiązanie w wytycznych wszystkich IZ do rozliczania kosztów pośrednich w PT w oparciu o koszty upros</w:t>
            </w:r>
            <w:r>
              <w:rPr>
                <w:rFonts w:ascii="Arial" w:hAnsi="Arial" w:cs="Arial"/>
                <w:sz w:val="24"/>
                <w:szCs w:val="24"/>
              </w:rPr>
              <w:t>zczone np. ryczałt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. Jednocześnie wybór odpowiedniej </w:t>
            </w:r>
            <w:r>
              <w:rPr>
                <w:rFonts w:ascii="Arial" w:hAnsi="Arial" w:cs="Arial"/>
                <w:sz w:val="24"/>
                <w:szCs w:val="24"/>
              </w:rPr>
              <w:t xml:space="preserve">metody lub 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stawki ryczałtowej (ze stawek dostępnych zgodnie z art. 47 i art. 51(1) </w:t>
            </w:r>
            <w:r>
              <w:rPr>
                <w:rFonts w:ascii="Arial" w:hAnsi="Arial" w:cs="Arial"/>
                <w:sz w:val="24"/>
                <w:szCs w:val="24"/>
              </w:rPr>
              <w:t xml:space="preserve">projektu </w:t>
            </w:r>
            <w:r w:rsidRPr="004D60C9">
              <w:rPr>
                <w:rFonts w:ascii="Arial" w:hAnsi="Arial" w:cs="Arial"/>
                <w:sz w:val="24"/>
                <w:szCs w:val="24"/>
              </w:rPr>
              <w:t>rozporządzenia ogólnego) będzie pozostawiony do decyzji właściwej IZ, tak aby</w:t>
            </w:r>
            <w:r>
              <w:rPr>
                <w:rFonts w:ascii="Arial" w:hAnsi="Arial" w:cs="Arial"/>
                <w:sz w:val="24"/>
                <w:szCs w:val="24"/>
              </w:rPr>
              <w:t xml:space="preserve"> np. wybrana metoda lub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 stawka jak najlepiej odpowiadała potrzebom poszczególnych programów.</w:t>
            </w:r>
          </w:p>
          <w:p w:rsidR="004D60C9" w:rsidRPr="004D60C9" w:rsidRDefault="004D60C9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83241" w:rsidRPr="00783241" w:rsidRDefault="004D60C9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60C9">
              <w:rPr>
                <w:rFonts w:ascii="Arial" w:hAnsi="Arial" w:cs="Arial"/>
                <w:sz w:val="24"/>
                <w:szCs w:val="24"/>
              </w:rPr>
              <w:t>Stosowanie kosztów uproszczonych</w:t>
            </w:r>
            <w:r>
              <w:rPr>
                <w:rFonts w:ascii="Arial" w:hAnsi="Arial" w:cs="Arial"/>
                <w:sz w:val="24"/>
                <w:szCs w:val="24"/>
              </w:rPr>
              <w:t xml:space="preserve"> do rozliczania pozostałych wydatków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 będzie pozostawione do decyzji poszczególnych IZ. Należy jednak pamiętać o zapisach art. 48 (1)</w:t>
            </w:r>
            <w:r w:rsidR="00F37C12">
              <w:rPr>
                <w:rFonts w:ascii="Arial" w:hAnsi="Arial" w:cs="Arial"/>
                <w:sz w:val="24"/>
                <w:szCs w:val="24"/>
              </w:rPr>
              <w:t xml:space="preserve"> projektu rozporządzenia ogólnego</w:t>
            </w:r>
            <w:r w:rsidRPr="004D60C9">
              <w:rPr>
                <w:rFonts w:ascii="Arial" w:hAnsi="Arial" w:cs="Arial"/>
                <w:sz w:val="24"/>
                <w:szCs w:val="24"/>
              </w:rPr>
              <w:t xml:space="preserve"> zgodnie z którym stosowanie kosztów uproszczonych będzie obowiązkowe w projektach nie przekraczających 200 000 EUR.</w:t>
            </w:r>
          </w:p>
        </w:tc>
      </w:tr>
      <w:tr w:rsidR="00F37C12" w:rsidRPr="00783241" w:rsidTr="00FD011D">
        <w:tc>
          <w:tcPr>
            <w:tcW w:w="643" w:type="dxa"/>
            <w:vAlign w:val="center"/>
          </w:tcPr>
          <w:p w:rsidR="00F37C12" w:rsidRPr="00783241" w:rsidRDefault="00F37C12" w:rsidP="00114D64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67" w:type="dxa"/>
            <w:vAlign w:val="center"/>
          </w:tcPr>
          <w:p w:rsidR="00F37C12" w:rsidRPr="00783241" w:rsidRDefault="00F37C12" w:rsidP="002A7086">
            <w:pPr>
              <w:overflowPunct w:val="0"/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Fundusz dla PT w programach regionalnych</w:t>
            </w:r>
          </w:p>
        </w:tc>
        <w:tc>
          <w:tcPr>
            <w:tcW w:w="6946" w:type="dxa"/>
          </w:tcPr>
          <w:p w:rsidR="00F37C12" w:rsidRPr="00783241" w:rsidRDefault="00F37C12" w:rsidP="002A7086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241">
              <w:rPr>
                <w:rFonts w:ascii="Arial" w:hAnsi="Arial" w:cs="Arial"/>
                <w:sz w:val="24"/>
                <w:szCs w:val="24"/>
              </w:rPr>
              <w:t>Źródło finansowania PT w regionalnych programach nie zostało jeszcze ostatecznie ustalone.</w:t>
            </w:r>
          </w:p>
        </w:tc>
      </w:tr>
      <w:tr w:rsidR="00783241" w:rsidRPr="00783241" w:rsidTr="00FD011D">
        <w:tc>
          <w:tcPr>
            <w:tcW w:w="643" w:type="dxa"/>
            <w:vAlign w:val="center"/>
          </w:tcPr>
          <w:p w:rsidR="00783241" w:rsidRPr="00783241" w:rsidRDefault="00783241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24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67" w:type="dxa"/>
            <w:vAlign w:val="center"/>
          </w:tcPr>
          <w:p w:rsidR="00783241" w:rsidRPr="00783241" w:rsidRDefault="008A29A5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Centralny System Teleinformatyczny 2021</w:t>
            </w:r>
          </w:p>
        </w:tc>
        <w:tc>
          <w:tcPr>
            <w:tcW w:w="6946" w:type="dxa"/>
          </w:tcPr>
          <w:p w:rsidR="00114D64" w:rsidRPr="00114D64" w:rsidRDefault="008A29A5" w:rsidP="008A29A5">
            <w:pPr>
              <w:spacing w:after="120" w:line="360" w:lineRule="auto"/>
              <w:contextualSpacing/>
            </w:pPr>
            <w:r>
              <w:rPr>
                <w:rFonts w:ascii="Arial" w:hAnsi="Arial" w:cs="Arial"/>
                <w:sz w:val="24"/>
                <w:szCs w:val="24"/>
              </w:rPr>
              <w:t>Informacja</w:t>
            </w:r>
            <w:r w:rsidRPr="008A29A5">
              <w:rPr>
                <w:rFonts w:ascii="Arial" w:hAnsi="Arial" w:cs="Arial"/>
                <w:sz w:val="24"/>
                <w:szCs w:val="24"/>
              </w:rPr>
              <w:t xml:space="preserve"> 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A29A5">
              <w:rPr>
                <w:rFonts w:ascii="Arial" w:hAnsi="Arial" w:cs="Arial"/>
                <w:sz w:val="24"/>
                <w:szCs w:val="24"/>
              </w:rPr>
              <w:t xml:space="preserve"> systemu CST2021, jego </w:t>
            </w:r>
            <w:r>
              <w:rPr>
                <w:rFonts w:ascii="Arial" w:hAnsi="Arial" w:cs="Arial"/>
                <w:sz w:val="24"/>
                <w:szCs w:val="24"/>
              </w:rPr>
              <w:t>architektury</w:t>
            </w:r>
            <w:r w:rsidRPr="008A29A5">
              <w:rPr>
                <w:rFonts w:ascii="Arial" w:hAnsi="Arial" w:cs="Arial"/>
                <w:sz w:val="24"/>
                <w:szCs w:val="24"/>
              </w:rPr>
              <w:t xml:space="preserve"> i planowanych funkcjonalnościach (w tym</w:t>
            </w:r>
            <w:r>
              <w:rPr>
                <w:rFonts w:ascii="Arial" w:hAnsi="Arial" w:cs="Arial"/>
                <w:sz w:val="24"/>
                <w:szCs w:val="24"/>
              </w:rPr>
              <w:t xml:space="preserve"> dotycząca</w:t>
            </w:r>
            <w:r w:rsidRPr="008A29A5">
              <w:rPr>
                <w:rFonts w:ascii="Arial" w:hAnsi="Arial" w:cs="Arial"/>
                <w:sz w:val="24"/>
                <w:szCs w:val="24"/>
              </w:rPr>
              <w:t xml:space="preserve"> wyb</w:t>
            </w:r>
            <w:r>
              <w:rPr>
                <w:rFonts w:ascii="Arial" w:hAnsi="Arial" w:cs="Arial"/>
                <w:sz w:val="24"/>
                <w:szCs w:val="24"/>
              </w:rPr>
              <w:t>oru</w:t>
            </w:r>
            <w:r w:rsidRPr="008A29A5">
              <w:rPr>
                <w:rFonts w:ascii="Arial" w:hAnsi="Arial" w:cs="Arial"/>
                <w:sz w:val="24"/>
                <w:szCs w:val="24"/>
              </w:rPr>
              <w:t xml:space="preserve"> projektów do dofinansowania - aplikacja: WOD2021) została przekazana mailem na adresy poczty elektronicznej wszystkich </w:t>
            </w:r>
            <w:r w:rsidRPr="008A29A5">
              <w:rPr>
                <w:rFonts w:ascii="Arial" w:hAnsi="Arial" w:cs="Arial"/>
                <w:sz w:val="24"/>
                <w:szCs w:val="24"/>
              </w:rPr>
              <w:lastRenderedPageBreak/>
              <w:t xml:space="preserve">administratorów merytorycznych IZ (mail został wysłany z adresu </w:t>
            </w:r>
            <w:hyperlink r:id="rId8" w:history="1">
              <w:r w:rsidRPr="008A29A5">
                <w:rPr>
                  <w:rFonts w:ascii="Arial" w:hAnsi="Arial" w:cs="Arial"/>
                  <w:sz w:val="24"/>
                  <w:szCs w:val="24"/>
                </w:rPr>
                <w:t>cst@mfipr.gov.pl</w:t>
              </w:r>
            </w:hyperlink>
            <w:r w:rsidRPr="008A29A5">
              <w:rPr>
                <w:rFonts w:ascii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z w:val="24"/>
                <w:szCs w:val="24"/>
              </w:rPr>
              <w:t xml:space="preserve"> dniu</w:t>
            </w:r>
            <w:r w:rsidRPr="008A29A5">
              <w:rPr>
                <w:rFonts w:ascii="Arial" w:hAnsi="Arial" w:cs="Arial"/>
                <w:sz w:val="24"/>
                <w:szCs w:val="24"/>
              </w:rPr>
              <w:t xml:space="preserve"> 28-05-2020). </w:t>
            </w:r>
            <w:r>
              <w:rPr>
                <w:rFonts w:ascii="Arial" w:hAnsi="Arial" w:cs="Arial"/>
                <w:sz w:val="24"/>
                <w:szCs w:val="24"/>
              </w:rPr>
              <w:t>W razie dalszych pytań dotyczących</w:t>
            </w:r>
            <w:r w:rsidRPr="008A29A5">
              <w:rPr>
                <w:rFonts w:ascii="Arial" w:hAnsi="Arial" w:cs="Arial"/>
                <w:sz w:val="24"/>
                <w:szCs w:val="24"/>
              </w:rPr>
              <w:t xml:space="preserve"> planowanego systemu</w:t>
            </w:r>
            <w:r>
              <w:rPr>
                <w:rFonts w:ascii="Arial" w:hAnsi="Arial" w:cs="Arial"/>
                <w:sz w:val="24"/>
                <w:szCs w:val="24"/>
              </w:rPr>
              <w:t xml:space="preserve"> należy</w:t>
            </w:r>
            <w:r w:rsidRPr="008A29A5">
              <w:rPr>
                <w:rFonts w:ascii="Arial" w:hAnsi="Arial" w:cs="Arial"/>
                <w:sz w:val="24"/>
                <w:szCs w:val="24"/>
              </w:rPr>
              <w:t xml:space="preserve"> kontaktować się poprzez Service </w:t>
            </w:r>
            <w:proofErr w:type="spellStart"/>
            <w:r w:rsidRPr="008A29A5">
              <w:rPr>
                <w:rFonts w:ascii="Arial" w:hAnsi="Arial" w:cs="Arial"/>
                <w:sz w:val="24"/>
                <w:szCs w:val="24"/>
              </w:rPr>
              <w:t>Desk</w:t>
            </w:r>
            <w:proofErr w:type="spellEnd"/>
            <w:r w:rsidRPr="008A29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2AF0" w:rsidRPr="00783241" w:rsidTr="00FD011D">
        <w:tc>
          <w:tcPr>
            <w:tcW w:w="643" w:type="dxa"/>
            <w:vAlign w:val="center"/>
          </w:tcPr>
          <w:p w:rsidR="003D2AF0" w:rsidRPr="00783241" w:rsidRDefault="003D2AF0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67" w:type="dxa"/>
            <w:vAlign w:val="center"/>
          </w:tcPr>
          <w:p w:rsidR="003D2AF0" w:rsidRDefault="003D2AF0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 planu działań na rzecz zasobów ludzkich na poziomie regionalnym</w:t>
            </w:r>
          </w:p>
        </w:tc>
        <w:tc>
          <w:tcPr>
            <w:tcW w:w="6946" w:type="dxa"/>
          </w:tcPr>
          <w:p w:rsidR="003D2AF0" w:rsidRDefault="003D2AF0" w:rsidP="00F37C12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2AF0">
              <w:rPr>
                <w:rFonts w:ascii="Arial" w:hAnsi="Arial" w:cs="Arial"/>
                <w:sz w:val="24"/>
                <w:szCs w:val="24"/>
              </w:rPr>
              <w:t>Opracowanie planu działań na rzecz zasobów ludzkich na poziomie regionalnym jest pozostawione do decyzji poszczególnych IZ.</w:t>
            </w:r>
            <w:r w:rsidR="00532C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CAB" w:rsidRPr="00532CAB">
              <w:rPr>
                <w:rFonts w:ascii="Arial" w:hAnsi="Arial" w:cs="Arial"/>
                <w:sz w:val="24"/>
                <w:szCs w:val="24"/>
              </w:rPr>
              <w:t xml:space="preserve">Plan Zarządzania Zasobami Ludzkimi na lata 2021-2027 przygotowany na poziomie krajowym nie będzie ustalał limitów etatów dla regionów. </w:t>
            </w:r>
            <w:r w:rsidR="00F37C12">
              <w:rPr>
                <w:rFonts w:ascii="Arial" w:hAnsi="Arial" w:cs="Arial"/>
                <w:sz w:val="24"/>
                <w:szCs w:val="24"/>
              </w:rPr>
              <w:t>Decyzję o limicie</w:t>
            </w:r>
            <w:r w:rsidR="00532CAB" w:rsidRPr="00532C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12">
              <w:rPr>
                <w:rFonts w:ascii="Arial" w:hAnsi="Arial" w:cs="Arial"/>
                <w:sz w:val="24"/>
                <w:szCs w:val="24"/>
              </w:rPr>
              <w:t>etatów dla programów regionalnych lub jego</w:t>
            </w:r>
            <w:r w:rsidR="00532CAB" w:rsidRPr="00532CAB">
              <w:rPr>
                <w:rFonts w:ascii="Arial" w:hAnsi="Arial" w:cs="Arial"/>
                <w:sz w:val="24"/>
                <w:szCs w:val="24"/>
              </w:rPr>
              <w:t xml:space="preserve"> braku musi podjąć każda regionalna IZ indywidualnie.</w:t>
            </w:r>
          </w:p>
        </w:tc>
      </w:tr>
      <w:tr w:rsidR="00783241" w:rsidRPr="00783241" w:rsidTr="00FD011D">
        <w:tc>
          <w:tcPr>
            <w:tcW w:w="643" w:type="dxa"/>
            <w:vAlign w:val="center"/>
          </w:tcPr>
          <w:p w:rsidR="00783241" w:rsidRPr="00783241" w:rsidRDefault="003D2AF0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83241" w:rsidRPr="007832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7" w:type="dxa"/>
            <w:vAlign w:val="center"/>
          </w:tcPr>
          <w:p w:rsidR="00783241" w:rsidRPr="00783241" w:rsidRDefault="00A265D6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Doprecyzowanie priorytetu 2 Skutecznie beneficjenci</w:t>
            </w:r>
          </w:p>
        </w:tc>
        <w:tc>
          <w:tcPr>
            <w:tcW w:w="6946" w:type="dxa"/>
          </w:tcPr>
          <w:p w:rsidR="00F37C12" w:rsidRDefault="00A265D6" w:rsidP="00783241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65D6">
              <w:rPr>
                <w:rFonts w:ascii="Arial" w:hAnsi="Arial" w:cs="Arial"/>
                <w:sz w:val="24"/>
                <w:szCs w:val="24"/>
              </w:rPr>
              <w:t>Rodzaj udzielanego wsparcia</w:t>
            </w:r>
            <w:r>
              <w:rPr>
                <w:rFonts w:ascii="Arial" w:hAnsi="Arial" w:cs="Arial"/>
                <w:sz w:val="24"/>
                <w:szCs w:val="24"/>
              </w:rPr>
              <w:t xml:space="preserve"> dla beneficjentów</w:t>
            </w:r>
            <w:r w:rsidR="00F37C12">
              <w:rPr>
                <w:rFonts w:ascii="Arial" w:hAnsi="Arial" w:cs="Arial"/>
                <w:sz w:val="24"/>
                <w:szCs w:val="24"/>
              </w:rPr>
              <w:t xml:space="preserve"> w ramach programu Pomoc Techniczna dla Funduszy UE</w:t>
            </w:r>
            <w:r>
              <w:rPr>
                <w:rFonts w:ascii="Arial" w:hAnsi="Arial" w:cs="Arial"/>
                <w:sz w:val="24"/>
                <w:szCs w:val="24"/>
              </w:rPr>
              <w:t xml:space="preserve"> w dużej mierze</w:t>
            </w:r>
            <w:r w:rsidRPr="00A265D6">
              <w:rPr>
                <w:rFonts w:ascii="Arial" w:hAnsi="Arial" w:cs="Arial"/>
                <w:sz w:val="24"/>
                <w:szCs w:val="24"/>
              </w:rPr>
              <w:t xml:space="preserve"> będzie zależał od zdefiniowanych wcześniej potrzeb. Na obecnym etapie jego zbyt wąskie zdefiniowanie może utrudnić  późniejszą realizację projektów i skuteczną odpowiedź pomocy technicznej na pojawiające się problemy w trakcie wdrażania perspektywy. Pomoc techniczna, aby była skuteczna musi być narzędziem elastycznym, łatwo dostosowującym się do zmieniających się okoliczności i potrzeb. Dlatego też, zapisy programowe muszą pozostawiać pewną dozę elastyczności.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3241" w:rsidRPr="00783241" w:rsidRDefault="00F37C12" w:rsidP="00783241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Niemniej</w:t>
            </w:r>
            <w:r w:rsidR="00A265D6">
              <w:rPr>
                <w:rFonts w:ascii="Arial" w:hAnsi="Arial" w:cs="Arial"/>
                <w:sz w:val="24"/>
                <w:szCs w:val="24"/>
              </w:rPr>
              <w:t xml:space="preserve"> opis priorytetu 2 zostanie przeformułowany, tak aby w jak najszerszym możliwym zakresie uwzględnił zgłoszone uwagi</w:t>
            </w:r>
            <w:r>
              <w:rPr>
                <w:rFonts w:ascii="Arial" w:hAnsi="Arial" w:cs="Arial"/>
                <w:sz w:val="24"/>
                <w:szCs w:val="24"/>
              </w:rPr>
              <w:t xml:space="preserve"> i był możliwie precyzyjny</w:t>
            </w:r>
            <w:r w:rsidR="00A265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6F42" w:rsidRPr="00783241" w:rsidTr="00FD011D">
        <w:tc>
          <w:tcPr>
            <w:tcW w:w="643" w:type="dxa"/>
            <w:vAlign w:val="center"/>
          </w:tcPr>
          <w:p w:rsidR="00266F42" w:rsidRDefault="00266F42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67" w:type="dxa"/>
            <w:vAlign w:val="center"/>
          </w:tcPr>
          <w:p w:rsidR="00266F42" w:rsidRPr="00783241" w:rsidRDefault="00266F42" w:rsidP="002A7086">
            <w:pPr>
              <w:overflowPunct w:val="0"/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Podtrzymania potencjału ZIT</w:t>
            </w:r>
          </w:p>
        </w:tc>
        <w:tc>
          <w:tcPr>
            <w:tcW w:w="6946" w:type="dxa"/>
          </w:tcPr>
          <w:p w:rsidR="00266F42" w:rsidRPr="00783241" w:rsidRDefault="00266F42" w:rsidP="002A7086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83241">
              <w:rPr>
                <w:rFonts w:ascii="Arial" w:hAnsi="Arial" w:cs="Arial"/>
                <w:sz w:val="24"/>
                <w:szCs w:val="24"/>
              </w:rPr>
              <w:t>Podtrzy</w:t>
            </w:r>
            <w:r w:rsidR="00E27759">
              <w:rPr>
                <w:rFonts w:ascii="Arial" w:hAnsi="Arial" w:cs="Arial"/>
                <w:sz w:val="24"/>
                <w:szCs w:val="24"/>
              </w:rPr>
              <w:t>manie potencjału ZIT jest oczekiwaniem</w:t>
            </w:r>
            <w:r>
              <w:rPr>
                <w:rFonts w:ascii="Arial" w:hAnsi="Arial" w:cs="Arial"/>
                <w:sz w:val="24"/>
                <w:szCs w:val="24"/>
              </w:rPr>
              <w:t xml:space="preserve"> KE. Jednakże </w:t>
            </w:r>
            <w:r w:rsidRPr="00783241">
              <w:rPr>
                <w:rFonts w:ascii="Arial" w:hAnsi="Arial" w:cs="Arial"/>
                <w:sz w:val="24"/>
                <w:szCs w:val="24"/>
              </w:rPr>
              <w:t>sposób podtrzymania  tego potencjału będzie niezależną, indywidualną decyzją poszczególny</w:t>
            </w:r>
            <w:bookmarkStart w:id="0" w:name="_GoBack"/>
            <w:bookmarkEnd w:id="0"/>
            <w:r w:rsidRPr="00783241">
              <w:rPr>
                <w:rFonts w:ascii="Arial" w:hAnsi="Arial" w:cs="Arial"/>
                <w:sz w:val="24"/>
                <w:szCs w:val="24"/>
              </w:rPr>
              <w:t xml:space="preserve">ch instytucji zarządzających regionalnymi programami. </w:t>
            </w:r>
          </w:p>
          <w:p w:rsidR="00266F42" w:rsidRPr="00783241" w:rsidRDefault="00266F42" w:rsidP="002A7086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66F42" w:rsidRPr="00783241" w:rsidRDefault="00266F42" w:rsidP="002A7086">
            <w:pPr>
              <w:spacing w:after="120" w:line="360" w:lineRule="auto"/>
              <w:contextualSpacing/>
            </w:pPr>
            <w:r w:rsidRPr="00783241">
              <w:rPr>
                <w:rFonts w:ascii="Arial" w:hAnsi="Arial" w:cs="Arial"/>
                <w:sz w:val="24"/>
                <w:szCs w:val="24"/>
              </w:rPr>
              <w:t>Jednocześnie w ramach krajowego PT FUE przewidziane jest dalsze wsparcie dla ZIT w zakresie działań przynoszących większą wartość dodaną i efekt synergii tj. w szczególności w zakresie komunikacji i wymiany doświadczeń.</w:t>
            </w:r>
            <w:r w:rsidRPr="00DC31FC">
              <w:t xml:space="preserve"> </w:t>
            </w:r>
          </w:p>
        </w:tc>
      </w:tr>
      <w:tr w:rsidR="00FD011D" w:rsidRPr="00783241" w:rsidTr="00FD011D">
        <w:tc>
          <w:tcPr>
            <w:tcW w:w="643" w:type="dxa"/>
            <w:vAlign w:val="center"/>
          </w:tcPr>
          <w:p w:rsidR="00FD011D" w:rsidRPr="00783241" w:rsidRDefault="00266F42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D011D" w:rsidRPr="007832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7" w:type="dxa"/>
            <w:vAlign w:val="center"/>
          </w:tcPr>
          <w:p w:rsidR="00FD011D" w:rsidRPr="00783241" w:rsidRDefault="00FD011D" w:rsidP="002A7086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Ograniczenie liczby wskaźników PT</w:t>
            </w:r>
          </w:p>
        </w:tc>
        <w:tc>
          <w:tcPr>
            <w:tcW w:w="6946" w:type="dxa"/>
          </w:tcPr>
          <w:p w:rsidR="00FD011D" w:rsidRDefault="00FD011D" w:rsidP="002A7086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4D64">
              <w:rPr>
                <w:rFonts w:ascii="Arial" w:hAnsi="Arial" w:cs="Arial"/>
                <w:sz w:val="24"/>
                <w:szCs w:val="24"/>
              </w:rPr>
              <w:t>Zgodnie z proponowanymi zapisami rozporządzenia ogólnego pomoc techniczna nie jest wyłączona z przeglądu wykonania oraz obejmuje ją obowiązek ustalenia wartości docelowych dla wskaźników na lata 2024 i 2029. Z uwagi na trudności w szacowaniu wartości docelowych dla wskaźników PT należy dążyć do ograniczenia ich liczby, tym bardziej jeżeli koszty pośrednie będą rozliczane przy użyciu kosztów uproszczonych.</w:t>
            </w:r>
          </w:p>
          <w:p w:rsidR="00FD011D" w:rsidRPr="00114D64" w:rsidRDefault="00266F42" w:rsidP="002A7086">
            <w:pPr>
              <w:spacing w:after="120" w:line="360" w:lineRule="auto"/>
              <w:contextualSpacing/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D011D" w:rsidRPr="00114D64">
              <w:rPr>
                <w:rFonts w:ascii="Arial" w:hAnsi="Arial" w:cs="Arial"/>
                <w:sz w:val="24"/>
                <w:szCs w:val="24"/>
              </w:rPr>
              <w:lastRenderedPageBreak/>
              <w:t>IZ nadal będ</w:t>
            </w:r>
            <w:r w:rsidR="00FD011D">
              <w:rPr>
                <w:rFonts w:ascii="Arial" w:hAnsi="Arial" w:cs="Arial"/>
                <w:sz w:val="24"/>
                <w:szCs w:val="24"/>
              </w:rPr>
              <w:t>zie posiadała możliwość monitorowania</w:t>
            </w:r>
            <w:r w:rsidR="00FD011D" w:rsidRPr="00114D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11D">
              <w:rPr>
                <w:rFonts w:ascii="Arial" w:hAnsi="Arial" w:cs="Arial"/>
                <w:sz w:val="24"/>
                <w:szCs w:val="24"/>
              </w:rPr>
              <w:t xml:space="preserve">np. </w:t>
            </w:r>
            <w:r w:rsidR="00FD011D" w:rsidRPr="00114D64">
              <w:rPr>
                <w:rFonts w:ascii="Arial" w:hAnsi="Arial" w:cs="Arial"/>
                <w:sz w:val="24"/>
                <w:szCs w:val="24"/>
              </w:rPr>
              <w:t>właściwego wyposażenie miejsc pracy</w:t>
            </w:r>
            <w:r w:rsidR="00FD0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11D" w:rsidRPr="00114D64">
              <w:rPr>
                <w:rFonts w:ascii="Arial" w:hAnsi="Arial" w:cs="Arial"/>
                <w:sz w:val="24"/>
                <w:szCs w:val="24"/>
              </w:rPr>
              <w:t>p</w:t>
            </w:r>
            <w:r w:rsidR="00FD011D">
              <w:rPr>
                <w:rFonts w:ascii="Arial" w:hAnsi="Arial" w:cs="Arial"/>
                <w:sz w:val="24"/>
                <w:szCs w:val="24"/>
              </w:rPr>
              <w:t>onieważ</w:t>
            </w:r>
            <w:r w:rsidR="00FD011D" w:rsidRPr="00114D64">
              <w:rPr>
                <w:rFonts w:ascii="Arial" w:hAnsi="Arial" w:cs="Arial"/>
                <w:sz w:val="24"/>
                <w:szCs w:val="24"/>
              </w:rPr>
              <w:t xml:space="preserve"> będzie przekazywała na ten cel środki – może więc zapewnić własne proced</w:t>
            </w:r>
            <w:r w:rsidR="00FD011D">
              <w:rPr>
                <w:rFonts w:ascii="Arial" w:hAnsi="Arial" w:cs="Arial"/>
                <w:sz w:val="24"/>
                <w:szCs w:val="24"/>
              </w:rPr>
              <w:t>ury monitorowania</w:t>
            </w:r>
            <w:r w:rsidR="00FD011D" w:rsidRPr="00114D64">
              <w:rPr>
                <w:rFonts w:ascii="Arial" w:hAnsi="Arial" w:cs="Arial"/>
                <w:sz w:val="24"/>
                <w:szCs w:val="24"/>
              </w:rPr>
              <w:t xml:space="preserve"> jak te środki będą wykorzystane, jednak poza systemem sprawozdawczości FE.</w:t>
            </w:r>
          </w:p>
        </w:tc>
      </w:tr>
      <w:tr w:rsidR="00783241" w:rsidRPr="00783241" w:rsidTr="00FD011D">
        <w:tc>
          <w:tcPr>
            <w:tcW w:w="643" w:type="dxa"/>
            <w:vAlign w:val="center"/>
          </w:tcPr>
          <w:p w:rsidR="00783241" w:rsidRPr="00783241" w:rsidRDefault="00266F42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783241" w:rsidRPr="007832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7" w:type="dxa"/>
            <w:vAlign w:val="center"/>
          </w:tcPr>
          <w:p w:rsidR="00783241" w:rsidRPr="00783241" w:rsidRDefault="00266F42" w:rsidP="004D60C9">
            <w:pPr>
              <w:pStyle w:val="Tekstkomentarza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Zamiana wskaźnika „Liczba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etatomiesięcy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finansowanych ze środków pomocy technicznej” na </w:t>
            </w:r>
            <w:r w:rsidR="00F37C12">
              <w:rPr>
                <w:rFonts w:ascii="Arial" w:hAnsi="Arial" w:cs="Arial"/>
                <w:sz w:val="24"/>
                <w:szCs w:val="24"/>
              </w:rPr>
              <w:t xml:space="preserve">wskaźnik </w:t>
            </w:r>
            <w:r>
              <w:rPr>
                <w:rFonts w:ascii="Arial" w:hAnsi="Arial" w:cs="Arial"/>
                <w:sz w:val="24"/>
                <w:szCs w:val="24"/>
              </w:rPr>
              <w:t>„Średnioroczna liczba etatów finansowanych z PT”</w:t>
            </w:r>
          </w:p>
        </w:tc>
        <w:tc>
          <w:tcPr>
            <w:tcW w:w="6946" w:type="dxa"/>
          </w:tcPr>
          <w:p w:rsidR="00266F42" w:rsidRDefault="00266F42" w:rsidP="00266F42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 nieuwzględniona. </w:t>
            </w:r>
            <w:r w:rsidRPr="00266F42">
              <w:rPr>
                <w:rFonts w:ascii="Arial" w:hAnsi="Arial" w:cs="Arial"/>
                <w:sz w:val="24"/>
                <w:szCs w:val="24"/>
              </w:rPr>
              <w:t>Pojęcie „</w:t>
            </w:r>
            <w:proofErr w:type="spellStart"/>
            <w:r w:rsidRPr="00266F42">
              <w:rPr>
                <w:rFonts w:ascii="Arial" w:hAnsi="Arial" w:cs="Arial"/>
                <w:sz w:val="24"/>
                <w:szCs w:val="24"/>
              </w:rPr>
              <w:t>etatomiesięcy</w:t>
            </w:r>
            <w:proofErr w:type="spellEnd"/>
            <w:r w:rsidRPr="00266F42">
              <w:rPr>
                <w:rFonts w:ascii="Arial" w:hAnsi="Arial" w:cs="Arial"/>
                <w:sz w:val="24"/>
                <w:szCs w:val="24"/>
              </w:rPr>
              <w:t xml:space="preserve">” jest mało zrozumiałe, a jego wartość informacyjna znikoma. </w:t>
            </w:r>
          </w:p>
          <w:p w:rsidR="00266F42" w:rsidRDefault="00266F42" w:rsidP="00266F42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83241" w:rsidRPr="00783241" w:rsidRDefault="00266F42" w:rsidP="00F37C12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F42">
              <w:rPr>
                <w:rFonts w:ascii="Arial" w:hAnsi="Arial" w:cs="Arial"/>
                <w:sz w:val="24"/>
                <w:szCs w:val="24"/>
              </w:rPr>
              <w:t>Ponadto, do jego w</w:t>
            </w:r>
            <w:r w:rsidR="00F37C12">
              <w:rPr>
                <w:rFonts w:ascii="Arial" w:hAnsi="Arial" w:cs="Arial"/>
                <w:sz w:val="24"/>
                <w:szCs w:val="24"/>
              </w:rPr>
              <w:t>yliczenia potrzeba najpierw określić</w:t>
            </w:r>
            <w:r w:rsidRPr="00266F42">
              <w:rPr>
                <w:rFonts w:ascii="Arial" w:hAnsi="Arial" w:cs="Arial"/>
                <w:sz w:val="24"/>
                <w:szCs w:val="24"/>
              </w:rPr>
              <w:t xml:space="preserve"> liczbę etatów finansowanych w danej instytucji w poszczególnych miesiącach – co </w:t>
            </w:r>
            <w:r w:rsidR="00F37C12">
              <w:rPr>
                <w:rFonts w:ascii="Arial" w:hAnsi="Arial" w:cs="Arial"/>
                <w:sz w:val="24"/>
                <w:szCs w:val="24"/>
              </w:rPr>
              <w:t>stanowi</w:t>
            </w:r>
            <w:r w:rsidRPr="00266F42">
              <w:rPr>
                <w:rFonts w:ascii="Arial" w:hAnsi="Arial" w:cs="Arial"/>
                <w:sz w:val="24"/>
                <w:szCs w:val="24"/>
              </w:rPr>
              <w:t xml:space="preserve"> istotę wskaźnika planowanego do zastosowania w perspektywie finansowej 2021-2027.</w:t>
            </w:r>
          </w:p>
        </w:tc>
      </w:tr>
      <w:tr w:rsidR="00783241" w:rsidRPr="00783241" w:rsidTr="00FD011D">
        <w:tc>
          <w:tcPr>
            <w:tcW w:w="643" w:type="dxa"/>
            <w:vAlign w:val="center"/>
          </w:tcPr>
          <w:p w:rsidR="00783241" w:rsidRPr="00783241" w:rsidRDefault="00266F42" w:rsidP="004D60C9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83241" w:rsidRPr="007832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7" w:type="dxa"/>
            <w:vAlign w:val="center"/>
          </w:tcPr>
          <w:p w:rsidR="00783241" w:rsidRPr="00783241" w:rsidRDefault="00266F42" w:rsidP="004D60C9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6F42">
              <w:rPr>
                <w:rFonts w:ascii="Arial" w:hAnsi="Arial" w:cs="Arial"/>
                <w:color w:val="000000" w:themeColor="text1"/>
                <w:sz w:val="24"/>
                <w:szCs w:val="24"/>
              </w:rPr>
              <w:t>Zamiana wskaźnika „Liczba form szkoleniowych” na</w:t>
            </w:r>
            <w:r w:rsidR="00F37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wskaźnik</w:t>
            </w:r>
            <w:r w:rsidRPr="00266F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„Liczba uczestników form szkoleniowych”.</w:t>
            </w:r>
          </w:p>
        </w:tc>
        <w:tc>
          <w:tcPr>
            <w:tcW w:w="6946" w:type="dxa"/>
          </w:tcPr>
          <w:p w:rsidR="00266F42" w:rsidRPr="00266F42" w:rsidRDefault="00266F42" w:rsidP="00266F42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F42">
              <w:rPr>
                <w:rFonts w:ascii="Arial" w:hAnsi="Arial" w:cs="Arial"/>
                <w:sz w:val="24"/>
                <w:szCs w:val="24"/>
              </w:rPr>
              <w:t>Uwaga uwzględniona, zarówno w odniesieniu do wskaźnika dla instytucji, jak i beneficjentów.</w:t>
            </w:r>
          </w:p>
          <w:p w:rsidR="00783241" w:rsidRPr="00783241" w:rsidRDefault="00783241" w:rsidP="00783241">
            <w:pPr>
              <w:spacing w:after="12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249" w:rsidRPr="009A1243" w:rsidRDefault="00235249" w:rsidP="00783241">
      <w:pPr>
        <w:spacing w:after="0" w:line="360" w:lineRule="auto"/>
        <w:contextualSpacing/>
      </w:pPr>
    </w:p>
    <w:p w:rsidR="00A078ED" w:rsidRPr="009A1243" w:rsidRDefault="00A078ED" w:rsidP="00783241">
      <w:pPr>
        <w:spacing w:after="0" w:line="360" w:lineRule="auto"/>
        <w:contextualSpacing/>
      </w:pPr>
    </w:p>
    <w:sectPr w:rsidR="00A078ED" w:rsidRPr="009A1243" w:rsidSect="001E2E2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41" w:rsidRDefault="00783241" w:rsidP="00783241">
      <w:pPr>
        <w:spacing w:after="0" w:line="240" w:lineRule="auto"/>
      </w:pPr>
      <w:r>
        <w:separator/>
      </w:r>
    </w:p>
  </w:endnote>
  <w:endnote w:type="continuationSeparator" w:id="0">
    <w:p w:rsidR="00783241" w:rsidRDefault="00783241" w:rsidP="0078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181128"/>
      <w:docPartObj>
        <w:docPartGallery w:val="Page Numbers (Bottom of Page)"/>
        <w:docPartUnique/>
      </w:docPartObj>
    </w:sdtPr>
    <w:sdtEndPr/>
    <w:sdtContent>
      <w:p w:rsidR="00F37C12" w:rsidRDefault="00F37C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59" w:rsidRPr="00E27759">
          <w:rPr>
            <w:noProof/>
            <w:lang w:val="pl-PL"/>
          </w:rPr>
          <w:t>5</w:t>
        </w:r>
        <w:r>
          <w:fldChar w:fldCharType="end"/>
        </w:r>
      </w:p>
    </w:sdtContent>
  </w:sdt>
  <w:p w:rsidR="00F37C12" w:rsidRDefault="00F37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41" w:rsidRDefault="00783241" w:rsidP="00783241">
      <w:pPr>
        <w:spacing w:after="0" w:line="240" w:lineRule="auto"/>
      </w:pPr>
      <w:r>
        <w:separator/>
      </w:r>
    </w:p>
  </w:footnote>
  <w:footnote w:type="continuationSeparator" w:id="0">
    <w:p w:rsidR="00783241" w:rsidRDefault="00783241" w:rsidP="0078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41" w:rsidRDefault="00783241" w:rsidP="007832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8A251F" wp14:editId="49BEED2E">
          <wp:extent cx="5736167" cy="5601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8E4"/>
    <w:multiLevelType w:val="hybridMultilevel"/>
    <w:tmpl w:val="B6D45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7FA5C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E5EDD"/>
    <w:multiLevelType w:val="hybridMultilevel"/>
    <w:tmpl w:val="7B84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4D36"/>
    <w:multiLevelType w:val="hybridMultilevel"/>
    <w:tmpl w:val="E0D6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6DCB"/>
    <w:multiLevelType w:val="hybridMultilevel"/>
    <w:tmpl w:val="BCF6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75B4"/>
    <w:multiLevelType w:val="hybridMultilevel"/>
    <w:tmpl w:val="4886C686"/>
    <w:lvl w:ilvl="0" w:tplc="ADC6EF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B7695"/>
    <w:multiLevelType w:val="hybridMultilevel"/>
    <w:tmpl w:val="1A70C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892415"/>
    <w:multiLevelType w:val="hybridMultilevel"/>
    <w:tmpl w:val="BCF6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844F6"/>
    <w:multiLevelType w:val="hybridMultilevel"/>
    <w:tmpl w:val="F424B83A"/>
    <w:lvl w:ilvl="0" w:tplc="CED083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2202F4"/>
    <w:multiLevelType w:val="hybridMultilevel"/>
    <w:tmpl w:val="621EB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1"/>
    <w:rsid w:val="00007245"/>
    <w:rsid w:val="00092875"/>
    <w:rsid w:val="000964E1"/>
    <w:rsid w:val="000C2E08"/>
    <w:rsid w:val="00114D64"/>
    <w:rsid w:val="00174682"/>
    <w:rsid w:val="00235249"/>
    <w:rsid w:val="00266F42"/>
    <w:rsid w:val="002C74D0"/>
    <w:rsid w:val="002F52C0"/>
    <w:rsid w:val="00307138"/>
    <w:rsid w:val="00314D2D"/>
    <w:rsid w:val="00321BCF"/>
    <w:rsid w:val="00366879"/>
    <w:rsid w:val="003D2AF0"/>
    <w:rsid w:val="003F7902"/>
    <w:rsid w:val="00447389"/>
    <w:rsid w:val="004C5E21"/>
    <w:rsid w:val="004D60C9"/>
    <w:rsid w:val="004F347F"/>
    <w:rsid w:val="00525B81"/>
    <w:rsid w:val="00532CAB"/>
    <w:rsid w:val="005779DC"/>
    <w:rsid w:val="00577F8F"/>
    <w:rsid w:val="00597603"/>
    <w:rsid w:val="00600D26"/>
    <w:rsid w:val="006402EB"/>
    <w:rsid w:val="00692677"/>
    <w:rsid w:val="006F4D9F"/>
    <w:rsid w:val="00702BB6"/>
    <w:rsid w:val="00783241"/>
    <w:rsid w:val="0081262F"/>
    <w:rsid w:val="008A29A5"/>
    <w:rsid w:val="00946348"/>
    <w:rsid w:val="00996249"/>
    <w:rsid w:val="009A1243"/>
    <w:rsid w:val="00A078ED"/>
    <w:rsid w:val="00A242EE"/>
    <w:rsid w:val="00A265D6"/>
    <w:rsid w:val="00AE48FC"/>
    <w:rsid w:val="00BD43F3"/>
    <w:rsid w:val="00C42B8A"/>
    <w:rsid w:val="00C45A41"/>
    <w:rsid w:val="00D14119"/>
    <w:rsid w:val="00D52CE7"/>
    <w:rsid w:val="00D762A4"/>
    <w:rsid w:val="00DC6B9E"/>
    <w:rsid w:val="00DE298A"/>
    <w:rsid w:val="00E27759"/>
    <w:rsid w:val="00E6143E"/>
    <w:rsid w:val="00E925E7"/>
    <w:rsid w:val="00EB4E04"/>
    <w:rsid w:val="00F37C12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bered List,1st level - Bullet List Paragraph,Lettre d'introduction,Paragrafo elenco,Paragraph,Bullet EY,Bullet point 1,DE_HEADING3,Bullets,Medium Grid 1 - Accent 21,Dot pt,F5 List Paragraph,List Paragraph1,Recommendation"/>
    <w:basedOn w:val="Normalny"/>
    <w:link w:val="AkapitzlistZnak"/>
    <w:uiPriority w:val="34"/>
    <w:qFormat/>
    <w:rsid w:val="0023524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2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5E7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5E7"/>
    <w:rPr>
      <w:sz w:val="20"/>
      <w:szCs w:val="20"/>
    </w:rPr>
  </w:style>
  <w:style w:type="paragraph" w:customStyle="1" w:styleId="Default">
    <w:name w:val="Default"/>
    <w:rsid w:val="00E92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B9E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6B9E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bered List Znak,1st level - Bullet List Paragraph Znak,Lettre d'introduction Znak,Paragrafo elenco Znak,Paragraph Znak,Bullet EY Znak,Bullet point 1 Znak,DE_HEADING3 Znak,Bullets Znak,Medium Grid 1 - Accent 21 Znak,Dot pt Znak"/>
    <w:link w:val="Akapitzlist"/>
    <w:uiPriority w:val="34"/>
    <w:qFormat/>
    <w:locked/>
    <w:rsid w:val="00DC6B9E"/>
  </w:style>
  <w:style w:type="paragraph" w:styleId="Nagwek">
    <w:name w:val="header"/>
    <w:basedOn w:val="Normalny"/>
    <w:link w:val="NagwekZnak"/>
    <w:uiPriority w:val="99"/>
    <w:unhideWhenUsed/>
    <w:rsid w:val="0078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41"/>
  </w:style>
  <w:style w:type="paragraph" w:styleId="Tekstdymka">
    <w:name w:val="Balloon Text"/>
    <w:basedOn w:val="Normalny"/>
    <w:link w:val="TekstdymkaZnak"/>
    <w:uiPriority w:val="99"/>
    <w:semiHidden/>
    <w:unhideWhenUsed/>
    <w:rsid w:val="0078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bered List,1st level - Bullet List Paragraph,Lettre d'introduction,Paragrafo elenco,Paragraph,Bullet EY,Bullet point 1,DE_HEADING3,Bullets,Medium Grid 1 - Accent 21,Dot pt,F5 List Paragraph,List Paragraph1,Recommendation"/>
    <w:basedOn w:val="Normalny"/>
    <w:link w:val="AkapitzlistZnak"/>
    <w:uiPriority w:val="34"/>
    <w:qFormat/>
    <w:rsid w:val="0023524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2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5E7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5E7"/>
    <w:rPr>
      <w:sz w:val="20"/>
      <w:szCs w:val="20"/>
    </w:rPr>
  </w:style>
  <w:style w:type="paragraph" w:customStyle="1" w:styleId="Default">
    <w:name w:val="Default"/>
    <w:rsid w:val="00E92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B9E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6B9E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bered List Znak,1st level - Bullet List Paragraph Znak,Lettre d'introduction Znak,Paragrafo elenco Znak,Paragraph Znak,Bullet EY Znak,Bullet point 1 Znak,DE_HEADING3 Znak,Bullets Znak,Medium Grid 1 - Accent 21 Znak,Dot pt Znak"/>
    <w:link w:val="Akapitzlist"/>
    <w:uiPriority w:val="34"/>
    <w:qFormat/>
    <w:locked/>
    <w:rsid w:val="00DC6B9E"/>
  </w:style>
  <w:style w:type="paragraph" w:styleId="Nagwek">
    <w:name w:val="header"/>
    <w:basedOn w:val="Normalny"/>
    <w:link w:val="NagwekZnak"/>
    <w:uiPriority w:val="99"/>
    <w:unhideWhenUsed/>
    <w:rsid w:val="0078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41"/>
  </w:style>
  <w:style w:type="paragraph" w:styleId="Tekstdymka">
    <w:name w:val="Balloon Text"/>
    <w:basedOn w:val="Normalny"/>
    <w:link w:val="TekstdymkaZnak"/>
    <w:uiPriority w:val="99"/>
    <w:semiHidden/>
    <w:unhideWhenUsed/>
    <w:rsid w:val="0078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@mfip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Wojcik</dc:creator>
  <cp:lastModifiedBy>Urszula Wojcik</cp:lastModifiedBy>
  <cp:revision>9</cp:revision>
  <dcterms:created xsi:type="dcterms:W3CDTF">2020-06-16T08:40:00Z</dcterms:created>
  <dcterms:modified xsi:type="dcterms:W3CDTF">2020-06-19T13:24:00Z</dcterms:modified>
</cp:coreProperties>
</file>