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30 grudnia 2019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t>
            </w:r>
            <w:r w:rsidRPr="00520628">
              <w:rPr>
                <w:rFonts w:ascii="Arial" w:hAnsi="Arial" w:cs="Arial"/>
                <w:sz w:val="18"/>
                <w:szCs w:val="18"/>
              </w:rPr>
              <w:lastRenderedPageBreak/>
              <w:t>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w:t>
            </w:r>
            <w:r w:rsidRPr="001329DA">
              <w:rPr>
                <w:rFonts w:ascii="Arial" w:hAnsi="Arial" w:cs="Arial"/>
                <w:sz w:val="18"/>
                <w:szCs w:val="18"/>
              </w:rPr>
              <w:lastRenderedPageBreak/>
              <w:t xml:space="preserve">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w:t>
            </w:r>
            <w:r w:rsidRPr="007C5226">
              <w:rPr>
                <w:rFonts w:ascii="Arial" w:hAnsi="Arial" w:cs="Arial"/>
                <w:sz w:val="14"/>
                <w:szCs w:val="14"/>
              </w:rPr>
              <w:lastRenderedPageBreak/>
              <w:t>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w:t>
            </w:r>
            <w:r w:rsidRPr="009C70B2">
              <w:rPr>
                <w:rFonts w:ascii="Arial" w:hAnsi="Arial" w:cs="Arial"/>
                <w:iCs/>
                <w:sz w:val="18"/>
                <w:szCs w:val="18"/>
              </w:rPr>
              <w:lastRenderedPageBreak/>
              <w:t xml:space="preserve">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w:t>
            </w:r>
            <w:r w:rsidRPr="00AD6ED6">
              <w:rPr>
                <w:rFonts w:ascii="Arial" w:hAnsi="Arial" w:cs="Arial"/>
                <w:iCs/>
                <w:sz w:val="14"/>
                <w:szCs w:val="14"/>
              </w:rPr>
              <w:lastRenderedPageBreak/>
              <w:t>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w:t>
            </w:r>
            <w:r w:rsidRPr="002A44EB">
              <w:rPr>
                <w:rFonts w:ascii="Arial" w:hAnsi="Arial" w:cs="Arial"/>
                <w:iCs/>
                <w:sz w:val="18"/>
                <w:szCs w:val="18"/>
              </w:rPr>
              <w:lastRenderedPageBreak/>
              <w:t xml:space="preserve">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w:t>
            </w:r>
            <w:r w:rsidRPr="00AD6ED6">
              <w:rPr>
                <w:rFonts w:ascii="Arial" w:hAnsi="Arial" w:cs="Arial"/>
                <w:iCs/>
                <w:sz w:val="14"/>
                <w:szCs w:val="14"/>
              </w:rPr>
              <w:lastRenderedPageBreak/>
              <w:t>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w:t>
            </w:r>
            <w:r w:rsidRPr="009C70B2">
              <w:rPr>
                <w:rFonts w:ascii="Arial" w:hAnsi="Arial" w:cs="Arial"/>
                <w:iCs/>
                <w:sz w:val="18"/>
                <w:szCs w:val="18"/>
              </w:rPr>
              <w:lastRenderedPageBreak/>
              <w:t>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 xml:space="preserve">W </w:t>
            </w:r>
            <w:r w:rsidRPr="00A56DC2">
              <w:rPr>
                <w:rFonts w:ascii="Arial" w:hAnsi="Arial" w:cs="Arial"/>
                <w:sz w:val="18"/>
                <w:szCs w:val="18"/>
              </w:rPr>
              <w:lastRenderedPageBreak/>
              <w:t>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w:t>
            </w:r>
            <w:r w:rsidRPr="008E1EEF">
              <w:rPr>
                <w:rFonts w:ascii="Arial" w:hAnsi="Arial" w:cs="Arial"/>
                <w:sz w:val="18"/>
                <w:szCs w:val="18"/>
              </w:rPr>
              <w:lastRenderedPageBreak/>
              <w:t xml:space="preserve">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lastRenderedPageBreak/>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 xml:space="preserve">Typ/typy projektów przewidziane do </w:t>
            </w:r>
            <w:r w:rsidRPr="001212A4">
              <w:rPr>
                <w:rFonts w:ascii="Arial" w:hAnsi="Arial" w:cs="Arial"/>
                <w:sz w:val="18"/>
                <w:szCs w:val="18"/>
              </w:rPr>
              <w:lastRenderedPageBreak/>
              <w:t>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lastRenderedPageBreak/>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lastRenderedPageBreak/>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lastRenderedPageBreak/>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zarejestrowanych w </w:t>
            </w:r>
            <w:r w:rsidRPr="009C70B2">
              <w:rPr>
                <w:rFonts w:ascii="Arial" w:hAnsi="Arial" w:cs="Arial"/>
                <w:sz w:val="18"/>
                <w:szCs w:val="18"/>
              </w:rPr>
              <w:lastRenderedPageBreak/>
              <w:t>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w:t>
            </w:r>
            <w:r w:rsidRPr="006E0798">
              <w:rPr>
                <w:rFonts w:ascii="Arial" w:hAnsi="Arial" w:cs="Arial"/>
                <w:sz w:val="18"/>
                <w:szCs w:val="18"/>
              </w:rPr>
              <w:lastRenderedPageBreak/>
              <w:t xml:space="preserve">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w:t>
            </w:r>
            <w:r w:rsidRPr="006E0798">
              <w:rPr>
                <w:rFonts w:ascii="Arial" w:hAnsi="Arial" w:cs="Arial"/>
                <w:sz w:val="18"/>
                <w:szCs w:val="18"/>
              </w:rPr>
              <w:lastRenderedPageBreak/>
              <w:t xml:space="preserve">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 xml:space="preserve">Niespełnienie </w:t>
            </w:r>
            <w:r w:rsidRPr="006E0798">
              <w:rPr>
                <w:rFonts w:ascii="Arial" w:hAnsi="Arial" w:cs="Arial"/>
                <w:sz w:val="18"/>
                <w:szCs w:val="18"/>
              </w:rPr>
              <w:lastRenderedPageBreak/>
              <w:t>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lastRenderedPageBreak/>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oświadczenia Wnioskodawcy/Beneficjenta zawartego we wniosku o dofinansowanie w sekcji Oświadczenia. Złożenie wniosku o </w:t>
            </w:r>
            <w:r w:rsidRPr="006E0798">
              <w:rPr>
                <w:rFonts w:ascii="Arial" w:hAnsi="Arial" w:cs="Arial"/>
                <w:sz w:val="18"/>
                <w:szCs w:val="18"/>
              </w:rPr>
              <w:lastRenderedPageBreak/>
              <w:t>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lastRenderedPageBreak/>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w:t>
            </w:r>
            <w:r w:rsidRPr="00C4497E">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 xml:space="preserve">Tak/Nie Dopuszcza się jednokrotne skierowanie projektu do poprawy/uzupełnienia w zakresie skutkującym </w:t>
            </w:r>
            <w:r w:rsidRPr="003E336C">
              <w:rPr>
                <w:rFonts w:ascii="Arial" w:hAnsi="Arial" w:cs="Arial"/>
                <w:sz w:val="18"/>
                <w:szCs w:val="18"/>
              </w:rPr>
              <w:lastRenderedPageBreak/>
              <w:t>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92EFC">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 xml:space="preserve">0 pkt. - podmiot leczniczy/podmioty </w:t>
            </w:r>
            <w:r w:rsidRPr="003E336C">
              <w:rPr>
                <w:rFonts w:ascii="Arial" w:hAnsi="Arial" w:cs="Arial"/>
                <w:sz w:val="14"/>
                <w:szCs w:val="14"/>
              </w:rPr>
              <w:lastRenderedPageBreak/>
              <w:t>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w:t>
            </w:r>
            <w:r w:rsidRPr="009C70B2">
              <w:rPr>
                <w:rFonts w:ascii="Arial" w:hAnsi="Arial" w:cs="Arial"/>
                <w:sz w:val="18"/>
                <w:szCs w:val="18"/>
              </w:rPr>
              <w:lastRenderedPageBreak/>
              <w:t>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 xml:space="preserve">(niespełnienie kryterium po ewentualnym dokonaniu </w:t>
            </w:r>
            <w:r w:rsidRPr="00F92EFC">
              <w:rPr>
                <w:rFonts w:ascii="Arial" w:hAnsi="Arial" w:cs="Arial"/>
                <w:sz w:val="14"/>
                <w:szCs w:val="14"/>
              </w:rPr>
              <w:lastRenderedPageBreak/>
              <w:t>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w:t>
            </w:r>
            <w:r w:rsidRPr="00AB1937">
              <w:rPr>
                <w:rFonts w:ascii="Arial" w:hAnsi="Arial" w:cs="Arial"/>
                <w:kern w:val="1"/>
                <w:sz w:val="18"/>
                <w:szCs w:val="18"/>
              </w:rPr>
              <w:lastRenderedPageBreak/>
              <w:t xml:space="preserve">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5C40A0">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 xml:space="preserve">0 pkt. - podmiot leczniczy/podmioty lecznicze nie spełniają </w:t>
            </w:r>
            <w:r w:rsidRPr="00423A02">
              <w:rPr>
                <w:sz w:val="14"/>
                <w:szCs w:val="14"/>
              </w:rPr>
              <w:lastRenderedPageBreak/>
              <w:t>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r w:rsidRPr="005C40A0">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etapie oceny projektu oraz w czasie realizacji projektu z zastrzeżeniem art. 33 ust. 3a ustawy z dnia 11 lipca 2014 r. o zasadach realizacji programów </w:t>
            </w:r>
            <w:r w:rsidRPr="009C70B2">
              <w:rPr>
                <w:rFonts w:ascii="Arial" w:hAnsi="Arial" w:cs="Arial"/>
                <w:iCs/>
                <w:sz w:val="18"/>
                <w:szCs w:val="18"/>
              </w:rPr>
              <w:lastRenderedPageBreak/>
              <w:t>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w:t>
            </w:r>
            <w:r w:rsidRPr="009C70B2">
              <w:rPr>
                <w:rFonts w:ascii="Arial" w:hAnsi="Arial" w:cs="Arial"/>
                <w:iCs/>
                <w:sz w:val="18"/>
                <w:szCs w:val="18"/>
              </w:rPr>
              <w:lastRenderedPageBreak/>
              <w:t>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w:t>
            </w:r>
            <w:r w:rsidRPr="009C70B2">
              <w:rPr>
                <w:rFonts w:ascii="Arial" w:hAnsi="Arial" w:cs="Arial"/>
                <w:sz w:val="18"/>
                <w:szCs w:val="18"/>
              </w:rPr>
              <w:lastRenderedPageBreak/>
              <w:t>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lastRenderedPageBreak/>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 xml:space="preserve">przypisaniu wartości logicznej  „tak” albo „nie”, albo stwierdzeniu, że kryterium nie dotyczy danego projektu (w przypadku </w:t>
            </w:r>
            <w:r w:rsidRPr="009C70B2">
              <w:rPr>
                <w:rFonts w:ascii="Arial" w:hAnsi="Arial" w:cs="Arial"/>
                <w:sz w:val="18"/>
                <w:szCs w:val="18"/>
              </w:rPr>
              <w:lastRenderedPageBreak/>
              <w:t>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w:t>
            </w:r>
            <w:r w:rsidRPr="009C70B2">
              <w:rPr>
                <w:rFonts w:ascii="Arial" w:eastAsia="Calibri" w:hAnsi="Arial" w:cs="Arial"/>
                <w:b/>
                <w:bCs/>
                <w:kern w:val="24"/>
                <w:sz w:val="18"/>
                <w:szCs w:val="18"/>
              </w:rPr>
              <w:lastRenderedPageBreak/>
              <w:t xml:space="preserve">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lastRenderedPageBreak/>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lastRenderedPageBreak/>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lastRenderedPageBreak/>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lastRenderedPageBreak/>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w:t>
            </w:r>
            <w:r>
              <w:rPr>
                <w:rFonts w:ascii="Arial" w:hAnsi="Arial" w:cs="Arial"/>
                <w:sz w:val="18"/>
                <w:szCs w:val="18"/>
              </w:rPr>
              <w:lastRenderedPageBreak/>
              <w:t xml:space="preserve">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t>
            </w:r>
            <w:r>
              <w:rPr>
                <w:rFonts w:ascii="Arial" w:hAnsi="Arial" w:cs="Arial"/>
                <w:sz w:val="18"/>
                <w:szCs w:val="18"/>
              </w:rPr>
              <w:lastRenderedPageBreak/>
              <w:t xml:space="preserve">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w:t>
            </w:r>
            <w:r>
              <w:rPr>
                <w:rFonts w:ascii="Arial" w:hAnsi="Arial" w:cs="Arial"/>
                <w:sz w:val="18"/>
                <w:szCs w:val="18"/>
              </w:rPr>
              <w:lastRenderedPageBreak/>
              <w:t xml:space="preserve">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lastRenderedPageBreak/>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lastRenderedPageBreak/>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 xml:space="preserve">Dopuszcza się możliwość </w:t>
            </w:r>
            <w:r>
              <w:rPr>
                <w:rFonts w:ascii="Arial" w:hAnsi="Arial" w:cs="Arial"/>
                <w:sz w:val="18"/>
                <w:szCs w:val="18"/>
              </w:rPr>
              <w:lastRenderedPageBreak/>
              <w:t>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w:t>
            </w:r>
            <w:r>
              <w:rPr>
                <w:rFonts w:ascii="Arial" w:hAnsi="Arial" w:cs="Arial"/>
                <w:sz w:val="18"/>
                <w:szCs w:val="18"/>
              </w:rPr>
              <w:lastRenderedPageBreak/>
              <w:t>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Pr>
                <w:rFonts w:ascii="Arial" w:hAnsi="Arial" w:cs="Arial"/>
                <w:kern w:val="24"/>
                <w:sz w:val="18"/>
                <w:szCs w:val="18"/>
              </w:rPr>
              <w:lastRenderedPageBreak/>
              <w:t>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wezwaniu do </w:t>
            </w:r>
            <w:r>
              <w:rPr>
                <w:rFonts w:ascii="Arial" w:hAnsi="Arial" w:cs="Arial"/>
                <w:sz w:val="18"/>
                <w:szCs w:val="18"/>
              </w:rPr>
              <w:lastRenderedPageBreak/>
              <w:t>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lastRenderedPageBreak/>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lastRenderedPageBreak/>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lastRenderedPageBreak/>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w:t>
            </w:r>
            <w:r w:rsidRPr="00E960F3">
              <w:rPr>
                <w:rFonts w:ascii="Arial" w:hAnsi="Arial" w:cs="Arial"/>
                <w:sz w:val="18"/>
                <w:szCs w:val="18"/>
              </w:rPr>
              <w:lastRenderedPageBreak/>
              <w:t>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lastRenderedPageBreak/>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w:t>
            </w:r>
            <w:r w:rsidRPr="00FB08CC">
              <w:rPr>
                <w:rFonts w:ascii="Arial" w:hAnsi="Arial" w:cs="Arial"/>
                <w:sz w:val="18"/>
                <w:szCs w:val="18"/>
              </w:rPr>
              <w:lastRenderedPageBreak/>
              <w:t>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lastRenderedPageBreak/>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lastRenderedPageBreak/>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Kryterium zapewni skoordynowaną i komplementarną realizację projektów. </w:t>
            </w:r>
            <w:r w:rsidRPr="006B3F36">
              <w:rPr>
                <w:rFonts w:ascii="Arial" w:hAnsi="Arial" w:cs="Arial"/>
                <w:sz w:val="18"/>
                <w:szCs w:val="18"/>
              </w:rPr>
              <w:lastRenderedPageBreak/>
              <w:t>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B08CC">
              <w:rPr>
                <w:rFonts w:ascii="Arial" w:hAnsi="Arial" w:cs="Arial"/>
                <w:sz w:val="18"/>
                <w:szCs w:val="18"/>
              </w:rPr>
              <w:lastRenderedPageBreak/>
              <w:t>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 xml:space="preserve">Szczegółowe zasady pomiaru wskaźników efektywności społecznej i zatrudnieniowej określi IOK w regulaminie konkursu na podstawie obowiązujących w dniu przyjęcia kryteriów wytycznych w zakresie realizacji przedsięwzięć w </w:t>
            </w:r>
            <w:r w:rsidRPr="00B44B0E">
              <w:rPr>
                <w:rFonts w:ascii="Arial" w:hAnsi="Arial" w:cs="Arial"/>
                <w:sz w:val="18"/>
                <w:szCs w:val="18"/>
              </w:rPr>
              <w:lastRenderedPageBreak/>
              <w:t>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lastRenderedPageBreak/>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 xml:space="preserve">co </w:t>
            </w:r>
            <w:r>
              <w:rPr>
                <w:rFonts w:ascii="Arial" w:hAnsi="Arial" w:cs="Arial"/>
                <w:sz w:val="18"/>
                <w:szCs w:val="18"/>
              </w:rPr>
              <w:lastRenderedPageBreak/>
              <w:t>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t>
            </w:r>
            <w:r w:rsidRPr="008F23C1">
              <w:rPr>
                <w:rFonts w:ascii="Arial" w:hAnsi="Arial" w:cs="Arial"/>
                <w:sz w:val="14"/>
                <w:szCs w:val="14"/>
              </w:rPr>
              <w:lastRenderedPageBreak/>
              <w:t xml:space="preserve">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 xml:space="preserve">Uczestnicy projektu objęci wsparciem w ramach typu 9.1.C nie muszą mieć miejsca zamieszkania na obszarze objętym programem </w:t>
            </w:r>
            <w:r w:rsidRPr="00C051CE">
              <w:rPr>
                <w:rFonts w:ascii="Arial" w:hAnsi="Arial" w:cs="Arial"/>
                <w:sz w:val="18"/>
                <w:szCs w:val="18"/>
              </w:rPr>
              <w:lastRenderedPageBreak/>
              <w:t>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lastRenderedPageBreak/>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lastRenderedPageBreak/>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w:t>
            </w:r>
            <w:r w:rsidRPr="00EE15A5">
              <w:rPr>
                <w:rFonts w:ascii="Arial" w:hAnsi="Arial" w:cs="Arial"/>
                <w:iCs/>
                <w:sz w:val="18"/>
                <w:szCs w:val="18"/>
              </w:rPr>
              <w:lastRenderedPageBreak/>
              <w:t>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 xml:space="preserve">Dopuszcza się jednokrotne skierowanie projektu do poprawy/uzupełnienia w zakresie skutkującym spełnieniem kryterium. Niespełnienie kryterium po </w:t>
            </w:r>
            <w:r w:rsidRPr="00C57FB8">
              <w:rPr>
                <w:rFonts w:ascii="Arial" w:hAnsi="Arial" w:cs="Arial"/>
                <w:iCs/>
                <w:sz w:val="16"/>
                <w:szCs w:val="16"/>
              </w:rPr>
              <w:lastRenderedPageBreak/>
              <w:t>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w:t>
            </w:r>
            <w:r w:rsidRPr="00394A55">
              <w:rPr>
                <w:rFonts w:ascii="Arial" w:hAnsi="Arial" w:cs="Arial"/>
                <w:iCs/>
                <w:sz w:val="18"/>
                <w:szCs w:val="18"/>
              </w:rPr>
              <w:lastRenderedPageBreak/>
              <w:t>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t>
            </w:r>
            <w:r w:rsidRPr="00C4497E">
              <w:rPr>
                <w:rFonts w:ascii="Arial" w:hAnsi="Arial" w:cs="Arial"/>
                <w:color w:val="000000" w:themeColor="text1"/>
                <w:sz w:val="18"/>
                <w:szCs w:val="18"/>
              </w:rPr>
              <w:lastRenderedPageBreak/>
              <w:t>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lastRenderedPageBreak/>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w:t>
            </w:r>
            <w:r w:rsidRPr="00A236A2">
              <w:rPr>
                <w:rFonts w:ascii="Arial" w:hAnsi="Arial" w:cs="Arial"/>
                <w:iCs/>
                <w:sz w:val="18"/>
                <w:szCs w:val="18"/>
              </w:rPr>
              <w:lastRenderedPageBreak/>
              <w:t>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lastRenderedPageBreak/>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w:t>
            </w:r>
            <w:r w:rsidRPr="00394A55">
              <w:rPr>
                <w:rFonts w:ascii="Arial" w:hAnsi="Arial" w:cs="Arial"/>
                <w:iCs/>
                <w:sz w:val="18"/>
                <w:szCs w:val="18"/>
              </w:rPr>
              <w:lastRenderedPageBreak/>
              <w:t xml:space="preserve">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lastRenderedPageBreak/>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lastRenderedPageBreak/>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lastRenderedPageBreak/>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t>
            </w:r>
            <w:r w:rsidRPr="007A3E58">
              <w:rPr>
                <w:rFonts w:ascii="Arial" w:hAnsi="Arial" w:cs="Arial"/>
                <w:bCs/>
                <w:sz w:val="18"/>
                <w:szCs w:val="18"/>
              </w:rPr>
              <w:lastRenderedPageBreak/>
              <w:t>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w:t>
            </w:r>
            <w:r w:rsidRPr="007A3E58">
              <w:rPr>
                <w:rFonts w:ascii="Arial" w:hAnsi="Arial" w:cs="Arial"/>
                <w:bCs/>
                <w:sz w:val="18"/>
                <w:szCs w:val="18"/>
              </w:rPr>
              <w:lastRenderedPageBreak/>
              <w:t>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lastRenderedPageBreak/>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lastRenderedPageBreak/>
              <w:t xml:space="preserve">W ramach tego kryterium sprawdzane będzie, czy Wnioskodawca/Beneficjent jest </w:t>
            </w:r>
            <w:r w:rsidRPr="00416B2A">
              <w:rPr>
                <w:rFonts w:ascii="Arial" w:hAnsi="Arial" w:cs="Arial"/>
                <w:iCs/>
                <w:sz w:val="18"/>
                <w:szCs w:val="18"/>
              </w:rPr>
              <w:lastRenderedPageBreak/>
              <w:t>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lastRenderedPageBreak/>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lastRenderedPageBreak/>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lastRenderedPageBreak/>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działania w projekcie są skierowane do ośrodków wychowania przedszkolnego (w tym również innych form wychowania </w:t>
            </w:r>
            <w:r w:rsidRPr="00EE1399">
              <w:rPr>
                <w:rFonts w:ascii="Arial" w:hAnsi="Arial" w:cs="Arial"/>
                <w:sz w:val="18"/>
                <w:szCs w:val="18"/>
              </w:rPr>
              <w:lastRenderedPageBreak/>
              <w:t>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w:t>
            </w:r>
            <w:r w:rsidRPr="00840E78">
              <w:rPr>
                <w:rFonts w:ascii="Arial" w:hAnsi="Arial" w:cs="Arial"/>
                <w:sz w:val="16"/>
                <w:szCs w:val="16"/>
              </w:rPr>
              <w:lastRenderedPageBreak/>
              <w:t xml:space="preserve">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w projekcie zaplanowano wydatki i/lub działania związane z upowszechnianiem wychowania przedszkolnego wśród dzieci z </w:t>
            </w:r>
            <w:r w:rsidRPr="00840E78">
              <w:rPr>
                <w:rFonts w:ascii="Arial" w:hAnsi="Arial" w:cs="Arial"/>
                <w:sz w:val="16"/>
                <w:szCs w:val="16"/>
              </w:rPr>
              <w:lastRenderedPageBreak/>
              <w:t>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projekt przewiduje tworzenie i utrzymanie nowych miejsc przedszkolnych na  </w:t>
            </w:r>
            <w:r w:rsidRPr="00840E78">
              <w:rPr>
                <w:rFonts w:ascii="Arial" w:hAnsi="Arial" w:cs="Arial"/>
                <w:sz w:val="16"/>
                <w:szCs w:val="16"/>
              </w:rPr>
              <w:lastRenderedPageBreak/>
              <w:t>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B65538"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B65538"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B65538"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B65538"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32" w:rsidRDefault="00801032" w:rsidP="002A607C">
      <w:r>
        <w:separator/>
      </w:r>
    </w:p>
  </w:endnote>
  <w:endnote w:type="continuationSeparator" w:id="0">
    <w:p w:rsidR="00801032" w:rsidRDefault="00801032"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B65538">
          <w:rPr>
            <w:rFonts w:ascii="Arial" w:hAnsi="Arial" w:cs="Arial"/>
            <w:noProof/>
            <w:sz w:val="18"/>
            <w:szCs w:val="18"/>
          </w:rPr>
          <w:t>125</w:t>
        </w:r>
        <w:r w:rsidRPr="008E7A86">
          <w:rPr>
            <w:rFonts w:ascii="Arial" w:hAnsi="Arial" w:cs="Arial"/>
            <w:sz w:val="18"/>
            <w:szCs w:val="18"/>
          </w:rPr>
          <w:fldChar w:fldCharType="end"/>
        </w:r>
      </w:p>
    </w:sdtContent>
  </w:sdt>
  <w:p w:rsidR="00801032" w:rsidRDefault="008010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B65538">
          <w:rPr>
            <w:rFonts w:ascii="Arial" w:hAnsi="Arial" w:cs="Arial"/>
            <w:noProof/>
            <w:sz w:val="18"/>
            <w:szCs w:val="18"/>
          </w:rPr>
          <w:t>1</w:t>
        </w:r>
        <w:r w:rsidRPr="006E34AB">
          <w:rPr>
            <w:rFonts w:ascii="Arial" w:hAnsi="Arial" w:cs="Arial"/>
            <w:sz w:val="18"/>
            <w:szCs w:val="18"/>
          </w:rPr>
          <w:fldChar w:fldCharType="end"/>
        </w:r>
      </w:p>
    </w:sdtContent>
  </w:sdt>
  <w:p w:rsidR="00801032" w:rsidRDefault="008010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187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236</w:t>
        </w:r>
        <w:r w:rsidRPr="008E7A86">
          <w:rPr>
            <w:rFonts w:ascii="Arial" w:hAnsi="Arial" w:cs="Arial"/>
            <w:sz w:val="18"/>
            <w:szCs w:val="18"/>
          </w:rPr>
          <w:fldChar w:fldCharType="end"/>
        </w:r>
      </w:p>
    </w:sdtContent>
  </w:sdt>
  <w:p w:rsidR="00801032" w:rsidRDefault="0080103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C61DB0">
          <w:rPr>
            <w:rFonts w:ascii="Arial" w:hAnsi="Arial" w:cs="Arial"/>
            <w:noProof/>
            <w:sz w:val="18"/>
            <w:szCs w:val="18"/>
          </w:rPr>
          <w:t>237</w:t>
        </w:r>
        <w:r w:rsidRPr="006E34AB">
          <w:rPr>
            <w:rFonts w:ascii="Arial" w:hAnsi="Arial" w:cs="Arial"/>
            <w:sz w:val="18"/>
            <w:szCs w:val="18"/>
          </w:rPr>
          <w:fldChar w:fldCharType="end"/>
        </w:r>
      </w:p>
    </w:sdtContent>
  </w:sdt>
  <w:p w:rsidR="00801032" w:rsidRDefault="0080103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01032" w:rsidRDefault="00801032">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254</w:t>
        </w:r>
        <w:r w:rsidRPr="006E5046">
          <w:rPr>
            <w:rFonts w:ascii="Arial" w:hAnsi="Arial" w:cs="Arial"/>
            <w:sz w:val="18"/>
            <w:szCs w:val="18"/>
          </w:rPr>
          <w:fldChar w:fldCharType="end"/>
        </w:r>
      </w:p>
    </w:sdtContent>
  </w:sdt>
  <w:p w:rsidR="00801032" w:rsidRDefault="0080103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01032" w:rsidRPr="006E5046" w:rsidRDefault="00801032">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242</w:t>
        </w:r>
        <w:r w:rsidRPr="006E5046">
          <w:rPr>
            <w:rFonts w:ascii="Arial" w:hAnsi="Arial" w:cs="Arial"/>
            <w:sz w:val="18"/>
            <w:szCs w:val="18"/>
          </w:rPr>
          <w:fldChar w:fldCharType="end"/>
        </w:r>
      </w:p>
    </w:sdtContent>
  </w:sdt>
  <w:p w:rsidR="00801032" w:rsidRDefault="00801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32" w:rsidRDefault="00801032" w:rsidP="002A607C">
      <w:r>
        <w:separator/>
      </w:r>
    </w:p>
  </w:footnote>
  <w:footnote w:type="continuationSeparator" w:id="0">
    <w:p w:rsidR="00801032" w:rsidRDefault="00801032" w:rsidP="002A607C">
      <w:r>
        <w:continuationSeparator/>
      </w:r>
    </w:p>
  </w:footnote>
  <w:footnote w:id="1">
    <w:p w:rsidR="00801032" w:rsidRPr="00D80AFE" w:rsidRDefault="00801032"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01032" w:rsidRPr="00D80AFE" w:rsidRDefault="00801032" w:rsidP="00467428">
      <w:pPr>
        <w:pStyle w:val="Tekstprzypisudolnego"/>
        <w:rPr>
          <w:rFonts w:ascii="Arial" w:hAnsi="Arial" w:cs="Arial"/>
          <w:sz w:val="16"/>
          <w:szCs w:val="16"/>
        </w:rPr>
      </w:pPr>
    </w:p>
  </w:footnote>
  <w:footnote w:id="2">
    <w:p w:rsidR="00801032" w:rsidRPr="00BC701C" w:rsidRDefault="00801032"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01032" w:rsidRDefault="00801032"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Default="00801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Pr="00DC13F1" w:rsidRDefault="00801032" w:rsidP="00467428">
    <w:pPr>
      <w:pStyle w:val="Nagwek"/>
      <w:rPr>
        <w:rFonts w:ascii="Arial" w:hAnsi="Arial" w:cs="Arial"/>
        <w:sz w:val="16"/>
        <w:szCs w:val="16"/>
      </w:rPr>
    </w:pPr>
  </w:p>
  <w:p w:rsidR="00801032" w:rsidRDefault="00801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C82"/>
    <w:rsid w:val="005F6E08"/>
    <w:rsid w:val="0062275D"/>
    <w:rsid w:val="006A3EF0"/>
    <w:rsid w:val="006C54E4"/>
    <w:rsid w:val="006C71CD"/>
    <w:rsid w:val="006E381E"/>
    <w:rsid w:val="006E5046"/>
    <w:rsid w:val="006F7FAF"/>
    <w:rsid w:val="007D5C00"/>
    <w:rsid w:val="00801032"/>
    <w:rsid w:val="00844B78"/>
    <w:rsid w:val="00895C58"/>
    <w:rsid w:val="008964C3"/>
    <w:rsid w:val="008A2491"/>
    <w:rsid w:val="008B4E8E"/>
    <w:rsid w:val="00905C73"/>
    <w:rsid w:val="0091798D"/>
    <w:rsid w:val="00921C35"/>
    <w:rsid w:val="00970D8A"/>
    <w:rsid w:val="009953B7"/>
    <w:rsid w:val="009A53F2"/>
    <w:rsid w:val="009A7136"/>
    <w:rsid w:val="009F7F59"/>
    <w:rsid w:val="00A07010"/>
    <w:rsid w:val="00A16439"/>
    <w:rsid w:val="00A16798"/>
    <w:rsid w:val="00A53DC0"/>
    <w:rsid w:val="00A95824"/>
    <w:rsid w:val="00B34F23"/>
    <w:rsid w:val="00B44418"/>
    <w:rsid w:val="00B65538"/>
    <w:rsid w:val="00B826D1"/>
    <w:rsid w:val="00BA2AC6"/>
    <w:rsid w:val="00BC0309"/>
    <w:rsid w:val="00C15CBC"/>
    <w:rsid w:val="00C44E06"/>
    <w:rsid w:val="00C614BC"/>
    <w:rsid w:val="00C61DB0"/>
    <w:rsid w:val="00D45ADE"/>
    <w:rsid w:val="00D67ECF"/>
    <w:rsid w:val="00DA214B"/>
    <w:rsid w:val="00DF4682"/>
    <w:rsid w:val="00E0201E"/>
    <w:rsid w:val="00E20868"/>
    <w:rsid w:val="00E301C7"/>
    <w:rsid w:val="00E443F3"/>
    <w:rsid w:val="00E52537"/>
    <w:rsid w:val="00E7753B"/>
    <w:rsid w:val="00F35A21"/>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5AB1-25A5-4290-B97D-BEC9BF72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127</Pages>
  <Words>97405</Words>
  <Characters>584432</Characters>
  <Application>Microsoft Office Word</Application>
  <DocSecurity>0</DocSecurity>
  <Lines>4870</Lines>
  <Paragraphs>1360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16</cp:revision>
  <cp:lastPrinted>2019-12-16T11:40:00Z</cp:lastPrinted>
  <dcterms:created xsi:type="dcterms:W3CDTF">2019-12-06T08:27:00Z</dcterms:created>
  <dcterms:modified xsi:type="dcterms:W3CDTF">2019-12-20T12:09:00Z</dcterms:modified>
</cp:coreProperties>
</file>