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E6F5B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E6F5B">
        <w:rPr>
          <w:rFonts w:ascii="Arial" w:eastAsia="Times New Roman" w:hAnsi="Arial" w:cs="Arial"/>
          <w:b/>
          <w:sz w:val="28"/>
          <w:szCs w:val="28"/>
          <w:lang w:eastAsia="pl-PL"/>
        </w:rPr>
        <w:t>29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AE6F5B">
        <w:rPr>
          <w:rFonts w:ascii="Arial" w:eastAsia="Times New Roman" w:hAnsi="Arial" w:cs="Arial"/>
          <w:b/>
          <w:sz w:val="28"/>
          <w:szCs w:val="28"/>
          <w:lang w:eastAsia="pl-PL"/>
        </w:rPr>
        <w:t>12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7C60D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7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1984"/>
      </w:tblGrid>
      <w:tr w:rsidR="00F635A8" w:rsidRPr="00FF1ECE" w:rsidTr="00675755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675755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846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1B01A6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1B01A6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A65C6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1B01A6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A469F0">
                <w:rPr>
                  <w:rStyle w:val="Hipercze"/>
                </w:rPr>
                <w:t>http://power.wup-katowice.pl/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A65C6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spacing w:before="120"/>
              <w:ind w:left="417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1B01A6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A65C6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B01A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bookmarkStart w:id="0" w:name="_GoBack"/>
            <w:bookmarkEnd w:id="0"/>
            <w:r>
              <w:rPr>
                <w:rFonts w:ascii="Arial" w:hAnsi="Arial" w:cs="Arial"/>
                <w:lang w:eastAsia="pl-PL"/>
              </w:rPr>
              <w:t xml:space="preserve"> </w:t>
            </w:r>
            <w:r w:rsidR="001A65C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B354CC">
            <w:pPr>
              <w:pStyle w:val="Default"/>
              <w:numPr>
                <w:ilvl w:val="0"/>
                <w:numId w:val="10"/>
              </w:numPr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1B01A6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służące wsparciu 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skierowane do osób z 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924A76" w:rsidRPr="00D8666B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1B01A6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 na regionalnym 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69D4" w:rsidRDefault="00CF69D4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lastRenderedPageBreak/>
              <w:t xml:space="preserve">Instrumenty i usługi rynku pracy służące indywidualizacji wsparcia oraz pomocy w </w:t>
            </w:r>
            <w:r w:rsidRPr="00CF69D4">
              <w:rPr>
                <w:rFonts w:cs="Arial"/>
                <w:bCs/>
                <w:sz w:val="22"/>
                <w:szCs w:val="22"/>
              </w:rPr>
              <w:lastRenderedPageBreak/>
              <w:t xml:space="preserve">zakresie określenia ścieżki 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lastRenderedPageBreak/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1B01A6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1B01A6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Konkurs na projekty wspierające mieszkańców subregionu </w:t>
            </w:r>
            <w:r w:rsidRPr="00701F71">
              <w:rPr>
                <w:rFonts w:ascii="Arial" w:hAnsi="Arial" w:cs="Arial"/>
                <w:lang w:eastAsia="pl-PL"/>
              </w:rPr>
              <w:lastRenderedPageBreak/>
              <w:t>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1B01A6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1B01A6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 xml:space="preserve">Wymagany wkład </w:t>
            </w:r>
            <w:r w:rsidRPr="00105BB1">
              <w:rPr>
                <w:rFonts w:ascii="Arial" w:hAnsi="Arial" w:cs="Arial"/>
                <w:lang w:eastAsia="pl-PL"/>
              </w:rPr>
              <w:lastRenderedPageBreak/>
              <w:t>własny beneficjenta w wysokości min. 5%.</w:t>
            </w:r>
          </w:p>
        </w:tc>
      </w:tr>
      <w:tr w:rsidR="009C6BCA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uzupełnienia lub zdobycia 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zamieszkania, m.in. poprzez 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9C6BCA">
            <w:pPr>
              <w:pStyle w:val="Default"/>
              <w:numPr>
                <w:ilvl w:val="0"/>
                <w:numId w:val="20"/>
              </w:numPr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1A65C6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z Europejskiego </w:t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A2278" w:rsidRPr="004343DD" w:rsidRDefault="004343DD" w:rsidP="004343DD">
            <w:pPr>
              <w:pStyle w:val="Default"/>
              <w:numPr>
                <w:ilvl w:val="0"/>
                <w:numId w:val="22"/>
              </w:numPr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</w:t>
            </w:r>
            <w:r w:rsidRPr="004343DD">
              <w:rPr>
                <w:rFonts w:cs="Arial"/>
                <w:sz w:val="22"/>
                <w:szCs w:val="22"/>
              </w:rPr>
              <w:lastRenderedPageBreak/>
              <w:t>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0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1984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83AB6" w:rsidRPr="00FF1ECE" w:rsidTr="001A65C6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83AB6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283AB6" w:rsidRPr="00283AB6" w:rsidRDefault="00283AB6" w:rsidP="00283AB6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</w:p>
          <w:p w:rsidR="00283AB6" w:rsidRPr="00283AB6" w:rsidRDefault="00283AB6" w:rsidP="00283AB6">
            <w:pPr>
              <w:spacing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Powyższe realizowane będzie poprzez działania w ramach Programu „Młodzież solidarna </w:t>
            </w:r>
            <w:r w:rsidRPr="00283AB6">
              <w:rPr>
                <w:rFonts w:ascii="Arial" w:hAnsi="Arial" w:cs="Arial"/>
              </w:rPr>
              <w:br/>
              <w:t>w działaniu” mające na celu wsparcie kompetencji społecznych młodych ludzi zwiększających ich szanse na rynku pracy poprzez kształtowanie postaw prospołecznych, w tym wspieranie inicjatyw młodzieżowych.</w:t>
            </w:r>
          </w:p>
          <w:p w:rsidR="00283AB6" w:rsidRPr="00283AB6" w:rsidRDefault="00283AB6" w:rsidP="00283AB6">
            <w:pPr>
              <w:spacing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283AB6" w:rsidRPr="00283AB6" w:rsidRDefault="00283AB6" w:rsidP="00283AB6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organizacjach pozarządowych na rzecz wspólnot lokalnych,</w:t>
            </w:r>
          </w:p>
          <w:p w:rsidR="00283AB6" w:rsidRPr="00283AB6" w:rsidRDefault="00283AB6" w:rsidP="00283AB6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283AB6" w:rsidRPr="00283AB6" w:rsidRDefault="00283AB6" w:rsidP="00283AB6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  <w:t xml:space="preserve">w centrach młodzieżowych, funkcjonujących na bazie podmiotów będących Beneficjentami konkursu, itp., </w:t>
            </w: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zapewniających wsparcie lokalowe, doradcze, szkoleniowe młodzieży, młodzieżowych organizacji pozarządowych oraz grup nieformalnych,</w:t>
            </w:r>
          </w:p>
          <w:p w:rsidR="00283AB6" w:rsidRPr="00283AB6" w:rsidRDefault="00283AB6" w:rsidP="00283AB6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1B01A6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1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675755">
        <w:trPr>
          <w:trHeight w:val="2292"/>
        </w:trPr>
        <w:tc>
          <w:tcPr>
            <w:tcW w:w="2518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1907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675755">
        <w:trPr>
          <w:trHeight w:val="2969"/>
        </w:trPr>
        <w:tc>
          <w:tcPr>
            <w:tcW w:w="2518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1907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ich do potrzeb rynku pracy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 xml:space="preserve">w ramach sieci EURES, których finansowanie państwa </w:t>
            </w:r>
            <w:r w:rsidRPr="00511B70">
              <w:rPr>
                <w:rFonts w:ascii="Arial" w:hAnsi="Arial" w:cs="Arial"/>
              </w:rPr>
              <w:lastRenderedPageBreak/>
              <w:t>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</w:t>
            </w:r>
            <w:r w:rsidRPr="00511B70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675755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675755">
        <w:trPr>
          <w:trHeight w:val="78"/>
        </w:trPr>
        <w:tc>
          <w:tcPr>
            <w:tcW w:w="2518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t>Opracowanie modelowych 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283AB6" w:rsidRPr="00D8666B" w:rsidRDefault="001B01A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Pr="00D8666B" w:rsidRDefault="00283AB6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F2B10" w:rsidRPr="00FF1ECE" w:rsidTr="00675755">
        <w:trPr>
          <w:trHeight w:val="78"/>
        </w:trPr>
        <w:tc>
          <w:tcPr>
            <w:tcW w:w="2518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1B01A6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6E568D">
        <w:trPr>
          <w:trHeight w:val="78"/>
        </w:trPr>
        <w:tc>
          <w:tcPr>
            <w:tcW w:w="2518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1B01A6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 xml:space="preserve">Wysoka jakość polityki na rzecz włączenia społecznego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lastRenderedPageBreak/>
              <w:t>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 xml:space="preserve">Podnoszenie kompetencji osób uczestniczących w procesie kształtowania i wdrażania polityk </w:t>
            </w:r>
            <w:r w:rsidRPr="00C351BA">
              <w:rPr>
                <w:rFonts w:ascii="Arial" w:hAnsi="Arial" w:cs="Arial"/>
              </w:rPr>
              <w:lastRenderedPageBreak/>
              <w:t xml:space="preserve">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lastRenderedPageBreak/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Do dofinansowania 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675755">
        <w:trPr>
          <w:trHeight w:val="78"/>
        </w:trPr>
        <w:tc>
          <w:tcPr>
            <w:tcW w:w="2518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1907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w zakresie </w:t>
            </w:r>
            <w:proofErr w:type="spellStart"/>
            <w:r w:rsidRPr="00E7074E">
              <w:rPr>
                <w:rFonts w:ascii="Arial" w:hAnsi="Arial" w:cs="Arial"/>
              </w:rPr>
              <w:t>deinstytucjonalizacji</w:t>
            </w:r>
            <w:proofErr w:type="spellEnd"/>
            <w:r w:rsidRPr="00E7074E">
              <w:rPr>
                <w:rFonts w:ascii="Arial" w:hAnsi="Arial" w:cs="Arial"/>
              </w:rPr>
              <w:t xml:space="preserve"> pieczy zastępczej, w tym działań 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zostaną wybrane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675755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1B01A6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</w:t>
            </w:r>
            <w:r w:rsidRPr="00D8666B">
              <w:rPr>
                <w:rFonts w:ascii="Arial" w:hAnsi="Arial" w:cs="Arial"/>
                <w:i/>
              </w:rPr>
              <w:lastRenderedPageBreak/>
              <w:t>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lastRenderedPageBreak/>
              <w:t xml:space="preserve">Tworzenie i rozwój </w:t>
            </w:r>
            <w:r w:rsidRPr="0038729D">
              <w:rPr>
                <w:rFonts w:ascii="Arial" w:hAnsi="Arial" w:cs="Arial"/>
              </w:rPr>
              <w:lastRenderedPageBreak/>
              <w:t>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lastRenderedPageBreak/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Ministerstwo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D8666B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Do </w:t>
            </w:r>
            <w:r w:rsidRPr="00D8666B">
              <w:rPr>
                <w:rFonts w:ascii="Arial" w:hAnsi="Arial" w:cs="Arial"/>
              </w:rPr>
              <w:lastRenderedPageBreak/>
              <w:t xml:space="preserve">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675755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i MBA w zakresie zarządzania 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zostanie wybrany</w:t>
            </w:r>
            <w:r>
              <w:rPr>
                <w:rFonts w:ascii="Arial" w:hAnsi="Arial" w:cs="Arial"/>
              </w:rPr>
              <w:br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675755">
        <w:trPr>
          <w:trHeight w:val="2110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675755">
        <w:trPr>
          <w:trHeight w:val="2110"/>
        </w:trPr>
        <w:tc>
          <w:tcPr>
            <w:tcW w:w="2518" w:type="dxa"/>
          </w:tcPr>
          <w:p w:rsidR="009C2F91" w:rsidRPr="00D8666B" w:rsidRDefault="009C2F91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 xml:space="preserve">Opracowanie i pilotażowe wdrożenie kompleksowego programu edukacyjnego zwiększającego poziom zlecania i powierzania przez JST realizacji usług społecznych podmiotom </w:t>
            </w:r>
            <w:r w:rsidRPr="00E7074E">
              <w:rPr>
                <w:rFonts w:ascii="Arial" w:hAnsi="Arial" w:cs="Arial"/>
              </w:rPr>
              <w:lastRenderedPageBreak/>
              <w:t>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1B01A6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675755">
        <w:trPr>
          <w:trHeight w:val="2110"/>
        </w:trPr>
        <w:tc>
          <w:tcPr>
            <w:tcW w:w="2518" w:type="dxa"/>
          </w:tcPr>
          <w:p w:rsidR="004C117C" w:rsidRPr="00D8666B" w:rsidRDefault="004C117C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1B01A6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675755">
        <w:trPr>
          <w:trHeight w:val="2110"/>
        </w:trPr>
        <w:tc>
          <w:tcPr>
            <w:tcW w:w="2518" w:type="dxa"/>
          </w:tcPr>
          <w:p w:rsidR="004C117C" w:rsidRPr="00D8666B" w:rsidRDefault="004C117C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11907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BF573B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po rynku pracy (ICT, matematyczno-przyrodniczych, języki obce), nauczania eksperymentalnego, właściwych postaw (kreatywności, innowacyjności, pracy zespołowej) oraz metod zindywidualizowanego podejścia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1B01A6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3D1DD8" w:rsidRPr="00FF1ECE" w:rsidTr="00675755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1907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649D" w:rsidRPr="00FF1ECE" w:rsidTr="00675755">
        <w:trPr>
          <w:trHeight w:val="78"/>
        </w:trPr>
        <w:tc>
          <w:tcPr>
            <w:tcW w:w="2518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="00933C67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1907" w:type="dxa"/>
            <w:gridSpan w:val="11"/>
            <w:vAlign w:val="center"/>
          </w:tcPr>
          <w:p w:rsidR="00F8649D" w:rsidRPr="00FF1ECE" w:rsidRDefault="006E568D" w:rsidP="00F864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 przewiduje się naborów w 2018 r.</w:t>
            </w:r>
          </w:p>
        </w:tc>
      </w:tr>
      <w:tr w:rsidR="00F635A8" w:rsidRPr="00FF1ECE" w:rsidTr="00933C67">
        <w:trPr>
          <w:trHeight w:val="1552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1B01A6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z zakresu mediacji w sprawach gospodarczych oraz wiedzy pozaprawnej przydatnej do pomocy stronom przy rozwiązywaniu spraw cywilnych o charakterze gospodarczym.</w:t>
            </w: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lastRenderedPageBreak/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Szkolenia oraz studia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Ministerstwo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Sprawiedliwości</w:t>
            </w:r>
          </w:p>
          <w:p w:rsidR="00F3402E" w:rsidRPr="00D8666B" w:rsidRDefault="001B01A6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Organizacja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zakresu prawa gospodarczego publicznego i prywatnego/ prawa cywilnego oraz wiedzy pozaprawnej przydatnej do rozstrzygania spraw karnych i cywilnych o charakterze gospodarczym oraz ścigania przestępczości gospodarczej.</w:t>
            </w:r>
          </w:p>
        </w:tc>
      </w:tr>
      <w:tr w:rsidR="00E14C07" w:rsidRPr="00FF1ECE" w:rsidTr="00675755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sędziów, urzędników i innych pracowników zatrudnionych w sądach powszechnych, prokuratorów, urzędników i innych pracowników powszechnych jednostek organizacyjnych prokuratury oraz Ministerstwa Sprawiedliwości 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z zakresu metod i narzędzi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niezbędnych do skutecznej komunikacji ze stronami sporu sądowego.</w:t>
            </w:r>
          </w:p>
        </w:tc>
      </w:tr>
      <w:tr w:rsidR="00B820B0" w:rsidRPr="00FF1ECE" w:rsidTr="00D05F76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JST w zakresie m.in. obsługi podatkowej, stosowania  narzędzi elektronicznych, 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wdrażanie rozwiązań zarządczych w urzędach JST poprawiających jakość obsługi przedsiębiorców w szczególności w zakresie: zarządzania satysfakcją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wdrażanie rozwiązań w JST poprawiających dostęp do usług administracyjnych oraz informacji o lokalach użytkowych i nieruchomościach gruntowych przeznaczonych pod inwestycje, poprawa obsługi klienta z wykorzystaniem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m.in.narzędzi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D8666B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31</w:t>
            </w:r>
            <w:r w:rsidR="00A21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000</w:t>
            </w:r>
            <w:r w:rsidR="00A21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3A0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 xml:space="preserve">, Instytut Geografii i Przestrzennego Zagospodarowania PAN. Na etapie ogłaszania naboru lista ww. miast zostanie załączona w dokumentacji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 projektach wymagane będzie wniesienie wkładu własnego na poziomie min. 15,72% kosztów kwalifikowalnych.</w:t>
            </w:r>
          </w:p>
        </w:tc>
      </w:tr>
      <w:tr w:rsidR="0035327F" w:rsidRPr="00FF1ECE" w:rsidTr="00D05F76">
        <w:trPr>
          <w:trHeight w:val="1094"/>
        </w:trPr>
        <w:tc>
          <w:tcPr>
            <w:tcW w:w="2518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 w 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doskonalenie kompetencji kadr JST w zakresie opracowywania ofert inwestycyjnych oraz obsługi 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elektronizacja procesu obsługi inwestora w szczególności 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lastRenderedPageBreak/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D8666B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Podmiotami uprawnionymi do składania wniosków o dofinansowanie projektów będą 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D05F76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 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1B01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D05F76">
        <w:trPr>
          <w:trHeight w:val="1093"/>
        </w:trPr>
        <w:tc>
          <w:tcPr>
            <w:tcW w:w="2518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0148A6" w:rsidRPr="00867116" w:rsidRDefault="001B01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0148A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Działania  planowane do realizacji w ramach projektu na podstawie ww. typu operacji będą mogły być przeprowadzone po wejściu w życie zmian w Programie oraz wprowadzeniu zmian w Szczegółowym </w:t>
            </w:r>
            <w:r w:rsidRPr="000148A6">
              <w:rPr>
                <w:rFonts w:ascii="Arial" w:hAnsi="Arial" w:cs="Arial"/>
              </w:rPr>
              <w:lastRenderedPageBreak/>
              <w:t>Opisie Osi Priorytetowych PO WER.</w:t>
            </w:r>
          </w:p>
        </w:tc>
      </w:tr>
      <w:tr w:rsidR="000148A6" w:rsidRPr="00FF1ECE" w:rsidTr="00D05F76">
        <w:trPr>
          <w:trHeight w:val="1093"/>
        </w:trPr>
        <w:tc>
          <w:tcPr>
            <w:tcW w:w="2518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0148A6" w:rsidRPr="00867116" w:rsidRDefault="001B01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P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675755">
        <w:trPr>
          <w:trHeight w:val="1093"/>
        </w:trPr>
        <w:tc>
          <w:tcPr>
            <w:tcW w:w="2518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1907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6E568D" w:rsidRPr="00FF1ECE" w:rsidTr="003F184D">
        <w:trPr>
          <w:trHeight w:val="1093"/>
        </w:trPr>
        <w:tc>
          <w:tcPr>
            <w:tcW w:w="2518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126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6E568D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- zwiększenie zdolności adaptacyjnych przedsiębiorców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50 700 000 zł</w:t>
            </w:r>
          </w:p>
        </w:tc>
        <w:tc>
          <w:tcPr>
            <w:tcW w:w="2127" w:type="dxa"/>
            <w:gridSpan w:val="2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1B01A6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3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6E568D" w:rsidRPr="004F1CC1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3F184D">
        <w:trPr>
          <w:trHeight w:val="1093"/>
        </w:trPr>
        <w:tc>
          <w:tcPr>
            <w:tcW w:w="2518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126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1B01A6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4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3F184D">
        <w:trPr>
          <w:trHeight w:val="1093"/>
        </w:trPr>
        <w:tc>
          <w:tcPr>
            <w:tcW w:w="2518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126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58 000 000 zł</w:t>
            </w: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1B01A6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5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III Szkolnictwo wyższe dla gospodarki i rozwoju</w:t>
            </w:r>
          </w:p>
        </w:tc>
      </w:tr>
      <w:tr w:rsidR="00F635A8" w:rsidRPr="00FF1ECE" w:rsidTr="00675755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DUALNE:</w:t>
            </w:r>
          </w:p>
          <w:p w:rsidR="00A64B83" w:rsidRPr="00D8666B" w:rsidRDefault="00810CE6" w:rsidP="00810CE6">
            <w:pPr>
              <w:spacing w:before="120"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344F44">
              <w:rPr>
                <w:rFonts w:ascii="Arial" w:hAnsi="Arial" w:cs="Arial"/>
              </w:rPr>
              <w:t>pracowanie programów kształcenia i realizacja studiów dualnych, czyli kształcenia przemiennego równolegle w formie zajęć dydaktycznych realizowanych w uczelni i zajęć praktycznych odbywanych u pracodawcy, uwzględniających 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1B01A6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675755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>Stworzenie i realizacja kursów edukacyjnych w formie e-learningu dla studentów lub dostępnego dla wszystkich 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675755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10CE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</w:t>
            </w:r>
            <w:r w:rsidRPr="00810CE6">
              <w:rPr>
                <w:rFonts w:ascii="Arial" w:hAnsi="Arial" w:cs="Arial"/>
                <w:sz w:val="22"/>
                <w:szCs w:val="22"/>
              </w:rPr>
              <w:lastRenderedPageBreak/>
              <w:t>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675755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1B01A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675755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846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810CE6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11846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CE5F86">
        <w:trPr>
          <w:trHeight w:val="614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Skalowanie innowacji społecznych - dopracowanie (o ile będzie to konieczne) i 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C22BF9" w:rsidRDefault="00C22BF9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0F05AF" w:rsidRPr="00BD2987" w:rsidRDefault="001B01A6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</w:t>
            </w:r>
            <w:r w:rsidRPr="00BD2987">
              <w:rPr>
                <w:rFonts w:ascii="Arial" w:hAnsi="Arial" w:cs="Arial"/>
                <w:color w:val="000000"/>
              </w:rPr>
              <w:lastRenderedPageBreak/>
              <w:t>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lastRenderedPageBreak/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lastRenderedPageBreak/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lastRenderedPageBreak/>
              <w:t xml:space="preserve">Makro-innowacje – opracowanie (o ile będzie to konieczne), </w:t>
            </w:r>
            <w:r w:rsidRPr="00AB30BB">
              <w:rPr>
                <w:rFonts w:ascii="Arial" w:hAnsi="Arial" w:cs="Arial"/>
              </w:rPr>
              <w:lastRenderedPageBreak/>
              <w:t>przetestowanie, 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0F05AF" w:rsidRDefault="000F05AF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Ministerstwo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Rozwoju</w:t>
            </w:r>
          </w:p>
          <w:p w:rsidR="000F05AF" w:rsidRPr="00BD2987" w:rsidRDefault="001B01A6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1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675755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56 000 000 zł</w:t>
            </w:r>
          </w:p>
        </w:tc>
        <w:tc>
          <w:tcPr>
            <w:tcW w:w="1985" w:type="dxa"/>
          </w:tcPr>
          <w:p w:rsid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AB30BB" w:rsidRPr="00BD2987" w:rsidRDefault="001B01A6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2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A65C1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 xml:space="preserve">Maj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0215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C75F56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C75F56" w:rsidRPr="00BD2987" w:rsidRDefault="001B01A6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</w:t>
            </w:r>
            <w:r w:rsidRPr="00FA6559">
              <w:rPr>
                <w:rFonts w:ascii="Arial" w:hAnsi="Arial" w:cs="Arial"/>
              </w:rPr>
              <w:lastRenderedPageBreak/>
              <w:t>rozwiązań</w:t>
            </w:r>
          </w:p>
          <w:p w:rsidR="00C75F56" w:rsidRPr="00FA6559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C75F56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C75F56" w:rsidRPr="00BD2987" w:rsidRDefault="001B01A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137ADC" w:rsidRPr="00FA6559" w:rsidRDefault="00137ADC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FA6559" w:rsidRDefault="00137ADC" w:rsidP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137ADC" w:rsidRPr="00137ADC" w:rsidRDefault="00137ADC" w:rsidP="00137AD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137ADC" w:rsidRPr="00FA6559" w:rsidRDefault="00137ADC" w:rsidP="00CE5F8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II</w:t>
            </w:r>
          </w:p>
        </w:tc>
        <w:tc>
          <w:tcPr>
            <w:tcW w:w="2268" w:type="dxa"/>
            <w:gridSpan w:val="4"/>
          </w:tcPr>
          <w:p w:rsidR="00137ADC" w:rsidRDefault="00137ADC" w:rsidP="00137A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137ADC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137ADC" w:rsidRPr="00BD2987" w:rsidRDefault="001B01A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AB30BB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 – wrzesień 2018</w:t>
            </w:r>
          </w:p>
          <w:p w:rsidR="00137ADC" w:rsidRPr="00AB30BB" w:rsidRDefault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Nabór –  listopad 2018</w:t>
            </w:r>
          </w:p>
        </w:tc>
        <w:tc>
          <w:tcPr>
            <w:tcW w:w="3402" w:type="dxa"/>
          </w:tcPr>
          <w:p w:rsidR="00137ADC" w:rsidRPr="00CE5F86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</w:t>
            </w:r>
          </w:p>
          <w:p w:rsidR="00137ADC" w:rsidRPr="00A65C1A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137ADC" w:rsidRDefault="00137ADC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137ADC" w:rsidRDefault="001B01A6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CE5F86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846" w:type="dxa"/>
            <w:gridSpan w:val="10"/>
          </w:tcPr>
          <w:p w:rsidR="00137ADC" w:rsidRPr="00DE54C0" w:rsidDel="00AB30BB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 xml:space="preserve">Programy mobilności </w:t>
            </w:r>
            <w:r w:rsidRPr="00BD2987">
              <w:rPr>
                <w:rFonts w:ascii="Arial" w:hAnsi="Arial" w:cs="Arial"/>
                <w:bCs/>
                <w:i/>
              </w:rPr>
              <w:lastRenderedPageBreak/>
              <w:t>ponadnarodowej</w:t>
            </w:r>
          </w:p>
        </w:tc>
        <w:tc>
          <w:tcPr>
            <w:tcW w:w="2207" w:type="dxa"/>
            <w:gridSpan w:val="3"/>
          </w:tcPr>
          <w:p w:rsidR="00137ADC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137ADC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137ADC" w:rsidRPr="000148A6" w:rsidRDefault="00137ADC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lastRenderedPageBreak/>
              <w:t xml:space="preserve">Programy mobilności ponadnarodowej dla </w:t>
            </w:r>
            <w:r>
              <w:rPr>
                <w:rFonts w:ascii="Arial" w:hAnsi="Arial" w:cs="Arial"/>
              </w:rPr>
              <w:lastRenderedPageBreak/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Ministerstwo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Rozwoju</w:t>
            </w:r>
          </w:p>
          <w:p w:rsidR="00137ADC" w:rsidRPr="00BD2987" w:rsidRDefault="001B01A6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DE54C0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456D08" w:rsidRDefault="00137ADC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11846" w:type="dxa"/>
            <w:gridSpan w:val="10"/>
            <w:vAlign w:val="center"/>
          </w:tcPr>
          <w:p w:rsidR="00137ADC" w:rsidRPr="00DE54C0" w:rsidRDefault="00137ADC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20 000 000 zł</w:t>
            </w:r>
          </w:p>
        </w:tc>
        <w:tc>
          <w:tcPr>
            <w:tcW w:w="2127" w:type="dxa"/>
            <w:gridSpan w:val="2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867116" w:rsidRDefault="001B01A6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8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736D0D" w:rsidRDefault="00137ADC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wrzesień</w:t>
            </w:r>
            <w:r w:rsidRPr="00736D0D">
              <w:rPr>
                <w:rFonts w:ascii="Arial" w:hAnsi="Arial" w:cs="Arial"/>
                <w:bCs/>
                <w:lang w:eastAsia="pl-PL"/>
              </w:rPr>
              <w:t xml:space="preserve">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137ADC" w:rsidRDefault="00137ADC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BD2987" w:rsidRDefault="001B01A6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280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137ADC" w:rsidRPr="00FF1ECE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137ADC" w:rsidRPr="00D8666B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III kw. 2018</w:t>
            </w:r>
            <w:r>
              <w:rPr>
                <w:rStyle w:val="Teksttreci11pt"/>
                <w:b w:val="0"/>
                <w:color w:val="000000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 xml:space="preserve">Szkolenia pracowników administracyjnych i zarządzających podmiotami leczniczymi jak również przedstawicieli płatnika i podmiotów tworzących służące  poprawie efektywności funkcjonowania systemu ochrony zdrowia, ze szczególnym uwzględnieniem  rozwoju zdolności analitycznych i audytu </w:t>
            </w:r>
            <w:r w:rsidRPr="00D50346">
              <w:rPr>
                <w:rStyle w:val="Teksttreci11pt"/>
                <w:b w:val="0"/>
                <w:color w:val="000000"/>
              </w:rPr>
              <w:lastRenderedPageBreak/>
              <w:t>wewnętrznego w jednostkach systemu ochrony zdrowia.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>20 000000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1B01A6" w:rsidP="00D50346">
            <w:pPr>
              <w:jc w:val="center"/>
              <w:rPr>
                <w:rStyle w:val="Teksttreci11pt"/>
                <w:color w:val="000000"/>
              </w:rPr>
            </w:pPr>
            <w:hyperlink r:id="rId60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50346" w:rsidRDefault="00137ADC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0346">
              <w:rPr>
                <w:rFonts w:ascii="Arial" w:hAnsi="Arial" w:cs="Arial"/>
              </w:rPr>
              <w:t>W tym działaniu przewiduje się także projekty realizowane w trybie pozakonkursowym</w:t>
            </w: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C014C8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C014C8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137ADC" w:rsidRPr="00D50346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50346" w:rsidRDefault="00137ADC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98 000 000 zł</w:t>
            </w:r>
          </w:p>
        </w:tc>
        <w:tc>
          <w:tcPr>
            <w:tcW w:w="1985" w:type="dxa"/>
          </w:tcPr>
          <w:p w:rsidR="00137ADC" w:rsidRDefault="00137ADC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1B01A6" w:rsidP="00D50346">
            <w:pPr>
              <w:jc w:val="center"/>
              <w:rPr>
                <w:rStyle w:val="Teksttreci11pt"/>
                <w:color w:val="000000"/>
              </w:rPr>
            </w:pPr>
            <w:hyperlink r:id="rId61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C014C8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867116" w:rsidRDefault="00137ADC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D8666B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D8666B" w:rsidRDefault="00137ADC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D5034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Realizacja programów rozwojowych dla uczelni medycznych uczestniczących w procesie kształcenia pielęgniarek 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90 000 000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1B01A6" w:rsidP="00110331">
            <w:pPr>
              <w:jc w:val="center"/>
              <w:rPr>
                <w:rStyle w:val="Teksttreci11pt"/>
                <w:color w:val="000000"/>
              </w:rPr>
            </w:pPr>
            <w:hyperlink r:id="rId62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110331">
            <w:pPr>
              <w:spacing w:before="120" w:after="100" w:afterAutospacing="1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Doskonalenie zawodowe pracowników innych zawodów istotnych z punktu widzenia funkcjonowania systemu ochrony zdrowia w obszarach istotnych 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10 000 000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1B01A6" w:rsidP="00110331">
            <w:pPr>
              <w:jc w:val="center"/>
              <w:rPr>
                <w:rStyle w:val="Teksttreci11pt"/>
                <w:color w:val="000000"/>
              </w:rPr>
            </w:pPr>
            <w:hyperlink r:id="rId63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933C67">
            <w:pPr>
              <w:spacing w:before="120" w:after="100" w:afterAutospacing="1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 xml:space="preserve">Kształcenie podyplomowe lekarzy realizowane w innych formach niż specjalizacje w obszarach istotnych z punktu widzenia potrzeb epidemiologiczno-demograficznych kraju, ze szczególnym uwzględnieniem </w:t>
            </w:r>
            <w:r w:rsidRPr="00110331">
              <w:rPr>
                <w:rStyle w:val="Teksttreci11pt"/>
                <w:b w:val="0"/>
                <w:color w:val="000000"/>
              </w:rPr>
              <w:lastRenderedPageBreak/>
              <w:t>lekarzy współpracujących z 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lastRenderedPageBreak/>
              <w:t>80 000 000 zł</w:t>
            </w:r>
          </w:p>
        </w:tc>
        <w:tc>
          <w:tcPr>
            <w:tcW w:w="1985" w:type="dxa"/>
          </w:tcPr>
          <w:p w:rsidR="00137ADC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1B01A6" w:rsidP="00110331">
            <w:pPr>
              <w:jc w:val="center"/>
              <w:rPr>
                <w:rStyle w:val="Teksttreci11pt"/>
                <w:color w:val="000000"/>
              </w:rPr>
            </w:pPr>
            <w:hyperlink r:id="rId64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65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86" w:rsidRDefault="00CE5F86" w:rsidP="00946CD5">
      <w:pPr>
        <w:spacing w:after="0" w:line="240" w:lineRule="auto"/>
      </w:pPr>
      <w:r>
        <w:separator/>
      </w:r>
    </w:p>
  </w:endnote>
  <w:endnote w:type="continuationSeparator" w:id="0">
    <w:p w:rsidR="00CE5F86" w:rsidRDefault="00CE5F86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86" w:rsidRDefault="00CE5F86" w:rsidP="00946CD5">
      <w:pPr>
        <w:spacing w:after="0" w:line="240" w:lineRule="auto"/>
      </w:pPr>
      <w:r>
        <w:separator/>
      </w:r>
    </w:p>
  </w:footnote>
  <w:footnote w:type="continuationSeparator" w:id="0">
    <w:p w:rsidR="00CE5F86" w:rsidRDefault="00CE5F86" w:rsidP="00946CD5">
      <w:pPr>
        <w:spacing w:after="0" w:line="240" w:lineRule="auto"/>
      </w:pPr>
      <w:r>
        <w:continuationSeparator/>
      </w:r>
    </w:p>
  </w:footnote>
  <w:footnote w:id="1">
    <w:p w:rsidR="00CE5F86" w:rsidRPr="000017C1" w:rsidRDefault="00CE5F86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CE5F86" w:rsidRPr="00ED2E5F" w:rsidRDefault="00CE5F86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CE5F86" w:rsidRPr="00A10A03" w:rsidRDefault="00CE5F86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CE5F86" w:rsidRDefault="00CE5F86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CE5F86" w:rsidRDefault="00CE5F86">
      <w:pPr>
        <w:pStyle w:val="Tekstprzypisudolnego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CE5F86" w:rsidRPr="00CE5F86" w:rsidRDefault="00CE5F86" w:rsidP="00CE5F86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CE5F86" w:rsidRDefault="00CE5F86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Pr="009A2278" w:rsidRDefault="00CE5F86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10"/>
  </w:num>
  <w:num w:numId="5">
    <w:abstractNumId w:val="9"/>
  </w:num>
  <w:num w:numId="6">
    <w:abstractNumId w:val="4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13"/>
  </w:num>
  <w:num w:numId="12">
    <w:abstractNumId w:val="1"/>
  </w:num>
  <w:num w:numId="13">
    <w:abstractNumId w:val="22"/>
  </w:num>
  <w:num w:numId="14">
    <w:abstractNumId w:val="16"/>
  </w:num>
  <w:num w:numId="15">
    <w:abstractNumId w:val="7"/>
  </w:num>
  <w:num w:numId="16">
    <w:abstractNumId w:val="2"/>
  </w:num>
  <w:num w:numId="17">
    <w:abstractNumId w:val="23"/>
  </w:num>
  <w:num w:numId="18">
    <w:abstractNumId w:val="14"/>
  </w:num>
  <w:num w:numId="19">
    <w:abstractNumId w:val="0"/>
  </w:num>
  <w:num w:numId="20">
    <w:abstractNumId w:val="17"/>
  </w:num>
  <w:num w:numId="21">
    <w:abstractNumId w:val="24"/>
  </w:num>
  <w:num w:numId="22">
    <w:abstractNumId w:val="8"/>
  </w:num>
  <w:num w:numId="23">
    <w:abstractNumId w:val="6"/>
  </w:num>
  <w:num w:numId="24">
    <w:abstractNumId w:val="12"/>
  </w:num>
  <w:num w:numId="25">
    <w:abstractNumId w:val="5"/>
  </w:num>
  <w:num w:numId="2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148A6"/>
    <w:rsid w:val="00017734"/>
    <w:rsid w:val="00021545"/>
    <w:rsid w:val="00025AC5"/>
    <w:rsid w:val="00033FDE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230D"/>
    <w:rsid w:val="00116585"/>
    <w:rsid w:val="00124022"/>
    <w:rsid w:val="00137ADC"/>
    <w:rsid w:val="001537F3"/>
    <w:rsid w:val="0017764F"/>
    <w:rsid w:val="00192E52"/>
    <w:rsid w:val="001A65C6"/>
    <w:rsid w:val="001B01A6"/>
    <w:rsid w:val="001C0080"/>
    <w:rsid w:val="001C23C4"/>
    <w:rsid w:val="001D24B6"/>
    <w:rsid w:val="002114A2"/>
    <w:rsid w:val="00230B1B"/>
    <w:rsid w:val="00283AB6"/>
    <w:rsid w:val="002B19D6"/>
    <w:rsid w:val="002B3176"/>
    <w:rsid w:val="002C40A7"/>
    <w:rsid w:val="002D5BDA"/>
    <w:rsid w:val="00304433"/>
    <w:rsid w:val="00312206"/>
    <w:rsid w:val="0034618C"/>
    <w:rsid w:val="00346A25"/>
    <w:rsid w:val="003473B3"/>
    <w:rsid w:val="0035327F"/>
    <w:rsid w:val="00395238"/>
    <w:rsid w:val="003A04F4"/>
    <w:rsid w:val="003B31CB"/>
    <w:rsid w:val="003C4876"/>
    <w:rsid w:val="003D1DD8"/>
    <w:rsid w:val="003D3F75"/>
    <w:rsid w:val="003E4559"/>
    <w:rsid w:val="003F184D"/>
    <w:rsid w:val="003F3E87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4E57"/>
    <w:rsid w:val="004C117C"/>
    <w:rsid w:val="004F1CC1"/>
    <w:rsid w:val="00511B70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75755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36D0D"/>
    <w:rsid w:val="0073783A"/>
    <w:rsid w:val="0073788E"/>
    <w:rsid w:val="00771DA4"/>
    <w:rsid w:val="007B2B49"/>
    <w:rsid w:val="007C60DF"/>
    <w:rsid w:val="007D7D70"/>
    <w:rsid w:val="007F3261"/>
    <w:rsid w:val="00810CE6"/>
    <w:rsid w:val="00861CFB"/>
    <w:rsid w:val="00867116"/>
    <w:rsid w:val="00883492"/>
    <w:rsid w:val="008960B1"/>
    <w:rsid w:val="008A7B09"/>
    <w:rsid w:val="008B1320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A2278"/>
    <w:rsid w:val="009C2654"/>
    <w:rsid w:val="009C2F91"/>
    <w:rsid w:val="009C6BCA"/>
    <w:rsid w:val="009C7F77"/>
    <w:rsid w:val="009E22C4"/>
    <w:rsid w:val="009F335C"/>
    <w:rsid w:val="00A10A03"/>
    <w:rsid w:val="00A2128F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5AC9"/>
    <w:rsid w:val="00BC0F66"/>
    <w:rsid w:val="00BC1F19"/>
    <w:rsid w:val="00BD0B1C"/>
    <w:rsid w:val="00BD2987"/>
    <w:rsid w:val="00BD7D81"/>
    <w:rsid w:val="00BF573B"/>
    <w:rsid w:val="00BF704E"/>
    <w:rsid w:val="00C014C8"/>
    <w:rsid w:val="00C10503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www.ms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www.power.gov.pl" TargetMode="External"/><Relationship Id="rId47" Type="http://schemas.openxmlformats.org/officeDocument/2006/relationships/hyperlink" Target="file:///\\Tango\DZF\PO%20WER\Promocja\Harmonogramy\2017_Harmonogram\www.ncbir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power.gov.pl" TargetMode="External"/><Relationship Id="rId63" Type="http://schemas.openxmlformats.org/officeDocument/2006/relationships/hyperlink" Target="http://zdrowie.gov.pl/power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www.ms.gov.pl" TargetMode="External"/><Relationship Id="rId40" Type="http://schemas.openxmlformats.org/officeDocument/2006/relationships/hyperlink" Target="file:///\\Tango\DZF\PO%20WER\Promocja\Harmonogramy\2017_Harmonogram\www.power.gov.pl" TargetMode="External"/><Relationship Id="rId45" Type="http://schemas.openxmlformats.org/officeDocument/2006/relationships/hyperlink" Target="file:///E:\www.parp.gov.pl" TargetMode="External"/><Relationship Id="rId53" Type="http://schemas.openxmlformats.org/officeDocument/2006/relationships/hyperlink" Target="file:///\\Tango\DZF\PO%20WER\Promocja\Harmonogramy\2017_Harmonogram\www.power.gov.pl" TargetMode="External"/><Relationship Id="rId58" Type="http://schemas.openxmlformats.org/officeDocument/2006/relationships/hyperlink" Target="file:///\\Tango\DZF\PO%20WER\Promocja\Harmonogramy\2017_Harmonogram\www.cpe.gov.p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en.gov.pl" TargetMode="External"/><Relationship Id="rId49" Type="http://schemas.openxmlformats.org/officeDocument/2006/relationships/hyperlink" Target="file:///\\Tango\DZF\PO%20WER\Promocja\Harmonogramy\2017_Harmonogram\www.ncbir.pl" TargetMode="External"/><Relationship Id="rId57" Type="http://schemas.openxmlformats.org/officeDocument/2006/relationships/hyperlink" Target="file:///\\Tango\DZF\PO%20WER\Promocja\Harmonogramy\2017_Harmonogram\www.power.gov.pl" TargetMode="External"/><Relationship Id="rId61" Type="http://schemas.openxmlformats.org/officeDocument/2006/relationships/hyperlink" Target="http://zdrowie.gov.pl/power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E:\www.parp.gov.pl" TargetMode="External"/><Relationship Id="rId52" Type="http://schemas.openxmlformats.org/officeDocument/2006/relationships/hyperlink" Target="file:///\\Tango\DZF\PO%20WER\Promocja\Harmonogramy\2017_Harmonogram\www.power.gov.pl" TargetMode="External"/><Relationship Id="rId60" Type="http://schemas.openxmlformats.org/officeDocument/2006/relationships/hyperlink" Target="http://zdrowie.gov.pl/power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E:\www.parp.gov.pl" TargetMode="External"/><Relationship Id="rId48" Type="http://schemas.openxmlformats.org/officeDocument/2006/relationships/hyperlink" Target="file:///\\Tango\DZF\PO%20WER\Promocja\Harmonogramy\2017_Harmonogram\www.ncbir.pl" TargetMode="External"/><Relationship Id="rId56" Type="http://schemas.openxmlformats.org/officeDocument/2006/relationships/hyperlink" Target="file:///\\Tango\DZF\PO%20WER\Promocja\Harmonogramy\2017_Harmonogram\www.power.gov.pl" TargetMode="External"/><Relationship Id="rId64" Type="http://schemas.openxmlformats.org/officeDocument/2006/relationships/hyperlink" Target="http://zdrowie.gov.pl/power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www.power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E:\www.ms.gov.pl" TargetMode="External"/><Relationship Id="rId46" Type="http://schemas.openxmlformats.org/officeDocument/2006/relationships/hyperlink" Target="file:///\\Tango\DZF\PO%20WER\Promocja\Harmonogramy\2017_Harmonogram\www.ncbir.pl" TargetMode="External"/><Relationship Id="rId59" Type="http://schemas.openxmlformats.org/officeDocument/2006/relationships/hyperlink" Target="file:///\\Tango\DZF\PO%20WER\Promocja\Harmonogramy\2017_Harmonogram\www.cpe.gov.p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upwarszawa.praca.gov.pl/" TargetMode="External"/><Relationship Id="rId41" Type="http://schemas.openxmlformats.org/officeDocument/2006/relationships/hyperlink" Target="file:///\\Tango\DZF\PO%20WER\Promocja\Harmonogramy\2017_Harmonogram\www.power.gov.pl" TargetMode="External"/><Relationship Id="rId54" Type="http://schemas.openxmlformats.org/officeDocument/2006/relationships/hyperlink" Target="file:///\\Tango\DZF\PO%20WER\Promocja\Harmonogramy\2017_Harmonogram\www.power.gov.pl" TargetMode="External"/><Relationship Id="rId62" Type="http://schemas.openxmlformats.org/officeDocument/2006/relationships/hyperlink" Target="http://zdrowie.gov.pl/powe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C332-A986-4199-894F-FB3B886F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60</Pages>
  <Words>9729</Words>
  <Characters>58378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67972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13</cp:revision>
  <cp:lastPrinted>2017-04-06T10:46:00Z</cp:lastPrinted>
  <dcterms:created xsi:type="dcterms:W3CDTF">2017-11-27T13:42:00Z</dcterms:created>
  <dcterms:modified xsi:type="dcterms:W3CDTF">2017-12-29T11:21:00Z</dcterms:modified>
</cp:coreProperties>
</file>