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6E" w:rsidRPr="00FC3575" w:rsidRDefault="00F84A51" w:rsidP="00FC3575">
      <w:pPr>
        <w:pStyle w:val="Default"/>
        <w:jc w:val="center"/>
        <w:rPr>
          <w:rFonts w:ascii="Times New Roman" w:hAnsi="Times New Roman" w:cs="Times New Roman"/>
          <w:b/>
          <w:color w:val="auto"/>
          <w:sz w:val="22"/>
          <w:szCs w:val="22"/>
          <w:u w:val="single"/>
        </w:rPr>
      </w:pPr>
      <w:r>
        <w:rPr>
          <w:rFonts w:ascii="Times New Roman" w:hAnsi="Times New Roman" w:cs="Times New Roman"/>
          <w:b/>
          <w:color w:val="auto"/>
          <w:sz w:val="22"/>
          <w:szCs w:val="22"/>
          <w:u w:val="single"/>
        </w:rPr>
        <w:t>Zasady oceny finansowej</w:t>
      </w:r>
      <w:r w:rsidR="00FC3575">
        <w:rPr>
          <w:rFonts w:ascii="Times New Roman" w:hAnsi="Times New Roman" w:cs="Times New Roman"/>
          <w:b/>
          <w:color w:val="auto"/>
          <w:sz w:val="22"/>
          <w:szCs w:val="22"/>
          <w:u w:val="single"/>
        </w:rPr>
        <w:t xml:space="preserve"> </w:t>
      </w:r>
      <w:r w:rsidR="009F626E" w:rsidRPr="001828B1">
        <w:rPr>
          <w:rFonts w:ascii="Times New Roman" w:hAnsi="Times New Roman"/>
          <w:b/>
        </w:rPr>
        <w:t xml:space="preserve">kryterium </w:t>
      </w:r>
      <w:r w:rsidR="00FC3575">
        <w:rPr>
          <w:rFonts w:ascii="Times New Roman" w:hAnsi="Times New Roman"/>
          <w:b/>
        </w:rPr>
        <w:t>–</w:t>
      </w:r>
      <w:r w:rsidR="00177B43">
        <w:rPr>
          <w:rFonts w:ascii="Times New Roman" w:hAnsi="Times New Roman"/>
          <w:b/>
        </w:rPr>
        <w:t xml:space="preserve"> </w:t>
      </w:r>
      <w:r w:rsidR="00177B43" w:rsidRPr="00177B43">
        <w:rPr>
          <w:rFonts w:ascii="Times New Roman" w:hAnsi="Times New Roman"/>
          <w:b/>
        </w:rPr>
        <w:t>Finansowe założenia projektu i potwierdzają jego opłac</w:t>
      </w:r>
      <w:r w:rsidR="00177B43">
        <w:rPr>
          <w:rFonts w:ascii="Times New Roman" w:hAnsi="Times New Roman"/>
          <w:b/>
        </w:rPr>
        <w:t>alność oraz trwałość finansową</w:t>
      </w:r>
      <w:r w:rsidR="00177B43" w:rsidRPr="00177B43">
        <w:rPr>
          <w:rFonts w:ascii="Times New Roman" w:hAnsi="Times New Roman"/>
          <w:b/>
        </w:rPr>
        <w:t>, a wnioskowana kwota wsparcia i planowane wydatki są  zgodne z zasadami finansowania projektów</w:t>
      </w:r>
    </w:p>
    <w:p w:rsidR="009F626E" w:rsidRPr="001828B1" w:rsidRDefault="009F626E" w:rsidP="00E65AA4">
      <w:pPr>
        <w:spacing w:after="0" w:line="240" w:lineRule="auto"/>
        <w:rPr>
          <w:rFonts w:ascii="Times New Roman" w:hAnsi="Times New Roman"/>
        </w:rPr>
      </w:pPr>
    </w:p>
    <w:p w:rsidR="009F626E" w:rsidRPr="001828B1" w:rsidRDefault="009F626E" w:rsidP="00E65AA4">
      <w:pPr>
        <w:spacing w:after="0" w:line="240" w:lineRule="auto"/>
        <w:rPr>
          <w:rFonts w:ascii="Times New Roman" w:hAnsi="Times New Roman"/>
        </w:rPr>
      </w:pPr>
      <w:r w:rsidRPr="001828B1">
        <w:rPr>
          <w:rFonts w:ascii="Times New Roman" w:hAnsi="Times New Roman"/>
        </w:rPr>
        <w:t xml:space="preserve">W ramach kryterium </w:t>
      </w:r>
      <w:r w:rsidR="00177B43">
        <w:rPr>
          <w:rFonts w:ascii="Times New Roman" w:hAnsi="Times New Roman"/>
        </w:rPr>
        <w:t xml:space="preserve"> </w:t>
      </w:r>
      <w:bookmarkStart w:id="0" w:name="_GoBack"/>
      <w:bookmarkEnd w:id="0"/>
      <w:r w:rsidRPr="001828B1">
        <w:rPr>
          <w:rFonts w:ascii="Times New Roman" w:hAnsi="Times New Roman"/>
        </w:rPr>
        <w:t>ocenie podlega</w:t>
      </w:r>
      <w:r w:rsidR="00177B43">
        <w:rPr>
          <w:rFonts w:ascii="Times New Roman" w:hAnsi="Times New Roman"/>
        </w:rPr>
        <w:t xml:space="preserve"> m.in.</w:t>
      </w:r>
      <w:r w:rsidRPr="001828B1">
        <w:rPr>
          <w:rFonts w:ascii="Times New Roman" w:hAnsi="Times New Roman"/>
        </w:rPr>
        <w:t>:</w:t>
      </w:r>
    </w:p>
    <w:p w:rsidR="009F626E" w:rsidRPr="001828B1" w:rsidRDefault="009F626E" w:rsidP="00FC3575">
      <w:pPr>
        <w:pStyle w:val="Akapitzlist"/>
        <w:numPr>
          <w:ilvl w:val="0"/>
          <w:numId w:val="1"/>
        </w:numPr>
        <w:spacing w:after="0" w:line="240" w:lineRule="auto"/>
        <w:jc w:val="both"/>
        <w:rPr>
          <w:rFonts w:ascii="Times New Roman" w:hAnsi="Times New Roman"/>
        </w:rPr>
      </w:pPr>
      <w:r w:rsidRPr="001828B1">
        <w:rPr>
          <w:rFonts w:ascii="Times New Roman" w:hAnsi="Times New Roman"/>
        </w:rPr>
        <w:t xml:space="preserve">kondycja finansowa przedsiębiorstwa w okresie bezpośrednio poprzedzającym okres realizacji projektu, w trakcie realizacji projektu oraz w okresie trwałości z jednoczesną identyfikacją przesłanek wskazujących na </w:t>
      </w:r>
      <w:r w:rsidRPr="001828B1">
        <w:rPr>
          <w:rFonts w:ascii="Times New Roman" w:hAnsi="Times New Roman"/>
          <w:shd w:val="clear" w:color="auto" w:fill="FFFFFF"/>
        </w:rPr>
        <w:t>trudną sytu</w:t>
      </w:r>
      <w:r w:rsidR="00FC3575">
        <w:rPr>
          <w:rFonts w:ascii="Times New Roman" w:hAnsi="Times New Roman"/>
          <w:shd w:val="clear" w:color="auto" w:fill="FFFFFF"/>
        </w:rPr>
        <w:t>ację finansową przedsiębiorstwa;</w:t>
      </w:r>
    </w:p>
    <w:p w:rsidR="009F626E" w:rsidRPr="001828B1" w:rsidRDefault="009F626E" w:rsidP="00FC3575">
      <w:pPr>
        <w:pStyle w:val="Akapitzlist"/>
        <w:numPr>
          <w:ilvl w:val="0"/>
          <w:numId w:val="1"/>
        </w:numPr>
        <w:spacing w:after="0" w:line="240" w:lineRule="auto"/>
        <w:jc w:val="both"/>
        <w:rPr>
          <w:rFonts w:ascii="Times New Roman" w:hAnsi="Times New Roman"/>
        </w:rPr>
      </w:pPr>
      <w:r w:rsidRPr="001828B1">
        <w:rPr>
          <w:rFonts w:ascii="Times New Roman" w:hAnsi="Times New Roman"/>
        </w:rPr>
        <w:t>zdolność finansowa wnioskodawcy do realizacji projektu w tym wiarygodno</w:t>
      </w:r>
      <w:r w:rsidR="00FC3575">
        <w:rPr>
          <w:rFonts w:ascii="Times New Roman" w:hAnsi="Times New Roman"/>
        </w:rPr>
        <w:t>ść źródeł finansowania projektu;</w:t>
      </w:r>
    </w:p>
    <w:p w:rsidR="009F626E" w:rsidRPr="001828B1" w:rsidRDefault="00902A73" w:rsidP="00FC3575">
      <w:pPr>
        <w:pStyle w:val="Akapitzlist"/>
        <w:numPr>
          <w:ilvl w:val="0"/>
          <w:numId w:val="1"/>
        </w:numPr>
        <w:spacing w:after="0" w:line="240" w:lineRule="auto"/>
        <w:jc w:val="both"/>
        <w:rPr>
          <w:rFonts w:ascii="Times New Roman" w:hAnsi="Times New Roman"/>
        </w:rPr>
      </w:pPr>
      <w:r w:rsidRPr="00FC3575">
        <w:rPr>
          <w:rFonts w:ascii="Times New Roman" w:hAnsi="Times New Roman"/>
        </w:rPr>
        <w:t>opłacalność</w:t>
      </w:r>
      <w:r w:rsidR="009F626E" w:rsidRPr="00FC3575">
        <w:rPr>
          <w:rFonts w:ascii="Times New Roman" w:hAnsi="Times New Roman"/>
        </w:rPr>
        <w:t xml:space="preserve"> </w:t>
      </w:r>
      <w:r w:rsidR="00FC3575">
        <w:rPr>
          <w:rFonts w:ascii="Times New Roman" w:hAnsi="Times New Roman"/>
        </w:rPr>
        <w:t>finansowa projektu;</w:t>
      </w:r>
    </w:p>
    <w:p w:rsidR="009F626E" w:rsidRPr="001828B1" w:rsidRDefault="009F626E" w:rsidP="00FC3575">
      <w:pPr>
        <w:pStyle w:val="Akapitzlist"/>
        <w:numPr>
          <w:ilvl w:val="0"/>
          <w:numId w:val="1"/>
        </w:numPr>
        <w:spacing w:after="0" w:line="240" w:lineRule="auto"/>
        <w:jc w:val="both"/>
        <w:rPr>
          <w:rFonts w:ascii="Times New Roman" w:hAnsi="Times New Roman"/>
        </w:rPr>
      </w:pPr>
      <w:r w:rsidRPr="001828B1">
        <w:rPr>
          <w:rFonts w:ascii="Times New Roman" w:hAnsi="Times New Roman"/>
        </w:rPr>
        <w:t>trwałość f</w:t>
      </w:r>
      <w:r w:rsidR="00FC3575">
        <w:rPr>
          <w:rFonts w:ascii="Times New Roman" w:hAnsi="Times New Roman"/>
        </w:rPr>
        <w:t>inansowa projektu.</w:t>
      </w:r>
    </w:p>
    <w:p w:rsidR="009F626E" w:rsidRDefault="009F626E" w:rsidP="00E65AA4">
      <w:pPr>
        <w:spacing w:after="0" w:line="240" w:lineRule="auto"/>
        <w:rPr>
          <w:rFonts w:ascii="Times New Roman" w:hAnsi="Times New Roman"/>
          <w:b/>
        </w:rPr>
      </w:pPr>
    </w:p>
    <w:p w:rsidR="00902A73" w:rsidRDefault="00902A73"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t xml:space="preserve">Ad 1) </w:t>
      </w:r>
    </w:p>
    <w:p w:rsidR="009F626E" w:rsidRPr="001828B1" w:rsidRDefault="009F626E" w:rsidP="009C6D31">
      <w:pPr>
        <w:spacing w:after="0" w:line="240" w:lineRule="auto"/>
        <w:jc w:val="both"/>
        <w:rPr>
          <w:rFonts w:ascii="Times New Roman" w:eastAsia="TTE1D21D00t00" w:hAnsi="Times New Roman"/>
        </w:rPr>
      </w:pPr>
      <w:r w:rsidRPr="001828B1">
        <w:rPr>
          <w:rFonts w:ascii="Times New Roman" w:hAnsi="Times New Roman"/>
        </w:rPr>
        <w:t>Warunkiem uznania kryterium za spełnione jest pozytywna ocena kondycji finansowej przedsiębiorstwa w okresie historycznym (3 lata wstecz oraz ostatni zamknięty kwartał przed złożeniem wniosku), w trakcie realizacji projektu oraz w okresie trwałości (3 lub 5 lat). Kondycja finansowa wnioskodawcy zostanie</w:t>
      </w:r>
      <w:r w:rsidRPr="001828B1">
        <w:rPr>
          <w:rFonts w:ascii="Times New Roman" w:eastAsia="TTE1D21D00t00" w:hAnsi="Times New Roman"/>
        </w:rPr>
        <w:t xml:space="preserve"> </w:t>
      </w:r>
      <w:r w:rsidRPr="001828B1">
        <w:rPr>
          <w:rFonts w:ascii="Times New Roman" w:hAnsi="Times New Roman"/>
        </w:rPr>
        <w:t>poddana procesowi oceny za pomoc</w:t>
      </w:r>
      <w:r w:rsidRPr="001828B1">
        <w:rPr>
          <w:rFonts w:ascii="Times New Roman" w:eastAsia="TTE1D21D00t00" w:hAnsi="Times New Roman"/>
        </w:rPr>
        <w:t xml:space="preserve">ą wskaźników finansowych liczonych wg następujących formuł: </w:t>
      </w:r>
    </w:p>
    <w:p w:rsidR="009F626E" w:rsidRPr="001828B1" w:rsidRDefault="009F626E" w:rsidP="005F7555">
      <w:pPr>
        <w:pStyle w:val="Akapitzlist"/>
        <w:numPr>
          <w:ilvl w:val="0"/>
          <w:numId w:val="17"/>
        </w:numPr>
        <w:spacing w:after="0"/>
        <w:ind w:left="709" w:hanging="283"/>
        <w:rPr>
          <w:rFonts w:ascii="Times New Roman" w:hAnsi="Times New Roman"/>
        </w:rPr>
      </w:pPr>
      <w:r w:rsidRPr="001828B1">
        <w:rPr>
          <w:rFonts w:ascii="Times New Roman" w:hAnsi="Times New Roman"/>
          <w:b/>
        </w:rPr>
        <w:t>rentowność sprzedaży (ROS)</w:t>
      </w:r>
      <w:r w:rsidRPr="001828B1">
        <w:rPr>
          <w:rFonts w:ascii="Times New Roman" w:hAnsi="Times New Roman"/>
        </w:rPr>
        <w:t>=  zysk (strata) ze sprzedaży / przychody ze sprzedaży x 100%</w:t>
      </w:r>
    </w:p>
    <w:p w:rsidR="009F626E" w:rsidRPr="001828B1" w:rsidRDefault="009F626E" w:rsidP="005F7555">
      <w:pPr>
        <w:pStyle w:val="Akapitzlist"/>
        <w:numPr>
          <w:ilvl w:val="0"/>
          <w:numId w:val="17"/>
        </w:numPr>
        <w:spacing w:after="0"/>
        <w:ind w:left="709" w:hanging="283"/>
        <w:rPr>
          <w:rFonts w:ascii="Times New Roman" w:hAnsi="Times New Roman"/>
        </w:rPr>
      </w:pPr>
      <w:r w:rsidRPr="001828B1">
        <w:rPr>
          <w:rFonts w:ascii="Times New Roman" w:hAnsi="Times New Roman"/>
          <w:b/>
        </w:rPr>
        <w:t xml:space="preserve">rentowność netto </w:t>
      </w:r>
      <w:r w:rsidRPr="001828B1">
        <w:rPr>
          <w:rFonts w:ascii="Times New Roman" w:hAnsi="Times New Roman"/>
        </w:rPr>
        <w:t>= zysk (strata) netto / przychody ogółem x 100%</w:t>
      </w:r>
    </w:p>
    <w:p w:rsidR="009F626E" w:rsidRPr="001828B1" w:rsidRDefault="009F626E" w:rsidP="005F7555">
      <w:pPr>
        <w:pStyle w:val="Akapitzlist"/>
        <w:numPr>
          <w:ilvl w:val="0"/>
          <w:numId w:val="17"/>
        </w:numPr>
        <w:spacing w:after="0"/>
        <w:ind w:left="709" w:hanging="283"/>
        <w:rPr>
          <w:rFonts w:ascii="Times New Roman" w:hAnsi="Times New Roman"/>
          <w:b/>
        </w:rPr>
      </w:pPr>
      <w:r w:rsidRPr="001828B1">
        <w:rPr>
          <w:rFonts w:ascii="Times New Roman" w:hAnsi="Times New Roman"/>
          <w:b/>
        </w:rPr>
        <w:t xml:space="preserve">zwrot na aktywach ROA </w:t>
      </w:r>
      <w:r w:rsidRPr="001828B1">
        <w:rPr>
          <w:rFonts w:ascii="Times New Roman" w:hAnsi="Times New Roman"/>
        </w:rPr>
        <w:t>= zysk (strata) netto/aktywa x 100%</w:t>
      </w:r>
    </w:p>
    <w:p w:rsidR="009F626E" w:rsidRPr="001828B1" w:rsidRDefault="009F626E" w:rsidP="005F7555">
      <w:pPr>
        <w:pStyle w:val="Akapitzlist"/>
        <w:numPr>
          <w:ilvl w:val="0"/>
          <w:numId w:val="18"/>
        </w:numPr>
        <w:spacing w:after="0"/>
        <w:ind w:left="709" w:hanging="283"/>
        <w:rPr>
          <w:rFonts w:ascii="Times New Roman" w:hAnsi="Times New Roman"/>
          <w:b/>
        </w:rPr>
      </w:pPr>
      <w:r w:rsidRPr="001828B1">
        <w:rPr>
          <w:rFonts w:ascii="Times New Roman" w:hAnsi="Times New Roman"/>
          <w:b/>
        </w:rPr>
        <w:t xml:space="preserve">wskaźnik udziału kapitałów własnych </w:t>
      </w:r>
      <w:r w:rsidRPr="001828B1">
        <w:rPr>
          <w:rFonts w:ascii="Times New Roman" w:hAnsi="Times New Roman"/>
        </w:rPr>
        <w:t>= kapitał własny/pasywa x 100%</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rPr>
        <w:t xml:space="preserve">pokrycie majątku trwałego kapitałem stałym </w:t>
      </w:r>
      <w:r w:rsidRPr="001828B1">
        <w:rPr>
          <w:rFonts w:ascii="Times New Roman" w:hAnsi="Times New Roman"/>
        </w:rPr>
        <w:t>= kapitał stały/majątek trwały x 100%</w:t>
      </w:r>
    </w:p>
    <w:p w:rsidR="009F626E" w:rsidRPr="001828B1" w:rsidRDefault="009F626E" w:rsidP="005F7555">
      <w:pPr>
        <w:pStyle w:val="Tekstpodstawowy"/>
        <w:spacing w:before="0" w:after="0" w:line="276" w:lineRule="auto"/>
        <w:ind w:left="709"/>
        <w:rPr>
          <w:sz w:val="20"/>
          <w:lang w:val="pl-PL"/>
        </w:rPr>
      </w:pPr>
      <w:r w:rsidRPr="001828B1">
        <w:rPr>
          <w:sz w:val="20"/>
          <w:lang w:val="pl-PL"/>
        </w:rPr>
        <w:t>kapitał stały = kapitał własny + zobowiązania długoterminowe + rezerwy na zobowiązania + rozliczenia międzyokresowe</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rPr>
        <w:t xml:space="preserve">wskaźnik zadłużenia </w:t>
      </w:r>
      <w:r w:rsidRPr="001828B1">
        <w:rPr>
          <w:rFonts w:ascii="Times New Roman" w:hAnsi="Times New Roman"/>
        </w:rPr>
        <w:t>= zobowiązania ogółem / pasywa x 100%</w:t>
      </w:r>
    </w:p>
    <w:p w:rsidR="009F626E" w:rsidRPr="001828B1" w:rsidRDefault="009F626E" w:rsidP="005F7555">
      <w:pPr>
        <w:pStyle w:val="Akapitzlist"/>
        <w:numPr>
          <w:ilvl w:val="0"/>
          <w:numId w:val="18"/>
        </w:numPr>
        <w:spacing w:after="0"/>
        <w:ind w:left="709" w:hanging="283"/>
        <w:rPr>
          <w:rFonts w:ascii="Times New Roman" w:hAnsi="Times New Roman"/>
        </w:rPr>
      </w:pPr>
      <w:r w:rsidRPr="001828B1">
        <w:rPr>
          <w:rFonts w:ascii="Times New Roman" w:hAnsi="Times New Roman"/>
          <w:b/>
          <w:shd w:val="clear" w:color="auto" w:fill="FFFFFF"/>
        </w:rPr>
        <w:t>wskaźnik obsługi długu =</w:t>
      </w:r>
      <w:r w:rsidRPr="001828B1">
        <w:rPr>
          <w:rFonts w:ascii="Times New Roman" w:hAnsi="Times New Roman"/>
        </w:rPr>
        <w:t xml:space="preserve"> (zysk neto + amortyzacja+ odsetki+ podatek dochodowy)/ (odsetki+ raty zadłużenia długoterminowego)</w:t>
      </w:r>
    </w:p>
    <w:p w:rsidR="009F626E" w:rsidRPr="001828B1" w:rsidRDefault="009F626E" w:rsidP="005F7555">
      <w:pPr>
        <w:pStyle w:val="Akapitzlist"/>
        <w:numPr>
          <w:ilvl w:val="0"/>
          <w:numId w:val="20"/>
        </w:numPr>
        <w:spacing w:after="0"/>
        <w:ind w:left="709" w:hanging="283"/>
        <w:rPr>
          <w:rFonts w:ascii="Times New Roman" w:hAnsi="Times New Roman"/>
        </w:rPr>
      </w:pPr>
      <w:r w:rsidRPr="001828B1">
        <w:rPr>
          <w:rFonts w:ascii="Times New Roman" w:hAnsi="Times New Roman"/>
          <w:b/>
        </w:rPr>
        <w:t xml:space="preserve">płynność bieżąca </w:t>
      </w:r>
      <w:r w:rsidRPr="001828B1">
        <w:rPr>
          <w:rFonts w:ascii="Times New Roman" w:hAnsi="Times New Roman"/>
        </w:rPr>
        <w:t>= aktywa obrotowe / zobowiązania bieżące</w:t>
      </w:r>
    </w:p>
    <w:p w:rsidR="009F626E" w:rsidRPr="001828B1" w:rsidRDefault="009F626E" w:rsidP="005F7555">
      <w:pPr>
        <w:pStyle w:val="Akapitzlist"/>
        <w:numPr>
          <w:ilvl w:val="0"/>
          <w:numId w:val="20"/>
        </w:numPr>
        <w:spacing w:after="0"/>
        <w:ind w:left="709" w:hanging="283"/>
        <w:rPr>
          <w:rFonts w:ascii="Times New Roman" w:hAnsi="Times New Roman"/>
        </w:rPr>
      </w:pPr>
      <w:r w:rsidRPr="001828B1">
        <w:rPr>
          <w:rFonts w:ascii="Times New Roman" w:hAnsi="Times New Roman"/>
          <w:b/>
        </w:rPr>
        <w:t xml:space="preserve">płynność szybka </w:t>
      </w:r>
      <w:r w:rsidRPr="001828B1">
        <w:rPr>
          <w:rFonts w:ascii="Times New Roman" w:hAnsi="Times New Roman"/>
        </w:rPr>
        <w:t>= (aktywa obrotowe –zapasy)/ zobowiązania bieżące</w:t>
      </w:r>
    </w:p>
    <w:p w:rsidR="009F626E" w:rsidRPr="001828B1" w:rsidRDefault="009F626E" w:rsidP="005F7555">
      <w:pPr>
        <w:pStyle w:val="Akapitzlist"/>
        <w:numPr>
          <w:ilvl w:val="0"/>
          <w:numId w:val="19"/>
        </w:numPr>
        <w:spacing w:after="0"/>
        <w:ind w:left="709" w:hanging="283"/>
        <w:rPr>
          <w:rFonts w:ascii="Times New Roman" w:hAnsi="Times New Roman"/>
          <w:b/>
        </w:rPr>
      </w:pPr>
      <w:r w:rsidRPr="001828B1">
        <w:rPr>
          <w:rFonts w:ascii="Times New Roman" w:hAnsi="Times New Roman"/>
          <w:b/>
        </w:rPr>
        <w:t xml:space="preserve">cykl rotacji zapasów </w:t>
      </w:r>
      <w:r w:rsidRPr="001828B1">
        <w:rPr>
          <w:rFonts w:ascii="Times New Roman" w:hAnsi="Times New Roman"/>
        </w:rPr>
        <w:t>= zapasy/koszty operacyjne x ilość dni w okresie</w:t>
      </w:r>
    </w:p>
    <w:p w:rsidR="009F626E" w:rsidRPr="001828B1" w:rsidRDefault="009F626E" w:rsidP="005F7555">
      <w:pPr>
        <w:pStyle w:val="Akapitzlist"/>
        <w:numPr>
          <w:ilvl w:val="0"/>
          <w:numId w:val="19"/>
        </w:numPr>
        <w:spacing w:after="0"/>
        <w:ind w:left="709" w:hanging="283"/>
        <w:rPr>
          <w:rFonts w:ascii="Times New Roman" w:hAnsi="Times New Roman"/>
        </w:rPr>
      </w:pPr>
      <w:r w:rsidRPr="001828B1">
        <w:rPr>
          <w:rFonts w:ascii="Times New Roman" w:hAnsi="Times New Roman"/>
          <w:b/>
        </w:rPr>
        <w:t xml:space="preserve">cykl rotacji należności </w:t>
      </w:r>
      <w:r w:rsidRPr="001828B1">
        <w:rPr>
          <w:rFonts w:ascii="Times New Roman" w:hAnsi="Times New Roman"/>
        </w:rPr>
        <w:t>= należności z tytułu dostaw i usług /przychody ze sprzedaży x ilość dni w okresie</w:t>
      </w:r>
    </w:p>
    <w:p w:rsidR="009F626E" w:rsidRPr="001828B1" w:rsidRDefault="009F626E" w:rsidP="005F7555">
      <w:pPr>
        <w:pStyle w:val="Akapitzlist"/>
        <w:numPr>
          <w:ilvl w:val="0"/>
          <w:numId w:val="19"/>
        </w:numPr>
        <w:spacing w:after="0"/>
        <w:ind w:left="709" w:hanging="283"/>
        <w:jc w:val="both"/>
        <w:rPr>
          <w:rFonts w:ascii="Times New Roman" w:hAnsi="Times New Roman"/>
        </w:rPr>
      </w:pPr>
      <w:r w:rsidRPr="001828B1">
        <w:rPr>
          <w:rFonts w:ascii="Times New Roman" w:hAnsi="Times New Roman"/>
          <w:b/>
        </w:rPr>
        <w:t xml:space="preserve">cykl rotacji zobowiązań </w:t>
      </w:r>
      <w:r w:rsidRPr="001828B1">
        <w:rPr>
          <w:rFonts w:ascii="Times New Roman" w:hAnsi="Times New Roman"/>
        </w:rPr>
        <w:t>= zobowiązania z tytułu dostaw i usług/koszty operacyjne x ilość dni w okresie</w:t>
      </w:r>
    </w:p>
    <w:p w:rsidR="009F626E"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C10115">
      <w:pPr>
        <w:autoSpaceDE w:val="0"/>
        <w:autoSpaceDN w:val="0"/>
        <w:adjustRightInd w:val="0"/>
        <w:spacing w:after="0" w:line="240" w:lineRule="auto"/>
        <w:rPr>
          <w:rFonts w:ascii="Times New Roman" w:hAnsi="Times New Roman"/>
        </w:rPr>
      </w:pPr>
      <w:r w:rsidRPr="001828B1">
        <w:rPr>
          <w:rFonts w:ascii="Times New Roman" w:hAnsi="Times New Roman"/>
        </w:rPr>
        <w:t>W przypadku przedsiębiorstwa, które nie jest MŚP, badaniu podlegają 2 dodatkowe wskaźniki:</w:t>
      </w:r>
    </w:p>
    <w:p w:rsidR="009F626E" w:rsidRPr="001828B1" w:rsidRDefault="009F626E" w:rsidP="00C10115">
      <w:pPr>
        <w:pStyle w:val="Akapitzlist"/>
        <w:numPr>
          <w:ilvl w:val="0"/>
          <w:numId w:val="13"/>
        </w:numPr>
        <w:autoSpaceDE w:val="0"/>
        <w:autoSpaceDN w:val="0"/>
        <w:adjustRightInd w:val="0"/>
        <w:spacing w:after="0" w:line="240" w:lineRule="auto"/>
        <w:rPr>
          <w:rFonts w:ascii="Times New Roman" w:hAnsi="Times New Roman"/>
        </w:rPr>
      </w:pPr>
      <w:r w:rsidRPr="001828B1">
        <w:rPr>
          <w:rFonts w:ascii="Times New Roman" w:hAnsi="Times New Roman"/>
          <w:b/>
        </w:rPr>
        <w:t>księgowy stosunek kapitału obcego do kapitału własnego przedsiębiorstwa</w:t>
      </w:r>
      <w:r w:rsidRPr="001828B1">
        <w:rPr>
          <w:rFonts w:ascii="Times New Roman" w:hAnsi="Times New Roman"/>
        </w:rPr>
        <w:t xml:space="preserve"> = zobowiązania/kapitał własny  </w:t>
      </w:r>
      <w:r w:rsidRPr="001828B1">
        <w:rPr>
          <w:rFonts w:ascii="Times New Roman" w:hAnsi="Times New Roman"/>
          <w:b/>
        </w:rPr>
        <w:t>(≤ 7,5)</w:t>
      </w:r>
    </w:p>
    <w:p w:rsidR="009F626E" w:rsidRPr="001828B1" w:rsidRDefault="009F626E" w:rsidP="00F71369">
      <w:pPr>
        <w:pStyle w:val="Akapitzlist"/>
        <w:autoSpaceDE w:val="0"/>
        <w:autoSpaceDN w:val="0"/>
        <w:adjustRightInd w:val="0"/>
        <w:spacing w:after="0" w:line="240" w:lineRule="auto"/>
        <w:ind w:hanging="294"/>
        <w:rPr>
          <w:rFonts w:ascii="Times New Roman" w:hAnsi="Times New Roman"/>
        </w:rPr>
      </w:pPr>
      <w:r w:rsidRPr="001828B1">
        <w:rPr>
          <w:rFonts w:ascii="Times New Roman" w:hAnsi="Times New Roman"/>
        </w:rPr>
        <w:t>oraz</w:t>
      </w:r>
    </w:p>
    <w:p w:rsidR="009F626E" w:rsidRPr="001828B1" w:rsidRDefault="009F626E" w:rsidP="00BA338F">
      <w:pPr>
        <w:pStyle w:val="Akapitzlist"/>
        <w:numPr>
          <w:ilvl w:val="0"/>
          <w:numId w:val="21"/>
        </w:numPr>
        <w:spacing w:after="0" w:line="240" w:lineRule="auto"/>
        <w:jc w:val="both"/>
        <w:rPr>
          <w:rFonts w:ascii="Times New Roman" w:hAnsi="Times New Roman"/>
        </w:rPr>
      </w:pPr>
      <w:r w:rsidRPr="001828B1">
        <w:rPr>
          <w:rFonts w:ascii="Times New Roman" w:hAnsi="Times New Roman"/>
          <w:b/>
        </w:rPr>
        <w:t>wskaźnik relacji pokrycia odsetek do EBITDA</w:t>
      </w:r>
      <w:r w:rsidRPr="001828B1">
        <w:rPr>
          <w:rFonts w:ascii="Times New Roman" w:hAnsi="Times New Roman"/>
        </w:rPr>
        <w:t xml:space="preserve"> = EBITDA/odsetki </w:t>
      </w:r>
      <w:r w:rsidRPr="001828B1">
        <w:rPr>
          <w:rFonts w:ascii="Times New Roman" w:hAnsi="Times New Roman"/>
          <w:b/>
        </w:rPr>
        <w:t>(≥ 1,0)</w:t>
      </w:r>
    </w:p>
    <w:p w:rsidR="009F626E" w:rsidRPr="001828B1" w:rsidRDefault="009F626E" w:rsidP="00BA338F">
      <w:pPr>
        <w:pStyle w:val="Akapitzlist"/>
        <w:spacing w:after="0" w:line="240" w:lineRule="auto"/>
        <w:jc w:val="both"/>
        <w:rPr>
          <w:rFonts w:ascii="Times New Roman" w:hAnsi="Times New Roman"/>
          <w:sz w:val="16"/>
          <w:szCs w:val="16"/>
          <w:shd w:val="clear" w:color="auto" w:fill="FFFFFF"/>
        </w:rPr>
      </w:pPr>
      <w:r w:rsidRPr="001828B1">
        <w:rPr>
          <w:rFonts w:ascii="Times New Roman" w:hAnsi="Times New Roman"/>
          <w:sz w:val="16"/>
          <w:szCs w:val="16"/>
        </w:rPr>
        <w:t xml:space="preserve">EBITDA = </w:t>
      </w:r>
      <w:r w:rsidRPr="001828B1">
        <w:rPr>
          <w:rFonts w:ascii="Times New Roman" w:hAnsi="Times New Roman"/>
          <w:sz w:val="16"/>
          <w:szCs w:val="16"/>
          <w:shd w:val="clear" w:color="auto" w:fill="FFFFFF"/>
        </w:rPr>
        <w:t xml:space="preserve">zysk z działalności operacyjnej (EBIT) plus amortyzacja. </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F71369">
      <w:pPr>
        <w:spacing w:after="0" w:line="240" w:lineRule="auto"/>
        <w:ind w:firstLine="284"/>
        <w:jc w:val="both"/>
        <w:rPr>
          <w:rFonts w:ascii="Times New Roman" w:hAnsi="Times New Roman"/>
          <w:b/>
        </w:rPr>
      </w:pPr>
      <w:r w:rsidRPr="001828B1">
        <w:rPr>
          <w:rFonts w:ascii="Times New Roman" w:hAnsi="Times New Roman"/>
          <w:b/>
        </w:rPr>
        <w:t>W przypadku kiedy księgowy stosunek kapitału obcego do kapitału własnego</w:t>
      </w:r>
      <w:r w:rsidRPr="001828B1">
        <w:rPr>
          <w:rFonts w:ascii="Times New Roman" w:hAnsi="Times New Roman"/>
        </w:rPr>
        <w:t xml:space="preserve"> </w:t>
      </w:r>
      <w:r w:rsidRPr="001828B1">
        <w:rPr>
          <w:rFonts w:ascii="Times New Roman" w:hAnsi="Times New Roman"/>
          <w:b/>
        </w:rPr>
        <w:t>w przeciągu dwóch ostatnich lat przyjmuje wartość większą niż 7,5, a wskaźnik relacji pokrycia odsetek do EBITDA spada poniżej 1,0 przedsiębiorstwo podlega wykluczeniu z możliwości z uzyskania dofinansowania, z uwagi na trudną sytuację finansową.</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D76EB1">
      <w:pPr>
        <w:spacing w:after="0" w:line="240" w:lineRule="auto"/>
        <w:ind w:firstLine="426"/>
        <w:jc w:val="both"/>
        <w:rPr>
          <w:rFonts w:ascii="Times New Roman" w:eastAsia="TTE1D21D00t00" w:hAnsi="Times New Roman"/>
        </w:rPr>
      </w:pPr>
      <w:r w:rsidRPr="001828B1">
        <w:rPr>
          <w:rFonts w:ascii="Times New Roman" w:eastAsia="TTE1D21D00t00" w:hAnsi="Times New Roman"/>
        </w:rPr>
        <w:t xml:space="preserve">Poniżej zamieszczono pożądane wartości poszczególnych wskaźników oraz </w:t>
      </w:r>
      <w:r w:rsidRPr="001828B1">
        <w:rPr>
          <w:rFonts w:ascii="Times New Roman" w:hAnsi="Times New Roman"/>
        </w:rPr>
        <w:t>wartości, których przekroczenie może wskazywać na poważne trudności finansowe przedsiębiorstwa</w:t>
      </w: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C10115">
      <w:pPr>
        <w:pStyle w:val="Akapitzlist"/>
        <w:spacing w:after="0" w:line="240" w:lineRule="auto"/>
        <w:rPr>
          <w:rFonts w:ascii="Times New Roman" w:hAnsi="Times New Roman"/>
          <w:b/>
        </w:rPr>
      </w:pPr>
      <w:r w:rsidRPr="001828B1">
        <w:rPr>
          <w:rFonts w:ascii="Times New Roman" w:hAnsi="Times New Roman"/>
          <w:b/>
        </w:rPr>
        <w:t>TABELA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685"/>
        <w:gridCol w:w="2125"/>
        <w:gridCol w:w="1921"/>
      </w:tblGrid>
      <w:tr w:rsidR="009F626E" w:rsidRPr="00556189" w:rsidTr="00556189">
        <w:tc>
          <w:tcPr>
            <w:tcW w:w="553"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LP.</w:t>
            </w:r>
          </w:p>
        </w:tc>
        <w:tc>
          <w:tcPr>
            <w:tcW w:w="368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Wskaźniki finansowe</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Wartość pożądana</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Wartość, której przekroczenie może wskazywać na poważne trudności finansowe przedsiębiorstwa</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rentowność ze sprzedaży (ROS)</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1,5%</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w:t>
            </w:r>
            <w:r w:rsidRPr="00556189">
              <w:rPr>
                <w:rFonts w:ascii="Times New Roman" w:hAnsi="Times New Roman"/>
              </w:rPr>
              <w:t xml:space="preserve"> </w:t>
            </w:r>
            <w:r w:rsidRPr="00556189">
              <w:rPr>
                <w:rFonts w:ascii="Times New Roman" w:hAnsi="Times New Roman"/>
                <w:b/>
                <w:sz w:val="16"/>
                <w:szCs w:val="16"/>
              </w:rPr>
              <w:t>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2</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rentowność netto</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w:t>
            </w:r>
            <w:r w:rsidRPr="00556189">
              <w:rPr>
                <w:rFonts w:ascii="Times New Roman" w:hAnsi="Times New Roman"/>
              </w:rPr>
              <w:t xml:space="preserve"> </w:t>
            </w:r>
            <w:r w:rsidRPr="00556189">
              <w:rPr>
                <w:rFonts w:ascii="Times New Roman" w:hAnsi="Times New Roman"/>
                <w:b/>
                <w:sz w:val="16"/>
                <w:szCs w:val="16"/>
              </w:rPr>
              <w:t>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3</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zwrot na aktywach ROA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3%</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4</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udziału kapitałów własnych</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50%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20%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5</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pokrycie majątku trwałego kapitałem stałym</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100%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6</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zadłużenia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50%-70%</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 xml:space="preserve">  ≤ 80%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7</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shd w:val="clear" w:color="auto" w:fill="FFFFFF"/>
              </w:rPr>
              <w:t>wskaźnik obsługi długu</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rPr>
              <w:t xml:space="preserve">≥ </w:t>
            </w:r>
            <w:r w:rsidRPr="00556189">
              <w:rPr>
                <w:rFonts w:ascii="Times New Roman" w:hAnsi="Times New Roman"/>
                <w:b/>
                <w:sz w:val="16"/>
                <w:szCs w:val="16"/>
              </w:rPr>
              <w:t>1,3</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8</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płynność bieżąca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1,5 -2,5</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1,0</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9</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płynność szybka</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1,0-1,2</w:t>
            </w:r>
          </w:p>
        </w:tc>
        <w:tc>
          <w:tcPr>
            <w:tcW w:w="1921"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b/>
                <w:sz w:val="16"/>
                <w:szCs w:val="16"/>
              </w:rPr>
              <w:t>&lt; 0,8</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10</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zapasów</w:t>
            </w:r>
          </w:p>
        </w:tc>
        <w:tc>
          <w:tcPr>
            <w:tcW w:w="2125" w:type="dxa"/>
          </w:tcPr>
          <w:p w:rsidR="009F626E" w:rsidRPr="00556189" w:rsidRDefault="009F626E" w:rsidP="00556189">
            <w:pPr>
              <w:pStyle w:val="Akapitzlist"/>
              <w:spacing w:after="0" w:line="240" w:lineRule="auto"/>
              <w:ind w:left="0"/>
              <w:jc w:val="center"/>
              <w:rPr>
                <w:rFonts w:ascii="Times New Roman" w:hAnsi="Times New Roman"/>
                <w:b/>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11</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należności</w:t>
            </w:r>
          </w:p>
        </w:tc>
        <w:tc>
          <w:tcPr>
            <w:tcW w:w="2125"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12</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cykl rotacji zobowiązań</w:t>
            </w:r>
          </w:p>
        </w:tc>
        <w:tc>
          <w:tcPr>
            <w:tcW w:w="2125"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 xml:space="preserve">zależy od rodzaju działalności </w:t>
            </w:r>
          </w:p>
        </w:tc>
        <w:tc>
          <w:tcPr>
            <w:tcW w:w="1921" w:type="dxa"/>
          </w:tcPr>
          <w:p w:rsidR="009F626E" w:rsidRPr="00556189" w:rsidRDefault="009F626E" w:rsidP="00556189">
            <w:pPr>
              <w:spacing w:after="0" w:line="240" w:lineRule="auto"/>
              <w:jc w:val="center"/>
              <w:rPr>
                <w:sz w:val="16"/>
                <w:szCs w:val="16"/>
              </w:rPr>
            </w:pPr>
            <w:r w:rsidRPr="00556189">
              <w:rPr>
                <w:rFonts w:ascii="Times New Roman" w:hAnsi="Times New Roman"/>
                <w:sz w:val="16"/>
                <w:szCs w:val="16"/>
                <w:shd w:val="clear" w:color="auto" w:fill="FFFFFF"/>
              </w:rPr>
              <w:t>zależy od rodzaju działalności</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dla przedsiębiorstw innych niż MSP</w:t>
            </w:r>
          </w:p>
        </w:tc>
        <w:tc>
          <w:tcPr>
            <w:tcW w:w="2125" w:type="dxa"/>
          </w:tcPr>
          <w:p w:rsidR="009F626E" w:rsidRPr="00556189" w:rsidRDefault="009F626E" w:rsidP="00556189">
            <w:pPr>
              <w:spacing w:after="0" w:line="240" w:lineRule="auto"/>
              <w:jc w:val="center"/>
              <w:rPr>
                <w:rFonts w:ascii="Times New Roman" w:hAnsi="Times New Roman"/>
                <w:sz w:val="16"/>
                <w:szCs w:val="16"/>
                <w:shd w:val="clear" w:color="auto" w:fill="FFFFFF"/>
              </w:rPr>
            </w:pPr>
          </w:p>
        </w:tc>
        <w:tc>
          <w:tcPr>
            <w:tcW w:w="1921" w:type="dxa"/>
          </w:tcPr>
          <w:p w:rsidR="009F626E" w:rsidRPr="00556189" w:rsidRDefault="009F626E" w:rsidP="00556189">
            <w:pPr>
              <w:spacing w:after="0" w:line="240" w:lineRule="auto"/>
              <w:jc w:val="center"/>
              <w:rPr>
                <w:rFonts w:ascii="Times New Roman" w:hAnsi="Times New Roman"/>
                <w:sz w:val="16"/>
                <w:szCs w:val="16"/>
                <w:shd w:val="clear" w:color="auto" w:fill="FFFFFF"/>
              </w:rPr>
            </w:pP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13</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księgowy stosunek kapitału obcego do kapitału własnego przedsiębiorstwa</w:t>
            </w:r>
          </w:p>
        </w:tc>
        <w:tc>
          <w:tcPr>
            <w:tcW w:w="2125" w:type="dxa"/>
          </w:tcPr>
          <w:p w:rsidR="009F626E" w:rsidRPr="00556189" w:rsidRDefault="009F626E" w:rsidP="00556189">
            <w:pPr>
              <w:spacing w:after="0" w:line="240" w:lineRule="auto"/>
              <w:jc w:val="center"/>
              <w:rPr>
                <w:rFonts w:ascii="Times New Roman" w:hAnsi="Times New Roman"/>
                <w:sz w:val="16"/>
                <w:szCs w:val="16"/>
              </w:rPr>
            </w:pPr>
            <w:r w:rsidRPr="00556189">
              <w:rPr>
                <w:rFonts w:ascii="Times New Roman" w:hAnsi="Times New Roman"/>
                <w:b/>
                <w:sz w:val="16"/>
                <w:szCs w:val="16"/>
              </w:rPr>
              <w:t>&lt; 1,0</w:t>
            </w:r>
            <w:r w:rsidRPr="00556189">
              <w:rPr>
                <w:rFonts w:ascii="Times New Roman" w:hAnsi="Times New Roman"/>
                <w:sz w:val="16"/>
                <w:szCs w:val="16"/>
              </w:rPr>
              <w:t xml:space="preserve"> dla przedsiębiorstw dużych i średnich</w:t>
            </w:r>
          </w:p>
          <w:p w:rsidR="009F626E" w:rsidRPr="00556189" w:rsidRDefault="009F626E" w:rsidP="00556189">
            <w:pPr>
              <w:spacing w:after="0" w:line="240" w:lineRule="auto"/>
              <w:jc w:val="center"/>
              <w:rPr>
                <w:rFonts w:ascii="Times New Roman" w:hAnsi="Times New Roman"/>
                <w:sz w:val="16"/>
                <w:szCs w:val="16"/>
                <w:shd w:val="clear" w:color="auto" w:fill="FFFFFF"/>
              </w:rPr>
            </w:pPr>
            <w:r w:rsidRPr="00556189">
              <w:rPr>
                <w:rFonts w:ascii="Times New Roman" w:hAnsi="Times New Roman"/>
                <w:b/>
                <w:sz w:val="16"/>
                <w:szCs w:val="16"/>
              </w:rPr>
              <w:t>&lt; 3,0</w:t>
            </w:r>
            <w:r w:rsidRPr="00556189">
              <w:rPr>
                <w:rFonts w:ascii="Times New Roman" w:hAnsi="Times New Roman"/>
                <w:sz w:val="16"/>
                <w:szCs w:val="16"/>
              </w:rPr>
              <w:t xml:space="preserve"> dla przedsiębiorstw małych</w:t>
            </w:r>
          </w:p>
        </w:tc>
        <w:tc>
          <w:tcPr>
            <w:tcW w:w="1921" w:type="dxa"/>
          </w:tcPr>
          <w:p w:rsidR="009F626E" w:rsidRPr="00556189" w:rsidRDefault="009F626E" w:rsidP="00556189">
            <w:pPr>
              <w:spacing w:after="0" w:line="240" w:lineRule="auto"/>
              <w:jc w:val="center"/>
              <w:rPr>
                <w:rFonts w:ascii="Times New Roman" w:hAnsi="Times New Roman"/>
                <w:b/>
                <w:sz w:val="16"/>
                <w:szCs w:val="16"/>
                <w:shd w:val="clear" w:color="auto" w:fill="FFFFFF"/>
              </w:rPr>
            </w:pPr>
            <w:r w:rsidRPr="00556189">
              <w:rPr>
                <w:rFonts w:ascii="Times New Roman" w:hAnsi="Times New Roman"/>
                <w:b/>
                <w:sz w:val="16"/>
                <w:szCs w:val="16"/>
              </w:rPr>
              <w:t>&gt; 7,5</w:t>
            </w:r>
          </w:p>
        </w:tc>
      </w:tr>
      <w:tr w:rsidR="009F626E" w:rsidRPr="00556189" w:rsidTr="00556189">
        <w:tc>
          <w:tcPr>
            <w:tcW w:w="553"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14</w:t>
            </w:r>
          </w:p>
        </w:tc>
        <w:tc>
          <w:tcPr>
            <w:tcW w:w="3685" w:type="dxa"/>
          </w:tcPr>
          <w:p w:rsidR="009F626E" w:rsidRPr="00556189" w:rsidRDefault="009F626E" w:rsidP="00556189">
            <w:pPr>
              <w:pStyle w:val="Akapitzlist"/>
              <w:spacing w:after="0" w:line="240" w:lineRule="auto"/>
              <w:ind w:left="0"/>
              <w:rPr>
                <w:rFonts w:ascii="Times New Roman" w:hAnsi="Times New Roman"/>
                <w:b/>
                <w:sz w:val="16"/>
                <w:szCs w:val="16"/>
              </w:rPr>
            </w:pPr>
            <w:r w:rsidRPr="00556189">
              <w:rPr>
                <w:rFonts w:ascii="Times New Roman" w:hAnsi="Times New Roman"/>
                <w:b/>
                <w:sz w:val="16"/>
                <w:szCs w:val="16"/>
              </w:rPr>
              <w:t>wskaźnik relacji pokrycia odsetek do EBITDA</w:t>
            </w:r>
          </w:p>
        </w:tc>
        <w:tc>
          <w:tcPr>
            <w:tcW w:w="2125" w:type="dxa"/>
          </w:tcPr>
          <w:p w:rsidR="009F626E" w:rsidRPr="00556189" w:rsidRDefault="009F626E" w:rsidP="00556189">
            <w:pPr>
              <w:spacing w:after="0" w:line="240" w:lineRule="auto"/>
              <w:jc w:val="center"/>
              <w:rPr>
                <w:rFonts w:ascii="Times New Roman" w:hAnsi="Times New Roman"/>
                <w:sz w:val="16"/>
                <w:szCs w:val="16"/>
                <w:shd w:val="clear" w:color="auto" w:fill="FFFFFF"/>
              </w:rPr>
            </w:pPr>
            <w:r w:rsidRPr="00556189">
              <w:rPr>
                <w:rFonts w:ascii="Times New Roman" w:hAnsi="Times New Roman"/>
                <w:b/>
                <w:sz w:val="16"/>
                <w:szCs w:val="16"/>
              </w:rPr>
              <w:t>&gt;</w:t>
            </w:r>
            <w:r w:rsidRPr="00556189">
              <w:rPr>
                <w:rFonts w:ascii="Times New Roman" w:hAnsi="Times New Roman"/>
              </w:rPr>
              <w:t xml:space="preserve"> </w:t>
            </w:r>
            <w:r w:rsidRPr="00556189">
              <w:rPr>
                <w:rFonts w:ascii="Times New Roman" w:hAnsi="Times New Roman"/>
                <w:b/>
                <w:sz w:val="16"/>
                <w:szCs w:val="16"/>
              </w:rPr>
              <w:t>3,0</w:t>
            </w:r>
          </w:p>
        </w:tc>
        <w:tc>
          <w:tcPr>
            <w:tcW w:w="1921" w:type="dxa"/>
          </w:tcPr>
          <w:p w:rsidR="009F626E" w:rsidRPr="00556189" w:rsidRDefault="009F626E" w:rsidP="00556189">
            <w:pPr>
              <w:spacing w:after="0" w:line="240" w:lineRule="auto"/>
              <w:jc w:val="center"/>
              <w:rPr>
                <w:rFonts w:ascii="Times New Roman" w:hAnsi="Times New Roman"/>
                <w:b/>
                <w:sz w:val="16"/>
                <w:szCs w:val="16"/>
                <w:shd w:val="clear" w:color="auto" w:fill="FFFFFF"/>
              </w:rPr>
            </w:pPr>
            <w:r w:rsidRPr="00556189">
              <w:rPr>
                <w:rFonts w:ascii="Times New Roman" w:hAnsi="Times New Roman"/>
                <w:b/>
                <w:sz w:val="16"/>
                <w:szCs w:val="16"/>
              </w:rPr>
              <w:t>&lt; 1,0</w:t>
            </w:r>
          </w:p>
        </w:tc>
      </w:tr>
    </w:tbl>
    <w:p w:rsidR="009F626E" w:rsidRPr="001828B1" w:rsidRDefault="009F626E" w:rsidP="00C10115">
      <w:pPr>
        <w:pStyle w:val="Akapitzlist"/>
        <w:spacing w:after="0" w:line="240" w:lineRule="auto"/>
        <w:rPr>
          <w:rFonts w:ascii="Times New Roman" w:hAnsi="Times New Roman"/>
          <w:b/>
          <w:sz w:val="16"/>
          <w:szCs w:val="16"/>
        </w:rPr>
      </w:pPr>
    </w:p>
    <w:p w:rsidR="009F626E" w:rsidRPr="001828B1" w:rsidRDefault="009F626E" w:rsidP="005F7555">
      <w:pPr>
        <w:spacing w:after="0" w:line="240" w:lineRule="auto"/>
        <w:ind w:left="709" w:hanging="283"/>
        <w:jc w:val="both"/>
        <w:rPr>
          <w:rFonts w:ascii="Times New Roman" w:eastAsia="TTE1D21D00t00" w:hAnsi="Times New Roman"/>
        </w:rPr>
      </w:pPr>
    </w:p>
    <w:p w:rsidR="009F626E" w:rsidRPr="001828B1" w:rsidRDefault="009F626E" w:rsidP="002A47D8">
      <w:pPr>
        <w:autoSpaceDE w:val="0"/>
        <w:autoSpaceDN w:val="0"/>
        <w:adjustRightInd w:val="0"/>
        <w:spacing w:after="0" w:line="240" w:lineRule="auto"/>
        <w:jc w:val="both"/>
        <w:rPr>
          <w:rFonts w:ascii="Times New Roman" w:hAnsi="Times New Roman"/>
        </w:rPr>
      </w:pPr>
      <w:r w:rsidRPr="001828B1">
        <w:rPr>
          <w:rFonts w:ascii="Times New Roman" w:hAnsi="Times New Roman"/>
        </w:rPr>
        <w:t xml:space="preserve">Aby kryterium zostało uznane za spełnione działalność wnioskodawcy powinna generować dodatnie strumienie pieniężne umożliwiające wywiązywanie się z bieżących zobowiązań,  firma powinna być wypłacalna i powinna dysponować odpowiednią nadwyżką finansową oraz posiadać bezpieczną strukturę finansowania majątku. Przedsiębiorstwo nie może znajdować się w  trudnej sytuacji finansowej w rozumieniu </w:t>
      </w:r>
      <w:r w:rsidRPr="001828B1">
        <w:rPr>
          <w:rFonts w:ascii="Times New Roman" w:hAnsi="Times New Roman"/>
          <w:bCs/>
        </w:rPr>
        <w:t>Rozporządzenia Komisji (UE) NR 651/2014 z dnia 17 czerwca 2014</w:t>
      </w:r>
      <w:r w:rsidR="00F84A51">
        <w:rPr>
          <w:rFonts w:ascii="Times New Roman" w:hAnsi="Times New Roman"/>
          <w:bCs/>
        </w:rPr>
        <w:t xml:space="preserve"> </w:t>
      </w:r>
      <w:r w:rsidRPr="001828B1">
        <w:rPr>
          <w:rFonts w:ascii="Times New Roman" w:hAnsi="Times New Roman"/>
          <w:bCs/>
        </w:rPr>
        <w:t xml:space="preserve">r. uznające niektóre rodzaje pomocy za zgodne z rynkiem wewnętrznym w zastosowaniu art. 107 i 108 Traktatu. </w:t>
      </w:r>
    </w:p>
    <w:p w:rsidR="009F626E" w:rsidRPr="001828B1" w:rsidRDefault="009F626E" w:rsidP="007147E1">
      <w:pPr>
        <w:autoSpaceDE w:val="0"/>
        <w:autoSpaceDN w:val="0"/>
        <w:adjustRightInd w:val="0"/>
        <w:spacing w:after="0" w:line="240" w:lineRule="auto"/>
        <w:jc w:val="both"/>
        <w:rPr>
          <w:rFonts w:ascii="Times New Roman" w:hAnsi="Times New Roman"/>
        </w:rPr>
      </w:pPr>
    </w:p>
    <w:p w:rsidR="009F626E" w:rsidRPr="001828B1" w:rsidRDefault="009F626E" w:rsidP="007147E1">
      <w:pPr>
        <w:autoSpaceDE w:val="0"/>
        <w:autoSpaceDN w:val="0"/>
        <w:adjustRightInd w:val="0"/>
        <w:spacing w:after="0" w:line="240" w:lineRule="auto"/>
        <w:jc w:val="both"/>
        <w:rPr>
          <w:rFonts w:ascii="Times New Roman" w:hAnsi="Times New Roman"/>
        </w:rPr>
      </w:pPr>
      <w:r w:rsidRPr="001828B1">
        <w:rPr>
          <w:rFonts w:ascii="Times New Roman" w:hAnsi="Times New Roman"/>
        </w:rPr>
        <w:t>Brak spełnienia wartości pożądanych poszczególnych wskaźników nie wyklucza przedsiębiorstwa z udziału w konkursie. Są to bowiem wielkości uśrednione dla wszystkich branż. Niemniej jednak w przypadku zaistnienia takiej sytuacji należy przedstawić dodatkowe wyjaśnienie, które zostanie poddane ocenie przez niezależnych Ekspertów. W przypadku istotnych zastrzeżeń, co do sytuacji finansowej wnioskodawcy i znacznych odchyleń od wielkości uśrednionych wskaźników finansowych, nie wynikających ze specyfiki branży lub innych obiektywnych przyczyn o charakterze krótkoterminowym, kryterium nie zostanie uznane za spełnione.</w:t>
      </w:r>
    </w:p>
    <w:p w:rsidR="009F626E" w:rsidRPr="001828B1" w:rsidRDefault="009F626E" w:rsidP="00E65AA4">
      <w:pPr>
        <w:spacing w:after="0" w:line="240" w:lineRule="auto"/>
        <w:rPr>
          <w:rFonts w:ascii="Times New Roman" w:hAnsi="Times New Roman"/>
          <w:b/>
        </w:rPr>
      </w:pPr>
    </w:p>
    <w:p w:rsidR="009F626E" w:rsidRPr="001828B1" w:rsidRDefault="009F626E" w:rsidP="00FC396B">
      <w:pPr>
        <w:autoSpaceDE w:val="0"/>
        <w:autoSpaceDN w:val="0"/>
        <w:adjustRightInd w:val="0"/>
        <w:spacing w:after="0" w:line="240" w:lineRule="auto"/>
        <w:jc w:val="both"/>
        <w:rPr>
          <w:rFonts w:ascii="Times New Roman" w:hAnsi="Times New Roman"/>
        </w:rPr>
      </w:pPr>
      <w:r w:rsidRPr="001828B1">
        <w:rPr>
          <w:rFonts w:ascii="Times New Roman" w:hAnsi="Times New Roman"/>
          <w:b/>
          <w:bCs/>
        </w:rPr>
        <w:t>Ocena projektów przedsi</w:t>
      </w:r>
      <w:r w:rsidRPr="001828B1">
        <w:rPr>
          <w:rFonts w:ascii="Times New Roman" w:eastAsia="TTE17823B0t00" w:hAnsi="Times New Roman"/>
        </w:rPr>
        <w:t>ę</w:t>
      </w:r>
      <w:r w:rsidRPr="001828B1">
        <w:rPr>
          <w:rFonts w:ascii="Times New Roman" w:hAnsi="Times New Roman"/>
          <w:b/>
          <w:bCs/>
        </w:rPr>
        <w:t>biorstw bez historii finansowej</w:t>
      </w:r>
      <w:r w:rsidRPr="001828B1">
        <w:rPr>
          <w:rFonts w:ascii="Times New Roman" w:hAnsi="Times New Roman"/>
        </w:rPr>
        <w:t>.</w:t>
      </w:r>
    </w:p>
    <w:p w:rsidR="009F626E" w:rsidRPr="001828B1" w:rsidRDefault="009F626E" w:rsidP="00FC396B">
      <w:pPr>
        <w:autoSpaceDE w:val="0"/>
        <w:autoSpaceDN w:val="0"/>
        <w:adjustRightInd w:val="0"/>
        <w:spacing w:after="0" w:line="240" w:lineRule="auto"/>
        <w:jc w:val="both"/>
        <w:rPr>
          <w:rFonts w:ascii="Times New Roman" w:hAnsi="Times New Roman"/>
          <w:b/>
          <w:bCs/>
        </w:rPr>
      </w:pPr>
      <w:r w:rsidRPr="001828B1">
        <w:rPr>
          <w:rFonts w:ascii="Times New Roman" w:hAnsi="Times New Roman"/>
        </w:rPr>
        <w:t>Ocena zostanie dokonana na podstawie prognoz finansowych sporządzonych na okres realizacji projektu oraz okres trwałości.</w:t>
      </w:r>
    </w:p>
    <w:p w:rsidR="009F626E"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t>Ad 2)</w:t>
      </w: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 xml:space="preserve">Warunkiem uznania kryterium za spełnione jest wykazanie przez wnioskodawcę zdolności finansowej do realizacji całości projektu (w tym także wydatków niekwalifikowanych) zgodnie z zakładanym harmonogramem. Projekt musi mieć zapewnione stabilne i udokumentowane źródła finansowania. </w:t>
      </w:r>
    </w:p>
    <w:p w:rsidR="009F626E" w:rsidRPr="001828B1" w:rsidRDefault="009F626E" w:rsidP="00FC3575">
      <w:pPr>
        <w:spacing w:after="0" w:line="240" w:lineRule="auto"/>
        <w:ind w:left="709"/>
        <w:rPr>
          <w:rFonts w:ascii="Times New Roman" w:hAnsi="Times New Roman"/>
          <w:b/>
        </w:rPr>
      </w:pPr>
    </w:p>
    <w:p w:rsidR="00F84A51" w:rsidRDefault="00F84A51" w:rsidP="00F84A51">
      <w:pPr>
        <w:spacing w:after="0" w:line="240" w:lineRule="auto"/>
        <w:jc w:val="both"/>
        <w:rPr>
          <w:rFonts w:ascii="Times New Roman" w:hAnsi="Times New Roman"/>
        </w:rPr>
      </w:pPr>
      <w:r w:rsidRPr="00F84A51">
        <w:rPr>
          <w:rFonts w:ascii="Times New Roman" w:hAnsi="Times New Roman"/>
        </w:rPr>
        <w:t>Podczas oceny pro</w:t>
      </w:r>
      <w:r>
        <w:rPr>
          <w:rFonts w:ascii="Times New Roman" w:hAnsi="Times New Roman"/>
        </w:rPr>
        <w:t>jektu, na każdym jej etapie, Komisja Oceny Projektów</w:t>
      </w:r>
      <w:r w:rsidRPr="00F84A51">
        <w:rPr>
          <w:rFonts w:ascii="Times New Roman" w:hAnsi="Times New Roman"/>
        </w:rPr>
        <w:t xml:space="preserve"> może żądać od Wnioskodawcy następujących dokumentów potwierdzających zewnętrzne finansowanie. W przypadku wyboru formy finansowania projektu w postaci: </w:t>
      </w:r>
    </w:p>
    <w:p w:rsidR="00FC3575" w:rsidRPr="00F84A51" w:rsidRDefault="00FC3575" w:rsidP="00F84A51">
      <w:pPr>
        <w:spacing w:after="0" w:line="240" w:lineRule="auto"/>
        <w:jc w:val="both"/>
        <w:rPr>
          <w:rFonts w:ascii="Times New Roman" w:hAnsi="Times New Roman"/>
        </w:rPr>
      </w:pPr>
    </w:p>
    <w:p w:rsidR="00F84A51" w:rsidRPr="00F84A51" w:rsidRDefault="00F84A51" w:rsidP="00FC3575">
      <w:pPr>
        <w:spacing w:after="0"/>
        <w:ind w:firstLine="284"/>
        <w:jc w:val="both"/>
        <w:rPr>
          <w:rFonts w:ascii="Times New Roman" w:hAnsi="Times New Roman"/>
        </w:rPr>
      </w:pPr>
      <w:r w:rsidRPr="00F84A51">
        <w:rPr>
          <w:rFonts w:ascii="Times New Roman" w:hAnsi="Times New Roman"/>
        </w:rPr>
        <w:lastRenderedPageBreak/>
        <w:t>1)</w:t>
      </w:r>
      <w:r w:rsidRPr="00F84A51">
        <w:rPr>
          <w:rFonts w:ascii="Times New Roman" w:hAnsi="Times New Roman"/>
        </w:rPr>
        <w:tab/>
        <w:t>kredytu/pożyczki bankowej – promesy kredytowej;</w:t>
      </w:r>
    </w:p>
    <w:p w:rsidR="00F84A51" w:rsidRPr="00F84A51" w:rsidRDefault="00F84A51" w:rsidP="00FC3575">
      <w:pPr>
        <w:spacing w:after="0"/>
        <w:ind w:left="709" w:hanging="425"/>
        <w:jc w:val="both"/>
        <w:rPr>
          <w:rFonts w:ascii="Times New Roman" w:hAnsi="Times New Roman"/>
        </w:rPr>
      </w:pPr>
      <w:r w:rsidRPr="00F84A51">
        <w:rPr>
          <w:rFonts w:ascii="Times New Roman" w:hAnsi="Times New Roman"/>
        </w:rPr>
        <w:t>2)</w:t>
      </w:r>
      <w:r w:rsidRPr="00F84A51">
        <w:rPr>
          <w:rFonts w:ascii="Times New Roman" w:hAnsi="Times New Roman"/>
        </w:rPr>
        <w:tab/>
        <w:t>pożyczki od udziałowca/innego podmiotu gospodarczego – przedwstępnej umowy pożyczki lub oświadczenia pożyczkodawcy zawierającego zobowiązanie udzielenia pożyczki;</w:t>
      </w:r>
    </w:p>
    <w:p w:rsidR="00F84A51" w:rsidRPr="00F84A51" w:rsidRDefault="00F84A51" w:rsidP="00FC3575">
      <w:pPr>
        <w:spacing w:after="0"/>
        <w:ind w:left="709" w:hanging="425"/>
        <w:jc w:val="both"/>
        <w:rPr>
          <w:rFonts w:ascii="Times New Roman" w:hAnsi="Times New Roman"/>
        </w:rPr>
      </w:pPr>
      <w:r w:rsidRPr="00F84A51">
        <w:rPr>
          <w:rFonts w:ascii="Times New Roman" w:hAnsi="Times New Roman"/>
        </w:rPr>
        <w:t>3)</w:t>
      </w:r>
      <w:r w:rsidRPr="00F84A51">
        <w:rPr>
          <w:rFonts w:ascii="Times New Roman" w:hAnsi="Times New Roman"/>
        </w:rPr>
        <w:tab/>
        <w:t>podwyższenia kapitału zakładowego – uchwały właściwych organów spółki o podwyższeniu kapitału;</w:t>
      </w:r>
    </w:p>
    <w:p w:rsidR="00F84A51" w:rsidRPr="00F84A51" w:rsidRDefault="00F84A51" w:rsidP="00FC3575">
      <w:pPr>
        <w:spacing w:after="0"/>
        <w:ind w:left="709" w:hanging="425"/>
        <w:jc w:val="both"/>
        <w:rPr>
          <w:rFonts w:ascii="Times New Roman" w:hAnsi="Times New Roman"/>
        </w:rPr>
      </w:pPr>
      <w:r w:rsidRPr="00F84A51">
        <w:rPr>
          <w:rFonts w:ascii="Times New Roman" w:hAnsi="Times New Roman"/>
        </w:rPr>
        <w:t>4)</w:t>
      </w:r>
      <w:r w:rsidRPr="00F84A51">
        <w:rPr>
          <w:rFonts w:ascii="Times New Roman" w:hAnsi="Times New Roman"/>
        </w:rPr>
        <w:tab/>
        <w:t>środków z funduszu inwestycyjnego –  dokumentu potwierdzającego wstępne zobowiązanie funduszu inwestycyjnego do zaangażowania środków na realizację projektu;</w:t>
      </w:r>
    </w:p>
    <w:p w:rsidR="00F84A51" w:rsidRPr="00F84A51" w:rsidRDefault="00F84A51" w:rsidP="00FC3575">
      <w:pPr>
        <w:spacing w:after="0"/>
        <w:ind w:firstLine="284"/>
        <w:jc w:val="both"/>
        <w:rPr>
          <w:rFonts w:ascii="Times New Roman" w:hAnsi="Times New Roman"/>
        </w:rPr>
      </w:pPr>
      <w:r w:rsidRPr="00F84A51">
        <w:rPr>
          <w:rFonts w:ascii="Times New Roman" w:hAnsi="Times New Roman"/>
        </w:rPr>
        <w:t>5)</w:t>
      </w:r>
      <w:r w:rsidRPr="00F84A51">
        <w:rPr>
          <w:rFonts w:ascii="Times New Roman" w:hAnsi="Times New Roman"/>
        </w:rPr>
        <w:tab/>
        <w:t>leasingu – promesy leasingowej;</w:t>
      </w:r>
    </w:p>
    <w:p w:rsidR="00F84A51" w:rsidRDefault="00F84A51" w:rsidP="00FC3575">
      <w:pPr>
        <w:spacing w:after="0"/>
        <w:ind w:firstLine="284"/>
        <w:jc w:val="both"/>
        <w:rPr>
          <w:rFonts w:ascii="Times New Roman" w:hAnsi="Times New Roman"/>
        </w:rPr>
      </w:pPr>
      <w:r w:rsidRPr="00F84A51">
        <w:rPr>
          <w:rFonts w:ascii="Times New Roman" w:hAnsi="Times New Roman"/>
        </w:rPr>
        <w:t>6)</w:t>
      </w:r>
      <w:r w:rsidRPr="00F84A51">
        <w:rPr>
          <w:rFonts w:ascii="Times New Roman" w:hAnsi="Times New Roman"/>
        </w:rPr>
        <w:tab/>
        <w:t>lokat bankowych – wyciągu/zaświadczenia banku/umowy zawarcia lokaty terminowej;</w:t>
      </w:r>
    </w:p>
    <w:p w:rsidR="00FC3575" w:rsidRPr="00F84A51" w:rsidRDefault="00FC3575" w:rsidP="00FC3575">
      <w:pPr>
        <w:spacing w:after="0" w:line="240" w:lineRule="auto"/>
        <w:ind w:firstLine="284"/>
        <w:jc w:val="both"/>
        <w:rPr>
          <w:rFonts w:ascii="Times New Roman" w:hAnsi="Times New Roman"/>
        </w:rPr>
      </w:pPr>
    </w:p>
    <w:p w:rsidR="00F84A51" w:rsidRDefault="00F84A51" w:rsidP="00F84A51">
      <w:pPr>
        <w:spacing w:after="0" w:line="240" w:lineRule="auto"/>
        <w:jc w:val="both"/>
        <w:rPr>
          <w:rFonts w:ascii="Times New Roman" w:hAnsi="Times New Roman"/>
        </w:rPr>
      </w:pPr>
      <w:r w:rsidRPr="00F84A51">
        <w:rPr>
          <w:rFonts w:ascii="Times New Roman" w:hAnsi="Times New Roman"/>
        </w:rPr>
        <w:t xml:space="preserve"> albo innych dokumentów potwierdzających zdolność finansową Wnioskodawcy i podmiotów oraz osób fizycznych udzielających zewnętrznego finansowania do realizacji inwestycji tj. wyciągi bankowe, deklaracje podatkowe itd.).</w:t>
      </w:r>
    </w:p>
    <w:p w:rsidR="00F84A51" w:rsidRDefault="00F84A51" w:rsidP="00F84A51">
      <w:pPr>
        <w:spacing w:after="0" w:line="240" w:lineRule="auto"/>
        <w:jc w:val="both"/>
        <w:rPr>
          <w:rFonts w:ascii="Times New Roman" w:hAnsi="Times New Roman"/>
        </w:rPr>
      </w:pPr>
    </w:p>
    <w:p w:rsidR="009F626E" w:rsidRDefault="00ED209A" w:rsidP="00E65AA4">
      <w:pPr>
        <w:spacing w:after="0" w:line="240" w:lineRule="auto"/>
        <w:jc w:val="both"/>
        <w:rPr>
          <w:rFonts w:ascii="Times New Roman" w:hAnsi="Times New Roman"/>
        </w:rPr>
      </w:pPr>
      <w:r w:rsidRPr="00FC3575">
        <w:rPr>
          <w:rFonts w:ascii="Times New Roman" w:hAnsi="Times New Roman"/>
        </w:rPr>
        <w:t>Na etapie podpisywania umowy</w:t>
      </w:r>
      <w:r w:rsidR="00F84A51" w:rsidRPr="00FC3575">
        <w:rPr>
          <w:rFonts w:ascii="Times New Roman" w:hAnsi="Times New Roman"/>
        </w:rPr>
        <w:t xml:space="preserve"> (najpóźniej w terminie </w:t>
      </w:r>
      <w:r w:rsidRPr="00FC3575">
        <w:rPr>
          <w:rFonts w:ascii="Times New Roman" w:hAnsi="Times New Roman"/>
        </w:rPr>
        <w:t xml:space="preserve"> </w:t>
      </w:r>
      <w:r w:rsidR="00F84A51" w:rsidRPr="00FC3575">
        <w:rPr>
          <w:rFonts w:ascii="Times New Roman" w:hAnsi="Times New Roman"/>
        </w:rPr>
        <w:t xml:space="preserve">do 3 miesięcy od dnia doręczenia Wnioskodawcy pisemnej informacji o zatwierdzeniu projektu do wsparcia) </w:t>
      </w:r>
      <w:r w:rsidRPr="00FC3575">
        <w:rPr>
          <w:rFonts w:ascii="Times New Roman" w:hAnsi="Times New Roman"/>
        </w:rPr>
        <w:t>wymagane jest przedłożenie dokumentacji potwierdzającej korzystanie z zewnętrznego finansowania projektu, tj.:</w:t>
      </w:r>
    </w:p>
    <w:p w:rsidR="00FC3575" w:rsidRPr="00FC3575" w:rsidRDefault="00FC3575" w:rsidP="00E65AA4">
      <w:pPr>
        <w:spacing w:after="0" w:line="240" w:lineRule="auto"/>
        <w:jc w:val="both"/>
        <w:rPr>
          <w:rFonts w:ascii="Times New Roman" w:hAnsi="Times New Roman"/>
        </w:rPr>
      </w:pPr>
    </w:p>
    <w:p w:rsidR="009F626E" w:rsidRPr="00FC3575" w:rsidRDefault="009F626E" w:rsidP="00FC3575">
      <w:pPr>
        <w:pStyle w:val="Akapitzlist"/>
        <w:numPr>
          <w:ilvl w:val="0"/>
          <w:numId w:val="9"/>
        </w:numPr>
        <w:spacing w:after="0"/>
        <w:jc w:val="both"/>
        <w:rPr>
          <w:rFonts w:ascii="Times New Roman" w:hAnsi="Times New Roman"/>
        </w:rPr>
      </w:pPr>
      <w:r w:rsidRPr="00FC3575">
        <w:rPr>
          <w:rFonts w:ascii="Times New Roman" w:hAnsi="Times New Roman"/>
        </w:rPr>
        <w:t>w przypadku pożyczki od udziałowca/innego podmiotu gospodarczego – umowy pożyczki;</w:t>
      </w:r>
    </w:p>
    <w:p w:rsidR="009F626E" w:rsidRPr="00462119" w:rsidRDefault="009F626E" w:rsidP="00FC3575">
      <w:pPr>
        <w:pStyle w:val="Akapitzlist"/>
        <w:numPr>
          <w:ilvl w:val="0"/>
          <w:numId w:val="7"/>
        </w:numPr>
        <w:spacing w:after="0"/>
        <w:jc w:val="both"/>
        <w:rPr>
          <w:rFonts w:ascii="Times New Roman" w:hAnsi="Times New Roman"/>
        </w:rPr>
      </w:pPr>
      <w:r w:rsidRPr="00462119">
        <w:rPr>
          <w:rFonts w:ascii="Times New Roman" w:hAnsi="Times New Roman"/>
        </w:rPr>
        <w:t>w przypadku podwyższenia kapitału zakładowego - odpisu z KRS z zarejestrowanym pod</w:t>
      </w:r>
      <w:r w:rsidR="00FC3575">
        <w:rPr>
          <w:rFonts w:ascii="Times New Roman" w:hAnsi="Times New Roman"/>
        </w:rPr>
        <w:t>wyższeniem kapitału zakładowego;</w:t>
      </w:r>
    </w:p>
    <w:p w:rsidR="009F626E" w:rsidRPr="00462119" w:rsidRDefault="009F626E" w:rsidP="00FC3575">
      <w:pPr>
        <w:pStyle w:val="Akapitzlist"/>
        <w:numPr>
          <w:ilvl w:val="0"/>
          <w:numId w:val="7"/>
        </w:numPr>
        <w:spacing w:after="0"/>
        <w:jc w:val="both"/>
        <w:rPr>
          <w:rFonts w:ascii="Times New Roman" w:hAnsi="Times New Roman"/>
        </w:rPr>
      </w:pPr>
      <w:r w:rsidRPr="00462119">
        <w:rPr>
          <w:rFonts w:ascii="Times New Roman" w:hAnsi="Times New Roman"/>
        </w:rPr>
        <w:t>w przypadku środków z funduszu inwestycyjnego – umowy, na mocy której zostaną zaangażowane</w:t>
      </w:r>
      <w:r w:rsidR="00FC3575">
        <w:rPr>
          <w:rFonts w:ascii="Times New Roman" w:hAnsi="Times New Roman"/>
        </w:rPr>
        <w:t xml:space="preserve"> środki w realizację projektu;</w:t>
      </w:r>
    </w:p>
    <w:p w:rsidR="009F626E" w:rsidRPr="00462119" w:rsidRDefault="009F626E" w:rsidP="00FC3575">
      <w:pPr>
        <w:pStyle w:val="Akapitzlist"/>
        <w:numPr>
          <w:ilvl w:val="0"/>
          <w:numId w:val="7"/>
        </w:numPr>
        <w:spacing w:after="0"/>
        <w:jc w:val="both"/>
        <w:rPr>
          <w:rFonts w:ascii="Times New Roman" w:hAnsi="Times New Roman"/>
        </w:rPr>
      </w:pPr>
      <w:r w:rsidRPr="00462119">
        <w:rPr>
          <w:rFonts w:ascii="Times New Roman" w:hAnsi="Times New Roman"/>
        </w:rPr>
        <w:t xml:space="preserve">w przypadku kredytu/pożyczki bankowej – </w:t>
      </w:r>
      <w:r w:rsidR="00FC3575">
        <w:rPr>
          <w:rFonts w:ascii="Times New Roman" w:hAnsi="Times New Roman"/>
        </w:rPr>
        <w:t>umowy kredytowej/umowy pożyczki;</w:t>
      </w:r>
    </w:p>
    <w:p w:rsidR="009F626E" w:rsidRPr="00462119" w:rsidRDefault="009F626E" w:rsidP="00FC3575">
      <w:pPr>
        <w:pStyle w:val="Akapitzlist"/>
        <w:numPr>
          <w:ilvl w:val="0"/>
          <w:numId w:val="10"/>
        </w:numPr>
        <w:spacing w:after="0"/>
        <w:jc w:val="both"/>
        <w:rPr>
          <w:rFonts w:ascii="Times New Roman" w:hAnsi="Times New Roman"/>
        </w:rPr>
      </w:pPr>
      <w:r w:rsidRPr="00462119">
        <w:rPr>
          <w:rFonts w:ascii="Times New Roman" w:hAnsi="Times New Roman"/>
        </w:rPr>
        <w:t xml:space="preserve">w przypadku leasingu– </w:t>
      </w:r>
      <w:r w:rsidR="00FC3575">
        <w:rPr>
          <w:rFonts w:ascii="Times New Roman" w:hAnsi="Times New Roman"/>
        </w:rPr>
        <w:t>umowy leasingowej;</w:t>
      </w:r>
    </w:p>
    <w:p w:rsidR="009F626E" w:rsidRPr="00462119" w:rsidRDefault="009F626E" w:rsidP="00FC3575">
      <w:pPr>
        <w:pStyle w:val="Akapitzlist"/>
        <w:numPr>
          <w:ilvl w:val="0"/>
          <w:numId w:val="10"/>
        </w:numPr>
        <w:spacing w:after="0"/>
        <w:jc w:val="both"/>
        <w:rPr>
          <w:rFonts w:ascii="Times New Roman" w:hAnsi="Times New Roman"/>
        </w:rPr>
      </w:pPr>
      <w:r w:rsidRPr="00462119">
        <w:rPr>
          <w:rFonts w:ascii="Times New Roman" w:hAnsi="Times New Roman"/>
        </w:rPr>
        <w:t xml:space="preserve">innych dokumentów wskazanych przez eksperta na etapie oceny wniosku o dofinansowanie. </w:t>
      </w:r>
    </w:p>
    <w:p w:rsidR="009F626E" w:rsidRPr="00462119" w:rsidRDefault="009F626E" w:rsidP="00BF69E1">
      <w:pPr>
        <w:pStyle w:val="Akapitzlist"/>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Z promesy/umowy kredytu/pożyczki/leasingu musi jednoznacznie wynikać, ze środki zostaną przeznaczone na realizację projektu. Wydatki inwestycyjne powinny być finansowane kredytem inwestycyjnym, pożyczką długoterminową/leasi</w:t>
      </w:r>
      <w:r w:rsidR="00FC3575">
        <w:rPr>
          <w:rFonts w:ascii="Times New Roman" w:hAnsi="Times New Roman"/>
        </w:rPr>
        <w:t>n</w:t>
      </w:r>
      <w:r w:rsidRPr="001828B1">
        <w:rPr>
          <w:rFonts w:ascii="Times New Roman" w:hAnsi="Times New Roman"/>
        </w:rPr>
        <w:t>giem. Wydatki obrotowe (np. wynagrodzenia zespołu badawczego) mogą być finansowane kredytem obrotowym.</w:t>
      </w:r>
    </w:p>
    <w:p w:rsidR="009F626E" w:rsidRPr="001828B1" w:rsidRDefault="009F626E"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 xml:space="preserve">W przypadku deklarowanych źródeł finansowania projektu w postaci zysku, amortyzacji, wolnych środków pieniężnych, papierów wartościowych, składników majątku, które mogą być łatwo upłynnione, łatwo ściągalnych krótkoterminowych należności, ocena przeprowadzana będzie w oparciu o dane finansowe zamieszczone w Modelu Finansowym oraz opis przedstawiony przez wnioskodawcę we wniosku. </w:t>
      </w:r>
    </w:p>
    <w:p w:rsidR="009F626E" w:rsidRPr="001828B1" w:rsidRDefault="009F626E" w:rsidP="00E65AA4">
      <w:pPr>
        <w:spacing w:after="0" w:line="240" w:lineRule="auto"/>
        <w:rPr>
          <w:rFonts w:ascii="Times New Roman" w:hAnsi="Times New Roman"/>
          <w:b/>
        </w:rPr>
      </w:pPr>
    </w:p>
    <w:p w:rsidR="009F626E" w:rsidRPr="001828B1" w:rsidRDefault="009F626E" w:rsidP="00E65AA4">
      <w:pPr>
        <w:spacing w:after="0" w:line="240" w:lineRule="auto"/>
        <w:jc w:val="both"/>
        <w:rPr>
          <w:rFonts w:ascii="Times New Roman" w:hAnsi="Times New Roman"/>
          <w:b/>
        </w:rPr>
      </w:pPr>
      <w:r w:rsidRPr="001828B1">
        <w:rPr>
          <w:rFonts w:ascii="Times New Roman" w:hAnsi="Times New Roman"/>
          <w:b/>
        </w:rPr>
        <w:t xml:space="preserve">W przypadku źródła finansowania projektu wnoszonego przez podmiot zewnętrzny, np. </w:t>
      </w:r>
      <w:r w:rsidR="00FC3575">
        <w:rPr>
          <w:rFonts w:ascii="Times New Roman" w:hAnsi="Times New Roman"/>
          <w:b/>
        </w:rPr>
        <w:br/>
      </w:r>
      <w:r w:rsidRPr="001828B1">
        <w:rPr>
          <w:rFonts w:ascii="Times New Roman" w:hAnsi="Times New Roman"/>
          <w:b/>
        </w:rPr>
        <w:t>w postaci dopłat do kapitału przez udziałowców, pożyczki od osoby fizycznej/podmiotu gospodarczego, środków z funduszu inwestycyjnego, wnioskodawca</w:t>
      </w:r>
      <w:r w:rsidRPr="00FC3575">
        <w:rPr>
          <w:rFonts w:ascii="Times New Roman" w:hAnsi="Times New Roman"/>
          <w:b/>
        </w:rPr>
        <w:t xml:space="preserve"> na </w:t>
      </w:r>
      <w:r w:rsidR="00196FF4" w:rsidRPr="00FC3575">
        <w:rPr>
          <w:rFonts w:ascii="Times New Roman" w:hAnsi="Times New Roman"/>
          <w:b/>
        </w:rPr>
        <w:t xml:space="preserve">każdym </w:t>
      </w:r>
      <w:r w:rsidRPr="00FC3575">
        <w:rPr>
          <w:rFonts w:ascii="Times New Roman" w:hAnsi="Times New Roman"/>
          <w:b/>
        </w:rPr>
        <w:t>etapie oceny, może zostać poproszony o przedłożenie stosownych dokumentów (np. sprawozdań finansowych, wyciągu z rachunku bankowego</w:t>
      </w:r>
      <w:r w:rsidR="00196FF4" w:rsidRPr="00FC3575">
        <w:rPr>
          <w:rFonts w:ascii="Times New Roman" w:hAnsi="Times New Roman"/>
          <w:b/>
        </w:rPr>
        <w:t>, deklaracji podatkowych, itp.</w:t>
      </w:r>
      <w:r w:rsidRPr="00FC3575">
        <w:rPr>
          <w:rFonts w:ascii="Times New Roman" w:hAnsi="Times New Roman"/>
          <w:b/>
        </w:rPr>
        <w:t xml:space="preserve">), potwierdzających zdolność podmiotu do udzielenia finansowania w deklarowanej kwocie. </w:t>
      </w:r>
    </w:p>
    <w:p w:rsidR="00462119" w:rsidRDefault="00462119" w:rsidP="00E65AA4">
      <w:pPr>
        <w:spacing w:after="0" w:line="240" w:lineRule="auto"/>
        <w:rPr>
          <w:rFonts w:ascii="Times New Roman" w:hAnsi="Times New Roman"/>
          <w:b/>
        </w:rPr>
      </w:pPr>
    </w:p>
    <w:p w:rsidR="00462119" w:rsidRPr="001828B1" w:rsidRDefault="00462119" w:rsidP="00E65AA4">
      <w:pPr>
        <w:spacing w:after="0" w:line="240" w:lineRule="auto"/>
        <w:rPr>
          <w:rFonts w:ascii="Times New Roman" w:hAnsi="Times New Roman"/>
          <w:b/>
        </w:rPr>
      </w:pPr>
    </w:p>
    <w:p w:rsidR="009F626E" w:rsidRPr="001828B1" w:rsidRDefault="009F626E" w:rsidP="00E65AA4">
      <w:pPr>
        <w:spacing w:after="0" w:line="240" w:lineRule="auto"/>
        <w:rPr>
          <w:rFonts w:ascii="Times New Roman" w:hAnsi="Times New Roman"/>
          <w:b/>
        </w:rPr>
      </w:pPr>
      <w:r w:rsidRPr="001828B1">
        <w:rPr>
          <w:rFonts w:ascii="Times New Roman" w:hAnsi="Times New Roman"/>
          <w:b/>
        </w:rPr>
        <w:t>Ad 3)</w:t>
      </w:r>
    </w:p>
    <w:p w:rsidR="009F626E" w:rsidRPr="00902A73" w:rsidRDefault="009F626E" w:rsidP="00E65AA4">
      <w:pPr>
        <w:spacing w:after="0" w:line="240" w:lineRule="auto"/>
        <w:jc w:val="both"/>
        <w:rPr>
          <w:rFonts w:ascii="Times New Roman" w:hAnsi="Times New Roman"/>
        </w:rPr>
      </w:pPr>
      <w:r w:rsidRPr="00902A73">
        <w:rPr>
          <w:rFonts w:ascii="Times New Roman" w:hAnsi="Times New Roman"/>
        </w:rPr>
        <w:t>Efektywność finansowa projektu będzie oceniana na podstawie  wartości ws</w:t>
      </w:r>
      <w:r w:rsidRPr="00F84A51">
        <w:rPr>
          <w:rFonts w:ascii="Times New Roman" w:hAnsi="Times New Roman"/>
        </w:rPr>
        <w:t>kaźnika NPV (</w:t>
      </w:r>
      <w:r w:rsidR="00902A73" w:rsidRPr="00F84A51">
        <w:rPr>
          <w:rFonts w:ascii="Times New Roman" w:hAnsi="Times New Roman"/>
        </w:rPr>
        <w:t>wartość bieżąca netto</w:t>
      </w:r>
      <w:r w:rsidRPr="00F84A51">
        <w:rPr>
          <w:rFonts w:ascii="Times New Roman" w:hAnsi="Times New Roman"/>
        </w:rPr>
        <w:t xml:space="preserve">) oraz IRR </w:t>
      </w:r>
      <w:r w:rsidR="00902A73" w:rsidRPr="00F84A51">
        <w:rPr>
          <w:rFonts w:ascii="Times New Roman" w:hAnsi="Times New Roman"/>
        </w:rPr>
        <w:t xml:space="preserve">(finansowa stopa zwrotu) </w:t>
      </w:r>
      <w:r w:rsidRPr="00902A73">
        <w:rPr>
          <w:rFonts w:ascii="Times New Roman" w:hAnsi="Times New Roman"/>
        </w:rPr>
        <w:t>wyliczonych przez wnioskodawcę w Modelu Finansowym stanowiącym załącznik do wniosku.</w:t>
      </w:r>
    </w:p>
    <w:p w:rsidR="009F626E" w:rsidRPr="001828B1" w:rsidRDefault="009F626E" w:rsidP="00E65AA4">
      <w:pPr>
        <w:spacing w:after="0" w:line="240" w:lineRule="auto"/>
        <w:jc w:val="both"/>
        <w:rPr>
          <w:rFonts w:ascii="Times New Roman" w:hAnsi="Times New Roman"/>
        </w:rPr>
      </w:pPr>
    </w:p>
    <w:p w:rsidR="009F626E" w:rsidRDefault="009F626E" w:rsidP="00E65AA4">
      <w:pPr>
        <w:spacing w:after="0" w:line="240" w:lineRule="auto"/>
        <w:jc w:val="both"/>
        <w:rPr>
          <w:rFonts w:ascii="Times New Roman" w:hAnsi="Times New Roman"/>
        </w:rPr>
      </w:pPr>
    </w:p>
    <w:p w:rsidR="00FC3575" w:rsidRDefault="00FC3575" w:rsidP="00E65AA4">
      <w:pPr>
        <w:spacing w:after="0" w:line="240" w:lineRule="auto"/>
        <w:jc w:val="both"/>
        <w:rPr>
          <w:rFonts w:ascii="Times New Roman" w:hAnsi="Times New Roman"/>
        </w:rPr>
      </w:pPr>
    </w:p>
    <w:p w:rsidR="00FC3575" w:rsidRPr="001828B1" w:rsidRDefault="00FC3575" w:rsidP="00E65AA4">
      <w:pPr>
        <w:spacing w:after="0" w:line="240" w:lineRule="auto"/>
        <w:jc w:val="both"/>
        <w:rPr>
          <w:rFonts w:ascii="Times New Roman" w:hAnsi="Times New Roman"/>
        </w:rPr>
      </w:pPr>
    </w:p>
    <w:p w:rsidR="009F626E" w:rsidRPr="001828B1" w:rsidRDefault="009F626E" w:rsidP="00E65AA4">
      <w:pPr>
        <w:spacing w:after="0" w:line="240" w:lineRule="auto"/>
        <w:jc w:val="both"/>
        <w:rPr>
          <w:rFonts w:ascii="Times New Roman" w:hAnsi="Times New Roman"/>
        </w:rPr>
      </w:pPr>
      <w:r w:rsidRPr="001828B1">
        <w:rPr>
          <w:rFonts w:ascii="Times New Roman" w:hAnsi="Times New Roman"/>
        </w:rPr>
        <w:t>Wskaźnik  NPV liczony będzie zgodnie z wzorem:</w:t>
      </w:r>
    </w:p>
    <w:p w:rsidR="009F626E" w:rsidRPr="001828B1" w:rsidRDefault="009F626E" w:rsidP="00E65AA4">
      <w:pPr>
        <w:spacing w:after="0" w:line="240" w:lineRule="auto"/>
        <w:rPr>
          <w:rFonts w:ascii="Times New Roman" w:hAnsi="Times New Roman"/>
        </w:rPr>
      </w:pPr>
      <w:r w:rsidRPr="001828B1">
        <w:rPr>
          <w:rFonts w:ascii="Times New Roman" w:hAnsi="Times New Roman"/>
        </w:rPr>
        <w:t xml:space="preserve"> </w:t>
      </w:r>
    </w:p>
    <w:p w:rsidR="009F626E" w:rsidRPr="001828B1" w:rsidRDefault="000D7874" w:rsidP="00E65AA4">
      <w:pPr>
        <w:spacing w:after="0" w:line="240" w:lineRule="auto"/>
        <w:rPr>
          <w:rFonts w:ascii="Times New Roman" w:hAnsi="Times New Roman"/>
        </w:rPr>
      </w:pPr>
      <w:r>
        <w:rPr>
          <w:rFonts w:ascii="Times New Roman" w:hAnsi="Times New Roman"/>
          <w:noProof/>
        </w:rPr>
        <w:drawing>
          <wp:inline distT="0" distB="0" distL="0" distR="0">
            <wp:extent cx="2727325" cy="652145"/>
            <wp:effectExtent l="0" t="0" r="0" b="0"/>
            <wp:docPr id="1" name="Obraz 16" descr="http://static.eprace.edu.pl/kredyty-inwestycyjne/m2cc5e3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http://static.eprace.edu.pl/kredyty-inwestycyjne/m2cc5e33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325" cy="652145"/>
                    </a:xfrm>
                    <a:prstGeom prst="rect">
                      <a:avLst/>
                    </a:prstGeom>
                    <a:noFill/>
                    <a:ln>
                      <a:noFill/>
                    </a:ln>
                  </pic:spPr>
                </pic:pic>
              </a:graphicData>
            </a:graphic>
          </wp:inline>
        </w:drawing>
      </w:r>
    </w:p>
    <w:p w:rsidR="009F626E" w:rsidRPr="001828B1" w:rsidRDefault="009F626E" w:rsidP="00E65AA4">
      <w:pPr>
        <w:spacing w:after="0" w:line="240" w:lineRule="auto"/>
        <w:rPr>
          <w:rFonts w:ascii="Times New Roman" w:hAnsi="Times New Roman"/>
        </w:rPr>
      </w:pPr>
    </w:p>
    <w:p w:rsidR="009F626E" w:rsidRPr="001828B1" w:rsidRDefault="009F626E" w:rsidP="00E65AA4">
      <w:pPr>
        <w:spacing w:after="0" w:line="240" w:lineRule="auto"/>
        <w:rPr>
          <w:rFonts w:ascii="Times New Roman" w:hAnsi="Times New Roman"/>
        </w:rPr>
      </w:pPr>
      <w:r w:rsidRPr="001828B1">
        <w:rPr>
          <w:rFonts w:ascii="Times New Roman" w:hAnsi="Times New Roman"/>
        </w:rPr>
        <w:t>Gdzie:</w:t>
      </w:r>
    </w:p>
    <w:p w:rsidR="009F626E" w:rsidRPr="001828B1" w:rsidRDefault="009F626E" w:rsidP="00E65AA4">
      <w:pPr>
        <w:spacing w:after="0" w:line="240" w:lineRule="auto"/>
        <w:rPr>
          <w:rFonts w:ascii="Times New Roman" w:hAnsi="Times New Roman"/>
        </w:rPr>
      </w:pPr>
      <w:r w:rsidRPr="001828B1">
        <w:rPr>
          <w:rFonts w:ascii="Times New Roman" w:hAnsi="Times New Roman"/>
        </w:rPr>
        <w:t>Cf - przepływy gotówkowe (netto) w okresie t,</w:t>
      </w:r>
    </w:p>
    <w:p w:rsidR="009F626E" w:rsidRPr="001828B1" w:rsidRDefault="009F626E" w:rsidP="00E65AA4">
      <w:pPr>
        <w:spacing w:after="0" w:line="240" w:lineRule="auto"/>
        <w:rPr>
          <w:rFonts w:ascii="Times New Roman" w:hAnsi="Times New Roman"/>
        </w:rPr>
      </w:pPr>
      <w:r w:rsidRPr="001828B1">
        <w:rPr>
          <w:rFonts w:ascii="Times New Roman" w:hAnsi="Times New Roman"/>
        </w:rPr>
        <w:t>I – nakłady inwestycyjne</w:t>
      </w:r>
    </w:p>
    <w:p w:rsidR="009F626E" w:rsidRPr="001828B1" w:rsidRDefault="009F626E" w:rsidP="00E65AA4">
      <w:pPr>
        <w:spacing w:after="0" w:line="240" w:lineRule="auto"/>
        <w:rPr>
          <w:rFonts w:ascii="Times New Roman" w:hAnsi="Times New Roman"/>
        </w:rPr>
      </w:pPr>
      <w:r w:rsidRPr="001828B1">
        <w:rPr>
          <w:rFonts w:ascii="Times New Roman" w:hAnsi="Times New Roman"/>
        </w:rPr>
        <w:t>t – kolejne lata eksploatacji inwestycji</w:t>
      </w:r>
    </w:p>
    <w:p w:rsidR="009F626E" w:rsidRPr="001828B1" w:rsidRDefault="009F626E" w:rsidP="00E65AA4">
      <w:pPr>
        <w:spacing w:after="0" w:line="240" w:lineRule="auto"/>
        <w:rPr>
          <w:rFonts w:ascii="Times New Roman" w:hAnsi="Times New Roman"/>
        </w:rPr>
      </w:pPr>
      <w:r w:rsidRPr="001828B1">
        <w:rPr>
          <w:rFonts w:ascii="Times New Roman" w:hAnsi="Times New Roman"/>
        </w:rPr>
        <w:t>i – stopa dyskontowa</w:t>
      </w:r>
    </w:p>
    <w:p w:rsidR="009F626E" w:rsidRPr="001828B1" w:rsidRDefault="009F626E" w:rsidP="006922C5">
      <w:pPr>
        <w:spacing w:after="0" w:line="240" w:lineRule="auto"/>
        <w:jc w:val="both"/>
        <w:rPr>
          <w:rFonts w:ascii="Times New Roman" w:hAnsi="Times New Roman"/>
        </w:rPr>
      </w:pPr>
    </w:p>
    <w:p w:rsidR="009F626E" w:rsidRPr="001828B1" w:rsidRDefault="009F626E" w:rsidP="006922C5">
      <w:pPr>
        <w:spacing w:after="0" w:line="240" w:lineRule="auto"/>
        <w:jc w:val="both"/>
        <w:rPr>
          <w:rFonts w:ascii="Times New Roman" w:hAnsi="Times New Roman"/>
        </w:rPr>
      </w:pPr>
      <w:r w:rsidRPr="001828B1">
        <w:rPr>
          <w:rFonts w:ascii="Times New Roman" w:hAnsi="Times New Roman"/>
        </w:rPr>
        <w:t xml:space="preserve">Wewnętrzna stopa zwrotu IRR jest to stopa procentowa, dla której NPV przyjmuje wartość 0. </w:t>
      </w:r>
    </w:p>
    <w:p w:rsidR="009F626E" w:rsidRPr="001828B1" w:rsidRDefault="009F626E" w:rsidP="006922C5">
      <w:pPr>
        <w:spacing w:after="0" w:line="240" w:lineRule="auto"/>
        <w:jc w:val="both"/>
        <w:rPr>
          <w:rFonts w:ascii="Times New Roman" w:hAnsi="Times New Roman"/>
        </w:rPr>
      </w:pPr>
    </w:p>
    <w:p w:rsidR="00902A73" w:rsidRPr="00902A73" w:rsidRDefault="009F626E" w:rsidP="00C102E9">
      <w:pPr>
        <w:spacing w:after="0" w:line="240" w:lineRule="auto"/>
        <w:jc w:val="both"/>
        <w:rPr>
          <w:rFonts w:ascii="Times New Roman" w:hAnsi="Times New Roman"/>
          <w:color w:val="0000FF"/>
        </w:rPr>
      </w:pPr>
      <w:r w:rsidRPr="001828B1">
        <w:rPr>
          <w:rFonts w:ascii="Times New Roman" w:hAnsi="Times New Roman"/>
        </w:rPr>
        <w:t xml:space="preserve">NPV i IRR liczone jest z na podstawie prognozy sporządzonej </w:t>
      </w:r>
      <w:r w:rsidRPr="00F84A51">
        <w:rPr>
          <w:rFonts w:ascii="Times New Roman" w:hAnsi="Times New Roman"/>
        </w:rPr>
        <w:t xml:space="preserve">w cenach stałych z uwzględnieniem dotacji oraz wartości rezydualnej dla stopy dyskontowej wynoszącej 4%. </w:t>
      </w:r>
      <w:r w:rsidR="00902A73" w:rsidRPr="00F84A51">
        <w:rPr>
          <w:rFonts w:ascii="Times New Roman" w:hAnsi="Times New Roman"/>
        </w:rPr>
        <w:t>Wartość NPV, z uwzględnieniem dotacji, powinna być większa od zera, a stopa zwrotu wyższa niż przyjęta do analizy stopa dyskontowa. W przypadku gdy powyższe wskaźniki nie osiągają pożądanych wartości w przyjętym okresie Wnioskodawca powinien przedstawić wiarygodne uzasadnienie dla takiego stanu rzeczy.</w:t>
      </w:r>
    </w:p>
    <w:p w:rsidR="00902A73" w:rsidRDefault="00902A73" w:rsidP="00C102E9">
      <w:pPr>
        <w:spacing w:after="0" w:line="240" w:lineRule="auto"/>
        <w:jc w:val="both"/>
      </w:pPr>
    </w:p>
    <w:p w:rsidR="009F626E" w:rsidRPr="001828B1" w:rsidRDefault="009F626E" w:rsidP="00E65AA4">
      <w:pPr>
        <w:autoSpaceDE w:val="0"/>
        <w:autoSpaceDN w:val="0"/>
        <w:adjustRightInd w:val="0"/>
        <w:spacing w:after="0" w:line="240" w:lineRule="auto"/>
        <w:jc w:val="both"/>
        <w:rPr>
          <w:rFonts w:ascii="Times New Roman" w:hAnsi="Times New Roman"/>
          <w:b/>
        </w:rPr>
      </w:pPr>
      <w:r w:rsidRPr="001828B1">
        <w:rPr>
          <w:rFonts w:ascii="Times New Roman" w:hAnsi="Times New Roman"/>
          <w:b/>
        </w:rPr>
        <w:t>Szczegółowej ocenie podlegać będą także założenia do prognozy finansowej stanowiące podstawę wyliczenia wskaźnika NPV oraz pozostałych wskaźników finansowych, w tym przede wszystkim szacowana wielkość sprzedaży, cena produktu/usługi, bieżące koszty operacyjne, koszty finansowe, poszczególne wielkości aktywów i pasywów. W przypadku braku szczegółowego uzasadnienia założeń lub przyjęcia założeń nierealnych kryterium nie zostanie uznane za spełnione.</w:t>
      </w:r>
    </w:p>
    <w:p w:rsidR="009F626E" w:rsidRPr="001828B1" w:rsidRDefault="009F626E" w:rsidP="0097143D">
      <w:pPr>
        <w:spacing w:after="0" w:line="240" w:lineRule="auto"/>
        <w:jc w:val="both"/>
        <w:rPr>
          <w:rFonts w:ascii="Times New Roman" w:hAnsi="Times New Roman"/>
          <w:b/>
        </w:rPr>
      </w:pPr>
      <w:r w:rsidRPr="001828B1">
        <w:rPr>
          <w:rFonts w:ascii="Times New Roman" w:hAnsi="Times New Roman"/>
        </w:rPr>
        <w:t>Weryfikacji zostanie poddane także, czy analiza finansowa projektu, została wykonana</w:t>
      </w:r>
      <w:r w:rsidRPr="001828B1">
        <w:rPr>
          <w:rStyle w:val="apple-converted-space"/>
          <w:rFonts w:ascii="Times New Roman" w:hAnsi="Times New Roman"/>
        </w:rPr>
        <w:t> </w:t>
      </w:r>
      <w:r w:rsidRPr="001828B1">
        <w:rPr>
          <w:rFonts w:ascii="Times New Roman" w:hAnsi="Times New Roman"/>
          <w:iCs/>
        </w:rPr>
        <w:t>w zakresie generowania dochodu,</w:t>
      </w:r>
      <w:r w:rsidRPr="001828B1">
        <w:rPr>
          <w:rFonts w:ascii="Times New Roman" w:hAnsi="Times New Roman"/>
        </w:rPr>
        <w:t xml:space="preserve"> zgodnie z metodologią określoną w Wytycznych Ministra Infrastruktury i Rozwoju z 18 marca 2015 r.</w:t>
      </w:r>
      <w:r w:rsidRPr="001828B1">
        <w:rPr>
          <w:rStyle w:val="apple-converted-space"/>
          <w:rFonts w:ascii="Times New Roman" w:hAnsi="Times New Roman"/>
        </w:rPr>
        <w:t> </w:t>
      </w:r>
      <w:r w:rsidRPr="001828B1">
        <w:rPr>
          <w:rFonts w:ascii="Times New Roman" w:hAnsi="Times New Roman"/>
          <w:i/>
          <w:iCs/>
        </w:rPr>
        <w:t>w zakresie zagadnień związanych z przygotowaniem projektów inwestycyjnych w tym projektów generujących dochód i projektów  hybrydowych na lata 2014-2020</w:t>
      </w:r>
      <w:r w:rsidRPr="001828B1">
        <w:rPr>
          <w:rFonts w:ascii="Times New Roman" w:hAnsi="Times New Roman"/>
          <w:iCs/>
        </w:rPr>
        <w:t>.</w:t>
      </w:r>
    </w:p>
    <w:p w:rsidR="009F626E" w:rsidRPr="001828B1" w:rsidRDefault="009F626E" w:rsidP="00E65AA4">
      <w:pPr>
        <w:spacing w:after="0" w:line="240" w:lineRule="auto"/>
        <w:rPr>
          <w:rFonts w:ascii="Times New Roman" w:hAnsi="Times New Roman"/>
        </w:rPr>
      </w:pPr>
    </w:p>
    <w:p w:rsidR="009F626E" w:rsidRPr="001828B1" w:rsidRDefault="009F626E" w:rsidP="002A47D8">
      <w:pPr>
        <w:spacing w:after="0" w:line="240" w:lineRule="auto"/>
        <w:rPr>
          <w:rFonts w:ascii="Times New Roman" w:hAnsi="Times New Roman"/>
        </w:rPr>
      </w:pPr>
    </w:p>
    <w:p w:rsidR="009F626E" w:rsidRPr="001828B1" w:rsidRDefault="009F626E" w:rsidP="00875E08">
      <w:pPr>
        <w:spacing w:after="0" w:line="240" w:lineRule="auto"/>
        <w:jc w:val="both"/>
        <w:rPr>
          <w:rFonts w:ascii="Times New Roman" w:hAnsi="Times New Roman"/>
          <w:b/>
        </w:rPr>
      </w:pPr>
      <w:r w:rsidRPr="001828B1">
        <w:rPr>
          <w:rFonts w:ascii="Times New Roman" w:hAnsi="Times New Roman"/>
          <w:b/>
        </w:rPr>
        <w:t>Ad. 4)</w:t>
      </w:r>
    </w:p>
    <w:p w:rsidR="009F626E" w:rsidRPr="001828B1" w:rsidRDefault="009F626E" w:rsidP="00836301">
      <w:pPr>
        <w:spacing w:after="0" w:line="240" w:lineRule="auto"/>
        <w:jc w:val="both"/>
        <w:rPr>
          <w:rFonts w:ascii="Times New Roman" w:hAnsi="Times New Roman"/>
        </w:rPr>
      </w:pPr>
      <w:r w:rsidRPr="001828B1">
        <w:rPr>
          <w:rFonts w:ascii="Times New Roman" w:hAnsi="Times New Roman"/>
        </w:rPr>
        <w:t>Projekt zostanie uznany za trwały finansowo, jeżeli saldo niezdyskontowanych skumulowanych przepływów pieniężnych generowanych przez projekt będzie większe bądź równe zeru we wszystkich latach objętych analizą. Ocenie podlegać będzie czy planowane wpływy i wydatki zostały odpowiednio czasowo zharmonizowane tak, aby przedsięwzięcie miało zapewnioną płynność finansową.</w:t>
      </w:r>
    </w:p>
    <w:p w:rsidR="009F626E" w:rsidRPr="001828B1" w:rsidRDefault="009F626E" w:rsidP="0077256A">
      <w:pPr>
        <w:pStyle w:val="Akapitzlist"/>
        <w:spacing w:after="0" w:line="240" w:lineRule="auto"/>
        <w:ind w:left="0"/>
        <w:jc w:val="both"/>
        <w:rPr>
          <w:rFonts w:ascii="Times New Roman" w:hAnsi="Times New Roman"/>
        </w:rPr>
      </w:pPr>
    </w:p>
    <w:p w:rsidR="009F626E" w:rsidRPr="001828B1" w:rsidRDefault="009F626E" w:rsidP="0077256A">
      <w:pPr>
        <w:pStyle w:val="Akapitzlist"/>
        <w:spacing w:after="0" w:line="240" w:lineRule="auto"/>
        <w:ind w:left="0"/>
        <w:jc w:val="both"/>
        <w:rPr>
          <w:rFonts w:ascii="Times New Roman" w:hAnsi="Times New Roman"/>
        </w:rPr>
      </w:pPr>
    </w:p>
    <w:sectPr w:rsidR="009F626E" w:rsidRPr="001828B1" w:rsidSect="0068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TE1D21D00t00">
    <w:altName w:val="MS Mincho"/>
    <w:panose1 w:val="00000000000000000000"/>
    <w:charset w:val="80"/>
    <w:family w:val="auto"/>
    <w:notTrueType/>
    <w:pitch w:val="default"/>
    <w:sig w:usb0="00000001" w:usb1="08070000" w:usb2="00000010" w:usb3="00000000" w:csb0="00020000" w:csb1="00000000"/>
  </w:font>
  <w:font w:name="TTE17823B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B10"/>
    <w:multiLevelType w:val="hybridMultilevel"/>
    <w:tmpl w:val="8CFE5D84"/>
    <w:lvl w:ilvl="0" w:tplc="69BCB600">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215546"/>
    <w:multiLevelType w:val="hybridMultilevel"/>
    <w:tmpl w:val="4260D66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422CBF"/>
    <w:multiLevelType w:val="hybridMultilevel"/>
    <w:tmpl w:val="9BD4C204"/>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EDB2CF2"/>
    <w:multiLevelType w:val="hybridMultilevel"/>
    <w:tmpl w:val="505C58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3312F"/>
    <w:multiLevelType w:val="hybridMultilevel"/>
    <w:tmpl w:val="15628E3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6835538"/>
    <w:multiLevelType w:val="hybridMultilevel"/>
    <w:tmpl w:val="A3403B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EA7DFD"/>
    <w:multiLevelType w:val="hybridMultilevel"/>
    <w:tmpl w:val="30C6726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9D376D7"/>
    <w:multiLevelType w:val="hybridMultilevel"/>
    <w:tmpl w:val="CD0A9A7C"/>
    <w:lvl w:ilvl="0" w:tplc="4AA88BAC">
      <w:start w:val="1"/>
      <w:numFmt w:val="upperRoman"/>
      <w:lvlText w:val="%1."/>
      <w:lvlJc w:val="left"/>
      <w:pPr>
        <w:ind w:left="1146" w:hanging="720"/>
      </w:pPr>
      <w:rPr>
        <w:rFonts w:cs="Times New Roman" w:hint="default"/>
      </w:rPr>
    </w:lvl>
    <w:lvl w:ilvl="1" w:tplc="01FEB774">
      <w:start w:val="1"/>
      <w:numFmt w:val="decimal"/>
      <w:lvlText w:val="%2)"/>
      <w:lvlJc w:val="left"/>
      <w:pPr>
        <w:ind w:left="1821" w:hanging="675"/>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nsid w:val="1AF013C3"/>
    <w:multiLevelType w:val="hybridMultilevel"/>
    <w:tmpl w:val="CB1A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1B012B"/>
    <w:multiLevelType w:val="hybridMultilevel"/>
    <w:tmpl w:val="1E2832E0"/>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nsid w:val="3F347E99"/>
    <w:multiLevelType w:val="hybridMultilevel"/>
    <w:tmpl w:val="F2987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3935B9"/>
    <w:multiLevelType w:val="hybridMultilevel"/>
    <w:tmpl w:val="E1249DB4"/>
    <w:lvl w:ilvl="0" w:tplc="8892C68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3F6D6C00"/>
    <w:multiLevelType w:val="hybridMultilevel"/>
    <w:tmpl w:val="10B07C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860787"/>
    <w:multiLevelType w:val="hybridMultilevel"/>
    <w:tmpl w:val="067AD7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C73BB4"/>
    <w:multiLevelType w:val="hybridMultilevel"/>
    <w:tmpl w:val="32C628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E33696"/>
    <w:multiLevelType w:val="hybridMultilevel"/>
    <w:tmpl w:val="5434A02A"/>
    <w:lvl w:ilvl="0" w:tplc="0415000B">
      <w:start w:val="1"/>
      <w:numFmt w:val="bullet"/>
      <w:lvlText w:val=""/>
      <w:lvlJc w:val="left"/>
      <w:pPr>
        <w:ind w:left="1146" w:hanging="720"/>
      </w:pPr>
      <w:rPr>
        <w:rFonts w:ascii="Wingdings" w:hAnsi="Wingding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nsid w:val="5F700483"/>
    <w:multiLevelType w:val="hybridMultilevel"/>
    <w:tmpl w:val="A3403B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31A183F"/>
    <w:multiLevelType w:val="multilevel"/>
    <w:tmpl w:val="6E06552E"/>
    <w:lvl w:ilvl="0">
      <w:start w:val="1"/>
      <w:numFmt w:val="decimal"/>
      <w:lvlText w:val="%1."/>
      <w:lvlJc w:val="left"/>
      <w:pPr>
        <w:tabs>
          <w:tab w:val="num" w:pos="360"/>
        </w:tabs>
        <w:ind w:left="360" w:hanging="360"/>
      </w:pPr>
      <w:rPr>
        <w:rFonts w:cs="Times New Roman"/>
        <w:i w:val="0"/>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67A20744"/>
    <w:multiLevelType w:val="hybridMultilevel"/>
    <w:tmpl w:val="DCD0A9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264060"/>
    <w:multiLevelType w:val="hybridMultilevel"/>
    <w:tmpl w:val="CD2A4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1F29D3"/>
    <w:multiLevelType w:val="hybridMultilevel"/>
    <w:tmpl w:val="74068D7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9953816"/>
    <w:multiLevelType w:val="hybridMultilevel"/>
    <w:tmpl w:val="920C3C48"/>
    <w:lvl w:ilvl="0" w:tplc="0415000F">
      <w:start w:val="1"/>
      <w:numFmt w:val="decimal"/>
      <w:lvlText w:val="%1."/>
      <w:lvlJc w:val="left"/>
      <w:pPr>
        <w:tabs>
          <w:tab w:val="num" w:pos="720"/>
        </w:tabs>
        <w:ind w:left="720" w:hanging="360"/>
      </w:pPr>
      <w:rPr>
        <w:rFonts w:cs="Times New Roman"/>
      </w:rPr>
    </w:lvl>
    <w:lvl w:ilvl="1" w:tplc="148A5B5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F2C345C"/>
    <w:multiLevelType w:val="hybridMultilevel"/>
    <w:tmpl w:val="E56CF6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AD62CD"/>
    <w:multiLevelType w:val="multilevel"/>
    <w:tmpl w:val="18B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745D7"/>
    <w:multiLevelType w:val="multilevel"/>
    <w:tmpl w:val="170A263C"/>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6"/>
  </w:num>
  <w:num w:numId="2">
    <w:abstractNumId w:val="0"/>
  </w:num>
  <w:num w:numId="3">
    <w:abstractNumId w:val="22"/>
  </w:num>
  <w:num w:numId="4">
    <w:abstractNumId w:val="8"/>
  </w:num>
  <w:num w:numId="5">
    <w:abstractNumId w:val="14"/>
  </w:num>
  <w:num w:numId="6">
    <w:abstractNumId w:val="20"/>
  </w:num>
  <w:num w:numId="7">
    <w:abstractNumId w:val="13"/>
  </w:num>
  <w:num w:numId="8">
    <w:abstractNumId w:val="1"/>
  </w:num>
  <w:num w:numId="9">
    <w:abstractNumId w:val="18"/>
  </w:num>
  <w:num w:numId="10">
    <w:abstractNumId w:val="19"/>
  </w:num>
  <w:num w:numId="11">
    <w:abstractNumId w:val="4"/>
  </w:num>
  <w:num w:numId="12">
    <w:abstractNumId w:val="11"/>
  </w:num>
  <w:num w:numId="13">
    <w:abstractNumId w:val="10"/>
  </w:num>
  <w:num w:numId="14">
    <w:abstractNumId w:val="5"/>
  </w:num>
  <w:num w:numId="15">
    <w:abstractNumId w:val="21"/>
  </w:num>
  <w:num w:numId="16">
    <w:abstractNumId w:val="7"/>
  </w:num>
  <w:num w:numId="17">
    <w:abstractNumId w:val="2"/>
  </w:num>
  <w:num w:numId="18">
    <w:abstractNumId w:val="15"/>
  </w:num>
  <w:num w:numId="19">
    <w:abstractNumId w:val="3"/>
  </w:num>
  <w:num w:numId="20">
    <w:abstractNumId w:val="9"/>
  </w:num>
  <w:num w:numId="21">
    <w:abstractNumId w:val="12"/>
  </w:num>
  <w:num w:numId="22">
    <w:abstractNumId w:val="6"/>
  </w:num>
  <w:num w:numId="23">
    <w:abstractNumId w:val="23"/>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38"/>
    <w:rsid w:val="00004E74"/>
    <w:rsid w:val="00031189"/>
    <w:rsid w:val="00052829"/>
    <w:rsid w:val="0007783D"/>
    <w:rsid w:val="00090B03"/>
    <w:rsid w:val="00093643"/>
    <w:rsid w:val="000A501E"/>
    <w:rsid w:val="000B03B3"/>
    <w:rsid w:val="000B0819"/>
    <w:rsid w:val="000C54E6"/>
    <w:rsid w:val="000C6091"/>
    <w:rsid w:val="000D0EA0"/>
    <w:rsid w:val="000D5A3C"/>
    <w:rsid w:val="000D7874"/>
    <w:rsid w:val="000E7D12"/>
    <w:rsid w:val="001020D7"/>
    <w:rsid w:val="00112204"/>
    <w:rsid w:val="001222FE"/>
    <w:rsid w:val="001333EA"/>
    <w:rsid w:val="00177B43"/>
    <w:rsid w:val="001828B1"/>
    <w:rsid w:val="00183405"/>
    <w:rsid w:val="00192195"/>
    <w:rsid w:val="00196FF4"/>
    <w:rsid w:val="00197AFD"/>
    <w:rsid w:val="001A09CD"/>
    <w:rsid w:val="001D52FB"/>
    <w:rsid w:val="00215C60"/>
    <w:rsid w:val="00240FD4"/>
    <w:rsid w:val="00250145"/>
    <w:rsid w:val="00266D30"/>
    <w:rsid w:val="002834CC"/>
    <w:rsid w:val="002A33FA"/>
    <w:rsid w:val="002A47D8"/>
    <w:rsid w:val="002D039A"/>
    <w:rsid w:val="002F648B"/>
    <w:rsid w:val="00321189"/>
    <w:rsid w:val="00335133"/>
    <w:rsid w:val="003412DB"/>
    <w:rsid w:val="00346B13"/>
    <w:rsid w:val="00354B00"/>
    <w:rsid w:val="00362088"/>
    <w:rsid w:val="00363D4B"/>
    <w:rsid w:val="003644DD"/>
    <w:rsid w:val="003742D3"/>
    <w:rsid w:val="0039639D"/>
    <w:rsid w:val="003C7680"/>
    <w:rsid w:val="003F5B1F"/>
    <w:rsid w:val="00462119"/>
    <w:rsid w:val="00462EF6"/>
    <w:rsid w:val="00465096"/>
    <w:rsid w:val="0047602E"/>
    <w:rsid w:val="00477C04"/>
    <w:rsid w:val="00484185"/>
    <w:rsid w:val="004855E0"/>
    <w:rsid w:val="004A4A77"/>
    <w:rsid w:val="004F0CC6"/>
    <w:rsid w:val="00501C9E"/>
    <w:rsid w:val="0050631F"/>
    <w:rsid w:val="00527FF4"/>
    <w:rsid w:val="00556189"/>
    <w:rsid w:val="00560167"/>
    <w:rsid w:val="005611CE"/>
    <w:rsid w:val="00581E13"/>
    <w:rsid w:val="00593CF0"/>
    <w:rsid w:val="0059527E"/>
    <w:rsid w:val="005A58A6"/>
    <w:rsid w:val="005B0915"/>
    <w:rsid w:val="005B1824"/>
    <w:rsid w:val="005C08E1"/>
    <w:rsid w:val="005D6AD7"/>
    <w:rsid w:val="005F7555"/>
    <w:rsid w:val="006374D6"/>
    <w:rsid w:val="00647D03"/>
    <w:rsid w:val="00655E38"/>
    <w:rsid w:val="006676F7"/>
    <w:rsid w:val="00670F0A"/>
    <w:rsid w:val="006810C5"/>
    <w:rsid w:val="006922C5"/>
    <w:rsid w:val="006A3D99"/>
    <w:rsid w:val="006B086A"/>
    <w:rsid w:val="006B4431"/>
    <w:rsid w:val="006D1700"/>
    <w:rsid w:val="006D35DD"/>
    <w:rsid w:val="00705CBE"/>
    <w:rsid w:val="00711397"/>
    <w:rsid w:val="00713DCA"/>
    <w:rsid w:val="007147E1"/>
    <w:rsid w:val="00717B72"/>
    <w:rsid w:val="00727EB7"/>
    <w:rsid w:val="00734509"/>
    <w:rsid w:val="0073567B"/>
    <w:rsid w:val="007530CD"/>
    <w:rsid w:val="0077256A"/>
    <w:rsid w:val="0078133D"/>
    <w:rsid w:val="007B1996"/>
    <w:rsid w:val="007B315F"/>
    <w:rsid w:val="007E71A9"/>
    <w:rsid w:val="008049D9"/>
    <w:rsid w:val="00805D64"/>
    <w:rsid w:val="00833208"/>
    <w:rsid w:val="008339A4"/>
    <w:rsid w:val="00833FFC"/>
    <w:rsid w:val="00836301"/>
    <w:rsid w:val="00842D3E"/>
    <w:rsid w:val="00875E08"/>
    <w:rsid w:val="00877F49"/>
    <w:rsid w:val="00887B46"/>
    <w:rsid w:val="008913D0"/>
    <w:rsid w:val="008A3D04"/>
    <w:rsid w:val="008B3156"/>
    <w:rsid w:val="008E014C"/>
    <w:rsid w:val="00902A73"/>
    <w:rsid w:val="00927CE9"/>
    <w:rsid w:val="00927E01"/>
    <w:rsid w:val="00940590"/>
    <w:rsid w:val="009533D6"/>
    <w:rsid w:val="0095751B"/>
    <w:rsid w:val="009575E9"/>
    <w:rsid w:val="0097143D"/>
    <w:rsid w:val="009B31FB"/>
    <w:rsid w:val="009C1F1B"/>
    <w:rsid w:val="009C6D31"/>
    <w:rsid w:val="009F626E"/>
    <w:rsid w:val="00A01BCF"/>
    <w:rsid w:val="00A10053"/>
    <w:rsid w:val="00A16415"/>
    <w:rsid w:val="00A255FB"/>
    <w:rsid w:val="00A25EC2"/>
    <w:rsid w:val="00A348D2"/>
    <w:rsid w:val="00A5478F"/>
    <w:rsid w:val="00A61A12"/>
    <w:rsid w:val="00A8405E"/>
    <w:rsid w:val="00A92DB3"/>
    <w:rsid w:val="00AA78CF"/>
    <w:rsid w:val="00AE09BA"/>
    <w:rsid w:val="00AE160A"/>
    <w:rsid w:val="00B07B28"/>
    <w:rsid w:val="00B314DA"/>
    <w:rsid w:val="00B5767D"/>
    <w:rsid w:val="00B65C75"/>
    <w:rsid w:val="00B85B4E"/>
    <w:rsid w:val="00BA338F"/>
    <w:rsid w:val="00BB10C3"/>
    <w:rsid w:val="00BB4016"/>
    <w:rsid w:val="00BF3557"/>
    <w:rsid w:val="00BF69E1"/>
    <w:rsid w:val="00C10115"/>
    <w:rsid w:val="00C102E9"/>
    <w:rsid w:val="00C53157"/>
    <w:rsid w:val="00CA00F1"/>
    <w:rsid w:val="00CA036A"/>
    <w:rsid w:val="00CA1DD0"/>
    <w:rsid w:val="00CC2AFB"/>
    <w:rsid w:val="00CC7F7D"/>
    <w:rsid w:val="00CD1073"/>
    <w:rsid w:val="00CD2581"/>
    <w:rsid w:val="00CE216B"/>
    <w:rsid w:val="00D06EA2"/>
    <w:rsid w:val="00D26D05"/>
    <w:rsid w:val="00D4036F"/>
    <w:rsid w:val="00D43732"/>
    <w:rsid w:val="00D71309"/>
    <w:rsid w:val="00D76EB1"/>
    <w:rsid w:val="00D901CF"/>
    <w:rsid w:val="00DB1F53"/>
    <w:rsid w:val="00DC7A62"/>
    <w:rsid w:val="00DD0788"/>
    <w:rsid w:val="00DE79EC"/>
    <w:rsid w:val="00E3652F"/>
    <w:rsid w:val="00E65AA4"/>
    <w:rsid w:val="00E73AAF"/>
    <w:rsid w:val="00E74FF1"/>
    <w:rsid w:val="00E92FAE"/>
    <w:rsid w:val="00EC67F5"/>
    <w:rsid w:val="00ED209A"/>
    <w:rsid w:val="00ED41DD"/>
    <w:rsid w:val="00EF20EF"/>
    <w:rsid w:val="00EF2A01"/>
    <w:rsid w:val="00EF5BC1"/>
    <w:rsid w:val="00F06CFF"/>
    <w:rsid w:val="00F1748B"/>
    <w:rsid w:val="00F57B42"/>
    <w:rsid w:val="00F71369"/>
    <w:rsid w:val="00F84A51"/>
    <w:rsid w:val="00FA151C"/>
    <w:rsid w:val="00FC3575"/>
    <w:rsid w:val="00FC396B"/>
    <w:rsid w:val="00FD4C14"/>
    <w:rsid w:val="00FE1EE1"/>
    <w:rsid w:val="00FE63D6"/>
    <w:rsid w:val="00FF0F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AF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55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55E38"/>
    <w:rPr>
      <w:rFonts w:ascii="Tahoma" w:hAnsi="Tahoma" w:cs="Tahoma"/>
      <w:sz w:val="16"/>
      <w:szCs w:val="16"/>
    </w:rPr>
  </w:style>
  <w:style w:type="paragraph" w:styleId="Akapitzlist">
    <w:name w:val="List Paragraph"/>
    <w:basedOn w:val="Normalny"/>
    <w:uiPriority w:val="99"/>
    <w:qFormat/>
    <w:rsid w:val="00655E38"/>
    <w:pPr>
      <w:ind w:left="720"/>
      <w:contextualSpacing/>
    </w:pPr>
  </w:style>
  <w:style w:type="paragraph" w:styleId="NormalnyWeb">
    <w:name w:val="Normal (Web)"/>
    <w:basedOn w:val="Normalny"/>
    <w:uiPriority w:val="99"/>
    <w:semiHidden/>
    <w:rsid w:val="00501C9E"/>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727EB7"/>
    <w:rPr>
      <w:rFonts w:cs="Times New Roman"/>
      <w:sz w:val="16"/>
      <w:szCs w:val="16"/>
    </w:rPr>
  </w:style>
  <w:style w:type="paragraph" w:styleId="Tekstkomentarza">
    <w:name w:val="annotation text"/>
    <w:basedOn w:val="Normalny"/>
    <w:link w:val="TekstkomentarzaZnak"/>
    <w:uiPriority w:val="99"/>
    <w:semiHidden/>
    <w:rsid w:val="00727EB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7EB7"/>
    <w:rPr>
      <w:rFonts w:cs="Times New Roman"/>
      <w:sz w:val="20"/>
      <w:szCs w:val="20"/>
    </w:rPr>
  </w:style>
  <w:style w:type="paragraph" w:styleId="Tematkomentarza">
    <w:name w:val="annotation subject"/>
    <w:basedOn w:val="Tekstkomentarza"/>
    <w:next w:val="Tekstkomentarza"/>
    <w:link w:val="TematkomentarzaZnak"/>
    <w:uiPriority w:val="99"/>
    <w:semiHidden/>
    <w:rsid w:val="00727EB7"/>
    <w:rPr>
      <w:b/>
      <w:bCs/>
    </w:rPr>
  </w:style>
  <w:style w:type="character" w:customStyle="1" w:styleId="TematkomentarzaZnak">
    <w:name w:val="Temat komentarza Znak"/>
    <w:basedOn w:val="TekstkomentarzaZnak"/>
    <w:link w:val="Tematkomentarza"/>
    <w:uiPriority w:val="99"/>
    <w:semiHidden/>
    <w:locked/>
    <w:rsid w:val="00727EB7"/>
    <w:rPr>
      <w:rFonts w:cs="Times New Roman"/>
      <w:b/>
      <w:bCs/>
      <w:sz w:val="20"/>
      <w:szCs w:val="20"/>
    </w:rPr>
  </w:style>
  <w:style w:type="paragraph" w:customStyle="1" w:styleId="Default">
    <w:name w:val="Default"/>
    <w:uiPriority w:val="99"/>
    <w:rsid w:val="00CD2581"/>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5B0915"/>
    <w:rPr>
      <w:rFonts w:ascii="EUAlbertina" w:hAnsi="EUAlbertina" w:cs="Times New Roman"/>
      <w:color w:val="auto"/>
    </w:rPr>
  </w:style>
  <w:style w:type="paragraph" w:styleId="Tekstpodstawowy">
    <w:name w:val="Body Text"/>
    <w:basedOn w:val="Normalny"/>
    <w:link w:val="TekstpodstawowyZnak"/>
    <w:uiPriority w:val="99"/>
    <w:rsid w:val="005F7555"/>
    <w:pPr>
      <w:spacing w:before="130" w:after="130" w:line="240" w:lineRule="auto"/>
      <w:jc w:val="both"/>
    </w:pPr>
    <w:rPr>
      <w:rFonts w:ascii="Times New Roman" w:hAnsi="Times New Roman"/>
      <w:szCs w:val="20"/>
      <w:lang w:val="en-US"/>
    </w:rPr>
  </w:style>
  <w:style w:type="character" w:customStyle="1" w:styleId="TekstpodstawowyZnak">
    <w:name w:val="Tekst podstawowy Znak"/>
    <w:basedOn w:val="Domylnaczcionkaakapitu"/>
    <w:link w:val="Tekstpodstawowy"/>
    <w:uiPriority w:val="99"/>
    <w:locked/>
    <w:rsid w:val="005F7555"/>
    <w:rPr>
      <w:rFonts w:ascii="Times New Roman" w:hAnsi="Times New Roman" w:cs="Times New Roman"/>
      <w:sz w:val="20"/>
      <w:szCs w:val="20"/>
      <w:lang w:val="en-US"/>
    </w:rPr>
  </w:style>
  <w:style w:type="table" w:styleId="Tabela-Siatka">
    <w:name w:val="Table Grid"/>
    <w:basedOn w:val="Standardowy"/>
    <w:uiPriority w:val="99"/>
    <w:rsid w:val="00C10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uiPriority w:val="99"/>
    <w:rsid w:val="00BA338F"/>
    <w:rPr>
      <w:rFonts w:cs="Times New Roman"/>
    </w:rPr>
  </w:style>
  <w:style w:type="character" w:styleId="Hipercze">
    <w:name w:val="Hyperlink"/>
    <w:basedOn w:val="Domylnaczcionkaakapitu"/>
    <w:uiPriority w:val="99"/>
    <w:semiHidden/>
    <w:rsid w:val="009575E9"/>
    <w:rPr>
      <w:rFonts w:cs="Times New Roman"/>
      <w:color w:val="0000FF"/>
      <w:u w:val="single"/>
    </w:rPr>
  </w:style>
  <w:style w:type="paragraph" w:customStyle="1" w:styleId="CM1">
    <w:name w:val="CM1"/>
    <w:basedOn w:val="Default"/>
    <w:next w:val="Default"/>
    <w:uiPriority w:val="99"/>
    <w:rsid w:val="00CA036A"/>
    <w:rPr>
      <w:rFonts w:ascii="EUAlbertina" w:hAnsi="EUAlbertina" w:cs="Times New Roman"/>
      <w:color w:val="auto"/>
    </w:rPr>
  </w:style>
  <w:style w:type="paragraph" w:customStyle="1" w:styleId="CM4">
    <w:name w:val="CM4"/>
    <w:basedOn w:val="Default"/>
    <w:next w:val="Default"/>
    <w:uiPriority w:val="99"/>
    <w:rsid w:val="00CA036A"/>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AF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55E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55E38"/>
    <w:rPr>
      <w:rFonts w:ascii="Tahoma" w:hAnsi="Tahoma" w:cs="Tahoma"/>
      <w:sz w:val="16"/>
      <w:szCs w:val="16"/>
    </w:rPr>
  </w:style>
  <w:style w:type="paragraph" w:styleId="Akapitzlist">
    <w:name w:val="List Paragraph"/>
    <w:basedOn w:val="Normalny"/>
    <w:uiPriority w:val="99"/>
    <w:qFormat/>
    <w:rsid w:val="00655E38"/>
    <w:pPr>
      <w:ind w:left="720"/>
      <w:contextualSpacing/>
    </w:pPr>
  </w:style>
  <w:style w:type="paragraph" w:styleId="NormalnyWeb">
    <w:name w:val="Normal (Web)"/>
    <w:basedOn w:val="Normalny"/>
    <w:uiPriority w:val="99"/>
    <w:semiHidden/>
    <w:rsid w:val="00501C9E"/>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727EB7"/>
    <w:rPr>
      <w:rFonts w:cs="Times New Roman"/>
      <w:sz w:val="16"/>
      <w:szCs w:val="16"/>
    </w:rPr>
  </w:style>
  <w:style w:type="paragraph" w:styleId="Tekstkomentarza">
    <w:name w:val="annotation text"/>
    <w:basedOn w:val="Normalny"/>
    <w:link w:val="TekstkomentarzaZnak"/>
    <w:uiPriority w:val="99"/>
    <w:semiHidden/>
    <w:rsid w:val="00727EB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7EB7"/>
    <w:rPr>
      <w:rFonts w:cs="Times New Roman"/>
      <w:sz w:val="20"/>
      <w:szCs w:val="20"/>
    </w:rPr>
  </w:style>
  <w:style w:type="paragraph" w:styleId="Tematkomentarza">
    <w:name w:val="annotation subject"/>
    <w:basedOn w:val="Tekstkomentarza"/>
    <w:next w:val="Tekstkomentarza"/>
    <w:link w:val="TematkomentarzaZnak"/>
    <w:uiPriority w:val="99"/>
    <w:semiHidden/>
    <w:rsid w:val="00727EB7"/>
    <w:rPr>
      <w:b/>
      <w:bCs/>
    </w:rPr>
  </w:style>
  <w:style w:type="character" w:customStyle="1" w:styleId="TematkomentarzaZnak">
    <w:name w:val="Temat komentarza Znak"/>
    <w:basedOn w:val="TekstkomentarzaZnak"/>
    <w:link w:val="Tematkomentarza"/>
    <w:uiPriority w:val="99"/>
    <w:semiHidden/>
    <w:locked/>
    <w:rsid w:val="00727EB7"/>
    <w:rPr>
      <w:rFonts w:cs="Times New Roman"/>
      <w:b/>
      <w:bCs/>
      <w:sz w:val="20"/>
      <w:szCs w:val="20"/>
    </w:rPr>
  </w:style>
  <w:style w:type="paragraph" w:customStyle="1" w:styleId="Default">
    <w:name w:val="Default"/>
    <w:uiPriority w:val="99"/>
    <w:rsid w:val="00CD2581"/>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5B0915"/>
    <w:rPr>
      <w:rFonts w:ascii="EUAlbertina" w:hAnsi="EUAlbertina" w:cs="Times New Roman"/>
      <w:color w:val="auto"/>
    </w:rPr>
  </w:style>
  <w:style w:type="paragraph" w:styleId="Tekstpodstawowy">
    <w:name w:val="Body Text"/>
    <w:basedOn w:val="Normalny"/>
    <w:link w:val="TekstpodstawowyZnak"/>
    <w:uiPriority w:val="99"/>
    <w:rsid w:val="005F7555"/>
    <w:pPr>
      <w:spacing w:before="130" w:after="130" w:line="240" w:lineRule="auto"/>
      <w:jc w:val="both"/>
    </w:pPr>
    <w:rPr>
      <w:rFonts w:ascii="Times New Roman" w:hAnsi="Times New Roman"/>
      <w:szCs w:val="20"/>
      <w:lang w:val="en-US"/>
    </w:rPr>
  </w:style>
  <w:style w:type="character" w:customStyle="1" w:styleId="TekstpodstawowyZnak">
    <w:name w:val="Tekst podstawowy Znak"/>
    <w:basedOn w:val="Domylnaczcionkaakapitu"/>
    <w:link w:val="Tekstpodstawowy"/>
    <w:uiPriority w:val="99"/>
    <w:locked/>
    <w:rsid w:val="005F7555"/>
    <w:rPr>
      <w:rFonts w:ascii="Times New Roman" w:hAnsi="Times New Roman" w:cs="Times New Roman"/>
      <w:sz w:val="20"/>
      <w:szCs w:val="20"/>
      <w:lang w:val="en-US"/>
    </w:rPr>
  </w:style>
  <w:style w:type="table" w:styleId="Tabela-Siatka">
    <w:name w:val="Table Grid"/>
    <w:basedOn w:val="Standardowy"/>
    <w:uiPriority w:val="99"/>
    <w:rsid w:val="00C101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uiPriority w:val="99"/>
    <w:rsid w:val="00BA338F"/>
    <w:rPr>
      <w:rFonts w:cs="Times New Roman"/>
    </w:rPr>
  </w:style>
  <w:style w:type="character" w:styleId="Hipercze">
    <w:name w:val="Hyperlink"/>
    <w:basedOn w:val="Domylnaczcionkaakapitu"/>
    <w:uiPriority w:val="99"/>
    <w:semiHidden/>
    <w:rsid w:val="009575E9"/>
    <w:rPr>
      <w:rFonts w:cs="Times New Roman"/>
      <w:color w:val="0000FF"/>
      <w:u w:val="single"/>
    </w:rPr>
  </w:style>
  <w:style w:type="paragraph" w:customStyle="1" w:styleId="CM1">
    <w:name w:val="CM1"/>
    <w:basedOn w:val="Default"/>
    <w:next w:val="Default"/>
    <w:uiPriority w:val="99"/>
    <w:rsid w:val="00CA036A"/>
    <w:rPr>
      <w:rFonts w:ascii="EUAlbertina" w:hAnsi="EUAlbertina" w:cs="Times New Roman"/>
      <w:color w:val="auto"/>
    </w:rPr>
  </w:style>
  <w:style w:type="paragraph" w:customStyle="1" w:styleId="CM4">
    <w:name w:val="CM4"/>
    <w:basedOn w:val="Default"/>
    <w:next w:val="Default"/>
    <w:uiPriority w:val="99"/>
    <w:rsid w:val="00CA036A"/>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81876">
      <w:marLeft w:val="0"/>
      <w:marRight w:val="0"/>
      <w:marTop w:val="0"/>
      <w:marBottom w:val="0"/>
      <w:divBdr>
        <w:top w:val="none" w:sz="0" w:space="0" w:color="auto"/>
        <w:left w:val="none" w:sz="0" w:space="0" w:color="auto"/>
        <w:bottom w:val="none" w:sz="0" w:space="0" w:color="auto"/>
        <w:right w:val="none" w:sz="0" w:space="0" w:color="auto"/>
      </w:divBdr>
      <w:divsChild>
        <w:div w:id="362681880">
          <w:marLeft w:val="0"/>
          <w:marRight w:val="0"/>
          <w:marTop w:val="0"/>
          <w:marBottom w:val="0"/>
          <w:divBdr>
            <w:top w:val="none" w:sz="0" w:space="0" w:color="auto"/>
            <w:left w:val="none" w:sz="0" w:space="0" w:color="auto"/>
            <w:bottom w:val="none" w:sz="0" w:space="0" w:color="auto"/>
            <w:right w:val="none" w:sz="0" w:space="0" w:color="auto"/>
          </w:divBdr>
          <w:divsChild>
            <w:div w:id="362681877">
              <w:marLeft w:val="0"/>
              <w:marRight w:val="0"/>
              <w:marTop w:val="0"/>
              <w:marBottom w:val="0"/>
              <w:divBdr>
                <w:top w:val="none" w:sz="0" w:space="0" w:color="auto"/>
                <w:left w:val="none" w:sz="0" w:space="0" w:color="auto"/>
                <w:bottom w:val="none" w:sz="0" w:space="0" w:color="auto"/>
                <w:right w:val="none" w:sz="0" w:space="0" w:color="auto"/>
              </w:divBdr>
              <w:divsChild>
                <w:div w:id="362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81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93FFD-D696-4213-82C0-3D6D924E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9503</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Załącznik Nr 1 do Ekspertyzy</vt:lpstr>
    </vt:vector>
  </TitlesOfParts>
  <Company>BOŚ</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Ekspertyzy</dc:title>
  <dc:creator>Justyna</dc:creator>
  <cp:lastModifiedBy>Aneta Szczepkowska</cp:lastModifiedBy>
  <cp:revision>2</cp:revision>
  <cp:lastPrinted>2015-05-31T20:53:00Z</cp:lastPrinted>
  <dcterms:created xsi:type="dcterms:W3CDTF">2017-10-19T08:44:00Z</dcterms:created>
  <dcterms:modified xsi:type="dcterms:W3CDTF">2017-10-19T08:44:00Z</dcterms:modified>
</cp:coreProperties>
</file>