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14" w:rsidRDefault="00A96D14" w:rsidP="00A96D14">
      <w:pPr>
        <w:jc w:val="center"/>
        <w:rPr>
          <w:color w:val="1F497D"/>
          <w:sz w:val="24"/>
          <w:szCs w:val="24"/>
        </w:rPr>
      </w:pPr>
    </w:p>
    <w:p w:rsidR="00A96D14" w:rsidRDefault="00A96D14" w:rsidP="00A96D14">
      <w:pPr>
        <w:jc w:val="center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>Załącznik nr 2</w:t>
      </w:r>
    </w:p>
    <w:p w:rsidR="00D40C60" w:rsidRDefault="00D40C60" w:rsidP="0087545F">
      <w:pPr>
        <w:rPr>
          <w:color w:val="1F497D"/>
          <w:sz w:val="24"/>
          <w:szCs w:val="24"/>
        </w:rPr>
      </w:pPr>
      <w:r w:rsidRPr="00F854C4">
        <w:rPr>
          <w:color w:val="1F497D"/>
          <w:sz w:val="24"/>
          <w:szCs w:val="24"/>
        </w:rPr>
        <w:t>Lista symptomów nadużyć finansowych oraz sposobów ich wstępnej weryfikacji.</w:t>
      </w:r>
    </w:p>
    <w:p w:rsidR="00D40C60" w:rsidRDefault="00D40C60" w:rsidP="0087545F">
      <w:pPr>
        <w:rPr>
          <w:color w:val="1F497D"/>
          <w:sz w:val="24"/>
          <w:szCs w:val="24"/>
        </w:rPr>
      </w:pPr>
      <w:r w:rsidRPr="00F854C4">
        <w:rPr>
          <w:b/>
          <w:color w:val="E36C0A"/>
        </w:rPr>
        <w:t>Nadużycie: Zmowa oferentów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1"/>
        <w:gridCol w:w="1987"/>
        <w:gridCol w:w="3304"/>
        <w:gridCol w:w="2256"/>
      </w:tblGrid>
      <w:tr w:rsidR="00D40C60" w:rsidRPr="00611DDE" w:rsidTr="00611DDE">
        <w:tc>
          <w:tcPr>
            <w:tcW w:w="1741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Sygnał ostrzegawczy</w:t>
            </w:r>
          </w:p>
        </w:tc>
        <w:tc>
          <w:tcPr>
            <w:tcW w:w="1987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Opis</w:t>
            </w:r>
          </w:p>
        </w:tc>
        <w:tc>
          <w:tcPr>
            <w:tcW w:w="3304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Ocena sygnału</w:t>
            </w:r>
          </w:p>
        </w:tc>
        <w:tc>
          <w:tcPr>
            <w:tcW w:w="2256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Potencjał do oceny</w:t>
            </w:r>
          </w:p>
        </w:tc>
      </w:tr>
      <w:tr w:rsidR="00D40C60" w:rsidRPr="00611DDE" w:rsidTr="00611DDE">
        <w:tc>
          <w:tcPr>
            <w:tcW w:w="1741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Rezygnacja z przetargu przed złożeniem oferty lub wycofanie oferty</w:t>
            </w:r>
          </w:p>
        </w:tc>
        <w:tc>
          <w:tcPr>
            <w:tcW w:w="1987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Rezygnacja uczestników z przetargu aby przetarg mógł wygrać z góry wybrany oferent – zgodnie z umową pomiędzy zmawiającymi się.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Wycofanie przez uczestników już złożonej oferty 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304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Należy ustalić przyczynę braku ofert od potencjalnych oferentów, od których w normalnych warunkach rynkowych należałoby oczekiwać złożenia oferty 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Należy ustalić przyczyny wycofania się oferentów, którzy złożyli bardziej korzystną ofertę niż oferta wybrana oraz czy oferta wybrana nie odbiega istotnie od warunków rynkowych.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 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Warunki uznania zasadności podejrzenia: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Brak rzeczywistej przyczyny oraz istotna rozbieżność warunków z oferty wybranej i warunków rynkowych.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6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IP/IZ nie ma praktycznie możliwości oceny czy potencjalni oferenci zrezygnowali z uczestnictwa w przetargu. 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IP ma ograniczone możliwości uzyskania informacji od oferentów, którzy wycofali swoją ofertę.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Istotnym kryterium decyzyjnym staje się wówczas zgodność warunków oferty wybranej z warunkami rynkowymi. Ocena może być bardzo trudna dla IP/IZ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Zasadnicza cześć rozpoznania sytuacji  leży poza IP/IZ</w:t>
            </w:r>
          </w:p>
        </w:tc>
      </w:tr>
      <w:tr w:rsidR="00D40C60" w:rsidRPr="00611DDE" w:rsidTr="00611DDE">
        <w:tc>
          <w:tcPr>
            <w:tcW w:w="1741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Odrzucenie ofert poza ofertą wybraną</w:t>
            </w:r>
          </w:p>
        </w:tc>
        <w:tc>
          <w:tcPr>
            <w:tcW w:w="1987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Składanie ofert celowo słabych (niezgodnych z SIWZ, drogich itp.</w:t>
            </w:r>
            <w:r w:rsidR="0048353E">
              <w:rPr>
                <w:sz w:val="20"/>
                <w:szCs w:val="20"/>
              </w:rPr>
              <w:t>).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Pozory rzeczywistej rywalizacji. Uczestnicy składają oferty, ale są one tak przygotowane by wygrać mógł ustalony oferent</w:t>
            </w:r>
          </w:p>
        </w:tc>
        <w:tc>
          <w:tcPr>
            <w:tcW w:w="3304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Występowanie ofert w oczywisty sposób nie spełniających warunków lub brak uzupełnienia dokumentów przez pozostałych oferentów, który nie znajduje logicznego wyjaśnienia. 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Warunki uznania zasadności podejrzenia: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Braki w ofertach złożonych powodują ich nieważność, poza jedną ofertą.  Brak wyjaśnienia dla braków w pozostałych ofertach.  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oraz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Istotna rozbieżność warunków z oferty wybranej i warunków rynkowych</w:t>
            </w:r>
          </w:p>
        </w:tc>
        <w:tc>
          <w:tcPr>
            <w:tcW w:w="2256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IP jest w stanie ocenić sygnał alarmowy</w:t>
            </w:r>
          </w:p>
        </w:tc>
      </w:tr>
      <w:tr w:rsidR="00D40C60" w:rsidRPr="00611DDE" w:rsidTr="00611DDE">
        <w:tc>
          <w:tcPr>
            <w:tcW w:w="1741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W grupie podobnych przetargów uczestniczą ci sami </w:t>
            </w:r>
            <w:r w:rsidRPr="00611DDE">
              <w:rPr>
                <w:sz w:val="20"/>
                <w:szCs w:val="20"/>
              </w:rPr>
              <w:lastRenderedPageBreak/>
              <w:t>oferenci, z których każdy wygrywa w pewnych przetargach</w:t>
            </w:r>
          </w:p>
        </w:tc>
        <w:tc>
          <w:tcPr>
            <w:tcW w:w="1987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lastRenderedPageBreak/>
              <w:t>Rotacja ofert – podział kolejnych przetargów pomiędzy kilku wykonawców</w:t>
            </w:r>
          </w:p>
        </w:tc>
        <w:tc>
          <w:tcPr>
            <w:tcW w:w="3304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O rotacji ofert wskazywać również 2 poprzednie sygnały. Poza tym podejrzany jest brak uzasadnień dla </w:t>
            </w:r>
            <w:r w:rsidRPr="00611DDE">
              <w:rPr>
                <w:sz w:val="20"/>
                <w:szCs w:val="20"/>
              </w:rPr>
              <w:lastRenderedPageBreak/>
              <w:t>stosowania różnych stawek/cen tych samych wykonawców w kilku podobnych przetargach. Czyli należy przeanalizować te stawki/ceny.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Warunki uznania zasadności podejrzenia: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Przynajmniej kilka przypadków, gdy w grupie podobnych przetargów uczestniczą ci sami oferenci, z których każdy wygrywa w pewnych przetargach, a stawki/ceny tych samych oferentów są w sposób nieuzasadniony różne w kilku podobnych przetargach.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6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lastRenderedPageBreak/>
              <w:t xml:space="preserve">IP ma ograniczone możliwości uzyskania informacji na temat przetargów </w:t>
            </w:r>
            <w:r w:rsidRPr="00611DDE">
              <w:rPr>
                <w:sz w:val="20"/>
                <w:szCs w:val="20"/>
              </w:rPr>
              <w:lastRenderedPageBreak/>
              <w:t>finansowanych poza PO PW.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Mimo to analiza na poziomie całego PO PW jest możliwa i powinna być przeprowadzona.</w:t>
            </w:r>
          </w:p>
        </w:tc>
      </w:tr>
      <w:tr w:rsidR="00D40C60" w:rsidRPr="00611DDE" w:rsidTr="00611DDE">
        <w:tc>
          <w:tcPr>
            <w:tcW w:w="1741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lastRenderedPageBreak/>
              <w:t>Część lub całość zamówienia jest realizowana przez podwykonawcę, który nie zdobył zamówienia</w:t>
            </w:r>
          </w:p>
        </w:tc>
        <w:tc>
          <w:tcPr>
            <w:tcW w:w="1987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Podział zysku (np. Poprzez podwykonawstwo lub fikcyjne zlecenie)</w:t>
            </w:r>
          </w:p>
        </w:tc>
        <w:tc>
          <w:tcPr>
            <w:tcW w:w="3304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O podziale zysku wskazywać również 2 pierwsze sygnały. Istotna jest zyskowność przedmiotu zamówienia.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Warunki uznania zasadności podejrzenia:</w:t>
            </w:r>
          </w:p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Zamówienie realizuje podwykonawca, który uczestniczył w przetargu i przegrał ze względu na za wysoką cenę/stawkę oraz  istotna rozbieżność warunków z oferty wybranej i warunków rynkowych.</w:t>
            </w:r>
          </w:p>
        </w:tc>
        <w:tc>
          <w:tcPr>
            <w:tcW w:w="2256" w:type="dxa"/>
          </w:tcPr>
          <w:p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IP jest w stanie ocenić sygnał alarmowy</w:t>
            </w:r>
          </w:p>
        </w:tc>
      </w:tr>
    </w:tbl>
    <w:p w:rsidR="00D40C60" w:rsidRDefault="00D40C60" w:rsidP="0087545F">
      <w:pPr>
        <w:rPr>
          <w:b/>
        </w:rPr>
      </w:pPr>
    </w:p>
    <w:p w:rsidR="00D40C60" w:rsidRPr="0098712D" w:rsidRDefault="00D40C60" w:rsidP="0087545F">
      <w:pPr>
        <w:rPr>
          <w:b/>
          <w:color w:val="E36C0A"/>
        </w:rPr>
      </w:pPr>
      <w:r w:rsidRPr="00F854C4">
        <w:rPr>
          <w:b/>
          <w:color w:val="E36C0A"/>
        </w:rPr>
        <w:t>Nadużycie: Korupcja/nieujawniony konflikt interesów</w:t>
      </w:r>
    </w:p>
    <w:p w:rsidR="00D40C60" w:rsidRPr="001F5B93" w:rsidRDefault="00D40C60" w:rsidP="0087545F">
      <w:r>
        <w:t>Waga zarówno korupcji jak i nieujawnionego</w:t>
      </w:r>
      <w:r w:rsidRPr="001F5B93">
        <w:t xml:space="preserve"> konflikt</w:t>
      </w:r>
      <w:r>
        <w:t>u</w:t>
      </w:r>
      <w:r w:rsidRPr="001F5B93">
        <w:t xml:space="preserve"> interesów </w:t>
      </w:r>
      <w:r>
        <w:t>przejawia się we wpływie jaki wywiera osoba skorumpowana lub będąca w konflikcie interesów na dane działania (np. zamówienie publiczne.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58"/>
        <w:gridCol w:w="4587"/>
        <w:gridCol w:w="1943"/>
      </w:tblGrid>
      <w:tr w:rsidR="00D40C60" w:rsidRPr="00611DDE" w:rsidTr="00325D52">
        <w:tc>
          <w:tcPr>
            <w:tcW w:w="2758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Wpływ</w:t>
            </w:r>
          </w:p>
        </w:tc>
        <w:tc>
          <w:tcPr>
            <w:tcW w:w="4587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 xml:space="preserve">Najbardziej prawdopodobne sygnały ostrzegawcze </w:t>
            </w:r>
          </w:p>
        </w:tc>
        <w:tc>
          <w:tcPr>
            <w:tcW w:w="1943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Potencjał do oceny</w:t>
            </w:r>
          </w:p>
        </w:tc>
      </w:tr>
      <w:tr w:rsidR="00D40C60" w:rsidRPr="00611DDE" w:rsidTr="00325D52">
        <w:tc>
          <w:tcPr>
            <w:tcW w:w="2758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>Nieuzasadnione preferencyjne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t>traktowanie wykonawcy przez pewien okres przez pracownika decydującego o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t>udzieleniu zamówienia</w:t>
            </w:r>
          </w:p>
        </w:tc>
        <w:tc>
          <w:tcPr>
            <w:tcW w:w="4587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Osoba decydująca o udzieleniu zamówienia nie przedstawia deklaracji </w:t>
            </w:r>
            <w:proofErr w:type="spellStart"/>
            <w:r w:rsidRPr="00611DDE">
              <w:rPr>
                <w:rFonts w:cs="Calibri"/>
              </w:rPr>
              <w:t>ws</w:t>
            </w:r>
            <w:proofErr w:type="spellEnd"/>
            <w:r w:rsidRPr="00611DDE">
              <w:rPr>
                <w:rFonts w:cs="Calibri"/>
              </w:rPr>
              <w:t>. konfliktu interesów lub deklaracja taka jest niepełna,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Istnieją nieuzasadnione kryteria kwalifikacji lub udzielenia zamówienia, które sprzyjają konkretnemu przedsiębiorstwu lub określonej ofercie,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Nieuzasadnione zakupy od jednego dostawcy,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Nieuzasadnione wysokie ceny, 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Specyfikacje są bardzo podobne do produktów lub usług zwycięskiego oferenta, zwłaszcza jeśli specyfikacje obejmują zbiór bardzo szczegółowych wymogów, które bardzo niewielu oferentów mogłoby spełnić,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Zamówienia wygrywają nieznane </w:t>
            </w:r>
            <w:r w:rsidRPr="00611DDE">
              <w:rPr>
                <w:rFonts w:cs="Calibri"/>
              </w:rPr>
              <w:lastRenderedPageBreak/>
              <w:t>przedsiębiorstwa bez osiągnięć,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Nadmierne zakupy, 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Aprobata dla niskiej jakości, spóźnionych dostaw lub braku dostaw.</w:t>
            </w:r>
          </w:p>
        </w:tc>
        <w:tc>
          <w:tcPr>
            <w:tcW w:w="1943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lastRenderedPageBreak/>
              <w:t>IP jest w stanie ocenić większość sygnałów alarmowych</w:t>
            </w:r>
          </w:p>
        </w:tc>
      </w:tr>
      <w:tr w:rsidR="00D40C60" w:rsidRPr="00611DDE" w:rsidTr="00325D52">
        <w:tc>
          <w:tcPr>
            <w:tcW w:w="2758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lastRenderedPageBreak/>
              <w:t>Ujawnienia informacji na temat postępowania o udzielenie zamówienia</w:t>
            </w:r>
          </w:p>
        </w:tc>
        <w:tc>
          <w:tcPr>
            <w:tcW w:w="4587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Nietypowe zachowanie pracownika, który nalega na uzyskanie informacji na temat postępowania o udzielenie zamówienia, chociaż nie jest za nie odpowiedzialny,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Bilskie relacje z oferentem, który wygrał postepowanie.</w:t>
            </w:r>
          </w:p>
        </w:tc>
        <w:tc>
          <w:tcPr>
            <w:tcW w:w="1943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 xml:space="preserve">IP ma ograniczone możliwości uzyskania informacji </w:t>
            </w:r>
          </w:p>
        </w:tc>
      </w:tr>
      <w:tr w:rsidR="00D40C60" w:rsidRPr="00611DDE" w:rsidTr="00325D52">
        <w:tc>
          <w:tcPr>
            <w:tcW w:w="2758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>Ukrycie niedotrzymania terminu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t>przez oferenta lub niedostarczenie przez niego całej wymaganej dokumentacji.</w:t>
            </w:r>
          </w:p>
        </w:tc>
        <w:tc>
          <w:tcPr>
            <w:tcW w:w="4587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Oficjalne dokumenty lub pokwitowania otrzymania dokumentów zostały w oczywisty sposób zmienione (np. zawierają skreślenia),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Brakuje pewnych obowiązkowych informacji od zwycięskiego oferenta.</w:t>
            </w:r>
          </w:p>
        </w:tc>
        <w:tc>
          <w:tcPr>
            <w:tcW w:w="1943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>IP jest w stanie ocenić większość sygnałów alarmowych</w:t>
            </w:r>
          </w:p>
        </w:tc>
      </w:tr>
      <w:tr w:rsidR="00D40C60" w:rsidRPr="00611DDE" w:rsidTr="00325D52">
        <w:tc>
          <w:tcPr>
            <w:tcW w:w="2758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>Wprowadzenie przez członka komisji w błąd innych członków lub wywieranie na nich presji, aby mieć wpływ na ostateczną decyzję, na przykład poprzez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t>podanie błędnej interpretacji przepisów</w:t>
            </w:r>
          </w:p>
        </w:tc>
        <w:tc>
          <w:tcPr>
            <w:tcW w:w="4587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Członkowie komisji oceniającej nie mają niezbędnej wiedzy technicznej, aby ocenić złożone oferty, i są zdominowani przez jedną osobę,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W systemie kryteriów znajduje się zbyt wiele elementów subiektywnych.</w:t>
            </w:r>
          </w:p>
        </w:tc>
        <w:tc>
          <w:tcPr>
            <w:tcW w:w="1943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>IP jest w stanie ocenić większość sygnałów alarmowych</w:t>
            </w:r>
          </w:p>
        </w:tc>
      </w:tr>
    </w:tbl>
    <w:p w:rsidR="00D40C60" w:rsidRDefault="00D40C60" w:rsidP="0087545F">
      <w:pPr>
        <w:spacing w:after="0" w:line="240" w:lineRule="auto"/>
      </w:pPr>
    </w:p>
    <w:p w:rsidR="00D40C60" w:rsidRDefault="00D40C60" w:rsidP="0087545F">
      <w:pPr>
        <w:rPr>
          <w:b/>
        </w:rPr>
      </w:pPr>
    </w:p>
    <w:p w:rsidR="00D40C60" w:rsidRPr="0098712D" w:rsidRDefault="00D40C60" w:rsidP="0087545F">
      <w:pPr>
        <w:rPr>
          <w:b/>
          <w:color w:val="E36C0A"/>
        </w:rPr>
      </w:pPr>
      <w:r w:rsidRPr="00F854C4">
        <w:rPr>
          <w:b/>
          <w:color w:val="E36C0A"/>
        </w:rPr>
        <w:t>Nadużycie: Wykrywanie przerobionych dokumentów</w:t>
      </w:r>
    </w:p>
    <w:p w:rsidR="00D40C60" w:rsidRDefault="00D40C60" w:rsidP="0087545F">
      <w:r w:rsidRPr="006C4FCF">
        <w:t>W tym przypadku podejściem bardziej efektywnym jest rozpoczęcie analizy ryzyka od określeni</w:t>
      </w:r>
      <w:r>
        <w:t>a czy przedstawienie przerobionych dokumentów</w:t>
      </w:r>
      <w:r w:rsidRPr="006C4FCF">
        <w:t xml:space="preserve"> może przynieść przedkła</w:t>
      </w:r>
      <w:r>
        <w:t>d</w:t>
      </w:r>
      <w:r w:rsidRPr="006C4FCF">
        <w:t>ającemu istotną korzyść</w:t>
      </w:r>
      <w:r>
        <w:t>. W</w:t>
      </w:r>
      <w:r w:rsidR="0048353E">
        <w:t> </w:t>
      </w:r>
      <w:r>
        <w:t xml:space="preserve">sytuacji, gdy korzyść jest istotna należy zastanowić się jaki sposób przerobione dokumentu jest najbardziej prawdopodobny.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26"/>
        <w:gridCol w:w="2767"/>
        <w:gridCol w:w="4495"/>
      </w:tblGrid>
      <w:tr w:rsidR="00D40C60" w:rsidRPr="00611DDE" w:rsidTr="00E633DF">
        <w:tc>
          <w:tcPr>
            <w:tcW w:w="2026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Dokument</w:t>
            </w:r>
          </w:p>
        </w:tc>
        <w:tc>
          <w:tcPr>
            <w:tcW w:w="2767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Korzyść</w:t>
            </w:r>
          </w:p>
        </w:tc>
        <w:tc>
          <w:tcPr>
            <w:tcW w:w="4495" w:type="dxa"/>
          </w:tcPr>
          <w:p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Najbardziej prawdopodobne sygnały ostrzegawcze</w:t>
            </w:r>
          </w:p>
        </w:tc>
      </w:tr>
      <w:tr w:rsidR="00D40C60" w:rsidRPr="00611DDE" w:rsidTr="00E633DF">
        <w:tc>
          <w:tcPr>
            <w:tcW w:w="2026" w:type="dxa"/>
          </w:tcPr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Zaświadczenia o opłacaniu podatków i składek na ubezpieczenie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rPr>
                <w:rFonts w:cs="Verdana,Bold"/>
                <w:bCs/>
              </w:rPr>
              <w:t>społeczne</w:t>
            </w:r>
          </w:p>
        </w:tc>
        <w:tc>
          <w:tcPr>
            <w:tcW w:w="2767" w:type="dxa"/>
          </w:tcPr>
          <w:p w:rsidR="00D40C60" w:rsidRPr="00611DDE" w:rsidRDefault="00D40C60" w:rsidP="00611DDE">
            <w:pPr>
              <w:spacing w:after="0" w:line="240" w:lineRule="auto"/>
              <w:rPr>
                <w:rFonts w:cs="Verdana"/>
              </w:rPr>
            </w:pPr>
            <w:r w:rsidRPr="00611DDE">
              <w:rPr>
                <w:rFonts w:cs="Verdana"/>
              </w:rPr>
              <w:t>Spełnienie wymogów związanych z dofinansowaniem</w:t>
            </w:r>
          </w:p>
          <w:p w:rsidR="00D40C60" w:rsidRPr="00611DDE" w:rsidRDefault="00D40C60" w:rsidP="00611DDE">
            <w:pPr>
              <w:spacing w:after="0" w:line="240" w:lineRule="auto"/>
            </w:pPr>
          </w:p>
        </w:tc>
        <w:tc>
          <w:tcPr>
            <w:tcW w:w="4495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Wymazane lub skreślone dane, dopiski bez podpisów osób upoważnionych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Nietypowo ostre krawędzie oficjalnych pieczęci lub nietypowa barwa, wskazujące na użycie drukarki komputerowej</w:t>
            </w:r>
          </w:p>
          <w:p w:rsidR="00D40C60" w:rsidRPr="00611DDE" w:rsidRDefault="00D40C60" w:rsidP="00611DDE">
            <w:pPr>
              <w:spacing w:after="0" w:line="240" w:lineRule="auto"/>
            </w:pPr>
          </w:p>
        </w:tc>
      </w:tr>
      <w:tr w:rsidR="00D40C60" w:rsidRPr="00611DDE" w:rsidTr="00E633DF">
        <w:tc>
          <w:tcPr>
            <w:tcW w:w="2026" w:type="dxa"/>
          </w:tcPr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Wyciągi z rachunku bankowego</w:t>
            </w:r>
          </w:p>
        </w:tc>
        <w:tc>
          <w:tcPr>
            <w:tcW w:w="2767" w:type="dxa"/>
          </w:tcPr>
          <w:p w:rsidR="00D40C60" w:rsidRPr="00611DDE" w:rsidRDefault="00D40C60" w:rsidP="00611DDE">
            <w:pPr>
              <w:spacing w:after="0" w:line="240" w:lineRule="auto"/>
              <w:rPr>
                <w:rFonts w:cs="Verdana"/>
              </w:rPr>
            </w:pPr>
            <w:r w:rsidRPr="00611DDE">
              <w:rPr>
                <w:rFonts w:cs="Verdana"/>
              </w:rPr>
              <w:t>Spełnienie wymogów  związanych z dofinansowaniem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rPr>
                <w:rFonts w:cs="Verdana"/>
              </w:rPr>
              <w:t>Potwierdzenie dokonania płatności, której nie było</w:t>
            </w:r>
          </w:p>
        </w:tc>
        <w:tc>
          <w:tcPr>
            <w:tcW w:w="4495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Wymazane lub skreślone dane, dopiski bez podpisów osób upoważnionych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Nietypowo ostre krawędzie oficjalnych pieczęci lub nietypowa barwa, wskazujące na użycie drukarki komputerowej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Niezgodności lub odchylenia od standardu dotyczącego numerów rachunków bankowych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spacing w:after="0" w:line="240" w:lineRule="auto"/>
            </w:pPr>
          </w:p>
        </w:tc>
      </w:tr>
      <w:tr w:rsidR="00D40C60" w:rsidRPr="00611DDE" w:rsidTr="00E633DF">
        <w:tc>
          <w:tcPr>
            <w:tcW w:w="2026" w:type="dxa"/>
          </w:tcPr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lastRenderedPageBreak/>
              <w:t>Sprawozdania finansowe</w:t>
            </w:r>
          </w:p>
        </w:tc>
        <w:tc>
          <w:tcPr>
            <w:tcW w:w="2767" w:type="dxa"/>
          </w:tcPr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</w:pPr>
            <w:r w:rsidRPr="00611DDE">
              <w:rPr>
                <w:rFonts w:cs="Verdana"/>
              </w:rPr>
              <w:t>Zawyżenie swojej  zdolności gospodarczej lub finansowej</w:t>
            </w:r>
          </w:p>
        </w:tc>
        <w:tc>
          <w:tcPr>
            <w:tcW w:w="4495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611DDE">
              <w:rPr>
                <w:rFonts w:cs="Calibri"/>
              </w:rPr>
              <w:t>Wymazane lub skreślone dane, dopiski bez podpisów osób upoważnionych</w:t>
            </w:r>
          </w:p>
        </w:tc>
      </w:tr>
      <w:tr w:rsidR="00D40C60" w:rsidRPr="00611DDE" w:rsidTr="00E633DF">
        <w:tc>
          <w:tcPr>
            <w:tcW w:w="2026" w:type="dxa"/>
          </w:tcPr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Faktura</w:t>
            </w:r>
          </w:p>
        </w:tc>
        <w:tc>
          <w:tcPr>
            <w:tcW w:w="2767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>Zawyżanie kosztów poprzez przedstawianie dowodów na fikcyjne prace</w:t>
            </w:r>
            <w:r w:rsidR="0048353E">
              <w:t>,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t>Dostarczenie towarów używanych zamiast nowych lub towarów o niższej jakości</w:t>
            </w:r>
          </w:p>
        </w:tc>
        <w:tc>
          <w:tcPr>
            <w:tcW w:w="4495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Brak obowiązkowego elementu faktury: daty, numeru identyfikacji podatkowej, numeru faktury itd.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Brak numerów seryjnych na fakturach i dowodach dostawy towarów, które zazwyczaj są oznaczone numerami seryjnymi (elektronika, linie produkcyjne itd.)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Ogólnikowy opis towarów lub usług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Niespójność między datami faktur wystawionych przez ten sam podmiot a ich numerami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Faktury i rachunki wystawione przez podmioty niezarejestrowane w rejestrze działalności gospodarczej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Niespójność między informacjami zawartymi na stronie internetowej przedsiębiorstwa a informacjami na wystawionych fakturach: np. działalność podmiotu nie odpowiada towarom lub usługom, których dotyczy faktura</w:t>
            </w:r>
          </w:p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40C60" w:rsidRPr="00611DDE" w:rsidTr="00E633DF">
        <w:tc>
          <w:tcPr>
            <w:tcW w:w="2026" w:type="dxa"/>
          </w:tcPr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Poświadczenie odbioru wykonania prac</w:t>
            </w:r>
          </w:p>
        </w:tc>
        <w:tc>
          <w:tcPr>
            <w:tcW w:w="2767" w:type="dxa"/>
          </w:tcPr>
          <w:p w:rsidR="00D40C60" w:rsidRPr="00611DDE" w:rsidRDefault="00D40C60" w:rsidP="00611DDE">
            <w:pPr>
              <w:spacing w:after="0" w:line="240" w:lineRule="auto"/>
            </w:pPr>
            <w:r w:rsidRPr="00611DDE">
              <w:t>Wykonanie części prac lub wykonanie prac niższej jakości - żądanie zapłaty za całość i jak za pełną jakość</w:t>
            </w:r>
          </w:p>
          <w:p w:rsidR="00D40C60" w:rsidRPr="00611DDE" w:rsidRDefault="00D40C60" w:rsidP="00611DDE">
            <w:pPr>
              <w:spacing w:after="0" w:line="240" w:lineRule="auto"/>
            </w:pPr>
            <w:r w:rsidRPr="00611DDE">
              <w:t>Wykonanie robót nie przewidzianych w projekcie</w:t>
            </w:r>
          </w:p>
        </w:tc>
        <w:tc>
          <w:tcPr>
            <w:tcW w:w="4495" w:type="dxa"/>
          </w:tcPr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Kilka odręcznych podpisów w podobnym stylu lub identycznym długopisem lub piórem na dokumentach odnoszących się do różnych okresów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Ogólnikowy opis towarów lub usług</w:t>
            </w:r>
            <w:r w:rsidR="0048353E">
              <w:rPr>
                <w:rFonts w:cs="Calibri"/>
              </w:rPr>
              <w:t>,</w:t>
            </w:r>
          </w:p>
          <w:p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Nietypowe opóźnienia w udzielaniu informacji. Beneficjent nie jest w stanie dostarczyć oryginałów dokumentów na żądanie</w:t>
            </w:r>
          </w:p>
          <w:p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:rsidR="00D40C60" w:rsidRPr="00611DDE" w:rsidRDefault="00D40C60" w:rsidP="00611DDE">
            <w:pPr>
              <w:spacing w:after="0" w:line="240" w:lineRule="auto"/>
            </w:pPr>
          </w:p>
        </w:tc>
      </w:tr>
    </w:tbl>
    <w:p w:rsidR="00D40C60" w:rsidRDefault="00D40C60" w:rsidP="0087545F">
      <w:bookmarkStart w:id="0" w:name="_GoBack"/>
      <w:bookmarkEnd w:id="0"/>
    </w:p>
    <w:p w:rsidR="00D40C60" w:rsidRPr="00461AED" w:rsidRDefault="00D40C60" w:rsidP="0087545F">
      <w:pPr>
        <w:rPr>
          <w:rFonts w:cs="Calibri"/>
        </w:rPr>
      </w:pPr>
      <w:r>
        <w:rPr>
          <w:rFonts w:cs="Calibri"/>
        </w:rPr>
        <w:t>Sygnały ostrzegawcze odnośnie dok</w:t>
      </w:r>
      <w:r w:rsidRPr="00461AED">
        <w:rPr>
          <w:rFonts w:cs="Calibri"/>
        </w:rPr>
        <w:t>umentów zostały określone w dokumencie przygotowanym przez OLAF</w:t>
      </w:r>
      <w:r>
        <w:rPr>
          <w:rStyle w:val="Odwoanieprzypisudolnego"/>
          <w:rFonts w:cs="Calibri"/>
        </w:rPr>
        <w:footnoteReference w:id="1"/>
      </w:r>
    </w:p>
    <w:p w:rsidR="00D40C60" w:rsidRPr="00461AED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  <w:b/>
        </w:rPr>
        <w:t>Forma dokumentów</w:t>
      </w:r>
    </w:p>
    <w:p w:rsidR="00D40C60" w:rsidRPr="00461AED" w:rsidRDefault="00D40C60" w:rsidP="0087545F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</w:rPr>
      </w:pPr>
      <w:r w:rsidRPr="00461AED">
        <w:rPr>
          <w:rFonts w:cs="Calibri"/>
        </w:rPr>
        <w:t>Dokumenty, których układ odbiega od standardowego i ogólnie przyjętego: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Faktury, pisma bez logo przedsiębiorstwa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Faktury wydrukowane na papierze innym niż przygotowane formularze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Widoczne różnice w rodzaju, rozmiarze, ostrości, barwie itd. czcionki na dokumencie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Wymazane lub skreślone dane, dopiski bez podpisów osób upoważnionych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Odręcznie napisane kwoty bez podpisu osób upoważnionych lub elementy obecne na dokumencie drukowanym, które są uzasadnione a priori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lastRenderedPageBreak/>
        <w:t>Brak lub nadmiar liter, brak ciągłości w liniach tekstu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Nietypowo ostre krawędzie oficjalnych pieczęci lub nietypowa barwa, wskazujące na użycie drukarki komputerowej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Całkowicie identyczne podpisy osób (pod względem formy i rozmiaru) na różnych dokumentach, wskazujące na możliwość przerobienia w postaci wydruku komputerowego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Kilka ręcznych podpisów w podobnym stylu lub identycznym długopisem lub piórem na dokumentach odnoszących się do różnych okresów</w:t>
      </w:r>
    </w:p>
    <w:p w:rsidR="00D40C60" w:rsidRPr="00461AED" w:rsidRDefault="00D40C60" w:rsidP="0087545F">
      <w:pPr>
        <w:pStyle w:val="Akapitzlist"/>
        <w:rPr>
          <w:rFonts w:cs="Calibri"/>
        </w:rPr>
      </w:pPr>
    </w:p>
    <w:p w:rsidR="00D40C60" w:rsidRPr="00461AED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461AED">
        <w:rPr>
          <w:rFonts w:cs="Calibri"/>
          <w:b/>
        </w:rPr>
        <w:t>Treść dokumentów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Nietypowe daty, kwoty, uwagi, numery telefonów i obliczenia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 xml:space="preserve">Brakujące pozycje (w odniesieniu do kolejnych kontroli) 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Błędy w obliczeniach na fakturze lub odcinku wypłaty wygenerowanych przez komputer: np. kwoty całkowite nie odpowiadają sumie transakcji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Brak obowiązkowego elementu faktury: daty, numeru identyfikacji podatkowej, numeru faktury itd.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Identyczne wzajemnie położenie pieczęci i podpisu osoby na zestawie dokumentów, wskazujące na użycie obrazu (a nie prawdziwy podpis): może to być obraz wygenerowany przez komputer i wykorzystany do sfałszowania dokumentów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Brak szczegółowych danych kontaktowych przedsiębiorstw lub osób fizycznych, takich jak numer telefonu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Brak numerów seryjnych na fakturach i dowodach dostawy towarów, które zazwyczaj są oznaczone numerami seryjnymi (elektronika, linie produkcyjne itd.)</w:t>
      </w:r>
    </w:p>
    <w:p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Ogólnikowy opis towarów lub usług</w:t>
      </w:r>
    </w:p>
    <w:p w:rsidR="00D40C60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Niezgodności lub odchylenia od standardu dotyczącego numerów rachunków bankowych (np. mniej cyfr niż powinno być, numer nie odpowiada określonemu oddziałowi banku, inne widoczne niespójności)</w:t>
      </w:r>
    </w:p>
    <w:p w:rsidR="00D40C60" w:rsidRPr="00461AED" w:rsidRDefault="00D40C60" w:rsidP="0087545F">
      <w:pPr>
        <w:pStyle w:val="Akapitzlist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40C60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461AED">
        <w:rPr>
          <w:rFonts w:cs="Calibri"/>
          <w:b/>
        </w:rPr>
        <w:t>Okoliczności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Adres wykonawcy jest taki sam jak adres pracownika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Adres dostawcy lub beneficjenta jest adresem domowym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Nietypowa liczba płatności na rzecz jednego odbiorcy lub na jeden adres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Faktury i rachunki wystawione przez podmioty niezarejestrowane w rejestrze działalności gospodarczej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Nietypowe opóźnienia w udzielaniu informacji</w:t>
      </w:r>
      <w:r>
        <w:rPr>
          <w:rFonts w:cs="Calibri"/>
        </w:rPr>
        <w:t xml:space="preserve">. </w:t>
      </w:r>
      <w:r w:rsidRPr="00053B62">
        <w:rPr>
          <w:rFonts w:cs="Calibri"/>
        </w:rPr>
        <w:t>Beneficjent nie jest w stanie dostarczyć oryginałów dokumentów na żądanie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Data na dokumencie wizualnie różni się od daty na podobnym dokumencie wystawionym przez ten sam podmiot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Odniesienie do przedsiębiorstwa, które nie jest zarejestrowane w publicznie dostępnych rejestrach przedsiębiorstw lub którego nie można znaleźć w dostępnych publicznie zasobach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Faktury wystawione przez nowo powstałe przedsiębiorstwa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Adresy poczty elektronicznej przedsiębiorstwa wystawiającego fakturę na zagranicznym serwerze</w:t>
      </w:r>
    </w:p>
    <w:p w:rsidR="00D40C60" w:rsidRPr="00461AED" w:rsidRDefault="00D40C60" w:rsidP="0087545F">
      <w:pPr>
        <w:pStyle w:val="Akapitzlist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D40C60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461AED">
        <w:rPr>
          <w:rFonts w:cs="Calibri"/>
          <w:b/>
        </w:rPr>
        <w:t>Niespójność między dokumentami/dostępnymi informacjami</w:t>
      </w:r>
    </w:p>
    <w:p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Niespójność między datami faktur wystawionych przez ten sam podmiot a ich numerami, na przykład:</w:t>
      </w:r>
    </w:p>
    <w:p w:rsidR="00D40C60" w:rsidRPr="00053B62" w:rsidRDefault="00D40C60" w:rsidP="0087545F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faktura numer 152 wystawiona dnia 25.03.2012 r.</w:t>
      </w:r>
    </w:p>
    <w:p w:rsidR="00D40C60" w:rsidRPr="00053B62" w:rsidRDefault="00D40C60" w:rsidP="0087545F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faktura numer 103 wystawiona dnia 30.07.2012 r.</w:t>
      </w:r>
    </w:p>
    <w:p w:rsidR="00D40C60" w:rsidRPr="00053B62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Faktury niezarejestrowane w księgach rachunkowych</w:t>
      </w:r>
    </w:p>
    <w:p w:rsidR="00D40C60" w:rsidRPr="00053B62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lastRenderedPageBreak/>
        <w:t>Faktury nie odpowiadają cytatom pod względem ceny, ilości i jakości, rodzaju produktu lub opisu dostarczonego produktu lub wykonanej usługi</w:t>
      </w:r>
    </w:p>
    <w:p w:rsidR="00D40C60" w:rsidRPr="00053B62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Pismo/umowa/dokument podpisane przez osobę fizyczną działającą w charakterze przedstawiciela przedsiębiorstwa, jeżeli osoba ta nie została wyznaczona jako przedstawiciel w krajowym rejestrze przedsiębiorstw</w:t>
      </w:r>
    </w:p>
    <w:p w:rsidR="00D40C60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2F2D7D">
        <w:rPr>
          <w:rFonts w:cs="Calibri"/>
        </w:rPr>
        <w:t>Niespójność między informacjami zawartymi na stronie internetowej przedsiębiorstwa a</w:t>
      </w:r>
      <w:r w:rsidR="0048353E">
        <w:rPr>
          <w:rFonts w:cs="Calibri"/>
        </w:rPr>
        <w:t> </w:t>
      </w:r>
      <w:r w:rsidRPr="002F2D7D">
        <w:rPr>
          <w:rFonts w:cs="Calibri"/>
        </w:rPr>
        <w:t>informacjami na wystawionych fakturach: np. działalność podmiotu nie odpowiada towarom lub usługom, których dotyczy faktura</w:t>
      </w:r>
    </w:p>
    <w:p w:rsidR="00D40C60" w:rsidRDefault="00D40C60"/>
    <w:sectPr w:rsidR="00D40C60" w:rsidSect="00865D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C60" w:rsidRDefault="00D40C60" w:rsidP="0087545F">
      <w:pPr>
        <w:spacing w:after="0" w:line="240" w:lineRule="auto"/>
      </w:pPr>
      <w:r>
        <w:separator/>
      </w:r>
    </w:p>
  </w:endnote>
  <w:endnote w:type="continuationSeparator" w:id="0">
    <w:p w:rsidR="00D40C60" w:rsidRDefault="00D40C60" w:rsidP="00875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60" w:rsidRDefault="00D40C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60" w:rsidRDefault="00CC7DE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633DF">
      <w:rPr>
        <w:noProof/>
      </w:rPr>
      <w:t>6</w:t>
    </w:r>
    <w:r>
      <w:rPr>
        <w:noProof/>
      </w:rPr>
      <w:fldChar w:fldCharType="end"/>
    </w:r>
  </w:p>
  <w:p w:rsidR="00D40C60" w:rsidRDefault="00D40C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60" w:rsidRDefault="00D40C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C60" w:rsidRDefault="00D40C60" w:rsidP="0087545F">
      <w:pPr>
        <w:spacing w:after="0" w:line="240" w:lineRule="auto"/>
      </w:pPr>
      <w:r>
        <w:separator/>
      </w:r>
    </w:p>
  </w:footnote>
  <w:footnote w:type="continuationSeparator" w:id="0">
    <w:p w:rsidR="00D40C60" w:rsidRDefault="00D40C60" w:rsidP="0087545F">
      <w:pPr>
        <w:spacing w:after="0" w:line="240" w:lineRule="auto"/>
      </w:pPr>
      <w:r>
        <w:continuationSeparator/>
      </w:r>
    </w:p>
  </w:footnote>
  <w:footnote w:id="1">
    <w:p w:rsidR="00D40C60" w:rsidRDefault="00D40C60" w:rsidP="0087545F">
      <w:pPr>
        <w:pStyle w:val="Tekstprzypisudolnego"/>
      </w:pPr>
      <w:r>
        <w:rPr>
          <w:rStyle w:val="Odwoanieprzypisudolnego"/>
        </w:rPr>
        <w:footnoteRef/>
      </w:r>
      <w:r>
        <w:t xml:space="preserve"> Wykrywanie przerobionych dokumentów w dziedzinie działań strukturalnych. Praktyczny przewodnik dla instytucji zarządzających opracowany przez grupę ekspertów z państw członkowskich koordynowaną przez Dział D.2 OLAF – Zapobieganie Nadużyciom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60" w:rsidRDefault="00D40C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60" w:rsidRDefault="00CC7DEE" w:rsidP="0087545F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97485" cy="212090"/>
          <wp:effectExtent l="0" t="0" r="0" b="0"/>
          <wp:docPr id="1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8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60" w:rsidRDefault="00D40C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7C34"/>
    <w:multiLevelType w:val="hybridMultilevel"/>
    <w:tmpl w:val="2F30C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1761A"/>
    <w:multiLevelType w:val="hybridMultilevel"/>
    <w:tmpl w:val="424491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D971AAA"/>
    <w:multiLevelType w:val="hybridMultilevel"/>
    <w:tmpl w:val="31CE1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336D2A"/>
    <w:multiLevelType w:val="hybridMultilevel"/>
    <w:tmpl w:val="624EE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45F"/>
    <w:rsid w:val="00014A6E"/>
    <w:rsid w:val="0004281A"/>
    <w:rsid w:val="00053B62"/>
    <w:rsid w:val="000C0AE0"/>
    <w:rsid w:val="00132699"/>
    <w:rsid w:val="001A7738"/>
    <w:rsid w:val="001F5B93"/>
    <w:rsid w:val="0028053F"/>
    <w:rsid w:val="002F2D7D"/>
    <w:rsid w:val="00325D52"/>
    <w:rsid w:val="00334E1F"/>
    <w:rsid w:val="00410EAE"/>
    <w:rsid w:val="00461AED"/>
    <w:rsid w:val="0048353E"/>
    <w:rsid w:val="004C6C2F"/>
    <w:rsid w:val="004F460C"/>
    <w:rsid w:val="0056309F"/>
    <w:rsid w:val="00611DDE"/>
    <w:rsid w:val="00641ABF"/>
    <w:rsid w:val="006C4FCF"/>
    <w:rsid w:val="006C5BE8"/>
    <w:rsid w:val="00700C8E"/>
    <w:rsid w:val="007F54AA"/>
    <w:rsid w:val="00865D9A"/>
    <w:rsid w:val="0087545F"/>
    <w:rsid w:val="0098712D"/>
    <w:rsid w:val="00A20F2B"/>
    <w:rsid w:val="00A432D8"/>
    <w:rsid w:val="00A96D14"/>
    <w:rsid w:val="00AF7AB4"/>
    <w:rsid w:val="00BC4BDC"/>
    <w:rsid w:val="00CA6275"/>
    <w:rsid w:val="00CC7DEE"/>
    <w:rsid w:val="00CD66F5"/>
    <w:rsid w:val="00D40C60"/>
    <w:rsid w:val="00DC2768"/>
    <w:rsid w:val="00E633DF"/>
    <w:rsid w:val="00E745A3"/>
    <w:rsid w:val="00F8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45F"/>
    <w:pPr>
      <w:spacing w:after="200" w:line="276" w:lineRule="auto"/>
      <w:jc w:val="both"/>
    </w:pPr>
    <w:rPr>
      <w:color w:val="244061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7545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754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7545F"/>
    <w:rPr>
      <w:rFonts w:cs="Times New Roman"/>
      <w:color w:val="24406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7545F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8754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rsid w:val="0087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87545F"/>
    <w:rPr>
      <w:rFonts w:cs="Times New Roman"/>
      <w:color w:val="244061"/>
    </w:rPr>
  </w:style>
  <w:style w:type="paragraph" w:styleId="Stopka">
    <w:name w:val="footer"/>
    <w:basedOn w:val="Normalny"/>
    <w:link w:val="StopkaZnak"/>
    <w:uiPriority w:val="99"/>
    <w:rsid w:val="0087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7545F"/>
    <w:rPr>
      <w:rFonts w:cs="Times New Roman"/>
      <w:color w:val="244061"/>
    </w:rPr>
  </w:style>
  <w:style w:type="paragraph" w:styleId="Tekstdymka">
    <w:name w:val="Balloon Text"/>
    <w:basedOn w:val="Normalny"/>
    <w:link w:val="TekstdymkaZnak"/>
    <w:uiPriority w:val="99"/>
    <w:semiHidden/>
    <w:rsid w:val="0087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7545F"/>
    <w:rPr>
      <w:rFonts w:ascii="Tahoma" w:hAnsi="Tahoma" w:cs="Tahoma"/>
      <w:color w:val="24406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rsid w:val="0028053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805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8053F"/>
    <w:rPr>
      <w:rFonts w:cs="Times New Roman"/>
      <w:color w:val="24406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805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8053F"/>
    <w:rPr>
      <w:rFonts w:cs="Times New Roman"/>
      <w:b/>
      <w:bCs/>
      <w:color w:val="24406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45F"/>
    <w:pPr>
      <w:spacing w:after="200" w:line="276" w:lineRule="auto"/>
      <w:jc w:val="both"/>
    </w:pPr>
    <w:rPr>
      <w:color w:val="244061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7545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754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7545F"/>
    <w:rPr>
      <w:rFonts w:cs="Times New Roman"/>
      <w:color w:val="24406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7545F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8754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rsid w:val="0087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87545F"/>
    <w:rPr>
      <w:rFonts w:cs="Times New Roman"/>
      <w:color w:val="244061"/>
    </w:rPr>
  </w:style>
  <w:style w:type="paragraph" w:styleId="Stopka">
    <w:name w:val="footer"/>
    <w:basedOn w:val="Normalny"/>
    <w:link w:val="StopkaZnak"/>
    <w:uiPriority w:val="99"/>
    <w:rsid w:val="0087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7545F"/>
    <w:rPr>
      <w:rFonts w:cs="Times New Roman"/>
      <w:color w:val="244061"/>
    </w:rPr>
  </w:style>
  <w:style w:type="paragraph" w:styleId="Tekstdymka">
    <w:name w:val="Balloon Text"/>
    <w:basedOn w:val="Normalny"/>
    <w:link w:val="TekstdymkaZnak"/>
    <w:uiPriority w:val="99"/>
    <w:semiHidden/>
    <w:rsid w:val="0087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7545F"/>
    <w:rPr>
      <w:rFonts w:ascii="Tahoma" w:hAnsi="Tahoma" w:cs="Tahoma"/>
      <w:color w:val="24406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rsid w:val="0028053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805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8053F"/>
    <w:rPr>
      <w:rFonts w:cs="Times New Roman"/>
      <w:color w:val="24406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805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8053F"/>
    <w:rPr>
      <w:rFonts w:cs="Times New Roman"/>
      <w:b/>
      <w:bCs/>
      <w:color w:val="24406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1523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Hanna Kotomska-Nasternak</cp:lastModifiedBy>
  <cp:revision>4</cp:revision>
  <cp:lastPrinted>2015-04-17T14:21:00Z</cp:lastPrinted>
  <dcterms:created xsi:type="dcterms:W3CDTF">2015-07-09T09:31:00Z</dcterms:created>
  <dcterms:modified xsi:type="dcterms:W3CDTF">2015-08-13T11:26:00Z</dcterms:modified>
</cp:coreProperties>
</file>