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Default="00762548" w:rsidP="00FE2590">
      <w:pPr>
        <w:pStyle w:val="Podtytu"/>
        <w:spacing w:before="120" w:after="120" w:line="276" w:lineRule="auto"/>
        <w:rPr>
          <w:rFonts w:ascii="Calibri" w:hAnsi="Calibri"/>
          <w:sz w:val="22"/>
          <w:szCs w:val="22"/>
        </w:rPr>
      </w:pPr>
      <w:r w:rsidRPr="00762548">
        <w:rPr>
          <w:rFonts w:ascii="Calibri" w:hAnsi="Calibri"/>
          <w:sz w:val="22"/>
          <w:szCs w:val="22"/>
        </w:rPr>
        <w:drawing>
          <wp:inline distT="0" distB="0" distL="0" distR="0">
            <wp:extent cx="5759450" cy="517068"/>
            <wp:effectExtent l="19050" t="0" r="0" b="0"/>
            <wp:docPr id="1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762548" w:rsidRDefault="00762548"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lastRenderedPageBreak/>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 xml:space="preserve">zostały zachowane, w tym gromadzenia i przedstawiania IZ RPOWP lub </w:t>
      </w:r>
      <w:r w:rsidRPr="00FC702A">
        <w:rPr>
          <w:rFonts w:ascii="Calibri" w:hAnsi="Calibri"/>
          <w:sz w:val="22"/>
          <w:szCs w:val="22"/>
        </w:rPr>
        <w:lastRenderedPageBreak/>
        <w:t>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w:t>
      </w:r>
      <w:r w:rsidRPr="00FC702A">
        <w:rPr>
          <w:rFonts w:ascii="Calibri" w:hAnsi="Calibri"/>
          <w:sz w:val="22"/>
          <w:szCs w:val="22"/>
        </w:rPr>
        <w:lastRenderedPageBreak/>
        <w:t xml:space="preserve">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w:t>
      </w:r>
      <w:r w:rsidRPr="00FC702A">
        <w:rPr>
          <w:rFonts w:ascii="Calibri" w:hAnsi="Calibri"/>
          <w:sz w:val="22"/>
          <w:szCs w:val="22"/>
        </w:rPr>
        <w:lastRenderedPageBreak/>
        <w:t>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lastRenderedPageBreak/>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w:t>
      </w:r>
      <w:proofErr w:type="spellStart"/>
      <w:r w:rsidRPr="00D13736">
        <w:rPr>
          <w:rFonts w:ascii="Calibri" w:hAnsi="Calibri"/>
          <w:sz w:val="22"/>
          <w:szCs w:val="22"/>
        </w:rPr>
        <w:t>pkt</w:t>
      </w:r>
      <w:proofErr w:type="spellEnd"/>
      <w:r w:rsidRPr="00D13736">
        <w:rPr>
          <w:rFonts w:ascii="Calibri" w:hAnsi="Calibri"/>
          <w:sz w:val="22"/>
          <w:szCs w:val="22"/>
        </w:rPr>
        <w:t xml:space="preserve">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B9" w:rsidRDefault="000509B9" w:rsidP="00FE2590">
      <w:r>
        <w:separator/>
      </w:r>
    </w:p>
  </w:endnote>
  <w:endnote w:type="continuationSeparator" w:id="0">
    <w:p w:rsidR="000509B9" w:rsidRDefault="000509B9"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Pr="004566D7" w:rsidRDefault="00880198">
    <w:pPr>
      <w:pStyle w:val="Stopka"/>
      <w:jc w:val="right"/>
      <w:rPr>
        <w:rFonts w:ascii="Calibri" w:hAnsi="Calibri"/>
        <w:sz w:val="20"/>
        <w:szCs w:val="20"/>
      </w:rPr>
    </w:pPr>
    <w:r w:rsidRPr="004566D7">
      <w:rPr>
        <w:rFonts w:ascii="Calibri" w:hAnsi="Calibri"/>
        <w:sz w:val="20"/>
        <w:szCs w:val="20"/>
      </w:rPr>
      <w:fldChar w:fldCharType="begin"/>
    </w:r>
    <w:r w:rsidR="000509B9" w:rsidRPr="004566D7">
      <w:rPr>
        <w:rFonts w:ascii="Calibri" w:hAnsi="Calibri"/>
        <w:sz w:val="20"/>
        <w:szCs w:val="20"/>
      </w:rPr>
      <w:instrText>PAGE   \* MERGEFORMAT</w:instrText>
    </w:r>
    <w:r w:rsidRPr="004566D7">
      <w:rPr>
        <w:rFonts w:ascii="Calibri" w:hAnsi="Calibri"/>
        <w:sz w:val="20"/>
        <w:szCs w:val="20"/>
      </w:rPr>
      <w:fldChar w:fldCharType="separate"/>
    </w:r>
    <w:r w:rsidR="00762548">
      <w:rPr>
        <w:rFonts w:ascii="Calibri" w:hAnsi="Calibri"/>
        <w:noProof/>
        <w:sz w:val="20"/>
        <w:szCs w:val="20"/>
      </w:rPr>
      <w:t>2</w:t>
    </w:r>
    <w:r w:rsidRPr="004566D7">
      <w:rPr>
        <w:rFonts w:ascii="Calibri" w:hAnsi="Calibri"/>
        <w:sz w:val="20"/>
        <w:szCs w:val="20"/>
      </w:rPr>
      <w:fldChar w:fldCharType="end"/>
    </w:r>
  </w:p>
  <w:p w:rsidR="000509B9" w:rsidRDefault="000509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Pr="00D42C8B" w:rsidRDefault="00880198">
    <w:pPr>
      <w:pStyle w:val="Stopka"/>
      <w:jc w:val="right"/>
      <w:rPr>
        <w:rFonts w:ascii="Calibri" w:hAnsi="Calibri"/>
        <w:sz w:val="20"/>
      </w:rPr>
    </w:pPr>
    <w:r w:rsidRPr="00D42C8B">
      <w:rPr>
        <w:rFonts w:ascii="Calibri" w:hAnsi="Calibri"/>
        <w:sz w:val="20"/>
      </w:rPr>
      <w:fldChar w:fldCharType="begin"/>
    </w:r>
    <w:r w:rsidR="000509B9" w:rsidRPr="00D42C8B">
      <w:rPr>
        <w:rFonts w:ascii="Calibri" w:hAnsi="Calibri"/>
        <w:sz w:val="20"/>
      </w:rPr>
      <w:instrText xml:space="preserve"> PAGE   \* MERGEFORMAT </w:instrText>
    </w:r>
    <w:r w:rsidRPr="00D42C8B">
      <w:rPr>
        <w:rFonts w:ascii="Calibri" w:hAnsi="Calibri"/>
        <w:sz w:val="20"/>
      </w:rPr>
      <w:fldChar w:fldCharType="separate"/>
    </w:r>
    <w:r w:rsidR="00762548">
      <w:rPr>
        <w:rFonts w:ascii="Calibri" w:hAnsi="Calibri"/>
        <w:noProof/>
        <w:sz w:val="20"/>
      </w:rPr>
      <w:t>46</w:t>
    </w:r>
    <w:r w:rsidRPr="00D42C8B">
      <w:rPr>
        <w:rFonts w:ascii="Calibri" w:hAnsi="Calibri"/>
        <w:sz w:val="20"/>
      </w:rPr>
      <w:fldChar w:fldCharType="end"/>
    </w:r>
  </w:p>
  <w:p w:rsidR="000509B9" w:rsidRDefault="000509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B9" w:rsidRDefault="000509B9" w:rsidP="00FE2590">
      <w:r>
        <w:separator/>
      </w:r>
    </w:p>
  </w:footnote>
  <w:footnote w:type="continuationSeparator" w:id="0">
    <w:p w:rsidR="000509B9" w:rsidRDefault="000509B9" w:rsidP="00FE2590">
      <w:r>
        <w:continuationSeparator/>
      </w:r>
    </w:p>
  </w:footnote>
  <w:footnote w:id="1">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0509B9" w:rsidRPr="004E4283" w:rsidRDefault="000509B9">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509B9" w:rsidRPr="00190ABB" w:rsidRDefault="000509B9">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509B9" w:rsidRPr="006B2D66" w:rsidRDefault="000509B9"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0509B9" w:rsidRDefault="000509B9"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0509B9" w:rsidRDefault="000509B9"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0509B9" w:rsidRPr="00F50354" w:rsidRDefault="000509B9"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0509B9" w:rsidRPr="002679BD" w:rsidRDefault="000509B9"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0509B9" w:rsidRPr="002679BD" w:rsidRDefault="000509B9"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0509B9" w:rsidRPr="002679BD" w:rsidRDefault="000509B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0509B9" w:rsidRPr="003C198D" w:rsidRDefault="000509B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0509B9" w:rsidRDefault="000509B9">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0509B9" w:rsidRPr="00657E8A" w:rsidRDefault="000509B9">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0509B9" w:rsidRPr="002679BD" w:rsidRDefault="000509B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0509B9" w:rsidRPr="002679BD" w:rsidRDefault="000509B9"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0509B9" w:rsidRDefault="000509B9">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0509B9" w:rsidRPr="002679BD" w:rsidRDefault="000509B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0509B9" w:rsidRPr="009067BC"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0509B9" w:rsidRPr="002679BD" w:rsidRDefault="000509B9"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509B9" w:rsidRPr="002679BD" w:rsidRDefault="000509B9" w:rsidP="009067BC">
      <w:pPr>
        <w:pStyle w:val="Tekstprzypisudolnego"/>
        <w:rPr>
          <w:rFonts w:ascii="Calibri" w:hAnsi="Calibri" w:cs="Arial"/>
          <w:sz w:val="16"/>
          <w:szCs w:val="16"/>
        </w:rPr>
      </w:pPr>
    </w:p>
  </w:footnote>
  <w:footnote w:id="46">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0509B9" w:rsidRPr="00F43573" w:rsidRDefault="000509B9"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0509B9" w:rsidRPr="002679BD" w:rsidRDefault="000509B9"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0509B9" w:rsidRPr="002679BD" w:rsidRDefault="000509B9"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48" w:rsidRPr="00FB5887" w:rsidRDefault="00762548" w:rsidP="00762548">
    <w:pPr>
      <w:keepNext/>
      <w:spacing w:before="240" w:after="60" w:line="276" w:lineRule="auto"/>
      <w:jc w:val="both"/>
      <w:outlineLvl w:val="0"/>
      <w:rPr>
        <w:rFonts w:ascii="Calibri" w:eastAsia="Times New Roman" w:hAnsi="Calibri"/>
        <w:b/>
        <w:bCs/>
        <w:kern w:val="32"/>
        <w:sz w:val="22"/>
        <w:szCs w:val="22"/>
      </w:rPr>
    </w:pPr>
    <w:bookmarkStart w:id="1" w:name="_GoBack"/>
    <w:bookmarkEnd w:id="1"/>
    <w:r w:rsidRPr="00F2276C">
      <w:rPr>
        <w:rFonts w:ascii="Calibri" w:hAnsi="Calibri"/>
        <w:b/>
        <w:sz w:val="22"/>
        <w:szCs w:val="22"/>
      </w:rPr>
      <w:t>Załącznik nr 6a do Regulaminu Konkurs</w:t>
    </w:r>
    <w:r>
      <w:rPr>
        <w:rFonts w:ascii="Calibri" w:hAnsi="Calibri"/>
        <w:b/>
        <w:sz w:val="22"/>
        <w:szCs w:val="22"/>
      </w:rPr>
      <w:t>u –</w:t>
    </w:r>
    <w:r>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innych niż </w:t>
    </w:r>
    <w:r>
      <w:rPr>
        <w:rFonts w:ascii="Calibri" w:eastAsia="Times New Roman" w:hAnsi="Calibri"/>
        <w:b/>
        <w:bCs/>
        <w:kern w:val="32"/>
        <w:sz w:val="22"/>
        <w:szCs w:val="22"/>
      </w:rPr>
      <w:t>rozliczane</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762548" w:rsidRDefault="0076254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Default="000509B9">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Default="000509B9">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90ABB"/>
    <w:rsid w:val="00192584"/>
    <w:rsid w:val="00192871"/>
    <w:rsid w:val="001C007C"/>
    <w:rsid w:val="001D3250"/>
    <w:rsid w:val="00206322"/>
    <w:rsid w:val="00225689"/>
    <w:rsid w:val="00232364"/>
    <w:rsid w:val="00267DF4"/>
    <w:rsid w:val="00270728"/>
    <w:rsid w:val="00270F24"/>
    <w:rsid w:val="00273217"/>
    <w:rsid w:val="00277948"/>
    <w:rsid w:val="00291411"/>
    <w:rsid w:val="002C0572"/>
    <w:rsid w:val="00324E79"/>
    <w:rsid w:val="0032649E"/>
    <w:rsid w:val="003266BF"/>
    <w:rsid w:val="00333ED4"/>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C7FBB"/>
    <w:rsid w:val="004D108F"/>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2548"/>
    <w:rsid w:val="00763E74"/>
    <w:rsid w:val="0077360C"/>
    <w:rsid w:val="00785CBC"/>
    <w:rsid w:val="007B7D8A"/>
    <w:rsid w:val="007C155B"/>
    <w:rsid w:val="007E3034"/>
    <w:rsid w:val="007E30B6"/>
    <w:rsid w:val="007E6964"/>
    <w:rsid w:val="00814BF4"/>
    <w:rsid w:val="00846CBA"/>
    <w:rsid w:val="0085482C"/>
    <w:rsid w:val="00867819"/>
    <w:rsid w:val="0087312A"/>
    <w:rsid w:val="00880198"/>
    <w:rsid w:val="00881FDD"/>
    <w:rsid w:val="008971E0"/>
    <w:rsid w:val="008D085B"/>
    <w:rsid w:val="008D5812"/>
    <w:rsid w:val="008F4950"/>
    <w:rsid w:val="009067BC"/>
    <w:rsid w:val="00940694"/>
    <w:rsid w:val="0094409C"/>
    <w:rsid w:val="0095724E"/>
    <w:rsid w:val="00973F1D"/>
    <w:rsid w:val="009967A2"/>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96196-B0D3-404F-917F-B1C8E60C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47</Pages>
  <Words>13461</Words>
  <Characters>80767</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magdalena.nowicka</cp:lastModifiedBy>
  <cp:revision>31</cp:revision>
  <cp:lastPrinted>2017-01-20T08:42:00Z</cp:lastPrinted>
  <dcterms:created xsi:type="dcterms:W3CDTF">2016-09-13T12:54:00Z</dcterms:created>
  <dcterms:modified xsi:type="dcterms:W3CDTF">2017-05-05T07:04:00Z</dcterms:modified>
</cp:coreProperties>
</file>