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966F" w14:textId="5CB96033" w:rsidR="00CF0863" w:rsidRPr="00F421BD" w:rsidRDefault="00CF0863" w:rsidP="00CF0863">
      <w:pPr>
        <w:tabs>
          <w:tab w:val="left" w:pos="426"/>
        </w:tabs>
        <w:spacing w:before="120" w:after="120" w:line="360" w:lineRule="auto"/>
        <w:rPr>
          <w:rFonts w:ascii="Verdana" w:hAnsi="Verdana" w:cs="Arial"/>
          <w:b/>
          <w:bCs/>
          <w:sz w:val="24"/>
          <w:szCs w:val="24"/>
        </w:rPr>
      </w:pPr>
      <w:bookmarkStart w:id="0" w:name="_Hlk135748132"/>
      <w:r w:rsidRPr="00F421BD">
        <w:rPr>
          <w:rFonts w:ascii="Verdana" w:hAnsi="Verdana" w:cs="Arial"/>
          <w:b/>
          <w:bCs/>
          <w:sz w:val="24"/>
          <w:szCs w:val="24"/>
        </w:rPr>
        <w:t xml:space="preserve">Pytania i odpowiedzi w konkursie na inkubację i akcelerację innowacji społecznych nr </w:t>
      </w:r>
      <w:bookmarkStart w:id="1" w:name="_Hlk138850965"/>
      <w:r w:rsidRPr="00F421BD">
        <w:rPr>
          <w:rFonts w:ascii="Verdana" w:hAnsi="Verdana"/>
          <w:b/>
          <w:bCs/>
          <w:sz w:val="24"/>
          <w:szCs w:val="24"/>
        </w:rPr>
        <w:t>FERS.05.01-IZ.00-002/23</w:t>
      </w:r>
      <w:bookmarkEnd w:id="1"/>
    </w:p>
    <w:p w14:paraId="07535EEA" w14:textId="30305FD5" w:rsidR="00CF0863" w:rsidRPr="00F421BD" w:rsidRDefault="00CF0863" w:rsidP="00CF0863">
      <w:pPr>
        <w:tabs>
          <w:tab w:val="left" w:pos="426"/>
        </w:tabs>
        <w:spacing w:before="120" w:after="120" w:line="360" w:lineRule="auto"/>
        <w:rPr>
          <w:rFonts w:ascii="Verdana" w:hAnsi="Verdana" w:cs="Arial"/>
          <w:sz w:val="24"/>
          <w:szCs w:val="24"/>
        </w:rPr>
      </w:pPr>
    </w:p>
    <w:p w14:paraId="3E9C9208" w14:textId="42A1CE8A" w:rsidR="00CF0863" w:rsidRPr="00F421BD" w:rsidRDefault="00CF0863" w:rsidP="00CF0863">
      <w:pPr>
        <w:pStyle w:val="NormalnyWeb"/>
        <w:numPr>
          <w:ilvl w:val="0"/>
          <w:numId w:val="2"/>
        </w:numPr>
        <w:spacing w:before="120" w:beforeAutospacing="0" w:after="120" w:afterAutospacing="0" w:line="360" w:lineRule="auto"/>
        <w:ind w:left="426" w:hanging="426"/>
        <w:rPr>
          <w:rFonts w:ascii="Verdana" w:hAnsi="Verdana"/>
          <w:b/>
          <w:bCs/>
          <w:sz w:val="24"/>
          <w:szCs w:val="24"/>
        </w:rPr>
      </w:pPr>
      <w:r w:rsidRPr="00F421BD">
        <w:rPr>
          <w:rFonts w:ascii="Verdana" w:hAnsi="Verdana"/>
          <w:b/>
          <w:bCs/>
          <w:sz w:val="24"/>
          <w:szCs w:val="24"/>
        </w:rPr>
        <w:t>Kryterium horyzontalne w zakresie obrotu brzmi:</w:t>
      </w:r>
    </w:p>
    <w:p w14:paraId="01B11879" w14:textId="77777777" w:rsidR="008509BF" w:rsidRPr="00F421BD" w:rsidRDefault="00CF0863" w:rsidP="00CF0863">
      <w:pPr>
        <w:pStyle w:val="NormalnyWeb"/>
        <w:spacing w:before="120" w:beforeAutospacing="0" w:after="120" w:afterAutospacing="0" w:line="360" w:lineRule="auto"/>
        <w:ind w:left="426"/>
        <w:rPr>
          <w:rFonts w:ascii="Verdana" w:hAnsi="Verdana"/>
          <w:sz w:val="24"/>
          <w:szCs w:val="24"/>
        </w:rPr>
      </w:pPr>
      <w:r w:rsidRPr="00F421BD">
        <w:rPr>
          <w:rFonts w:ascii="Verdana" w:hAnsi="Verdana"/>
          <w:b/>
          <w:bCs/>
          <w:sz w:val="24"/>
          <w:szCs w:val="24"/>
        </w:rPr>
        <w:t>"Wnioskodawca oraz partnerzy krajowi (o ile dotyczy), ponoszący wydatki w danym projekcie z EFS+, posiadają</w:t>
      </w:r>
      <w:r w:rsidRPr="00F421BD">
        <w:rPr>
          <w:rFonts w:ascii="Verdana" w:hAnsi="Verdana"/>
          <w:sz w:val="24"/>
          <w:szCs w:val="24"/>
        </w:rPr>
        <w:t xml:space="preserve"> </w:t>
      </w:r>
      <w:r w:rsidRPr="00F421BD">
        <w:rPr>
          <w:rStyle w:val="Pogrubienie"/>
          <w:rFonts w:ascii="Verdana" w:hAnsi="Verdana"/>
          <w:sz w:val="24"/>
          <w:szCs w:val="24"/>
        </w:rPr>
        <w:t>łączny obrót za wybrany przez wnioskodawcę</w:t>
      </w:r>
      <w:r w:rsidR="008509BF" w:rsidRPr="00F421BD">
        <w:rPr>
          <w:rStyle w:val="Pogrubienie"/>
          <w:rFonts w:ascii="Verdana" w:hAnsi="Verdana"/>
          <w:sz w:val="24"/>
          <w:szCs w:val="24"/>
        </w:rPr>
        <w:t xml:space="preserve"> </w:t>
      </w:r>
      <w:r w:rsidRPr="00F421BD">
        <w:rPr>
          <w:rStyle w:val="Pogrubienie"/>
          <w:rFonts w:ascii="Verdana" w:hAnsi="Verdana"/>
          <w:sz w:val="24"/>
          <w:szCs w:val="24"/>
          <w:u w:val="single"/>
        </w:rPr>
        <w:t>jeden z trzech ostatnich</w:t>
      </w:r>
      <w:r w:rsidRPr="00F421BD">
        <w:rPr>
          <w:rFonts w:ascii="Verdana" w:hAnsi="Verdana"/>
          <w:sz w:val="24"/>
          <w:szCs w:val="24"/>
        </w:rPr>
        <w:t xml:space="preserve">: </w:t>
      </w:r>
    </w:p>
    <w:p w14:paraId="33FA0864" w14:textId="600D5E05" w:rsidR="008509BF" w:rsidRPr="00F421BD" w:rsidRDefault="00CF0863" w:rsidP="00CF0863">
      <w:pPr>
        <w:pStyle w:val="NormalnyWeb"/>
        <w:spacing w:before="120" w:beforeAutospacing="0" w:after="120" w:afterAutospacing="0" w:line="360" w:lineRule="auto"/>
        <w:ind w:left="426"/>
        <w:rPr>
          <w:rFonts w:ascii="Verdana" w:hAnsi="Verdana"/>
          <w:b/>
          <w:bCs/>
          <w:sz w:val="24"/>
          <w:szCs w:val="24"/>
        </w:rPr>
      </w:pPr>
      <w:r w:rsidRPr="00F421BD">
        <w:rPr>
          <w:rFonts w:ascii="Verdana" w:hAnsi="Verdana"/>
          <w:b/>
          <w:bCs/>
          <w:sz w:val="24"/>
          <w:szCs w:val="24"/>
        </w:rPr>
        <w:t xml:space="preserve">- zatwierdzonych lat obrotowych zgodnie z ustawą o rachunkowości z dnia 29 września 1994 r. (Dz. U. 1994 nr 121 poz. 591 z późń. zm.) jeśli dotyczy, lub </w:t>
      </w:r>
    </w:p>
    <w:p w14:paraId="5E9782DE" w14:textId="77777777" w:rsidR="008509BF" w:rsidRPr="00F421BD" w:rsidRDefault="00CF0863" w:rsidP="00CF0863">
      <w:pPr>
        <w:pStyle w:val="NormalnyWeb"/>
        <w:spacing w:before="120" w:beforeAutospacing="0" w:after="120" w:afterAutospacing="0" w:line="360" w:lineRule="auto"/>
        <w:ind w:left="426"/>
        <w:rPr>
          <w:rFonts w:ascii="Verdana" w:hAnsi="Verdana"/>
          <w:b/>
          <w:bCs/>
          <w:sz w:val="24"/>
          <w:szCs w:val="24"/>
        </w:rPr>
      </w:pPr>
      <w:r w:rsidRPr="00F421BD">
        <w:rPr>
          <w:rFonts w:ascii="Verdana" w:hAnsi="Verdana"/>
          <w:b/>
          <w:bCs/>
          <w:sz w:val="24"/>
          <w:szCs w:val="24"/>
        </w:rPr>
        <w:t xml:space="preserve">- zamkniętych i zatwierdzonych lat kalendarzowych, </w:t>
      </w:r>
    </w:p>
    <w:p w14:paraId="2C58ACE0" w14:textId="7BDCBEFA" w:rsidR="00CF0863" w:rsidRPr="00F421BD" w:rsidRDefault="00CF0863" w:rsidP="00CF0863">
      <w:pPr>
        <w:pStyle w:val="NormalnyWeb"/>
        <w:spacing w:before="120" w:beforeAutospacing="0" w:after="120" w:afterAutospacing="0" w:line="360" w:lineRule="auto"/>
        <w:ind w:left="426"/>
        <w:rPr>
          <w:rFonts w:ascii="Verdana" w:hAnsi="Verdana"/>
          <w:b/>
          <w:bCs/>
          <w:sz w:val="24"/>
          <w:szCs w:val="24"/>
        </w:rPr>
      </w:pPr>
      <w:r w:rsidRPr="00F421BD">
        <w:rPr>
          <w:rFonts w:ascii="Verdana" w:hAnsi="Verdana"/>
          <w:b/>
          <w:bCs/>
          <w:sz w:val="24"/>
          <w:szCs w:val="24"/>
        </w:rPr>
        <w:t>równy lub wyższy od 75%</w:t>
      </w:r>
      <w:r w:rsidR="008509BF" w:rsidRPr="00F421BD">
        <w:rPr>
          <w:rFonts w:ascii="Verdana" w:hAnsi="Verdana"/>
          <w:b/>
          <w:bCs/>
          <w:sz w:val="24"/>
          <w:szCs w:val="24"/>
        </w:rPr>
        <w:t xml:space="preserve"> </w:t>
      </w:r>
      <w:r w:rsidRPr="00F421BD">
        <w:rPr>
          <w:rFonts w:ascii="Verdana" w:hAnsi="Verdana"/>
          <w:b/>
          <w:bCs/>
          <w:sz w:val="24"/>
          <w:szCs w:val="24"/>
          <w:u w:val="single"/>
        </w:rPr>
        <w:t>średnich rocznych wydatków</w:t>
      </w:r>
      <w:r w:rsidR="008509BF" w:rsidRPr="00F421BD">
        <w:rPr>
          <w:rFonts w:ascii="Verdana" w:hAnsi="Verdana"/>
          <w:b/>
          <w:bCs/>
          <w:sz w:val="24"/>
          <w:szCs w:val="24"/>
        </w:rPr>
        <w:t xml:space="preserve"> </w:t>
      </w:r>
      <w:r w:rsidRPr="00F421BD">
        <w:rPr>
          <w:rFonts w:ascii="Verdana" w:hAnsi="Verdana"/>
          <w:b/>
          <w:bCs/>
          <w:sz w:val="24"/>
          <w:szCs w:val="24"/>
        </w:rPr>
        <w:t>w ocenianym projekcie."</w:t>
      </w:r>
    </w:p>
    <w:p w14:paraId="01D6701B" w14:textId="4C4AA549" w:rsidR="00CF0863" w:rsidRPr="00F421BD" w:rsidRDefault="00CF0863" w:rsidP="00CF0863">
      <w:pPr>
        <w:pStyle w:val="NormalnyWeb"/>
        <w:spacing w:before="120" w:beforeAutospacing="0" w:after="120" w:afterAutospacing="0" w:line="360" w:lineRule="auto"/>
        <w:ind w:left="426"/>
        <w:rPr>
          <w:rFonts w:ascii="Verdana" w:hAnsi="Verdana"/>
          <w:b/>
          <w:bCs/>
          <w:sz w:val="24"/>
          <w:szCs w:val="24"/>
        </w:rPr>
      </w:pPr>
      <w:r w:rsidRPr="00F421BD">
        <w:rPr>
          <w:rFonts w:ascii="Verdana" w:hAnsi="Verdana"/>
          <w:b/>
          <w:bCs/>
          <w:sz w:val="24"/>
          <w:szCs w:val="24"/>
        </w:rPr>
        <w:t>Czy w projekcie partnerskim każdy z podmiotów może wybrać inny rok z trzech?</w:t>
      </w:r>
    </w:p>
    <w:p w14:paraId="5DA20746" w14:textId="77777777" w:rsidR="00D621D2" w:rsidRPr="00F421BD" w:rsidRDefault="00D621D2" w:rsidP="00CF0863">
      <w:pPr>
        <w:pStyle w:val="NormalnyWeb"/>
        <w:spacing w:before="120" w:beforeAutospacing="0" w:after="120" w:afterAutospacing="0" w:line="360" w:lineRule="auto"/>
        <w:rPr>
          <w:rFonts w:ascii="Verdana" w:hAnsi="Verdana"/>
          <w:sz w:val="24"/>
          <w:szCs w:val="24"/>
        </w:rPr>
      </w:pPr>
      <w:r w:rsidRPr="00F421BD">
        <w:rPr>
          <w:rFonts w:ascii="Verdana" w:hAnsi="Verdana"/>
          <w:sz w:val="24"/>
          <w:szCs w:val="24"/>
        </w:rPr>
        <w:t xml:space="preserve">Odpowiedź: </w:t>
      </w:r>
    </w:p>
    <w:p w14:paraId="1A9769E4" w14:textId="4AA601DB" w:rsidR="00CF0863" w:rsidRPr="00F421BD" w:rsidRDefault="00CF0863" w:rsidP="00CF0863">
      <w:pPr>
        <w:pStyle w:val="NormalnyWeb"/>
        <w:spacing w:before="120" w:beforeAutospacing="0" w:after="120" w:afterAutospacing="0" w:line="360" w:lineRule="auto"/>
        <w:rPr>
          <w:rFonts w:ascii="Verdana" w:hAnsi="Verdana"/>
          <w:sz w:val="24"/>
          <w:szCs w:val="24"/>
        </w:rPr>
      </w:pPr>
      <w:r w:rsidRPr="00F421BD">
        <w:rPr>
          <w:rFonts w:ascii="Verdana" w:hAnsi="Verdana"/>
          <w:sz w:val="24"/>
          <w:szCs w:val="24"/>
        </w:rPr>
        <w:t>Nie, kryterium tego nie uwzględnia. Mówi o wyborze jednego roku z trzech. Wnioskodawca wybiera jeden rok i pokazuje łączny obrót swój i partnerów. Dla wszystkich partnerów to musi być ten sam rok.</w:t>
      </w:r>
    </w:p>
    <w:p w14:paraId="411AF563" w14:textId="77777777" w:rsidR="00CF0863" w:rsidRPr="00F421BD" w:rsidRDefault="00CF0863" w:rsidP="00CF0863">
      <w:pPr>
        <w:pStyle w:val="NormalnyWeb"/>
        <w:spacing w:before="120" w:beforeAutospacing="0" w:after="120" w:afterAutospacing="0" w:line="360" w:lineRule="auto"/>
        <w:rPr>
          <w:rFonts w:ascii="Verdana" w:hAnsi="Verdana"/>
          <w:sz w:val="24"/>
          <w:szCs w:val="24"/>
        </w:rPr>
      </w:pPr>
    </w:p>
    <w:p w14:paraId="3DC61E81" w14:textId="2648F2CF" w:rsidR="00CF0863" w:rsidRPr="00F421BD" w:rsidRDefault="00CF0863" w:rsidP="00CF0863">
      <w:pPr>
        <w:pStyle w:val="NormalnyWeb"/>
        <w:numPr>
          <w:ilvl w:val="0"/>
          <w:numId w:val="2"/>
        </w:numPr>
        <w:spacing w:before="120" w:beforeAutospacing="0" w:after="120" w:afterAutospacing="0" w:line="360" w:lineRule="auto"/>
        <w:ind w:left="426" w:hanging="426"/>
        <w:rPr>
          <w:rFonts w:ascii="Verdana" w:hAnsi="Verdana"/>
          <w:b/>
          <w:bCs/>
          <w:sz w:val="24"/>
          <w:szCs w:val="24"/>
        </w:rPr>
      </w:pPr>
      <w:r w:rsidRPr="00F421BD">
        <w:rPr>
          <w:rFonts w:ascii="Verdana" w:hAnsi="Verdana"/>
          <w:b/>
          <w:bCs/>
          <w:sz w:val="24"/>
          <w:szCs w:val="24"/>
        </w:rPr>
        <w:t>Jak w odniesieniu do ww. kryterium dotyczącego obrotu liczyć wydatki średnioroczne, mając na uwadze, że budżet wniosku nie jest podzielony na lata?</w:t>
      </w:r>
    </w:p>
    <w:p w14:paraId="67DEB7D6" w14:textId="77777777" w:rsidR="00D621D2" w:rsidRPr="00F421BD" w:rsidRDefault="00D621D2" w:rsidP="00D621D2">
      <w:pPr>
        <w:pStyle w:val="NormalnyWeb"/>
        <w:spacing w:before="120" w:beforeAutospacing="0" w:after="120" w:afterAutospacing="0" w:line="360" w:lineRule="auto"/>
        <w:rPr>
          <w:rFonts w:ascii="Verdana" w:hAnsi="Verdana"/>
          <w:sz w:val="24"/>
          <w:szCs w:val="24"/>
        </w:rPr>
      </w:pPr>
      <w:r w:rsidRPr="00F421BD">
        <w:rPr>
          <w:rFonts w:ascii="Verdana" w:hAnsi="Verdana"/>
          <w:sz w:val="24"/>
          <w:szCs w:val="24"/>
        </w:rPr>
        <w:t xml:space="preserve">Odpowiedź: </w:t>
      </w:r>
    </w:p>
    <w:p w14:paraId="748D2110" w14:textId="4380628D" w:rsidR="00CF0863" w:rsidRPr="00F421BD" w:rsidRDefault="00CF0863" w:rsidP="00CF0863">
      <w:pPr>
        <w:pStyle w:val="NormalnyWeb"/>
        <w:spacing w:before="120" w:beforeAutospacing="0" w:after="120" w:afterAutospacing="0" w:line="360" w:lineRule="auto"/>
        <w:rPr>
          <w:rFonts w:ascii="Verdana" w:hAnsi="Verdana"/>
          <w:sz w:val="24"/>
          <w:szCs w:val="24"/>
        </w:rPr>
      </w:pPr>
      <w:r w:rsidRPr="00F421BD">
        <w:rPr>
          <w:rFonts w:ascii="Verdana" w:hAnsi="Verdana"/>
          <w:sz w:val="24"/>
          <w:szCs w:val="24"/>
        </w:rPr>
        <w:t>Należy podzielić całkowite wydatki przez liczbę miesięcy planowanej realizacji projektu, a potem pomnożyć przez 12.</w:t>
      </w:r>
    </w:p>
    <w:p w14:paraId="61F48CD9" w14:textId="77777777" w:rsidR="00CF0863" w:rsidRPr="00F421BD" w:rsidRDefault="00CF0863" w:rsidP="00CF0863">
      <w:pPr>
        <w:pStyle w:val="NormalnyWeb"/>
        <w:spacing w:before="120" w:beforeAutospacing="0" w:after="120" w:afterAutospacing="0" w:line="360" w:lineRule="auto"/>
        <w:rPr>
          <w:rFonts w:ascii="Verdana" w:hAnsi="Verdana"/>
          <w:sz w:val="24"/>
          <w:szCs w:val="24"/>
        </w:rPr>
      </w:pPr>
    </w:p>
    <w:p w14:paraId="4AD943A6" w14:textId="281B519C" w:rsidR="00CF0863" w:rsidRPr="00F421BD" w:rsidRDefault="00CF0863" w:rsidP="00CF0863">
      <w:pPr>
        <w:pStyle w:val="Akapitzlist"/>
        <w:numPr>
          <w:ilvl w:val="0"/>
          <w:numId w:val="2"/>
        </w:numPr>
        <w:tabs>
          <w:tab w:val="left" w:pos="426"/>
        </w:tabs>
        <w:spacing w:before="120" w:after="120" w:line="360" w:lineRule="auto"/>
        <w:ind w:left="426" w:hanging="426"/>
        <w:rPr>
          <w:rFonts w:ascii="Verdana" w:hAnsi="Verdana" w:cs="Arial"/>
          <w:b/>
          <w:bCs/>
          <w:sz w:val="24"/>
          <w:szCs w:val="24"/>
        </w:rPr>
      </w:pPr>
      <w:r w:rsidRPr="00F421BD">
        <w:rPr>
          <w:rFonts w:ascii="Verdana" w:eastAsia="Times New Roman" w:hAnsi="Verdana"/>
          <w:b/>
          <w:bCs/>
          <w:sz w:val="24"/>
          <w:szCs w:val="24"/>
        </w:rPr>
        <w:lastRenderedPageBreak/>
        <w:t>Czy koszt przygotowania procedur realizacji projektu grantowego (w tym czas pracy zespołu inkubatora) może być finansowany w ramach kosztów bezpośrednich?</w:t>
      </w:r>
    </w:p>
    <w:p w14:paraId="02CA5341" w14:textId="77777777" w:rsidR="00D621D2" w:rsidRPr="00F421BD" w:rsidRDefault="00D621D2" w:rsidP="00D621D2">
      <w:pPr>
        <w:pStyle w:val="NormalnyWeb"/>
        <w:spacing w:before="120" w:beforeAutospacing="0" w:after="120" w:afterAutospacing="0" w:line="360" w:lineRule="auto"/>
        <w:rPr>
          <w:rFonts w:ascii="Verdana" w:hAnsi="Verdana"/>
          <w:sz w:val="24"/>
          <w:szCs w:val="24"/>
        </w:rPr>
      </w:pPr>
      <w:r w:rsidRPr="00F421BD">
        <w:rPr>
          <w:rFonts w:ascii="Verdana" w:hAnsi="Verdana"/>
          <w:sz w:val="24"/>
          <w:szCs w:val="24"/>
        </w:rPr>
        <w:t xml:space="preserve">Odpowiedź: </w:t>
      </w:r>
    </w:p>
    <w:p w14:paraId="3B1695D4" w14:textId="286A1253" w:rsidR="00CF0863" w:rsidRPr="00F421BD" w:rsidRDefault="00D621D2" w:rsidP="00D621D2">
      <w:pPr>
        <w:tabs>
          <w:tab w:val="left" w:pos="426"/>
        </w:tabs>
        <w:spacing w:before="120" w:after="120" w:line="360" w:lineRule="auto"/>
        <w:rPr>
          <w:rFonts w:ascii="Verdana" w:hAnsi="Verdana"/>
          <w:sz w:val="24"/>
          <w:szCs w:val="24"/>
        </w:rPr>
      </w:pPr>
      <w:r w:rsidRPr="00F421BD">
        <w:rPr>
          <w:rFonts w:ascii="Verdana" w:hAnsi="Verdana" w:cs="Arial"/>
          <w:sz w:val="24"/>
          <w:szCs w:val="24"/>
        </w:rPr>
        <w:t xml:space="preserve">Nie, koszt przygotowania procedur realizacji projektu grantowego jako dokumentu zarządczego dla wyboru i realizacji grantów nie może być finansowany z kosztów bezpośrednich. Niemniej, w ramach kosztów bezpośrednich możliwe jest finansowanie np. personelu, który odpowiada za przygotowanie merytorycznej koncepcji w zakresie tego, </w:t>
      </w:r>
      <w:r w:rsidRPr="00F421BD">
        <w:rPr>
          <w:rFonts w:ascii="Verdana" w:hAnsi="Verdana"/>
          <w:sz w:val="24"/>
          <w:szCs w:val="24"/>
        </w:rPr>
        <w:t>jak szukać innowatorów, co jest istotne przy ich wyborze, jak podejść do oceny poszczególnych elementów.</w:t>
      </w:r>
    </w:p>
    <w:p w14:paraId="084DBCC5" w14:textId="77777777" w:rsidR="00E22885" w:rsidRPr="00F421BD" w:rsidRDefault="00E22885" w:rsidP="00D621D2">
      <w:pPr>
        <w:tabs>
          <w:tab w:val="left" w:pos="426"/>
        </w:tabs>
        <w:spacing w:before="120" w:after="120" w:line="360" w:lineRule="auto"/>
        <w:rPr>
          <w:rFonts w:ascii="Verdana" w:hAnsi="Verdana" w:cs="Arial"/>
          <w:sz w:val="24"/>
          <w:szCs w:val="24"/>
        </w:rPr>
      </w:pPr>
    </w:p>
    <w:p w14:paraId="0DEFD48A" w14:textId="239147D6" w:rsidR="00E22885" w:rsidRPr="00F421BD" w:rsidRDefault="00E22885" w:rsidP="00E22885">
      <w:pPr>
        <w:numPr>
          <w:ilvl w:val="0"/>
          <w:numId w:val="2"/>
        </w:numPr>
        <w:spacing w:before="120" w:after="120" w:line="360" w:lineRule="auto"/>
        <w:ind w:left="426" w:hanging="426"/>
        <w:rPr>
          <w:rFonts w:ascii="Verdana" w:eastAsia="Times New Roman" w:hAnsi="Verdana"/>
          <w:b/>
          <w:bCs/>
          <w:sz w:val="24"/>
          <w:szCs w:val="24"/>
        </w:rPr>
      </w:pPr>
      <w:r w:rsidRPr="00F421BD">
        <w:rPr>
          <w:rFonts w:ascii="Verdana" w:eastAsia="Times New Roman" w:hAnsi="Verdana"/>
          <w:b/>
          <w:bCs/>
          <w:sz w:val="24"/>
          <w:szCs w:val="24"/>
        </w:rPr>
        <w:t>Czy dostępne są lub będą minimalne wymogi dotyczące zawartości procedur realizacji projektów grantowych przez inkubatory?</w:t>
      </w:r>
    </w:p>
    <w:p w14:paraId="177DB263" w14:textId="3B219318" w:rsidR="00E22885" w:rsidRPr="00F421BD" w:rsidRDefault="00E22885" w:rsidP="00E22885">
      <w:pPr>
        <w:spacing w:before="120" w:after="120" w:line="360" w:lineRule="auto"/>
        <w:rPr>
          <w:rFonts w:ascii="Verdana" w:eastAsia="Times New Roman" w:hAnsi="Verdana"/>
          <w:sz w:val="24"/>
          <w:szCs w:val="24"/>
        </w:rPr>
      </w:pPr>
      <w:r w:rsidRPr="00F421BD">
        <w:rPr>
          <w:rFonts w:ascii="Verdana" w:eastAsia="Times New Roman" w:hAnsi="Verdana"/>
          <w:sz w:val="24"/>
          <w:szCs w:val="24"/>
        </w:rPr>
        <w:t>Odpowiedź:</w:t>
      </w:r>
    </w:p>
    <w:p w14:paraId="1214DAD6" w14:textId="70FF77A7" w:rsidR="00E22885" w:rsidRPr="00F421BD" w:rsidRDefault="00E22885" w:rsidP="00E22885">
      <w:pPr>
        <w:spacing w:before="120" w:after="120" w:line="360" w:lineRule="auto"/>
        <w:rPr>
          <w:rFonts w:ascii="Verdana" w:eastAsia="Times New Roman" w:hAnsi="Verdana"/>
          <w:sz w:val="24"/>
          <w:szCs w:val="24"/>
        </w:rPr>
      </w:pPr>
      <w:r w:rsidRPr="00F421BD">
        <w:rPr>
          <w:rFonts w:ascii="Verdana" w:eastAsia="Times New Roman" w:hAnsi="Verdana"/>
          <w:sz w:val="24"/>
          <w:szCs w:val="24"/>
        </w:rPr>
        <w:t>Materiał wspierający ten proces zostanie opracowany przez IZ FERS</w:t>
      </w:r>
      <w:r w:rsidR="008509BF" w:rsidRPr="00F421BD">
        <w:rPr>
          <w:rFonts w:ascii="Verdana" w:eastAsia="Times New Roman" w:hAnsi="Verdana"/>
          <w:sz w:val="24"/>
          <w:szCs w:val="24"/>
        </w:rPr>
        <w:t xml:space="preserve"> po rozstrzygnięciu konkursu</w:t>
      </w:r>
      <w:r w:rsidRPr="00F421BD">
        <w:rPr>
          <w:rFonts w:ascii="Verdana" w:eastAsia="Times New Roman" w:hAnsi="Verdana"/>
          <w:sz w:val="24"/>
          <w:szCs w:val="24"/>
        </w:rPr>
        <w:t>.</w:t>
      </w:r>
    </w:p>
    <w:p w14:paraId="4D3511E0" w14:textId="44A352B9" w:rsidR="00E22885" w:rsidRPr="00F421BD" w:rsidRDefault="00E22885" w:rsidP="00E22885">
      <w:pPr>
        <w:spacing w:before="120" w:after="120" w:line="360" w:lineRule="auto"/>
        <w:rPr>
          <w:rFonts w:ascii="Verdana" w:eastAsia="Times New Roman" w:hAnsi="Verdana"/>
          <w:sz w:val="24"/>
          <w:szCs w:val="24"/>
        </w:rPr>
      </w:pPr>
    </w:p>
    <w:p w14:paraId="00787B6A" w14:textId="77777777" w:rsidR="00E22885" w:rsidRPr="00F421BD" w:rsidRDefault="00E22885" w:rsidP="00E22885">
      <w:pPr>
        <w:pStyle w:val="Akapitzlist"/>
        <w:numPr>
          <w:ilvl w:val="0"/>
          <w:numId w:val="2"/>
        </w:numPr>
        <w:spacing w:before="120" w:after="120" w:line="360" w:lineRule="auto"/>
        <w:ind w:left="426" w:hanging="426"/>
        <w:rPr>
          <w:rFonts w:ascii="Verdana" w:eastAsia="Times New Roman" w:hAnsi="Verdana"/>
          <w:b/>
          <w:bCs/>
          <w:sz w:val="24"/>
          <w:szCs w:val="24"/>
        </w:rPr>
      </w:pPr>
      <w:r w:rsidRPr="00F421BD">
        <w:rPr>
          <w:rFonts w:ascii="Verdana" w:hAnsi="Verdana" w:cs="Arial"/>
          <w:b/>
          <w:bCs/>
          <w:sz w:val="24"/>
          <w:szCs w:val="24"/>
        </w:rPr>
        <w:t>C</w:t>
      </w:r>
      <w:r w:rsidRPr="00F421BD">
        <w:rPr>
          <w:rFonts w:ascii="Verdana" w:eastAsia="Times New Roman" w:hAnsi="Verdana"/>
          <w:b/>
          <w:bCs/>
          <w:sz w:val="24"/>
          <w:szCs w:val="24"/>
        </w:rPr>
        <w:t xml:space="preserve">zy na etapie akceleracji możliwe jest przekazywanie grantów innowatorom np. na testowanie kolejnej wersji innowacji? </w:t>
      </w:r>
    </w:p>
    <w:p w14:paraId="4856D204" w14:textId="354E420F" w:rsidR="00E22885" w:rsidRPr="00F421BD" w:rsidRDefault="00E22885" w:rsidP="00E22885">
      <w:pPr>
        <w:spacing w:before="120" w:after="120" w:line="360" w:lineRule="auto"/>
        <w:rPr>
          <w:rFonts w:ascii="Verdana" w:eastAsia="Times New Roman" w:hAnsi="Verdana"/>
          <w:sz w:val="24"/>
          <w:szCs w:val="24"/>
        </w:rPr>
      </w:pPr>
      <w:r w:rsidRPr="00F421BD">
        <w:rPr>
          <w:rFonts w:ascii="Verdana" w:eastAsia="Times New Roman" w:hAnsi="Verdana"/>
          <w:sz w:val="24"/>
          <w:szCs w:val="24"/>
        </w:rPr>
        <w:t>Odpowiedź:</w:t>
      </w:r>
    </w:p>
    <w:p w14:paraId="1648FD0A" w14:textId="5CA53459" w:rsidR="00E22885" w:rsidRPr="00F421BD" w:rsidRDefault="00E22885" w:rsidP="00E22885">
      <w:pPr>
        <w:spacing w:before="120" w:after="120" w:line="360" w:lineRule="auto"/>
        <w:rPr>
          <w:rFonts w:ascii="Verdana" w:hAnsi="Verdana" w:cs="Arial"/>
          <w:sz w:val="24"/>
          <w:szCs w:val="24"/>
        </w:rPr>
      </w:pPr>
      <w:r w:rsidRPr="00F421BD">
        <w:rPr>
          <w:rFonts w:ascii="Verdana" w:eastAsia="Times New Roman" w:hAnsi="Verdana"/>
          <w:sz w:val="24"/>
          <w:szCs w:val="24"/>
        </w:rPr>
        <w:t xml:space="preserve">Nie. Przekazanie grantu możliwe jest wyłącznie na etapie inkubacji </w:t>
      </w:r>
      <w:r w:rsidR="009D2F12" w:rsidRPr="00F421BD">
        <w:rPr>
          <w:rFonts w:ascii="Verdana" w:eastAsia="Times New Roman" w:hAnsi="Verdana"/>
          <w:sz w:val="24"/>
          <w:szCs w:val="24"/>
        </w:rPr>
        <w:t xml:space="preserve">na potrzeby </w:t>
      </w:r>
      <w:r w:rsidR="009D2F12" w:rsidRPr="00F421BD">
        <w:rPr>
          <w:rFonts w:ascii="Verdana" w:hAnsi="Verdana" w:cs="Arial"/>
          <w:sz w:val="24"/>
          <w:szCs w:val="24"/>
        </w:rPr>
        <w:t>opracowania (jeśli dotyczy), przetestowania oraz dopracowania (o ile dotyczy) innowacji.</w:t>
      </w:r>
    </w:p>
    <w:p w14:paraId="0E5FE870" w14:textId="2BE3EAF1" w:rsidR="008509BF" w:rsidRPr="00F421BD" w:rsidRDefault="009D2F12" w:rsidP="00F77C94">
      <w:pPr>
        <w:spacing w:line="360" w:lineRule="auto"/>
        <w:rPr>
          <w:rFonts w:ascii="Verdana" w:eastAsia="Times New Roman" w:hAnsi="Verdana"/>
          <w:sz w:val="24"/>
          <w:szCs w:val="24"/>
        </w:rPr>
      </w:pPr>
      <w:r w:rsidRPr="00F421BD">
        <w:rPr>
          <w:rFonts w:ascii="Verdana" w:eastAsia="Times New Roman" w:hAnsi="Verdana"/>
          <w:sz w:val="24"/>
          <w:szCs w:val="24"/>
        </w:rPr>
        <w:t>Należy przy tym podkreślić różnicę pomiędzy procesem inkubacji i akceleracji przyjętą w konkursie.</w:t>
      </w:r>
      <w:r w:rsidR="00F77C94" w:rsidRPr="00F421BD">
        <w:rPr>
          <w:rFonts w:ascii="Verdana" w:eastAsia="Times New Roman" w:hAnsi="Verdana"/>
          <w:sz w:val="24"/>
          <w:szCs w:val="24"/>
        </w:rPr>
        <w:t xml:space="preserve"> W inkubacji założono, że głównym aktorem jest innowator wspierany przez inkubator. Inkubator pełni zatem rolę wspomagającą cały proces inkubacji. Natomiast w akceleracji akcenty </w:t>
      </w:r>
      <w:r w:rsidR="00F77C94" w:rsidRPr="00F421BD">
        <w:rPr>
          <w:rFonts w:ascii="Verdana" w:eastAsia="Times New Roman" w:hAnsi="Verdana"/>
          <w:sz w:val="24"/>
          <w:szCs w:val="24"/>
        </w:rPr>
        <w:lastRenderedPageBreak/>
        <w:t>zostały ułożone odwrotnie. W tym procesie głównym podmiotem, który odpowiada za zorganizowanie działań i ich przeprowadzenie, jest inkubator. Może współpracować z innowatorem</w:t>
      </w:r>
      <w:r w:rsidR="008509BF" w:rsidRPr="00F421BD">
        <w:rPr>
          <w:rFonts w:ascii="Verdana" w:eastAsia="Times New Roman" w:hAnsi="Verdana"/>
          <w:sz w:val="24"/>
          <w:szCs w:val="24"/>
        </w:rPr>
        <w:t>, niemniej jego rola jest poboczna. Regulamin nie narzuca również obowiązku takiej współpracy. Działania inkubatora w tym zakresie mają pozwolić na budowanie jego potencjału w obszarze nowych zadań.</w:t>
      </w:r>
    </w:p>
    <w:p w14:paraId="7162A085" w14:textId="7C568926" w:rsidR="008509BF" w:rsidRPr="00F421BD" w:rsidRDefault="008509BF" w:rsidP="00F77C94">
      <w:pPr>
        <w:spacing w:line="360" w:lineRule="auto"/>
        <w:rPr>
          <w:rFonts w:ascii="Verdana" w:eastAsia="Times New Roman" w:hAnsi="Verdana"/>
          <w:sz w:val="24"/>
          <w:szCs w:val="24"/>
        </w:rPr>
      </w:pPr>
      <w:r w:rsidRPr="00F421BD">
        <w:rPr>
          <w:rFonts w:ascii="Verdana" w:eastAsia="Times New Roman" w:hAnsi="Verdana"/>
          <w:sz w:val="24"/>
          <w:szCs w:val="24"/>
        </w:rPr>
        <w:t>Praktycznym przejawem tego podejścia jest m.in. uwzględnienie schematu grantowego na etapie inkubacji i pominięcie go na etapie akceleracji.</w:t>
      </w:r>
    </w:p>
    <w:p w14:paraId="48D631D8" w14:textId="37601EBE" w:rsidR="009D2F12" w:rsidRPr="00F421BD" w:rsidRDefault="009D2F12" w:rsidP="00E22885">
      <w:pPr>
        <w:spacing w:before="120" w:after="120" w:line="360" w:lineRule="auto"/>
        <w:rPr>
          <w:rFonts w:ascii="Verdana" w:eastAsia="Times New Roman" w:hAnsi="Verdana"/>
          <w:sz w:val="24"/>
          <w:szCs w:val="24"/>
        </w:rPr>
      </w:pPr>
    </w:p>
    <w:p w14:paraId="7EEA62EB" w14:textId="16F398EA" w:rsidR="00E22885" w:rsidRPr="00F421BD" w:rsidRDefault="008509BF" w:rsidP="00E22885">
      <w:pPr>
        <w:pStyle w:val="Akapitzlist"/>
        <w:numPr>
          <w:ilvl w:val="0"/>
          <w:numId w:val="2"/>
        </w:numPr>
        <w:spacing w:before="120" w:after="120" w:line="360" w:lineRule="auto"/>
        <w:ind w:left="426" w:hanging="426"/>
        <w:rPr>
          <w:rFonts w:ascii="Verdana" w:eastAsia="Times New Roman" w:hAnsi="Verdana"/>
          <w:b/>
          <w:bCs/>
          <w:sz w:val="24"/>
          <w:szCs w:val="24"/>
        </w:rPr>
      </w:pPr>
      <w:r w:rsidRPr="00F421BD">
        <w:rPr>
          <w:rFonts w:ascii="Verdana" w:eastAsia="Times New Roman" w:hAnsi="Verdana"/>
          <w:b/>
          <w:bCs/>
          <w:sz w:val="24"/>
          <w:szCs w:val="24"/>
        </w:rPr>
        <w:t>Czy na etapie akceleracji możliwe jest kontraktowanie użytkowników (np. instytucji prowadzących u siebie testy kolejnej wersji innowacji) i opłacanie w ten sposób np. wydruków do przeprowadzenia testu, wynagrodzenia osób prowadzących warsztaty (o ile specyfika innowacji tego wymaga), czasu pracy ich pracowników testujących innowację, innych niezbędnych kosztów? Jeśli tak, to czy tu także można nie stosować</w:t>
      </w:r>
      <w:r w:rsidR="00F421BD" w:rsidRPr="00F421BD">
        <w:rPr>
          <w:rFonts w:ascii="Verdana" w:eastAsia="Times New Roman" w:hAnsi="Verdana"/>
          <w:b/>
          <w:bCs/>
          <w:sz w:val="24"/>
          <w:szCs w:val="24"/>
        </w:rPr>
        <w:t xml:space="preserve"> </w:t>
      </w:r>
      <w:r w:rsidRPr="00F421BD">
        <w:rPr>
          <w:rFonts w:ascii="Verdana" w:eastAsia="Times New Roman" w:hAnsi="Verdana"/>
          <w:b/>
          <w:bCs/>
          <w:sz w:val="24"/>
          <w:szCs w:val="24"/>
        </w:rPr>
        <w:t>zasady konkurencyjności?</w:t>
      </w:r>
    </w:p>
    <w:p w14:paraId="3B85A3F5" w14:textId="77777777" w:rsidR="008509BF" w:rsidRPr="00F421BD" w:rsidRDefault="008509BF" w:rsidP="008509BF">
      <w:pPr>
        <w:spacing w:before="120" w:after="120" w:line="360" w:lineRule="auto"/>
        <w:rPr>
          <w:rFonts w:ascii="Verdana" w:eastAsia="Times New Roman" w:hAnsi="Verdana"/>
          <w:sz w:val="24"/>
          <w:szCs w:val="24"/>
        </w:rPr>
      </w:pPr>
      <w:r w:rsidRPr="00F421BD">
        <w:rPr>
          <w:rFonts w:ascii="Verdana" w:eastAsia="Times New Roman" w:hAnsi="Verdana"/>
          <w:sz w:val="24"/>
          <w:szCs w:val="24"/>
        </w:rPr>
        <w:t>Odpowiedź:</w:t>
      </w:r>
    </w:p>
    <w:p w14:paraId="6F2F68CE" w14:textId="5D948361" w:rsidR="00E22885" w:rsidRDefault="00F421BD" w:rsidP="008509BF">
      <w:pPr>
        <w:spacing w:before="120" w:after="120" w:line="360" w:lineRule="auto"/>
        <w:rPr>
          <w:rFonts w:ascii="Verdana" w:hAnsi="Verdana" w:cs="Arial-BoldMT"/>
          <w:sz w:val="24"/>
          <w:szCs w:val="24"/>
        </w:rPr>
      </w:pPr>
      <w:r w:rsidRPr="00F421BD">
        <w:rPr>
          <w:rFonts w:ascii="Verdana" w:eastAsia="Times New Roman" w:hAnsi="Verdana"/>
          <w:sz w:val="24"/>
          <w:szCs w:val="24"/>
        </w:rPr>
        <w:t xml:space="preserve">Na etapie akceleracji możliwe jest angażowanie użytkowników. Sposób tego zaangażowania musi być jednak zgodny z zapisami rozdziału 3.2 „Zasada konkurencyjności” Wytycznych </w:t>
      </w:r>
      <w:r w:rsidRPr="00F421BD">
        <w:rPr>
          <w:rFonts w:ascii="Verdana" w:hAnsi="Verdana" w:cs="Arial-BoldMT"/>
          <w:sz w:val="24"/>
          <w:szCs w:val="24"/>
        </w:rPr>
        <w:t xml:space="preserve">dotyczących kwalifikowalności wydatków na lata 2021-2027. </w:t>
      </w:r>
      <w:r>
        <w:rPr>
          <w:rFonts w:ascii="Verdana" w:hAnsi="Verdana" w:cs="Arial-BoldMT"/>
          <w:sz w:val="24"/>
          <w:szCs w:val="24"/>
        </w:rPr>
        <w:t xml:space="preserve">Wyłączenie ze stosowania zasady konkurencyjności, zgodnie z regulaminem </w:t>
      </w:r>
      <w:r w:rsidR="00E94C21">
        <w:rPr>
          <w:rFonts w:ascii="Verdana" w:hAnsi="Verdana" w:cs="Arial-BoldMT"/>
          <w:sz w:val="24"/>
          <w:szCs w:val="24"/>
        </w:rPr>
        <w:t xml:space="preserve">konkursu, </w:t>
      </w:r>
      <w:r>
        <w:rPr>
          <w:rFonts w:ascii="Verdana" w:hAnsi="Verdana" w:cs="Arial-BoldMT"/>
          <w:sz w:val="24"/>
          <w:szCs w:val="24"/>
        </w:rPr>
        <w:t xml:space="preserve">dotyczy jedynie umów </w:t>
      </w:r>
      <w:r w:rsidR="00E94C21">
        <w:rPr>
          <w:rFonts w:ascii="Verdana" w:hAnsi="Verdana" w:cs="Arial-BoldMT"/>
          <w:sz w:val="24"/>
          <w:szCs w:val="24"/>
        </w:rPr>
        <w:t xml:space="preserve">cywilnoprawnych z </w:t>
      </w:r>
      <w:r w:rsidR="00E94C21" w:rsidRPr="00E94C21">
        <w:rPr>
          <w:rFonts w:ascii="Verdana" w:hAnsi="Verdana" w:cs="Arial-BoldMT"/>
          <w:sz w:val="24"/>
          <w:szCs w:val="24"/>
          <w:u w:val="single"/>
        </w:rPr>
        <w:t>autorami innowacji</w:t>
      </w:r>
      <w:r w:rsidR="00E94C21">
        <w:rPr>
          <w:rFonts w:ascii="Verdana" w:hAnsi="Verdana" w:cs="Arial-BoldMT"/>
          <w:sz w:val="24"/>
          <w:szCs w:val="24"/>
        </w:rPr>
        <w:t>.</w:t>
      </w:r>
    </w:p>
    <w:bookmarkEnd w:id="0"/>
    <w:p w14:paraId="5162ACAC" w14:textId="77777777" w:rsidR="00160BB5" w:rsidRPr="00F421BD" w:rsidRDefault="00160BB5" w:rsidP="00CF0863">
      <w:pPr>
        <w:spacing w:before="120" w:after="120" w:line="360" w:lineRule="auto"/>
        <w:rPr>
          <w:rFonts w:ascii="Verdana" w:hAnsi="Verdana"/>
          <w:sz w:val="24"/>
          <w:szCs w:val="24"/>
        </w:rPr>
      </w:pPr>
    </w:p>
    <w:sectPr w:rsidR="00160BB5" w:rsidRPr="00F42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148ED" w14:textId="77777777" w:rsidR="00830B1E" w:rsidRDefault="00830B1E" w:rsidP="00830B1E">
      <w:pPr>
        <w:spacing w:after="0" w:line="240" w:lineRule="auto"/>
      </w:pPr>
      <w:r>
        <w:separator/>
      </w:r>
    </w:p>
  </w:endnote>
  <w:endnote w:type="continuationSeparator" w:id="0">
    <w:p w14:paraId="227A14CB" w14:textId="77777777" w:rsidR="00830B1E" w:rsidRDefault="00830B1E" w:rsidP="0083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MT">
    <w:altName w:val="Arial"/>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2DE7" w14:textId="77777777" w:rsidR="00830B1E" w:rsidRDefault="00830B1E" w:rsidP="00830B1E">
      <w:pPr>
        <w:spacing w:after="0" w:line="240" w:lineRule="auto"/>
      </w:pPr>
      <w:r>
        <w:separator/>
      </w:r>
    </w:p>
  </w:footnote>
  <w:footnote w:type="continuationSeparator" w:id="0">
    <w:p w14:paraId="1B12BBB4" w14:textId="77777777" w:rsidR="00830B1E" w:rsidRDefault="00830B1E" w:rsidP="00830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35085"/>
    <w:multiLevelType w:val="hybridMultilevel"/>
    <w:tmpl w:val="8F6A6D82"/>
    <w:lvl w:ilvl="0" w:tplc="9B1C31E2">
      <w:start w:val="1"/>
      <w:numFmt w:val="bullet"/>
      <w:lvlText w:val=""/>
      <w:lvlJc w:val="left"/>
      <w:pPr>
        <w:tabs>
          <w:tab w:val="num" w:pos="720"/>
        </w:tabs>
        <w:ind w:left="720" w:hanging="360"/>
      </w:pPr>
      <w:rPr>
        <w:rFonts w:ascii="Symbol" w:hAnsi="Symbol" w:hint="default"/>
      </w:rPr>
    </w:lvl>
    <w:lvl w:ilvl="1" w:tplc="292CC438" w:tentative="1">
      <w:start w:val="1"/>
      <w:numFmt w:val="bullet"/>
      <w:lvlText w:val=""/>
      <w:lvlJc w:val="left"/>
      <w:pPr>
        <w:tabs>
          <w:tab w:val="num" w:pos="1440"/>
        </w:tabs>
        <w:ind w:left="1440" w:hanging="360"/>
      </w:pPr>
      <w:rPr>
        <w:rFonts w:ascii="Symbol" w:hAnsi="Symbol" w:hint="default"/>
      </w:rPr>
    </w:lvl>
    <w:lvl w:ilvl="2" w:tplc="19E6ED70" w:tentative="1">
      <w:start w:val="1"/>
      <w:numFmt w:val="bullet"/>
      <w:lvlText w:val=""/>
      <w:lvlJc w:val="left"/>
      <w:pPr>
        <w:tabs>
          <w:tab w:val="num" w:pos="2160"/>
        </w:tabs>
        <w:ind w:left="2160" w:hanging="360"/>
      </w:pPr>
      <w:rPr>
        <w:rFonts w:ascii="Symbol" w:hAnsi="Symbol" w:hint="default"/>
      </w:rPr>
    </w:lvl>
    <w:lvl w:ilvl="3" w:tplc="80525CCA" w:tentative="1">
      <w:start w:val="1"/>
      <w:numFmt w:val="bullet"/>
      <w:lvlText w:val=""/>
      <w:lvlJc w:val="left"/>
      <w:pPr>
        <w:tabs>
          <w:tab w:val="num" w:pos="2880"/>
        </w:tabs>
        <w:ind w:left="2880" w:hanging="360"/>
      </w:pPr>
      <w:rPr>
        <w:rFonts w:ascii="Symbol" w:hAnsi="Symbol" w:hint="default"/>
      </w:rPr>
    </w:lvl>
    <w:lvl w:ilvl="4" w:tplc="2742614C" w:tentative="1">
      <w:start w:val="1"/>
      <w:numFmt w:val="bullet"/>
      <w:lvlText w:val=""/>
      <w:lvlJc w:val="left"/>
      <w:pPr>
        <w:tabs>
          <w:tab w:val="num" w:pos="3600"/>
        </w:tabs>
        <w:ind w:left="3600" w:hanging="360"/>
      </w:pPr>
      <w:rPr>
        <w:rFonts w:ascii="Symbol" w:hAnsi="Symbol" w:hint="default"/>
      </w:rPr>
    </w:lvl>
    <w:lvl w:ilvl="5" w:tplc="3AB0E6D8" w:tentative="1">
      <w:start w:val="1"/>
      <w:numFmt w:val="bullet"/>
      <w:lvlText w:val=""/>
      <w:lvlJc w:val="left"/>
      <w:pPr>
        <w:tabs>
          <w:tab w:val="num" w:pos="4320"/>
        </w:tabs>
        <w:ind w:left="4320" w:hanging="360"/>
      </w:pPr>
      <w:rPr>
        <w:rFonts w:ascii="Symbol" w:hAnsi="Symbol" w:hint="default"/>
      </w:rPr>
    </w:lvl>
    <w:lvl w:ilvl="6" w:tplc="7046B708" w:tentative="1">
      <w:start w:val="1"/>
      <w:numFmt w:val="bullet"/>
      <w:lvlText w:val=""/>
      <w:lvlJc w:val="left"/>
      <w:pPr>
        <w:tabs>
          <w:tab w:val="num" w:pos="5040"/>
        </w:tabs>
        <w:ind w:left="5040" w:hanging="360"/>
      </w:pPr>
      <w:rPr>
        <w:rFonts w:ascii="Symbol" w:hAnsi="Symbol" w:hint="default"/>
      </w:rPr>
    </w:lvl>
    <w:lvl w:ilvl="7" w:tplc="39361686" w:tentative="1">
      <w:start w:val="1"/>
      <w:numFmt w:val="bullet"/>
      <w:lvlText w:val=""/>
      <w:lvlJc w:val="left"/>
      <w:pPr>
        <w:tabs>
          <w:tab w:val="num" w:pos="5760"/>
        </w:tabs>
        <w:ind w:left="5760" w:hanging="360"/>
      </w:pPr>
      <w:rPr>
        <w:rFonts w:ascii="Symbol" w:hAnsi="Symbol" w:hint="default"/>
      </w:rPr>
    </w:lvl>
    <w:lvl w:ilvl="8" w:tplc="9C32B3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B1C25C2"/>
    <w:multiLevelType w:val="hybridMultilevel"/>
    <w:tmpl w:val="6E4616CA"/>
    <w:lvl w:ilvl="0" w:tplc="B3C03CF8">
      <w:start w:val="1"/>
      <w:numFmt w:val="bullet"/>
      <w:lvlText w:val="•"/>
      <w:lvlJc w:val="left"/>
      <w:pPr>
        <w:tabs>
          <w:tab w:val="num" w:pos="720"/>
        </w:tabs>
        <w:ind w:left="720" w:hanging="360"/>
      </w:pPr>
      <w:rPr>
        <w:rFonts w:ascii="Arial" w:hAnsi="Arial" w:hint="default"/>
      </w:rPr>
    </w:lvl>
    <w:lvl w:ilvl="1" w:tplc="75A47374" w:tentative="1">
      <w:start w:val="1"/>
      <w:numFmt w:val="bullet"/>
      <w:lvlText w:val="•"/>
      <w:lvlJc w:val="left"/>
      <w:pPr>
        <w:tabs>
          <w:tab w:val="num" w:pos="1440"/>
        </w:tabs>
        <w:ind w:left="1440" w:hanging="360"/>
      </w:pPr>
      <w:rPr>
        <w:rFonts w:ascii="Arial" w:hAnsi="Arial" w:hint="default"/>
      </w:rPr>
    </w:lvl>
    <w:lvl w:ilvl="2" w:tplc="84BA470C" w:tentative="1">
      <w:start w:val="1"/>
      <w:numFmt w:val="bullet"/>
      <w:lvlText w:val="•"/>
      <w:lvlJc w:val="left"/>
      <w:pPr>
        <w:tabs>
          <w:tab w:val="num" w:pos="2160"/>
        </w:tabs>
        <w:ind w:left="2160" w:hanging="360"/>
      </w:pPr>
      <w:rPr>
        <w:rFonts w:ascii="Arial" w:hAnsi="Arial" w:hint="default"/>
      </w:rPr>
    </w:lvl>
    <w:lvl w:ilvl="3" w:tplc="F63E2D5A" w:tentative="1">
      <w:start w:val="1"/>
      <w:numFmt w:val="bullet"/>
      <w:lvlText w:val="•"/>
      <w:lvlJc w:val="left"/>
      <w:pPr>
        <w:tabs>
          <w:tab w:val="num" w:pos="2880"/>
        </w:tabs>
        <w:ind w:left="2880" w:hanging="360"/>
      </w:pPr>
      <w:rPr>
        <w:rFonts w:ascii="Arial" w:hAnsi="Arial" w:hint="default"/>
      </w:rPr>
    </w:lvl>
    <w:lvl w:ilvl="4" w:tplc="33CA1E00" w:tentative="1">
      <w:start w:val="1"/>
      <w:numFmt w:val="bullet"/>
      <w:lvlText w:val="•"/>
      <w:lvlJc w:val="left"/>
      <w:pPr>
        <w:tabs>
          <w:tab w:val="num" w:pos="3600"/>
        </w:tabs>
        <w:ind w:left="3600" w:hanging="360"/>
      </w:pPr>
      <w:rPr>
        <w:rFonts w:ascii="Arial" w:hAnsi="Arial" w:hint="default"/>
      </w:rPr>
    </w:lvl>
    <w:lvl w:ilvl="5" w:tplc="4BF46240" w:tentative="1">
      <w:start w:val="1"/>
      <w:numFmt w:val="bullet"/>
      <w:lvlText w:val="•"/>
      <w:lvlJc w:val="left"/>
      <w:pPr>
        <w:tabs>
          <w:tab w:val="num" w:pos="4320"/>
        </w:tabs>
        <w:ind w:left="4320" w:hanging="360"/>
      </w:pPr>
      <w:rPr>
        <w:rFonts w:ascii="Arial" w:hAnsi="Arial" w:hint="default"/>
      </w:rPr>
    </w:lvl>
    <w:lvl w:ilvl="6" w:tplc="9258E3EA" w:tentative="1">
      <w:start w:val="1"/>
      <w:numFmt w:val="bullet"/>
      <w:lvlText w:val="•"/>
      <w:lvlJc w:val="left"/>
      <w:pPr>
        <w:tabs>
          <w:tab w:val="num" w:pos="5040"/>
        </w:tabs>
        <w:ind w:left="5040" w:hanging="360"/>
      </w:pPr>
      <w:rPr>
        <w:rFonts w:ascii="Arial" w:hAnsi="Arial" w:hint="default"/>
      </w:rPr>
    </w:lvl>
    <w:lvl w:ilvl="7" w:tplc="26085134" w:tentative="1">
      <w:start w:val="1"/>
      <w:numFmt w:val="bullet"/>
      <w:lvlText w:val="•"/>
      <w:lvlJc w:val="left"/>
      <w:pPr>
        <w:tabs>
          <w:tab w:val="num" w:pos="5760"/>
        </w:tabs>
        <w:ind w:left="5760" w:hanging="360"/>
      </w:pPr>
      <w:rPr>
        <w:rFonts w:ascii="Arial" w:hAnsi="Arial" w:hint="default"/>
      </w:rPr>
    </w:lvl>
    <w:lvl w:ilvl="8" w:tplc="C128AF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D212995"/>
    <w:multiLevelType w:val="multilevel"/>
    <w:tmpl w:val="FA067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390A90"/>
    <w:multiLevelType w:val="hybridMultilevel"/>
    <w:tmpl w:val="990AC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98C7EDA"/>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919"/>
    <w:rsid w:val="00033A3D"/>
    <w:rsid w:val="00114B1E"/>
    <w:rsid w:val="00160BB5"/>
    <w:rsid w:val="001F3919"/>
    <w:rsid w:val="00210FE5"/>
    <w:rsid w:val="00340FB1"/>
    <w:rsid w:val="00531EFE"/>
    <w:rsid w:val="0072445E"/>
    <w:rsid w:val="007B55E2"/>
    <w:rsid w:val="00830B1E"/>
    <w:rsid w:val="008509BF"/>
    <w:rsid w:val="00871A8C"/>
    <w:rsid w:val="00940CE3"/>
    <w:rsid w:val="009D2F12"/>
    <w:rsid w:val="00CF0863"/>
    <w:rsid w:val="00D621D2"/>
    <w:rsid w:val="00E22885"/>
    <w:rsid w:val="00E23347"/>
    <w:rsid w:val="00E94C21"/>
    <w:rsid w:val="00E9651A"/>
    <w:rsid w:val="00EE34C7"/>
    <w:rsid w:val="00F421BD"/>
    <w:rsid w:val="00F77C94"/>
    <w:rsid w:val="00F91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26A1"/>
  <w15:chartTrackingRefBased/>
  <w15:docId w15:val="{0DCEB3E7-746E-474B-9BC3-C9A60308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0B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SUPER"/>
    <w:basedOn w:val="Domylnaczcionkaakapitu"/>
    <w:rsid w:val="00830B1E"/>
    <w:rPr>
      <w:rFonts w:cs="Times New Roman"/>
      <w:vertAlign w:val="superscript"/>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Znak,fn,footnote text"/>
    <w:basedOn w:val="Normalny"/>
    <w:link w:val="TekstprzypisudolnegoZnak"/>
    <w:uiPriority w:val="99"/>
    <w:unhideWhenUsed/>
    <w:rsid w:val="00830B1E"/>
    <w:pPr>
      <w:spacing w:after="0" w:line="240" w:lineRule="auto"/>
    </w:pPr>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uiPriority w:val="99"/>
    <w:rsid w:val="00830B1E"/>
    <w:rPr>
      <w:sz w:val="20"/>
      <w:szCs w:val="20"/>
    </w:rPr>
  </w:style>
  <w:style w:type="paragraph" w:styleId="Tekstkomentarza">
    <w:name w:val="annotation text"/>
    <w:basedOn w:val="Normalny"/>
    <w:link w:val="TekstkomentarzaZnak"/>
    <w:uiPriority w:val="99"/>
    <w:semiHidden/>
    <w:unhideWhenUsed/>
    <w:rsid w:val="00830B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B1E"/>
    <w:rPr>
      <w:sz w:val="20"/>
      <w:szCs w:val="20"/>
    </w:rPr>
  </w:style>
  <w:style w:type="character" w:styleId="Odwoaniedokomentarza">
    <w:name w:val="annotation reference"/>
    <w:basedOn w:val="Domylnaczcionkaakapitu"/>
    <w:uiPriority w:val="99"/>
    <w:semiHidden/>
    <w:unhideWhenUsed/>
    <w:rsid w:val="00830B1E"/>
    <w:rPr>
      <w:sz w:val="16"/>
      <w:szCs w:val="16"/>
    </w:rPr>
  </w:style>
  <w:style w:type="paragraph" w:styleId="NormalnyWeb">
    <w:name w:val="Normal (Web)"/>
    <w:basedOn w:val="Normalny"/>
    <w:uiPriority w:val="99"/>
    <w:semiHidden/>
    <w:unhideWhenUsed/>
    <w:rsid w:val="00160BB5"/>
    <w:pPr>
      <w:spacing w:before="100" w:beforeAutospacing="1" w:after="100" w:afterAutospacing="1" w:line="240" w:lineRule="auto"/>
    </w:pPr>
    <w:rPr>
      <w:rFonts w:ascii="Calibri" w:hAnsi="Calibri" w:cs="Calibri"/>
      <w:lang w:eastAsia="pl-PL"/>
    </w:rPr>
  </w:style>
  <w:style w:type="character" w:styleId="Pogrubienie">
    <w:name w:val="Strong"/>
    <w:basedOn w:val="Domylnaczcionkaakapitu"/>
    <w:uiPriority w:val="22"/>
    <w:qFormat/>
    <w:rsid w:val="00160BB5"/>
    <w:rPr>
      <w:b/>
      <w:bCs/>
    </w:rPr>
  </w:style>
  <w:style w:type="paragraph" w:styleId="Akapitzlist">
    <w:name w:val="List Paragraph"/>
    <w:aliases w:val="Numerowanie,maz_wyliczenie,opis dzialania,K-P_odwolanie,A_wyliczenie,Akapit z listą5CxSpLast,Akapit z listą5,Tekst punktowanie,BulletC,Akapit z listą 1,Table of contents numbered,sw tekst,Kolorowa lista — akcent 11,Akapit z listą BS"/>
    <w:basedOn w:val="Normalny"/>
    <w:link w:val="AkapitzlistZnak"/>
    <w:uiPriority w:val="34"/>
    <w:qFormat/>
    <w:rsid w:val="00CF0863"/>
    <w:pPr>
      <w:ind w:left="720"/>
      <w:contextualSpacing/>
    </w:pPr>
  </w:style>
  <w:style w:type="paragraph" w:styleId="Tematkomentarza">
    <w:name w:val="annotation subject"/>
    <w:basedOn w:val="Tekstkomentarza"/>
    <w:next w:val="Tekstkomentarza"/>
    <w:link w:val="TematkomentarzaZnak"/>
    <w:uiPriority w:val="99"/>
    <w:semiHidden/>
    <w:unhideWhenUsed/>
    <w:rsid w:val="008509BF"/>
    <w:rPr>
      <w:b/>
      <w:bCs/>
    </w:rPr>
  </w:style>
  <w:style w:type="character" w:customStyle="1" w:styleId="TematkomentarzaZnak">
    <w:name w:val="Temat komentarza Znak"/>
    <w:basedOn w:val="TekstkomentarzaZnak"/>
    <w:link w:val="Tematkomentarza"/>
    <w:uiPriority w:val="99"/>
    <w:semiHidden/>
    <w:rsid w:val="008509BF"/>
    <w:rPr>
      <w:b/>
      <w:bCs/>
      <w:sz w:val="20"/>
      <w:szCs w:val="20"/>
    </w:rPr>
  </w:style>
  <w:style w:type="character" w:customStyle="1" w:styleId="AkapitzlistZnak">
    <w:name w:val="Akapit z listą Znak"/>
    <w:aliases w:val="Numerowanie Znak,maz_wyliczenie Znak,opis dzialania Znak,K-P_odwolanie Znak,A_wyliczenie Znak,Akapit z listą5CxSpLast Znak,Akapit z listą5 Znak,Tekst punktowanie Znak,BulletC Znak,Akapit z listą 1 Znak,Table of contents numbered Znak"/>
    <w:basedOn w:val="Domylnaczcionkaakapitu"/>
    <w:link w:val="Akapitzlist"/>
    <w:uiPriority w:val="34"/>
    <w:qFormat/>
    <w:locked/>
    <w:rsid w:val="00F4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5621">
      <w:bodyDiv w:val="1"/>
      <w:marLeft w:val="0"/>
      <w:marRight w:val="0"/>
      <w:marTop w:val="0"/>
      <w:marBottom w:val="0"/>
      <w:divBdr>
        <w:top w:val="none" w:sz="0" w:space="0" w:color="auto"/>
        <w:left w:val="none" w:sz="0" w:space="0" w:color="auto"/>
        <w:bottom w:val="none" w:sz="0" w:space="0" w:color="auto"/>
        <w:right w:val="none" w:sz="0" w:space="0" w:color="auto"/>
      </w:divBdr>
      <w:divsChild>
        <w:div w:id="1569926201">
          <w:marLeft w:val="547"/>
          <w:marRight w:val="0"/>
          <w:marTop w:val="200"/>
          <w:marBottom w:val="0"/>
          <w:divBdr>
            <w:top w:val="none" w:sz="0" w:space="0" w:color="auto"/>
            <w:left w:val="none" w:sz="0" w:space="0" w:color="auto"/>
            <w:bottom w:val="none" w:sz="0" w:space="0" w:color="auto"/>
            <w:right w:val="none" w:sz="0" w:space="0" w:color="auto"/>
          </w:divBdr>
        </w:div>
      </w:divsChild>
    </w:div>
    <w:div w:id="754941358">
      <w:bodyDiv w:val="1"/>
      <w:marLeft w:val="0"/>
      <w:marRight w:val="0"/>
      <w:marTop w:val="0"/>
      <w:marBottom w:val="0"/>
      <w:divBdr>
        <w:top w:val="none" w:sz="0" w:space="0" w:color="auto"/>
        <w:left w:val="none" w:sz="0" w:space="0" w:color="auto"/>
        <w:bottom w:val="none" w:sz="0" w:space="0" w:color="auto"/>
        <w:right w:val="none" w:sz="0" w:space="0" w:color="auto"/>
      </w:divBdr>
    </w:div>
    <w:div w:id="1129058286">
      <w:bodyDiv w:val="1"/>
      <w:marLeft w:val="0"/>
      <w:marRight w:val="0"/>
      <w:marTop w:val="0"/>
      <w:marBottom w:val="0"/>
      <w:divBdr>
        <w:top w:val="none" w:sz="0" w:space="0" w:color="auto"/>
        <w:left w:val="none" w:sz="0" w:space="0" w:color="auto"/>
        <w:bottom w:val="none" w:sz="0" w:space="0" w:color="auto"/>
        <w:right w:val="none" w:sz="0" w:space="0" w:color="auto"/>
      </w:divBdr>
    </w:div>
    <w:div w:id="1589459716">
      <w:bodyDiv w:val="1"/>
      <w:marLeft w:val="0"/>
      <w:marRight w:val="0"/>
      <w:marTop w:val="0"/>
      <w:marBottom w:val="0"/>
      <w:divBdr>
        <w:top w:val="none" w:sz="0" w:space="0" w:color="auto"/>
        <w:left w:val="none" w:sz="0" w:space="0" w:color="auto"/>
        <w:bottom w:val="none" w:sz="0" w:space="0" w:color="auto"/>
        <w:right w:val="none" w:sz="0" w:space="0" w:color="auto"/>
      </w:divBdr>
      <w:divsChild>
        <w:div w:id="315844214">
          <w:marLeft w:val="360"/>
          <w:marRight w:val="0"/>
          <w:marTop w:val="120"/>
          <w:marBottom w:val="120"/>
          <w:divBdr>
            <w:top w:val="none" w:sz="0" w:space="0" w:color="auto"/>
            <w:left w:val="none" w:sz="0" w:space="0" w:color="auto"/>
            <w:bottom w:val="none" w:sz="0" w:space="0" w:color="auto"/>
            <w:right w:val="none" w:sz="0" w:space="0" w:color="auto"/>
          </w:divBdr>
        </w:div>
      </w:divsChild>
    </w:div>
    <w:div w:id="1603226380">
      <w:bodyDiv w:val="1"/>
      <w:marLeft w:val="0"/>
      <w:marRight w:val="0"/>
      <w:marTop w:val="0"/>
      <w:marBottom w:val="0"/>
      <w:divBdr>
        <w:top w:val="none" w:sz="0" w:space="0" w:color="auto"/>
        <w:left w:val="none" w:sz="0" w:space="0" w:color="auto"/>
        <w:bottom w:val="none" w:sz="0" w:space="0" w:color="auto"/>
        <w:right w:val="none" w:sz="0" w:space="0" w:color="auto"/>
      </w:divBdr>
    </w:div>
    <w:div w:id="18945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3361</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Kądziela Hanna</dc:creator>
  <cp:keywords/>
  <dc:description/>
  <cp:lastModifiedBy>Kowalska Nina</cp:lastModifiedBy>
  <cp:revision>2</cp:revision>
  <dcterms:created xsi:type="dcterms:W3CDTF">2023-09-11T09:05:00Z</dcterms:created>
  <dcterms:modified xsi:type="dcterms:W3CDTF">2023-09-11T09:05:00Z</dcterms:modified>
</cp:coreProperties>
</file>