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7F3C" w14:textId="77777777" w:rsidR="00B205B8" w:rsidRDefault="00B205B8" w:rsidP="00B205B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2"/>
      <w:bookmarkStart w:id="1" w:name="_Toc441241801"/>
      <w:r w:rsidRPr="00B3081B">
        <w:rPr>
          <w:noProof/>
        </w:rPr>
        <w:drawing>
          <wp:inline distT="0" distB="0" distL="0" distR="0" wp14:anchorId="4932FB7C" wp14:editId="43E6975E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F1A5" w14:textId="77777777" w:rsidR="000D1A91" w:rsidRPr="0018044E" w:rsidRDefault="000D1A91" w:rsidP="000C4D0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1 - Tabela transpozycji PI na działania/ poddziałania w poszczególnych osiach priorytetowych</w:t>
      </w:r>
      <w:bookmarkEnd w:id="0"/>
      <w:bookmarkEnd w:id="1"/>
    </w:p>
    <w:tbl>
      <w:tblPr>
        <w:tblW w:w="5000" w:type="pct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łacznik 1 do Szczegółowego Opisu Osi Priorytetowych"/>
        <w:tblDescription w:val="Tabela transpozycji Priorytetów Inwestycyjnych na działania/poddziałania w poszczególnych osiach priorytetowych zawiera: nazwę osi proiorytetowej, nr działania, nazwę działania nr poddziałania, nazwę poddziałania, cel tematyczny i priorytet tematyczny. "/>
      </w:tblPr>
      <w:tblGrid>
        <w:gridCol w:w="1808"/>
        <w:gridCol w:w="1022"/>
        <w:gridCol w:w="1276"/>
        <w:gridCol w:w="1419"/>
        <w:gridCol w:w="1842"/>
        <w:gridCol w:w="1984"/>
        <w:gridCol w:w="4643"/>
      </w:tblGrid>
      <w:tr w:rsidR="00DA33B1" w:rsidRPr="00C318FB" w14:paraId="4C7108FA" w14:textId="77777777" w:rsidTr="005E6F5D">
        <w:trPr>
          <w:trHeight w:val="720"/>
          <w:tblHeader/>
        </w:trPr>
        <w:tc>
          <w:tcPr>
            <w:tcW w:w="646" w:type="pct"/>
            <w:shd w:val="clear" w:color="000000" w:fill="E5E0EC"/>
            <w:vAlign w:val="center"/>
            <w:hideMark/>
          </w:tcPr>
          <w:p w14:paraId="131A20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 Priorytetowa</w:t>
            </w:r>
          </w:p>
        </w:tc>
        <w:tc>
          <w:tcPr>
            <w:tcW w:w="365" w:type="pct"/>
            <w:shd w:val="clear" w:color="000000" w:fill="E5E0EC"/>
            <w:vAlign w:val="center"/>
            <w:hideMark/>
          </w:tcPr>
          <w:p w14:paraId="6C5A0A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456" w:type="pct"/>
            <w:shd w:val="clear" w:color="000000" w:fill="E5E0EC"/>
            <w:vAlign w:val="center"/>
            <w:hideMark/>
          </w:tcPr>
          <w:p w14:paraId="5563E0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07" w:type="pct"/>
            <w:shd w:val="clear" w:color="000000" w:fill="E5E0EC"/>
            <w:vAlign w:val="center"/>
            <w:hideMark/>
          </w:tcPr>
          <w:p w14:paraId="73A68E7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Poddziałania</w:t>
            </w:r>
          </w:p>
        </w:tc>
        <w:tc>
          <w:tcPr>
            <w:tcW w:w="658" w:type="pct"/>
            <w:shd w:val="clear" w:color="000000" w:fill="E5E0EC"/>
            <w:vAlign w:val="center"/>
            <w:hideMark/>
          </w:tcPr>
          <w:p w14:paraId="57B5552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Poddziałania</w:t>
            </w:r>
          </w:p>
        </w:tc>
        <w:tc>
          <w:tcPr>
            <w:tcW w:w="709" w:type="pct"/>
            <w:shd w:val="clear" w:color="000000" w:fill="E5E0EC"/>
            <w:vAlign w:val="center"/>
            <w:hideMark/>
          </w:tcPr>
          <w:p w14:paraId="628FDFC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tematyczny</w:t>
            </w:r>
          </w:p>
        </w:tc>
        <w:tc>
          <w:tcPr>
            <w:tcW w:w="1659" w:type="pct"/>
            <w:shd w:val="clear" w:color="000000" w:fill="E5E0EC"/>
            <w:vAlign w:val="center"/>
            <w:hideMark/>
          </w:tcPr>
          <w:p w14:paraId="4488BAB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inwestycyjny</w:t>
            </w:r>
          </w:p>
        </w:tc>
      </w:tr>
      <w:tr w:rsidR="00DA33B1" w:rsidRPr="00C318FB" w14:paraId="74E2D5F7" w14:textId="77777777" w:rsidTr="005E6F5D">
        <w:trPr>
          <w:trHeight w:val="102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7245A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Wykorzystanie działalności badawczo-rozwojowej w gospodarce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5E5C6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B045DA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jednostek naukowych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18991FB" w14:textId="77777777" w:rsidR="000D1A91" w:rsidRPr="00D4320A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5B21A8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1CAFBC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Wzmacnianie badań naukowych, rozwoju technologicznego i innowacji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CD6BB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Udoskonalanie infrastruktury B+I i zwiększanie zdolności do osiągnięcia doskonałości w zakresie B+I oraz wspieranie ośrodków kompetencji, w szczególności tych, które leżą w interesie Europy</w:t>
            </w:r>
          </w:p>
        </w:tc>
      </w:tr>
      <w:tr w:rsidR="00DA33B1" w:rsidRPr="00C318FB" w14:paraId="46E9E2CC" w14:textId="77777777" w:rsidTr="005E6F5D">
        <w:trPr>
          <w:trHeight w:val="1110"/>
        </w:trPr>
        <w:tc>
          <w:tcPr>
            <w:tcW w:w="646" w:type="pct"/>
            <w:vMerge/>
            <w:vAlign w:val="center"/>
            <w:hideMark/>
          </w:tcPr>
          <w:p w14:paraId="3D3749B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D1485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750193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przedsiębiorstw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E432AB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7B787BDF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8350B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5FC9B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w szczególności w dziedzinie kluczowych technologii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wspomagających, oraz rozpowszechnianie technologii o ogólnym przeznaczeniu</w:t>
            </w:r>
          </w:p>
        </w:tc>
      </w:tr>
      <w:tr w:rsidR="00DA33B1" w:rsidRPr="00C318FB" w14:paraId="596B4FDB" w14:textId="77777777" w:rsidTr="005E6F5D">
        <w:trPr>
          <w:trHeight w:val="870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15AE78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II Wzrost e-potencjału Mazowsza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613EE5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4E430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E-usługi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126BA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3AB7F47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E29CE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Zwiększanie dostępności, stopnia wykorzystania i jakości technologii informacyjnych i komunikacyjnych (TIK)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4DEFBB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zastosowań TIK dla e-administracji, e-uczenia się, e-włączenia społecznego, e-kultury i e-zdrowia</w:t>
            </w:r>
          </w:p>
        </w:tc>
      </w:tr>
      <w:tr w:rsidR="00DA33B1" w:rsidRPr="00C318FB" w14:paraId="543ABDDC" w14:textId="77777777" w:rsidTr="005E6F5D">
        <w:trPr>
          <w:trHeight w:val="870"/>
        </w:trPr>
        <w:tc>
          <w:tcPr>
            <w:tcW w:w="646" w:type="pct"/>
            <w:vMerge/>
            <w:vAlign w:val="center"/>
            <w:hideMark/>
          </w:tcPr>
          <w:p w14:paraId="04E35D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17862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277F0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5E702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8011CB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1DB6D02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95D1D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B54FFB" w14:textId="77777777" w:rsidTr="005E6F5D">
        <w:trPr>
          <w:trHeight w:val="51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92906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III Rozwój potencjału innowacyjnego i przedsiębiorczości 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DBB172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D73717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Poprawa rozwoju MŚP na Mazowszu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D463E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F0888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 w ramach ZIT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566A7C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Wzmacnianie konkurencyjności małych i średnich przedsiębiorstw (MŚP)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E3F19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przedsiębiorczości, w szczególności poprzez ułatwianie gospodarczego wykorzystywania nowych pomysłów oraz sprzyjanie tworzeniu nowych firm, w tym również poprze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inkubatory przedsiębiorczości</w:t>
            </w:r>
          </w:p>
        </w:tc>
      </w:tr>
      <w:tr w:rsidR="00DA33B1" w:rsidRPr="00C318FB" w14:paraId="2B0699EE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17C9FD1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AFE4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807CB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0AC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E10423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</w:t>
            </w:r>
          </w:p>
        </w:tc>
        <w:tc>
          <w:tcPr>
            <w:tcW w:w="709" w:type="pct"/>
            <w:vMerge/>
            <w:vAlign w:val="center"/>
            <w:hideMark/>
          </w:tcPr>
          <w:p w14:paraId="40C874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653486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68EE1D6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74BFBB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90403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2A0FE08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MŚP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E25222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FFFCC"/>
            <w:vAlign w:val="center"/>
          </w:tcPr>
          <w:p w14:paraId="319C62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77D85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6534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Opracowywanie i wdrażanie nowych modeli biznesowych dla MŚP, w szczególności w celu umiędzynarodowienia</w:t>
            </w:r>
          </w:p>
        </w:tc>
      </w:tr>
      <w:tr w:rsidR="00DA33B1" w:rsidRPr="00C318FB" w14:paraId="19B21DC6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027A99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46067C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17AC6D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2B0CC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495429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przedsiębiorstw</w:t>
            </w:r>
          </w:p>
        </w:tc>
        <w:tc>
          <w:tcPr>
            <w:tcW w:w="709" w:type="pct"/>
            <w:vMerge/>
            <w:vAlign w:val="center"/>
            <w:hideMark/>
          </w:tcPr>
          <w:p w14:paraId="0D29A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1F5B1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7215F3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612CFFC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65D871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D14DC6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w MŚP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58C4E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1C865EBC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9ED081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55C6A9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tworzenia i poszerzania zaawansowanych zdolności w zakresie rozwoju produktów i usług</w:t>
            </w:r>
          </w:p>
        </w:tc>
      </w:tr>
      <w:tr w:rsidR="00DA33B1" w:rsidRPr="00C318FB" w14:paraId="0C0A89D0" w14:textId="77777777" w:rsidTr="005E6F5D">
        <w:trPr>
          <w:trHeight w:val="795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04C0BEC2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Przejście na gospodarkę niskoemisyjną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62C3C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74FDCF6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Odnawialne źródła energii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480ABD72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hideMark/>
          </w:tcPr>
          <w:p w14:paraId="5F129135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599371" w14:textId="77777777" w:rsidR="008A27BA" w:rsidRPr="00C318FB" w:rsidRDefault="008A27BA" w:rsidP="008A27BA">
            <w:pPr>
              <w:spacing w:after="24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Wspieranie przejścia na gospodarkę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niskoemisyjną we wszystkich sektorach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157A3331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wytwarzania i dystrybucji energii pochodzącej ze źródeł odnawialnych</w:t>
            </w:r>
          </w:p>
        </w:tc>
      </w:tr>
      <w:tr w:rsidR="00DA33B1" w:rsidRPr="00C318FB" w14:paraId="256B134B" w14:textId="77777777" w:rsidTr="005E6F5D">
        <w:trPr>
          <w:trHeight w:val="1200"/>
        </w:trPr>
        <w:tc>
          <w:tcPr>
            <w:tcW w:w="646" w:type="pct"/>
            <w:vMerge/>
            <w:vAlign w:val="center"/>
            <w:hideMark/>
          </w:tcPr>
          <w:p w14:paraId="0B55AE15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0413F9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447F2813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5D313B0A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hideMark/>
          </w:tcPr>
          <w:p w14:paraId="44B2DC2E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CB5999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7DD3121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efektywności energetycznej, inteligentnego zarządzania energią i wykorzystywania odnawialnych źródeł energii w budynkach publicznych i w sektorze mieszkaniowym</w:t>
            </w:r>
          </w:p>
        </w:tc>
      </w:tr>
      <w:tr w:rsidR="00DA33B1" w:rsidRPr="00C318FB" w14:paraId="527D2F34" w14:textId="77777777" w:rsidTr="005E6F5D">
        <w:trPr>
          <w:trHeight w:val="750"/>
        </w:trPr>
        <w:tc>
          <w:tcPr>
            <w:tcW w:w="646" w:type="pct"/>
            <w:vMerge/>
            <w:vAlign w:val="center"/>
            <w:hideMark/>
          </w:tcPr>
          <w:p w14:paraId="17CFEA9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1E68054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79FBE9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Redukcja emisji zanieczyszczeń powietrza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5EED4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2C2DC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Ograniczanie zanieczyszczeń powietrza i rozwój mobilności miejskiej</w:t>
            </w:r>
          </w:p>
        </w:tc>
        <w:tc>
          <w:tcPr>
            <w:tcW w:w="709" w:type="pct"/>
            <w:vMerge/>
            <w:vAlign w:val="center"/>
            <w:hideMark/>
          </w:tcPr>
          <w:p w14:paraId="689A63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EF90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4e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strategii niskoemisyjnych dla wszystkich rodzajów terytoriów, w szczególności dla obszarów miejskich, w tym wspieranie zrównoważonej multimodalnej mobilności miejskiej i działań adaptacyjnych mających oddziaływanie łagodzące na zmiany klimatu.</w:t>
            </w:r>
          </w:p>
        </w:tc>
      </w:tr>
      <w:tr w:rsidR="00DA33B1" w:rsidRPr="00C318FB" w14:paraId="77CA4D8E" w14:textId="77777777" w:rsidTr="005E6F5D">
        <w:trPr>
          <w:trHeight w:val="690"/>
        </w:trPr>
        <w:tc>
          <w:tcPr>
            <w:tcW w:w="646" w:type="pct"/>
            <w:vMerge/>
            <w:vAlign w:val="center"/>
            <w:hideMark/>
          </w:tcPr>
          <w:p w14:paraId="2788BC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3C0C9D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60AFE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C9380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877C07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Mobilność miejska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51F26D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21D3E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72E1135" w14:textId="77777777" w:rsidTr="005E6F5D">
        <w:trPr>
          <w:trHeight w:val="16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0E33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 Gospodarka przyjazna środowisku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6D00E9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56CD6F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do zmian klimatu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2286EA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0428D43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D62A8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Promowanie dostosowania do zmiany klimatu, zapobiegania ryzyku 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zarządzania ryzykiem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CEE25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inwestycji ukierunkowanych na konkretne rodzaje zagrożeń, przy jednoczesnym zwiększeniu odporności na klęski i katastrofy i rozwijaniu systemów zarządzania klęskami i katastrofami</w:t>
            </w:r>
          </w:p>
        </w:tc>
      </w:tr>
      <w:tr w:rsidR="00DA33B1" w:rsidRPr="00C318FB" w14:paraId="1E0EAD85" w14:textId="77777777" w:rsidTr="005E6F5D">
        <w:trPr>
          <w:trHeight w:val="1005"/>
        </w:trPr>
        <w:tc>
          <w:tcPr>
            <w:tcW w:w="646" w:type="pct"/>
            <w:vMerge/>
            <w:vAlign w:val="center"/>
            <w:hideMark/>
          </w:tcPr>
          <w:p w14:paraId="5D56D3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70C20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575546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7D7F822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B02B1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4471076A" w14:textId="77777777" w:rsidR="000D1A91" w:rsidRPr="00C318FB" w:rsidRDefault="009A3C76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Zachowanie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ochrona środowiska naturalnego oraz promowanie efektywnego gospodarowania zasobami 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F3637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Inwestowanie w sektor gospodarki odpadami celem wypełnienia zobowiązań określonych w dorobku prawnym Unii w zakresie środowiska oraz zaspokojenia wykraczających poza te zobowiązania potrzeb inwestycyjnych określonych przez państwa członkowskie</w:t>
            </w:r>
          </w:p>
        </w:tc>
      </w:tr>
      <w:tr w:rsidR="00DA33B1" w:rsidRPr="00C318FB" w14:paraId="738C45AC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4237B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038EE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332CE6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C9BCA94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5FB77046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B5B05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DEDB6D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Zachowanie, ochrona, promowanie i rozwój dziedzictwa naturalnego i kulturowego</w:t>
            </w:r>
          </w:p>
        </w:tc>
      </w:tr>
      <w:tr w:rsidR="00DA33B1" w:rsidRPr="00C318FB" w14:paraId="01491BBB" w14:textId="77777777" w:rsidTr="005E6F5D">
        <w:trPr>
          <w:trHeight w:val="1035"/>
        </w:trPr>
        <w:tc>
          <w:tcPr>
            <w:tcW w:w="646" w:type="pct"/>
            <w:vMerge/>
            <w:vAlign w:val="center"/>
            <w:hideMark/>
          </w:tcPr>
          <w:p w14:paraId="6759C3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99DD02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64816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bioróżnorodności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85CA6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5B39AA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40D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0964E5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Ochrona i przywrócenie różnorodności biologicznej, ochrona i rekultywacja gleby oraz wspieranie usług ekosystemowych, także poprzez program „Natura 2000” i zieloną infrastrukturę </w:t>
            </w:r>
          </w:p>
        </w:tc>
      </w:tr>
      <w:tr w:rsidR="00DA33B1" w:rsidRPr="00C318FB" w14:paraId="31627D10" w14:textId="77777777" w:rsidTr="005E6F5D">
        <w:trPr>
          <w:trHeight w:val="11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B9958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 Jakość życia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6A9FF30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2AF9ACB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Infrastruktura ochrony zdrowia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5D24D18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6FE4420B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2C6A64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z ubóstwem i wszelką dyskryminacją 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9E56BB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A33B1" w:rsidRPr="00C318FB" w14:paraId="2B53699F" w14:textId="77777777" w:rsidTr="005E6F5D">
        <w:trPr>
          <w:trHeight w:val="1155"/>
        </w:trPr>
        <w:tc>
          <w:tcPr>
            <w:tcW w:w="646" w:type="pct"/>
            <w:vMerge/>
            <w:vAlign w:val="center"/>
            <w:hideMark/>
          </w:tcPr>
          <w:p w14:paraId="2A649506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FB5C238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AE8E3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obszarów zmarginalizowanych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371E9D0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423A53C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86AC03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781D84A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Wspieranie rewitalizacji fizycznej, gospodarczej i społecznej ubogich społeczności na obszarach miejskich i wiejskich </w:t>
            </w:r>
          </w:p>
        </w:tc>
      </w:tr>
      <w:tr w:rsidR="00DA33B1" w:rsidRPr="00C318FB" w14:paraId="04D3CE8D" w14:textId="77777777" w:rsidTr="005E6F5D">
        <w:trPr>
          <w:trHeight w:val="1155"/>
        </w:trPr>
        <w:tc>
          <w:tcPr>
            <w:tcW w:w="646" w:type="pct"/>
            <w:vMerge/>
            <w:vAlign w:val="center"/>
          </w:tcPr>
          <w:p w14:paraId="3A07D154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8F651D1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CAD91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ochrony zdrowia w ramach ZIT w związku z epidemią COVID-19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B9552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2F2F2"/>
            <w:noWrap/>
            <w:vAlign w:val="center"/>
          </w:tcPr>
          <w:p w14:paraId="4604E73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</w:tcPr>
          <w:p w14:paraId="4527740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59B608D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9a </w:t>
            </w:r>
            <w:r w:rsidRPr="006D0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</w:p>
        </w:tc>
      </w:tr>
      <w:tr w:rsidR="00DA33B1" w:rsidRPr="00C318FB" w14:paraId="6C13213F" w14:textId="77777777" w:rsidTr="005E6F5D">
        <w:trPr>
          <w:trHeight w:val="97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CA7BC1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VII Rozwój regionalnego systemu transportowego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9E748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18DCB1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drogowa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6581182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2487DD7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0B4713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0B1478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Zwiększanie mobilności regionalnej poprzez łączenie węzłów drugorzędnych i trzeciorzędnych z infrastrukturą TEN-T, w tym z węzłami multimodalnymi</w:t>
            </w:r>
          </w:p>
        </w:tc>
      </w:tr>
      <w:tr w:rsidR="00DA33B1" w:rsidRPr="00C318FB" w14:paraId="553C0499" w14:textId="77777777" w:rsidTr="005E6F5D">
        <w:trPr>
          <w:trHeight w:val="1125"/>
        </w:trPr>
        <w:tc>
          <w:tcPr>
            <w:tcW w:w="646" w:type="pct"/>
            <w:vMerge/>
            <w:vAlign w:val="center"/>
            <w:hideMark/>
          </w:tcPr>
          <w:p w14:paraId="34EF681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5F7944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4A43C0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kolejowa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43EB3B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481732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52BB32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884AF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rozwój i rehabilitacja kompleksowych, wysokiej jakości i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interoperacyjnych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systemów transportu kolejowego oraz propagowanie działań służących zmniejszeniu hałasu</w:t>
            </w:r>
          </w:p>
        </w:tc>
      </w:tr>
      <w:tr w:rsidR="00DA33B1" w:rsidRPr="00C318FB" w14:paraId="6931B9B2" w14:textId="77777777" w:rsidTr="005E6F5D">
        <w:trPr>
          <w:trHeight w:val="85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8945F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Rozwój rynku pracy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F4EBD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0ACF4355" w14:textId="504FFCE4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bezrobotnych przez PUP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przeciwdziałani</w:t>
            </w:r>
            <w:r w:rsidR="0018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skutkom epidemii COVID-19</w:t>
            </w:r>
          </w:p>
        </w:tc>
        <w:tc>
          <w:tcPr>
            <w:tcW w:w="507" w:type="pct"/>
            <w:vMerge w:val="restart"/>
            <w:shd w:val="clear" w:color="000000" w:fill="F2F2F2"/>
            <w:noWrap/>
            <w:vAlign w:val="center"/>
            <w:hideMark/>
          </w:tcPr>
          <w:p w14:paraId="4C56D13F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vMerge w:val="restart"/>
            <w:shd w:val="clear" w:color="000000" w:fill="F2F2F2"/>
            <w:vAlign w:val="center"/>
            <w:hideMark/>
          </w:tcPr>
          <w:p w14:paraId="39A62EA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758DBE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Promowanie trwałego i wysokiej jakości zatrudnienia oraz wsparcie mobilności pracowników 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6F8932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Dostęp do zatrudnienia dla osób poszukujących pracy i osób biernych zawodowo, w tym długotrwale bezrobotnych oraz oddalonych od rynku pracy, także poprzez lokalne inicjatywy na rzecz zatrudnienia oraz wspieranie mobilności pracowników </w:t>
            </w:r>
          </w:p>
        </w:tc>
      </w:tr>
      <w:tr w:rsidR="00DA33B1" w:rsidRPr="00C318FB" w14:paraId="3DC25FD8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33ADD7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F4084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928C6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0C5C69F9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05A22DD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2CF854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DE0A26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9137010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64E3BD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FFA32D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456" w:type="pct"/>
            <w:shd w:val="clear" w:color="000000" w:fill="FFFFCC"/>
            <w:vAlign w:val="bottom"/>
            <w:hideMark/>
          </w:tcPr>
          <w:p w14:paraId="0C7D6B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nieaktywnych zawodowo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281933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7FFA751B" w14:textId="77777777" w:rsidR="000D1A91" w:rsidRPr="00E408F7" w:rsidRDefault="008A27BA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66B86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621C87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3DEE782" w14:textId="77777777" w:rsidTr="005E6F5D">
        <w:trPr>
          <w:trHeight w:val="945"/>
        </w:trPr>
        <w:tc>
          <w:tcPr>
            <w:tcW w:w="646" w:type="pct"/>
            <w:vMerge/>
            <w:vAlign w:val="center"/>
            <w:hideMark/>
          </w:tcPr>
          <w:p w14:paraId="79BF0DE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3185F7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7B67FDC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 osób sprawujących opiekę nad dziećmi do lat 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7F3D8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F68C2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</w:t>
            </w:r>
          </w:p>
        </w:tc>
        <w:tc>
          <w:tcPr>
            <w:tcW w:w="709" w:type="pct"/>
            <w:vMerge/>
            <w:vAlign w:val="center"/>
            <w:hideMark/>
          </w:tcPr>
          <w:p w14:paraId="60F4F42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30464C0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8iv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DA33B1" w:rsidRPr="00C318FB" w14:paraId="6DE36DD5" w14:textId="77777777" w:rsidTr="005E6F5D">
        <w:trPr>
          <w:trHeight w:val="1065"/>
        </w:trPr>
        <w:tc>
          <w:tcPr>
            <w:tcW w:w="646" w:type="pct"/>
            <w:vMerge/>
            <w:vAlign w:val="center"/>
            <w:hideMark/>
          </w:tcPr>
          <w:p w14:paraId="6964269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22949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501C46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000000" w:fill="FFFFFF"/>
            <w:noWrap/>
            <w:vAlign w:val="center"/>
            <w:hideMark/>
          </w:tcPr>
          <w:p w14:paraId="6FD83E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5F56A1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Ułatwianie powrotu do aktywności zawodowej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42F4E4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F3C5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0644E2A" w14:textId="77777777" w:rsidTr="005E6F5D">
        <w:trPr>
          <w:trHeight w:val="13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8F98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 Wspieranie włączenia społecznego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walka z ubóstwem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74BFAB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8DDC1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Aktywizacja społeczno-zawodowa osób wykluczonych i przeciwdziałanie wykluczeniu społecznemu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E5A091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3F1B9BC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1334A9A" w14:textId="77777777" w:rsidR="000D1A91" w:rsidRPr="00C318FB" w:rsidRDefault="006E5D8A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>z ubóstwem i wszelką dyskryminacją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7C1C9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Aktywne włączenie, w tym z myślą o promowaniu równych szans oraz aktywnego uczestnictwa i zwiększaniu szans na zatrudnienie </w:t>
            </w:r>
          </w:p>
        </w:tc>
      </w:tr>
      <w:tr w:rsidR="00DA33B1" w:rsidRPr="00C318FB" w14:paraId="77F76F4F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5317958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AD0F21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CE4AB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społeczne i usługi opieki zdrowotnej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A3C2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46FD6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społecznych</w:t>
            </w:r>
          </w:p>
        </w:tc>
        <w:tc>
          <w:tcPr>
            <w:tcW w:w="709" w:type="pct"/>
            <w:vMerge/>
            <w:vAlign w:val="center"/>
            <w:hideMark/>
          </w:tcPr>
          <w:p w14:paraId="617F89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4BC54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Ułatwianie dostępu do niedrogich, trwałych oraz wysokiej jakości usług, w tym opieki zdrowotnej i usług socjalnych świadczonych w interesie ogólnym</w:t>
            </w:r>
          </w:p>
        </w:tc>
      </w:tr>
      <w:tr w:rsidR="00DA33B1" w:rsidRPr="00C318FB" w14:paraId="24D62CAA" w14:textId="77777777" w:rsidTr="005E6F5D">
        <w:trPr>
          <w:trHeight w:val="630"/>
        </w:trPr>
        <w:tc>
          <w:tcPr>
            <w:tcW w:w="646" w:type="pct"/>
            <w:vMerge/>
            <w:vAlign w:val="center"/>
            <w:hideMark/>
          </w:tcPr>
          <w:p w14:paraId="6A7625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51971B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D0C880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CB040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B67579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zdrowotnych</w:t>
            </w:r>
          </w:p>
        </w:tc>
        <w:tc>
          <w:tcPr>
            <w:tcW w:w="709" w:type="pct"/>
            <w:vMerge/>
            <w:vAlign w:val="center"/>
            <w:hideMark/>
          </w:tcPr>
          <w:p w14:paraId="16971E4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E718A5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07094DE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477C3A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3DEB6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20FC5B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ekonomii społecznej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221489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1EB72EB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0A49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45949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przedsiębiorczości społecznej i integracji zawodowej w przedsiębiorstwach społecznych oraz ekonomii społecznej i solidarnej w celu ułatwiania dostępu do zatrudnienia </w:t>
            </w:r>
          </w:p>
        </w:tc>
      </w:tr>
      <w:tr w:rsidR="00DA33B1" w:rsidRPr="00C318FB" w14:paraId="37ACA912" w14:textId="77777777" w:rsidTr="005E6F5D">
        <w:trPr>
          <w:trHeight w:val="5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0BAAE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2CA7C7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B8BCA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i rozwój dzieci i młodzieży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EB85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10.1.1.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273F91D" w14:textId="77777777" w:rsidR="000D1A91" w:rsidRPr="00C318FB" w:rsidRDefault="000D1A91" w:rsidP="002056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Edukacja 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28C1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Inwestowanie w kształcenie, szkolenie oraz szkolenie zawodowe na rzecz zdobywania umiejętności i uczenia się przez całe życie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4492329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Ograniczenie i zapobieganie przedwczesnemu kończeniu nauki szkolnej oraz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zapewnianie równego dostępu do dobrej jakości wczesnej edukacji elementarnej oraz kształcenia podstawowego, gimnazjalnego i ponadgimnazjalnego, z uwzględnieniem formalnych, nieformalnych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pozaformalnych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ścieżek kształcenia umożliwiających ponowne podjęcie kształcenia i szkolenia </w:t>
            </w:r>
          </w:p>
        </w:tc>
      </w:tr>
      <w:tr w:rsidR="00DA33B1" w:rsidRPr="00C318FB" w14:paraId="48D8DBD3" w14:textId="77777777" w:rsidTr="005E6F5D">
        <w:trPr>
          <w:trHeight w:val="615"/>
        </w:trPr>
        <w:tc>
          <w:tcPr>
            <w:tcW w:w="646" w:type="pct"/>
            <w:vMerge/>
            <w:vAlign w:val="center"/>
            <w:hideMark/>
          </w:tcPr>
          <w:p w14:paraId="75DEF0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4CDA8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0CD33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44D9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B5059A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ogólna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348D16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39FE9C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B57505A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27607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50FFE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1197489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C8717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BB5CD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3891F2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52128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5C96EC7B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FB250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6C18D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A66C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72884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BE21E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przedszkolna</w:t>
            </w:r>
          </w:p>
        </w:tc>
        <w:tc>
          <w:tcPr>
            <w:tcW w:w="709" w:type="pct"/>
            <w:vMerge/>
            <w:vAlign w:val="center"/>
            <w:hideMark/>
          </w:tcPr>
          <w:p w14:paraId="6CB221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8BD2DE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30BDDFA1" w14:textId="77777777" w:rsidTr="005E6F5D">
        <w:trPr>
          <w:trHeight w:val="1290"/>
        </w:trPr>
        <w:tc>
          <w:tcPr>
            <w:tcW w:w="646" w:type="pct"/>
            <w:vMerge/>
            <w:vAlign w:val="center"/>
            <w:hideMark/>
          </w:tcPr>
          <w:p w14:paraId="24FB04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CE0BAB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468CA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Upowszechnianie kompetencji kluczowych wśród osób dorosłych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32A119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F263F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30F2C45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C6318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10iii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Wyrównywanie dostępu do uczenia się przez całe życie o charakterze formalnym, nieformalnym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pozaformalnym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wszystkich grup wiekowych, poszerzanie wiedzy, podnoszenie umiejętności i kompetencji siły roboczej oraz promowanie elastycznych ścieżek kształcenia, w tym poprzez doradztwo zawodowe i potwierdzanie nabytych kompetencji </w:t>
            </w:r>
          </w:p>
        </w:tc>
      </w:tr>
      <w:tr w:rsidR="00DA33B1" w:rsidRPr="00C318FB" w14:paraId="5E32514B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7F38FB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81094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F1FB6A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zawodowe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AFA8F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3F20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Doskonalenie zawodowe uczniów</w:t>
            </w:r>
          </w:p>
        </w:tc>
        <w:tc>
          <w:tcPr>
            <w:tcW w:w="709" w:type="pct"/>
            <w:vMerge/>
            <w:vAlign w:val="center"/>
            <w:hideMark/>
          </w:tcPr>
          <w:p w14:paraId="27DD603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2C081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Lepsze dostosowanie systemów kształcenia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oraz tworzenia i rozwoju systemów uczenia się poprzez praktyczną naukę zawodu realizowaną w ścisłej współpracy z pracodawcami </w:t>
            </w:r>
          </w:p>
        </w:tc>
      </w:tr>
      <w:tr w:rsidR="00DA33B1" w:rsidRPr="00C318FB" w14:paraId="548F60E9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4B659F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14AAE21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AAFB7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2F4A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B4F96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274B92F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95107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564871A" w14:textId="77777777" w:rsidTr="005E6F5D">
        <w:trPr>
          <w:trHeight w:val="645"/>
        </w:trPr>
        <w:tc>
          <w:tcPr>
            <w:tcW w:w="646" w:type="pct"/>
            <w:vMerge/>
            <w:vAlign w:val="center"/>
            <w:hideMark/>
          </w:tcPr>
          <w:p w14:paraId="1B85BBD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7484D2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6874C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8011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F26D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Doradztwo </w:t>
            </w:r>
            <w:proofErr w:type="spellStart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zawodowe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010408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A8758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6C1C34A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2C9FE9F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DE00D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777F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25909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10.3.4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92850C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Kształcenie praz doskonalenie zawodowe osób dorosłych</w:t>
            </w:r>
          </w:p>
        </w:tc>
        <w:tc>
          <w:tcPr>
            <w:tcW w:w="709" w:type="pct"/>
            <w:vMerge/>
            <w:vAlign w:val="center"/>
            <w:hideMark/>
          </w:tcPr>
          <w:p w14:paraId="3AB012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FCC2C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FE3AB25" w14:textId="77777777" w:rsidTr="005E6F5D">
        <w:trPr>
          <w:trHeight w:val="630"/>
        </w:trPr>
        <w:tc>
          <w:tcPr>
            <w:tcW w:w="646" w:type="pct"/>
            <w:shd w:val="clear" w:color="auto" w:fill="auto"/>
            <w:vAlign w:val="center"/>
            <w:hideMark/>
          </w:tcPr>
          <w:p w14:paraId="726DB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 Pomoc Techniczna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529FD3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6E3338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53C2C64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607FBF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FD74E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21D8A9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Techniczna</w:t>
            </w:r>
          </w:p>
        </w:tc>
      </w:tr>
      <w:tr w:rsidR="00DA33B1" w:rsidRPr="00C318FB" w14:paraId="24E3FFD1" w14:textId="77777777" w:rsidTr="005E6F5D">
        <w:trPr>
          <w:trHeight w:val="630"/>
        </w:trPr>
        <w:tc>
          <w:tcPr>
            <w:tcW w:w="646" w:type="pct"/>
            <w:vMerge w:val="restart"/>
            <w:shd w:val="clear" w:color="auto" w:fill="auto"/>
            <w:vAlign w:val="center"/>
          </w:tcPr>
          <w:p w14:paraId="0DD1C713" w14:textId="419916FF" w:rsidR="00113710" w:rsidRPr="00C318FB" w:rsidRDefault="00113710" w:rsidP="00D637FF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XII REACT-EU dla Mazowsza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3CEE697" w14:textId="612FF3AC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370FBA7" w14:textId="05C77C9F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termomodernizacji budynków użyteczności publicznej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50733CD7" w14:textId="72F615A9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6FF1D1A7" w14:textId="65A9F5F2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14:paraId="2B04F3CC" w14:textId="09DAF482" w:rsidR="00113710" w:rsidRPr="00C318FB" w:rsidRDefault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Wspieranie kryzysowych działań naprawczych w kontekście pandemii COVID-19 i przygotowania do ekologicznej i cyfrowej odbudowy gospodarki zwiększającej jej odporność</w:t>
            </w:r>
          </w:p>
        </w:tc>
        <w:tc>
          <w:tcPr>
            <w:tcW w:w="1659" w:type="pct"/>
            <w:vMerge w:val="restart"/>
            <w:shd w:val="clear" w:color="auto" w:fill="auto"/>
            <w:noWrap/>
            <w:vAlign w:val="center"/>
          </w:tcPr>
          <w:p w14:paraId="7809A3F6" w14:textId="05E411AE" w:rsidR="00D1486E" w:rsidRPr="00D637FF" w:rsidRDefault="00642BD1" w:rsidP="00D637FF">
            <w:pPr>
              <w:spacing w:after="0" w:line="312" w:lineRule="auto"/>
              <w:ind w:left="79" w:right="32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="00C74B49"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(EFRR)</w:t>
            </w: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kryzysowych działań naprawczych w kontekście pandemii COVID-19 i przygotowania do ekologicznej i cyfrowej odbudowy gospodarki zwiększającej jej odporność</w:t>
            </w:r>
          </w:p>
        </w:tc>
      </w:tr>
      <w:tr w:rsidR="00DA33B1" w:rsidRPr="00C318FB" w14:paraId="595A6384" w14:textId="77777777" w:rsidTr="005E6F5D">
        <w:trPr>
          <w:trHeight w:val="630"/>
        </w:trPr>
        <w:tc>
          <w:tcPr>
            <w:tcW w:w="646" w:type="pct"/>
            <w:vMerge/>
            <w:shd w:val="clear" w:color="auto" w:fill="auto"/>
            <w:vAlign w:val="center"/>
          </w:tcPr>
          <w:p w14:paraId="45E08A37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223462F" w14:textId="29AC4188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2E4860A0" w14:textId="05816A20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e-usług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AFB504" w14:textId="444D2100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54C01A97" w14:textId="5DF7DFE7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14:paraId="68C8FF46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shd w:val="clear" w:color="auto" w:fill="auto"/>
            <w:noWrap/>
            <w:vAlign w:val="center"/>
          </w:tcPr>
          <w:p w14:paraId="01F61A44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295873" w14:textId="77777777" w:rsidR="004B4F1C" w:rsidRDefault="004362C8" w:rsidP="009A3C76"/>
    <w:sectPr w:rsidR="004B4F1C" w:rsidSect="0001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B46C" w14:textId="77777777" w:rsidR="00A537E8" w:rsidRDefault="00A537E8" w:rsidP="00014E15">
      <w:pPr>
        <w:spacing w:after="0" w:line="240" w:lineRule="auto"/>
      </w:pPr>
      <w:r>
        <w:separator/>
      </w:r>
    </w:p>
  </w:endnote>
  <w:endnote w:type="continuationSeparator" w:id="0">
    <w:p w14:paraId="34CD0248" w14:textId="77777777" w:rsidR="00A537E8" w:rsidRDefault="00A537E8" w:rsidP="000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69C3" w14:textId="77777777" w:rsidR="008452C4" w:rsidRDefault="00845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2455943"/>
      <w:docPartObj>
        <w:docPartGallery w:val="Page Numbers (Bottom of Page)"/>
        <w:docPartUnique/>
      </w:docPartObj>
    </w:sdtPr>
    <w:sdtEndPr/>
    <w:sdtContent>
      <w:p w14:paraId="33D9FDF2" w14:textId="77777777" w:rsidR="00014E15" w:rsidRDefault="00014E15" w:rsidP="00014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26">
          <w:rPr>
            <w:noProof/>
          </w:rPr>
          <w:t>4</w:t>
        </w:r>
        <w:r>
          <w:fldChar w:fldCharType="end"/>
        </w:r>
      </w:p>
    </w:sdtContent>
  </w:sdt>
  <w:p w14:paraId="4CEFEEED" w14:textId="77777777" w:rsidR="00014E15" w:rsidRDefault="00014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F1ED" w14:textId="77777777" w:rsidR="008452C4" w:rsidRDefault="0084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C4D6" w14:textId="77777777" w:rsidR="00A537E8" w:rsidRDefault="00A537E8" w:rsidP="00014E15">
      <w:pPr>
        <w:spacing w:after="0" w:line="240" w:lineRule="auto"/>
      </w:pPr>
      <w:r>
        <w:separator/>
      </w:r>
    </w:p>
  </w:footnote>
  <w:footnote w:type="continuationSeparator" w:id="0">
    <w:p w14:paraId="0E72EE62" w14:textId="77777777" w:rsidR="00A537E8" w:rsidRDefault="00A537E8" w:rsidP="0001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98D7" w14:textId="77777777" w:rsidR="008452C4" w:rsidRDefault="00845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9BD0" w14:textId="77777777" w:rsidR="008452C4" w:rsidRDefault="008452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CE2E" w14:textId="77777777" w:rsidR="008452C4" w:rsidRDefault="00845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1"/>
    <w:rsid w:val="00014E15"/>
    <w:rsid w:val="000C4D08"/>
    <w:rsid w:val="000D1A91"/>
    <w:rsid w:val="00113710"/>
    <w:rsid w:val="0018338E"/>
    <w:rsid w:val="002056E8"/>
    <w:rsid w:val="00215EB0"/>
    <w:rsid w:val="00312A81"/>
    <w:rsid w:val="0033641E"/>
    <w:rsid w:val="003D7FAD"/>
    <w:rsid w:val="00427B81"/>
    <w:rsid w:val="004362C8"/>
    <w:rsid w:val="00461D63"/>
    <w:rsid w:val="004A6788"/>
    <w:rsid w:val="005534DC"/>
    <w:rsid w:val="005E6F5D"/>
    <w:rsid w:val="00642BD1"/>
    <w:rsid w:val="00683A00"/>
    <w:rsid w:val="006D0726"/>
    <w:rsid w:val="006E5D8A"/>
    <w:rsid w:val="0073273A"/>
    <w:rsid w:val="00744F69"/>
    <w:rsid w:val="007B23A7"/>
    <w:rsid w:val="008452C4"/>
    <w:rsid w:val="00856C12"/>
    <w:rsid w:val="00895DF4"/>
    <w:rsid w:val="008A27BA"/>
    <w:rsid w:val="009169AA"/>
    <w:rsid w:val="009A3C76"/>
    <w:rsid w:val="00A36AF2"/>
    <w:rsid w:val="00A537E8"/>
    <w:rsid w:val="00A560D2"/>
    <w:rsid w:val="00AE5B74"/>
    <w:rsid w:val="00B205B8"/>
    <w:rsid w:val="00B81846"/>
    <w:rsid w:val="00B842EA"/>
    <w:rsid w:val="00B961B3"/>
    <w:rsid w:val="00BA090E"/>
    <w:rsid w:val="00BD290D"/>
    <w:rsid w:val="00C318FB"/>
    <w:rsid w:val="00C74B49"/>
    <w:rsid w:val="00D1486E"/>
    <w:rsid w:val="00D4320A"/>
    <w:rsid w:val="00D637FF"/>
    <w:rsid w:val="00DA33B1"/>
    <w:rsid w:val="00DA58EF"/>
    <w:rsid w:val="00DE1F91"/>
    <w:rsid w:val="00DF7665"/>
    <w:rsid w:val="00E03236"/>
    <w:rsid w:val="00E408F7"/>
    <w:rsid w:val="00E43C78"/>
    <w:rsid w:val="00EC134E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56818"/>
  <w15:chartTrackingRefBased/>
  <w15:docId w15:val="{94554B73-C765-447F-85D6-27F4540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0D1A91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/>
      <w:bCs/>
      <w:color w:val="auto"/>
      <w:kern w:val="32"/>
      <w:szCs w:val="18"/>
    </w:rPr>
  </w:style>
  <w:style w:type="paragraph" w:customStyle="1" w:styleId="SzOOP2">
    <w:name w:val="SzOOP 2"/>
    <w:basedOn w:val="Nagwek2"/>
    <w:qFormat/>
    <w:rsid w:val="000D1A91"/>
    <w:pPr>
      <w:keepLines w:val="0"/>
      <w:numPr>
        <w:ilvl w:val="1"/>
        <w:numId w:val="1"/>
      </w:numPr>
      <w:tabs>
        <w:tab w:val="num" w:pos="360"/>
        <w:tab w:val="left" w:pos="992"/>
      </w:tabs>
      <w:spacing w:before="240" w:after="60"/>
      <w:ind w:left="0" w:firstLine="0"/>
    </w:pPr>
    <w:rPr>
      <w:rFonts w:ascii="Calibri" w:eastAsia="Times New Roman" w:hAnsi="Calibri" w:cs="Times New Roman"/>
      <w:b/>
      <w:bCs/>
      <w:iCs/>
      <w:color w:val="auto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9EDE-FA1A-48E0-8B11-E5C0D06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Szczegółowego Opisu Osi Priorytetowych - Tabela transpozycji Priorytetów Inwestycyjnych</vt:lpstr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Szczegółowego Opisu Osi Priorytetowych - Tabela transpozycji Priorytetów Inwestycyjnych</dc:title>
  <dc:subject/>
  <dc:creator>Lis Ewelina</dc:creator>
  <cp:keywords/>
  <dc:description/>
  <cp:lastModifiedBy>Regeńczuk Eliza</cp:lastModifiedBy>
  <cp:revision>7</cp:revision>
  <cp:lastPrinted>2022-10-18T07:02:00Z</cp:lastPrinted>
  <dcterms:created xsi:type="dcterms:W3CDTF">2021-06-17T08:28:00Z</dcterms:created>
  <dcterms:modified xsi:type="dcterms:W3CDTF">2022-10-18T07:02:00Z</dcterms:modified>
</cp:coreProperties>
</file>