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0EAD" w14:textId="77777777" w:rsidR="001D6AF8" w:rsidRPr="001D6AF8" w:rsidRDefault="001D6AF8" w:rsidP="001D6AF8">
      <w:pPr>
        <w:keepNext/>
        <w:spacing w:before="1200" w:after="360" w:line="360" w:lineRule="auto"/>
        <w:jc w:val="center"/>
        <w:rPr>
          <w:rFonts w:ascii="Times New Roman" w:hAnsi="Times New Roman"/>
          <w:bCs/>
          <w:caps/>
          <w:kern w:val="24"/>
        </w:rPr>
      </w:pPr>
      <w:r w:rsidRPr="001D6AF8">
        <w:rPr>
          <w:rFonts w:ascii="Times New Roman" w:hAnsi="Times New Roman"/>
          <w:bCs/>
          <w:caps/>
          <w:kern w:val="24"/>
        </w:rPr>
        <w:object w:dxaOrig="1272" w:dyaOrig="1190" w14:anchorId="2478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1in;height:64.5pt" o:ole="" fillcolor="window">
            <v:imagedata r:id="rId8" o:title=""/>
          </v:shape>
          <o:OLEObject Type="Embed" ProgID="HP.DeskScan.2" ShapeID="_x0000_i1025" DrawAspect="Content" ObjectID="_1725278013" r:id="rId9"/>
        </w:object>
      </w:r>
    </w:p>
    <w:p w14:paraId="5F28D711" w14:textId="5037C51E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/>
          <w:bCs/>
        </w:rPr>
      </w:pPr>
      <w:r w:rsidRPr="00DE58BC">
        <w:rPr>
          <w:rFonts w:cs="Arial"/>
          <w:b/>
          <w:bCs/>
        </w:rPr>
        <w:t>M</w:t>
      </w:r>
      <w:r w:rsidRPr="001D6AF8">
        <w:rPr>
          <w:rFonts w:cs="Arial"/>
          <w:b/>
          <w:bCs/>
        </w:rPr>
        <w:t>inister Funduszy i Polityki Regionalnej</w:t>
      </w:r>
    </w:p>
    <w:p w14:paraId="3CCF9E50" w14:textId="3142A15E" w:rsidR="001D6AF8" w:rsidRPr="001D6AF8" w:rsidRDefault="007D74FB" w:rsidP="001D6AF8">
      <w:pPr>
        <w:keepNext/>
        <w:suppressAutoHyphens/>
        <w:spacing w:before="1200" w:after="36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 xml:space="preserve">Wytyczne dotyczące </w:t>
      </w:r>
      <w:r w:rsidRPr="00547BD2">
        <w:rPr>
          <w:rFonts w:cs="Arial"/>
          <w:b/>
          <w:bCs/>
        </w:rPr>
        <w:t>warunków księgowania wydatków oraz przygotowania prognoz wniosków o płatność do Komisji Europejskiej w ramach programów polityki spójności</w:t>
      </w:r>
      <w:r w:rsidRPr="001D6AF8">
        <w:rPr>
          <w:rFonts w:cs="Arial"/>
          <w:b/>
          <w:bCs/>
        </w:rPr>
        <w:t xml:space="preserve"> na lata 2021-202</w:t>
      </w:r>
      <w:r w:rsidR="001D6AF8" w:rsidRPr="001D6AF8">
        <w:rPr>
          <w:rFonts w:cs="Arial"/>
          <w:b/>
          <w:bCs/>
        </w:rPr>
        <w:t>7</w:t>
      </w:r>
    </w:p>
    <w:p w14:paraId="03F93590" w14:textId="4B9D158D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Cs/>
          <w:iCs/>
          <w:kern w:val="24"/>
        </w:rPr>
      </w:pPr>
      <w:r w:rsidRPr="001D6AF8">
        <w:rPr>
          <w:rFonts w:cs="Arial"/>
          <w:bCs/>
          <w:iCs/>
          <w:kern w:val="24"/>
        </w:rPr>
        <w:t>(</w:t>
      </w:r>
      <w:r w:rsidR="007D74FB" w:rsidRPr="00EB0F50">
        <w:rPr>
          <w:rFonts w:cs="Arial"/>
          <w:bCs/>
          <w:iCs/>
          <w:kern w:val="24"/>
        </w:rPr>
        <w:t>projekt</w:t>
      </w:r>
      <w:r w:rsidRPr="001D6AF8">
        <w:rPr>
          <w:rFonts w:cs="Arial"/>
          <w:bCs/>
          <w:iCs/>
          <w:kern w:val="24"/>
        </w:rPr>
        <w:t>)</w:t>
      </w:r>
    </w:p>
    <w:p w14:paraId="23EAB2DA" w14:textId="3A78F632" w:rsidR="00E95454" w:rsidRPr="001D6AF8" w:rsidRDefault="001D6AF8" w:rsidP="00E95454">
      <w:pPr>
        <w:keepNext/>
        <w:suppressAutoHyphens/>
        <w:spacing w:before="1200" w:after="36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>Zatwierdzam / Zatwierdzam z upoważnienia</w:t>
      </w:r>
      <w:r w:rsidR="00E95454">
        <w:rPr>
          <w:rFonts w:cs="Arial"/>
          <w:bCs/>
          <w:kern w:val="24"/>
        </w:rPr>
        <w:br/>
      </w:r>
      <w:r w:rsidR="00E95454">
        <w:rPr>
          <w:rFonts w:cs="Arial"/>
        </w:rPr>
        <w:t xml:space="preserve"> </w:t>
      </w:r>
      <w:bookmarkStart w:id="0" w:name="ezdPracownikNazwa"/>
      <w:bookmarkEnd w:id="0"/>
      <w:r w:rsidR="00E95454">
        <w:rPr>
          <w:rFonts w:cs="Arial"/>
        </w:rPr>
        <w:t xml:space="preserve"> </w:t>
      </w:r>
    </w:p>
    <w:p w14:paraId="64CE303D" w14:textId="09451239" w:rsidR="001D6AF8" w:rsidRPr="001D6AF8" w:rsidRDefault="001D6AF8" w:rsidP="00666693">
      <w:pPr>
        <w:keepNext/>
        <w:suppressAutoHyphens/>
        <w:spacing w:before="360" w:after="180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 xml:space="preserve">Minister Funduszy </w:t>
      </w:r>
      <w:r w:rsidRPr="001D6AF8">
        <w:rPr>
          <w:rFonts w:cs="Arial"/>
          <w:bCs/>
          <w:kern w:val="24"/>
        </w:rPr>
        <w:br/>
        <w:t>i Polityki Regionalnej</w:t>
      </w:r>
    </w:p>
    <w:p w14:paraId="6DB45ED8" w14:textId="77777777" w:rsidR="000A3B21" w:rsidRDefault="001D6AF8" w:rsidP="00D172CD">
      <w:pPr>
        <w:spacing w:line="360" w:lineRule="auto"/>
        <w:jc w:val="center"/>
        <w:outlineLvl w:val="0"/>
        <w:rPr>
          <w:rFonts w:cs="Arial"/>
          <w:bCs/>
        </w:rPr>
      </w:pPr>
      <w:r w:rsidRPr="001D6AF8">
        <w:rPr>
          <w:rFonts w:cs="Arial"/>
          <w:bCs/>
        </w:rPr>
        <w:t>Warszawa</w:t>
      </w:r>
      <w:r w:rsidR="00D172CD">
        <w:rPr>
          <w:rFonts w:cs="Arial"/>
          <w:bCs/>
        </w:rPr>
        <w:t xml:space="preserve">, </w:t>
      </w:r>
      <w:bookmarkStart w:id="1" w:name="ezdDataPodpisu"/>
      <w:bookmarkEnd w:id="1"/>
      <w:r w:rsidR="00D172CD">
        <w:rPr>
          <w:rFonts w:cs="Arial"/>
          <w:bCs/>
        </w:rPr>
        <w:t xml:space="preserve"> r.</w:t>
      </w:r>
    </w:p>
    <w:p w14:paraId="68AF5E07" w14:textId="042DD797" w:rsidR="00666693" w:rsidRPr="00D172CD" w:rsidRDefault="00666693" w:rsidP="000A3B21">
      <w:pPr>
        <w:spacing w:line="360" w:lineRule="auto"/>
        <w:jc w:val="center"/>
        <w:outlineLvl w:val="0"/>
        <w:rPr>
          <w:rFonts w:cs="Arial"/>
        </w:rPr>
      </w:pPr>
      <w:r>
        <w:rPr>
          <w:rFonts w:ascii="Times New Roman" w:hAnsi="Times New Roman"/>
          <w:bCs/>
        </w:rPr>
        <w:br w:type="page"/>
      </w:r>
    </w:p>
    <w:p w14:paraId="0B2D11F7" w14:textId="3964DE2D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356A32AF" w14:textId="350B93B8" w:rsidR="00A86B6A" w:rsidRPr="00CF7216" w:rsidRDefault="009717FF" w:rsidP="00CF7216">
      <w:pPr>
        <w:spacing w:before="12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A86B6A" w:rsidRPr="005B1F7B">
        <w:rPr>
          <w:rFonts w:cs="Arial"/>
          <w:bCs/>
        </w:rPr>
        <w:t>ytyczne zostały wydane na podstawie</w:t>
      </w:r>
      <w:r w:rsidR="00CF7216">
        <w:rPr>
          <w:rFonts w:cs="Arial"/>
          <w:bCs/>
        </w:rPr>
        <w:t xml:space="preserve"> </w:t>
      </w:r>
      <w:r>
        <w:rPr>
          <w:rFonts w:cs="Arial"/>
          <w:bCs/>
        </w:rPr>
        <w:t>a</w:t>
      </w:r>
      <w:r w:rsidR="00A86B6A" w:rsidRPr="00CF7216">
        <w:rPr>
          <w:rFonts w:cs="Arial"/>
          <w:bCs/>
        </w:rPr>
        <w:t xml:space="preserve">rt. 5 ust. 1 pkt </w:t>
      </w:r>
      <w:r w:rsidR="001C2D62" w:rsidRPr="00CF7216">
        <w:rPr>
          <w:rFonts w:cs="Arial"/>
          <w:bCs/>
        </w:rPr>
        <w:t>7</w:t>
      </w:r>
      <w:r w:rsidR="00A86B6A" w:rsidRPr="00CF7216">
        <w:rPr>
          <w:rFonts w:cs="Arial"/>
          <w:bCs/>
        </w:rPr>
        <w:t xml:space="preserve"> ustawy z dnia </w:t>
      </w:r>
      <w:r w:rsidR="003719C5" w:rsidRPr="00CF7216">
        <w:rPr>
          <w:rFonts w:cs="Arial"/>
          <w:bCs/>
        </w:rPr>
        <w:t>28 kwietnia</w:t>
      </w:r>
      <w:r w:rsidR="009E010C" w:rsidRPr="00CF7216">
        <w:rPr>
          <w:rFonts w:cs="Arial"/>
          <w:bCs/>
        </w:rPr>
        <w:t xml:space="preserve"> </w:t>
      </w:r>
      <w:r w:rsidR="00A86B6A" w:rsidRPr="00CF7216">
        <w:rPr>
          <w:rFonts w:cs="Arial"/>
          <w:bCs/>
        </w:rPr>
        <w:t xml:space="preserve">2022 r. o zasadach realizacji zadań finansowanych ze środków europejskich w perspektywie finansowej 2021-2027 (Dz. U. </w:t>
      </w:r>
      <w:r w:rsidR="00396EE6" w:rsidRPr="00CF7216">
        <w:rPr>
          <w:rFonts w:cs="Arial"/>
          <w:bCs/>
        </w:rPr>
        <w:t xml:space="preserve">z 2022 r. </w:t>
      </w:r>
      <w:r w:rsidR="00A86B6A" w:rsidRPr="00CF7216">
        <w:rPr>
          <w:rFonts w:cs="Arial"/>
          <w:bCs/>
        </w:rPr>
        <w:t xml:space="preserve">poz. </w:t>
      </w:r>
      <w:r w:rsidR="00396EE6" w:rsidRPr="00CF7216">
        <w:rPr>
          <w:rFonts w:cs="Arial"/>
          <w:bCs/>
        </w:rPr>
        <w:t>1079)</w:t>
      </w:r>
      <w:r w:rsidR="00CF7216">
        <w:rPr>
          <w:rFonts w:cs="Arial"/>
        </w:rPr>
        <w:t>.</w:t>
      </w:r>
    </w:p>
    <w:p w14:paraId="19A6EA70" w14:textId="464284C9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00ECE572" w14:textId="1B2AF266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9A1FE6F" w14:textId="36AAC353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01424F6" w14:textId="2FDADB18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7A13E681" w14:textId="687EEB4E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681606B2" w14:textId="300BC211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4E20D320" w14:textId="5C50615E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2B43ED3" w14:textId="27DAD8CE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1BC1A80" w14:textId="785154CC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632F0E11" w14:textId="1F3B9B0A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4CB78195" w14:textId="7968659C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350F036A" w14:textId="4113F19F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352948C3" w14:textId="0BD93F2E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28596F20" w14:textId="0A08E6EF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2901D2B" w14:textId="3DBBB2E5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64CABE7A" w14:textId="50FA2C81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288A3711" w14:textId="596F57B9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1F85382A" w14:textId="54C86292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267A678A" w14:textId="40E2CD35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7E74D4F" w14:textId="4A41DCAC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BBBA1FA" w14:textId="77777777" w:rsid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27EF7BA0" w14:textId="77777777" w:rsidR="00CF7216" w:rsidRPr="00CF7216" w:rsidRDefault="00CF7216" w:rsidP="00CF7216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sdt>
      <w:sdtPr>
        <w:rPr>
          <w:rFonts w:cs="Arial"/>
          <w:b/>
          <w:bCs/>
          <w:sz w:val="28"/>
          <w:szCs w:val="28"/>
        </w:rPr>
        <w:id w:val="1996299964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2F36928E" w14:textId="77777777" w:rsidR="00DC0182" w:rsidRDefault="00115B33" w:rsidP="00D3778A">
          <w:pPr>
            <w:keepNext/>
            <w:suppressAutoHyphens/>
            <w:spacing w:after="120" w:line="360" w:lineRule="auto"/>
            <w:rPr>
              <w:noProof/>
            </w:rPr>
          </w:pPr>
          <w:r w:rsidRPr="001D6AF8">
            <w:rPr>
              <w:rFonts w:cs="Arial"/>
              <w:b/>
              <w:bCs/>
              <w:sz w:val="28"/>
              <w:szCs w:val="28"/>
            </w:rPr>
            <w:t>Spis treści</w: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begin"/>
          </w:r>
          <w:r w:rsidRPr="001D6AF8">
            <w:rPr>
              <w:rFonts w:cs="Arial"/>
              <w:bCs/>
            </w:rPr>
            <w:instrText xml:space="preserve"> TOC \o "2-3" \h \z \t "Nagłówek 1;1" </w:instrTex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separate"/>
          </w:r>
        </w:p>
        <w:p w14:paraId="5BA11758" w14:textId="1467716C" w:rsidR="00DC0182" w:rsidRDefault="00CB2B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1" w:history="1">
            <w:r w:rsidR="00DC0182" w:rsidRPr="00A74AA5">
              <w:rPr>
                <w:rStyle w:val="Hipercze"/>
                <w:noProof/>
              </w:rPr>
              <w:t>Wykaz skrótów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_Toc105767751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4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4E0968EE" w14:textId="7F2BE795" w:rsidR="00DC0182" w:rsidRDefault="00CB2B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2" w:history="1">
            <w:r w:rsidR="00DC0182" w:rsidRPr="00A74AA5">
              <w:rPr>
                <w:rStyle w:val="Hipercze"/>
                <w:noProof/>
              </w:rPr>
              <w:t>Wykaz pojęć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_Toc105767752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4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5A0B43C2" w14:textId="26AF7E52" w:rsidR="00DC0182" w:rsidRDefault="00CB2B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3" w:history="1">
            <w:r w:rsidR="00DC0182" w:rsidRPr="00A74AA5">
              <w:rPr>
                <w:rStyle w:val="Hipercze"/>
                <w:noProof/>
              </w:rPr>
              <w:t>Rozdział 1. Cel i zakres wytycznych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_Toc105767753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6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7D334662" w14:textId="1D1BF90C" w:rsidR="00DC0182" w:rsidRDefault="00CB2B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4" w:history="1">
            <w:r w:rsidR="00DC0182" w:rsidRPr="00A74AA5">
              <w:rPr>
                <w:rStyle w:val="Hipercze"/>
                <w:noProof/>
              </w:rPr>
              <w:t>Rozdział 2. Organizacja procesu księgowania wydatków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_Toc105767754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6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332026CC" w14:textId="494CF628" w:rsidR="00DC0182" w:rsidRDefault="00CB2B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5" w:history="1">
            <w:r w:rsidR="00DC0182" w:rsidRPr="00A74AA5">
              <w:rPr>
                <w:rStyle w:val="Hipercze"/>
                <w:noProof/>
              </w:rPr>
              <w:t>Podrozdział 2.1. Podstawowe założenia organizacyjne procesu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_Toc105767755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6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737D2A10" w14:textId="4443A62D" w:rsidR="00DC0182" w:rsidRDefault="00CB2B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6" w:history="1">
            <w:r w:rsidR="00DC0182" w:rsidRPr="00A74AA5">
              <w:rPr>
                <w:rStyle w:val="Hipercze"/>
                <w:noProof/>
              </w:rPr>
              <w:t>Podrozdział 2.2. Otrzymywanie płatności z Komisji Europejskiej w ramach programów i współpraca z Ministerstwem Finansów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_Toc105767756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8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23C38C5E" w14:textId="313F6B63" w:rsidR="00DC0182" w:rsidRDefault="00CB2BB4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7" w:history="1">
            <w:r w:rsidR="00DC0182" w:rsidRPr="00A74AA5">
              <w:rPr>
                <w:rStyle w:val="Hipercze"/>
                <w:noProof/>
              </w:rPr>
              <w:t>Podrozdział 2.3. Wstrzymanie biegu terminu płatności,  zawieszenie płatności oraz wstrzymanie księgowania wydatków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_Toc105767757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9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1FECC300" w14:textId="6908E928" w:rsidR="00DC0182" w:rsidRDefault="00CB2B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8" w:history="1">
            <w:r w:rsidR="00DC0182" w:rsidRPr="00A74AA5">
              <w:rPr>
                <w:rStyle w:val="Hipercze"/>
                <w:noProof/>
              </w:rPr>
              <w:t>Rozdział 3. Wniosek o płatność do Komisji Europejskiej oraz Roczne Zestawienia Wydatków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_Toc105767758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10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59018A1A" w14:textId="424B7A4C" w:rsidR="00DC0182" w:rsidRDefault="00CB2BB4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5767759" w:history="1">
            <w:r w:rsidR="00DC0182" w:rsidRPr="00A74AA5">
              <w:rPr>
                <w:rStyle w:val="Hipercze"/>
                <w:noProof/>
              </w:rPr>
              <w:t>Rozdział 4. Tryb i warunki kalkulacji prognoz wniosków o płatność kierowanych do Komisji Europejskiej oraz procedury przesyłania do Komisji Europejskiej informacji w tej sprawie</w:t>
            </w:r>
            <w:r w:rsidR="00DC0182">
              <w:rPr>
                <w:noProof/>
                <w:webHidden/>
              </w:rPr>
              <w:tab/>
            </w:r>
            <w:r w:rsidR="00DC0182">
              <w:rPr>
                <w:noProof/>
                <w:webHidden/>
              </w:rPr>
              <w:fldChar w:fldCharType="begin"/>
            </w:r>
            <w:r w:rsidR="00DC0182">
              <w:rPr>
                <w:noProof/>
                <w:webHidden/>
              </w:rPr>
              <w:instrText xml:space="preserve"> PAGEREF _Toc105767759 \h </w:instrText>
            </w:r>
            <w:r w:rsidR="00DC0182">
              <w:rPr>
                <w:noProof/>
                <w:webHidden/>
              </w:rPr>
            </w:r>
            <w:r w:rsidR="00DC0182">
              <w:rPr>
                <w:noProof/>
                <w:webHidden/>
              </w:rPr>
              <w:fldChar w:fldCharType="separate"/>
            </w:r>
            <w:r w:rsidR="00DC0182">
              <w:rPr>
                <w:noProof/>
                <w:webHidden/>
              </w:rPr>
              <w:t>12</w:t>
            </w:r>
            <w:r w:rsidR="00DC0182">
              <w:rPr>
                <w:noProof/>
                <w:webHidden/>
              </w:rPr>
              <w:fldChar w:fldCharType="end"/>
            </w:r>
          </w:hyperlink>
        </w:p>
        <w:p w14:paraId="3D080298" w14:textId="21169BA1" w:rsidR="00115B33" w:rsidRDefault="00115B33">
          <w:pPr>
            <w:rPr>
              <w:noProof/>
            </w:rPr>
          </w:pPr>
          <w:r w:rsidRPr="001D6AF8">
            <w:rPr>
              <w:rFonts w:cs="Arial"/>
              <w:b/>
              <w:bCs/>
              <w:kern w:val="32"/>
            </w:rPr>
            <w:fldChar w:fldCharType="end"/>
          </w:r>
          <w:r>
            <w:rPr>
              <w:b/>
              <w:bCs/>
              <w:noProof/>
            </w:rPr>
            <w:br w:type="page"/>
          </w:r>
        </w:p>
      </w:sdtContent>
    </w:sdt>
    <w:p w14:paraId="47935249" w14:textId="624EC67B" w:rsidR="001D6AF8" w:rsidRPr="00690941" w:rsidRDefault="001D6AF8" w:rsidP="00690941">
      <w:pPr>
        <w:pStyle w:val="Nagwek1"/>
        <w:rPr>
          <w:rFonts w:cs="Arial"/>
        </w:rPr>
      </w:pPr>
      <w:bookmarkStart w:id="2" w:name="_Toc98428187"/>
      <w:bookmarkStart w:id="3" w:name="_Toc98761659"/>
      <w:bookmarkStart w:id="4" w:name="_Toc98934363"/>
      <w:bookmarkStart w:id="5" w:name="_Toc105767751"/>
      <w:r w:rsidRPr="00690941">
        <w:lastRenderedPageBreak/>
        <w:t>Wykaz skrótów</w:t>
      </w:r>
      <w:bookmarkEnd w:id="2"/>
      <w:bookmarkEnd w:id="3"/>
      <w:bookmarkEnd w:id="4"/>
      <w:bookmarkEnd w:id="5"/>
    </w:p>
    <w:p w14:paraId="1B6A67BA" w14:textId="77777777" w:rsidR="00962BE4" w:rsidRDefault="00962BE4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MFIPR – Ministerstwo Funduszy i Polityki Regionalnej</w:t>
      </w:r>
    </w:p>
    <w:p w14:paraId="26549B5F" w14:textId="456FB719" w:rsidR="00A86B6A" w:rsidRPr="00B15D90" w:rsidRDefault="00A86B6A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DBR – komórka organizacyjna MFIPR odpowiedzialna za obsługę finansowo-księgową środków pochodzących z budżetu UE w MFIPR</w:t>
      </w:r>
    </w:p>
    <w:p w14:paraId="16D9601C" w14:textId="2529AA5E" w:rsidR="00A86B6A" w:rsidRPr="00B15D90" w:rsidRDefault="00A86B6A" w:rsidP="00CF7216">
      <w:pPr>
        <w:spacing w:before="120" w:after="120" w:line="360" w:lineRule="auto"/>
        <w:contextualSpacing/>
        <w:rPr>
          <w:rFonts w:cs="Arial"/>
        </w:rPr>
      </w:pPr>
      <w:bookmarkStart w:id="6" w:name="_Hlk100678140"/>
      <w:r w:rsidRPr="00B15D90">
        <w:rPr>
          <w:rFonts w:cs="Arial"/>
        </w:rPr>
        <w:t>DRP – komórka organizacyjna MFIPR odpowiedzialna za koordynację realizacji</w:t>
      </w:r>
      <w:r w:rsidR="00A348A9">
        <w:rPr>
          <w:rFonts w:cs="Arial"/>
        </w:rPr>
        <w:t xml:space="preserve"> </w:t>
      </w:r>
      <w:r w:rsidRPr="00B15D90">
        <w:rPr>
          <w:rFonts w:cs="Arial"/>
        </w:rPr>
        <w:t xml:space="preserve">programów regionalnych </w:t>
      </w:r>
      <w:bookmarkEnd w:id="6"/>
      <w:r w:rsidRPr="00B15D90">
        <w:rPr>
          <w:rFonts w:cs="Arial"/>
        </w:rPr>
        <w:t xml:space="preserve"> </w:t>
      </w:r>
    </w:p>
    <w:p w14:paraId="2C48C86C" w14:textId="2CCE32EA" w:rsidR="00A86B6A" w:rsidRPr="00B15D90" w:rsidRDefault="00A86B6A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IKPKW – Instytucja Koordynująca Proces Księgowania Wydatków</w:t>
      </w:r>
      <w:r w:rsidR="009717FF">
        <w:rPr>
          <w:rFonts w:cs="Arial"/>
        </w:rPr>
        <w:t xml:space="preserve"> (</w:t>
      </w:r>
      <w:r w:rsidRPr="00B15D90">
        <w:rPr>
          <w:rFonts w:cs="Arial"/>
        </w:rPr>
        <w:t>funkcję</w:t>
      </w:r>
      <w:r w:rsidR="009717FF">
        <w:rPr>
          <w:rFonts w:cs="Arial"/>
        </w:rPr>
        <w:t xml:space="preserve"> IKPKW</w:t>
      </w:r>
      <w:r w:rsidRPr="00B15D90">
        <w:rPr>
          <w:rFonts w:cs="Arial"/>
        </w:rPr>
        <w:t xml:space="preserve"> pełni komórka organizacyjna w MFIPR odpowiedzialna za koordynację wdrażania funduszy UE w Polsce</w:t>
      </w:r>
      <w:r w:rsidR="0086139D">
        <w:rPr>
          <w:rFonts w:cs="Arial"/>
        </w:rPr>
        <w:t>)</w:t>
      </w:r>
    </w:p>
    <w:p w14:paraId="79EA9829" w14:textId="77777777" w:rsidR="00A86B6A" w:rsidRPr="00B15D90" w:rsidRDefault="00A86B6A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IA – Instytucja Audytowa</w:t>
      </w:r>
    </w:p>
    <w:p w14:paraId="37DC5F7F" w14:textId="77777777" w:rsidR="00A86B6A" w:rsidRPr="00B15D90" w:rsidRDefault="00A86B6A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IP – Instytucja Pośrednicząca</w:t>
      </w:r>
    </w:p>
    <w:p w14:paraId="1C4855B1" w14:textId="0B4FC077" w:rsidR="00A86B6A" w:rsidRDefault="00A86B6A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IW – Instytucja Wdrażająca</w:t>
      </w:r>
    </w:p>
    <w:p w14:paraId="0D975BBE" w14:textId="6C5ABFF8" w:rsidR="00124C55" w:rsidRPr="00B15D90" w:rsidRDefault="00124C55" w:rsidP="00CF7216">
      <w:pPr>
        <w:spacing w:before="120" w:after="120" w:line="360" w:lineRule="auto"/>
        <w:contextualSpacing/>
        <w:rPr>
          <w:rFonts w:cs="Arial"/>
        </w:rPr>
      </w:pPr>
      <w:r w:rsidRPr="00124C55">
        <w:rPr>
          <w:rFonts w:cs="Arial"/>
        </w:rPr>
        <w:t xml:space="preserve">IOP – </w:t>
      </w:r>
      <w:r>
        <w:rPr>
          <w:rFonts w:cs="Arial"/>
        </w:rPr>
        <w:t>I</w:t>
      </w:r>
      <w:r w:rsidRPr="00124C55">
        <w:rPr>
          <w:rFonts w:cs="Arial"/>
        </w:rPr>
        <w:t>nstytucja odpowiedzialna za otrzymywanie płatności z KE</w:t>
      </w:r>
    </w:p>
    <w:p w14:paraId="1E0C36E1" w14:textId="0C9228F5" w:rsidR="00A86B6A" w:rsidRDefault="00A86B6A" w:rsidP="00CF7216">
      <w:pPr>
        <w:spacing w:before="120" w:after="120" w:line="360" w:lineRule="auto"/>
        <w:contextualSpacing/>
        <w:rPr>
          <w:rFonts w:cs="Arial"/>
        </w:rPr>
      </w:pPr>
      <w:bookmarkStart w:id="7" w:name="_Hlk100678198"/>
      <w:r w:rsidRPr="00B15D90">
        <w:rPr>
          <w:rFonts w:cs="Arial"/>
        </w:rPr>
        <w:t xml:space="preserve">IZ – Instytucja Zarządzająca programem krajowym, </w:t>
      </w:r>
      <w:r w:rsidR="00444CB7">
        <w:rPr>
          <w:rFonts w:cs="Arial"/>
        </w:rPr>
        <w:t xml:space="preserve">programem </w:t>
      </w:r>
      <w:r w:rsidRPr="00B15D90">
        <w:rPr>
          <w:rFonts w:cs="Arial"/>
        </w:rPr>
        <w:t xml:space="preserve">regionalnym </w:t>
      </w:r>
      <w:r w:rsidR="00444CB7">
        <w:rPr>
          <w:rFonts w:cs="Arial"/>
        </w:rPr>
        <w:t>albo</w:t>
      </w:r>
      <w:r w:rsidRPr="00B15D90">
        <w:rPr>
          <w:rFonts w:cs="Arial"/>
        </w:rPr>
        <w:t xml:space="preserve"> programem INTERREG</w:t>
      </w:r>
      <w:bookmarkEnd w:id="7"/>
    </w:p>
    <w:p w14:paraId="5E3A0416" w14:textId="5E710163" w:rsidR="001E6296" w:rsidRPr="00B15D90" w:rsidRDefault="001E6296" w:rsidP="00CF7216">
      <w:pPr>
        <w:spacing w:before="120" w:after="120" w:line="360" w:lineRule="auto"/>
        <w:contextualSpacing/>
        <w:rPr>
          <w:rFonts w:cs="Arial"/>
        </w:rPr>
      </w:pPr>
      <w:proofErr w:type="spellStart"/>
      <w:r>
        <w:rPr>
          <w:rFonts w:cs="Arial"/>
        </w:rPr>
        <w:t>O</w:t>
      </w:r>
      <w:r w:rsidR="00BE6B0A">
        <w:rPr>
          <w:rFonts w:cs="Arial"/>
        </w:rPr>
        <w:t>SZiK</w:t>
      </w:r>
      <w:proofErr w:type="spellEnd"/>
      <w:r>
        <w:rPr>
          <w:rFonts w:cs="Arial"/>
        </w:rPr>
        <w:t xml:space="preserve"> </w:t>
      </w:r>
      <w:r w:rsidRPr="002D7382">
        <w:rPr>
          <w:rFonts w:cs="Arial"/>
        </w:rPr>
        <w:t>–</w:t>
      </w:r>
      <w:r>
        <w:rPr>
          <w:rFonts w:cs="Arial"/>
        </w:rPr>
        <w:t xml:space="preserve"> </w:t>
      </w:r>
      <w:r w:rsidR="00BE6B0A">
        <w:t>O</w:t>
      </w:r>
      <w:r w:rsidR="00BE6B0A" w:rsidRPr="00BE6B0A">
        <w:t>pis systemu zarządzania i kontroli</w:t>
      </w:r>
    </w:p>
    <w:p w14:paraId="48386F75" w14:textId="77777777" w:rsidR="009D5397" w:rsidRDefault="009D5397" w:rsidP="00CF7216">
      <w:pPr>
        <w:spacing w:before="120" w:after="120" w:line="360" w:lineRule="auto"/>
        <w:contextualSpacing/>
        <w:rPr>
          <w:rFonts w:cs="Arial"/>
        </w:rPr>
      </w:pPr>
      <w:r w:rsidRPr="002D7382">
        <w:rPr>
          <w:rFonts w:cs="Arial"/>
        </w:rPr>
        <w:t>UE – Unia Europejska</w:t>
      </w:r>
    </w:p>
    <w:p w14:paraId="55A20577" w14:textId="7EC2765A" w:rsidR="00A86B6A" w:rsidRDefault="00A86B6A" w:rsidP="00CF7216">
      <w:pPr>
        <w:spacing w:before="120" w:after="120" w:line="360" w:lineRule="auto"/>
        <w:contextualSpacing/>
        <w:rPr>
          <w:rFonts w:cs="Arial"/>
        </w:rPr>
      </w:pPr>
      <w:r w:rsidRPr="00B15D90">
        <w:rPr>
          <w:rFonts w:cs="Arial"/>
        </w:rPr>
        <w:t>KE – Komisja Europejska</w:t>
      </w:r>
    </w:p>
    <w:p w14:paraId="054362B2" w14:textId="54B0967B" w:rsidR="00E652D5" w:rsidRPr="00B15D90" w:rsidRDefault="00E652D5" w:rsidP="00CF7216">
      <w:pPr>
        <w:spacing w:before="120" w:after="120" w:line="360" w:lineRule="auto"/>
        <w:contextualSpacing/>
        <w:rPr>
          <w:rFonts w:cs="Arial"/>
        </w:rPr>
      </w:pPr>
      <w:r>
        <w:rPr>
          <w:rFonts w:cs="Arial"/>
        </w:rPr>
        <w:t>MF – Ministerstwo Finansów</w:t>
      </w:r>
    </w:p>
    <w:p w14:paraId="61BCF269" w14:textId="4EBC15C2" w:rsidR="00E652D5" w:rsidRDefault="00E652D5" w:rsidP="00CF7216">
      <w:pPr>
        <w:spacing w:before="120" w:after="120" w:line="360" w:lineRule="auto"/>
        <w:contextualSpacing/>
        <w:rPr>
          <w:rFonts w:cs="Arial"/>
        </w:rPr>
      </w:pPr>
      <w:bookmarkStart w:id="8" w:name="_Hlk100678369"/>
      <w:r>
        <w:rPr>
          <w:rFonts w:cs="Arial"/>
        </w:rPr>
        <w:t>WS – Wspólny Sekretariat [Techniczny]</w:t>
      </w:r>
    </w:p>
    <w:p w14:paraId="6F0A2961" w14:textId="40284CED" w:rsidR="009D51AF" w:rsidRDefault="009D51AF" w:rsidP="00CF7216">
      <w:pPr>
        <w:spacing w:before="120" w:after="120" w:line="360" w:lineRule="auto"/>
        <w:contextualSpacing/>
        <w:rPr>
          <w:rFonts w:cs="Arial"/>
        </w:rPr>
      </w:pPr>
    </w:p>
    <w:p w14:paraId="651BE3C2" w14:textId="1B8FE159" w:rsidR="005C3F5D" w:rsidRDefault="005C3F5D" w:rsidP="00CF7216">
      <w:pPr>
        <w:spacing w:before="120" w:after="120" w:line="360" w:lineRule="auto"/>
        <w:contextualSpacing/>
        <w:rPr>
          <w:rFonts w:cs="Arial"/>
        </w:rPr>
      </w:pPr>
    </w:p>
    <w:p w14:paraId="79C4C648" w14:textId="77777777" w:rsidR="005C3F5D" w:rsidRDefault="005C3F5D" w:rsidP="00CF7216">
      <w:pPr>
        <w:spacing w:before="120" w:after="120" w:line="360" w:lineRule="auto"/>
        <w:contextualSpacing/>
        <w:rPr>
          <w:rFonts w:cs="Arial"/>
        </w:rPr>
      </w:pPr>
    </w:p>
    <w:p w14:paraId="1E552614" w14:textId="754BAD6B" w:rsidR="001D6AF8" w:rsidRPr="001D6AF8" w:rsidRDefault="001D6AF8" w:rsidP="00690941">
      <w:pPr>
        <w:pStyle w:val="Nagwek1"/>
      </w:pPr>
      <w:bookmarkStart w:id="9" w:name="_Toc98428188"/>
      <w:bookmarkStart w:id="10" w:name="_Toc98761660"/>
      <w:bookmarkStart w:id="11" w:name="_Toc98934364"/>
      <w:bookmarkStart w:id="12" w:name="_Toc105767752"/>
      <w:bookmarkEnd w:id="8"/>
      <w:r w:rsidRPr="001D6AF8">
        <w:t>Wykaz pojęć</w:t>
      </w:r>
      <w:bookmarkEnd w:id="9"/>
      <w:bookmarkEnd w:id="10"/>
      <w:bookmarkEnd w:id="11"/>
      <w:bookmarkEnd w:id="12"/>
    </w:p>
    <w:p w14:paraId="68577634" w14:textId="47CF67FE" w:rsidR="00FD098E" w:rsidRDefault="00FD098E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t xml:space="preserve">Ustawa wdrożeniowa – </w:t>
      </w:r>
      <w:r w:rsidR="00FD7C41" w:rsidRPr="00690941">
        <w:rPr>
          <w:rFonts w:cs="Arial"/>
        </w:rPr>
        <w:t xml:space="preserve">ustawa z dnia </w:t>
      </w:r>
      <w:r w:rsidR="00B066AB" w:rsidRPr="00690941">
        <w:rPr>
          <w:rFonts w:cs="Arial"/>
        </w:rPr>
        <w:t>28 kwietnia</w:t>
      </w:r>
      <w:r w:rsidR="00FD7C41" w:rsidRPr="00690941">
        <w:rPr>
          <w:rFonts w:cs="Arial"/>
        </w:rPr>
        <w:t xml:space="preserve"> 2022 r. o zasadach realizacji zadań finansowanych ze środków europejskich w perspektywie finansowej 2021-2027</w:t>
      </w:r>
    </w:p>
    <w:p w14:paraId="3825E72F" w14:textId="77777777" w:rsidR="005C3F5D" w:rsidRDefault="005C3F5D" w:rsidP="005C3F5D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Ustawa o finansach publicznych - </w:t>
      </w:r>
      <w:r w:rsidRPr="005C3F5D">
        <w:rPr>
          <w:rFonts w:cs="Arial"/>
        </w:rPr>
        <w:t xml:space="preserve">Ustawa z dnia 27.08.2009 r. o finansach publicznych </w:t>
      </w:r>
      <w:proofErr w:type="spellStart"/>
      <w:r w:rsidRPr="005C3F5D">
        <w:rPr>
          <w:rFonts w:cs="Arial"/>
        </w:rPr>
        <w:t>t.j</w:t>
      </w:r>
      <w:proofErr w:type="spellEnd"/>
      <w:r w:rsidRPr="005C3F5D">
        <w:rPr>
          <w:rFonts w:cs="Arial"/>
        </w:rPr>
        <w:t xml:space="preserve">. z 2021 (Dz. U. z 2021 r. poz. 305) </w:t>
      </w:r>
    </w:p>
    <w:p w14:paraId="7AD55AA8" w14:textId="75264FD1" w:rsidR="007B2FD3" w:rsidRDefault="007B2FD3" w:rsidP="00690941">
      <w:pPr>
        <w:spacing w:before="120" w:after="120" w:line="360" w:lineRule="auto"/>
        <w:rPr>
          <w:rFonts w:cs="Arial"/>
        </w:rPr>
      </w:pPr>
      <w:r w:rsidRPr="007B2FD3">
        <w:rPr>
          <w:rFonts w:cs="Arial"/>
        </w:rPr>
        <w:t xml:space="preserve">Instrukcja wykonawcza </w:t>
      </w:r>
      <w:r>
        <w:rPr>
          <w:rFonts w:cs="Arial"/>
        </w:rPr>
        <w:t>-</w:t>
      </w:r>
      <w:r w:rsidRPr="007B2FD3">
        <w:rPr>
          <w:rFonts w:cs="Arial"/>
        </w:rPr>
        <w:t xml:space="preserve"> instrukcja zawierająca procedury działania właściwych instytucji, o której mowa w art. 4 ustawy wdrożeniowej</w:t>
      </w:r>
    </w:p>
    <w:p w14:paraId="1D2FED0B" w14:textId="241ED806" w:rsidR="00FD098E" w:rsidRPr="00690941" w:rsidRDefault="00FD098E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lastRenderedPageBreak/>
        <w:t xml:space="preserve">Rozporządzenie ogólne - </w:t>
      </w:r>
      <w:r w:rsidR="00FD7C41" w:rsidRPr="00690941">
        <w:rPr>
          <w:rFonts w:cs="Arial"/>
        </w:rPr>
        <w:t>Rozporządzenie Parlamentu Europejskiego i Rady (UE) nr 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</w:t>
      </w:r>
      <w:r w:rsidR="00C94D75">
        <w:rPr>
          <w:rFonts w:cs="Arial"/>
        </w:rPr>
        <w:t> </w:t>
      </w:r>
      <w:r w:rsidR="00FD7C41" w:rsidRPr="00690941">
        <w:rPr>
          <w:rFonts w:cs="Arial"/>
        </w:rPr>
        <w:t>także przepisy finansowe na potrzeby tych funduszy oraz na potrzeby Funduszu Azylu, Migracji i Integracji, Funduszu Bezpieczeństwa Wewnętrznego i Instrumentu Wsparcia Finansowego na rzecz Zarządzania Granicami i Polityki Wizowej</w:t>
      </w:r>
    </w:p>
    <w:p w14:paraId="1F9B77A3" w14:textId="3B4955DE" w:rsidR="00A86B6A" w:rsidRPr="00690941" w:rsidRDefault="00A86B6A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t xml:space="preserve">Program INTERREG – program, o którym mowa w art. 2 pkt </w:t>
      </w:r>
      <w:r w:rsidR="00EE51EE" w:rsidRPr="00690941">
        <w:rPr>
          <w:rFonts w:cs="Arial"/>
        </w:rPr>
        <w:t xml:space="preserve">21 </w:t>
      </w:r>
      <w:r w:rsidRPr="00690941">
        <w:rPr>
          <w:rFonts w:cs="Arial"/>
        </w:rPr>
        <w:t xml:space="preserve"> ustawy </w:t>
      </w:r>
      <w:r w:rsidR="003719C5" w:rsidRPr="00690941">
        <w:rPr>
          <w:rFonts w:cs="Arial"/>
        </w:rPr>
        <w:t>wdrożeniowej</w:t>
      </w:r>
    </w:p>
    <w:p w14:paraId="2A497ADD" w14:textId="7355B62F" w:rsidR="00A86B6A" w:rsidRPr="00690941" w:rsidRDefault="00A86B6A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t>Program krajowy – program,</w:t>
      </w:r>
      <w:r w:rsidR="0098080A" w:rsidRPr="00690941">
        <w:rPr>
          <w:rFonts w:cs="Arial"/>
        </w:rPr>
        <w:t xml:space="preserve"> </w:t>
      </w:r>
      <w:r w:rsidRPr="00690941">
        <w:rPr>
          <w:rFonts w:cs="Arial"/>
        </w:rPr>
        <w:t xml:space="preserve">o którym mowa w art. 2 pkt </w:t>
      </w:r>
      <w:r w:rsidR="00EE51EE" w:rsidRPr="00690941">
        <w:rPr>
          <w:rFonts w:cs="Arial"/>
        </w:rPr>
        <w:t xml:space="preserve">15 </w:t>
      </w:r>
      <w:r w:rsidRPr="00690941">
        <w:rPr>
          <w:rFonts w:cs="Arial"/>
        </w:rPr>
        <w:t xml:space="preserve"> ustawy </w:t>
      </w:r>
      <w:r w:rsidR="003719C5" w:rsidRPr="00690941">
        <w:rPr>
          <w:rFonts w:cs="Arial"/>
        </w:rPr>
        <w:t>wdrożeniowej</w:t>
      </w:r>
    </w:p>
    <w:p w14:paraId="5FFB312C" w14:textId="41AE0FB2" w:rsidR="00A86B6A" w:rsidRPr="00690941" w:rsidRDefault="00A86B6A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t xml:space="preserve">Program regionalny </w:t>
      </w:r>
      <w:r w:rsidR="00BC22CE" w:rsidRPr="00690941">
        <w:rPr>
          <w:rFonts w:cs="Arial"/>
        </w:rPr>
        <w:t>–</w:t>
      </w:r>
      <w:r w:rsidRPr="00690941">
        <w:rPr>
          <w:rFonts w:cs="Arial"/>
        </w:rPr>
        <w:t xml:space="preserve"> program, o którym mowa w art. 2 pkt </w:t>
      </w:r>
      <w:r w:rsidR="00EE51EE" w:rsidRPr="00690941">
        <w:rPr>
          <w:rFonts w:cs="Arial"/>
        </w:rPr>
        <w:t xml:space="preserve">23 </w:t>
      </w:r>
      <w:r w:rsidRPr="00690941">
        <w:rPr>
          <w:rFonts w:cs="Arial"/>
        </w:rPr>
        <w:t xml:space="preserve"> ustawy </w:t>
      </w:r>
      <w:r w:rsidR="003719C5" w:rsidRPr="00690941">
        <w:rPr>
          <w:rFonts w:cs="Arial"/>
        </w:rPr>
        <w:t>wdrożeniowej</w:t>
      </w:r>
    </w:p>
    <w:p w14:paraId="429A4A5D" w14:textId="196D436D" w:rsidR="00A86B6A" w:rsidRPr="00690941" w:rsidRDefault="00A86B6A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t>SL2021 – aplikacja główna systemu teleinformatycznego, o którym mowa w art. 2  pkt 2</w:t>
      </w:r>
      <w:r w:rsidR="00EE51EE" w:rsidRPr="00690941">
        <w:rPr>
          <w:rFonts w:cs="Arial"/>
        </w:rPr>
        <w:t>9</w:t>
      </w:r>
      <w:r w:rsidRPr="00690941">
        <w:rPr>
          <w:rFonts w:cs="Arial"/>
        </w:rPr>
        <w:t xml:space="preserve"> ustawy </w:t>
      </w:r>
      <w:r w:rsidR="003719C5" w:rsidRPr="00690941">
        <w:rPr>
          <w:rFonts w:cs="Arial"/>
        </w:rPr>
        <w:t>wdrożeniowej</w:t>
      </w:r>
      <w:r w:rsidRPr="00690941">
        <w:rPr>
          <w:rFonts w:cs="Arial"/>
        </w:rPr>
        <w:t xml:space="preserve">  </w:t>
      </w:r>
    </w:p>
    <w:p w14:paraId="43A29F03" w14:textId="668C1108" w:rsidR="001D6AF8" w:rsidRDefault="00A86B6A" w:rsidP="00690941">
      <w:pPr>
        <w:spacing w:before="120" w:after="120" w:line="360" w:lineRule="auto"/>
        <w:rPr>
          <w:rFonts w:cs="Arial"/>
        </w:rPr>
      </w:pPr>
      <w:r w:rsidRPr="00690941">
        <w:rPr>
          <w:rFonts w:cs="Arial"/>
        </w:rPr>
        <w:t xml:space="preserve">SFC2021 – </w:t>
      </w:r>
      <w:r w:rsidR="00AD765D">
        <w:rPr>
          <w:rFonts w:cs="Arial"/>
        </w:rPr>
        <w:t xml:space="preserve">system </w:t>
      </w:r>
      <w:r w:rsidRPr="00690941">
        <w:rPr>
          <w:rFonts w:cs="Arial"/>
        </w:rPr>
        <w:t>elektroniczn</w:t>
      </w:r>
      <w:r w:rsidR="00AD765D">
        <w:rPr>
          <w:rFonts w:cs="Arial"/>
        </w:rPr>
        <w:t>ej</w:t>
      </w:r>
      <w:r w:rsidRPr="00690941">
        <w:rPr>
          <w:rFonts w:cs="Arial"/>
        </w:rPr>
        <w:t xml:space="preserve"> wymiany danych z KE (System for Fund Management in the </w:t>
      </w:r>
      <w:proofErr w:type="spellStart"/>
      <w:r w:rsidRPr="00690941">
        <w:rPr>
          <w:rFonts w:cs="Arial"/>
        </w:rPr>
        <w:t>European</w:t>
      </w:r>
      <w:proofErr w:type="spellEnd"/>
      <w:r w:rsidRPr="00690941">
        <w:rPr>
          <w:rFonts w:cs="Arial"/>
        </w:rPr>
        <w:t xml:space="preserve"> </w:t>
      </w:r>
      <w:proofErr w:type="spellStart"/>
      <w:r w:rsidRPr="00690941">
        <w:rPr>
          <w:rFonts w:cs="Arial"/>
        </w:rPr>
        <w:t>Community</w:t>
      </w:r>
      <w:proofErr w:type="spellEnd"/>
      <w:r w:rsidRPr="00690941">
        <w:rPr>
          <w:rFonts w:cs="Arial"/>
        </w:rPr>
        <w:t xml:space="preserve"> 2021), o którym mowa w art. 69 ust. 9 rozporządzenia Parlamentu Europejskiego i Rady (UE) nr 2021/1060 z dnia 24</w:t>
      </w:r>
      <w:r w:rsidR="00C94D75">
        <w:rPr>
          <w:rFonts w:cs="Arial"/>
        </w:rPr>
        <w:t> </w:t>
      </w:r>
      <w:r w:rsidRPr="00690941">
        <w:rPr>
          <w:rFonts w:cs="Arial"/>
        </w:rPr>
        <w:t>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</w:t>
      </w:r>
      <w:r w:rsidR="00C94D75">
        <w:rPr>
          <w:rFonts w:cs="Arial"/>
        </w:rPr>
        <w:t> </w:t>
      </w:r>
      <w:r w:rsidRPr="00690941">
        <w:rPr>
          <w:rFonts w:cs="Arial"/>
        </w:rPr>
        <w:t>Integracji, Funduszu Bezpieczeństwa Wewnętrznego i Instrumentu Wsparcia Finansowego na rzecz Zarządzania Granicami i Polityki Wizowej.</w:t>
      </w:r>
    </w:p>
    <w:p w14:paraId="26764F54" w14:textId="4311C3E6" w:rsidR="009D51AF" w:rsidRPr="00690941" w:rsidRDefault="00BE6B0A" w:rsidP="00690941">
      <w:pPr>
        <w:spacing w:before="120" w:after="120" w:line="360" w:lineRule="auto"/>
        <w:rPr>
          <w:rFonts w:cs="Arial"/>
        </w:rPr>
      </w:pPr>
      <w:r>
        <w:t>O</w:t>
      </w:r>
      <w:r w:rsidRPr="00BE6B0A">
        <w:t>pis systemu zarządzania i kontroli</w:t>
      </w:r>
      <w:r w:rsidRPr="00690941">
        <w:rPr>
          <w:rFonts w:cs="Arial"/>
        </w:rPr>
        <w:t xml:space="preserve"> </w:t>
      </w:r>
      <w:r w:rsidR="00ED2BC0" w:rsidRPr="00690941">
        <w:rPr>
          <w:rFonts w:cs="Arial"/>
        </w:rPr>
        <w:t>–</w:t>
      </w:r>
      <w:r w:rsidR="00ED2BC0">
        <w:t xml:space="preserve"> </w:t>
      </w:r>
      <w:r>
        <w:t xml:space="preserve">opis, </w:t>
      </w:r>
      <w:r w:rsidR="00ED2BC0" w:rsidRPr="00690941">
        <w:rPr>
          <w:rFonts w:cs="Arial"/>
        </w:rPr>
        <w:t xml:space="preserve">o którym mowa w art. 69 ust. </w:t>
      </w:r>
      <w:r w:rsidR="00ED2BC0">
        <w:rPr>
          <w:rFonts w:cs="Arial"/>
        </w:rPr>
        <w:t>11</w:t>
      </w:r>
      <w:r w:rsidR="00ED2BC0" w:rsidRPr="00690941">
        <w:rPr>
          <w:rFonts w:cs="Arial"/>
        </w:rPr>
        <w:t xml:space="preserve"> rozporządzenia </w:t>
      </w:r>
      <w:r>
        <w:rPr>
          <w:rFonts w:cs="Arial"/>
        </w:rPr>
        <w:t>ogólnego.</w:t>
      </w:r>
    </w:p>
    <w:p w14:paraId="50BB1672" w14:textId="77777777" w:rsidR="001D6AF8" w:rsidRPr="001D6AF8" w:rsidRDefault="001D6AF8" w:rsidP="008A6ECA">
      <w:pPr>
        <w:spacing w:before="120" w:after="120" w:line="360" w:lineRule="auto"/>
        <w:rPr>
          <w:rFonts w:cs="Arial"/>
        </w:rPr>
      </w:pPr>
      <w:r w:rsidRPr="001D6AF8">
        <w:rPr>
          <w:rFonts w:cs="Arial"/>
        </w:rPr>
        <w:br w:type="page"/>
      </w:r>
    </w:p>
    <w:p w14:paraId="345903E2" w14:textId="63A98577" w:rsidR="001D6AF8" w:rsidRPr="00690941" w:rsidRDefault="0068620F" w:rsidP="00690941">
      <w:pPr>
        <w:pStyle w:val="Nagwek1"/>
      </w:pPr>
      <w:bookmarkStart w:id="13" w:name="_Toc98428189"/>
      <w:bookmarkStart w:id="14" w:name="_Toc98761661"/>
      <w:bookmarkStart w:id="15" w:name="_Toc98934365"/>
      <w:bookmarkStart w:id="16" w:name="_Toc105767753"/>
      <w:r w:rsidRPr="00690941">
        <w:lastRenderedPageBreak/>
        <w:t xml:space="preserve">Rozdział 1. </w:t>
      </w:r>
      <w:bookmarkEnd w:id="13"/>
      <w:bookmarkEnd w:id="14"/>
      <w:r w:rsidR="000952A5" w:rsidRPr="00690941">
        <w:t>Cel i zakres</w:t>
      </w:r>
      <w:r w:rsidR="007A78BB" w:rsidRPr="00690941">
        <w:t xml:space="preserve"> wytycznych</w:t>
      </w:r>
      <w:bookmarkEnd w:id="15"/>
      <w:bookmarkEnd w:id="16"/>
    </w:p>
    <w:p w14:paraId="0BF93EFD" w14:textId="4ED407AA" w:rsidR="00A86A02" w:rsidRPr="00982D52" w:rsidRDefault="00A86A02" w:rsidP="00CF72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</w:rPr>
      </w:pPr>
      <w:bookmarkStart w:id="17" w:name="_Toc98428190"/>
      <w:bookmarkStart w:id="18" w:name="_Toc98761662"/>
      <w:bookmarkStart w:id="19" w:name="_Toc98934366"/>
      <w:r w:rsidRPr="00982D52">
        <w:rPr>
          <w:rFonts w:cs="Arial"/>
        </w:rPr>
        <w:t xml:space="preserve">Celem wytycznych jest ujednolicenie procedury w zakresie księgowania wydatków. Wytyczne zawierają w szczególności </w:t>
      </w:r>
      <w:r w:rsidR="00E45991">
        <w:rPr>
          <w:rFonts w:cs="Arial"/>
        </w:rPr>
        <w:t>reguły</w:t>
      </w:r>
      <w:r w:rsidRPr="00982D52">
        <w:rPr>
          <w:rFonts w:cs="Arial"/>
        </w:rPr>
        <w:t xml:space="preserve"> </w:t>
      </w:r>
      <w:r w:rsidR="00E45991">
        <w:rPr>
          <w:rFonts w:cs="Arial"/>
        </w:rPr>
        <w:t xml:space="preserve">dotyczące </w:t>
      </w:r>
      <w:r w:rsidRPr="00982D52">
        <w:rPr>
          <w:rFonts w:cs="Arial"/>
        </w:rPr>
        <w:t>sporządzania i przekazywania przez IZ do KE zestawień wydatków, wniosków o płatność okresową oraz przygotowania prognoz wniosków o płatność do KE. Wytyczne określają również procedury i warunki współpracy pomiędzy poszczególnymi instytucjami państwa członkowskiego i KE</w:t>
      </w:r>
      <w:r w:rsidR="00710750">
        <w:rPr>
          <w:rFonts w:cs="Arial"/>
        </w:rPr>
        <w:t>,</w:t>
      </w:r>
      <w:r w:rsidRPr="00982D52">
        <w:rPr>
          <w:rFonts w:cs="Arial"/>
        </w:rPr>
        <w:t xml:space="preserve"> zaangażowanymi w</w:t>
      </w:r>
      <w:r>
        <w:rPr>
          <w:rFonts w:cs="Arial"/>
        </w:rPr>
        <w:t> </w:t>
      </w:r>
      <w:r w:rsidRPr="00982D52">
        <w:rPr>
          <w:rFonts w:cs="Arial"/>
        </w:rPr>
        <w:t xml:space="preserve">proces księgowania wydatków, wnioskowania o płatności i refundacji. </w:t>
      </w:r>
    </w:p>
    <w:p w14:paraId="73F22AA7" w14:textId="694D4B1F" w:rsidR="00A86A02" w:rsidRDefault="00A86A02" w:rsidP="00CF72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</w:rPr>
      </w:pPr>
      <w:r w:rsidRPr="005B4BAB">
        <w:rPr>
          <w:rFonts w:cs="Arial"/>
        </w:rPr>
        <w:t>Wytyczne są skierowane do IZ, IP oraz IW</w:t>
      </w:r>
      <w:r w:rsidR="00BC22CE">
        <w:rPr>
          <w:rFonts w:cs="Arial"/>
        </w:rPr>
        <w:t>,</w:t>
      </w:r>
      <w:r w:rsidRPr="005B4BAB">
        <w:rPr>
          <w:rFonts w:cs="Arial"/>
        </w:rPr>
        <w:t xml:space="preserve"> zaangażowanych w realizację krajowych i regionalnych </w:t>
      </w:r>
      <w:r w:rsidR="00E463E7">
        <w:rPr>
          <w:rFonts w:cs="Arial"/>
        </w:rPr>
        <w:t xml:space="preserve">programów </w:t>
      </w:r>
      <w:r w:rsidRPr="005B4BAB">
        <w:rPr>
          <w:rFonts w:cs="Arial"/>
        </w:rPr>
        <w:t xml:space="preserve">oraz programów </w:t>
      </w:r>
      <w:r w:rsidRPr="00E12E54">
        <w:rPr>
          <w:rFonts w:cs="Arial"/>
        </w:rPr>
        <w:t>INTERREG</w:t>
      </w:r>
      <w:r w:rsidR="00BC22CE">
        <w:rPr>
          <w:rFonts w:cs="Arial"/>
        </w:rPr>
        <w:t>,</w:t>
      </w:r>
      <w:r w:rsidRPr="00E12E54">
        <w:rPr>
          <w:rFonts w:cs="Arial"/>
        </w:rPr>
        <w:t xml:space="preserve"> n</w:t>
      </w:r>
      <w:r w:rsidRPr="005B4BAB">
        <w:rPr>
          <w:rFonts w:cs="Arial"/>
        </w:rPr>
        <w:t xml:space="preserve">a lata </w:t>
      </w:r>
      <w:r>
        <w:rPr>
          <w:rFonts w:cs="Arial"/>
        </w:rPr>
        <w:t>2021-2027</w:t>
      </w:r>
      <w:r w:rsidRPr="005B4BAB">
        <w:rPr>
          <w:rFonts w:cs="Arial"/>
        </w:rPr>
        <w:t xml:space="preserve">, oraz </w:t>
      </w:r>
      <w:r w:rsidR="00EE52D3">
        <w:rPr>
          <w:rFonts w:cs="Arial"/>
        </w:rPr>
        <w:t>MF (pełniącego funkcję IOP w ramach krajowych i regionalnych</w:t>
      </w:r>
      <w:r w:rsidR="00576FF2">
        <w:rPr>
          <w:rFonts w:cs="Arial"/>
        </w:rPr>
        <w:t xml:space="preserve"> programó</w:t>
      </w:r>
      <w:r w:rsidR="009122EF">
        <w:rPr>
          <w:rFonts w:cs="Arial"/>
        </w:rPr>
        <w:t>w</w:t>
      </w:r>
      <w:r w:rsidR="00EE52D3">
        <w:rPr>
          <w:rFonts w:cs="Arial"/>
        </w:rPr>
        <w:t xml:space="preserve">) i DBR (pełniącego funkcję IOP w ramach </w:t>
      </w:r>
      <w:r w:rsidRPr="005B4BAB">
        <w:rPr>
          <w:rFonts w:cs="Arial"/>
        </w:rPr>
        <w:t>programów INTERREG</w:t>
      </w:r>
      <w:r w:rsidR="005818F3">
        <w:rPr>
          <w:rFonts w:cs="Arial"/>
        </w:rPr>
        <w:t>)</w:t>
      </w:r>
      <w:r w:rsidR="00260BAF">
        <w:rPr>
          <w:rFonts w:cs="Arial"/>
        </w:rPr>
        <w:t>.</w:t>
      </w:r>
    </w:p>
    <w:p w14:paraId="7803C564" w14:textId="6405C0C9" w:rsidR="008A6ECA" w:rsidRDefault="008A6ECA" w:rsidP="008A6ECA">
      <w:p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</w:p>
    <w:p w14:paraId="51DE431B" w14:textId="5F0CD2A8" w:rsidR="001D6AF8" w:rsidRPr="00690941" w:rsidRDefault="0068620F" w:rsidP="00690941">
      <w:pPr>
        <w:pStyle w:val="Nagwek1"/>
      </w:pPr>
      <w:bookmarkStart w:id="20" w:name="_Toc105767754"/>
      <w:r w:rsidRPr="00690941">
        <w:t xml:space="preserve">Rozdział 2. </w:t>
      </w:r>
      <w:bookmarkEnd w:id="17"/>
      <w:bookmarkEnd w:id="18"/>
      <w:bookmarkEnd w:id="19"/>
      <w:r w:rsidR="00A86A02" w:rsidRPr="00690941">
        <w:t>Organizacja procesu księgowania wydatków</w:t>
      </w:r>
      <w:bookmarkEnd w:id="20"/>
    </w:p>
    <w:p w14:paraId="15232C43" w14:textId="5B2E1FDA" w:rsidR="00A86A02" w:rsidRPr="001D6AF8" w:rsidRDefault="00A86A02" w:rsidP="00690941">
      <w:pPr>
        <w:pStyle w:val="Nagwek2"/>
      </w:pPr>
      <w:bookmarkStart w:id="21" w:name="_Toc105767755"/>
      <w:r>
        <w:t xml:space="preserve">Podrozdział 2.1. </w:t>
      </w:r>
      <w:r w:rsidRPr="005B4BAB">
        <w:t>Podstawowe założenia organizacyjne procesu</w:t>
      </w:r>
      <w:bookmarkEnd w:id="21"/>
    </w:p>
    <w:p w14:paraId="25DEB350" w14:textId="6B7CC06A" w:rsidR="00A86A02" w:rsidRPr="00C02901" w:rsidRDefault="00A86A02" w:rsidP="00CF7216">
      <w:pPr>
        <w:pStyle w:val="Akapitzlist"/>
        <w:numPr>
          <w:ilvl w:val="0"/>
          <w:numId w:val="4"/>
        </w:numPr>
        <w:spacing w:before="120" w:after="120" w:line="360" w:lineRule="auto"/>
        <w:rPr>
          <w:rFonts w:cs="Arial"/>
          <w:szCs w:val="22"/>
        </w:rPr>
      </w:pPr>
      <w:r w:rsidRPr="00C02901">
        <w:rPr>
          <w:rFonts w:cs="Arial"/>
          <w:szCs w:val="22"/>
        </w:rPr>
        <w:t xml:space="preserve">Zgodnie z art. 8 </w:t>
      </w:r>
      <w:r w:rsidR="00BF3978">
        <w:rPr>
          <w:rFonts w:cs="Arial"/>
          <w:szCs w:val="22"/>
        </w:rPr>
        <w:t>ust.</w:t>
      </w:r>
      <w:r w:rsidRPr="00C02901">
        <w:rPr>
          <w:rFonts w:cs="Arial"/>
          <w:szCs w:val="22"/>
        </w:rPr>
        <w:t xml:space="preserve"> 2 pkt 7 ustawy wdrożeniowej IZ odpowiada za realizację zadań</w:t>
      </w:r>
      <w:r w:rsidR="008465D8">
        <w:rPr>
          <w:rFonts w:cs="Arial"/>
          <w:szCs w:val="22"/>
        </w:rPr>
        <w:t>,</w:t>
      </w:r>
      <w:r w:rsidRPr="00C02901">
        <w:rPr>
          <w:rFonts w:cs="Arial"/>
          <w:szCs w:val="22"/>
        </w:rPr>
        <w:t xml:space="preserve"> o których mowa w art. 76 ust. 1 rozporządzenia ogólnego 2021/1060.</w:t>
      </w:r>
    </w:p>
    <w:p w14:paraId="6B91DB47" w14:textId="499F637F" w:rsidR="00A86A02" w:rsidRPr="00C02901" w:rsidRDefault="00A86A02" w:rsidP="00CF7216">
      <w:pPr>
        <w:pStyle w:val="Akapitzlist"/>
        <w:numPr>
          <w:ilvl w:val="0"/>
          <w:numId w:val="4"/>
        </w:numPr>
        <w:spacing w:before="120" w:after="120" w:line="360" w:lineRule="auto"/>
        <w:rPr>
          <w:rFonts w:cs="Arial"/>
          <w:szCs w:val="22"/>
        </w:rPr>
      </w:pPr>
      <w:r w:rsidRPr="00C02901">
        <w:rPr>
          <w:rFonts w:cs="Arial"/>
          <w:szCs w:val="22"/>
        </w:rPr>
        <w:t>W celu zachowania rozdziału funkcji</w:t>
      </w:r>
      <w:r w:rsidR="00DF0766">
        <w:rPr>
          <w:rFonts w:cs="Arial"/>
          <w:szCs w:val="22"/>
        </w:rPr>
        <w:t>,</w:t>
      </w:r>
      <w:r w:rsidRPr="00C02901">
        <w:rPr>
          <w:rFonts w:cs="Arial"/>
          <w:szCs w:val="22"/>
        </w:rPr>
        <w:t xml:space="preserve"> w ramach </w:t>
      </w:r>
      <w:r w:rsidR="00773E9C">
        <w:rPr>
          <w:rFonts w:cs="Arial"/>
          <w:szCs w:val="22"/>
        </w:rPr>
        <w:t>IZ</w:t>
      </w:r>
      <w:r w:rsidRPr="00C02901">
        <w:rPr>
          <w:rFonts w:cs="Arial"/>
          <w:szCs w:val="22"/>
        </w:rPr>
        <w:t xml:space="preserve"> osoby biorące udział w procesie księgowania wydatków</w:t>
      </w:r>
      <w:r w:rsidR="008465D8">
        <w:rPr>
          <w:rFonts w:cs="Arial"/>
          <w:szCs w:val="22"/>
        </w:rPr>
        <w:t xml:space="preserve">, </w:t>
      </w:r>
      <w:r w:rsidRPr="00C02901">
        <w:rPr>
          <w:rFonts w:cs="Arial"/>
          <w:szCs w:val="22"/>
        </w:rPr>
        <w:t>w szczególności sporządzające, weryfikujące i</w:t>
      </w:r>
      <w:r w:rsidR="00617E90">
        <w:rPr>
          <w:rFonts w:cs="Arial"/>
          <w:szCs w:val="22"/>
        </w:rPr>
        <w:t> </w:t>
      </w:r>
      <w:r w:rsidRPr="00C02901">
        <w:rPr>
          <w:rFonts w:cs="Arial"/>
          <w:szCs w:val="22"/>
        </w:rPr>
        <w:t>zatwierdzające wnioski o płatność do KE oraz zestawienia wydatków</w:t>
      </w:r>
      <w:r w:rsidR="008465D8">
        <w:rPr>
          <w:rFonts w:cs="Arial"/>
          <w:szCs w:val="22"/>
        </w:rPr>
        <w:t>,</w:t>
      </w:r>
      <w:r w:rsidRPr="00C02901">
        <w:rPr>
          <w:rFonts w:cs="Arial"/>
          <w:szCs w:val="22"/>
        </w:rPr>
        <w:t xml:space="preserve"> nie mogą realizować zadań związanych z:</w:t>
      </w:r>
    </w:p>
    <w:p w14:paraId="55961D1D" w14:textId="713DDA5A" w:rsidR="00A86A02" w:rsidRPr="003B104A" w:rsidRDefault="00452E69" w:rsidP="003B104A">
      <w:pPr>
        <w:pStyle w:val="Akapitzlist"/>
        <w:spacing w:before="120" w:after="120" w:line="360" w:lineRule="auto"/>
        <w:ind w:left="360"/>
        <w:rPr>
          <w:rFonts w:cs="Arial"/>
          <w:szCs w:val="22"/>
        </w:rPr>
      </w:pPr>
      <w:r w:rsidRPr="003B104A">
        <w:rPr>
          <w:rFonts w:cs="Arial"/>
          <w:szCs w:val="22"/>
        </w:rPr>
        <w:t>a)</w:t>
      </w:r>
      <w:r w:rsidR="00A86A02" w:rsidRPr="003B104A">
        <w:rPr>
          <w:rFonts w:cs="Arial"/>
          <w:szCs w:val="22"/>
        </w:rPr>
        <w:tab/>
        <w:t xml:space="preserve">weryfikacją wniosków o dofinansowanie oraz wyborem projektów do dofinansowania, </w:t>
      </w:r>
    </w:p>
    <w:p w14:paraId="7AE7D825" w14:textId="6CEEAC7F" w:rsidR="00A86A02" w:rsidRPr="003B104A" w:rsidRDefault="00452E69" w:rsidP="003B104A">
      <w:pPr>
        <w:pStyle w:val="Akapitzlist"/>
        <w:spacing w:before="120" w:after="120" w:line="360" w:lineRule="auto"/>
        <w:ind w:left="360"/>
        <w:rPr>
          <w:rFonts w:cs="Arial"/>
          <w:szCs w:val="22"/>
        </w:rPr>
      </w:pPr>
      <w:r w:rsidRPr="003B104A">
        <w:rPr>
          <w:rFonts w:cs="Arial"/>
          <w:szCs w:val="22"/>
        </w:rPr>
        <w:t>b)</w:t>
      </w:r>
      <w:r w:rsidR="00A86A02" w:rsidRPr="003B104A">
        <w:rPr>
          <w:rFonts w:cs="Arial"/>
          <w:szCs w:val="22"/>
        </w:rPr>
        <w:tab/>
        <w:t>procesem zawierania i rozwiązywania umów o dofinansowanie,</w:t>
      </w:r>
    </w:p>
    <w:p w14:paraId="2B5BF1E3" w14:textId="5673EDF5" w:rsidR="00A86A02" w:rsidRPr="003B104A" w:rsidRDefault="00452E69" w:rsidP="003B104A">
      <w:pPr>
        <w:pStyle w:val="Akapitzlist"/>
        <w:spacing w:before="120" w:after="120" w:line="360" w:lineRule="auto"/>
        <w:ind w:left="360"/>
        <w:rPr>
          <w:rFonts w:cs="Arial"/>
          <w:szCs w:val="22"/>
        </w:rPr>
      </w:pPr>
      <w:r w:rsidRPr="003B104A">
        <w:rPr>
          <w:rFonts w:cs="Arial"/>
          <w:szCs w:val="22"/>
        </w:rPr>
        <w:t>c)</w:t>
      </w:r>
      <w:r w:rsidR="00A86A02" w:rsidRPr="003B104A">
        <w:rPr>
          <w:rFonts w:cs="Arial"/>
          <w:szCs w:val="22"/>
        </w:rPr>
        <w:tab/>
        <w:t>weryfikacją wydatków poniesionych w ramach realizowanych projektów i</w:t>
      </w:r>
      <w:r w:rsidR="00756BDB" w:rsidRPr="003B104A">
        <w:rPr>
          <w:rFonts w:cs="Arial"/>
          <w:szCs w:val="22"/>
        </w:rPr>
        <w:t> </w:t>
      </w:r>
      <w:r w:rsidR="00A86A02" w:rsidRPr="003B104A">
        <w:rPr>
          <w:rFonts w:cs="Arial"/>
          <w:szCs w:val="22"/>
        </w:rPr>
        <w:t xml:space="preserve">wykazanych we wnioskach o płatność złożonych przez beneficjentów, w tym również instytucje systemu wdrażania danego programu w ramach realizowanych projektów własnych i pomocy technicznej, </w:t>
      </w:r>
    </w:p>
    <w:p w14:paraId="015B616B" w14:textId="63CB995D" w:rsidR="00A86A02" w:rsidRPr="00C02901" w:rsidRDefault="00452E69" w:rsidP="00CF7216">
      <w:pPr>
        <w:pStyle w:val="Akapitzlist"/>
        <w:spacing w:before="120" w:after="120" w:line="36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d)</w:t>
      </w:r>
      <w:r w:rsidR="00A86A02" w:rsidRPr="00C02901">
        <w:rPr>
          <w:rFonts w:cs="Arial"/>
          <w:szCs w:val="22"/>
        </w:rPr>
        <w:tab/>
        <w:t>przeprowadzaniem kontroli, o których mowa w art. 2</w:t>
      </w:r>
      <w:r w:rsidR="00EE51EE">
        <w:rPr>
          <w:rFonts w:cs="Arial"/>
          <w:szCs w:val="22"/>
        </w:rPr>
        <w:t>4</w:t>
      </w:r>
      <w:r w:rsidR="00A86A02" w:rsidRPr="00C02901">
        <w:rPr>
          <w:rFonts w:cs="Arial"/>
          <w:szCs w:val="22"/>
        </w:rPr>
        <w:t xml:space="preserve"> ustawy wdrożeniowej, </w:t>
      </w:r>
    </w:p>
    <w:p w14:paraId="733211B2" w14:textId="14C770C3" w:rsidR="00124341" w:rsidRDefault="00452E69" w:rsidP="00CF7216">
      <w:pPr>
        <w:pStyle w:val="Akapitzlist"/>
        <w:spacing w:before="120" w:after="120" w:line="360" w:lineRule="auto"/>
        <w:ind w:left="360"/>
        <w:rPr>
          <w:rFonts w:cs="Arial"/>
          <w:szCs w:val="22"/>
        </w:rPr>
      </w:pPr>
      <w:r>
        <w:rPr>
          <w:rFonts w:cs="Arial"/>
          <w:szCs w:val="22"/>
        </w:rPr>
        <w:t>e)</w:t>
      </w:r>
      <w:r w:rsidR="00A86A02" w:rsidRPr="00C02901">
        <w:rPr>
          <w:rFonts w:cs="Arial"/>
          <w:szCs w:val="22"/>
        </w:rPr>
        <w:tab/>
        <w:t xml:space="preserve">wydawaniem decyzji o umorzeniu w całości lub w części lub o odroczeniu albo rozłożeniu na raty spłaty należności wynikających z obowiązku zwrotu środków, </w:t>
      </w:r>
      <w:r w:rsidR="00A86A02" w:rsidRPr="00C02901">
        <w:rPr>
          <w:rFonts w:cs="Arial"/>
          <w:szCs w:val="22"/>
        </w:rPr>
        <w:lastRenderedPageBreak/>
        <w:t>decyzji o zapłacie odsetek lub decyzji o zwrocie środków, o których mowa odpowiednio  w art. 61, 189 i 207 ustawy o finansach publicznych.</w:t>
      </w:r>
    </w:p>
    <w:p w14:paraId="1DB7C98D" w14:textId="09530620" w:rsidR="00A86A02" w:rsidRPr="00C02901" w:rsidRDefault="00A86A02" w:rsidP="00CF7216">
      <w:pPr>
        <w:pStyle w:val="Akapitzlist"/>
        <w:spacing w:before="120" w:after="120" w:line="360" w:lineRule="auto"/>
        <w:ind w:left="360"/>
        <w:rPr>
          <w:rFonts w:cs="Arial"/>
          <w:szCs w:val="22"/>
        </w:rPr>
      </w:pPr>
      <w:r w:rsidRPr="00C02901">
        <w:rPr>
          <w:rFonts w:cs="Arial"/>
          <w:szCs w:val="22"/>
        </w:rPr>
        <w:t>System zastępstw personalnych, ustanowiony w ramach danej instytucji musi uwzględniać powyższe warunki.</w:t>
      </w:r>
    </w:p>
    <w:p w14:paraId="2EBBF4DC" w14:textId="6F30FF21" w:rsidR="00A86A02" w:rsidRPr="00C02901" w:rsidRDefault="00A86A02" w:rsidP="00CF7216">
      <w:pPr>
        <w:pStyle w:val="Akapitzlist"/>
        <w:numPr>
          <w:ilvl w:val="0"/>
          <w:numId w:val="4"/>
        </w:numPr>
        <w:spacing w:before="120" w:after="120" w:line="360" w:lineRule="auto"/>
        <w:rPr>
          <w:rFonts w:cs="Arial"/>
          <w:szCs w:val="22"/>
        </w:rPr>
      </w:pPr>
      <w:r w:rsidRPr="00C02901">
        <w:rPr>
          <w:rFonts w:cs="Arial"/>
          <w:szCs w:val="22"/>
        </w:rPr>
        <w:t>Funkcje koordynacyjne w zakresie procesu księgowania wydatków pełni IKPKW.</w:t>
      </w:r>
    </w:p>
    <w:p w14:paraId="7BAD7AD1" w14:textId="11DCF7A1" w:rsidR="00A86A02" w:rsidRPr="00C02901" w:rsidRDefault="00A86A02" w:rsidP="00CF7216">
      <w:pPr>
        <w:pStyle w:val="Akapitzlist"/>
        <w:numPr>
          <w:ilvl w:val="0"/>
          <w:numId w:val="4"/>
        </w:numPr>
        <w:spacing w:before="120" w:after="120" w:line="360" w:lineRule="auto"/>
        <w:rPr>
          <w:rFonts w:cs="Arial"/>
          <w:szCs w:val="22"/>
        </w:rPr>
      </w:pPr>
      <w:r w:rsidRPr="00C02901">
        <w:rPr>
          <w:rFonts w:cs="Arial"/>
          <w:szCs w:val="22"/>
        </w:rPr>
        <w:t xml:space="preserve">Zadanie </w:t>
      </w:r>
      <w:r w:rsidR="001F6EB1" w:rsidRPr="001F6EB1">
        <w:rPr>
          <w:rFonts w:cs="Arial"/>
          <w:szCs w:val="22"/>
        </w:rPr>
        <w:t>polegające na rejestrowaniu i przechowaniu w formie elektronicznej danych dotyczących każdej operacji, niezbędnych do monitorowania, ewaluacji, zarządzania finansowego, weryfikacji i audytów</w:t>
      </w:r>
      <w:r w:rsidR="0095238E">
        <w:rPr>
          <w:rFonts w:cs="Arial"/>
          <w:szCs w:val="22"/>
        </w:rPr>
        <w:t xml:space="preserve"> </w:t>
      </w:r>
      <w:r w:rsidR="001F6EB1" w:rsidRPr="001F6EB1">
        <w:rPr>
          <w:rFonts w:cs="Arial"/>
          <w:szCs w:val="22"/>
        </w:rPr>
        <w:t>a</w:t>
      </w:r>
      <w:r w:rsidR="00617E90">
        <w:rPr>
          <w:rFonts w:cs="Arial"/>
          <w:szCs w:val="22"/>
        </w:rPr>
        <w:t> </w:t>
      </w:r>
      <w:r w:rsidR="001F6EB1" w:rsidRPr="001F6EB1">
        <w:rPr>
          <w:rFonts w:cs="Arial"/>
          <w:szCs w:val="22"/>
        </w:rPr>
        <w:t>także zapewnienia bezpieczeństwa, integralności i poufności danych oraz uwierzytelnianie użytkowników</w:t>
      </w:r>
      <w:r w:rsidR="001F6EB1">
        <w:rPr>
          <w:rFonts w:cs="Arial"/>
          <w:szCs w:val="22"/>
        </w:rPr>
        <w:t xml:space="preserve"> (</w:t>
      </w:r>
      <w:r w:rsidRPr="00C02901">
        <w:rPr>
          <w:rFonts w:cs="Arial"/>
          <w:szCs w:val="22"/>
        </w:rPr>
        <w:t xml:space="preserve">art. </w:t>
      </w:r>
      <w:r w:rsidRPr="00C02901">
        <w:rPr>
          <w:rFonts w:cs="Arial"/>
          <w:bCs/>
          <w:szCs w:val="22"/>
        </w:rPr>
        <w:t>72 ust</w:t>
      </w:r>
      <w:r w:rsidR="009F5E84">
        <w:rPr>
          <w:rFonts w:cs="Arial"/>
          <w:bCs/>
          <w:szCs w:val="22"/>
        </w:rPr>
        <w:t>.</w:t>
      </w:r>
      <w:r w:rsidRPr="00C02901">
        <w:rPr>
          <w:rFonts w:cs="Arial"/>
          <w:bCs/>
          <w:szCs w:val="22"/>
        </w:rPr>
        <w:t xml:space="preserve"> 1 lit. e </w:t>
      </w:r>
      <w:r w:rsidRPr="00C02901">
        <w:rPr>
          <w:rFonts w:cs="Arial"/>
          <w:szCs w:val="22"/>
        </w:rPr>
        <w:t>rozporządzenia ogólnego</w:t>
      </w:r>
      <w:r w:rsidR="001F6EB1">
        <w:rPr>
          <w:rFonts w:cs="Arial"/>
          <w:szCs w:val="22"/>
        </w:rPr>
        <w:t>)</w:t>
      </w:r>
      <w:r w:rsidRPr="00C02901">
        <w:rPr>
          <w:rFonts w:cs="Arial"/>
          <w:szCs w:val="22"/>
        </w:rPr>
        <w:t xml:space="preserve"> będzie realizowane poprzez </w:t>
      </w:r>
      <w:r w:rsidRPr="00C02901">
        <w:rPr>
          <w:rFonts w:cs="Arial"/>
          <w:bCs/>
          <w:szCs w:val="22"/>
        </w:rPr>
        <w:t>gromadzenie</w:t>
      </w:r>
      <w:r w:rsidRPr="00C02901">
        <w:rPr>
          <w:rFonts w:cs="Arial"/>
          <w:szCs w:val="22"/>
        </w:rPr>
        <w:t xml:space="preserve"> </w:t>
      </w:r>
      <w:r w:rsidRPr="00C02901">
        <w:rPr>
          <w:rFonts w:cs="Arial"/>
          <w:bCs/>
          <w:szCs w:val="22"/>
        </w:rPr>
        <w:t>odpowiednich danych w SL20</w:t>
      </w:r>
      <w:r w:rsidR="00BF3978">
        <w:rPr>
          <w:rFonts w:cs="Arial"/>
          <w:bCs/>
          <w:szCs w:val="22"/>
        </w:rPr>
        <w:t>21</w:t>
      </w:r>
      <w:r w:rsidRPr="00C02901">
        <w:rPr>
          <w:rFonts w:cs="Arial"/>
          <w:bCs/>
          <w:szCs w:val="22"/>
        </w:rPr>
        <w:t xml:space="preserve">. Niezależnie od powyższego IZ może zdecydować o prowadzeniu </w:t>
      </w:r>
      <w:r w:rsidRPr="00C02901">
        <w:rPr>
          <w:rFonts w:cs="Arial"/>
          <w:szCs w:val="22"/>
        </w:rPr>
        <w:t>pozabilansowej elektronicznej ewidencji księgowej środków związanych z</w:t>
      </w:r>
      <w:r w:rsidR="00617E90">
        <w:rPr>
          <w:rFonts w:cs="Arial"/>
          <w:szCs w:val="22"/>
        </w:rPr>
        <w:t> </w:t>
      </w:r>
      <w:r w:rsidRPr="00C02901">
        <w:rPr>
          <w:rFonts w:cs="Arial"/>
          <w:szCs w:val="22"/>
        </w:rPr>
        <w:t>realizacją programu.</w:t>
      </w:r>
    </w:p>
    <w:p w14:paraId="494D92C8" w14:textId="54B9308D" w:rsidR="00A86A02" w:rsidRPr="00C02901" w:rsidRDefault="00A86A02" w:rsidP="00CF7216">
      <w:pPr>
        <w:pStyle w:val="Akapitzlist"/>
        <w:numPr>
          <w:ilvl w:val="0"/>
          <w:numId w:val="4"/>
        </w:numPr>
        <w:spacing w:before="120" w:after="120" w:line="360" w:lineRule="auto"/>
        <w:rPr>
          <w:rFonts w:cs="Arial"/>
          <w:szCs w:val="22"/>
        </w:rPr>
      </w:pPr>
      <w:r w:rsidRPr="00C02901">
        <w:rPr>
          <w:rFonts w:cs="Arial"/>
          <w:szCs w:val="22"/>
        </w:rPr>
        <w:t>DBR:</w:t>
      </w:r>
    </w:p>
    <w:p w14:paraId="4004E5A3" w14:textId="527B6EC7" w:rsidR="00A86A02" w:rsidRPr="00C02901" w:rsidRDefault="00A86A02" w:rsidP="00CF7216">
      <w:pPr>
        <w:numPr>
          <w:ilvl w:val="1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C02901">
        <w:rPr>
          <w:rFonts w:cs="Arial"/>
          <w:szCs w:val="22"/>
        </w:rPr>
        <w:t xml:space="preserve">w przypadku krajowych programów  </w:t>
      </w:r>
      <w:r w:rsidR="008465D8">
        <w:rPr>
          <w:rFonts w:cs="Arial"/>
          <w:szCs w:val="22"/>
        </w:rPr>
        <w:t xml:space="preserve">- </w:t>
      </w:r>
      <w:r w:rsidRPr="00C02901">
        <w:rPr>
          <w:rFonts w:cs="Arial"/>
          <w:szCs w:val="22"/>
        </w:rPr>
        <w:t>prowadzi pozabilansową elektroniczną ewidencję księgową:</w:t>
      </w:r>
    </w:p>
    <w:p w14:paraId="16EA7609" w14:textId="381F5736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wydatków kwalifikowalnych zadeklarowanych do KE oraz</w:t>
      </w:r>
      <w:r w:rsidR="00617E90">
        <w:rPr>
          <w:rFonts w:cs="Arial"/>
          <w:szCs w:val="22"/>
        </w:rPr>
        <w:t xml:space="preserve"> </w:t>
      </w:r>
      <w:r w:rsidRPr="005B4BAB">
        <w:rPr>
          <w:rFonts w:cs="Arial"/>
          <w:szCs w:val="22"/>
        </w:rPr>
        <w:t>odpowiadającego im wkładu publicznego wypłaconego na rzecz beneficjentów</w:t>
      </w:r>
      <w:r w:rsidR="008A3EC1">
        <w:rPr>
          <w:rFonts w:cs="Arial"/>
          <w:szCs w:val="22"/>
        </w:rPr>
        <w:t xml:space="preserve"> - </w:t>
      </w:r>
      <w:r w:rsidR="008A3EC1" w:rsidRPr="00124341">
        <w:rPr>
          <w:rFonts w:cs="Arial"/>
        </w:rPr>
        <w:t>w</w:t>
      </w:r>
      <w:r w:rsidR="008A3EC1">
        <w:rPr>
          <w:rFonts w:cs="Arial"/>
        </w:rPr>
        <w:t> </w:t>
      </w:r>
      <w:r w:rsidR="008A3EC1" w:rsidRPr="00124341">
        <w:rPr>
          <w:rFonts w:cs="Arial"/>
        </w:rPr>
        <w:t>podziale na poszczególne programy i priorytety</w:t>
      </w:r>
      <w:r w:rsidR="008465D8">
        <w:rPr>
          <w:rFonts w:cs="Arial"/>
          <w:szCs w:val="22"/>
        </w:rPr>
        <w:t>,</w:t>
      </w:r>
      <w:r w:rsidRPr="005B4BAB">
        <w:rPr>
          <w:rFonts w:cs="Arial"/>
          <w:szCs w:val="22"/>
        </w:rPr>
        <w:t xml:space="preserve"> </w:t>
      </w:r>
    </w:p>
    <w:p w14:paraId="3BBEE640" w14:textId="3B642D39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kwot wnioskowanych do KE</w:t>
      </w:r>
      <w:r w:rsidR="008A3EC1">
        <w:rPr>
          <w:rFonts w:cs="Arial"/>
          <w:szCs w:val="22"/>
        </w:rPr>
        <w:t xml:space="preserve"> - </w:t>
      </w:r>
      <w:r w:rsidR="008A3EC1" w:rsidRPr="00124341">
        <w:rPr>
          <w:rFonts w:cs="Arial"/>
        </w:rPr>
        <w:t>w</w:t>
      </w:r>
      <w:r w:rsidR="008A3EC1">
        <w:rPr>
          <w:rFonts w:cs="Arial"/>
        </w:rPr>
        <w:t> </w:t>
      </w:r>
      <w:r w:rsidR="008A3EC1" w:rsidRPr="00124341">
        <w:rPr>
          <w:rFonts w:cs="Arial"/>
        </w:rPr>
        <w:t>podziale na poszczególne programy i priorytety</w:t>
      </w:r>
      <w:r w:rsidRPr="005B4BAB">
        <w:rPr>
          <w:rFonts w:cs="Arial"/>
          <w:szCs w:val="22"/>
        </w:rPr>
        <w:t>,</w:t>
      </w:r>
    </w:p>
    <w:p w14:paraId="2593FAD2" w14:textId="0E3B2CA9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płatności okresowych (refundacji) otrzymanych z KE</w:t>
      </w:r>
      <w:r w:rsidR="008A3EC1">
        <w:rPr>
          <w:rFonts w:cs="Arial"/>
          <w:szCs w:val="22"/>
        </w:rPr>
        <w:t xml:space="preserve">  - </w:t>
      </w:r>
      <w:r w:rsidR="008A3EC1" w:rsidRPr="00124341">
        <w:rPr>
          <w:rFonts w:cs="Arial"/>
        </w:rPr>
        <w:t>w</w:t>
      </w:r>
      <w:r w:rsidR="008A3EC1">
        <w:rPr>
          <w:rFonts w:cs="Arial"/>
        </w:rPr>
        <w:t> </w:t>
      </w:r>
      <w:r w:rsidR="008A3EC1" w:rsidRPr="00124341">
        <w:rPr>
          <w:rFonts w:cs="Arial"/>
        </w:rPr>
        <w:t>podziale na poszczególne programy i priorytety</w:t>
      </w:r>
      <w:r w:rsidRPr="005B4BAB">
        <w:rPr>
          <w:rFonts w:cs="Arial"/>
          <w:szCs w:val="22"/>
        </w:rPr>
        <w:t>,</w:t>
      </w:r>
    </w:p>
    <w:p w14:paraId="390A0E66" w14:textId="77E52B34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zaliczek otrzymanych z KE</w:t>
      </w:r>
      <w:r w:rsidR="008A3EC1">
        <w:rPr>
          <w:rFonts w:cs="Arial"/>
          <w:szCs w:val="22"/>
        </w:rPr>
        <w:t xml:space="preserve"> - </w:t>
      </w:r>
      <w:r w:rsidR="008A3EC1" w:rsidRPr="008A3EC1">
        <w:rPr>
          <w:rFonts w:cs="Arial"/>
          <w:szCs w:val="22"/>
        </w:rPr>
        <w:t>w szczegółowości do programu</w:t>
      </w:r>
      <w:r w:rsidRPr="005B4BAB">
        <w:rPr>
          <w:rFonts w:cs="Arial"/>
          <w:szCs w:val="22"/>
        </w:rPr>
        <w:t xml:space="preserve">, </w:t>
      </w:r>
    </w:p>
    <w:p w14:paraId="51D73D2A" w14:textId="7E9D3614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odsetek narosłych na rachunkach bankowych poszczególnych programów</w:t>
      </w:r>
      <w:r w:rsidR="008A3EC1">
        <w:rPr>
          <w:rFonts w:cs="Arial"/>
          <w:szCs w:val="22"/>
        </w:rPr>
        <w:t xml:space="preserve"> </w:t>
      </w:r>
      <w:r w:rsidR="002F68EE">
        <w:rPr>
          <w:rFonts w:cs="Arial"/>
          <w:szCs w:val="22"/>
        </w:rPr>
        <w:t xml:space="preserve"> - </w:t>
      </w:r>
      <w:r w:rsidR="008A3EC1" w:rsidRPr="009B1B3D">
        <w:t>w szczegółowości do programu</w:t>
      </w:r>
      <w:r w:rsidR="008465D8">
        <w:rPr>
          <w:rFonts w:cs="Arial"/>
          <w:szCs w:val="22"/>
        </w:rPr>
        <w:t>,</w:t>
      </w:r>
    </w:p>
    <w:p w14:paraId="4952537E" w14:textId="266ADC42" w:rsidR="00A86A02" w:rsidRPr="005B4BAB" w:rsidRDefault="00A86A02" w:rsidP="00CF7216">
      <w:pPr>
        <w:numPr>
          <w:ilvl w:val="1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 xml:space="preserve">w przypadku programów INTERREG, dla których w Polsce zostały umiejscowione </w:t>
      </w:r>
      <w:r w:rsidR="008465D8">
        <w:rPr>
          <w:rFonts w:cs="Arial"/>
          <w:szCs w:val="22"/>
        </w:rPr>
        <w:t>IZ oraz IA</w:t>
      </w:r>
      <w:r w:rsidRPr="005B4BAB">
        <w:rPr>
          <w:rFonts w:cs="Arial"/>
          <w:szCs w:val="22"/>
        </w:rPr>
        <w:t xml:space="preserve"> </w:t>
      </w:r>
      <w:r w:rsidR="009D71B5">
        <w:rPr>
          <w:rFonts w:cs="Arial"/>
          <w:szCs w:val="22"/>
        </w:rPr>
        <w:t xml:space="preserve">- </w:t>
      </w:r>
      <w:r w:rsidRPr="005B4BAB">
        <w:rPr>
          <w:rFonts w:cs="Arial"/>
          <w:szCs w:val="22"/>
        </w:rPr>
        <w:t xml:space="preserve">prowadzi </w:t>
      </w:r>
      <w:r w:rsidR="008A3EC1" w:rsidRPr="009B1B3D">
        <w:t xml:space="preserve">w szczegółowości do programu </w:t>
      </w:r>
      <w:r w:rsidRPr="005B4BAB">
        <w:rPr>
          <w:rFonts w:cs="Arial"/>
          <w:szCs w:val="22"/>
        </w:rPr>
        <w:t xml:space="preserve">pozabilansową elektroniczną ewidencję księgową wydatków </w:t>
      </w:r>
      <w:r w:rsidR="009122EF" w:rsidRPr="005B4BAB">
        <w:rPr>
          <w:rFonts w:cs="Arial"/>
          <w:szCs w:val="22"/>
        </w:rPr>
        <w:t xml:space="preserve">kwalifikowalnych </w:t>
      </w:r>
      <w:r w:rsidRPr="005B4BAB">
        <w:rPr>
          <w:rFonts w:cs="Arial"/>
          <w:szCs w:val="22"/>
        </w:rPr>
        <w:t>zadeklarowanych do KE (oraz</w:t>
      </w:r>
      <w:r w:rsidR="00617E90">
        <w:rPr>
          <w:rFonts w:cs="Arial"/>
          <w:szCs w:val="22"/>
        </w:rPr>
        <w:t> </w:t>
      </w:r>
      <w:r w:rsidRPr="005B4BAB">
        <w:rPr>
          <w:rFonts w:cs="Arial"/>
          <w:szCs w:val="22"/>
        </w:rPr>
        <w:t xml:space="preserve">bilansową elektroniczną ewidencję księgową): </w:t>
      </w:r>
    </w:p>
    <w:p w14:paraId="7659DD70" w14:textId="77777777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kwot wnioskowanych do KE,</w:t>
      </w:r>
    </w:p>
    <w:p w14:paraId="70911BA1" w14:textId="77777777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środków otrzymanych z KE (zaliczki oraz płatności okresowe),</w:t>
      </w:r>
    </w:p>
    <w:p w14:paraId="09DDD8C4" w14:textId="7AE7389C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środków odzyskanych od beneficjentów</w:t>
      </w:r>
      <w:r w:rsidR="009D71B5">
        <w:rPr>
          <w:rFonts w:cs="Arial"/>
          <w:szCs w:val="22"/>
        </w:rPr>
        <w:t>,</w:t>
      </w:r>
    </w:p>
    <w:p w14:paraId="1ED192A0" w14:textId="1373B249" w:rsidR="00A86A02" w:rsidRPr="005B4BAB" w:rsidRDefault="00A86A02" w:rsidP="00CF7216">
      <w:pPr>
        <w:numPr>
          <w:ilvl w:val="1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lastRenderedPageBreak/>
        <w:t>odpowiada za otwarcie i obsługę rachunków bankowych dla programów INTERREG</w:t>
      </w:r>
      <w:r w:rsidR="00BF2A55">
        <w:rPr>
          <w:rFonts w:cs="Arial"/>
          <w:szCs w:val="22"/>
        </w:rPr>
        <w:t>,</w:t>
      </w:r>
    </w:p>
    <w:p w14:paraId="68F2B92C" w14:textId="721C8E3D" w:rsidR="00A86A02" w:rsidRPr="005B4BAB" w:rsidRDefault="00A86A02" w:rsidP="00CF7216">
      <w:pPr>
        <w:numPr>
          <w:ilvl w:val="1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 xml:space="preserve">przekazuje do IZ </w:t>
      </w:r>
      <w:r w:rsidR="00F43D48">
        <w:rPr>
          <w:rFonts w:cs="Arial"/>
          <w:szCs w:val="22"/>
        </w:rPr>
        <w:t xml:space="preserve">krajowymi </w:t>
      </w:r>
      <w:r w:rsidRPr="005B4BAB">
        <w:rPr>
          <w:rFonts w:cs="Arial"/>
          <w:szCs w:val="22"/>
        </w:rPr>
        <w:t>programami, w trybie miesięcznym, informacje na</w:t>
      </w:r>
      <w:r w:rsidR="00617E90">
        <w:rPr>
          <w:rFonts w:cs="Arial"/>
          <w:szCs w:val="22"/>
        </w:rPr>
        <w:t> </w:t>
      </w:r>
      <w:r w:rsidRPr="005B4BAB">
        <w:rPr>
          <w:rFonts w:cs="Arial"/>
          <w:szCs w:val="22"/>
        </w:rPr>
        <w:t>temat poszczególnych programów</w:t>
      </w:r>
      <w:r w:rsidR="00BF2A55">
        <w:rPr>
          <w:rFonts w:cs="Arial"/>
          <w:szCs w:val="22"/>
        </w:rPr>
        <w:t>,</w:t>
      </w:r>
      <w:r w:rsidRPr="005B4BAB">
        <w:rPr>
          <w:rFonts w:cs="Arial"/>
          <w:szCs w:val="22"/>
        </w:rPr>
        <w:t xml:space="preserve"> w celu weryfikacji spójności i</w:t>
      </w:r>
      <w:r w:rsidR="00756BDB">
        <w:rPr>
          <w:rFonts w:cs="Arial"/>
          <w:szCs w:val="22"/>
        </w:rPr>
        <w:t> </w:t>
      </w:r>
      <w:r w:rsidRPr="005B4BAB">
        <w:rPr>
          <w:rFonts w:cs="Arial"/>
          <w:szCs w:val="22"/>
        </w:rPr>
        <w:t>prawidłowości danych zawartych w systemie księgowym z danymi zawartymi w SL2021, w tym o:</w:t>
      </w:r>
    </w:p>
    <w:p w14:paraId="42B6BDE7" w14:textId="3E5D5A8C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zaewidencjonowanych wydatkach kwalifikowalnych zadeklarowanych do</w:t>
      </w:r>
      <w:r w:rsidR="00617E90">
        <w:rPr>
          <w:rFonts w:cs="Arial"/>
          <w:szCs w:val="22"/>
        </w:rPr>
        <w:t> </w:t>
      </w:r>
      <w:r w:rsidRPr="005B4BAB">
        <w:rPr>
          <w:rFonts w:cs="Arial"/>
          <w:szCs w:val="22"/>
        </w:rPr>
        <w:t>KE przez IZ oraz odpowiadającym im wkładzie publicznym wypłaconym na rzecz beneficjentów,</w:t>
      </w:r>
    </w:p>
    <w:p w14:paraId="77A0167D" w14:textId="77777777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kwotach wnioskowanych do KE,</w:t>
      </w:r>
    </w:p>
    <w:p w14:paraId="538BB5DD" w14:textId="77777777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płatnościach okresowych (refundacjach) otrzymanych z KE,</w:t>
      </w:r>
    </w:p>
    <w:p w14:paraId="31CCD440" w14:textId="77777777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zaliczkach otrzymanych z KE,</w:t>
      </w:r>
    </w:p>
    <w:p w14:paraId="19F7637C" w14:textId="77777777" w:rsidR="00A86A02" w:rsidRPr="005B4BAB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>odsetkach narosłych od środków zgromadzonych na rachunkach bankowych,</w:t>
      </w:r>
    </w:p>
    <w:p w14:paraId="7F1742A0" w14:textId="3BAE64DE" w:rsidR="00A86A02" w:rsidRPr="009D51AF" w:rsidRDefault="00A86A02" w:rsidP="00CF7216">
      <w:pPr>
        <w:numPr>
          <w:ilvl w:val="2"/>
          <w:numId w:val="4"/>
        </w:numPr>
        <w:spacing w:before="120" w:after="120" w:line="360" w:lineRule="auto"/>
        <w:contextualSpacing/>
        <w:rPr>
          <w:rFonts w:cs="Arial"/>
          <w:szCs w:val="22"/>
        </w:rPr>
      </w:pPr>
      <w:r w:rsidRPr="005B4BAB">
        <w:rPr>
          <w:rFonts w:cs="Arial"/>
          <w:szCs w:val="22"/>
        </w:rPr>
        <w:t xml:space="preserve">w przypadku programów INTERREG – środkach wypłaconych na rzecz beneficjentów wiodących i środkach odzyskanych od beneficjentów.  </w:t>
      </w:r>
    </w:p>
    <w:p w14:paraId="2B5C87DA" w14:textId="1819285B" w:rsidR="009D51AF" w:rsidRPr="00193ED5" w:rsidRDefault="009D51AF" w:rsidP="009D51AF">
      <w:pPr>
        <w:pStyle w:val="Akapitzlist"/>
        <w:numPr>
          <w:ilvl w:val="0"/>
          <w:numId w:val="4"/>
        </w:numPr>
        <w:spacing w:before="120" w:after="120" w:line="360" w:lineRule="auto"/>
        <w:rPr>
          <w:rFonts w:cs="Arial"/>
        </w:rPr>
      </w:pPr>
      <w:r w:rsidRPr="00193ED5">
        <w:rPr>
          <w:rFonts w:cs="Arial"/>
        </w:rPr>
        <w:t>IZ przekazuj</w:t>
      </w:r>
      <w:r w:rsidR="003A289B">
        <w:rPr>
          <w:rFonts w:cs="Arial"/>
        </w:rPr>
        <w:t>e</w:t>
      </w:r>
      <w:r w:rsidRPr="00193ED5">
        <w:rPr>
          <w:rFonts w:cs="Arial"/>
        </w:rPr>
        <w:t xml:space="preserve"> w wersji elektronicznej do </w:t>
      </w:r>
      <w:r w:rsidR="00477856">
        <w:rPr>
          <w:rFonts w:cs="Arial"/>
        </w:rPr>
        <w:t xml:space="preserve">wiadomości </w:t>
      </w:r>
      <w:r w:rsidRPr="00193ED5">
        <w:rPr>
          <w:rFonts w:cs="Arial"/>
        </w:rPr>
        <w:t>IKP</w:t>
      </w:r>
      <w:r w:rsidR="00477856">
        <w:rPr>
          <w:rFonts w:cs="Arial"/>
        </w:rPr>
        <w:t>KW</w:t>
      </w:r>
      <w:r w:rsidRPr="00193ED5">
        <w:rPr>
          <w:rFonts w:cs="Arial"/>
        </w:rPr>
        <w:t xml:space="preserve"> </w:t>
      </w:r>
      <w:r w:rsidR="00AD348F">
        <w:rPr>
          <w:rFonts w:cs="Arial"/>
        </w:rPr>
        <w:t xml:space="preserve">aktualny </w:t>
      </w:r>
      <w:r w:rsidR="00193ED5">
        <w:rPr>
          <w:rFonts w:cs="Arial"/>
        </w:rPr>
        <w:t>zatwierdzony</w:t>
      </w:r>
      <w:r w:rsidRPr="00193ED5">
        <w:rPr>
          <w:rFonts w:cs="Arial"/>
        </w:rPr>
        <w:t xml:space="preserve"> </w:t>
      </w:r>
      <w:proofErr w:type="spellStart"/>
      <w:r w:rsidRPr="00193ED5">
        <w:rPr>
          <w:rFonts w:cs="Arial"/>
        </w:rPr>
        <w:t>O</w:t>
      </w:r>
      <w:r w:rsidR="00477856">
        <w:rPr>
          <w:rFonts w:cs="Arial"/>
        </w:rPr>
        <w:t>SZiK</w:t>
      </w:r>
      <w:proofErr w:type="spellEnd"/>
      <w:r w:rsidR="00916563">
        <w:rPr>
          <w:rFonts w:cs="Arial"/>
        </w:rPr>
        <w:t xml:space="preserve"> w terminie 7 dni kalendarzowy</w:t>
      </w:r>
      <w:r w:rsidR="00A42D20">
        <w:rPr>
          <w:rFonts w:cs="Arial"/>
        </w:rPr>
        <w:t>ch</w:t>
      </w:r>
      <w:r w:rsidR="00916563">
        <w:rPr>
          <w:rFonts w:cs="Arial"/>
        </w:rPr>
        <w:t xml:space="preserve"> po jego zatwierdzeni</w:t>
      </w:r>
      <w:r w:rsidR="00A42D20">
        <w:rPr>
          <w:rFonts w:cs="Arial"/>
        </w:rPr>
        <w:t>u</w:t>
      </w:r>
      <w:r w:rsidRPr="00193ED5">
        <w:rPr>
          <w:rFonts w:cs="Arial"/>
        </w:rPr>
        <w:t xml:space="preserve">. W przypadku programów </w:t>
      </w:r>
      <w:r w:rsidR="00477856" w:rsidRPr="005B4BAB">
        <w:rPr>
          <w:rFonts w:cs="Arial"/>
          <w:szCs w:val="22"/>
        </w:rPr>
        <w:t>INTERREG</w:t>
      </w:r>
      <w:r w:rsidR="00477856" w:rsidRPr="00193ED5">
        <w:rPr>
          <w:rFonts w:cs="Arial"/>
        </w:rPr>
        <w:t xml:space="preserve"> </w:t>
      </w:r>
      <w:r w:rsidRPr="00193ED5">
        <w:rPr>
          <w:rFonts w:cs="Arial"/>
        </w:rPr>
        <w:t xml:space="preserve">obowiązki wskazane powyżej dotyczą jedynie programów dla których Polska pełni funkcję </w:t>
      </w:r>
      <w:r w:rsidR="003D4FCE">
        <w:rPr>
          <w:rFonts w:cs="Arial"/>
        </w:rPr>
        <w:t>IZ.</w:t>
      </w:r>
    </w:p>
    <w:p w14:paraId="205F2C9A" w14:textId="77777777" w:rsidR="008A6ECA" w:rsidRDefault="008A6ECA" w:rsidP="008A6ECA">
      <w:pPr>
        <w:spacing w:before="120" w:after="120" w:line="360" w:lineRule="auto"/>
        <w:rPr>
          <w:rFonts w:cs="Arial"/>
          <w:bCs/>
        </w:rPr>
      </w:pPr>
    </w:p>
    <w:p w14:paraId="21DD9DB2" w14:textId="3636869F" w:rsidR="00A86A02" w:rsidRPr="00690941" w:rsidRDefault="00A86A02" w:rsidP="00690941">
      <w:pPr>
        <w:pStyle w:val="Nagwek2"/>
      </w:pPr>
      <w:bookmarkStart w:id="22" w:name="_Toc105767756"/>
      <w:r w:rsidRPr="00690941">
        <w:t>Podrozdział 2.2. Otrzymywanie płatności z Komisji Europejskiej</w:t>
      </w:r>
      <w:r w:rsidRPr="00690941">
        <w:br/>
        <w:t>w ramach programów i współpraca z Ministerstwem Finansów</w:t>
      </w:r>
      <w:bookmarkEnd w:id="22"/>
    </w:p>
    <w:p w14:paraId="1CD99D9D" w14:textId="0B7F930A" w:rsidR="00893679" w:rsidRPr="00690941" w:rsidRDefault="00893679" w:rsidP="00CF7216">
      <w:pPr>
        <w:pStyle w:val="Akapitzlist"/>
        <w:numPr>
          <w:ilvl w:val="0"/>
          <w:numId w:val="5"/>
        </w:numPr>
        <w:spacing w:before="120" w:after="120" w:line="360" w:lineRule="auto"/>
        <w:ind w:left="357" w:hanging="357"/>
        <w:rPr>
          <w:rFonts w:cs="Arial"/>
        </w:rPr>
      </w:pPr>
      <w:r w:rsidRPr="00690941">
        <w:rPr>
          <w:rFonts w:cs="Arial"/>
        </w:rPr>
        <w:t xml:space="preserve">KE przekazuje środki w formie płatności zaliczkowych oraz w formie płatności okresowych </w:t>
      </w:r>
      <w:r w:rsidR="007777E5">
        <w:rPr>
          <w:rFonts w:cs="Arial"/>
        </w:rPr>
        <w:t xml:space="preserve">(refundacji) </w:t>
      </w:r>
      <w:r w:rsidRPr="00690941">
        <w:rPr>
          <w:rFonts w:cs="Arial"/>
        </w:rPr>
        <w:t>dokonywanych na podstawie wniosków o płatność okresową i rocznych zestawień wydatków otrzymanych od IZ, na rachunki o których mo</w:t>
      </w:r>
      <w:r w:rsidRPr="00652DAC">
        <w:rPr>
          <w:rFonts w:cs="Arial"/>
        </w:rPr>
        <w:t>wa w pkt 2.</w:t>
      </w:r>
      <w:r w:rsidR="00E61DFC" w:rsidRPr="00652DAC">
        <w:rPr>
          <w:rFonts w:cs="Arial"/>
        </w:rPr>
        <w:t>2.</w:t>
      </w:r>
      <w:r w:rsidR="00652DAC" w:rsidRPr="00652DAC">
        <w:rPr>
          <w:rFonts w:cs="Arial"/>
        </w:rPr>
        <w:t>2</w:t>
      </w:r>
      <w:r w:rsidR="00E61DFC" w:rsidRPr="00652DAC">
        <w:rPr>
          <w:rFonts w:cs="Arial"/>
        </w:rPr>
        <w:t>.</w:t>
      </w:r>
    </w:p>
    <w:p w14:paraId="661CF672" w14:textId="0C40B554" w:rsidR="00A86A02" w:rsidRPr="00690941" w:rsidRDefault="00BF2A55" w:rsidP="00CF72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bCs/>
          <w:color w:val="000000"/>
        </w:rPr>
      </w:pPr>
      <w:r>
        <w:rPr>
          <w:rFonts w:cs="Arial"/>
        </w:rPr>
        <w:t xml:space="preserve">IOP </w:t>
      </w:r>
      <w:r w:rsidR="00A86A02" w:rsidRPr="00690941">
        <w:rPr>
          <w:rFonts w:cs="Arial"/>
        </w:rPr>
        <w:t>gromadzi środki otrzymane z</w:t>
      </w:r>
      <w:r w:rsidR="005C724D" w:rsidRPr="00690941">
        <w:rPr>
          <w:rFonts w:cs="Arial"/>
        </w:rPr>
        <w:t xml:space="preserve"> budżetu</w:t>
      </w:r>
      <w:r w:rsidR="00A86A02" w:rsidRPr="00690941">
        <w:rPr>
          <w:rFonts w:cs="Arial"/>
        </w:rPr>
        <w:t xml:space="preserve"> </w:t>
      </w:r>
      <w:r w:rsidR="00CC78C6" w:rsidRPr="00690941">
        <w:rPr>
          <w:rFonts w:cs="Arial"/>
        </w:rPr>
        <w:t>KE</w:t>
      </w:r>
      <w:r w:rsidR="00A86A02" w:rsidRPr="00690941">
        <w:rPr>
          <w:rFonts w:cs="Arial"/>
        </w:rPr>
        <w:t xml:space="preserve"> na </w:t>
      </w:r>
      <w:r w:rsidR="005C724D" w:rsidRPr="00690941">
        <w:rPr>
          <w:rFonts w:cs="Arial"/>
        </w:rPr>
        <w:t xml:space="preserve">wyodrębnionych </w:t>
      </w:r>
      <w:r w:rsidR="00A86A02" w:rsidRPr="00690941">
        <w:rPr>
          <w:rFonts w:cs="Arial"/>
        </w:rPr>
        <w:t>rachunkach</w:t>
      </w:r>
      <w:r w:rsidR="005C724D" w:rsidRPr="00690941">
        <w:rPr>
          <w:rFonts w:cs="Arial"/>
        </w:rPr>
        <w:t xml:space="preserve"> bankowych</w:t>
      </w:r>
      <w:r w:rsidR="00A86A02" w:rsidRPr="00690941">
        <w:rPr>
          <w:rFonts w:cs="Arial"/>
        </w:rPr>
        <w:t xml:space="preserve">, o których mowa w art. 202 ust. 1 ustawy o finansach publicznych. </w:t>
      </w:r>
    </w:p>
    <w:p w14:paraId="7B2CCC39" w14:textId="297916E8" w:rsidR="008A2E12" w:rsidRPr="00690941" w:rsidRDefault="00DF6C75" w:rsidP="00CF7216">
      <w:pPr>
        <w:pStyle w:val="Akapitzlist"/>
        <w:numPr>
          <w:ilvl w:val="0"/>
          <w:numId w:val="5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IOP </w:t>
      </w:r>
      <w:r w:rsidR="00A86A02" w:rsidRPr="00690941">
        <w:rPr>
          <w:rFonts w:cs="Arial"/>
        </w:rPr>
        <w:t>przekazuje do IKPKW informację o wpływie środków z tytułu zaliczek.</w:t>
      </w:r>
    </w:p>
    <w:p w14:paraId="6EC6A892" w14:textId="6701BCE2" w:rsidR="00A86A02" w:rsidRPr="00690941" w:rsidRDefault="00A86A02" w:rsidP="00CF7216">
      <w:pPr>
        <w:pStyle w:val="Akapitzlist"/>
        <w:numPr>
          <w:ilvl w:val="0"/>
          <w:numId w:val="5"/>
        </w:numPr>
        <w:spacing w:before="120" w:after="120" w:line="360" w:lineRule="auto"/>
        <w:ind w:left="357" w:hanging="357"/>
        <w:rPr>
          <w:rFonts w:cs="Arial"/>
        </w:rPr>
      </w:pPr>
      <w:r w:rsidRPr="00690941">
        <w:rPr>
          <w:rFonts w:cs="Arial"/>
          <w:iCs/>
        </w:rPr>
        <w:t xml:space="preserve">IZ oraz DBR otrzymują od </w:t>
      </w:r>
      <w:r w:rsidR="00DF6C75">
        <w:rPr>
          <w:rFonts w:cs="Arial"/>
          <w:iCs/>
        </w:rPr>
        <w:t xml:space="preserve">IOP </w:t>
      </w:r>
      <w:r w:rsidRPr="00690941">
        <w:rPr>
          <w:rFonts w:cs="Arial"/>
          <w:iCs/>
        </w:rPr>
        <w:t xml:space="preserve">pisemną informację o wpływie środków z tytułu płatności okresowych </w:t>
      </w:r>
      <w:r w:rsidR="00DF6C75">
        <w:rPr>
          <w:rFonts w:cs="Arial"/>
          <w:iCs/>
        </w:rPr>
        <w:t xml:space="preserve">(refundacji) </w:t>
      </w:r>
      <w:r w:rsidRPr="00690941">
        <w:rPr>
          <w:rFonts w:cs="Arial"/>
          <w:iCs/>
        </w:rPr>
        <w:t>oraz zaliczek z KE</w:t>
      </w:r>
      <w:r w:rsidR="00405B62" w:rsidRPr="00690941">
        <w:rPr>
          <w:rFonts w:cs="Arial"/>
          <w:iCs/>
        </w:rPr>
        <w:t xml:space="preserve"> w ramach krajowych i </w:t>
      </w:r>
      <w:r w:rsidR="00405B62" w:rsidRPr="00690941">
        <w:rPr>
          <w:rFonts w:cs="Arial"/>
          <w:iCs/>
        </w:rPr>
        <w:lastRenderedPageBreak/>
        <w:t>regionalnych</w:t>
      </w:r>
      <w:r w:rsidR="007777E5">
        <w:rPr>
          <w:rFonts w:cs="Arial"/>
          <w:iCs/>
        </w:rPr>
        <w:t xml:space="preserve"> programów</w:t>
      </w:r>
      <w:r w:rsidRPr="00690941">
        <w:rPr>
          <w:rFonts w:cs="Arial"/>
          <w:iCs/>
        </w:rPr>
        <w:t xml:space="preserve">. Pisma te są przekazywane niezwłocznie po wpływie środków na rachunek i zawierają następujące informacje: datę otrzymania środków, oznaczenie funduszu oraz kwotę. Następnie IZ niezwłocznie rejestruje </w:t>
      </w:r>
      <w:r w:rsidR="000403A5" w:rsidRPr="00690941">
        <w:rPr>
          <w:rFonts w:cs="Arial"/>
          <w:iCs/>
        </w:rPr>
        <w:t>w SL2021</w:t>
      </w:r>
      <w:r w:rsidR="000403A5">
        <w:rPr>
          <w:rFonts w:cs="Arial"/>
          <w:iCs/>
        </w:rPr>
        <w:t xml:space="preserve"> </w:t>
      </w:r>
      <w:r w:rsidRPr="00690941">
        <w:rPr>
          <w:rFonts w:cs="Arial"/>
          <w:iCs/>
        </w:rPr>
        <w:t xml:space="preserve">informacje o kwocie i dacie </w:t>
      </w:r>
      <w:r w:rsidR="00DF6C75">
        <w:rPr>
          <w:rFonts w:cs="Arial"/>
          <w:iCs/>
        </w:rPr>
        <w:t>płatności okresowej (</w:t>
      </w:r>
      <w:r w:rsidRPr="00690941">
        <w:rPr>
          <w:rFonts w:cs="Arial"/>
          <w:iCs/>
        </w:rPr>
        <w:t>refundacji</w:t>
      </w:r>
      <w:r w:rsidR="00DF6C75">
        <w:rPr>
          <w:rFonts w:cs="Arial"/>
          <w:iCs/>
        </w:rPr>
        <w:t>)</w:t>
      </w:r>
      <w:r w:rsidRPr="00690941">
        <w:rPr>
          <w:rFonts w:cs="Arial"/>
          <w:iCs/>
        </w:rPr>
        <w:t xml:space="preserve"> z KE. IZ w ramach krajowych </w:t>
      </w:r>
      <w:r w:rsidR="00F43D48">
        <w:rPr>
          <w:rFonts w:cs="Arial"/>
          <w:iCs/>
        </w:rPr>
        <w:t xml:space="preserve">programów </w:t>
      </w:r>
      <w:r w:rsidRPr="00690941">
        <w:rPr>
          <w:rFonts w:cs="Arial"/>
          <w:iCs/>
        </w:rPr>
        <w:t>informują DBR</w:t>
      </w:r>
      <w:r w:rsidR="00DF6C75">
        <w:rPr>
          <w:rFonts w:cs="Arial"/>
          <w:iCs/>
        </w:rPr>
        <w:t>,</w:t>
      </w:r>
      <w:r w:rsidRPr="00690941">
        <w:rPr>
          <w:rFonts w:cs="Arial"/>
          <w:iCs/>
        </w:rPr>
        <w:t xml:space="preserve"> w terminie 3</w:t>
      </w:r>
      <w:r w:rsidR="00617E90">
        <w:rPr>
          <w:rFonts w:cs="Arial"/>
          <w:iCs/>
        </w:rPr>
        <w:t> </w:t>
      </w:r>
      <w:r w:rsidRPr="00690941">
        <w:rPr>
          <w:rFonts w:cs="Arial"/>
          <w:iCs/>
        </w:rPr>
        <w:t>dni roboczych</w:t>
      </w:r>
      <w:r w:rsidR="00DF6C75">
        <w:rPr>
          <w:rFonts w:cs="Arial"/>
          <w:iCs/>
        </w:rPr>
        <w:t>,</w:t>
      </w:r>
      <w:r w:rsidRPr="00690941">
        <w:rPr>
          <w:rFonts w:cs="Arial"/>
          <w:iCs/>
        </w:rPr>
        <w:t xml:space="preserve"> o wpływie środków z tytułu płatności okresowych </w:t>
      </w:r>
      <w:r w:rsidR="00DF6C75">
        <w:rPr>
          <w:rFonts w:cs="Arial"/>
          <w:iCs/>
        </w:rPr>
        <w:t xml:space="preserve">(refundacji), </w:t>
      </w:r>
      <w:r w:rsidRPr="00690941">
        <w:rPr>
          <w:rFonts w:cs="Arial"/>
          <w:iCs/>
        </w:rPr>
        <w:t>z</w:t>
      </w:r>
      <w:r w:rsidR="00617E90">
        <w:rPr>
          <w:rFonts w:cs="Arial"/>
          <w:iCs/>
        </w:rPr>
        <w:t> </w:t>
      </w:r>
      <w:r w:rsidRPr="00690941">
        <w:rPr>
          <w:rFonts w:cs="Arial"/>
          <w:iCs/>
        </w:rPr>
        <w:t>uwzględnieniem podziału kwot na priorytety w EUR i PLN</w:t>
      </w:r>
      <w:r w:rsidR="00DF6C75">
        <w:rPr>
          <w:rFonts w:cs="Arial"/>
          <w:iCs/>
        </w:rPr>
        <w:t>,</w:t>
      </w:r>
      <w:r w:rsidRPr="00690941">
        <w:rPr>
          <w:rFonts w:cs="Arial"/>
          <w:iCs/>
        </w:rPr>
        <w:t xml:space="preserve"> oraz</w:t>
      </w:r>
      <w:r w:rsidR="00617E90">
        <w:rPr>
          <w:rFonts w:cs="Arial"/>
          <w:iCs/>
        </w:rPr>
        <w:t> </w:t>
      </w:r>
      <w:r w:rsidRPr="00690941">
        <w:rPr>
          <w:rFonts w:cs="Arial"/>
          <w:iCs/>
        </w:rPr>
        <w:t>zastosowanym kursie wymiany.</w:t>
      </w:r>
    </w:p>
    <w:p w14:paraId="563DCCFB" w14:textId="5AF9D27E" w:rsidR="00A86A02" w:rsidRPr="00690941" w:rsidRDefault="00A86A02" w:rsidP="00CF72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</w:rPr>
      </w:pPr>
      <w:r w:rsidRPr="00690941">
        <w:rPr>
          <w:rFonts w:cs="Arial"/>
        </w:rPr>
        <w:t xml:space="preserve">W przypadku programów INTERREG, IZ oraz </w:t>
      </w:r>
      <w:r w:rsidR="00E61DFC" w:rsidRPr="00690941">
        <w:rPr>
          <w:rFonts w:cs="Arial"/>
        </w:rPr>
        <w:t>WS</w:t>
      </w:r>
      <w:r w:rsidRPr="00690941">
        <w:rPr>
          <w:rFonts w:cs="Arial"/>
        </w:rPr>
        <w:t xml:space="preserve"> otrzymuj</w:t>
      </w:r>
      <w:r w:rsidR="00DF6C75">
        <w:rPr>
          <w:rFonts w:cs="Arial"/>
        </w:rPr>
        <w:t>ą</w:t>
      </w:r>
      <w:r w:rsidRPr="00690941">
        <w:rPr>
          <w:rFonts w:cs="Arial"/>
        </w:rPr>
        <w:t xml:space="preserve"> </w:t>
      </w:r>
      <w:r w:rsidR="003A4133">
        <w:rPr>
          <w:rFonts w:cs="Arial"/>
        </w:rPr>
        <w:t>od</w:t>
      </w:r>
      <w:r w:rsidR="00756BDB" w:rsidRPr="00690941">
        <w:rPr>
          <w:rFonts w:cs="Arial"/>
        </w:rPr>
        <w:t> </w:t>
      </w:r>
      <w:r w:rsidRPr="00690941">
        <w:rPr>
          <w:rFonts w:cs="Arial"/>
        </w:rPr>
        <w:t>DBR informacje o</w:t>
      </w:r>
      <w:r w:rsidR="00617E90">
        <w:rPr>
          <w:rFonts w:cs="Arial"/>
        </w:rPr>
        <w:t> </w:t>
      </w:r>
      <w:r w:rsidRPr="00690941">
        <w:rPr>
          <w:rFonts w:cs="Arial"/>
        </w:rPr>
        <w:t xml:space="preserve">wpływie środków z KE z tytułu zaliczek i z tytułu płatności okresowych </w:t>
      </w:r>
      <w:r w:rsidR="00DF6C75">
        <w:rPr>
          <w:rFonts w:cs="Arial"/>
        </w:rPr>
        <w:t xml:space="preserve">(refundacji) </w:t>
      </w:r>
      <w:r w:rsidRPr="00690941">
        <w:rPr>
          <w:rFonts w:cs="Arial"/>
        </w:rPr>
        <w:t xml:space="preserve">w postaci elektronicznych kopii wyciągów bankowych. </w:t>
      </w:r>
    </w:p>
    <w:p w14:paraId="1BED9952" w14:textId="37B9E86A" w:rsidR="00A86A02" w:rsidRPr="00690941" w:rsidRDefault="00647BFD" w:rsidP="00CF72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IOP </w:t>
      </w:r>
      <w:r w:rsidR="00A86A02" w:rsidRPr="00690941">
        <w:rPr>
          <w:rFonts w:cs="Arial"/>
        </w:rPr>
        <w:t>prowadzi w systemie finansowo-księgowym ewidencję księgową operacji gospodarczych na rachunkach programowych, o których mowa w art. 202 ust. 1 ustawy o finansach publicznych</w:t>
      </w:r>
    </w:p>
    <w:p w14:paraId="051F93FE" w14:textId="513321B2" w:rsidR="00A86A02" w:rsidRPr="00690941" w:rsidRDefault="00647BFD" w:rsidP="00CF72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IOP </w:t>
      </w:r>
      <w:r w:rsidR="00A86A02" w:rsidRPr="00690941">
        <w:rPr>
          <w:rFonts w:cs="Arial"/>
        </w:rPr>
        <w:t>prowadzi bieżący monitoring kwot odsetek narosłych od środków funduszy strukturalnych i</w:t>
      </w:r>
      <w:r w:rsidR="00756BDB" w:rsidRPr="00690941">
        <w:rPr>
          <w:rFonts w:cs="Arial"/>
        </w:rPr>
        <w:t> </w:t>
      </w:r>
      <w:r w:rsidR="00A86A02" w:rsidRPr="00690941">
        <w:rPr>
          <w:rFonts w:cs="Arial"/>
        </w:rPr>
        <w:t xml:space="preserve">Funduszu Spójności. </w:t>
      </w:r>
      <w:r w:rsidR="005C3691" w:rsidRPr="00690941">
        <w:rPr>
          <w:rFonts w:cs="Arial"/>
        </w:rPr>
        <w:t xml:space="preserve">W ramach krajowych </w:t>
      </w:r>
      <w:r w:rsidR="007777E5">
        <w:rPr>
          <w:rFonts w:cs="Arial"/>
        </w:rPr>
        <w:t>programów</w:t>
      </w:r>
      <w:r w:rsidR="005C3691" w:rsidRPr="00690941">
        <w:rPr>
          <w:rFonts w:cs="Arial"/>
        </w:rPr>
        <w:t xml:space="preserve">, </w:t>
      </w:r>
      <w:r w:rsidR="00A86A02" w:rsidRPr="00690941">
        <w:rPr>
          <w:rFonts w:cs="Arial"/>
        </w:rPr>
        <w:t xml:space="preserve">IZ, DBR oraz IKPKW otrzymują od </w:t>
      </w:r>
      <w:r>
        <w:rPr>
          <w:rFonts w:cs="Arial"/>
        </w:rPr>
        <w:t>IOP</w:t>
      </w:r>
      <w:r w:rsidR="00A86A02" w:rsidRPr="00690941">
        <w:rPr>
          <w:rFonts w:cs="Arial"/>
        </w:rPr>
        <w:t xml:space="preserve"> pisemną informację o wysokości ww. </w:t>
      </w:r>
      <w:r w:rsidR="00D75989" w:rsidRPr="00690941">
        <w:rPr>
          <w:rFonts w:cs="Arial"/>
        </w:rPr>
        <w:t xml:space="preserve">kwot </w:t>
      </w:r>
      <w:r w:rsidR="00A86A02" w:rsidRPr="00690941">
        <w:rPr>
          <w:rFonts w:cs="Arial"/>
        </w:rPr>
        <w:t>odsetek</w:t>
      </w:r>
      <w:r w:rsidR="003A4133">
        <w:rPr>
          <w:rFonts w:cs="Arial"/>
        </w:rPr>
        <w:t>.</w:t>
      </w:r>
    </w:p>
    <w:p w14:paraId="07AA1BC1" w14:textId="497277FF" w:rsidR="00A86A02" w:rsidRDefault="00A86A02" w:rsidP="00CF72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</w:rPr>
      </w:pPr>
      <w:r w:rsidRPr="00690941">
        <w:rPr>
          <w:rFonts w:cs="Arial"/>
        </w:rPr>
        <w:t xml:space="preserve">W przypadku programów INTERREG, IZ oraz </w:t>
      </w:r>
      <w:r w:rsidR="003A4133">
        <w:rPr>
          <w:rFonts w:cs="Arial"/>
        </w:rPr>
        <w:t xml:space="preserve">WS </w:t>
      </w:r>
      <w:r w:rsidRPr="00690941">
        <w:rPr>
          <w:rFonts w:cs="Arial"/>
        </w:rPr>
        <w:t xml:space="preserve"> otrzymuj</w:t>
      </w:r>
      <w:r w:rsidR="003A4133">
        <w:rPr>
          <w:rFonts w:cs="Arial"/>
        </w:rPr>
        <w:t>ą</w:t>
      </w:r>
      <w:r w:rsidRPr="00690941">
        <w:rPr>
          <w:rFonts w:cs="Arial"/>
        </w:rPr>
        <w:t xml:space="preserve"> </w:t>
      </w:r>
      <w:r w:rsidR="003A4133">
        <w:rPr>
          <w:rFonts w:cs="Arial"/>
        </w:rPr>
        <w:t>od</w:t>
      </w:r>
      <w:r w:rsidR="003A4133" w:rsidRPr="00690941">
        <w:rPr>
          <w:rFonts w:cs="Arial"/>
        </w:rPr>
        <w:t xml:space="preserve"> DBR </w:t>
      </w:r>
      <w:r w:rsidRPr="00690941">
        <w:rPr>
          <w:rFonts w:cs="Arial"/>
        </w:rPr>
        <w:t xml:space="preserve">informacje o wysokości </w:t>
      </w:r>
      <w:r w:rsidR="00051DC8" w:rsidRPr="00690941">
        <w:rPr>
          <w:rFonts w:cs="Arial"/>
        </w:rPr>
        <w:t xml:space="preserve">kwot </w:t>
      </w:r>
      <w:r w:rsidRPr="00690941">
        <w:rPr>
          <w:rFonts w:cs="Arial"/>
        </w:rPr>
        <w:t>odsetek narosłych na rachunkach programowych, o</w:t>
      </w:r>
      <w:r w:rsidR="00124341" w:rsidRPr="00690941">
        <w:rPr>
          <w:rFonts w:cs="Arial"/>
        </w:rPr>
        <w:t> </w:t>
      </w:r>
      <w:r w:rsidRPr="00690941">
        <w:rPr>
          <w:rFonts w:cs="Arial"/>
        </w:rPr>
        <w:t>których mowa w art. 202 ust. 1 ustawy o finansach publicznych, w</w:t>
      </w:r>
      <w:r w:rsidR="00124341" w:rsidRPr="00690941">
        <w:rPr>
          <w:rFonts w:cs="Arial"/>
        </w:rPr>
        <w:t> </w:t>
      </w:r>
      <w:r w:rsidRPr="00690941">
        <w:rPr>
          <w:rFonts w:cs="Arial"/>
        </w:rPr>
        <w:t>postaci elektronicznych kopii wyciągów bankowych.</w:t>
      </w:r>
    </w:p>
    <w:p w14:paraId="32188628" w14:textId="77777777" w:rsidR="00CF7216" w:rsidRPr="00690941" w:rsidRDefault="00CF7216" w:rsidP="00CF7216">
      <w:pPr>
        <w:pStyle w:val="Akapitzlist"/>
        <w:autoSpaceDE w:val="0"/>
        <w:autoSpaceDN w:val="0"/>
        <w:adjustRightInd w:val="0"/>
        <w:spacing w:before="120" w:after="120" w:line="360" w:lineRule="auto"/>
        <w:ind w:left="357"/>
        <w:rPr>
          <w:rFonts w:cs="Arial"/>
        </w:rPr>
      </w:pPr>
    </w:p>
    <w:p w14:paraId="4F767076" w14:textId="6034F65C" w:rsidR="00A86A02" w:rsidRPr="001D6AF8" w:rsidRDefault="00A86A02" w:rsidP="00690941">
      <w:pPr>
        <w:pStyle w:val="Nagwek2"/>
      </w:pPr>
      <w:bookmarkStart w:id="23" w:name="_Toc105767757"/>
      <w:r>
        <w:t xml:space="preserve">Podrozdział 2.3. </w:t>
      </w:r>
      <w:r w:rsidRPr="005B4BAB">
        <w:t xml:space="preserve">Wstrzymanie biegu terminu płatności,  zawieszenie płatności oraz wstrzymanie </w:t>
      </w:r>
      <w:r>
        <w:t>księgowania wydatków</w:t>
      </w:r>
      <w:bookmarkEnd w:id="23"/>
    </w:p>
    <w:p w14:paraId="3FC75326" w14:textId="7DF05092" w:rsidR="00A86A02" w:rsidRPr="008A6ECA" w:rsidRDefault="00A86A02" w:rsidP="00CF72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  <w:szCs w:val="22"/>
        </w:rPr>
        <w:t>W przypadku wstrzymania biegu terminu płatności na podstawie art. 96 rozporządzenia ogólnego lub zawieszeni</w:t>
      </w:r>
      <w:r w:rsidR="007616C6">
        <w:rPr>
          <w:rFonts w:cs="Arial"/>
          <w:szCs w:val="22"/>
        </w:rPr>
        <w:t>a</w:t>
      </w:r>
      <w:r w:rsidRPr="008A6ECA">
        <w:rPr>
          <w:rFonts w:cs="Arial"/>
          <w:szCs w:val="22"/>
        </w:rPr>
        <w:t xml:space="preserve"> płatności przez KE na podstawie art. 97 rozporządzenia ogólnego, IZ przekazuje </w:t>
      </w:r>
      <w:r w:rsidR="007616C6" w:rsidRPr="008A6ECA">
        <w:rPr>
          <w:rFonts w:cs="Arial"/>
          <w:szCs w:val="22"/>
        </w:rPr>
        <w:t xml:space="preserve">IKPKW oraz </w:t>
      </w:r>
      <w:r w:rsidR="007616C6">
        <w:rPr>
          <w:rFonts w:cs="Arial"/>
          <w:szCs w:val="22"/>
        </w:rPr>
        <w:t>IOP,</w:t>
      </w:r>
      <w:r w:rsidR="007616C6">
        <w:rPr>
          <w:rFonts w:cs="Arial"/>
          <w:szCs w:val="22"/>
        </w:rPr>
        <w:br/>
      </w:r>
      <w:r w:rsidRPr="008A6ECA">
        <w:rPr>
          <w:rFonts w:cs="Arial"/>
          <w:szCs w:val="22"/>
        </w:rPr>
        <w:t xml:space="preserve">w terminie 5 dni roboczych </w:t>
      </w:r>
      <w:r w:rsidR="00C8192C">
        <w:rPr>
          <w:rFonts w:cs="Arial"/>
          <w:szCs w:val="22"/>
        </w:rPr>
        <w:t xml:space="preserve">od powzięcia </w:t>
      </w:r>
      <w:r w:rsidR="004663D9">
        <w:rPr>
          <w:rFonts w:cs="Arial"/>
          <w:szCs w:val="22"/>
        </w:rPr>
        <w:t>wiadomości</w:t>
      </w:r>
      <w:r w:rsidR="00C8192C">
        <w:rPr>
          <w:rFonts w:cs="Arial"/>
          <w:szCs w:val="22"/>
        </w:rPr>
        <w:t xml:space="preserve"> o ww. zdarzeniu</w:t>
      </w:r>
      <w:r w:rsidR="007616C6">
        <w:rPr>
          <w:rFonts w:cs="Arial"/>
          <w:szCs w:val="22"/>
        </w:rPr>
        <w:t>,</w:t>
      </w:r>
      <w:r w:rsidR="00C8192C">
        <w:rPr>
          <w:rFonts w:cs="Arial"/>
          <w:szCs w:val="22"/>
        </w:rPr>
        <w:t xml:space="preserve"> </w:t>
      </w:r>
      <w:r w:rsidRPr="008A6ECA">
        <w:rPr>
          <w:rFonts w:cs="Arial"/>
          <w:szCs w:val="22"/>
        </w:rPr>
        <w:t>pisemną informację w tym zakresie</w:t>
      </w:r>
      <w:r w:rsidR="007616C6">
        <w:rPr>
          <w:rFonts w:cs="Arial"/>
          <w:szCs w:val="22"/>
        </w:rPr>
        <w:t>.</w:t>
      </w:r>
      <w:r w:rsidR="00647BFD">
        <w:rPr>
          <w:rFonts w:cs="Arial"/>
          <w:szCs w:val="22"/>
        </w:rPr>
        <w:t>.</w:t>
      </w:r>
      <w:r w:rsidRPr="008A6ECA">
        <w:rPr>
          <w:rFonts w:cs="Arial"/>
          <w:szCs w:val="22"/>
        </w:rPr>
        <w:t xml:space="preserve"> </w:t>
      </w:r>
    </w:p>
    <w:p w14:paraId="07DE645D" w14:textId="5C76D89A" w:rsidR="008A6ECA" w:rsidRDefault="00A86A02" w:rsidP="00CF72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  <w:szCs w:val="22"/>
        </w:rPr>
        <w:t>IZ</w:t>
      </w:r>
      <w:r w:rsidR="007616C6">
        <w:rPr>
          <w:rFonts w:cs="Arial"/>
          <w:szCs w:val="22"/>
        </w:rPr>
        <w:t>,</w:t>
      </w:r>
      <w:r w:rsidRPr="008A6ECA">
        <w:rPr>
          <w:rFonts w:cs="Arial"/>
          <w:szCs w:val="22"/>
        </w:rPr>
        <w:t xml:space="preserve"> w przypadku powzięcia w wyniku działań kontrolnych (własnych </w:t>
      </w:r>
      <w:r w:rsidR="007616C6">
        <w:rPr>
          <w:rFonts w:cs="Arial"/>
          <w:szCs w:val="22"/>
        </w:rPr>
        <w:t>lub</w:t>
      </w:r>
      <w:r w:rsidRPr="008A6ECA">
        <w:rPr>
          <w:rFonts w:cs="Arial"/>
          <w:szCs w:val="22"/>
        </w:rPr>
        <w:t xml:space="preserve">  innych </w:t>
      </w:r>
      <w:r w:rsidR="007616C6">
        <w:rPr>
          <w:rFonts w:cs="Arial"/>
          <w:szCs w:val="22"/>
        </w:rPr>
        <w:t xml:space="preserve">uprawnionych </w:t>
      </w:r>
      <w:r w:rsidRPr="008A6ECA">
        <w:rPr>
          <w:rFonts w:cs="Arial"/>
          <w:szCs w:val="22"/>
        </w:rPr>
        <w:t>podmiotów) informacji o podejrzeniu wystąpienia nieprawidłowości</w:t>
      </w:r>
      <w:r w:rsidR="009B105E">
        <w:rPr>
          <w:rFonts w:cs="Arial"/>
          <w:szCs w:val="22"/>
        </w:rPr>
        <w:t>,</w:t>
      </w:r>
      <w:r w:rsidRPr="008A6ECA">
        <w:rPr>
          <w:rFonts w:cs="Arial"/>
          <w:szCs w:val="22"/>
        </w:rPr>
        <w:t xml:space="preserve"> może podjąć decyzję o wstrzymaniu księgowania wydatków w</w:t>
      </w:r>
      <w:r w:rsidR="00756BDB">
        <w:rPr>
          <w:rFonts w:cs="Arial"/>
          <w:szCs w:val="22"/>
        </w:rPr>
        <w:t> </w:t>
      </w:r>
      <w:r w:rsidRPr="008A6ECA">
        <w:rPr>
          <w:rFonts w:cs="Arial"/>
          <w:szCs w:val="22"/>
        </w:rPr>
        <w:t>ramach priorytet</w:t>
      </w:r>
      <w:r w:rsidR="00D27DEC">
        <w:rPr>
          <w:rFonts w:cs="Arial"/>
          <w:szCs w:val="22"/>
        </w:rPr>
        <w:t>u</w:t>
      </w:r>
      <w:r w:rsidRPr="008A6ECA">
        <w:rPr>
          <w:rFonts w:cs="Arial"/>
          <w:szCs w:val="22"/>
        </w:rPr>
        <w:t xml:space="preserve">, </w:t>
      </w:r>
      <w:r w:rsidRPr="008A6ECA">
        <w:rPr>
          <w:rFonts w:cs="Arial"/>
          <w:szCs w:val="22"/>
        </w:rPr>
        <w:lastRenderedPageBreak/>
        <w:t>działania lub grupy projektów do czasu usunięcia przez daną instytucję okoliczności będących podstawą wstrzymania procesu księgowania wydatków</w:t>
      </w:r>
      <w:r w:rsidR="009B105E">
        <w:rPr>
          <w:rFonts w:cs="Arial"/>
          <w:szCs w:val="22"/>
        </w:rPr>
        <w:t>,</w:t>
      </w:r>
      <w:r w:rsidRPr="008A6ECA">
        <w:rPr>
          <w:rFonts w:cs="Arial"/>
          <w:szCs w:val="22"/>
        </w:rPr>
        <w:t xml:space="preserve"> w celu zapobieżenia zaksięgowania wydatków poniesionych z naruszeniem prawa. </w:t>
      </w:r>
    </w:p>
    <w:p w14:paraId="59B89C35" w14:textId="33D31349" w:rsidR="00A86A02" w:rsidRPr="008A6ECA" w:rsidRDefault="00A86A02" w:rsidP="00CF72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  <w:szCs w:val="22"/>
        </w:rPr>
        <w:t>W przypadku, gdy IZ dokonuje wstrzymania księgowania wydatków dla całe</w:t>
      </w:r>
      <w:r w:rsidR="00796523">
        <w:rPr>
          <w:rFonts w:cs="Arial"/>
          <w:szCs w:val="22"/>
        </w:rPr>
        <w:t>go</w:t>
      </w:r>
      <w:r w:rsidRPr="008A6ECA">
        <w:rPr>
          <w:rFonts w:cs="Arial"/>
          <w:szCs w:val="22"/>
        </w:rPr>
        <w:t xml:space="preserve"> priorytet</w:t>
      </w:r>
      <w:r w:rsidR="00796523">
        <w:rPr>
          <w:rFonts w:cs="Arial"/>
          <w:szCs w:val="22"/>
        </w:rPr>
        <w:t>u</w:t>
      </w:r>
      <w:r w:rsidRPr="008A6ECA">
        <w:rPr>
          <w:rFonts w:cs="Arial"/>
          <w:szCs w:val="22"/>
        </w:rPr>
        <w:t xml:space="preserve">, działania lub grupy projektów (np. w przypadku podejrzenia zmowy cenowej </w:t>
      </w:r>
      <w:r w:rsidR="009B105E">
        <w:rPr>
          <w:rFonts w:cs="Arial"/>
          <w:szCs w:val="22"/>
        </w:rPr>
        <w:t>lub</w:t>
      </w:r>
      <w:r w:rsidRPr="008A6ECA">
        <w:rPr>
          <w:rFonts w:cs="Arial"/>
          <w:szCs w:val="22"/>
        </w:rPr>
        <w:t xml:space="preserve"> zidentyfikowania nieprawidłowości systemowej), przekazuje do</w:t>
      </w:r>
      <w:r w:rsidR="00617E90">
        <w:rPr>
          <w:rFonts w:cs="Arial"/>
          <w:szCs w:val="22"/>
        </w:rPr>
        <w:t> </w:t>
      </w:r>
      <w:r w:rsidRPr="008A6ECA">
        <w:rPr>
          <w:rFonts w:cs="Arial"/>
          <w:szCs w:val="22"/>
        </w:rPr>
        <w:t xml:space="preserve">IKPKW oraz do </w:t>
      </w:r>
      <w:r w:rsidR="009B105E">
        <w:rPr>
          <w:rFonts w:cs="Arial"/>
          <w:szCs w:val="22"/>
        </w:rPr>
        <w:t>IOP</w:t>
      </w:r>
      <w:r w:rsidRPr="008A6ECA">
        <w:rPr>
          <w:rFonts w:cs="Arial"/>
          <w:szCs w:val="22"/>
        </w:rPr>
        <w:t>, w</w:t>
      </w:r>
      <w:r w:rsidR="00756BDB">
        <w:rPr>
          <w:rFonts w:cs="Arial"/>
          <w:szCs w:val="22"/>
        </w:rPr>
        <w:t> </w:t>
      </w:r>
      <w:r w:rsidRPr="008A6ECA">
        <w:rPr>
          <w:rFonts w:cs="Arial"/>
          <w:szCs w:val="22"/>
        </w:rPr>
        <w:t>terminie 5 dni roboczych od podjęcia decyzji, pisemną informację o zakresie wstrzymania, określającą w szczególności priorytety, działania lub projekty objęte wstrzymaniem</w:t>
      </w:r>
      <w:r w:rsidR="000B5169">
        <w:rPr>
          <w:rFonts w:cs="Arial"/>
          <w:szCs w:val="22"/>
        </w:rPr>
        <w:t>.</w:t>
      </w:r>
      <w:r w:rsidRPr="008A6ECA">
        <w:rPr>
          <w:rFonts w:cs="Arial"/>
          <w:szCs w:val="22"/>
        </w:rPr>
        <w:t xml:space="preserve">. W przypadku przywrócenia księgowania wydatków, IZ niezwłocznie przekazuje stosowną informację IKPKW. </w:t>
      </w:r>
    </w:p>
    <w:p w14:paraId="4FBD07B5" w14:textId="77777777" w:rsidR="00A86A02" w:rsidRPr="001D6AF8" w:rsidRDefault="00A86A02" w:rsidP="008A6ECA">
      <w:pPr>
        <w:spacing w:before="120" w:after="120" w:line="360" w:lineRule="auto"/>
        <w:rPr>
          <w:rFonts w:cs="Arial"/>
          <w:bCs/>
        </w:rPr>
      </w:pPr>
    </w:p>
    <w:p w14:paraId="4DC203AB" w14:textId="0AB35650" w:rsidR="001D6AF8" w:rsidRDefault="0068620F" w:rsidP="00690941">
      <w:pPr>
        <w:pStyle w:val="Nagwek1"/>
      </w:pPr>
      <w:bookmarkStart w:id="24" w:name="_Toc98428191"/>
      <w:bookmarkStart w:id="25" w:name="_Toc98761663"/>
      <w:bookmarkStart w:id="26" w:name="_Toc98934367"/>
      <w:bookmarkStart w:id="27" w:name="_Toc105767758"/>
      <w:r>
        <w:t xml:space="preserve">Rozdział 3. </w:t>
      </w:r>
      <w:bookmarkEnd w:id="24"/>
      <w:bookmarkEnd w:id="25"/>
      <w:bookmarkEnd w:id="26"/>
      <w:r w:rsidR="004C0F29">
        <w:t>W</w:t>
      </w:r>
      <w:r w:rsidR="00A86A02" w:rsidRPr="00B64D81">
        <w:t>niosek o płatność do Komisji Europejskiej</w:t>
      </w:r>
      <w:r w:rsidR="004C0F29" w:rsidRPr="004C0F29">
        <w:t xml:space="preserve"> </w:t>
      </w:r>
      <w:r w:rsidR="004C0F29">
        <w:t xml:space="preserve">oraz Roczne </w:t>
      </w:r>
      <w:r w:rsidR="004C0F29" w:rsidRPr="00B64D81">
        <w:t xml:space="preserve">Zestawienia </w:t>
      </w:r>
      <w:r w:rsidR="004C0F29">
        <w:t>W</w:t>
      </w:r>
      <w:r w:rsidR="004C0F29" w:rsidRPr="00B64D81">
        <w:t>ydatków</w:t>
      </w:r>
      <w:bookmarkEnd w:id="27"/>
    </w:p>
    <w:p w14:paraId="2022C216" w14:textId="091BE0C5" w:rsid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  <w:szCs w:val="22"/>
        </w:rPr>
        <w:t>IZ, na podstawie otrzymanych od instytucji systemu wdrażania danego programu deklaracji wydatków oraz wniosków o płatność składanych przez beneficjentów bezpośrednio do IZ i własnych wniosków o płatność</w:t>
      </w:r>
      <w:r w:rsidR="00DF37C4">
        <w:rPr>
          <w:rFonts w:cs="Arial"/>
          <w:szCs w:val="22"/>
        </w:rPr>
        <w:t>,</w:t>
      </w:r>
      <w:r w:rsidRPr="008A6ECA">
        <w:rPr>
          <w:rFonts w:cs="Arial"/>
          <w:szCs w:val="22"/>
        </w:rPr>
        <w:t xml:space="preserve"> np. w ramach pomocy technicznej, przygotowuje wnioski o płatność zgodnie ze wzorem określonym w</w:t>
      </w:r>
      <w:r w:rsidR="00124341">
        <w:rPr>
          <w:rFonts w:cs="Arial"/>
          <w:szCs w:val="22"/>
        </w:rPr>
        <w:t> </w:t>
      </w:r>
      <w:r w:rsidRPr="008A6ECA">
        <w:rPr>
          <w:rFonts w:cs="Arial"/>
          <w:szCs w:val="22"/>
        </w:rPr>
        <w:t>załączniku nr XXIII do rozporządzenia ogólnego.</w:t>
      </w:r>
    </w:p>
    <w:p w14:paraId="52D6F404" w14:textId="70C5CA7B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Deklaracje wydatków są sporządzane i przesyłane do właściwych instytucji wyłącznie przy wykorzystaniu SL2021, w którym gromadzone są m.in. dane finansowe na temat wdrażania programu. Deklaracje wydatków sporządzan</w:t>
      </w:r>
      <w:r w:rsidR="00DF37C4">
        <w:rPr>
          <w:rFonts w:cs="Arial"/>
        </w:rPr>
        <w:t>e</w:t>
      </w:r>
      <w:r w:rsidRPr="008A6ECA">
        <w:rPr>
          <w:rFonts w:cs="Arial"/>
        </w:rPr>
        <w:t xml:space="preserve"> </w:t>
      </w:r>
      <w:r w:rsidR="00C525C7">
        <w:rPr>
          <w:rFonts w:cs="Arial"/>
        </w:rPr>
        <w:t xml:space="preserve">są </w:t>
      </w:r>
      <w:r w:rsidRPr="008A6ECA">
        <w:rPr>
          <w:rFonts w:cs="Arial"/>
        </w:rPr>
        <w:t>odrębnie dla każdego funduszu. Kwoty ujęte w ww. dokumentach</w:t>
      </w:r>
      <w:r w:rsidR="00C525C7">
        <w:rPr>
          <w:rFonts w:cs="Arial"/>
        </w:rPr>
        <w:t xml:space="preserve"> w przypadku</w:t>
      </w:r>
      <w:r w:rsidRPr="008A6ECA">
        <w:rPr>
          <w:rFonts w:cs="Arial"/>
        </w:rPr>
        <w:t xml:space="preserve"> krajowych </w:t>
      </w:r>
      <w:r w:rsidR="00C525C7">
        <w:rPr>
          <w:rFonts w:cs="Arial"/>
        </w:rPr>
        <w:t>i</w:t>
      </w:r>
      <w:r w:rsidRPr="008A6ECA">
        <w:rPr>
          <w:rFonts w:cs="Arial"/>
        </w:rPr>
        <w:t xml:space="preserve"> regionalnych </w:t>
      </w:r>
      <w:r w:rsidR="007777E5">
        <w:rPr>
          <w:rFonts w:cs="Arial"/>
        </w:rPr>
        <w:t xml:space="preserve">programów </w:t>
      </w:r>
      <w:r w:rsidRPr="008A6ECA">
        <w:rPr>
          <w:rFonts w:cs="Arial"/>
        </w:rPr>
        <w:t>wyrażone są w PLN, a w przypadku programów INTERREG w EUR.</w:t>
      </w:r>
    </w:p>
    <w:p w14:paraId="70D515CC" w14:textId="34B92BF1" w:rsidR="008A6ECA" w:rsidRPr="00124341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Terminy</w:t>
      </w:r>
      <w:r w:rsidR="00FC642E">
        <w:rPr>
          <w:rFonts w:cs="Arial"/>
        </w:rPr>
        <w:t>/</w:t>
      </w:r>
      <w:r w:rsidRPr="008A6ECA">
        <w:rPr>
          <w:rFonts w:cs="Arial"/>
        </w:rPr>
        <w:t>częstotliwość przekazywania deklaracji wydatków kierowanych do IZ są</w:t>
      </w:r>
      <w:r w:rsidR="00617E90">
        <w:rPr>
          <w:rFonts w:cs="Arial"/>
        </w:rPr>
        <w:t> </w:t>
      </w:r>
      <w:r w:rsidRPr="008A6ECA">
        <w:rPr>
          <w:rFonts w:cs="Arial"/>
        </w:rPr>
        <w:t xml:space="preserve">ustalone przez IZ, natomiast terminy przekazywania deklaracji wydatków kierowanych do IP - przez właściwą IP lub IZ, z </w:t>
      </w:r>
      <w:r w:rsidRPr="00124341">
        <w:rPr>
          <w:rFonts w:cs="Arial"/>
        </w:rPr>
        <w:t xml:space="preserve">zastrzeżeniem pkt 4 i 5. </w:t>
      </w:r>
    </w:p>
    <w:p w14:paraId="1C984358" w14:textId="6EF5C3D9" w:rsidR="008A6ECA" w:rsidRPr="008A6ECA" w:rsidRDefault="00FC642E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FC642E">
        <w:rPr>
          <w:rFonts w:cs="Arial"/>
        </w:rPr>
        <w:t>Dla krajowych i regionalnych</w:t>
      </w:r>
      <w:r w:rsidR="00765D41">
        <w:rPr>
          <w:rFonts w:cs="Arial"/>
        </w:rPr>
        <w:t xml:space="preserve"> programów</w:t>
      </w:r>
      <w:r w:rsidRPr="00FC642E">
        <w:rPr>
          <w:rFonts w:cs="Arial"/>
        </w:rPr>
        <w:t xml:space="preserve">, IZ składa maksymalnie sześć wniosków o płatność </w:t>
      </w:r>
      <w:r w:rsidR="00773E9C">
        <w:rPr>
          <w:rFonts w:cs="Arial"/>
        </w:rPr>
        <w:t>w ramach danego programu, funduszu i roku obrachunkowego</w:t>
      </w:r>
      <w:r w:rsidRPr="00FC642E">
        <w:rPr>
          <w:rFonts w:cs="Arial"/>
        </w:rPr>
        <w:t>. Każdego roku jeden wniosek o płatność można złożyć w dowolnym terminie w</w:t>
      </w:r>
      <w:r w:rsidR="00617E90">
        <w:rPr>
          <w:rFonts w:cs="Arial"/>
        </w:rPr>
        <w:t> </w:t>
      </w:r>
      <w:r w:rsidRPr="00FC642E">
        <w:rPr>
          <w:rFonts w:cs="Arial"/>
        </w:rPr>
        <w:t>każdym okresie między następującymi datami: 28 lutego, 31 maja, 31 lipca, 31</w:t>
      </w:r>
      <w:r w:rsidR="00617E90">
        <w:rPr>
          <w:rFonts w:cs="Arial"/>
        </w:rPr>
        <w:t> </w:t>
      </w:r>
      <w:r w:rsidRPr="00FC642E">
        <w:rPr>
          <w:rFonts w:cs="Arial"/>
        </w:rPr>
        <w:t xml:space="preserve">października, 30 listopada oraz 31 grudnia. Ostatni wniosek o płatność złożony </w:t>
      </w:r>
      <w:r w:rsidRPr="00FC642E">
        <w:rPr>
          <w:rFonts w:cs="Arial"/>
        </w:rPr>
        <w:lastRenderedPageBreak/>
        <w:t>do dnia 31 lipca uznaje się za wniosek o płatność końcową za rok obrachunkowy, który zakończył się w dniu 30 czerwca. Powyższ</w:t>
      </w:r>
      <w:r w:rsidR="007776FF">
        <w:rPr>
          <w:rFonts w:cs="Arial"/>
        </w:rPr>
        <w:t>e</w:t>
      </w:r>
      <w:r w:rsidRPr="00FC642E">
        <w:rPr>
          <w:rFonts w:cs="Arial"/>
        </w:rPr>
        <w:t xml:space="preserve"> obostrzenia nie mają zastosowania do programów INTERREG</w:t>
      </w:r>
      <w:r w:rsidR="007776FF">
        <w:rPr>
          <w:rFonts w:cs="Arial"/>
        </w:rPr>
        <w:t>.</w:t>
      </w:r>
    </w:p>
    <w:p w14:paraId="4450F178" w14:textId="5C643AF0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 xml:space="preserve">IZ odpowiada za </w:t>
      </w:r>
      <w:r w:rsidR="00E62480">
        <w:rPr>
          <w:rFonts w:cs="Arial"/>
        </w:rPr>
        <w:t xml:space="preserve">cykliczne </w:t>
      </w:r>
      <w:r w:rsidRPr="008A6ECA">
        <w:rPr>
          <w:rFonts w:cs="Arial"/>
        </w:rPr>
        <w:t>opracowanie</w:t>
      </w:r>
      <w:r w:rsidR="00E62480">
        <w:rPr>
          <w:rFonts w:cs="Arial"/>
        </w:rPr>
        <w:t xml:space="preserve"> </w:t>
      </w:r>
      <w:r w:rsidRPr="008A6ECA">
        <w:rPr>
          <w:rFonts w:cs="Arial"/>
        </w:rPr>
        <w:t>i terminowe przedkładanie KE zestawień wydatków</w:t>
      </w:r>
      <w:r w:rsidR="007776FF">
        <w:rPr>
          <w:rFonts w:cs="Arial"/>
        </w:rPr>
        <w:t>,</w:t>
      </w:r>
      <w:r w:rsidRPr="008A6ECA">
        <w:rPr>
          <w:rFonts w:cs="Arial"/>
        </w:rPr>
        <w:t xml:space="preserve"> zgodnych ze wzorem określonym w załączniku nr XXIV</w:t>
      </w:r>
      <w:r w:rsidR="007776FF">
        <w:rPr>
          <w:rFonts w:cs="Arial"/>
        </w:rPr>
        <w:t xml:space="preserve"> do</w:t>
      </w:r>
      <w:r w:rsidRPr="008A6ECA">
        <w:rPr>
          <w:rFonts w:cs="Arial"/>
        </w:rPr>
        <w:t xml:space="preserve"> rozporządzenia ogólnego. </w:t>
      </w:r>
    </w:p>
    <w:p w14:paraId="34FC32BC" w14:textId="44910D13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Zestawienia wydatków oraz wnioski o płatność okresową przekazywane są do K</w:t>
      </w:r>
      <w:r w:rsidR="00823F7F">
        <w:rPr>
          <w:rFonts w:cs="Arial"/>
        </w:rPr>
        <w:t>E</w:t>
      </w:r>
      <w:r w:rsidRPr="008A6ECA">
        <w:rPr>
          <w:rFonts w:cs="Arial"/>
        </w:rPr>
        <w:t xml:space="preserve"> wyłącznie w formie elektronicznej</w:t>
      </w:r>
      <w:r w:rsidR="00823F7F">
        <w:rPr>
          <w:rFonts w:cs="Arial"/>
        </w:rPr>
        <w:t>,</w:t>
      </w:r>
      <w:r w:rsidRPr="008A6ECA">
        <w:rPr>
          <w:rFonts w:cs="Arial"/>
        </w:rPr>
        <w:t xml:space="preserve"> za </w:t>
      </w:r>
      <w:r w:rsidR="00765D41">
        <w:rPr>
          <w:rFonts w:cs="Arial"/>
        </w:rPr>
        <w:t>pomocą</w:t>
      </w:r>
      <w:r w:rsidRPr="008A6ECA">
        <w:rPr>
          <w:rFonts w:cs="Arial"/>
        </w:rPr>
        <w:t xml:space="preserve"> SFC2021. Źródłem informacji umożliwiających poprawne przygotowanie dokumentów określonych w</w:t>
      </w:r>
      <w:r w:rsidR="00D26846">
        <w:rPr>
          <w:rFonts w:cs="Arial"/>
        </w:rPr>
        <w:t> </w:t>
      </w:r>
      <w:r w:rsidRPr="008A6ECA">
        <w:rPr>
          <w:rFonts w:cs="Arial"/>
        </w:rPr>
        <w:t xml:space="preserve">załącznikach nr XXIII i XXIV do rozporządzenia ogólnego są dane wprowadzone do SL2021. </w:t>
      </w:r>
    </w:p>
    <w:p w14:paraId="044FCA67" w14:textId="642F84E9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IZ programami krajowymi informują DBR, w terminie 3 dni roboczych</w:t>
      </w:r>
      <w:r w:rsidR="00780045">
        <w:rPr>
          <w:rFonts w:cs="Arial"/>
        </w:rPr>
        <w:t xml:space="preserve"> od wysłania do KE deklaracji wydatków</w:t>
      </w:r>
      <w:r w:rsidR="00617E90">
        <w:rPr>
          <w:rFonts w:cs="Arial"/>
        </w:rPr>
        <w:t xml:space="preserve"> </w:t>
      </w:r>
      <w:r w:rsidRPr="008A6ECA">
        <w:rPr>
          <w:rFonts w:cs="Arial"/>
        </w:rPr>
        <w:t>o kwotach wydatków zadeklarowanych do KE</w:t>
      </w:r>
      <w:r w:rsidR="00823F7F">
        <w:rPr>
          <w:rFonts w:cs="Arial"/>
        </w:rPr>
        <w:t>,</w:t>
      </w:r>
      <w:r w:rsidRPr="008A6ECA">
        <w:rPr>
          <w:rFonts w:cs="Arial"/>
        </w:rPr>
        <w:t xml:space="preserve"> odpowiadającego im wkładu publicznego, kwotach wnioskowanych do KE w PLN i EUR oraz zastosowanym kursie wymiany, w podziale na priorytety.</w:t>
      </w:r>
    </w:p>
    <w:p w14:paraId="3817AED6" w14:textId="4C685DD0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IZ niezwłocznie po przesłaniu do KE rocznego zestawienia wydatków lub wniosku o płatność przekazuje drogą elektroniczną kopię potwierdzenia przekazania wspomnianych dokumentów do KE, wygenerowaną z SFC2021, do</w:t>
      </w:r>
      <w:r w:rsidR="00D26846">
        <w:rPr>
          <w:rFonts w:cs="Arial"/>
        </w:rPr>
        <w:t> </w:t>
      </w:r>
      <w:r w:rsidR="00823F7F">
        <w:rPr>
          <w:rFonts w:cs="Arial"/>
        </w:rPr>
        <w:t>IOP</w:t>
      </w:r>
      <w:r w:rsidRPr="008A6ECA">
        <w:rPr>
          <w:rFonts w:cs="Arial"/>
        </w:rPr>
        <w:t xml:space="preserve"> (w ramach programów INTERREG – również d</w:t>
      </w:r>
      <w:r w:rsidR="009122EF">
        <w:rPr>
          <w:rFonts w:cs="Arial"/>
        </w:rPr>
        <w:t>w.</w:t>
      </w:r>
      <w:r w:rsidRPr="008A6ECA">
        <w:rPr>
          <w:rFonts w:cs="Arial"/>
        </w:rPr>
        <w:t xml:space="preserve"> DBR).</w:t>
      </w:r>
    </w:p>
    <w:p w14:paraId="6FA446CC" w14:textId="53BA38D3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IZ dokonuje przeliczenia poniesionych i poświadczonych wydatków z PLN na EUR</w:t>
      </w:r>
      <w:r w:rsidR="00823F7F">
        <w:rPr>
          <w:rFonts w:cs="Arial"/>
        </w:rPr>
        <w:t>,</w:t>
      </w:r>
      <w:r w:rsidRPr="008A6ECA">
        <w:rPr>
          <w:rFonts w:cs="Arial"/>
        </w:rPr>
        <w:t xml:space="preserve"> zgodnie z miesięcznym obrachunkowym kursem wymiany stosowanym przez KE w miesiącu, w którym wydatki zostały zaksięgowane przez komórkę organizacyjną IZ realizującą zadania wynikające z art. 76 rozporządzenia ogólnego</w:t>
      </w:r>
      <w:r w:rsidR="00823F7F">
        <w:rPr>
          <w:rFonts w:cs="Arial"/>
        </w:rPr>
        <w:t>. Z</w:t>
      </w:r>
      <w:r w:rsidRPr="008A6ECA">
        <w:rPr>
          <w:rFonts w:cs="Arial"/>
        </w:rPr>
        <w:t>a moment zaksięgowania należy przyjąć moment przekazania deklaracji wydatków do w</w:t>
      </w:r>
      <w:r w:rsidR="00823F7F">
        <w:rPr>
          <w:rFonts w:cs="Arial"/>
        </w:rPr>
        <w:t>w.</w:t>
      </w:r>
      <w:r w:rsidRPr="008A6ECA">
        <w:rPr>
          <w:rFonts w:cs="Arial"/>
        </w:rPr>
        <w:t xml:space="preserve"> komórki </w:t>
      </w:r>
      <w:r w:rsidR="00823F7F">
        <w:rPr>
          <w:rFonts w:cs="Arial"/>
        </w:rPr>
        <w:t xml:space="preserve">organizacyjnej, </w:t>
      </w:r>
      <w:r w:rsidRPr="008A6ECA">
        <w:rPr>
          <w:rFonts w:cs="Arial"/>
        </w:rPr>
        <w:t>za po</w:t>
      </w:r>
      <w:r w:rsidR="00765D41">
        <w:rPr>
          <w:rFonts w:cs="Arial"/>
        </w:rPr>
        <w:t>mocą</w:t>
      </w:r>
      <w:r w:rsidRPr="008A6ECA">
        <w:rPr>
          <w:rFonts w:cs="Arial"/>
        </w:rPr>
        <w:t xml:space="preserve">SL2021). </w:t>
      </w:r>
      <w:r w:rsidR="00823F7F">
        <w:rPr>
          <w:rFonts w:cs="Arial"/>
        </w:rPr>
        <w:t>K</w:t>
      </w:r>
      <w:r w:rsidRPr="008A6ECA">
        <w:rPr>
          <w:rFonts w:cs="Arial"/>
        </w:rPr>
        <w:t>urs wymiany jest publikowany co miesiąc na stronach internetowych KE. Obowiązek przeliczenia wydatków nie dotyczy programów INTERREG.</w:t>
      </w:r>
    </w:p>
    <w:p w14:paraId="54F53EF2" w14:textId="2A22CBB3" w:rsidR="008A6ECA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 xml:space="preserve">IZ na bieżąco prowadzi rejestr kwot wycofanych po anulowaniu całości </w:t>
      </w:r>
      <w:r w:rsidR="00823F7F">
        <w:rPr>
          <w:rFonts w:cs="Arial"/>
        </w:rPr>
        <w:t>albo</w:t>
      </w:r>
      <w:r w:rsidRPr="008A6ECA">
        <w:rPr>
          <w:rFonts w:cs="Arial"/>
        </w:rPr>
        <w:t xml:space="preserve"> części wkładu dla projektu z wyodrębnieniem wkładu publicznego i dofinansowania dla programu. Rejestr prowadzony jest w SL2021. Kwoty wycofane są zwracane do</w:t>
      </w:r>
      <w:r w:rsidR="00617E90">
        <w:rPr>
          <w:rFonts w:cs="Arial"/>
        </w:rPr>
        <w:t> </w:t>
      </w:r>
      <w:r w:rsidRPr="008A6ECA">
        <w:rPr>
          <w:rFonts w:cs="Arial"/>
        </w:rPr>
        <w:t xml:space="preserve">budżetu ogólnego </w:t>
      </w:r>
      <w:r w:rsidR="00E62480">
        <w:rPr>
          <w:rFonts w:cs="Arial"/>
        </w:rPr>
        <w:t>UE</w:t>
      </w:r>
      <w:r w:rsidRPr="008A6ECA">
        <w:rPr>
          <w:rFonts w:cs="Arial"/>
        </w:rPr>
        <w:t xml:space="preserve"> przed zamknięciem programu</w:t>
      </w:r>
      <w:r w:rsidR="00C51DDA">
        <w:rPr>
          <w:rFonts w:cs="Arial"/>
        </w:rPr>
        <w:t>,</w:t>
      </w:r>
      <w:r w:rsidRPr="008A6ECA">
        <w:rPr>
          <w:rFonts w:cs="Arial"/>
        </w:rPr>
        <w:t xml:space="preserve"> poprzez potrącenie ich z</w:t>
      </w:r>
      <w:r w:rsidR="00617E90">
        <w:rPr>
          <w:rFonts w:cs="Arial"/>
        </w:rPr>
        <w:t> </w:t>
      </w:r>
      <w:r w:rsidRPr="008A6ECA">
        <w:rPr>
          <w:rFonts w:cs="Arial"/>
        </w:rPr>
        <w:t>wniosku o płatność oraz zestawienia wydatków. Potrącenia z</w:t>
      </w:r>
      <w:r w:rsidR="00D26846">
        <w:rPr>
          <w:rFonts w:cs="Arial"/>
        </w:rPr>
        <w:t> </w:t>
      </w:r>
      <w:r w:rsidRPr="008A6ECA">
        <w:rPr>
          <w:rFonts w:cs="Arial"/>
        </w:rPr>
        <w:t>deklaracji wydatków kwot wycofanych dokonują instytucje, które odpowiadają za</w:t>
      </w:r>
      <w:r w:rsidR="00D26846">
        <w:rPr>
          <w:rFonts w:cs="Arial"/>
        </w:rPr>
        <w:t> </w:t>
      </w:r>
      <w:r w:rsidRPr="008A6ECA">
        <w:rPr>
          <w:rFonts w:cs="Arial"/>
        </w:rPr>
        <w:t xml:space="preserve">płatności przekazywane do beneficjentów. Tryb oraz warunki </w:t>
      </w:r>
      <w:r w:rsidRPr="008A6ECA">
        <w:rPr>
          <w:rFonts w:cs="Arial"/>
        </w:rPr>
        <w:lastRenderedPageBreak/>
        <w:t>gromadzenia danych w tym zakresie określają pisemne procedury obowiązujące w IZ zgodne, w</w:t>
      </w:r>
      <w:r w:rsidR="00617E90">
        <w:rPr>
          <w:rFonts w:cs="Arial"/>
        </w:rPr>
        <w:t> </w:t>
      </w:r>
      <w:r w:rsidRPr="008A6ECA">
        <w:rPr>
          <w:rFonts w:cs="Arial"/>
        </w:rPr>
        <w:t xml:space="preserve">szczególności, z </w:t>
      </w:r>
      <w:r w:rsidRPr="008A6ECA">
        <w:rPr>
          <w:rFonts w:cs="Arial"/>
          <w:i/>
        </w:rPr>
        <w:t xml:space="preserve">Instrukcją użytkownika </w:t>
      </w:r>
      <w:r w:rsidRPr="00DB0D2F">
        <w:rPr>
          <w:rFonts w:cs="Arial"/>
          <w:i/>
        </w:rPr>
        <w:t>SL2021</w:t>
      </w:r>
      <w:r w:rsidRPr="00DB0D2F">
        <w:rPr>
          <w:rFonts w:cs="Arial"/>
        </w:rPr>
        <w:t xml:space="preserve">. </w:t>
      </w:r>
    </w:p>
    <w:p w14:paraId="14BFEB4F" w14:textId="6257DB6F" w:rsidR="004C0F29" w:rsidRPr="008A6ECA" w:rsidRDefault="004C0F29" w:rsidP="00CF72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357" w:hanging="357"/>
        <w:rPr>
          <w:rFonts w:cs="Arial"/>
          <w:szCs w:val="22"/>
        </w:rPr>
      </w:pPr>
      <w:r w:rsidRPr="008A6ECA">
        <w:rPr>
          <w:rFonts w:cs="Arial"/>
        </w:rPr>
        <w:t>IZ jest zobowiązana  do uwzględnienia, podczas sporządzania i składania wniosków o płatność i zestawień wydatków, wyników wszystkich audytów</w:t>
      </w:r>
      <w:r w:rsidR="002F347B">
        <w:rPr>
          <w:rFonts w:cs="Arial"/>
        </w:rPr>
        <w:t xml:space="preserve"> i</w:t>
      </w:r>
      <w:r w:rsidR="00617E90">
        <w:rPr>
          <w:rFonts w:cs="Arial"/>
        </w:rPr>
        <w:t> </w:t>
      </w:r>
      <w:r w:rsidR="002F347B">
        <w:rPr>
          <w:rFonts w:cs="Arial"/>
        </w:rPr>
        <w:t>kontroli</w:t>
      </w:r>
      <w:r w:rsidRPr="008A6ECA">
        <w:rPr>
          <w:rFonts w:cs="Arial"/>
        </w:rPr>
        <w:t xml:space="preserve"> przeprowadzonych na jej odpowiedzialność</w:t>
      </w:r>
      <w:r w:rsidR="002F347B">
        <w:rPr>
          <w:rFonts w:cs="Arial"/>
        </w:rPr>
        <w:t xml:space="preserve"> lub </w:t>
      </w:r>
      <w:r w:rsidRPr="008A6ECA">
        <w:rPr>
          <w:rFonts w:cs="Arial"/>
        </w:rPr>
        <w:t>przez uprawnione instytucje.</w:t>
      </w:r>
    </w:p>
    <w:p w14:paraId="670502C1" w14:textId="1E917719" w:rsidR="004C0F29" w:rsidRDefault="004C0F29" w:rsidP="008A6ECA">
      <w:pPr>
        <w:autoSpaceDE w:val="0"/>
        <w:autoSpaceDN w:val="0"/>
        <w:adjustRightInd w:val="0"/>
        <w:spacing w:before="120" w:after="120" w:line="360" w:lineRule="auto"/>
        <w:rPr>
          <w:rFonts w:cs="Arial"/>
          <w:szCs w:val="22"/>
        </w:rPr>
      </w:pPr>
    </w:p>
    <w:p w14:paraId="39F302A0" w14:textId="35EC5AB9" w:rsidR="008A6ECA" w:rsidRDefault="004C0F29" w:rsidP="00690941">
      <w:pPr>
        <w:pStyle w:val="Nagwek1"/>
      </w:pPr>
      <w:bookmarkStart w:id="28" w:name="_Toc105767759"/>
      <w:r>
        <w:t xml:space="preserve">Rozdział 4. </w:t>
      </w:r>
      <w:r w:rsidRPr="00B64D81">
        <w:t>Tryb i warunki kalkulacji prognoz wniosków o</w:t>
      </w:r>
      <w:r w:rsidR="00124341">
        <w:t> </w:t>
      </w:r>
      <w:r w:rsidRPr="00B64D81">
        <w:t>płatność kierowanych do Komisji Europejskiej oraz procedury przesyłania do Komisji Europejskiej informacji w</w:t>
      </w:r>
      <w:r w:rsidR="00124341">
        <w:t> </w:t>
      </w:r>
      <w:r w:rsidRPr="00B64D81">
        <w:t>tej sprawie</w:t>
      </w:r>
      <w:bookmarkEnd w:id="28"/>
    </w:p>
    <w:p w14:paraId="4C81FCC9" w14:textId="13ED4BBA" w:rsidR="008A6ECA" w:rsidRPr="008A6ECA" w:rsidRDefault="008130D6" w:rsidP="00CF72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  <w:szCs w:val="22"/>
        </w:rPr>
      </w:pPr>
      <w:r w:rsidRPr="008A6ECA">
        <w:rPr>
          <w:rFonts w:cs="Arial"/>
        </w:rPr>
        <w:t>IZ przekazuje do KE prognozy, o których mowa w art. 69 ust. 10 rozporządzenia ogólnego, zgodnie z</w:t>
      </w:r>
      <w:r w:rsidR="00C51DDA">
        <w:rPr>
          <w:rFonts w:cs="Arial"/>
        </w:rPr>
        <w:t>e</w:t>
      </w:r>
      <w:r w:rsidRPr="008A6ECA">
        <w:rPr>
          <w:rFonts w:cs="Arial"/>
        </w:rPr>
        <w:t xml:space="preserve"> wzorem zawartym w tabeli w załącznik</w:t>
      </w:r>
      <w:r w:rsidR="00C51DDA">
        <w:rPr>
          <w:rFonts w:cs="Arial"/>
        </w:rPr>
        <w:t>u</w:t>
      </w:r>
      <w:r w:rsidRPr="008A6ECA">
        <w:rPr>
          <w:rFonts w:cs="Arial"/>
        </w:rPr>
        <w:t xml:space="preserve"> nr VIII</w:t>
      </w:r>
      <w:r w:rsidR="00124341">
        <w:rPr>
          <w:rFonts w:cs="Arial"/>
        </w:rPr>
        <w:t xml:space="preserve"> </w:t>
      </w:r>
      <w:r w:rsidR="00C51DDA">
        <w:rPr>
          <w:rFonts w:cs="Arial"/>
        </w:rPr>
        <w:t xml:space="preserve">do </w:t>
      </w:r>
      <w:r w:rsidRPr="008A6ECA">
        <w:rPr>
          <w:rFonts w:cs="Arial"/>
        </w:rPr>
        <w:t xml:space="preserve">rozporządzenia </w:t>
      </w:r>
      <w:r w:rsidR="00D70112">
        <w:rPr>
          <w:rFonts w:cs="Arial"/>
        </w:rPr>
        <w:t>ogólnego</w:t>
      </w:r>
      <w:r w:rsidRPr="008A6ECA">
        <w:rPr>
          <w:rFonts w:cs="Arial"/>
        </w:rPr>
        <w:t>, w rozbiciu na poszczególne programy, fundusze i</w:t>
      </w:r>
      <w:r w:rsidR="00124341">
        <w:rPr>
          <w:rFonts w:cs="Arial"/>
        </w:rPr>
        <w:t> </w:t>
      </w:r>
      <w:r w:rsidRPr="008A6ECA">
        <w:rPr>
          <w:rFonts w:cs="Arial"/>
        </w:rPr>
        <w:t>kategorie regionów.</w:t>
      </w:r>
    </w:p>
    <w:p w14:paraId="12DCEF7C" w14:textId="5A3ACCC8" w:rsidR="007F0514" w:rsidRPr="007F0514" w:rsidRDefault="008130D6" w:rsidP="007F05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  <w:szCs w:val="22"/>
        </w:rPr>
      </w:pPr>
      <w:r w:rsidRPr="008A6ECA">
        <w:rPr>
          <w:rFonts w:cs="Arial"/>
        </w:rPr>
        <w:t xml:space="preserve">Prognozy dotyczące płatności odnoszą się do wniosków o płatność przesyłanych do KE. Oznacza to, że sporządzając prognozę IZ musi uwzględnić nie tylko prognozy dotyczące wydatków ponoszonych przez beneficjentów w ramach programów i wykazanych we wnioskach o płatność, ale także przewidywaną datę złożenia przez IZ wniosku o płatność okresową </w:t>
      </w:r>
      <w:r w:rsidR="00C51DDA">
        <w:rPr>
          <w:rFonts w:cs="Arial"/>
        </w:rPr>
        <w:t xml:space="preserve">(refundację) </w:t>
      </w:r>
      <w:r w:rsidRPr="008A6ECA">
        <w:rPr>
          <w:rFonts w:cs="Arial"/>
        </w:rPr>
        <w:t>do KE, która to uzależniona jest od szeregu czynników, takich jak:</w:t>
      </w:r>
    </w:p>
    <w:p w14:paraId="4FDB0966" w14:textId="77777777" w:rsidR="007F0514" w:rsidRDefault="00D70112" w:rsidP="007F0514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cs="Arial"/>
        </w:rPr>
      </w:pPr>
      <w:r w:rsidRPr="007F0514">
        <w:rPr>
          <w:rFonts w:cs="Arial"/>
          <w:szCs w:val="22"/>
        </w:rPr>
        <w:t>a</w:t>
      </w:r>
      <w:r w:rsidR="00D26846" w:rsidRPr="007F0514">
        <w:rPr>
          <w:rFonts w:cs="Arial"/>
          <w:szCs w:val="22"/>
        </w:rPr>
        <w:t>)</w:t>
      </w:r>
      <w:r w:rsidR="008A6ECA" w:rsidRPr="007F0514">
        <w:rPr>
          <w:rFonts w:cs="Arial"/>
          <w:szCs w:val="22"/>
        </w:rPr>
        <w:t xml:space="preserve"> </w:t>
      </w:r>
      <w:r w:rsidR="008130D6" w:rsidRPr="007F0514">
        <w:rPr>
          <w:rFonts w:cs="Arial"/>
          <w:szCs w:val="22"/>
        </w:rPr>
        <w:t>czas weryfikacji wniosków o płatność przedłożonych przez</w:t>
      </w:r>
      <w:r w:rsidR="008130D6" w:rsidRPr="007F0514">
        <w:rPr>
          <w:rFonts w:cs="Arial"/>
        </w:rPr>
        <w:t xml:space="preserve"> beneficjentów,</w:t>
      </w:r>
    </w:p>
    <w:p w14:paraId="2D79B6D1" w14:textId="77777777" w:rsidR="007F0514" w:rsidRDefault="00D70112" w:rsidP="007F0514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cs="Arial"/>
        </w:rPr>
      </w:pPr>
      <w:r w:rsidRPr="007F0514">
        <w:rPr>
          <w:rFonts w:cs="Arial"/>
        </w:rPr>
        <w:t>b</w:t>
      </w:r>
      <w:r w:rsidR="00D26846" w:rsidRPr="007F0514">
        <w:rPr>
          <w:rFonts w:cs="Arial"/>
        </w:rPr>
        <w:t xml:space="preserve">) </w:t>
      </w:r>
      <w:r w:rsidR="008130D6" w:rsidRPr="007F0514">
        <w:rPr>
          <w:rFonts w:cs="Arial"/>
        </w:rPr>
        <w:t xml:space="preserve">czas niezbędny na przygotowanie deklaracji wydatków przez instytucje systemu wdrażania, </w:t>
      </w:r>
    </w:p>
    <w:p w14:paraId="0010D50D" w14:textId="77777777" w:rsidR="007F0514" w:rsidRDefault="00D70112" w:rsidP="007F0514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cs="Arial"/>
        </w:rPr>
      </w:pPr>
      <w:r w:rsidRPr="007F0514">
        <w:rPr>
          <w:rFonts w:cs="Arial"/>
        </w:rPr>
        <w:t>c</w:t>
      </w:r>
      <w:r w:rsidR="00D26846" w:rsidRPr="007F0514">
        <w:rPr>
          <w:rFonts w:cs="Arial"/>
        </w:rPr>
        <w:t xml:space="preserve">) </w:t>
      </w:r>
      <w:r w:rsidR="008130D6" w:rsidRPr="007F0514">
        <w:rPr>
          <w:rFonts w:cs="Arial"/>
        </w:rPr>
        <w:t xml:space="preserve">czas niezbędny na weryfikację wspomnianych deklaracji przez instytucje, do których zestawienia takie są kierowane, </w:t>
      </w:r>
    </w:p>
    <w:p w14:paraId="31C650E1" w14:textId="32A1B105" w:rsidR="008130D6" w:rsidRPr="007F0514" w:rsidRDefault="00D70112" w:rsidP="007F0514">
      <w:pPr>
        <w:pStyle w:val="Akapitzlist"/>
        <w:autoSpaceDE w:val="0"/>
        <w:autoSpaceDN w:val="0"/>
        <w:adjustRightInd w:val="0"/>
        <w:spacing w:before="120" w:after="120" w:line="360" w:lineRule="auto"/>
        <w:ind w:left="360"/>
        <w:rPr>
          <w:rFonts w:cs="Arial"/>
          <w:szCs w:val="22"/>
        </w:rPr>
      </w:pPr>
      <w:r w:rsidRPr="007F0514">
        <w:rPr>
          <w:rFonts w:cs="Arial"/>
        </w:rPr>
        <w:t>d</w:t>
      </w:r>
      <w:r w:rsidR="00D26846" w:rsidRPr="007F0514">
        <w:rPr>
          <w:rFonts w:cs="Arial"/>
        </w:rPr>
        <w:t xml:space="preserve">) </w:t>
      </w:r>
      <w:r w:rsidR="008130D6" w:rsidRPr="007F0514">
        <w:rPr>
          <w:rFonts w:cs="Arial"/>
        </w:rPr>
        <w:t>przyjęte w ramach danego programu rozwiązania dotyczące terminów bądź częstotliwości przekazywania deklaracji wydatków.</w:t>
      </w:r>
    </w:p>
    <w:p w14:paraId="093858B9" w14:textId="7189DD4F" w:rsidR="008A6ECA" w:rsidRDefault="008130D6" w:rsidP="00CF72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8130D6">
        <w:rPr>
          <w:rFonts w:cs="Arial"/>
        </w:rPr>
        <w:t>IKPKW otrzymuje od IZ, odpowiednio do 15 grudnia i 15 czerwca każdego roku, lub w innym terminie wyznaczonym przez IKPKW, prognozy wyrażone w</w:t>
      </w:r>
      <w:r w:rsidR="00D26846">
        <w:rPr>
          <w:rFonts w:cs="Arial"/>
        </w:rPr>
        <w:t> </w:t>
      </w:r>
      <w:r w:rsidRPr="008130D6">
        <w:rPr>
          <w:rFonts w:cs="Arial"/>
        </w:rPr>
        <w:t>PLN</w:t>
      </w:r>
      <w:r w:rsidR="00C51DDA">
        <w:rPr>
          <w:rFonts w:cs="Arial"/>
        </w:rPr>
        <w:t xml:space="preserve"> albo EUR - </w:t>
      </w:r>
      <w:r w:rsidRPr="008130D6">
        <w:rPr>
          <w:rFonts w:cs="Arial"/>
        </w:rPr>
        <w:t>w</w:t>
      </w:r>
      <w:r w:rsidR="00617E90">
        <w:rPr>
          <w:rFonts w:cs="Arial"/>
        </w:rPr>
        <w:t> </w:t>
      </w:r>
      <w:r w:rsidRPr="008130D6">
        <w:rPr>
          <w:rFonts w:cs="Arial"/>
        </w:rPr>
        <w:t>przypadku programów INTERREG</w:t>
      </w:r>
      <w:r w:rsidR="000C4C38">
        <w:rPr>
          <w:rFonts w:cs="Arial"/>
        </w:rPr>
        <w:t xml:space="preserve">. Prognozy </w:t>
      </w:r>
      <w:r w:rsidRPr="008130D6">
        <w:rPr>
          <w:rFonts w:cs="Arial"/>
        </w:rPr>
        <w:t xml:space="preserve">obejmują zarówno </w:t>
      </w:r>
      <w:r w:rsidRPr="008130D6">
        <w:rPr>
          <w:rFonts w:cs="Arial"/>
        </w:rPr>
        <w:lastRenderedPageBreak/>
        <w:t xml:space="preserve">kwoty płatności odpowiadające wkładowi UE, jakie objęte zostaną wnioskami o płatność okresową </w:t>
      </w:r>
      <w:r w:rsidR="00C51DDA">
        <w:rPr>
          <w:rFonts w:cs="Arial"/>
        </w:rPr>
        <w:t xml:space="preserve">(refundację) </w:t>
      </w:r>
      <w:r w:rsidRPr="008130D6">
        <w:rPr>
          <w:rFonts w:cs="Arial"/>
        </w:rPr>
        <w:t>od IZ do KE, jak i kwoty wydatków kwalifikowalnych stanowiące podstawę obliczenia wnioskowanego wkładu UE. W</w:t>
      </w:r>
      <w:r w:rsidR="00D26846">
        <w:rPr>
          <w:rFonts w:cs="Arial"/>
        </w:rPr>
        <w:t> </w:t>
      </w:r>
      <w:r w:rsidRPr="008130D6">
        <w:rPr>
          <w:rFonts w:cs="Arial"/>
        </w:rPr>
        <w:t>prognozie IZ wyodrębnia informacje dotyczące wniosków przekazanych do KE, które zostaną wykazane we wnioskach o płatność  do KE w okres</w:t>
      </w:r>
      <w:r w:rsidR="00C51DDA">
        <w:rPr>
          <w:rFonts w:cs="Arial"/>
        </w:rPr>
        <w:t>ach:</w:t>
      </w:r>
      <w:r w:rsidRPr="008130D6">
        <w:rPr>
          <w:rFonts w:cs="Arial"/>
        </w:rPr>
        <w:t xml:space="preserve"> styczeń – październik oraz listopad-grudzień</w:t>
      </w:r>
      <w:r w:rsidR="00C51DDA">
        <w:rPr>
          <w:rFonts w:cs="Arial"/>
        </w:rPr>
        <w:t>,</w:t>
      </w:r>
      <w:r w:rsidRPr="008130D6">
        <w:rPr>
          <w:rFonts w:cs="Arial"/>
        </w:rPr>
        <w:t xml:space="preserve"> pierwszego z lat objętych prognozą.</w:t>
      </w:r>
    </w:p>
    <w:p w14:paraId="63B02818" w14:textId="77777777" w:rsidR="008A6ECA" w:rsidRDefault="008130D6" w:rsidP="00CF72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8A6ECA">
        <w:rPr>
          <w:rFonts w:cs="Arial"/>
        </w:rPr>
        <w:t>IKPKW weryfikuje, a następnie zatwierdza otrzymane prognozy oraz dokonuje przeliczenia tych kwot na EUR (z wyłączeniem programów INTERREG) według miesięcznego kursu księgowego KE, odpowiednio ze stycznia i lipca danego roku. W przypadku gdy prognozy wskazują na możliwość utraty środków zgodnie z zasadą n+3, IKPKW konsultuje się z właściwą IZ. W ramach procesu weryfikacji prognoz IKPKW konsultuje się z DRP oraz DBR.</w:t>
      </w:r>
    </w:p>
    <w:p w14:paraId="7F1E136B" w14:textId="64F6C5B9" w:rsidR="008A6ECA" w:rsidRDefault="008130D6" w:rsidP="00CF72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8A6ECA">
        <w:rPr>
          <w:rFonts w:cs="Arial"/>
        </w:rPr>
        <w:t>IKPKW, w terminie do 20 stycznia i 20 lipca, informuje pisemnie IZ o</w:t>
      </w:r>
      <w:r w:rsidR="00D26846">
        <w:rPr>
          <w:rFonts w:cs="Arial"/>
        </w:rPr>
        <w:t> </w:t>
      </w:r>
      <w:r w:rsidRPr="008A6ECA">
        <w:rPr>
          <w:rFonts w:cs="Arial"/>
        </w:rPr>
        <w:t>zatwierdzonej kwocie prognoz. IZ przekazuje do KE do 31 stycznia i 31</w:t>
      </w:r>
      <w:r w:rsidR="00D26846">
        <w:rPr>
          <w:rFonts w:cs="Arial"/>
        </w:rPr>
        <w:t> </w:t>
      </w:r>
      <w:r w:rsidRPr="008A6ECA">
        <w:rPr>
          <w:rFonts w:cs="Arial"/>
        </w:rPr>
        <w:t xml:space="preserve">lipca </w:t>
      </w:r>
      <w:r w:rsidR="00D17F48">
        <w:rPr>
          <w:rFonts w:cs="Arial"/>
        </w:rPr>
        <w:t xml:space="preserve">w systemie </w:t>
      </w:r>
      <w:r w:rsidRPr="008A6ECA">
        <w:rPr>
          <w:rFonts w:cs="Arial"/>
        </w:rPr>
        <w:t>SFC2021 zatwierdzone prognozy dotyczące wkładu U</w:t>
      </w:r>
      <w:r w:rsidR="00C51DDA">
        <w:rPr>
          <w:rFonts w:cs="Arial"/>
        </w:rPr>
        <w:t>E</w:t>
      </w:r>
      <w:r w:rsidRPr="008A6ECA">
        <w:rPr>
          <w:rFonts w:cs="Arial"/>
        </w:rPr>
        <w:t xml:space="preserve"> (zgodnie z art. 69 ust. 9 i 10 rozporządzenia ogólnego).</w:t>
      </w:r>
    </w:p>
    <w:p w14:paraId="38C8845B" w14:textId="5E78742D" w:rsidR="008A6ECA" w:rsidRDefault="008130D6" w:rsidP="00CF72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8A6ECA">
        <w:rPr>
          <w:rFonts w:cs="Arial"/>
        </w:rPr>
        <w:t>Informacja o kwotach prognoz przesłanych do KE przez IZ przekazywana jest przez IKPKW do wiadomości I</w:t>
      </w:r>
      <w:r w:rsidR="00C51DDA">
        <w:rPr>
          <w:rFonts w:cs="Arial"/>
        </w:rPr>
        <w:t>OP</w:t>
      </w:r>
      <w:r w:rsidRPr="008A6ECA">
        <w:rPr>
          <w:rFonts w:cs="Arial"/>
        </w:rPr>
        <w:t>, DRP oraz DBR.</w:t>
      </w:r>
    </w:p>
    <w:p w14:paraId="4D92C90E" w14:textId="432B0DDA" w:rsidR="004C0F29" w:rsidRPr="008A6ECA" w:rsidRDefault="008130D6" w:rsidP="00CF72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 w:rsidRPr="008A6ECA">
        <w:rPr>
          <w:rFonts w:cs="Arial"/>
        </w:rPr>
        <w:t>IKPKW prowadzi bieżący monitoring postępu finansowego w ramach realizacji Umowy Partnerstwa 2021-2027, w tym kwot wydatków już zadeklarowanych w</w:t>
      </w:r>
      <w:r w:rsidR="00D26846">
        <w:rPr>
          <w:rFonts w:cs="Arial"/>
        </w:rPr>
        <w:t> </w:t>
      </w:r>
      <w:r w:rsidRPr="008A6ECA">
        <w:rPr>
          <w:rFonts w:cs="Arial"/>
        </w:rPr>
        <w:t>rocznych zestawieniach wydatków, kwot wydatków ujętych we wnioskach o</w:t>
      </w:r>
      <w:r w:rsidR="00D26846">
        <w:rPr>
          <w:rFonts w:cs="Arial"/>
        </w:rPr>
        <w:t> </w:t>
      </w:r>
      <w:r w:rsidRPr="008A6ECA">
        <w:rPr>
          <w:rFonts w:cs="Arial"/>
        </w:rPr>
        <w:t>płatność dotyczących lat obrachunkowych, w stosunku do których nie przesłano jeszcze rocznych zestawień wydatków, a także kwot wydatków planowanych do zadeklarowania do KE, w szczególności pod kątem przestrzegania zasady n+3.  W przypadku zidentyfikowania istotnego ryzyka utraty środków zgodnie ze wspomnianą zasadą IKPKW zwraca się do właściwej IZ  o przedstawienie szczegółowych wyjaśnień  i podjęcie ewentualnych działań naprawczych.</w:t>
      </w:r>
    </w:p>
    <w:p w14:paraId="16A5C54E" w14:textId="77777777" w:rsidR="00C73093" w:rsidRDefault="00CB2BB4" w:rsidP="008A6ECA">
      <w:pPr>
        <w:spacing w:before="120" w:after="120" w:line="360" w:lineRule="auto"/>
        <w:rPr>
          <w:rFonts w:cs="Arial"/>
        </w:rPr>
      </w:pPr>
    </w:p>
    <w:sectPr w:rsidR="00C73093" w:rsidSect="00764F73">
      <w:footerReference w:type="even" r:id="rId10"/>
      <w:footerReference w:type="defaul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ACAD" w14:textId="77777777" w:rsidR="00CB2BB4" w:rsidRDefault="00CB2BB4">
      <w:r>
        <w:separator/>
      </w:r>
    </w:p>
    <w:p w14:paraId="2205356D" w14:textId="77777777" w:rsidR="00CB2BB4" w:rsidRDefault="00CB2BB4"/>
    <w:p w14:paraId="3CDF6280" w14:textId="77777777" w:rsidR="00CB2BB4" w:rsidRDefault="00CB2BB4" w:rsidP="008E1B26"/>
  </w:endnote>
  <w:endnote w:type="continuationSeparator" w:id="0">
    <w:p w14:paraId="0BAD9527" w14:textId="77777777" w:rsidR="00CB2BB4" w:rsidRDefault="00CB2BB4">
      <w:r>
        <w:continuationSeparator/>
      </w:r>
    </w:p>
    <w:p w14:paraId="1D3FA813" w14:textId="77777777" w:rsidR="00CB2BB4" w:rsidRDefault="00CB2BB4"/>
    <w:p w14:paraId="2E1FAF81" w14:textId="77777777" w:rsidR="00CB2BB4" w:rsidRDefault="00CB2BB4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33" w14:textId="648067A7" w:rsidR="00C9356A" w:rsidRDefault="00177D1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48E67" w14:textId="77777777" w:rsidR="00C9356A" w:rsidRDefault="00CB2BB4">
    <w:pPr>
      <w:pStyle w:val="Stopka"/>
    </w:pPr>
  </w:p>
  <w:p w14:paraId="682511BE" w14:textId="77777777" w:rsidR="00A261F9" w:rsidRDefault="00A261F9"/>
  <w:p w14:paraId="04BDA025" w14:textId="77777777" w:rsidR="00A261F9" w:rsidRDefault="00A261F9"/>
  <w:p w14:paraId="466DA768" w14:textId="77777777" w:rsidR="00D314A3" w:rsidRDefault="00D314A3"/>
  <w:p w14:paraId="1DCB924E" w14:textId="77777777" w:rsidR="00D314A3" w:rsidRDefault="00D314A3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72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42B8BE" w14:textId="7C1ED6CB" w:rsidR="00D314A3" w:rsidRPr="00652C66" w:rsidRDefault="007C533C" w:rsidP="00666693">
        <w:pPr>
          <w:pStyle w:val="Stopka"/>
          <w:jc w:val="center"/>
          <w:rPr>
            <w:sz w:val="22"/>
            <w:szCs w:val="22"/>
          </w:rPr>
        </w:pPr>
        <w:r w:rsidRPr="00652C66">
          <w:rPr>
            <w:sz w:val="22"/>
            <w:szCs w:val="22"/>
          </w:rPr>
          <w:fldChar w:fldCharType="begin"/>
        </w:r>
        <w:r w:rsidRPr="00652C66">
          <w:rPr>
            <w:sz w:val="22"/>
            <w:szCs w:val="22"/>
          </w:rPr>
          <w:instrText>PAGE   \* MERGEFORMAT</w:instrText>
        </w:r>
        <w:r w:rsidRPr="00652C66">
          <w:rPr>
            <w:sz w:val="22"/>
            <w:szCs w:val="22"/>
          </w:rPr>
          <w:fldChar w:fldCharType="separate"/>
        </w:r>
        <w:r w:rsidRPr="00652C66">
          <w:rPr>
            <w:sz w:val="22"/>
            <w:szCs w:val="22"/>
          </w:rPr>
          <w:t>2</w:t>
        </w:r>
        <w:r w:rsidRPr="00652C66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A3A" w14:textId="4458B522" w:rsidR="008E1B26" w:rsidRDefault="008E1B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BCB2" w14:textId="77777777" w:rsidR="00CB2BB4" w:rsidRDefault="00CB2BB4">
      <w:r>
        <w:separator/>
      </w:r>
    </w:p>
    <w:p w14:paraId="175FC23F" w14:textId="77777777" w:rsidR="00CB2BB4" w:rsidRDefault="00CB2BB4"/>
    <w:p w14:paraId="4FABAC99" w14:textId="77777777" w:rsidR="00CB2BB4" w:rsidRDefault="00CB2BB4" w:rsidP="008E1B26"/>
  </w:footnote>
  <w:footnote w:type="continuationSeparator" w:id="0">
    <w:p w14:paraId="6824241E" w14:textId="77777777" w:rsidR="00CB2BB4" w:rsidRDefault="00CB2BB4">
      <w:r>
        <w:continuationSeparator/>
      </w:r>
    </w:p>
    <w:p w14:paraId="4D8A81F1" w14:textId="77777777" w:rsidR="00CB2BB4" w:rsidRDefault="00CB2BB4"/>
    <w:p w14:paraId="55A7DBBB" w14:textId="77777777" w:rsidR="00CB2BB4" w:rsidRDefault="00CB2BB4" w:rsidP="008E1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086C59"/>
    <w:multiLevelType w:val="hybridMultilevel"/>
    <w:tmpl w:val="C68A1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CA7C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AC2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B855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562D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EA067C"/>
    <w:multiLevelType w:val="singleLevel"/>
    <w:tmpl w:val="0415000B"/>
    <w:name w:val="a.222222222222222232232222222222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7BE83B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0746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8"/>
    <w:rsid w:val="00002DE5"/>
    <w:rsid w:val="0001713F"/>
    <w:rsid w:val="00032DB9"/>
    <w:rsid w:val="000403A5"/>
    <w:rsid w:val="00051DC8"/>
    <w:rsid w:val="00075942"/>
    <w:rsid w:val="00090833"/>
    <w:rsid w:val="000952A5"/>
    <w:rsid w:val="00096275"/>
    <w:rsid w:val="000A27BD"/>
    <w:rsid w:val="000A3B21"/>
    <w:rsid w:val="000B18D3"/>
    <w:rsid w:val="000B5169"/>
    <w:rsid w:val="000C3725"/>
    <w:rsid w:val="000C4C38"/>
    <w:rsid w:val="000D55A4"/>
    <w:rsid w:val="000E43C9"/>
    <w:rsid w:val="00115B33"/>
    <w:rsid w:val="00121914"/>
    <w:rsid w:val="00124341"/>
    <w:rsid w:val="00124C55"/>
    <w:rsid w:val="00135B93"/>
    <w:rsid w:val="00177D1F"/>
    <w:rsid w:val="00193A5B"/>
    <w:rsid w:val="00193ED5"/>
    <w:rsid w:val="001B23E8"/>
    <w:rsid w:val="001C2D62"/>
    <w:rsid w:val="001D6AF8"/>
    <w:rsid w:val="001E2ED1"/>
    <w:rsid w:val="001E6296"/>
    <w:rsid w:val="001F6EB1"/>
    <w:rsid w:val="002410F7"/>
    <w:rsid w:val="00260BAF"/>
    <w:rsid w:val="002670EC"/>
    <w:rsid w:val="00291A00"/>
    <w:rsid w:val="002F347B"/>
    <w:rsid w:val="002F68EE"/>
    <w:rsid w:val="00306332"/>
    <w:rsid w:val="003169C0"/>
    <w:rsid w:val="003231CB"/>
    <w:rsid w:val="003274B8"/>
    <w:rsid w:val="00343102"/>
    <w:rsid w:val="003525FF"/>
    <w:rsid w:val="00356695"/>
    <w:rsid w:val="003570EE"/>
    <w:rsid w:val="00363CDF"/>
    <w:rsid w:val="003719C5"/>
    <w:rsid w:val="00396EE6"/>
    <w:rsid w:val="003A289B"/>
    <w:rsid w:val="003A4133"/>
    <w:rsid w:val="003B104A"/>
    <w:rsid w:val="003B4425"/>
    <w:rsid w:val="003C3EA3"/>
    <w:rsid w:val="003D4FCE"/>
    <w:rsid w:val="003F3DF2"/>
    <w:rsid w:val="00402F5F"/>
    <w:rsid w:val="00405B62"/>
    <w:rsid w:val="0043608E"/>
    <w:rsid w:val="00444CB7"/>
    <w:rsid w:val="00452E69"/>
    <w:rsid w:val="004663D9"/>
    <w:rsid w:val="00474ABC"/>
    <w:rsid w:val="00477856"/>
    <w:rsid w:val="00481328"/>
    <w:rsid w:val="004B5A90"/>
    <w:rsid w:val="004C0F29"/>
    <w:rsid w:val="004D5C08"/>
    <w:rsid w:val="004F3622"/>
    <w:rsid w:val="004F45DE"/>
    <w:rsid w:val="004F4E2E"/>
    <w:rsid w:val="00505B02"/>
    <w:rsid w:val="00511363"/>
    <w:rsid w:val="00576FF2"/>
    <w:rsid w:val="005818F3"/>
    <w:rsid w:val="005B1F7B"/>
    <w:rsid w:val="005C3691"/>
    <w:rsid w:val="005C3F5D"/>
    <w:rsid w:val="005C724D"/>
    <w:rsid w:val="005C7A37"/>
    <w:rsid w:val="005E7239"/>
    <w:rsid w:val="0060740F"/>
    <w:rsid w:val="00611A80"/>
    <w:rsid w:val="00617DFD"/>
    <w:rsid w:val="00617E90"/>
    <w:rsid w:val="0063654D"/>
    <w:rsid w:val="00640657"/>
    <w:rsid w:val="00643735"/>
    <w:rsid w:val="00647BFD"/>
    <w:rsid w:val="00652C66"/>
    <w:rsid w:val="00652DAC"/>
    <w:rsid w:val="00666693"/>
    <w:rsid w:val="00675849"/>
    <w:rsid w:val="006814B5"/>
    <w:rsid w:val="0068620F"/>
    <w:rsid w:val="00690941"/>
    <w:rsid w:val="006E0509"/>
    <w:rsid w:val="006F678B"/>
    <w:rsid w:val="007025B0"/>
    <w:rsid w:val="00703D8D"/>
    <w:rsid w:val="00710750"/>
    <w:rsid w:val="00743CAF"/>
    <w:rsid w:val="00744090"/>
    <w:rsid w:val="00756BDB"/>
    <w:rsid w:val="007616C6"/>
    <w:rsid w:val="00764F73"/>
    <w:rsid w:val="00765D41"/>
    <w:rsid w:val="00773E9C"/>
    <w:rsid w:val="007776FF"/>
    <w:rsid w:val="007777E5"/>
    <w:rsid w:val="00780045"/>
    <w:rsid w:val="00794FB8"/>
    <w:rsid w:val="00796523"/>
    <w:rsid w:val="007A78BB"/>
    <w:rsid w:val="007B2FD3"/>
    <w:rsid w:val="007C533C"/>
    <w:rsid w:val="007C7D78"/>
    <w:rsid w:val="007D52B0"/>
    <w:rsid w:val="007D6A48"/>
    <w:rsid w:val="007D74FB"/>
    <w:rsid w:val="007E216C"/>
    <w:rsid w:val="007F0514"/>
    <w:rsid w:val="007F6BB5"/>
    <w:rsid w:val="008041FA"/>
    <w:rsid w:val="008130D6"/>
    <w:rsid w:val="00823240"/>
    <w:rsid w:val="00823F7F"/>
    <w:rsid w:val="008465D8"/>
    <w:rsid w:val="008545E3"/>
    <w:rsid w:val="0086139D"/>
    <w:rsid w:val="00893679"/>
    <w:rsid w:val="00893CDF"/>
    <w:rsid w:val="008A2E12"/>
    <w:rsid w:val="008A3EC1"/>
    <w:rsid w:val="008A6ECA"/>
    <w:rsid w:val="008C3AC5"/>
    <w:rsid w:val="008C4701"/>
    <w:rsid w:val="008E1B26"/>
    <w:rsid w:val="008E2AC4"/>
    <w:rsid w:val="008E7F05"/>
    <w:rsid w:val="008F7A4A"/>
    <w:rsid w:val="009122EF"/>
    <w:rsid w:val="00915E13"/>
    <w:rsid w:val="00916563"/>
    <w:rsid w:val="0092127F"/>
    <w:rsid w:val="00921773"/>
    <w:rsid w:val="0093535B"/>
    <w:rsid w:val="0095238E"/>
    <w:rsid w:val="00962BE4"/>
    <w:rsid w:val="009717FF"/>
    <w:rsid w:val="00972E4E"/>
    <w:rsid w:val="0098080A"/>
    <w:rsid w:val="00993353"/>
    <w:rsid w:val="009A6E72"/>
    <w:rsid w:val="009B105E"/>
    <w:rsid w:val="009C2A1F"/>
    <w:rsid w:val="009C79B3"/>
    <w:rsid w:val="009D51AF"/>
    <w:rsid w:val="009D5397"/>
    <w:rsid w:val="009D71B5"/>
    <w:rsid w:val="009E010C"/>
    <w:rsid w:val="009F5E84"/>
    <w:rsid w:val="00A009C5"/>
    <w:rsid w:val="00A020FC"/>
    <w:rsid w:val="00A15CA1"/>
    <w:rsid w:val="00A16C11"/>
    <w:rsid w:val="00A2400A"/>
    <w:rsid w:val="00A261F9"/>
    <w:rsid w:val="00A348A9"/>
    <w:rsid w:val="00A42D20"/>
    <w:rsid w:val="00A7695D"/>
    <w:rsid w:val="00A86A02"/>
    <w:rsid w:val="00A86B6A"/>
    <w:rsid w:val="00A96B15"/>
    <w:rsid w:val="00AD3294"/>
    <w:rsid w:val="00AD348F"/>
    <w:rsid w:val="00AD6CDD"/>
    <w:rsid w:val="00AD765D"/>
    <w:rsid w:val="00AE2388"/>
    <w:rsid w:val="00AF1788"/>
    <w:rsid w:val="00B066AB"/>
    <w:rsid w:val="00B0746B"/>
    <w:rsid w:val="00B44658"/>
    <w:rsid w:val="00B451F7"/>
    <w:rsid w:val="00B77D9B"/>
    <w:rsid w:val="00B84B07"/>
    <w:rsid w:val="00B90536"/>
    <w:rsid w:val="00B958E8"/>
    <w:rsid w:val="00BC0FC5"/>
    <w:rsid w:val="00BC22CE"/>
    <w:rsid w:val="00BE6B0A"/>
    <w:rsid w:val="00BF2A55"/>
    <w:rsid w:val="00BF3978"/>
    <w:rsid w:val="00C02901"/>
    <w:rsid w:val="00C3652F"/>
    <w:rsid w:val="00C44EB4"/>
    <w:rsid w:val="00C478C3"/>
    <w:rsid w:val="00C47DCF"/>
    <w:rsid w:val="00C51DDA"/>
    <w:rsid w:val="00C525C7"/>
    <w:rsid w:val="00C55E15"/>
    <w:rsid w:val="00C6528D"/>
    <w:rsid w:val="00C67F2B"/>
    <w:rsid w:val="00C8192C"/>
    <w:rsid w:val="00C94D75"/>
    <w:rsid w:val="00CA615C"/>
    <w:rsid w:val="00CB2BB4"/>
    <w:rsid w:val="00CC25A2"/>
    <w:rsid w:val="00CC78C6"/>
    <w:rsid w:val="00CD0901"/>
    <w:rsid w:val="00CD3EE0"/>
    <w:rsid w:val="00CF7216"/>
    <w:rsid w:val="00D172CD"/>
    <w:rsid w:val="00D17F48"/>
    <w:rsid w:val="00D26846"/>
    <w:rsid w:val="00D27DEC"/>
    <w:rsid w:val="00D314A3"/>
    <w:rsid w:val="00D358F5"/>
    <w:rsid w:val="00D3778A"/>
    <w:rsid w:val="00D41691"/>
    <w:rsid w:val="00D54B28"/>
    <w:rsid w:val="00D5771F"/>
    <w:rsid w:val="00D70112"/>
    <w:rsid w:val="00D73510"/>
    <w:rsid w:val="00D75989"/>
    <w:rsid w:val="00DB0D2F"/>
    <w:rsid w:val="00DC0182"/>
    <w:rsid w:val="00DD4BE9"/>
    <w:rsid w:val="00DE58BC"/>
    <w:rsid w:val="00DF0766"/>
    <w:rsid w:val="00DF1B0D"/>
    <w:rsid w:val="00DF37C4"/>
    <w:rsid w:val="00DF6540"/>
    <w:rsid w:val="00DF6C75"/>
    <w:rsid w:val="00E038F2"/>
    <w:rsid w:val="00E413D5"/>
    <w:rsid w:val="00E45991"/>
    <w:rsid w:val="00E463E7"/>
    <w:rsid w:val="00E61DFC"/>
    <w:rsid w:val="00E62480"/>
    <w:rsid w:val="00E652D5"/>
    <w:rsid w:val="00E87EB1"/>
    <w:rsid w:val="00E95454"/>
    <w:rsid w:val="00EA41CA"/>
    <w:rsid w:val="00EA51B0"/>
    <w:rsid w:val="00EA5286"/>
    <w:rsid w:val="00EB0F50"/>
    <w:rsid w:val="00EC0B31"/>
    <w:rsid w:val="00EC7B3F"/>
    <w:rsid w:val="00ED2BC0"/>
    <w:rsid w:val="00ED3491"/>
    <w:rsid w:val="00EE32FB"/>
    <w:rsid w:val="00EE51EE"/>
    <w:rsid w:val="00EE52D3"/>
    <w:rsid w:val="00F074B8"/>
    <w:rsid w:val="00F101CA"/>
    <w:rsid w:val="00F140B1"/>
    <w:rsid w:val="00F21108"/>
    <w:rsid w:val="00F259FC"/>
    <w:rsid w:val="00F312AC"/>
    <w:rsid w:val="00F43D48"/>
    <w:rsid w:val="00F83202"/>
    <w:rsid w:val="00FC0F57"/>
    <w:rsid w:val="00FC642E"/>
    <w:rsid w:val="00FD098E"/>
    <w:rsid w:val="00FD479A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515F3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90941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90941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8C4701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90941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0941"/>
    <w:rPr>
      <w:rFonts w:ascii="Arial" w:eastAsiaTheme="majorEastAsia" w:hAnsi="Arial" w:cstheme="majorBidi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 w:after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 w:after="120" w:line="360" w:lineRule="auto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729-0FE1-4ED4-BE3B-2778FA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Żołnacz-Okoń Agata</cp:lastModifiedBy>
  <cp:revision>2</cp:revision>
  <cp:lastPrinted>2022-03-25T10:20:00Z</cp:lastPrinted>
  <dcterms:created xsi:type="dcterms:W3CDTF">2022-09-21T13:07:00Z</dcterms:created>
  <dcterms:modified xsi:type="dcterms:W3CDTF">2022-09-21T13:07:00Z</dcterms:modified>
</cp:coreProperties>
</file>