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0FBF" w14:textId="77777777" w:rsidR="004E3242" w:rsidRDefault="00CF14F4" w:rsidP="004E3242">
      <w:pPr>
        <w:spacing w:line="360" w:lineRule="auto"/>
        <w:jc w:val="center"/>
        <w:rPr>
          <w:rFonts w:ascii="Arial" w:hAnsi="Arial" w:cs="Arial"/>
          <w:spacing w:val="4"/>
          <w:sz w:val="28"/>
          <w:szCs w:val="28"/>
        </w:rPr>
      </w:pPr>
      <w:r>
        <w:rPr>
          <w:rFonts w:ascii="Arial" w:hAnsi="Arial" w:cs="Arial"/>
          <w:noProof/>
          <w:spacing w:val="4"/>
          <w:sz w:val="28"/>
          <w:szCs w:val="28"/>
          <w:lang w:eastAsia="pl-PL"/>
        </w:rPr>
        <w:drawing>
          <wp:inline distT="0" distB="0" distL="0" distR="0" wp14:anchorId="25421EA0" wp14:editId="749DB34B">
            <wp:extent cx="548640" cy="5486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inline>
        </w:drawing>
      </w:r>
    </w:p>
    <w:p w14:paraId="1951D7C6" w14:textId="77777777" w:rsidR="003C3C9C" w:rsidRPr="00853180" w:rsidRDefault="003C3C9C" w:rsidP="003C3C9C">
      <w:pPr>
        <w:spacing w:after="0" w:line="240" w:lineRule="auto"/>
        <w:ind w:left="2832" w:firstLine="708"/>
        <w:rPr>
          <w:rFonts w:ascii="Arial" w:eastAsia="Times New Roman" w:hAnsi="Arial"/>
          <w:color w:val="000000"/>
          <w:sz w:val="24"/>
          <w:szCs w:val="24"/>
          <w:lang w:eastAsia="pl-PL"/>
        </w:rPr>
      </w:pPr>
      <w:r w:rsidRPr="00853180">
        <w:rPr>
          <w:rFonts w:ascii="Arial" w:eastAsia="Times New Roman" w:hAnsi="Arial"/>
          <w:color w:val="000000"/>
          <w:sz w:val="24"/>
          <w:szCs w:val="24"/>
          <w:lang w:eastAsia="pl-PL"/>
        </w:rPr>
        <w:t xml:space="preserve">MINISTERSTWO </w:t>
      </w:r>
    </w:p>
    <w:p w14:paraId="73CF8D82" w14:textId="77777777" w:rsidR="003C3C9C" w:rsidRPr="00853180" w:rsidRDefault="003C3C9C" w:rsidP="003C3C9C">
      <w:pPr>
        <w:spacing w:after="0" w:line="240" w:lineRule="auto"/>
        <w:ind w:left="2124"/>
        <w:rPr>
          <w:rFonts w:ascii="Arial" w:eastAsia="Times New Roman" w:hAnsi="Arial"/>
          <w:color w:val="000000"/>
          <w:sz w:val="24"/>
          <w:szCs w:val="24"/>
          <w:lang w:eastAsia="pl-PL"/>
        </w:rPr>
      </w:pPr>
      <w:r>
        <w:rPr>
          <w:rFonts w:ascii="Arial" w:eastAsia="Times New Roman" w:hAnsi="Arial"/>
          <w:color w:val="000000"/>
          <w:sz w:val="24"/>
          <w:szCs w:val="24"/>
          <w:lang w:eastAsia="pl-PL"/>
        </w:rPr>
        <w:t xml:space="preserve">     </w:t>
      </w:r>
      <w:r w:rsidRPr="00853180">
        <w:rPr>
          <w:rFonts w:ascii="Arial" w:eastAsia="Times New Roman" w:hAnsi="Arial"/>
          <w:color w:val="000000"/>
          <w:sz w:val="24"/>
          <w:szCs w:val="24"/>
          <w:lang w:eastAsia="pl-PL"/>
        </w:rPr>
        <w:t>FUNDUSZY I POLITYKI REGIONALNEJ</w:t>
      </w:r>
    </w:p>
    <w:p w14:paraId="7C74B879" w14:textId="77777777" w:rsidR="006B3F0D" w:rsidRPr="004E3242" w:rsidRDefault="006B3F0D" w:rsidP="004E3242">
      <w:pPr>
        <w:spacing w:line="360" w:lineRule="auto"/>
        <w:jc w:val="center"/>
        <w:rPr>
          <w:rFonts w:ascii="Arial" w:hAnsi="Arial" w:cs="Arial"/>
          <w:spacing w:val="4"/>
          <w:sz w:val="20"/>
          <w:szCs w:val="20"/>
        </w:rPr>
      </w:pPr>
    </w:p>
    <w:p w14:paraId="24D5EABA" w14:textId="77777777" w:rsidR="004E3242" w:rsidRPr="004E3242" w:rsidRDefault="004E3242" w:rsidP="004E3242">
      <w:pPr>
        <w:spacing w:before="120" w:after="120"/>
        <w:jc w:val="center"/>
        <w:rPr>
          <w:rFonts w:ascii="Arial" w:hAnsi="Arial"/>
          <w:smallCaps/>
          <w:color w:val="808080"/>
          <w:spacing w:val="10"/>
          <w:kern w:val="28"/>
          <w:sz w:val="48"/>
          <w:szCs w:val="52"/>
          <w:lang w:eastAsia="pl-PL"/>
        </w:rPr>
      </w:pPr>
    </w:p>
    <w:p w14:paraId="3D9AA348" w14:textId="77777777" w:rsidR="004E3242" w:rsidRPr="004E3242" w:rsidRDefault="004E3242" w:rsidP="004E3242">
      <w:pPr>
        <w:spacing w:before="120" w:after="120"/>
        <w:rPr>
          <w:rFonts w:ascii="Arial" w:hAnsi="Arial"/>
          <w:smallCaps/>
          <w:color w:val="808080"/>
          <w:spacing w:val="10"/>
          <w:kern w:val="28"/>
          <w:sz w:val="48"/>
          <w:szCs w:val="52"/>
          <w:lang w:eastAsia="pl-PL"/>
        </w:rPr>
      </w:pPr>
    </w:p>
    <w:p w14:paraId="7076E675" w14:textId="77777777" w:rsidR="004E3242" w:rsidRPr="004E3242" w:rsidRDefault="004E3242" w:rsidP="004E3242">
      <w:pPr>
        <w:spacing w:before="120" w:after="120"/>
        <w:jc w:val="center"/>
        <w:rPr>
          <w:rFonts w:ascii="Arial" w:hAnsi="Arial"/>
          <w:smallCaps/>
          <w:color w:val="808080"/>
          <w:spacing w:val="10"/>
          <w:kern w:val="28"/>
          <w:sz w:val="48"/>
          <w:szCs w:val="52"/>
          <w:lang w:eastAsia="pl-PL"/>
        </w:rPr>
      </w:pPr>
      <w:r w:rsidRPr="004E3242">
        <w:rPr>
          <w:rFonts w:ascii="Arial" w:hAnsi="Arial"/>
          <w:smallCaps/>
          <w:color w:val="808080"/>
          <w:spacing w:val="10"/>
          <w:kern w:val="28"/>
          <w:sz w:val="48"/>
          <w:szCs w:val="52"/>
          <w:lang w:eastAsia="pl-PL"/>
        </w:rPr>
        <w:t>PROGRAM OPERACYJNY</w:t>
      </w:r>
    </w:p>
    <w:p w14:paraId="1C740686" w14:textId="77777777" w:rsidR="004E3242" w:rsidRDefault="004E3242" w:rsidP="004E3242">
      <w:pPr>
        <w:spacing w:before="120" w:after="120"/>
        <w:jc w:val="center"/>
        <w:rPr>
          <w:rFonts w:ascii="Arial" w:hAnsi="Arial"/>
          <w:smallCaps/>
          <w:color w:val="808080"/>
          <w:spacing w:val="10"/>
          <w:kern w:val="28"/>
          <w:sz w:val="48"/>
          <w:szCs w:val="52"/>
          <w:lang w:eastAsia="pl-PL"/>
        </w:rPr>
      </w:pPr>
      <w:r w:rsidRPr="004E3242">
        <w:rPr>
          <w:rFonts w:ascii="Arial" w:hAnsi="Arial"/>
          <w:smallCaps/>
          <w:color w:val="808080"/>
          <w:spacing w:val="10"/>
          <w:kern w:val="28"/>
          <w:sz w:val="48"/>
          <w:szCs w:val="52"/>
          <w:lang w:eastAsia="pl-PL"/>
        </w:rPr>
        <w:t>INFRASTRUKTURA I ŚRODOWISKO</w:t>
      </w:r>
    </w:p>
    <w:p w14:paraId="2A2B0B70" w14:textId="77777777" w:rsidR="006B0838" w:rsidRPr="004E3242" w:rsidRDefault="006B0838" w:rsidP="004E3242">
      <w:pPr>
        <w:spacing w:before="120" w:after="120"/>
        <w:jc w:val="center"/>
        <w:rPr>
          <w:rFonts w:ascii="Arial" w:hAnsi="Arial"/>
          <w:smallCaps/>
          <w:color w:val="808080"/>
          <w:spacing w:val="10"/>
          <w:kern w:val="28"/>
          <w:sz w:val="48"/>
          <w:szCs w:val="52"/>
          <w:lang w:eastAsia="pl-PL"/>
        </w:rPr>
      </w:pPr>
      <w:r>
        <w:rPr>
          <w:rFonts w:ascii="Arial" w:hAnsi="Arial"/>
          <w:smallCaps/>
          <w:color w:val="808080"/>
          <w:spacing w:val="10"/>
          <w:kern w:val="28"/>
          <w:sz w:val="48"/>
          <w:szCs w:val="52"/>
          <w:lang w:eastAsia="pl-PL"/>
        </w:rPr>
        <w:t>NA LATA</w:t>
      </w:r>
    </w:p>
    <w:p w14:paraId="50628979" w14:textId="77777777" w:rsidR="004E3242" w:rsidRPr="004E3242" w:rsidRDefault="004E3242" w:rsidP="004E3242">
      <w:pPr>
        <w:spacing w:before="120" w:after="120"/>
        <w:jc w:val="center"/>
        <w:rPr>
          <w:rFonts w:ascii="Arial" w:hAnsi="Arial"/>
          <w:smallCaps/>
          <w:color w:val="808080"/>
          <w:spacing w:val="10"/>
          <w:kern w:val="28"/>
          <w:sz w:val="48"/>
          <w:szCs w:val="52"/>
          <w:lang w:eastAsia="pl-PL"/>
        </w:rPr>
      </w:pPr>
      <w:r w:rsidRPr="004E3242">
        <w:rPr>
          <w:rFonts w:ascii="Arial" w:hAnsi="Arial"/>
          <w:smallCaps/>
          <w:color w:val="808080"/>
          <w:spacing w:val="10"/>
          <w:kern w:val="28"/>
          <w:sz w:val="48"/>
          <w:szCs w:val="52"/>
          <w:lang w:eastAsia="pl-PL"/>
        </w:rPr>
        <w:t>2014 – 2020</w:t>
      </w:r>
      <w:r w:rsidRPr="004E3242">
        <w:rPr>
          <w:rFonts w:ascii="Times New Roman" w:eastAsia="Times New Roman" w:hAnsi="Times New Roman"/>
          <w:smallCaps/>
          <w:snapToGrid w:val="0"/>
          <w:color w:val="000000"/>
          <w:spacing w:val="10"/>
          <w:w w:val="0"/>
          <w:kern w:val="28"/>
          <w:sz w:val="0"/>
          <w:szCs w:val="0"/>
          <w:u w:color="000000"/>
          <w:bdr w:val="none" w:sz="0" w:space="0" w:color="000000"/>
          <w:shd w:val="clear" w:color="000000" w:fill="000000"/>
          <w:lang w:val="x-none" w:eastAsia="x-none" w:bidi="x-none"/>
        </w:rPr>
        <w:t xml:space="preserve"> </w:t>
      </w:r>
    </w:p>
    <w:p w14:paraId="6F40D33A" w14:textId="77777777" w:rsidR="004E3242" w:rsidRPr="004E3242" w:rsidRDefault="004E3242" w:rsidP="004E3242">
      <w:pPr>
        <w:rPr>
          <w:lang w:eastAsia="pl-PL"/>
        </w:rPr>
      </w:pPr>
    </w:p>
    <w:p w14:paraId="24F443F8" w14:textId="77777777" w:rsidR="004E3242" w:rsidRPr="004E3242" w:rsidRDefault="004E3242" w:rsidP="004E3242">
      <w:pPr>
        <w:rPr>
          <w:lang w:eastAsia="pl-PL"/>
        </w:rPr>
      </w:pPr>
    </w:p>
    <w:p w14:paraId="49E04A26" w14:textId="77777777" w:rsidR="004E3242" w:rsidRPr="004E3242" w:rsidRDefault="004E3242" w:rsidP="004E3242">
      <w:pPr>
        <w:rPr>
          <w:lang w:eastAsia="pl-PL"/>
        </w:rPr>
      </w:pPr>
    </w:p>
    <w:p w14:paraId="3C897177" w14:textId="77777777" w:rsidR="004E3242" w:rsidRPr="004E3242" w:rsidRDefault="004E3242" w:rsidP="004E3242">
      <w:pPr>
        <w:rPr>
          <w:lang w:eastAsia="pl-PL"/>
        </w:rPr>
      </w:pPr>
    </w:p>
    <w:p w14:paraId="7FD2BE04" w14:textId="77777777" w:rsidR="004E3242" w:rsidRPr="004E3242" w:rsidRDefault="004E3242" w:rsidP="004E3242">
      <w:pPr>
        <w:rPr>
          <w:lang w:eastAsia="pl-PL"/>
        </w:rPr>
      </w:pPr>
    </w:p>
    <w:p w14:paraId="52D08CD9" w14:textId="77777777" w:rsidR="004E3242" w:rsidRPr="004E3242" w:rsidRDefault="004E3242" w:rsidP="004E3242">
      <w:pPr>
        <w:rPr>
          <w:lang w:eastAsia="pl-PL"/>
        </w:rPr>
      </w:pPr>
    </w:p>
    <w:p w14:paraId="25B8422A" w14:textId="77777777" w:rsidR="004E3242" w:rsidRPr="004E3242" w:rsidRDefault="004E3242" w:rsidP="004E3242">
      <w:pPr>
        <w:rPr>
          <w:lang w:eastAsia="pl-PL"/>
        </w:rPr>
      </w:pPr>
    </w:p>
    <w:p w14:paraId="28CF1D3A" w14:textId="77777777" w:rsidR="004E3242" w:rsidRPr="004E3242" w:rsidRDefault="004E3242" w:rsidP="004E3242">
      <w:pPr>
        <w:rPr>
          <w:lang w:eastAsia="pl-PL"/>
        </w:rPr>
      </w:pPr>
    </w:p>
    <w:p w14:paraId="2CA0F6FD" w14:textId="77777777" w:rsidR="004E3242" w:rsidRPr="004E3242" w:rsidRDefault="004E3242" w:rsidP="004E3242">
      <w:pPr>
        <w:rPr>
          <w:lang w:eastAsia="pl-PL"/>
        </w:rPr>
      </w:pPr>
    </w:p>
    <w:p w14:paraId="3630153D"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6DAB8A04" w14:textId="54CD4FAC" w:rsidR="00881E70" w:rsidRDefault="00881E70" w:rsidP="004E3242">
      <w:pPr>
        <w:keepLines/>
        <w:pBdr>
          <w:bottom w:val="single" w:sz="4" w:space="1" w:color="669900"/>
        </w:pBdr>
        <w:spacing w:before="360" w:after="240" w:line="240" w:lineRule="auto"/>
        <w:jc w:val="center"/>
        <w:rPr>
          <w:rFonts w:ascii="Arial" w:eastAsia="Times New Roman" w:hAnsi="Arial" w:cs="Arial"/>
          <w:caps/>
          <w:smallCaps/>
          <w:spacing w:val="5"/>
          <w:sz w:val="20"/>
          <w:szCs w:val="24"/>
          <w:lang w:eastAsia="pl-PL"/>
        </w:rPr>
      </w:pPr>
      <w:r>
        <w:rPr>
          <w:rFonts w:ascii="Arial" w:eastAsia="Times New Roman" w:hAnsi="Arial" w:cs="Arial"/>
          <w:caps/>
          <w:smallCaps/>
          <w:spacing w:val="5"/>
          <w:sz w:val="20"/>
          <w:szCs w:val="24"/>
          <w:lang w:eastAsia="pl-PL"/>
        </w:rPr>
        <w:t>WERSJA</w:t>
      </w:r>
      <w:r w:rsidR="007F5038">
        <w:rPr>
          <w:rFonts w:ascii="Arial" w:eastAsia="Times New Roman" w:hAnsi="Arial" w:cs="Arial"/>
          <w:caps/>
          <w:smallCaps/>
          <w:spacing w:val="5"/>
          <w:sz w:val="20"/>
          <w:szCs w:val="24"/>
          <w:lang w:eastAsia="pl-PL"/>
        </w:rPr>
        <w:t xml:space="preserve"> </w:t>
      </w:r>
      <w:r w:rsidR="00643131">
        <w:rPr>
          <w:rFonts w:ascii="Arial" w:eastAsia="Times New Roman" w:hAnsi="Arial" w:cs="Arial"/>
          <w:caps/>
          <w:smallCaps/>
          <w:spacing w:val="5"/>
          <w:sz w:val="20"/>
          <w:szCs w:val="24"/>
          <w:lang w:eastAsia="pl-PL"/>
        </w:rPr>
        <w:t>2</w:t>
      </w:r>
      <w:r w:rsidR="00FD723C">
        <w:rPr>
          <w:rFonts w:ascii="Arial" w:eastAsia="Times New Roman" w:hAnsi="Arial" w:cs="Arial"/>
          <w:caps/>
          <w:smallCaps/>
          <w:spacing w:val="5"/>
          <w:sz w:val="20"/>
          <w:szCs w:val="24"/>
          <w:lang w:eastAsia="pl-PL"/>
        </w:rPr>
        <w:t>4</w:t>
      </w:r>
      <w:r w:rsidR="00643131">
        <w:rPr>
          <w:rFonts w:ascii="Arial" w:eastAsia="Times New Roman" w:hAnsi="Arial" w:cs="Arial"/>
          <w:caps/>
          <w:smallCaps/>
          <w:spacing w:val="5"/>
          <w:sz w:val="20"/>
          <w:szCs w:val="24"/>
          <w:lang w:eastAsia="pl-PL"/>
        </w:rPr>
        <w:t xml:space="preserve">.0 </w:t>
      </w:r>
    </w:p>
    <w:p w14:paraId="68DAB8E2" w14:textId="4AC94E32" w:rsidR="004E3242" w:rsidRPr="004E3242" w:rsidRDefault="004E3242" w:rsidP="004E3242">
      <w:pPr>
        <w:keepLines/>
        <w:pBdr>
          <w:bottom w:val="single" w:sz="4" w:space="1" w:color="669900"/>
        </w:pBdr>
        <w:spacing w:before="360" w:after="240" w:line="240" w:lineRule="auto"/>
        <w:jc w:val="center"/>
        <w:rPr>
          <w:rFonts w:ascii="Arial" w:eastAsia="Times New Roman" w:hAnsi="Arial" w:cs="Arial"/>
          <w:caps/>
          <w:smallCaps/>
          <w:spacing w:val="5"/>
          <w:sz w:val="20"/>
          <w:szCs w:val="24"/>
          <w:lang w:eastAsia="pl-PL"/>
        </w:rPr>
      </w:pPr>
      <w:r w:rsidRPr="004E3242">
        <w:rPr>
          <w:rFonts w:ascii="Arial" w:eastAsia="Times New Roman" w:hAnsi="Arial" w:cs="Arial"/>
          <w:caps/>
          <w:smallCaps/>
          <w:spacing w:val="5"/>
          <w:sz w:val="20"/>
          <w:szCs w:val="24"/>
          <w:lang w:eastAsia="pl-PL"/>
        </w:rPr>
        <w:t>20</w:t>
      </w:r>
      <w:r w:rsidR="003C3C9C">
        <w:rPr>
          <w:rFonts w:ascii="Arial" w:eastAsia="Times New Roman" w:hAnsi="Arial" w:cs="Arial"/>
          <w:caps/>
          <w:smallCaps/>
          <w:spacing w:val="5"/>
          <w:sz w:val="20"/>
          <w:szCs w:val="24"/>
          <w:lang w:eastAsia="pl-PL"/>
        </w:rPr>
        <w:t>2</w:t>
      </w:r>
      <w:r w:rsidR="0002263A">
        <w:rPr>
          <w:rFonts w:ascii="Arial" w:eastAsia="Times New Roman" w:hAnsi="Arial" w:cs="Arial"/>
          <w:caps/>
          <w:smallCaps/>
          <w:spacing w:val="5"/>
          <w:sz w:val="20"/>
          <w:szCs w:val="24"/>
          <w:lang w:eastAsia="pl-PL"/>
        </w:rPr>
        <w:t>2</w:t>
      </w:r>
      <w:r w:rsidRPr="004E3242">
        <w:rPr>
          <w:rFonts w:ascii="Arial" w:eastAsia="Times New Roman" w:hAnsi="Arial" w:cs="Arial"/>
          <w:caps/>
          <w:smallCaps/>
          <w:spacing w:val="5"/>
          <w:sz w:val="20"/>
          <w:szCs w:val="24"/>
          <w:lang w:eastAsia="pl-PL"/>
        </w:rPr>
        <w:t xml:space="preserve"> r.</w:t>
      </w:r>
    </w:p>
    <w:p w14:paraId="29F392A4" w14:textId="77777777" w:rsidR="004E3242" w:rsidRPr="004E3242" w:rsidRDefault="004E3242" w:rsidP="004E3242">
      <w:pPr>
        <w:keepLines/>
        <w:pBdr>
          <w:bottom w:val="single" w:sz="4" w:space="1" w:color="669900"/>
        </w:pBdr>
        <w:spacing w:before="360" w:after="240" w:line="240" w:lineRule="auto"/>
        <w:jc w:val="center"/>
        <w:rPr>
          <w:rFonts w:ascii="Arial" w:eastAsia="Times New Roman" w:hAnsi="Arial"/>
          <w:smallCaps/>
          <w:color w:val="669900"/>
          <w:spacing w:val="10"/>
          <w:sz w:val="24"/>
          <w:szCs w:val="24"/>
          <w:lang w:eastAsia="pl-PL"/>
        </w:rPr>
      </w:pPr>
      <w:r w:rsidRPr="004E3242">
        <w:rPr>
          <w:rFonts w:ascii="Arial" w:eastAsia="Times New Roman" w:hAnsi="Arial"/>
          <w:smallCaps/>
          <w:color w:val="99CC00"/>
          <w:spacing w:val="10"/>
          <w:sz w:val="44"/>
          <w:szCs w:val="52"/>
          <w:lang w:eastAsia="pl-PL"/>
        </w:rPr>
        <w:lastRenderedPageBreak/>
        <w:t>Spis treści</w:t>
      </w:r>
    </w:p>
    <w:p w14:paraId="004D5D92" w14:textId="29067834" w:rsidR="00E44868" w:rsidRDefault="004E3242">
      <w:pPr>
        <w:pStyle w:val="Spistreci1"/>
        <w:rPr>
          <w:rFonts w:asciiTheme="minorHAnsi" w:eastAsiaTheme="minorEastAsia" w:hAnsiTheme="minorHAnsi" w:cstheme="minorBidi"/>
          <w:b w:val="0"/>
          <w:bCs w:val="0"/>
          <w:caps w:val="0"/>
          <w:spacing w:val="0"/>
          <w:sz w:val="22"/>
          <w:szCs w:val="22"/>
          <w:lang w:eastAsia="pl-PL"/>
        </w:rPr>
      </w:pPr>
      <w:r w:rsidRPr="004E3242">
        <w:rPr>
          <w:b w:val="0"/>
          <w:bCs w:val="0"/>
          <w:caps w:val="0"/>
          <w:sz w:val="18"/>
          <w:szCs w:val="18"/>
        </w:rPr>
        <w:fldChar w:fldCharType="begin"/>
      </w:r>
      <w:r w:rsidRPr="004E3242">
        <w:rPr>
          <w:b w:val="0"/>
          <w:bCs w:val="0"/>
          <w:caps w:val="0"/>
          <w:sz w:val="18"/>
          <w:szCs w:val="18"/>
        </w:rPr>
        <w:instrText xml:space="preserve"> TOC \o "1-3" \h \z \u </w:instrText>
      </w:r>
      <w:r w:rsidRPr="004E3242">
        <w:rPr>
          <w:b w:val="0"/>
          <w:bCs w:val="0"/>
          <w:caps w:val="0"/>
          <w:sz w:val="18"/>
          <w:szCs w:val="18"/>
        </w:rPr>
        <w:fldChar w:fldCharType="separate"/>
      </w:r>
      <w:hyperlink w:anchor="_Toc83810556" w:history="1">
        <w:r w:rsidR="00E44868" w:rsidRPr="001143C6">
          <w:rPr>
            <w:rStyle w:val="Hipercze"/>
            <w:smallCaps/>
            <w:spacing w:val="15"/>
            <w:lang w:eastAsia="pl-PL"/>
          </w:rPr>
          <w:t>1.</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Strategia dotycząca wkładu programu operacyjnego w realizację unijnej strategii na rzecz inteligentnego, zrównoważonego wzrostu sprzyjającego włączeniu społecznemu oraz osiągnięcie spójności gospodarczej, społecznej i terytorialnej</w:t>
        </w:r>
        <w:r w:rsidR="00E44868">
          <w:rPr>
            <w:webHidden/>
          </w:rPr>
          <w:tab/>
        </w:r>
        <w:r w:rsidR="00E44868">
          <w:rPr>
            <w:webHidden/>
          </w:rPr>
          <w:fldChar w:fldCharType="begin"/>
        </w:r>
        <w:r w:rsidR="00E44868">
          <w:rPr>
            <w:webHidden/>
          </w:rPr>
          <w:instrText xml:space="preserve"> PAGEREF _Toc83810556 \h </w:instrText>
        </w:r>
        <w:r w:rsidR="00E44868">
          <w:rPr>
            <w:webHidden/>
          </w:rPr>
        </w:r>
        <w:r w:rsidR="00E44868">
          <w:rPr>
            <w:webHidden/>
          </w:rPr>
          <w:fldChar w:fldCharType="separate"/>
        </w:r>
        <w:r w:rsidR="00CF61A9">
          <w:rPr>
            <w:webHidden/>
          </w:rPr>
          <w:t>5</w:t>
        </w:r>
        <w:r w:rsidR="00E44868">
          <w:rPr>
            <w:webHidden/>
          </w:rPr>
          <w:fldChar w:fldCharType="end"/>
        </w:r>
      </w:hyperlink>
    </w:p>
    <w:p w14:paraId="330B6229" w14:textId="53795E91" w:rsidR="00E44868" w:rsidRDefault="00D5430D">
      <w:pPr>
        <w:pStyle w:val="Spistreci2"/>
        <w:rPr>
          <w:rFonts w:asciiTheme="minorHAnsi" w:eastAsiaTheme="minorEastAsia" w:hAnsiTheme="minorHAnsi" w:cstheme="minorBidi"/>
          <w:smallCaps w:val="0"/>
          <w:noProof/>
          <w:sz w:val="22"/>
          <w:szCs w:val="22"/>
          <w:lang w:eastAsia="pl-PL"/>
        </w:rPr>
      </w:pPr>
      <w:hyperlink w:anchor="_Toc83810557" w:history="1">
        <w:r w:rsidR="00E44868" w:rsidRPr="001143C6">
          <w:rPr>
            <w:rStyle w:val="Hipercze"/>
            <w:rFonts w:ascii="Arial" w:hAnsi="Arial"/>
            <w:noProof/>
            <w:spacing w:val="4"/>
            <w:lang w:eastAsia="pl-PL"/>
          </w:rPr>
          <w:t>1.1.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4"/>
            <w:lang w:eastAsia="pl-PL"/>
          </w:rPr>
          <w:t>strategia dotycząca wkładu programu operacyjnego w realizację unijnej strategii na rzecz inteligentnego, zrównoważonego wzrostu sprzyjającego włączeniu społecznemu oraz osiągnięcie spójności gospodarczej, społecznej i terytorialnej</w:t>
        </w:r>
        <w:r w:rsidR="00E44868">
          <w:rPr>
            <w:noProof/>
            <w:webHidden/>
          </w:rPr>
          <w:tab/>
        </w:r>
        <w:r w:rsidR="00E44868">
          <w:rPr>
            <w:noProof/>
            <w:webHidden/>
          </w:rPr>
          <w:fldChar w:fldCharType="begin"/>
        </w:r>
        <w:r w:rsidR="00E44868">
          <w:rPr>
            <w:noProof/>
            <w:webHidden/>
          </w:rPr>
          <w:instrText xml:space="preserve"> PAGEREF _Toc83810557 \h </w:instrText>
        </w:r>
        <w:r w:rsidR="00E44868">
          <w:rPr>
            <w:noProof/>
            <w:webHidden/>
          </w:rPr>
        </w:r>
        <w:r w:rsidR="00E44868">
          <w:rPr>
            <w:noProof/>
            <w:webHidden/>
          </w:rPr>
          <w:fldChar w:fldCharType="separate"/>
        </w:r>
        <w:r w:rsidR="00CF61A9">
          <w:rPr>
            <w:noProof/>
            <w:webHidden/>
          </w:rPr>
          <w:t>5</w:t>
        </w:r>
        <w:r w:rsidR="00E44868">
          <w:rPr>
            <w:noProof/>
            <w:webHidden/>
          </w:rPr>
          <w:fldChar w:fldCharType="end"/>
        </w:r>
      </w:hyperlink>
    </w:p>
    <w:p w14:paraId="56C19A9B" w14:textId="2C8096CB" w:rsidR="00E44868" w:rsidRDefault="00D5430D">
      <w:pPr>
        <w:pStyle w:val="Spistreci2"/>
        <w:rPr>
          <w:rFonts w:asciiTheme="minorHAnsi" w:eastAsiaTheme="minorEastAsia" w:hAnsiTheme="minorHAnsi" w:cstheme="minorBidi"/>
          <w:smallCaps w:val="0"/>
          <w:noProof/>
          <w:sz w:val="22"/>
          <w:szCs w:val="22"/>
          <w:lang w:eastAsia="pl-PL"/>
        </w:rPr>
      </w:pPr>
      <w:hyperlink w:anchor="_Toc83810558" w:history="1">
        <w:r w:rsidR="00E44868" w:rsidRPr="001143C6">
          <w:rPr>
            <w:rStyle w:val="Hipercze"/>
            <w:rFonts w:ascii="Arial" w:hAnsi="Arial"/>
            <w:noProof/>
            <w:spacing w:val="4"/>
            <w:lang w:eastAsia="pl-PL"/>
          </w:rPr>
          <w:t>1.2 Uzasadnienie alokacji finansowej</w:t>
        </w:r>
        <w:r w:rsidR="00E44868">
          <w:rPr>
            <w:noProof/>
            <w:webHidden/>
          </w:rPr>
          <w:tab/>
        </w:r>
        <w:r w:rsidR="00E44868">
          <w:rPr>
            <w:noProof/>
            <w:webHidden/>
          </w:rPr>
          <w:fldChar w:fldCharType="begin"/>
        </w:r>
        <w:r w:rsidR="00E44868">
          <w:rPr>
            <w:noProof/>
            <w:webHidden/>
          </w:rPr>
          <w:instrText xml:space="preserve"> PAGEREF _Toc83810558 \h </w:instrText>
        </w:r>
        <w:r w:rsidR="00E44868">
          <w:rPr>
            <w:noProof/>
            <w:webHidden/>
          </w:rPr>
        </w:r>
        <w:r w:rsidR="00E44868">
          <w:rPr>
            <w:noProof/>
            <w:webHidden/>
          </w:rPr>
          <w:fldChar w:fldCharType="separate"/>
        </w:r>
        <w:r w:rsidR="00CF61A9">
          <w:rPr>
            <w:noProof/>
            <w:webHidden/>
          </w:rPr>
          <w:t>27</w:t>
        </w:r>
        <w:r w:rsidR="00E44868">
          <w:rPr>
            <w:noProof/>
            <w:webHidden/>
          </w:rPr>
          <w:fldChar w:fldCharType="end"/>
        </w:r>
      </w:hyperlink>
    </w:p>
    <w:p w14:paraId="5C55211F" w14:textId="5C25B8A5"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59" w:history="1">
        <w:r w:rsidR="00E44868" w:rsidRPr="001143C6">
          <w:rPr>
            <w:rStyle w:val="Hipercze"/>
            <w:smallCaps/>
            <w:spacing w:val="15"/>
            <w:lang w:eastAsia="pl-PL"/>
          </w:rPr>
          <w:t>2.</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Osie priorytetowe</w:t>
        </w:r>
        <w:r w:rsidR="00E44868">
          <w:rPr>
            <w:webHidden/>
          </w:rPr>
          <w:tab/>
        </w:r>
        <w:r w:rsidR="00E44868">
          <w:rPr>
            <w:webHidden/>
          </w:rPr>
          <w:fldChar w:fldCharType="begin"/>
        </w:r>
        <w:r w:rsidR="00E44868">
          <w:rPr>
            <w:webHidden/>
          </w:rPr>
          <w:instrText xml:space="preserve"> PAGEREF _Toc83810559 \h </w:instrText>
        </w:r>
        <w:r w:rsidR="00E44868">
          <w:rPr>
            <w:webHidden/>
          </w:rPr>
        </w:r>
        <w:r w:rsidR="00E44868">
          <w:rPr>
            <w:webHidden/>
          </w:rPr>
          <w:fldChar w:fldCharType="separate"/>
        </w:r>
        <w:r w:rsidR="00CF61A9">
          <w:rPr>
            <w:webHidden/>
          </w:rPr>
          <w:t>31</w:t>
        </w:r>
        <w:r w:rsidR="00E44868">
          <w:rPr>
            <w:webHidden/>
          </w:rPr>
          <w:fldChar w:fldCharType="end"/>
        </w:r>
      </w:hyperlink>
    </w:p>
    <w:p w14:paraId="48E482EB" w14:textId="2E29760C" w:rsidR="00E44868" w:rsidRDefault="00D5430D">
      <w:pPr>
        <w:pStyle w:val="Spistreci2"/>
        <w:rPr>
          <w:rFonts w:asciiTheme="minorHAnsi" w:eastAsiaTheme="minorEastAsia" w:hAnsiTheme="minorHAnsi" w:cstheme="minorBidi"/>
          <w:smallCaps w:val="0"/>
          <w:noProof/>
          <w:sz w:val="22"/>
          <w:szCs w:val="22"/>
          <w:lang w:eastAsia="pl-PL"/>
        </w:rPr>
      </w:pPr>
      <w:hyperlink w:anchor="_Toc83810560" w:history="1">
        <w:r w:rsidR="00E44868" w:rsidRPr="001143C6">
          <w:rPr>
            <w:rStyle w:val="Hipercze"/>
            <w:rFonts w:ascii="Arial" w:hAnsi="Arial"/>
            <w:noProof/>
            <w:spacing w:val="15"/>
            <w:lang w:eastAsia="pl-PL"/>
          </w:rPr>
          <w:t>2.1.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Architektura programu</w:t>
        </w:r>
        <w:r w:rsidR="00E44868">
          <w:rPr>
            <w:noProof/>
            <w:webHidden/>
          </w:rPr>
          <w:tab/>
        </w:r>
        <w:r w:rsidR="00E44868">
          <w:rPr>
            <w:noProof/>
            <w:webHidden/>
          </w:rPr>
          <w:fldChar w:fldCharType="begin"/>
        </w:r>
        <w:r w:rsidR="00E44868">
          <w:rPr>
            <w:noProof/>
            <w:webHidden/>
          </w:rPr>
          <w:instrText xml:space="preserve"> PAGEREF _Toc83810560 \h </w:instrText>
        </w:r>
        <w:r w:rsidR="00E44868">
          <w:rPr>
            <w:noProof/>
            <w:webHidden/>
          </w:rPr>
        </w:r>
        <w:r w:rsidR="00E44868">
          <w:rPr>
            <w:noProof/>
            <w:webHidden/>
          </w:rPr>
          <w:fldChar w:fldCharType="separate"/>
        </w:r>
        <w:r w:rsidR="00CF61A9">
          <w:rPr>
            <w:noProof/>
            <w:webHidden/>
          </w:rPr>
          <w:t>31</w:t>
        </w:r>
        <w:r w:rsidR="00E44868">
          <w:rPr>
            <w:noProof/>
            <w:webHidden/>
          </w:rPr>
          <w:fldChar w:fldCharType="end"/>
        </w:r>
      </w:hyperlink>
    </w:p>
    <w:p w14:paraId="017F575A" w14:textId="07A2779D" w:rsidR="00E44868" w:rsidRDefault="00D5430D">
      <w:pPr>
        <w:pStyle w:val="Spistreci2"/>
        <w:rPr>
          <w:rFonts w:asciiTheme="minorHAnsi" w:eastAsiaTheme="minorEastAsia" w:hAnsiTheme="minorHAnsi" w:cstheme="minorBidi"/>
          <w:smallCaps w:val="0"/>
          <w:noProof/>
          <w:sz w:val="22"/>
          <w:szCs w:val="22"/>
          <w:lang w:eastAsia="pl-PL"/>
        </w:rPr>
      </w:pPr>
      <w:hyperlink w:anchor="_Toc83810561" w:history="1">
        <w:r w:rsidR="00E44868" w:rsidRPr="001143C6">
          <w:rPr>
            <w:rStyle w:val="Hipercze"/>
            <w:rFonts w:ascii="Arial" w:hAnsi="Arial"/>
            <w:noProof/>
            <w:spacing w:val="15"/>
            <w:lang w:eastAsia="pl-PL"/>
          </w:rPr>
          <w:t>2.2.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Opis osi priorytetowych</w:t>
        </w:r>
        <w:r w:rsidR="00E44868">
          <w:rPr>
            <w:noProof/>
            <w:webHidden/>
          </w:rPr>
          <w:tab/>
        </w:r>
        <w:r w:rsidR="00E44868">
          <w:rPr>
            <w:noProof/>
            <w:webHidden/>
          </w:rPr>
          <w:fldChar w:fldCharType="begin"/>
        </w:r>
        <w:r w:rsidR="00E44868">
          <w:rPr>
            <w:noProof/>
            <w:webHidden/>
          </w:rPr>
          <w:instrText xml:space="preserve"> PAGEREF _Toc83810561 \h </w:instrText>
        </w:r>
        <w:r w:rsidR="00E44868">
          <w:rPr>
            <w:noProof/>
            <w:webHidden/>
          </w:rPr>
        </w:r>
        <w:r w:rsidR="00E44868">
          <w:rPr>
            <w:noProof/>
            <w:webHidden/>
          </w:rPr>
          <w:fldChar w:fldCharType="separate"/>
        </w:r>
        <w:r w:rsidR="00CF61A9">
          <w:rPr>
            <w:noProof/>
            <w:webHidden/>
          </w:rPr>
          <w:t>32</w:t>
        </w:r>
        <w:r w:rsidR="00E44868">
          <w:rPr>
            <w:noProof/>
            <w:webHidden/>
          </w:rPr>
          <w:fldChar w:fldCharType="end"/>
        </w:r>
      </w:hyperlink>
    </w:p>
    <w:p w14:paraId="0D46D357" w14:textId="7ED37FEC"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2" w:history="1">
        <w:r w:rsidR="00E44868" w:rsidRPr="001143C6">
          <w:rPr>
            <w:rStyle w:val="Hipercze"/>
            <w:caps/>
            <w:smallCaps/>
            <w:lang w:eastAsia="pl-PL"/>
          </w:rPr>
          <w:t>2.2.1.</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lang w:eastAsia="pl-PL"/>
          </w:rPr>
          <w:t>Oś priorytetowa I: zmniejszenie emisyjności gospodarki</w:t>
        </w:r>
        <w:r w:rsidR="00E44868">
          <w:rPr>
            <w:webHidden/>
          </w:rPr>
          <w:tab/>
        </w:r>
        <w:r w:rsidR="00E44868">
          <w:rPr>
            <w:webHidden/>
          </w:rPr>
          <w:fldChar w:fldCharType="begin"/>
        </w:r>
        <w:r w:rsidR="00E44868">
          <w:rPr>
            <w:webHidden/>
          </w:rPr>
          <w:instrText xml:space="preserve"> PAGEREF _Toc83810562 \h </w:instrText>
        </w:r>
        <w:r w:rsidR="00E44868">
          <w:rPr>
            <w:webHidden/>
          </w:rPr>
        </w:r>
        <w:r w:rsidR="00E44868">
          <w:rPr>
            <w:webHidden/>
          </w:rPr>
          <w:fldChar w:fldCharType="separate"/>
        </w:r>
        <w:r w:rsidR="00CF61A9">
          <w:rPr>
            <w:webHidden/>
          </w:rPr>
          <w:t>32</w:t>
        </w:r>
        <w:r w:rsidR="00E44868">
          <w:rPr>
            <w:webHidden/>
          </w:rPr>
          <w:fldChar w:fldCharType="end"/>
        </w:r>
      </w:hyperlink>
    </w:p>
    <w:p w14:paraId="71267A8F" w14:textId="12DF824A"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3" w:history="1">
        <w:r w:rsidR="00E44868" w:rsidRPr="001143C6">
          <w:rPr>
            <w:rStyle w:val="Hipercze"/>
            <w:smallCaps/>
            <w:spacing w:val="15"/>
            <w:u w:color="A8C743"/>
            <w:lang w:eastAsia="pl-PL"/>
          </w:rPr>
          <w:t>2.2.2.</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Oś priorytetowa ii: ochrona środowiska, w tym adaptacja do zmian klimatu</w:t>
        </w:r>
        <w:r w:rsidR="00E44868">
          <w:rPr>
            <w:webHidden/>
          </w:rPr>
          <w:tab/>
        </w:r>
        <w:r w:rsidR="00E44868">
          <w:rPr>
            <w:webHidden/>
          </w:rPr>
          <w:fldChar w:fldCharType="begin"/>
        </w:r>
        <w:r w:rsidR="00E44868">
          <w:rPr>
            <w:webHidden/>
          </w:rPr>
          <w:instrText xml:space="preserve"> PAGEREF _Toc83810563 \h </w:instrText>
        </w:r>
        <w:r w:rsidR="00E44868">
          <w:rPr>
            <w:webHidden/>
          </w:rPr>
        </w:r>
        <w:r w:rsidR="00E44868">
          <w:rPr>
            <w:webHidden/>
          </w:rPr>
          <w:fldChar w:fldCharType="separate"/>
        </w:r>
        <w:r w:rsidR="00CF61A9">
          <w:rPr>
            <w:webHidden/>
          </w:rPr>
          <w:t>57</w:t>
        </w:r>
        <w:r w:rsidR="00E44868">
          <w:rPr>
            <w:webHidden/>
          </w:rPr>
          <w:fldChar w:fldCharType="end"/>
        </w:r>
      </w:hyperlink>
    </w:p>
    <w:p w14:paraId="6C38B001" w14:textId="2396069C"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4" w:history="1">
        <w:r w:rsidR="00E44868" w:rsidRPr="001143C6">
          <w:rPr>
            <w:rStyle w:val="Hipercze"/>
            <w:smallCaps/>
            <w:spacing w:val="15"/>
            <w:u w:color="A8C743"/>
            <w:lang w:eastAsia="pl-PL"/>
          </w:rPr>
          <w:t>2.2.3.</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 xml:space="preserve">Oś priorytetowa iii: </w:t>
        </w:r>
        <w:r w:rsidR="00E44868" w:rsidRPr="001143C6">
          <w:rPr>
            <w:rStyle w:val="Hipercze"/>
            <w:caps/>
            <w:spacing w:val="15"/>
            <w:lang w:eastAsia="pl-PL"/>
          </w:rPr>
          <w:t xml:space="preserve"> </w:t>
        </w:r>
        <w:r w:rsidR="00E44868" w:rsidRPr="001143C6">
          <w:rPr>
            <w:rStyle w:val="Hipercze"/>
            <w:smallCaps/>
            <w:spacing w:val="15"/>
            <w:u w:color="A8C743"/>
            <w:lang w:eastAsia="pl-PL"/>
          </w:rPr>
          <w:t>Rozwój sieci drogowej TEN-T i transportu multimodalnego</w:t>
        </w:r>
        <w:r w:rsidR="00E44868">
          <w:rPr>
            <w:webHidden/>
          </w:rPr>
          <w:tab/>
        </w:r>
        <w:r w:rsidR="00E44868">
          <w:rPr>
            <w:webHidden/>
          </w:rPr>
          <w:fldChar w:fldCharType="begin"/>
        </w:r>
        <w:r w:rsidR="00E44868">
          <w:rPr>
            <w:webHidden/>
          </w:rPr>
          <w:instrText xml:space="preserve"> PAGEREF _Toc83810564 \h </w:instrText>
        </w:r>
        <w:r w:rsidR="00E44868">
          <w:rPr>
            <w:webHidden/>
          </w:rPr>
        </w:r>
        <w:r w:rsidR="00E44868">
          <w:rPr>
            <w:webHidden/>
          </w:rPr>
          <w:fldChar w:fldCharType="separate"/>
        </w:r>
        <w:r w:rsidR="00CF61A9">
          <w:rPr>
            <w:webHidden/>
          </w:rPr>
          <w:t>74</w:t>
        </w:r>
        <w:r w:rsidR="00E44868">
          <w:rPr>
            <w:webHidden/>
          </w:rPr>
          <w:fldChar w:fldCharType="end"/>
        </w:r>
      </w:hyperlink>
    </w:p>
    <w:p w14:paraId="55C4F5BF" w14:textId="4D884B37"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5" w:history="1">
        <w:r w:rsidR="00E44868" w:rsidRPr="001143C6">
          <w:rPr>
            <w:rStyle w:val="Hipercze"/>
            <w:smallCaps/>
            <w:spacing w:val="15"/>
            <w:u w:color="A8C743"/>
            <w:lang w:eastAsia="pl-PL"/>
          </w:rPr>
          <w:t>2.2.4.</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lang w:eastAsia="pl-PL"/>
          </w:rPr>
          <w:t xml:space="preserve">Oś priorytetowa IV: </w:t>
        </w:r>
        <w:r w:rsidR="00E44868" w:rsidRPr="001143C6">
          <w:rPr>
            <w:rStyle w:val="Hipercze"/>
            <w:smallCaps/>
            <w:spacing w:val="15"/>
            <w:u w:color="A8C743"/>
            <w:lang w:eastAsia="pl-PL"/>
          </w:rPr>
          <w:t>Infrastruktura drogowa dla miast</w:t>
        </w:r>
        <w:r w:rsidR="00E44868">
          <w:rPr>
            <w:webHidden/>
          </w:rPr>
          <w:tab/>
        </w:r>
        <w:r w:rsidR="00E44868">
          <w:rPr>
            <w:webHidden/>
          </w:rPr>
          <w:fldChar w:fldCharType="begin"/>
        </w:r>
        <w:r w:rsidR="00E44868">
          <w:rPr>
            <w:webHidden/>
          </w:rPr>
          <w:instrText xml:space="preserve"> PAGEREF _Toc83810565 \h </w:instrText>
        </w:r>
        <w:r w:rsidR="00E44868">
          <w:rPr>
            <w:webHidden/>
          </w:rPr>
        </w:r>
        <w:r w:rsidR="00E44868">
          <w:rPr>
            <w:webHidden/>
          </w:rPr>
          <w:fldChar w:fldCharType="separate"/>
        </w:r>
        <w:r w:rsidR="00CF61A9">
          <w:rPr>
            <w:webHidden/>
          </w:rPr>
          <w:t>83</w:t>
        </w:r>
        <w:r w:rsidR="00E44868">
          <w:rPr>
            <w:webHidden/>
          </w:rPr>
          <w:fldChar w:fldCharType="end"/>
        </w:r>
      </w:hyperlink>
    </w:p>
    <w:p w14:paraId="00148312" w14:textId="00BA4DD5"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6" w:history="1">
        <w:r w:rsidR="00E44868" w:rsidRPr="001143C6">
          <w:rPr>
            <w:rStyle w:val="Hipercze"/>
            <w:smallCaps/>
            <w:spacing w:val="15"/>
            <w:u w:color="A8C743"/>
            <w:lang w:eastAsia="pl-PL"/>
          </w:rPr>
          <w:t>2.2.5.</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Oś priorytetowa V: Rozwój transportu kolejowego  w Polsce</w:t>
        </w:r>
        <w:r w:rsidR="00E44868">
          <w:rPr>
            <w:webHidden/>
          </w:rPr>
          <w:tab/>
        </w:r>
        <w:r w:rsidR="00E44868">
          <w:rPr>
            <w:webHidden/>
          </w:rPr>
          <w:fldChar w:fldCharType="begin"/>
        </w:r>
        <w:r w:rsidR="00E44868">
          <w:rPr>
            <w:webHidden/>
          </w:rPr>
          <w:instrText xml:space="preserve"> PAGEREF _Toc83810566 \h </w:instrText>
        </w:r>
        <w:r w:rsidR="00E44868">
          <w:rPr>
            <w:webHidden/>
          </w:rPr>
        </w:r>
        <w:r w:rsidR="00E44868">
          <w:rPr>
            <w:webHidden/>
          </w:rPr>
          <w:fldChar w:fldCharType="separate"/>
        </w:r>
        <w:r w:rsidR="00CF61A9">
          <w:rPr>
            <w:webHidden/>
          </w:rPr>
          <w:t>92</w:t>
        </w:r>
        <w:r w:rsidR="00E44868">
          <w:rPr>
            <w:webHidden/>
          </w:rPr>
          <w:fldChar w:fldCharType="end"/>
        </w:r>
      </w:hyperlink>
    </w:p>
    <w:p w14:paraId="2DF5057C" w14:textId="0648977C"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7" w:history="1">
        <w:r w:rsidR="00E44868" w:rsidRPr="001143C6">
          <w:rPr>
            <w:rStyle w:val="Hipercze"/>
            <w:smallCaps/>
            <w:spacing w:val="15"/>
            <w:u w:color="A8C743"/>
            <w:lang w:eastAsia="pl-PL"/>
          </w:rPr>
          <w:t>2.2.6.</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Oś priorytetowa Vi: Rozwój niskoemisyjnego transportu zbiorowego w miastach</w:t>
        </w:r>
        <w:r w:rsidR="00E44868">
          <w:rPr>
            <w:webHidden/>
          </w:rPr>
          <w:tab/>
        </w:r>
        <w:r w:rsidR="00E44868">
          <w:rPr>
            <w:webHidden/>
          </w:rPr>
          <w:fldChar w:fldCharType="begin"/>
        </w:r>
        <w:r w:rsidR="00E44868">
          <w:rPr>
            <w:webHidden/>
          </w:rPr>
          <w:instrText xml:space="preserve"> PAGEREF _Toc83810567 \h </w:instrText>
        </w:r>
        <w:r w:rsidR="00E44868">
          <w:rPr>
            <w:webHidden/>
          </w:rPr>
        </w:r>
        <w:r w:rsidR="00E44868">
          <w:rPr>
            <w:webHidden/>
          </w:rPr>
          <w:fldChar w:fldCharType="separate"/>
        </w:r>
        <w:r w:rsidR="00CF61A9">
          <w:rPr>
            <w:webHidden/>
          </w:rPr>
          <w:t>102</w:t>
        </w:r>
        <w:r w:rsidR="00E44868">
          <w:rPr>
            <w:webHidden/>
          </w:rPr>
          <w:fldChar w:fldCharType="end"/>
        </w:r>
      </w:hyperlink>
    </w:p>
    <w:p w14:paraId="2BE02584" w14:textId="29E81EE1"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8" w:history="1">
        <w:r w:rsidR="00E44868" w:rsidRPr="001143C6">
          <w:rPr>
            <w:rStyle w:val="Hipercze"/>
            <w:smallCaps/>
            <w:spacing w:val="15"/>
            <w:u w:color="A8C743"/>
            <w:lang w:eastAsia="pl-PL"/>
          </w:rPr>
          <w:t>2.2.7.</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Oś priorytetowa vii: poprawa bezpieczeństwa energetycznego</w:t>
        </w:r>
        <w:r w:rsidR="00E44868">
          <w:rPr>
            <w:webHidden/>
          </w:rPr>
          <w:tab/>
        </w:r>
        <w:r w:rsidR="00E44868">
          <w:rPr>
            <w:webHidden/>
          </w:rPr>
          <w:fldChar w:fldCharType="begin"/>
        </w:r>
        <w:r w:rsidR="00E44868">
          <w:rPr>
            <w:webHidden/>
          </w:rPr>
          <w:instrText xml:space="preserve"> PAGEREF _Toc83810568 \h </w:instrText>
        </w:r>
        <w:r w:rsidR="00E44868">
          <w:rPr>
            <w:webHidden/>
          </w:rPr>
        </w:r>
        <w:r w:rsidR="00E44868">
          <w:rPr>
            <w:webHidden/>
          </w:rPr>
          <w:fldChar w:fldCharType="separate"/>
        </w:r>
        <w:r w:rsidR="00CF61A9">
          <w:rPr>
            <w:webHidden/>
          </w:rPr>
          <w:t>107</w:t>
        </w:r>
        <w:r w:rsidR="00E44868">
          <w:rPr>
            <w:webHidden/>
          </w:rPr>
          <w:fldChar w:fldCharType="end"/>
        </w:r>
      </w:hyperlink>
    </w:p>
    <w:p w14:paraId="510BF44C" w14:textId="48F570DE"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69" w:history="1">
        <w:r w:rsidR="00E44868" w:rsidRPr="001143C6">
          <w:rPr>
            <w:rStyle w:val="Hipercze"/>
            <w:smallCaps/>
            <w:spacing w:val="15"/>
            <w:u w:color="A8C743"/>
            <w:lang w:eastAsia="pl-PL"/>
          </w:rPr>
          <w:t>2.2.8.</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Oś priorytetowa viii: ochrona dziedzictwa kulturowego  i rozwój zasobów kultury</w:t>
        </w:r>
        <w:r w:rsidR="00E44868">
          <w:rPr>
            <w:webHidden/>
          </w:rPr>
          <w:tab/>
        </w:r>
        <w:r w:rsidR="00E44868">
          <w:rPr>
            <w:webHidden/>
          </w:rPr>
          <w:fldChar w:fldCharType="begin"/>
        </w:r>
        <w:r w:rsidR="00E44868">
          <w:rPr>
            <w:webHidden/>
          </w:rPr>
          <w:instrText xml:space="preserve"> PAGEREF _Toc83810569 \h </w:instrText>
        </w:r>
        <w:r w:rsidR="00E44868">
          <w:rPr>
            <w:webHidden/>
          </w:rPr>
        </w:r>
        <w:r w:rsidR="00E44868">
          <w:rPr>
            <w:webHidden/>
          </w:rPr>
          <w:fldChar w:fldCharType="separate"/>
        </w:r>
        <w:r w:rsidR="00CF61A9">
          <w:rPr>
            <w:webHidden/>
          </w:rPr>
          <w:t>114</w:t>
        </w:r>
        <w:r w:rsidR="00E44868">
          <w:rPr>
            <w:webHidden/>
          </w:rPr>
          <w:fldChar w:fldCharType="end"/>
        </w:r>
      </w:hyperlink>
    </w:p>
    <w:p w14:paraId="52A7DC0E" w14:textId="0AF7C802"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70" w:history="1">
        <w:r w:rsidR="00E44868" w:rsidRPr="001143C6">
          <w:rPr>
            <w:rStyle w:val="Hipercze"/>
            <w:smallCaps/>
            <w:spacing w:val="15"/>
            <w:u w:color="A8C743"/>
            <w:lang w:eastAsia="pl-PL"/>
          </w:rPr>
          <w:t>2.2.9.</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Oś priorytetowa ix: wzmocnienie strategicznej infrastruktury ochrony zdrowia</w:t>
        </w:r>
        <w:r w:rsidR="00E44868">
          <w:rPr>
            <w:webHidden/>
          </w:rPr>
          <w:tab/>
        </w:r>
        <w:r w:rsidR="00E44868">
          <w:rPr>
            <w:webHidden/>
          </w:rPr>
          <w:fldChar w:fldCharType="begin"/>
        </w:r>
        <w:r w:rsidR="00E44868">
          <w:rPr>
            <w:webHidden/>
          </w:rPr>
          <w:instrText xml:space="preserve"> PAGEREF _Toc83810570 \h </w:instrText>
        </w:r>
        <w:r w:rsidR="00E44868">
          <w:rPr>
            <w:webHidden/>
          </w:rPr>
        </w:r>
        <w:r w:rsidR="00E44868">
          <w:rPr>
            <w:webHidden/>
          </w:rPr>
          <w:fldChar w:fldCharType="separate"/>
        </w:r>
        <w:r w:rsidR="00CF61A9">
          <w:rPr>
            <w:webHidden/>
          </w:rPr>
          <w:t>120</w:t>
        </w:r>
        <w:r w:rsidR="00E44868">
          <w:rPr>
            <w:webHidden/>
          </w:rPr>
          <w:fldChar w:fldCharType="end"/>
        </w:r>
      </w:hyperlink>
    </w:p>
    <w:p w14:paraId="0CB1D3C4" w14:textId="5EC0BE4E"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71" w:history="1">
        <w:r w:rsidR="00E44868" w:rsidRPr="001143C6">
          <w:rPr>
            <w:rStyle w:val="Hipercze"/>
            <w:smallCaps/>
            <w:spacing w:val="15"/>
            <w:u w:color="A8C743"/>
            <w:lang w:eastAsia="pl-PL"/>
          </w:rPr>
          <w:t>2.2.10.</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 xml:space="preserve">Oś priorytetowa X: </w:t>
        </w:r>
        <w:r w:rsidR="00E44868" w:rsidRPr="001143C6">
          <w:rPr>
            <w:rStyle w:val="Hipercze"/>
          </w:rPr>
          <w:t>POMOC TECHNICZNA</w:t>
        </w:r>
        <w:r w:rsidR="00E44868">
          <w:rPr>
            <w:webHidden/>
          </w:rPr>
          <w:tab/>
        </w:r>
        <w:r w:rsidR="00E44868">
          <w:rPr>
            <w:webHidden/>
          </w:rPr>
          <w:fldChar w:fldCharType="begin"/>
        </w:r>
        <w:r w:rsidR="00E44868">
          <w:rPr>
            <w:webHidden/>
          </w:rPr>
          <w:instrText xml:space="preserve"> PAGEREF _Toc83810571 \h </w:instrText>
        </w:r>
        <w:r w:rsidR="00E44868">
          <w:rPr>
            <w:webHidden/>
          </w:rPr>
        </w:r>
        <w:r w:rsidR="00E44868">
          <w:rPr>
            <w:webHidden/>
          </w:rPr>
          <w:fldChar w:fldCharType="separate"/>
        </w:r>
        <w:r w:rsidR="00CF61A9">
          <w:rPr>
            <w:webHidden/>
          </w:rPr>
          <w:t>130</w:t>
        </w:r>
        <w:r w:rsidR="00E44868">
          <w:rPr>
            <w:webHidden/>
          </w:rPr>
          <w:fldChar w:fldCharType="end"/>
        </w:r>
      </w:hyperlink>
    </w:p>
    <w:p w14:paraId="1D15AF0B" w14:textId="23519E6A"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72" w:history="1">
        <w:r w:rsidR="00E44868" w:rsidRPr="001143C6">
          <w:rPr>
            <w:rStyle w:val="Hipercze"/>
            <w:smallCaps/>
            <w:spacing w:val="15"/>
            <w:u w:color="A8C743"/>
            <w:lang w:eastAsia="pl-PL"/>
          </w:rPr>
          <w:t>2.2.11.</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 xml:space="preserve">Oś priorytetowa XI: </w:t>
        </w:r>
        <w:r w:rsidR="00E44868" w:rsidRPr="001143C6">
          <w:rPr>
            <w:rStyle w:val="Hipercze"/>
          </w:rPr>
          <w:t>REACT-EU</w:t>
        </w:r>
        <w:r w:rsidR="00E44868">
          <w:rPr>
            <w:webHidden/>
          </w:rPr>
          <w:tab/>
        </w:r>
        <w:r w:rsidR="00E44868">
          <w:rPr>
            <w:webHidden/>
          </w:rPr>
          <w:fldChar w:fldCharType="begin"/>
        </w:r>
        <w:r w:rsidR="00E44868">
          <w:rPr>
            <w:webHidden/>
          </w:rPr>
          <w:instrText xml:space="preserve"> PAGEREF _Toc83810572 \h </w:instrText>
        </w:r>
        <w:r w:rsidR="00E44868">
          <w:rPr>
            <w:webHidden/>
          </w:rPr>
        </w:r>
        <w:r w:rsidR="00E44868">
          <w:rPr>
            <w:webHidden/>
          </w:rPr>
          <w:fldChar w:fldCharType="separate"/>
        </w:r>
        <w:r w:rsidR="00CF61A9">
          <w:rPr>
            <w:webHidden/>
          </w:rPr>
          <w:t>136</w:t>
        </w:r>
        <w:r w:rsidR="00E44868">
          <w:rPr>
            <w:webHidden/>
          </w:rPr>
          <w:fldChar w:fldCharType="end"/>
        </w:r>
      </w:hyperlink>
    </w:p>
    <w:p w14:paraId="63E8EC3F" w14:textId="0D370773"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73" w:history="1">
        <w:r w:rsidR="00E44868" w:rsidRPr="001143C6">
          <w:rPr>
            <w:rStyle w:val="Hipercze"/>
            <w:smallCaps/>
            <w:spacing w:val="15"/>
            <w:u w:color="A8C743"/>
            <w:lang w:eastAsia="pl-PL"/>
          </w:rPr>
          <w:t>2.2.12.</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u w:color="A8C743"/>
            <w:lang w:eastAsia="pl-PL"/>
          </w:rPr>
          <w:t xml:space="preserve">Oś priorytetowa XII: </w:t>
        </w:r>
        <w:r w:rsidR="00E44868" w:rsidRPr="001143C6">
          <w:rPr>
            <w:rStyle w:val="Hipercze"/>
          </w:rPr>
          <w:t>POMOC TECHNICZNA REACT-EU</w:t>
        </w:r>
        <w:r w:rsidR="00E44868">
          <w:rPr>
            <w:webHidden/>
          </w:rPr>
          <w:tab/>
        </w:r>
        <w:r w:rsidR="00E44868">
          <w:rPr>
            <w:webHidden/>
          </w:rPr>
          <w:fldChar w:fldCharType="begin"/>
        </w:r>
        <w:r w:rsidR="00E44868">
          <w:rPr>
            <w:webHidden/>
          </w:rPr>
          <w:instrText xml:space="preserve"> PAGEREF _Toc83810573 \h </w:instrText>
        </w:r>
        <w:r w:rsidR="00E44868">
          <w:rPr>
            <w:webHidden/>
          </w:rPr>
        </w:r>
        <w:r w:rsidR="00E44868">
          <w:rPr>
            <w:webHidden/>
          </w:rPr>
          <w:fldChar w:fldCharType="separate"/>
        </w:r>
        <w:r w:rsidR="00CF61A9">
          <w:rPr>
            <w:webHidden/>
          </w:rPr>
          <w:t>148</w:t>
        </w:r>
        <w:r w:rsidR="00E44868">
          <w:rPr>
            <w:webHidden/>
          </w:rPr>
          <w:fldChar w:fldCharType="end"/>
        </w:r>
      </w:hyperlink>
    </w:p>
    <w:p w14:paraId="79BC1003" w14:textId="1325906F"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74" w:history="1">
        <w:r w:rsidR="00E44868" w:rsidRPr="001143C6">
          <w:rPr>
            <w:rStyle w:val="Hipercze"/>
            <w:smallCaps/>
            <w:spacing w:val="15"/>
            <w:lang w:eastAsia="pl-PL"/>
          </w:rPr>
          <w:t>3.</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Plan finansowy programu</w:t>
        </w:r>
        <w:r w:rsidR="00E44868">
          <w:rPr>
            <w:webHidden/>
          </w:rPr>
          <w:tab/>
        </w:r>
        <w:r w:rsidR="00E44868">
          <w:rPr>
            <w:webHidden/>
          </w:rPr>
          <w:fldChar w:fldCharType="begin"/>
        </w:r>
        <w:r w:rsidR="00E44868">
          <w:rPr>
            <w:webHidden/>
          </w:rPr>
          <w:instrText xml:space="preserve"> PAGEREF _Toc83810574 \h </w:instrText>
        </w:r>
        <w:r w:rsidR="00E44868">
          <w:rPr>
            <w:webHidden/>
          </w:rPr>
        </w:r>
        <w:r w:rsidR="00E44868">
          <w:rPr>
            <w:webHidden/>
          </w:rPr>
          <w:fldChar w:fldCharType="separate"/>
        </w:r>
        <w:r w:rsidR="00CF61A9">
          <w:rPr>
            <w:webHidden/>
          </w:rPr>
          <w:t>153</w:t>
        </w:r>
        <w:r w:rsidR="00E44868">
          <w:rPr>
            <w:webHidden/>
          </w:rPr>
          <w:fldChar w:fldCharType="end"/>
        </w:r>
      </w:hyperlink>
    </w:p>
    <w:p w14:paraId="3EBF4F35" w14:textId="2322BB02" w:rsidR="00E44868" w:rsidRDefault="00D5430D">
      <w:pPr>
        <w:pStyle w:val="Spistreci2"/>
        <w:rPr>
          <w:rFonts w:asciiTheme="minorHAnsi" w:eastAsiaTheme="minorEastAsia" w:hAnsiTheme="minorHAnsi" w:cstheme="minorBidi"/>
          <w:smallCaps w:val="0"/>
          <w:noProof/>
          <w:sz w:val="22"/>
          <w:szCs w:val="22"/>
          <w:lang w:eastAsia="pl-PL"/>
        </w:rPr>
      </w:pPr>
      <w:hyperlink w:anchor="_Toc83810575" w:history="1">
        <w:r w:rsidR="00E44868" w:rsidRPr="001143C6">
          <w:rPr>
            <w:rStyle w:val="Hipercze"/>
            <w:rFonts w:ascii="Arial" w:hAnsi="Arial"/>
            <w:noProof/>
            <w:spacing w:val="15"/>
            <w:lang w:eastAsia="pl-PL"/>
          </w:rPr>
          <w:t>3.1.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Tabela zobowiązań</w:t>
        </w:r>
        <w:r w:rsidR="00E44868">
          <w:rPr>
            <w:noProof/>
            <w:webHidden/>
          </w:rPr>
          <w:tab/>
        </w:r>
        <w:r w:rsidR="00E44868">
          <w:rPr>
            <w:noProof/>
            <w:webHidden/>
          </w:rPr>
          <w:fldChar w:fldCharType="begin"/>
        </w:r>
        <w:r w:rsidR="00E44868">
          <w:rPr>
            <w:noProof/>
            <w:webHidden/>
          </w:rPr>
          <w:instrText xml:space="preserve"> PAGEREF _Toc83810575 \h </w:instrText>
        </w:r>
        <w:r w:rsidR="00E44868">
          <w:rPr>
            <w:noProof/>
            <w:webHidden/>
          </w:rPr>
        </w:r>
        <w:r w:rsidR="00E44868">
          <w:rPr>
            <w:noProof/>
            <w:webHidden/>
          </w:rPr>
          <w:fldChar w:fldCharType="separate"/>
        </w:r>
        <w:r w:rsidR="00CF61A9">
          <w:rPr>
            <w:noProof/>
            <w:webHidden/>
          </w:rPr>
          <w:t>155</w:t>
        </w:r>
        <w:r w:rsidR="00E44868">
          <w:rPr>
            <w:noProof/>
            <w:webHidden/>
          </w:rPr>
          <w:fldChar w:fldCharType="end"/>
        </w:r>
      </w:hyperlink>
    </w:p>
    <w:p w14:paraId="4C4E7181" w14:textId="066CF68D" w:rsidR="00E44868" w:rsidRDefault="00D5430D">
      <w:pPr>
        <w:pStyle w:val="Spistreci2"/>
        <w:rPr>
          <w:rFonts w:asciiTheme="minorHAnsi" w:eastAsiaTheme="minorEastAsia" w:hAnsiTheme="minorHAnsi" w:cstheme="minorBidi"/>
          <w:smallCaps w:val="0"/>
          <w:noProof/>
          <w:sz w:val="22"/>
          <w:szCs w:val="22"/>
          <w:lang w:eastAsia="pl-PL"/>
        </w:rPr>
      </w:pPr>
      <w:hyperlink w:anchor="_Toc83810576" w:history="1">
        <w:r w:rsidR="00E44868" w:rsidRPr="001143C6">
          <w:rPr>
            <w:rStyle w:val="Hipercze"/>
            <w:rFonts w:ascii="Arial" w:hAnsi="Arial"/>
            <w:noProof/>
            <w:spacing w:val="15"/>
            <w:lang w:eastAsia="pl-PL"/>
          </w:rPr>
          <w:t>3.2.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Tabela źródeł finansowania</w:t>
        </w:r>
        <w:r w:rsidR="00E44868">
          <w:rPr>
            <w:noProof/>
            <w:webHidden/>
          </w:rPr>
          <w:tab/>
        </w:r>
        <w:r w:rsidR="00E44868">
          <w:rPr>
            <w:noProof/>
            <w:webHidden/>
          </w:rPr>
          <w:fldChar w:fldCharType="begin"/>
        </w:r>
        <w:r w:rsidR="00E44868">
          <w:rPr>
            <w:noProof/>
            <w:webHidden/>
          </w:rPr>
          <w:instrText xml:space="preserve"> PAGEREF _Toc83810576 \h </w:instrText>
        </w:r>
        <w:r w:rsidR="00E44868">
          <w:rPr>
            <w:noProof/>
            <w:webHidden/>
          </w:rPr>
        </w:r>
        <w:r w:rsidR="00E44868">
          <w:rPr>
            <w:noProof/>
            <w:webHidden/>
          </w:rPr>
          <w:fldChar w:fldCharType="separate"/>
        </w:r>
        <w:r w:rsidR="00CF61A9">
          <w:rPr>
            <w:noProof/>
            <w:webHidden/>
          </w:rPr>
          <w:t>156</w:t>
        </w:r>
        <w:r w:rsidR="00E44868">
          <w:rPr>
            <w:noProof/>
            <w:webHidden/>
          </w:rPr>
          <w:fldChar w:fldCharType="end"/>
        </w:r>
      </w:hyperlink>
    </w:p>
    <w:p w14:paraId="7865461D" w14:textId="1D3B22E4" w:rsidR="00E44868" w:rsidRDefault="00D5430D">
      <w:pPr>
        <w:pStyle w:val="Spistreci2"/>
        <w:rPr>
          <w:rFonts w:asciiTheme="minorHAnsi" w:eastAsiaTheme="minorEastAsia" w:hAnsiTheme="minorHAnsi" w:cstheme="minorBidi"/>
          <w:smallCaps w:val="0"/>
          <w:noProof/>
          <w:sz w:val="22"/>
          <w:szCs w:val="22"/>
          <w:lang w:eastAsia="pl-PL"/>
        </w:rPr>
      </w:pPr>
      <w:hyperlink w:anchor="_Toc83810577" w:history="1">
        <w:r w:rsidR="00E44868" w:rsidRPr="001143C6">
          <w:rPr>
            <w:rStyle w:val="Hipercze"/>
            <w:rFonts w:ascii="Arial" w:hAnsi="Arial"/>
            <w:noProof/>
            <w:spacing w:val="4"/>
            <w:lang w:eastAsia="pl-PL"/>
          </w:rPr>
          <w:t>3.3.</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Tabela podziału na osie priorytetowe, fundusze, kategorie regionów oraz cele tematyczne</w:t>
        </w:r>
        <w:r w:rsidR="00E44868">
          <w:rPr>
            <w:noProof/>
            <w:webHidden/>
          </w:rPr>
          <w:tab/>
        </w:r>
        <w:r w:rsidR="00E44868">
          <w:rPr>
            <w:noProof/>
            <w:webHidden/>
          </w:rPr>
          <w:fldChar w:fldCharType="begin"/>
        </w:r>
        <w:r w:rsidR="00E44868">
          <w:rPr>
            <w:noProof/>
            <w:webHidden/>
          </w:rPr>
          <w:instrText xml:space="preserve"> PAGEREF _Toc83810577 \h </w:instrText>
        </w:r>
        <w:r w:rsidR="00E44868">
          <w:rPr>
            <w:noProof/>
            <w:webHidden/>
          </w:rPr>
        </w:r>
        <w:r w:rsidR="00E44868">
          <w:rPr>
            <w:noProof/>
            <w:webHidden/>
          </w:rPr>
          <w:fldChar w:fldCharType="separate"/>
        </w:r>
        <w:r w:rsidR="00CF61A9">
          <w:rPr>
            <w:noProof/>
            <w:webHidden/>
          </w:rPr>
          <w:t>158</w:t>
        </w:r>
        <w:r w:rsidR="00E44868">
          <w:rPr>
            <w:noProof/>
            <w:webHidden/>
          </w:rPr>
          <w:fldChar w:fldCharType="end"/>
        </w:r>
      </w:hyperlink>
    </w:p>
    <w:p w14:paraId="603FC816" w14:textId="00B649FE" w:rsidR="00E44868" w:rsidRDefault="00D5430D">
      <w:pPr>
        <w:pStyle w:val="Spistreci2"/>
        <w:rPr>
          <w:rFonts w:asciiTheme="minorHAnsi" w:eastAsiaTheme="minorEastAsia" w:hAnsiTheme="minorHAnsi" w:cstheme="minorBidi"/>
          <w:smallCaps w:val="0"/>
          <w:noProof/>
          <w:sz w:val="22"/>
          <w:szCs w:val="22"/>
          <w:lang w:eastAsia="pl-PL"/>
        </w:rPr>
      </w:pPr>
      <w:hyperlink w:anchor="_Toc83810578" w:history="1">
        <w:r w:rsidR="00E44868" w:rsidRPr="001143C6">
          <w:rPr>
            <w:rStyle w:val="Hipercze"/>
            <w:rFonts w:ascii="Arial" w:hAnsi="Arial"/>
            <w:noProof/>
            <w:spacing w:val="15"/>
            <w:lang w:eastAsia="pl-PL"/>
          </w:rPr>
          <w:t>3.4.</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Tabela podziału alokacji w realizacji celu dotyczącego klimatu</w:t>
        </w:r>
        <w:r w:rsidR="00E44868">
          <w:rPr>
            <w:noProof/>
            <w:webHidden/>
          </w:rPr>
          <w:tab/>
        </w:r>
        <w:r w:rsidR="00E44868">
          <w:rPr>
            <w:noProof/>
            <w:webHidden/>
          </w:rPr>
          <w:fldChar w:fldCharType="begin"/>
        </w:r>
        <w:r w:rsidR="00E44868">
          <w:rPr>
            <w:noProof/>
            <w:webHidden/>
          </w:rPr>
          <w:instrText xml:space="preserve"> PAGEREF _Toc83810578 \h </w:instrText>
        </w:r>
        <w:r w:rsidR="00E44868">
          <w:rPr>
            <w:noProof/>
            <w:webHidden/>
          </w:rPr>
        </w:r>
        <w:r w:rsidR="00E44868">
          <w:rPr>
            <w:noProof/>
            <w:webHidden/>
          </w:rPr>
          <w:fldChar w:fldCharType="separate"/>
        </w:r>
        <w:r w:rsidR="00CF61A9">
          <w:rPr>
            <w:noProof/>
            <w:webHidden/>
          </w:rPr>
          <w:t>159</w:t>
        </w:r>
        <w:r w:rsidR="00E44868">
          <w:rPr>
            <w:noProof/>
            <w:webHidden/>
          </w:rPr>
          <w:fldChar w:fldCharType="end"/>
        </w:r>
      </w:hyperlink>
    </w:p>
    <w:p w14:paraId="09EBD015" w14:textId="6C413B7C"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79" w:history="1">
        <w:r w:rsidR="00E44868" w:rsidRPr="001143C6">
          <w:rPr>
            <w:rStyle w:val="Hipercze"/>
            <w:smallCaps/>
            <w:spacing w:val="15"/>
            <w:lang w:eastAsia="pl-PL"/>
          </w:rPr>
          <w:t>4.</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Zintegrowane podejście do rozwoju terytorialnego</w:t>
        </w:r>
        <w:r w:rsidR="00E44868">
          <w:rPr>
            <w:webHidden/>
          </w:rPr>
          <w:tab/>
        </w:r>
        <w:r w:rsidR="00E44868">
          <w:rPr>
            <w:webHidden/>
          </w:rPr>
          <w:fldChar w:fldCharType="begin"/>
        </w:r>
        <w:r w:rsidR="00E44868">
          <w:rPr>
            <w:webHidden/>
          </w:rPr>
          <w:instrText xml:space="preserve"> PAGEREF _Toc83810579 \h </w:instrText>
        </w:r>
        <w:r w:rsidR="00E44868">
          <w:rPr>
            <w:webHidden/>
          </w:rPr>
        </w:r>
        <w:r w:rsidR="00E44868">
          <w:rPr>
            <w:webHidden/>
          </w:rPr>
          <w:fldChar w:fldCharType="separate"/>
        </w:r>
        <w:r w:rsidR="00CF61A9">
          <w:rPr>
            <w:webHidden/>
          </w:rPr>
          <w:t>161</w:t>
        </w:r>
        <w:r w:rsidR="00E44868">
          <w:rPr>
            <w:webHidden/>
          </w:rPr>
          <w:fldChar w:fldCharType="end"/>
        </w:r>
      </w:hyperlink>
    </w:p>
    <w:p w14:paraId="369A722C" w14:textId="1D93F651" w:rsidR="00E44868" w:rsidRDefault="00D5430D">
      <w:pPr>
        <w:pStyle w:val="Spistreci2"/>
        <w:rPr>
          <w:rFonts w:asciiTheme="minorHAnsi" w:eastAsiaTheme="minorEastAsia" w:hAnsiTheme="minorHAnsi" w:cstheme="minorBidi"/>
          <w:smallCaps w:val="0"/>
          <w:noProof/>
          <w:sz w:val="22"/>
          <w:szCs w:val="22"/>
          <w:lang w:eastAsia="pl-PL"/>
        </w:rPr>
      </w:pPr>
      <w:hyperlink w:anchor="_Toc83810580" w:history="1">
        <w:r w:rsidR="00E44868" w:rsidRPr="001143C6">
          <w:rPr>
            <w:rStyle w:val="Hipercze"/>
            <w:rFonts w:ascii="Arial" w:hAnsi="Arial"/>
            <w:noProof/>
            <w:spacing w:val="15"/>
            <w:lang w:eastAsia="pl-PL"/>
          </w:rPr>
          <w:t>4.1.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Rozwój Lokalny Kierowany przez Społeczność (w stosownych przypadkach)</w:t>
        </w:r>
        <w:r w:rsidR="00E44868">
          <w:rPr>
            <w:noProof/>
            <w:webHidden/>
          </w:rPr>
          <w:tab/>
        </w:r>
        <w:r w:rsidR="00E44868">
          <w:rPr>
            <w:noProof/>
            <w:webHidden/>
          </w:rPr>
          <w:fldChar w:fldCharType="begin"/>
        </w:r>
        <w:r w:rsidR="00E44868">
          <w:rPr>
            <w:noProof/>
            <w:webHidden/>
          </w:rPr>
          <w:instrText xml:space="preserve"> PAGEREF _Toc83810580 \h </w:instrText>
        </w:r>
        <w:r w:rsidR="00E44868">
          <w:rPr>
            <w:noProof/>
            <w:webHidden/>
          </w:rPr>
        </w:r>
        <w:r w:rsidR="00E44868">
          <w:rPr>
            <w:noProof/>
            <w:webHidden/>
          </w:rPr>
          <w:fldChar w:fldCharType="separate"/>
        </w:r>
        <w:r w:rsidR="00CF61A9">
          <w:rPr>
            <w:noProof/>
            <w:webHidden/>
          </w:rPr>
          <w:t>161</w:t>
        </w:r>
        <w:r w:rsidR="00E44868">
          <w:rPr>
            <w:noProof/>
            <w:webHidden/>
          </w:rPr>
          <w:fldChar w:fldCharType="end"/>
        </w:r>
      </w:hyperlink>
    </w:p>
    <w:p w14:paraId="5E1AD2D5" w14:textId="505D4097" w:rsidR="00E44868" w:rsidRDefault="00D5430D">
      <w:pPr>
        <w:pStyle w:val="Spistreci2"/>
        <w:rPr>
          <w:rFonts w:asciiTheme="minorHAnsi" w:eastAsiaTheme="minorEastAsia" w:hAnsiTheme="minorHAnsi" w:cstheme="minorBidi"/>
          <w:smallCaps w:val="0"/>
          <w:noProof/>
          <w:sz w:val="22"/>
          <w:szCs w:val="22"/>
          <w:lang w:eastAsia="pl-PL"/>
        </w:rPr>
      </w:pPr>
      <w:hyperlink w:anchor="_Toc83810581" w:history="1">
        <w:r w:rsidR="00E44868" w:rsidRPr="001143C6">
          <w:rPr>
            <w:rStyle w:val="Hipercze"/>
            <w:rFonts w:ascii="Arial" w:hAnsi="Arial"/>
            <w:noProof/>
            <w:spacing w:val="15"/>
            <w:lang w:eastAsia="pl-PL"/>
          </w:rPr>
          <w:t>4.2.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Zintegrowane działania na rzecz zrównoważonego rozwoju obszarów miejskich (w stosownych przypadkach)</w:t>
        </w:r>
        <w:r w:rsidR="00E44868">
          <w:rPr>
            <w:noProof/>
            <w:webHidden/>
          </w:rPr>
          <w:tab/>
        </w:r>
        <w:r w:rsidR="00E44868">
          <w:rPr>
            <w:noProof/>
            <w:webHidden/>
          </w:rPr>
          <w:fldChar w:fldCharType="begin"/>
        </w:r>
        <w:r w:rsidR="00E44868">
          <w:rPr>
            <w:noProof/>
            <w:webHidden/>
          </w:rPr>
          <w:instrText xml:space="preserve"> PAGEREF _Toc83810581 \h </w:instrText>
        </w:r>
        <w:r w:rsidR="00E44868">
          <w:rPr>
            <w:noProof/>
            <w:webHidden/>
          </w:rPr>
        </w:r>
        <w:r w:rsidR="00E44868">
          <w:rPr>
            <w:noProof/>
            <w:webHidden/>
          </w:rPr>
          <w:fldChar w:fldCharType="separate"/>
        </w:r>
        <w:r w:rsidR="00CF61A9">
          <w:rPr>
            <w:noProof/>
            <w:webHidden/>
          </w:rPr>
          <w:t>161</w:t>
        </w:r>
        <w:r w:rsidR="00E44868">
          <w:rPr>
            <w:noProof/>
            <w:webHidden/>
          </w:rPr>
          <w:fldChar w:fldCharType="end"/>
        </w:r>
      </w:hyperlink>
    </w:p>
    <w:p w14:paraId="46170ED8" w14:textId="2483BF6B" w:rsidR="00E44868" w:rsidRDefault="00D5430D">
      <w:pPr>
        <w:pStyle w:val="Spistreci2"/>
        <w:rPr>
          <w:rFonts w:asciiTheme="minorHAnsi" w:eastAsiaTheme="minorEastAsia" w:hAnsiTheme="minorHAnsi" w:cstheme="minorBidi"/>
          <w:smallCaps w:val="0"/>
          <w:noProof/>
          <w:sz w:val="22"/>
          <w:szCs w:val="22"/>
          <w:lang w:eastAsia="pl-PL"/>
        </w:rPr>
      </w:pPr>
      <w:hyperlink w:anchor="_Toc83810582" w:history="1">
        <w:r w:rsidR="00E44868" w:rsidRPr="001143C6">
          <w:rPr>
            <w:rStyle w:val="Hipercze"/>
            <w:rFonts w:ascii="Arial" w:hAnsi="Arial"/>
            <w:noProof/>
            <w:spacing w:val="15"/>
            <w:lang w:eastAsia="pl-PL"/>
          </w:rPr>
          <w:t>4.3.</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Zintegrowane inwestycje terytorialne (w stosownych przypadkach)</w:t>
        </w:r>
        <w:r w:rsidR="00E44868">
          <w:rPr>
            <w:noProof/>
            <w:webHidden/>
          </w:rPr>
          <w:tab/>
        </w:r>
        <w:r w:rsidR="00E44868">
          <w:rPr>
            <w:noProof/>
            <w:webHidden/>
          </w:rPr>
          <w:fldChar w:fldCharType="begin"/>
        </w:r>
        <w:r w:rsidR="00E44868">
          <w:rPr>
            <w:noProof/>
            <w:webHidden/>
          </w:rPr>
          <w:instrText xml:space="preserve"> PAGEREF _Toc83810582 \h </w:instrText>
        </w:r>
        <w:r w:rsidR="00E44868">
          <w:rPr>
            <w:noProof/>
            <w:webHidden/>
          </w:rPr>
        </w:r>
        <w:r w:rsidR="00E44868">
          <w:rPr>
            <w:noProof/>
            <w:webHidden/>
          </w:rPr>
          <w:fldChar w:fldCharType="separate"/>
        </w:r>
        <w:r w:rsidR="00CF61A9">
          <w:rPr>
            <w:noProof/>
            <w:webHidden/>
          </w:rPr>
          <w:t>162</w:t>
        </w:r>
        <w:r w:rsidR="00E44868">
          <w:rPr>
            <w:noProof/>
            <w:webHidden/>
          </w:rPr>
          <w:fldChar w:fldCharType="end"/>
        </w:r>
      </w:hyperlink>
    </w:p>
    <w:p w14:paraId="7DA149A9" w14:textId="6D532830" w:rsidR="00E44868" w:rsidRDefault="00D5430D">
      <w:pPr>
        <w:pStyle w:val="Spistreci2"/>
        <w:rPr>
          <w:rFonts w:asciiTheme="minorHAnsi" w:eastAsiaTheme="minorEastAsia" w:hAnsiTheme="minorHAnsi" w:cstheme="minorBidi"/>
          <w:smallCaps w:val="0"/>
          <w:noProof/>
          <w:sz w:val="22"/>
          <w:szCs w:val="22"/>
          <w:lang w:eastAsia="pl-PL"/>
        </w:rPr>
      </w:pPr>
      <w:hyperlink w:anchor="_Toc83810583" w:history="1">
        <w:r w:rsidR="00E44868" w:rsidRPr="001143C6">
          <w:rPr>
            <w:rStyle w:val="Hipercze"/>
            <w:rFonts w:ascii="Arial" w:hAnsi="Arial"/>
            <w:noProof/>
            <w:spacing w:val="15"/>
            <w:lang w:eastAsia="pl-PL"/>
          </w:rPr>
          <w:t>4.4.</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Rozwiązania dotyczące przedsięwzięć międzyregionalnych  i transnarodowych w ramach danego programu operacyjnego,  z udziałem beneficjentów znajdujących się w co najmniej jednym państwie członkowskim (w stosownych przypadkach)</w:t>
        </w:r>
        <w:r w:rsidR="00E44868">
          <w:rPr>
            <w:noProof/>
            <w:webHidden/>
          </w:rPr>
          <w:tab/>
        </w:r>
        <w:r w:rsidR="00E44868">
          <w:rPr>
            <w:noProof/>
            <w:webHidden/>
          </w:rPr>
          <w:fldChar w:fldCharType="begin"/>
        </w:r>
        <w:r w:rsidR="00E44868">
          <w:rPr>
            <w:noProof/>
            <w:webHidden/>
          </w:rPr>
          <w:instrText xml:space="preserve"> PAGEREF _Toc83810583 \h </w:instrText>
        </w:r>
        <w:r w:rsidR="00E44868">
          <w:rPr>
            <w:noProof/>
            <w:webHidden/>
          </w:rPr>
        </w:r>
        <w:r w:rsidR="00E44868">
          <w:rPr>
            <w:noProof/>
            <w:webHidden/>
          </w:rPr>
          <w:fldChar w:fldCharType="separate"/>
        </w:r>
        <w:r w:rsidR="00CF61A9">
          <w:rPr>
            <w:noProof/>
            <w:webHidden/>
          </w:rPr>
          <w:t>162</w:t>
        </w:r>
        <w:r w:rsidR="00E44868">
          <w:rPr>
            <w:noProof/>
            <w:webHidden/>
          </w:rPr>
          <w:fldChar w:fldCharType="end"/>
        </w:r>
      </w:hyperlink>
    </w:p>
    <w:p w14:paraId="2F93C664" w14:textId="2A399BBF" w:rsidR="00E44868" w:rsidRDefault="00D5430D">
      <w:pPr>
        <w:pStyle w:val="Spistreci2"/>
        <w:rPr>
          <w:rFonts w:asciiTheme="minorHAnsi" w:eastAsiaTheme="minorEastAsia" w:hAnsiTheme="minorHAnsi" w:cstheme="minorBidi"/>
          <w:smallCaps w:val="0"/>
          <w:noProof/>
          <w:sz w:val="22"/>
          <w:szCs w:val="22"/>
          <w:lang w:eastAsia="pl-PL"/>
        </w:rPr>
      </w:pPr>
      <w:hyperlink w:anchor="_Toc83810584" w:history="1">
        <w:r w:rsidR="00E44868" w:rsidRPr="001143C6">
          <w:rPr>
            <w:rStyle w:val="Hipercze"/>
            <w:rFonts w:ascii="Arial" w:hAnsi="Arial"/>
            <w:noProof/>
            <w:spacing w:val="15"/>
            <w:lang w:eastAsia="pl-PL"/>
          </w:rPr>
          <w:t>4.5.</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Wkład planowanych przedsięwzięć w ramach programu  w odniesieniu do strategii makroregionalnych i strategii morskich, z zastrzeżeniem potrzeb obszaru objętego programem zidentyfikowanych przez państwo członkowskie (w stosownych przypadkach)</w:t>
        </w:r>
        <w:r w:rsidR="00E44868">
          <w:rPr>
            <w:noProof/>
            <w:webHidden/>
          </w:rPr>
          <w:tab/>
        </w:r>
        <w:r w:rsidR="00E44868">
          <w:rPr>
            <w:noProof/>
            <w:webHidden/>
          </w:rPr>
          <w:fldChar w:fldCharType="begin"/>
        </w:r>
        <w:r w:rsidR="00E44868">
          <w:rPr>
            <w:noProof/>
            <w:webHidden/>
          </w:rPr>
          <w:instrText xml:space="preserve"> PAGEREF _Toc83810584 \h </w:instrText>
        </w:r>
        <w:r w:rsidR="00E44868">
          <w:rPr>
            <w:noProof/>
            <w:webHidden/>
          </w:rPr>
        </w:r>
        <w:r w:rsidR="00E44868">
          <w:rPr>
            <w:noProof/>
            <w:webHidden/>
          </w:rPr>
          <w:fldChar w:fldCharType="separate"/>
        </w:r>
        <w:r w:rsidR="00CF61A9">
          <w:rPr>
            <w:noProof/>
            <w:webHidden/>
          </w:rPr>
          <w:t>163</w:t>
        </w:r>
        <w:r w:rsidR="00E44868">
          <w:rPr>
            <w:noProof/>
            <w:webHidden/>
          </w:rPr>
          <w:fldChar w:fldCharType="end"/>
        </w:r>
      </w:hyperlink>
    </w:p>
    <w:p w14:paraId="532EB6AE" w14:textId="7F18ADD9"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85" w:history="1">
        <w:r w:rsidR="00E44868" w:rsidRPr="001143C6">
          <w:rPr>
            <w:rStyle w:val="Hipercze"/>
            <w:smallCaps/>
            <w:spacing w:val="15"/>
            <w:lang w:eastAsia="pl-PL"/>
          </w:rPr>
          <w:t>5.</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Szczególne potrzeby obszarów geograficznych najbardziej dotkniętych ubóstwem lub grup docelowych najbardziej zagrożonych dyskryminacją lub wykluczeniem społecznym (w stosownych przypadkach)</w:t>
        </w:r>
        <w:r w:rsidR="00E44868">
          <w:rPr>
            <w:webHidden/>
          </w:rPr>
          <w:tab/>
        </w:r>
        <w:r w:rsidR="00E44868">
          <w:rPr>
            <w:webHidden/>
          </w:rPr>
          <w:fldChar w:fldCharType="begin"/>
        </w:r>
        <w:r w:rsidR="00E44868">
          <w:rPr>
            <w:webHidden/>
          </w:rPr>
          <w:instrText xml:space="preserve"> PAGEREF _Toc83810585 \h </w:instrText>
        </w:r>
        <w:r w:rsidR="00E44868">
          <w:rPr>
            <w:webHidden/>
          </w:rPr>
        </w:r>
        <w:r w:rsidR="00E44868">
          <w:rPr>
            <w:webHidden/>
          </w:rPr>
          <w:fldChar w:fldCharType="separate"/>
        </w:r>
        <w:r w:rsidR="00CF61A9">
          <w:rPr>
            <w:webHidden/>
          </w:rPr>
          <w:t>164</w:t>
        </w:r>
        <w:r w:rsidR="00E44868">
          <w:rPr>
            <w:webHidden/>
          </w:rPr>
          <w:fldChar w:fldCharType="end"/>
        </w:r>
      </w:hyperlink>
    </w:p>
    <w:p w14:paraId="42230E92" w14:textId="70D25843" w:rsidR="00E44868" w:rsidRDefault="00D5430D">
      <w:pPr>
        <w:pStyle w:val="Spistreci2"/>
        <w:rPr>
          <w:rFonts w:asciiTheme="minorHAnsi" w:eastAsiaTheme="minorEastAsia" w:hAnsiTheme="minorHAnsi" w:cstheme="minorBidi"/>
          <w:smallCaps w:val="0"/>
          <w:noProof/>
          <w:sz w:val="22"/>
          <w:szCs w:val="22"/>
          <w:lang w:eastAsia="pl-PL"/>
        </w:rPr>
      </w:pPr>
      <w:hyperlink w:anchor="_Toc83810586" w:history="1">
        <w:r w:rsidR="00E44868" w:rsidRPr="001143C6">
          <w:rPr>
            <w:rStyle w:val="Hipercze"/>
            <w:rFonts w:ascii="Arial" w:hAnsi="Arial"/>
            <w:noProof/>
            <w:spacing w:val="15"/>
            <w:lang w:eastAsia="pl-PL"/>
          </w:rPr>
          <w:t>5.1.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Obszary geograficzne najbardziej dotknięte ubóstwem/ grupy docelowe najbardziej zagrożone dyskryminacją lub wykluczeniem społecznym</w:t>
        </w:r>
        <w:r w:rsidR="00E44868">
          <w:rPr>
            <w:noProof/>
            <w:webHidden/>
          </w:rPr>
          <w:tab/>
        </w:r>
        <w:r w:rsidR="00E44868">
          <w:rPr>
            <w:noProof/>
            <w:webHidden/>
          </w:rPr>
          <w:fldChar w:fldCharType="begin"/>
        </w:r>
        <w:r w:rsidR="00E44868">
          <w:rPr>
            <w:noProof/>
            <w:webHidden/>
          </w:rPr>
          <w:instrText xml:space="preserve"> PAGEREF _Toc83810586 \h </w:instrText>
        </w:r>
        <w:r w:rsidR="00E44868">
          <w:rPr>
            <w:noProof/>
            <w:webHidden/>
          </w:rPr>
        </w:r>
        <w:r w:rsidR="00E44868">
          <w:rPr>
            <w:noProof/>
            <w:webHidden/>
          </w:rPr>
          <w:fldChar w:fldCharType="separate"/>
        </w:r>
        <w:r w:rsidR="00CF61A9">
          <w:rPr>
            <w:noProof/>
            <w:webHidden/>
          </w:rPr>
          <w:t>164</w:t>
        </w:r>
        <w:r w:rsidR="00E44868">
          <w:rPr>
            <w:noProof/>
            <w:webHidden/>
          </w:rPr>
          <w:fldChar w:fldCharType="end"/>
        </w:r>
      </w:hyperlink>
    </w:p>
    <w:p w14:paraId="55F2DD51" w14:textId="5090FB0C" w:rsidR="00E44868" w:rsidRDefault="00D5430D">
      <w:pPr>
        <w:pStyle w:val="Spistreci2"/>
        <w:rPr>
          <w:rFonts w:asciiTheme="minorHAnsi" w:eastAsiaTheme="minorEastAsia" w:hAnsiTheme="minorHAnsi" w:cstheme="minorBidi"/>
          <w:smallCaps w:val="0"/>
          <w:noProof/>
          <w:sz w:val="22"/>
          <w:szCs w:val="22"/>
          <w:lang w:eastAsia="pl-PL"/>
        </w:rPr>
      </w:pPr>
      <w:hyperlink w:anchor="_Toc83810587" w:history="1">
        <w:r w:rsidR="00E44868" w:rsidRPr="001143C6">
          <w:rPr>
            <w:rStyle w:val="Hipercze"/>
            <w:rFonts w:ascii="Arial" w:hAnsi="Arial" w:cs="Arial"/>
            <w:noProof/>
            <w:spacing w:val="4"/>
            <w:lang w:eastAsia="pl-PL"/>
          </w:rPr>
          <w:t>5.2.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Strategia służąca zaspokojeniu szczególnych potrzeb obszarów geograficznych  najbardziej dotkniętych ubóstwem/grup docelowych najbardziej zagrożonych dyskryminacją lub wykluczeniem społecznym oraz, w stosownych przypadkach, wkład do zintegrowanego podejścia ustanowionego w umowie partnerstwa</w:t>
        </w:r>
        <w:r w:rsidR="00E44868">
          <w:rPr>
            <w:noProof/>
            <w:webHidden/>
          </w:rPr>
          <w:tab/>
        </w:r>
        <w:r w:rsidR="00E44868">
          <w:rPr>
            <w:noProof/>
            <w:webHidden/>
          </w:rPr>
          <w:fldChar w:fldCharType="begin"/>
        </w:r>
        <w:r w:rsidR="00E44868">
          <w:rPr>
            <w:noProof/>
            <w:webHidden/>
          </w:rPr>
          <w:instrText xml:space="preserve"> PAGEREF _Toc83810587 \h </w:instrText>
        </w:r>
        <w:r w:rsidR="00E44868">
          <w:rPr>
            <w:noProof/>
            <w:webHidden/>
          </w:rPr>
        </w:r>
        <w:r w:rsidR="00E44868">
          <w:rPr>
            <w:noProof/>
            <w:webHidden/>
          </w:rPr>
          <w:fldChar w:fldCharType="separate"/>
        </w:r>
        <w:r w:rsidR="00CF61A9">
          <w:rPr>
            <w:noProof/>
            <w:webHidden/>
          </w:rPr>
          <w:t>164</w:t>
        </w:r>
        <w:r w:rsidR="00E44868">
          <w:rPr>
            <w:noProof/>
            <w:webHidden/>
          </w:rPr>
          <w:fldChar w:fldCharType="end"/>
        </w:r>
      </w:hyperlink>
    </w:p>
    <w:p w14:paraId="612143F1" w14:textId="64FBED2C"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88" w:history="1">
        <w:r w:rsidR="00E44868" w:rsidRPr="001143C6">
          <w:rPr>
            <w:rStyle w:val="Hipercze"/>
            <w:smallCaps/>
            <w:spacing w:val="15"/>
            <w:lang w:eastAsia="pl-PL"/>
          </w:rPr>
          <w:t>6.</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Szczególne potrzeby obszarów geograficznych, które cierpią na skutek poważnych i trwałych niekorzystnych warunków przyrodniczych lub demograficznych (w stosownych przypadkach)</w:t>
        </w:r>
        <w:r w:rsidR="00E44868">
          <w:rPr>
            <w:webHidden/>
          </w:rPr>
          <w:tab/>
        </w:r>
        <w:r w:rsidR="00E44868">
          <w:rPr>
            <w:webHidden/>
          </w:rPr>
          <w:fldChar w:fldCharType="begin"/>
        </w:r>
        <w:r w:rsidR="00E44868">
          <w:rPr>
            <w:webHidden/>
          </w:rPr>
          <w:instrText xml:space="preserve"> PAGEREF _Toc83810588 \h </w:instrText>
        </w:r>
        <w:r w:rsidR="00E44868">
          <w:rPr>
            <w:webHidden/>
          </w:rPr>
        </w:r>
        <w:r w:rsidR="00E44868">
          <w:rPr>
            <w:webHidden/>
          </w:rPr>
          <w:fldChar w:fldCharType="separate"/>
        </w:r>
        <w:r w:rsidR="00CF61A9">
          <w:rPr>
            <w:webHidden/>
          </w:rPr>
          <w:t>164</w:t>
        </w:r>
        <w:r w:rsidR="00E44868">
          <w:rPr>
            <w:webHidden/>
          </w:rPr>
          <w:fldChar w:fldCharType="end"/>
        </w:r>
      </w:hyperlink>
    </w:p>
    <w:p w14:paraId="54385462" w14:textId="2FC6ADD1"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89" w:history="1">
        <w:r w:rsidR="00E44868" w:rsidRPr="001143C6">
          <w:rPr>
            <w:rStyle w:val="Hipercze"/>
            <w:smallCaps/>
            <w:lang w:eastAsia="pl-PL"/>
          </w:rPr>
          <w:t>7.</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Instytucje i podmioty odpowiedzialne za zarządzanie, kontrolę i audyt oraz rola właściwych partnerów</w:t>
        </w:r>
        <w:r w:rsidR="00E44868">
          <w:rPr>
            <w:webHidden/>
          </w:rPr>
          <w:tab/>
        </w:r>
        <w:r w:rsidR="00E44868">
          <w:rPr>
            <w:webHidden/>
          </w:rPr>
          <w:fldChar w:fldCharType="begin"/>
        </w:r>
        <w:r w:rsidR="00E44868">
          <w:rPr>
            <w:webHidden/>
          </w:rPr>
          <w:instrText xml:space="preserve"> PAGEREF _Toc83810589 \h </w:instrText>
        </w:r>
        <w:r w:rsidR="00E44868">
          <w:rPr>
            <w:webHidden/>
          </w:rPr>
        </w:r>
        <w:r w:rsidR="00E44868">
          <w:rPr>
            <w:webHidden/>
          </w:rPr>
          <w:fldChar w:fldCharType="separate"/>
        </w:r>
        <w:r w:rsidR="00CF61A9">
          <w:rPr>
            <w:webHidden/>
          </w:rPr>
          <w:t>165</w:t>
        </w:r>
        <w:r w:rsidR="00E44868">
          <w:rPr>
            <w:webHidden/>
          </w:rPr>
          <w:fldChar w:fldCharType="end"/>
        </w:r>
      </w:hyperlink>
    </w:p>
    <w:p w14:paraId="100A19A8" w14:textId="7406F5ED" w:rsidR="00E44868" w:rsidRDefault="00D5430D">
      <w:pPr>
        <w:pStyle w:val="Spistreci2"/>
        <w:rPr>
          <w:rFonts w:asciiTheme="minorHAnsi" w:eastAsiaTheme="minorEastAsia" w:hAnsiTheme="minorHAnsi" w:cstheme="minorBidi"/>
          <w:smallCaps w:val="0"/>
          <w:noProof/>
          <w:sz w:val="22"/>
          <w:szCs w:val="22"/>
          <w:lang w:eastAsia="pl-PL"/>
        </w:rPr>
      </w:pPr>
      <w:hyperlink w:anchor="_Toc83810590" w:history="1">
        <w:r w:rsidR="00E44868" w:rsidRPr="001143C6">
          <w:rPr>
            <w:rStyle w:val="Hipercze"/>
            <w:rFonts w:ascii="Arial" w:hAnsi="Arial" w:cs="Arial"/>
            <w:noProof/>
            <w:spacing w:val="4"/>
            <w:lang w:eastAsia="pl-PL"/>
          </w:rPr>
          <w:t>7.1.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Odpowiednie instytucje i podmioty</w:t>
        </w:r>
        <w:r w:rsidR="00E44868">
          <w:rPr>
            <w:noProof/>
            <w:webHidden/>
          </w:rPr>
          <w:tab/>
        </w:r>
        <w:r w:rsidR="00E44868">
          <w:rPr>
            <w:noProof/>
            <w:webHidden/>
          </w:rPr>
          <w:fldChar w:fldCharType="begin"/>
        </w:r>
        <w:r w:rsidR="00E44868">
          <w:rPr>
            <w:noProof/>
            <w:webHidden/>
          </w:rPr>
          <w:instrText xml:space="preserve"> PAGEREF _Toc83810590 \h </w:instrText>
        </w:r>
        <w:r w:rsidR="00E44868">
          <w:rPr>
            <w:noProof/>
            <w:webHidden/>
          </w:rPr>
        </w:r>
        <w:r w:rsidR="00E44868">
          <w:rPr>
            <w:noProof/>
            <w:webHidden/>
          </w:rPr>
          <w:fldChar w:fldCharType="separate"/>
        </w:r>
        <w:r w:rsidR="00CF61A9">
          <w:rPr>
            <w:noProof/>
            <w:webHidden/>
          </w:rPr>
          <w:t>165</w:t>
        </w:r>
        <w:r w:rsidR="00E44868">
          <w:rPr>
            <w:noProof/>
            <w:webHidden/>
          </w:rPr>
          <w:fldChar w:fldCharType="end"/>
        </w:r>
      </w:hyperlink>
    </w:p>
    <w:p w14:paraId="6E8704A4" w14:textId="4A157E7B" w:rsidR="00E44868" w:rsidRDefault="00D5430D">
      <w:pPr>
        <w:pStyle w:val="Spistreci2"/>
        <w:rPr>
          <w:rFonts w:asciiTheme="minorHAnsi" w:eastAsiaTheme="minorEastAsia" w:hAnsiTheme="minorHAnsi" w:cstheme="minorBidi"/>
          <w:smallCaps w:val="0"/>
          <w:noProof/>
          <w:sz w:val="22"/>
          <w:szCs w:val="22"/>
          <w:lang w:eastAsia="pl-PL"/>
        </w:rPr>
      </w:pPr>
      <w:hyperlink w:anchor="_Toc83810591" w:history="1">
        <w:r w:rsidR="00E44868" w:rsidRPr="001143C6">
          <w:rPr>
            <w:rStyle w:val="Hipercze"/>
            <w:rFonts w:ascii="Arial" w:hAnsi="Arial" w:cs="Arial"/>
            <w:noProof/>
            <w:spacing w:val="4"/>
            <w:lang w:eastAsia="pl-PL"/>
          </w:rPr>
          <w:t>7.2.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Zaangażowanie właściwych partnerów</w:t>
        </w:r>
        <w:r w:rsidR="00E44868">
          <w:rPr>
            <w:noProof/>
            <w:webHidden/>
          </w:rPr>
          <w:tab/>
        </w:r>
        <w:r w:rsidR="00E44868">
          <w:rPr>
            <w:noProof/>
            <w:webHidden/>
          </w:rPr>
          <w:fldChar w:fldCharType="begin"/>
        </w:r>
        <w:r w:rsidR="00E44868">
          <w:rPr>
            <w:noProof/>
            <w:webHidden/>
          </w:rPr>
          <w:instrText xml:space="preserve"> PAGEREF _Toc83810591 \h </w:instrText>
        </w:r>
        <w:r w:rsidR="00E44868">
          <w:rPr>
            <w:noProof/>
            <w:webHidden/>
          </w:rPr>
        </w:r>
        <w:r w:rsidR="00E44868">
          <w:rPr>
            <w:noProof/>
            <w:webHidden/>
          </w:rPr>
          <w:fldChar w:fldCharType="separate"/>
        </w:r>
        <w:r w:rsidR="00CF61A9">
          <w:rPr>
            <w:noProof/>
            <w:webHidden/>
          </w:rPr>
          <w:t>165</w:t>
        </w:r>
        <w:r w:rsidR="00E44868">
          <w:rPr>
            <w:noProof/>
            <w:webHidden/>
          </w:rPr>
          <w:fldChar w:fldCharType="end"/>
        </w:r>
      </w:hyperlink>
    </w:p>
    <w:p w14:paraId="4CC9F3C6" w14:textId="268F6B48" w:rsidR="00E44868" w:rsidRDefault="00D5430D">
      <w:pPr>
        <w:pStyle w:val="Spistreci3"/>
        <w:rPr>
          <w:rFonts w:asciiTheme="minorHAnsi" w:eastAsiaTheme="minorEastAsia" w:hAnsiTheme="minorHAnsi" w:cstheme="minorBidi"/>
          <w:bCs w:val="0"/>
          <w:i w:val="0"/>
          <w:iCs w:val="0"/>
          <w:spacing w:val="0"/>
          <w:sz w:val="22"/>
          <w:szCs w:val="22"/>
          <w:lang w:eastAsia="pl-PL"/>
        </w:rPr>
      </w:pPr>
      <w:hyperlink w:anchor="_Toc83810592" w:history="1">
        <w:r w:rsidR="00E44868" w:rsidRPr="001143C6">
          <w:rPr>
            <w:rStyle w:val="Hipercze"/>
            <w:caps/>
            <w:smallCaps/>
            <w:spacing w:val="15"/>
            <w:lang w:eastAsia="pl-PL"/>
          </w:rPr>
          <w:t>7.2.1.</w:t>
        </w:r>
        <w:r w:rsidR="00E44868">
          <w:rPr>
            <w:rFonts w:asciiTheme="minorHAnsi" w:eastAsiaTheme="minorEastAsia" w:hAnsiTheme="minorHAnsi" w:cstheme="minorBidi"/>
            <w:bCs w:val="0"/>
            <w:i w:val="0"/>
            <w:iCs w:val="0"/>
            <w:spacing w:val="0"/>
            <w:sz w:val="22"/>
            <w:szCs w:val="22"/>
            <w:lang w:eastAsia="pl-PL"/>
          </w:rPr>
          <w:tab/>
        </w:r>
        <w:r w:rsidR="00E44868" w:rsidRPr="001143C6">
          <w:rPr>
            <w:rStyle w:val="Hipercze"/>
            <w:smallCaps/>
            <w:spacing w:val="15"/>
            <w:lang w:eastAsia="pl-PL"/>
          </w:rPr>
          <w:t>Przedsięwzięcia podjęte w celu zaangażowania właściwych partnerów w przygotowanie programu operacyjnego oraz rola tych partnerów we wdrażaniu, monitorowaniu i ewaluacji programu operacyjnego</w:t>
        </w:r>
        <w:r w:rsidR="00E44868">
          <w:rPr>
            <w:webHidden/>
          </w:rPr>
          <w:tab/>
        </w:r>
        <w:r w:rsidR="00E44868">
          <w:rPr>
            <w:webHidden/>
          </w:rPr>
          <w:fldChar w:fldCharType="begin"/>
        </w:r>
        <w:r w:rsidR="00E44868">
          <w:rPr>
            <w:webHidden/>
          </w:rPr>
          <w:instrText xml:space="preserve"> PAGEREF _Toc83810592 \h </w:instrText>
        </w:r>
        <w:r w:rsidR="00E44868">
          <w:rPr>
            <w:webHidden/>
          </w:rPr>
        </w:r>
        <w:r w:rsidR="00E44868">
          <w:rPr>
            <w:webHidden/>
          </w:rPr>
          <w:fldChar w:fldCharType="separate"/>
        </w:r>
        <w:r w:rsidR="00CF61A9">
          <w:rPr>
            <w:webHidden/>
          </w:rPr>
          <w:t>165</w:t>
        </w:r>
        <w:r w:rsidR="00E44868">
          <w:rPr>
            <w:webHidden/>
          </w:rPr>
          <w:fldChar w:fldCharType="end"/>
        </w:r>
      </w:hyperlink>
    </w:p>
    <w:p w14:paraId="7A99D7DB" w14:textId="67137BA6"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93" w:history="1">
        <w:r w:rsidR="00E44868" w:rsidRPr="001143C6">
          <w:rPr>
            <w:rStyle w:val="Hipercze"/>
            <w:smallCaps/>
            <w:lang w:eastAsia="pl-PL"/>
          </w:rPr>
          <w:t>8.</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Koordynacja między funduszami polityki spójności, efrrow, efmr oraz innymi unijnymi i krajowymi instrumentami finansowania oraz ebi</w:t>
        </w:r>
        <w:r w:rsidR="00E44868">
          <w:rPr>
            <w:webHidden/>
          </w:rPr>
          <w:tab/>
        </w:r>
        <w:r w:rsidR="00E44868">
          <w:rPr>
            <w:webHidden/>
          </w:rPr>
          <w:fldChar w:fldCharType="begin"/>
        </w:r>
        <w:r w:rsidR="00E44868">
          <w:rPr>
            <w:webHidden/>
          </w:rPr>
          <w:instrText xml:space="preserve"> PAGEREF _Toc83810593 \h </w:instrText>
        </w:r>
        <w:r w:rsidR="00E44868">
          <w:rPr>
            <w:webHidden/>
          </w:rPr>
        </w:r>
        <w:r w:rsidR="00E44868">
          <w:rPr>
            <w:webHidden/>
          </w:rPr>
          <w:fldChar w:fldCharType="separate"/>
        </w:r>
        <w:r w:rsidR="00CF61A9">
          <w:rPr>
            <w:webHidden/>
          </w:rPr>
          <w:t>170</w:t>
        </w:r>
        <w:r w:rsidR="00E44868">
          <w:rPr>
            <w:webHidden/>
          </w:rPr>
          <w:fldChar w:fldCharType="end"/>
        </w:r>
      </w:hyperlink>
    </w:p>
    <w:p w14:paraId="7AFAE018" w14:textId="717B8EFB"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94" w:history="1">
        <w:r w:rsidR="00E44868" w:rsidRPr="001143C6">
          <w:rPr>
            <w:rStyle w:val="Hipercze"/>
            <w:smallCaps/>
            <w:spacing w:val="15"/>
            <w:lang w:eastAsia="pl-PL"/>
          </w:rPr>
          <w:t>9.</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Warunkowość ex-ante</w:t>
        </w:r>
        <w:r w:rsidR="00E44868">
          <w:rPr>
            <w:webHidden/>
          </w:rPr>
          <w:tab/>
        </w:r>
        <w:r w:rsidR="00E44868">
          <w:rPr>
            <w:webHidden/>
          </w:rPr>
          <w:fldChar w:fldCharType="begin"/>
        </w:r>
        <w:r w:rsidR="00E44868">
          <w:rPr>
            <w:webHidden/>
          </w:rPr>
          <w:instrText xml:space="preserve"> PAGEREF _Toc83810594 \h </w:instrText>
        </w:r>
        <w:r w:rsidR="00E44868">
          <w:rPr>
            <w:webHidden/>
          </w:rPr>
        </w:r>
        <w:r w:rsidR="00E44868">
          <w:rPr>
            <w:webHidden/>
          </w:rPr>
          <w:fldChar w:fldCharType="separate"/>
        </w:r>
        <w:r w:rsidR="00CF61A9">
          <w:rPr>
            <w:webHidden/>
          </w:rPr>
          <w:t>174</w:t>
        </w:r>
        <w:r w:rsidR="00E44868">
          <w:rPr>
            <w:webHidden/>
          </w:rPr>
          <w:fldChar w:fldCharType="end"/>
        </w:r>
      </w:hyperlink>
    </w:p>
    <w:p w14:paraId="0573FC86" w14:textId="2C2920CE" w:rsidR="00E44868" w:rsidRDefault="00D5430D">
      <w:pPr>
        <w:pStyle w:val="Spistreci2"/>
        <w:rPr>
          <w:rFonts w:asciiTheme="minorHAnsi" w:eastAsiaTheme="minorEastAsia" w:hAnsiTheme="minorHAnsi" w:cstheme="minorBidi"/>
          <w:smallCaps w:val="0"/>
          <w:noProof/>
          <w:sz w:val="22"/>
          <w:szCs w:val="22"/>
          <w:lang w:eastAsia="pl-PL"/>
        </w:rPr>
      </w:pPr>
      <w:hyperlink w:anchor="_Toc83810595" w:history="1">
        <w:r w:rsidR="00E44868" w:rsidRPr="001143C6">
          <w:rPr>
            <w:rStyle w:val="Hipercze"/>
            <w:rFonts w:ascii="Arial" w:hAnsi="Arial"/>
            <w:noProof/>
            <w:spacing w:val="15"/>
            <w:lang w:eastAsia="pl-PL"/>
          </w:rPr>
          <w:t>9.1.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Identyfikacja warunków oraz ocena ich spełnienia</w:t>
        </w:r>
        <w:r w:rsidR="00E44868">
          <w:rPr>
            <w:noProof/>
            <w:webHidden/>
          </w:rPr>
          <w:tab/>
        </w:r>
        <w:r w:rsidR="00E44868">
          <w:rPr>
            <w:noProof/>
            <w:webHidden/>
          </w:rPr>
          <w:fldChar w:fldCharType="begin"/>
        </w:r>
        <w:r w:rsidR="00E44868">
          <w:rPr>
            <w:noProof/>
            <w:webHidden/>
          </w:rPr>
          <w:instrText xml:space="preserve"> PAGEREF _Toc83810595 \h </w:instrText>
        </w:r>
        <w:r w:rsidR="00E44868">
          <w:rPr>
            <w:noProof/>
            <w:webHidden/>
          </w:rPr>
        </w:r>
        <w:r w:rsidR="00E44868">
          <w:rPr>
            <w:noProof/>
            <w:webHidden/>
          </w:rPr>
          <w:fldChar w:fldCharType="separate"/>
        </w:r>
        <w:r w:rsidR="00CF61A9">
          <w:rPr>
            <w:noProof/>
            <w:webHidden/>
          </w:rPr>
          <w:t>174</w:t>
        </w:r>
        <w:r w:rsidR="00E44868">
          <w:rPr>
            <w:noProof/>
            <w:webHidden/>
          </w:rPr>
          <w:fldChar w:fldCharType="end"/>
        </w:r>
      </w:hyperlink>
    </w:p>
    <w:p w14:paraId="4DAB4146" w14:textId="40DC4EC9" w:rsidR="00E44868" w:rsidRDefault="00D5430D">
      <w:pPr>
        <w:pStyle w:val="Spistreci2"/>
        <w:rPr>
          <w:rFonts w:asciiTheme="minorHAnsi" w:eastAsiaTheme="minorEastAsia" w:hAnsiTheme="minorHAnsi" w:cstheme="minorBidi"/>
          <w:smallCaps w:val="0"/>
          <w:noProof/>
          <w:sz w:val="22"/>
          <w:szCs w:val="22"/>
          <w:lang w:eastAsia="pl-PL"/>
        </w:rPr>
      </w:pPr>
      <w:hyperlink w:anchor="_Toc83810596" w:history="1">
        <w:r w:rsidR="00E44868" w:rsidRPr="001143C6">
          <w:rPr>
            <w:rStyle w:val="Hipercze"/>
            <w:rFonts w:ascii="Arial" w:hAnsi="Arial"/>
            <w:noProof/>
            <w:spacing w:val="15"/>
            <w:lang w:eastAsia="pl-PL"/>
          </w:rPr>
          <w:t>9.2.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Ścieżka dojścia do spełnienia warunków</w:t>
        </w:r>
        <w:r w:rsidR="00E44868">
          <w:rPr>
            <w:noProof/>
            <w:webHidden/>
          </w:rPr>
          <w:tab/>
        </w:r>
        <w:r w:rsidR="00E44868">
          <w:rPr>
            <w:noProof/>
            <w:webHidden/>
          </w:rPr>
          <w:fldChar w:fldCharType="begin"/>
        </w:r>
        <w:r w:rsidR="00E44868">
          <w:rPr>
            <w:noProof/>
            <w:webHidden/>
          </w:rPr>
          <w:instrText xml:space="preserve"> PAGEREF _Toc83810596 \h </w:instrText>
        </w:r>
        <w:r w:rsidR="00E44868">
          <w:rPr>
            <w:noProof/>
            <w:webHidden/>
          </w:rPr>
        </w:r>
        <w:r w:rsidR="00E44868">
          <w:rPr>
            <w:noProof/>
            <w:webHidden/>
          </w:rPr>
          <w:fldChar w:fldCharType="separate"/>
        </w:r>
        <w:r w:rsidR="00CF61A9">
          <w:rPr>
            <w:noProof/>
            <w:webHidden/>
          </w:rPr>
          <w:t>198</w:t>
        </w:r>
        <w:r w:rsidR="00E44868">
          <w:rPr>
            <w:noProof/>
            <w:webHidden/>
          </w:rPr>
          <w:fldChar w:fldCharType="end"/>
        </w:r>
      </w:hyperlink>
    </w:p>
    <w:p w14:paraId="3DF3F4CB" w14:textId="5EC74797"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97" w:history="1">
        <w:r w:rsidR="00E44868" w:rsidRPr="001143C6">
          <w:rPr>
            <w:rStyle w:val="Hipercze"/>
            <w:smallCaps/>
            <w:lang w:eastAsia="pl-PL"/>
          </w:rPr>
          <w:t>10.</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Zmniejszenie obciążeń administracyjnych dla beneficjentów</w:t>
        </w:r>
        <w:r w:rsidR="00E44868">
          <w:rPr>
            <w:webHidden/>
          </w:rPr>
          <w:tab/>
        </w:r>
        <w:r w:rsidR="00E44868">
          <w:rPr>
            <w:webHidden/>
          </w:rPr>
          <w:fldChar w:fldCharType="begin"/>
        </w:r>
        <w:r w:rsidR="00E44868">
          <w:rPr>
            <w:webHidden/>
          </w:rPr>
          <w:instrText xml:space="preserve"> PAGEREF _Toc83810597 \h </w:instrText>
        </w:r>
        <w:r w:rsidR="00E44868">
          <w:rPr>
            <w:webHidden/>
          </w:rPr>
        </w:r>
        <w:r w:rsidR="00E44868">
          <w:rPr>
            <w:webHidden/>
          </w:rPr>
          <w:fldChar w:fldCharType="separate"/>
        </w:r>
        <w:r w:rsidR="00CF61A9">
          <w:rPr>
            <w:webHidden/>
          </w:rPr>
          <w:t>204</w:t>
        </w:r>
        <w:r w:rsidR="00E44868">
          <w:rPr>
            <w:webHidden/>
          </w:rPr>
          <w:fldChar w:fldCharType="end"/>
        </w:r>
      </w:hyperlink>
    </w:p>
    <w:p w14:paraId="5302EBD5" w14:textId="1E124C24"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598" w:history="1">
        <w:r w:rsidR="00E44868" w:rsidRPr="001143C6">
          <w:rPr>
            <w:rStyle w:val="Hipercze"/>
            <w:smallCaps/>
            <w:spacing w:val="15"/>
            <w:lang w:eastAsia="pl-PL"/>
          </w:rPr>
          <w:t>11.</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Zasady horyzontalne</w:t>
        </w:r>
        <w:r w:rsidR="00E44868">
          <w:rPr>
            <w:webHidden/>
          </w:rPr>
          <w:tab/>
        </w:r>
        <w:r w:rsidR="00E44868">
          <w:rPr>
            <w:webHidden/>
          </w:rPr>
          <w:fldChar w:fldCharType="begin"/>
        </w:r>
        <w:r w:rsidR="00E44868">
          <w:rPr>
            <w:webHidden/>
          </w:rPr>
          <w:instrText xml:space="preserve"> PAGEREF _Toc83810598 \h </w:instrText>
        </w:r>
        <w:r w:rsidR="00E44868">
          <w:rPr>
            <w:webHidden/>
          </w:rPr>
        </w:r>
        <w:r w:rsidR="00E44868">
          <w:rPr>
            <w:webHidden/>
          </w:rPr>
          <w:fldChar w:fldCharType="separate"/>
        </w:r>
        <w:r w:rsidR="00CF61A9">
          <w:rPr>
            <w:webHidden/>
          </w:rPr>
          <w:t>207</w:t>
        </w:r>
        <w:r w:rsidR="00E44868">
          <w:rPr>
            <w:webHidden/>
          </w:rPr>
          <w:fldChar w:fldCharType="end"/>
        </w:r>
      </w:hyperlink>
    </w:p>
    <w:p w14:paraId="321E2D49" w14:textId="3EFFC437" w:rsidR="00E44868" w:rsidRDefault="00D5430D">
      <w:pPr>
        <w:pStyle w:val="Spistreci2"/>
        <w:rPr>
          <w:rFonts w:asciiTheme="minorHAnsi" w:eastAsiaTheme="minorEastAsia" w:hAnsiTheme="minorHAnsi" w:cstheme="minorBidi"/>
          <w:smallCaps w:val="0"/>
          <w:noProof/>
          <w:sz w:val="22"/>
          <w:szCs w:val="22"/>
          <w:lang w:eastAsia="pl-PL"/>
        </w:rPr>
      </w:pPr>
      <w:hyperlink w:anchor="_Toc83810599" w:history="1">
        <w:r w:rsidR="00E44868" w:rsidRPr="001143C6">
          <w:rPr>
            <w:rStyle w:val="Hipercze"/>
            <w:rFonts w:ascii="Arial" w:hAnsi="Arial"/>
            <w:noProof/>
            <w:spacing w:val="15"/>
            <w:lang w:eastAsia="pl-PL"/>
          </w:rPr>
          <w:t>11.1.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Zrównoważony rozwój</w:t>
        </w:r>
        <w:r w:rsidR="00E44868">
          <w:rPr>
            <w:noProof/>
            <w:webHidden/>
          </w:rPr>
          <w:tab/>
        </w:r>
        <w:r w:rsidR="00E44868">
          <w:rPr>
            <w:noProof/>
            <w:webHidden/>
          </w:rPr>
          <w:fldChar w:fldCharType="begin"/>
        </w:r>
        <w:r w:rsidR="00E44868">
          <w:rPr>
            <w:noProof/>
            <w:webHidden/>
          </w:rPr>
          <w:instrText xml:space="preserve"> PAGEREF _Toc83810599 \h </w:instrText>
        </w:r>
        <w:r w:rsidR="00E44868">
          <w:rPr>
            <w:noProof/>
            <w:webHidden/>
          </w:rPr>
        </w:r>
        <w:r w:rsidR="00E44868">
          <w:rPr>
            <w:noProof/>
            <w:webHidden/>
          </w:rPr>
          <w:fldChar w:fldCharType="separate"/>
        </w:r>
        <w:r w:rsidR="00CF61A9">
          <w:rPr>
            <w:noProof/>
            <w:webHidden/>
          </w:rPr>
          <w:t>207</w:t>
        </w:r>
        <w:r w:rsidR="00E44868">
          <w:rPr>
            <w:noProof/>
            <w:webHidden/>
          </w:rPr>
          <w:fldChar w:fldCharType="end"/>
        </w:r>
      </w:hyperlink>
    </w:p>
    <w:p w14:paraId="4ABC1A5E" w14:textId="7517423A" w:rsidR="00E44868" w:rsidRDefault="00D5430D">
      <w:pPr>
        <w:pStyle w:val="Spistreci2"/>
        <w:rPr>
          <w:rFonts w:asciiTheme="minorHAnsi" w:eastAsiaTheme="minorEastAsia" w:hAnsiTheme="minorHAnsi" w:cstheme="minorBidi"/>
          <w:smallCaps w:val="0"/>
          <w:noProof/>
          <w:sz w:val="22"/>
          <w:szCs w:val="22"/>
          <w:lang w:eastAsia="pl-PL"/>
        </w:rPr>
      </w:pPr>
      <w:hyperlink w:anchor="_Toc83810600" w:history="1">
        <w:r w:rsidR="00E44868" w:rsidRPr="001143C6">
          <w:rPr>
            <w:rStyle w:val="Hipercze"/>
            <w:rFonts w:ascii="Arial" w:hAnsi="Arial"/>
            <w:noProof/>
            <w:spacing w:val="15"/>
            <w:lang w:eastAsia="pl-PL"/>
          </w:rPr>
          <w:t>11.2.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równość szans i niedyskryminacja</w:t>
        </w:r>
        <w:r w:rsidR="00E44868">
          <w:rPr>
            <w:noProof/>
            <w:webHidden/>
          </w:rPr>
          <w:tab/>
        </w:r>
        <w:r w:rsidR="00E44868">
          <w:rPr>
            <w:noProof/>
            <w:webHidden/>
          </w:rPr>
          <w:fldChar w:fldCharType="begin"/>
        </w:r>
        <w:r w:rsidR="00E44868">
          <w:rPr>
            <w:noProof/>
            <w:webHidden/>
          </w:rPr>
          <w:instrText xml:space="preserve"> PAGEREF _Toc83810600 \h </w:instrText>
        </w:r>
        <w:r w:rsidR="00E44868">
          <w:rPr>
            <w:noProof/>
            <w:webHidden/>
          </w:rPr>
        </w:r>
        <w:r w:rsidR="00E44868">
          <w:rPr>
            <w:noProof/>
            <w:webHidden/>
          </w:rPr>
          <w:fldChar w:fldCharType="separate"/>
        </w:r>
        <w:r w:rsidR="00CF61A9">
          <w:rPr>
            <w:noProof/>
            <w:webHidden/>
          </w:rPr>
          <w:t>208</w:t>
        </w:r>
        <w:r w:rsidR="00E44868">
          <w:rPr>
            <w:noProof/>
            <w:webHidden/>
          </w:rPr>
          <w:fldChar w:fldCharType="end"/>
        </w:r>
      </w:hyperlink>
    </w:p>
    <w:p w14:paraId="2D4C619D" w14:textId="18549984" w:rsidR="00E44868" w:rsidRDefault="00D5430D">
      <w:pPr>
        <w:pStyle w:val="Spistreci2"/>
        <w:rPr>
          <w:rFonts w:asciiTheme="minorHAnsi" w:eastAsiaTheme="minorEastAsia" w:hAnsiTheme="minorHAnsi" w:cstheme="minorBidi"/>
          <w:smallCaps w:val="0"/>
          <w:noProof/>
          <w:sz w:val="22"/>
          <w:szCs w:val="22"/>
          <w:lang w:eastAsia="pl-PL"/>
        </w:rPr>
      </w:pPr>
      <w:hyperlink w:anchor="_Toc83810601" w:history="1">
        <w:r w:rsidR="00E44868" w:rsidRPr="001143C6">
          <w:rPr>
            <w:rStyle w:val="Hipercze"/>
            <w:rFonts w:ascii="Arial" w:hAnsi="Arial"/>
            <w:noProof/>
            <w:spacing w:val="15"/>
            <w:lang w:eastAsia="pl-PL"/>
          </w:rPr>
          <w:t>11.3.</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cs="Arial"/>
            <w:noProof/>
            <w:spacing w:val="4"/>
            <w:lang w:eastAsia="pl-PL"/>
          </w:rPr>
          <w:t>Równość mężczyzn i kobiet</w:t>
        </w:r>
        <w:r w:rsidR="00E44868">
          <w:rPr>
            <w:noProof/>
            <w:webHidden/>
          </w:rPr>
          <w:tab/>
        </w:r>
        <w:r w:rsidR="00E44868">
          <w:rPr>
            <w:noProof/>
            <w:webHidden/>
          </w:rPr>
          <w:fldChar w:fldCharType="begin"/>
        </w:r>
        <w:r w:rsidR="00E44868">
          <w:rPr>
            <w:noProof/>
            <w:webHidden/>
          </w:rPr>
          <w:instrText xml:space="preserve"> PAGEREF _Toc83810601 \h </w:instrText>
        </w:r>
        <w:r w:rsidR="00E44868">
          <w:rPr>
            <w:noProof/>
            <w:webHidden/>
          </w:rPr>
        </w:r>
        <w:r w:rsidR="00E44868">
          <w:rPr>
            <w:noProof/>
            <w:webHidden/>
          </w:rPr>
          <w:fldChar w:fldCharType="separate"/>
        </w:r>
        <w:r w:rsidR="00CF61A9">
          <w:rPr>
            <w:noProof/>
            <w:webHidden/>
          </w:rPr>
          <w:t>209</w:t>
        </w:r>
        <w:r w:rsidR="00E44868">
          <w:rPr>
            <w:noProof/>
            <w:webHidden/>
          </w:rPr>
          <w:fldChar w:fldCharType="end"/>
        </w:r>
      </w:hyperlink>
    </w:p>
    <w:p w14:paraId="6649993A" w14:textId="00922CE8" w:rsidR="00E44868" w:rsidRDefault="00D5430D">
      <w:pPr>
        <w:pStyle w:val="Spistreci1"/>
        <w:rPr>
          <w:rFonts w:asciiTheme="minorHAnsi" w:eastAsiaTheme="minorEastAsia" w:hAnsiTheme="minorHAnsi" w:cstheme="minorBidi"/>
          <w:b w:val="0"/>
          <w:bCs w:val="0"/>
          <w:caps w:val="0"/>
          <w:spacing w:val="0"/>
          <w:sz w:val="22"/>
          <w:szCs w:val="22"/>
          <w:lang w:eastAsia="pl-PL"/>
        </w:rPr>
      </w:pPr>
      <w:hyperlink w:anchor="_Toc83810602" w:history="1">
        <w:r w:rsidR="00E44868" w:rsidRPr="001143C6">
          <w:rPr>
            <w:rStyle w:val="Hipercze"/>
            <w:smallCaps/>
            <w:lang w:eastAsia="pl-PL"/>
          </w:rPr>
          <w:t>12.</w:t>
        </w:r>
        <w:r w:rsidR="00E44868">
          <w:rPr>
            <w:rFonts w:asciiTheme="minorHAnsi" w:eastAsiaTheme="minorEastAsia" w:hAnsiTheme="minorHAnsi" w:cstheme="minorBidi"/>
            <w:b w:val="0"/>
            <w:bCs w:val="0"/>
            <w:caps w:val="0"/>
            <w:spacing w:val="0"/>
            <w:sz w:val="22"/>
            <w:szCs w:val="22"/>
            <w:lang w:eastAsia="pl-PL"/>
          </w:rPr>
          <w:tab/>
        </w:r>
        <w:r w:rsidR="00E44868" w:rsidRPr="001143C6">
          <w:rPr>
            <w:rStyle w:val="Hipercze"/>
            <w:smallCaps/>
            <w:spacing w:val="15"/>
            <w:lang w:eastAsia="pl-PL"/>
          </w:rPr>
          <w:t>Załączniki</w:t>
        </w:r>
        <w:r w:rsidR="00E44868">
          <w:rPr>
            <w:webHidden/>
          </w:rPr>
          <w:tab/>
        </w:r>
        <w:r w:rsidR="00E44868">
          <w:rPr>
            <w:webHidden/>
          </w:rPr>
          <w:fldChar w:fldCharType="begin"/>
        </w:r>
        <w:r w:rsidR="00E44868">
          <w:rPr>
            <w:webHidden/>
          </w:rPr>
          <w:instrText xml:space="preserve"> PAGEREF _Toc83810602 \h </w:instrText>
        </w:r>
        <w:r w:rsidR="00E44868">
          <w:rPr>
            <w:webHidden/>
          </w:rPr>
        </w:r>
        <w:r w:rsidR="00E44868">
          <w:rPr>
            <w:webHidden/>
          </w:rPr>
          <w:fldChar w:fldCharType="separate"/>
        </w:r>
        <w:r w:rsidR="00CF61A9">
          <w:rPr>
            <w:webHidden/>
          </w:rPr>
          <w:t>210</w:t>
        </w:r>
        <w:r w:rsidR="00E44868">
          <w:rPr>
            <w:webHidden/>
          </w:rPr>
          <w:fldChar w:fldCharType="end"/>
        </w:r>
      </w:hyperlink>
    </w:p>
    <w:p w14:paraId="30883411" w14:textId="02D16C7E" w:rsidR="00E44868" w:rsidRDefault="00D5430D">
      <w:pPr>
        <w:pStyle w:val="Spistreci2"/>
        <w:rPr>
          <w:rFonts w:asciiTheme="minorHAnsi" w:eastAsiaTheme="minorEastAsia" w:hAnsiTheme="minorHAnsi" w:cstheme="minorBidi"/>
          <w:smallCaps w:val="0"/>
          <w:noProof/>
          <w:sz w:val="22"/>
          <w:szCs w:val="22"/>
          <w:lang w:eastAsia="pl-PL"/>
        </w:rPr>
      </w:pPr>
      <w:hyperlink w:anchor="_Toc83810603" w:history="1">
        <w:r w:rsidR="00E44868" w:rsidRPr="001143C6">
          <w:rPr>
            <w:rStyle w:val="Hipercze"/>
            <w:rFonts w:ascii="Arial" w:hAnsi="Arial"/>
            <w:noProof/>
            <w:spacing w:val="15"/>
            <w:lang w:eastAsia="pl-PL"/>
          </w:rPr>
          <w:t>12.1.</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eastAsia="pl-PL"/>
          </w:rPr>
          <w:t>Ramy wykonania</w:t>
        </w:r>
        <w:r w:rsidR="00E44868">
          <w:rPr>
            <w:noProof/>
            <w:webHidden/>
          </w:rPr>
          <w:tab/>
        </w:r>
        <w:r w:rsidR="00E44868">
          <w:rPr>
            <w:noProof/>
            <w:webHidden/>
          </w:rPr>
          <w:fldChar w:fldCharType="begin"/>
        </w:r>
        <w:r w:rsidR="00E44868">
          <w:rPr>
            <w:noProof/>
            <w:webHidden/>
          </w:rPr>
          <w:instrText xml:space="preserve"> PAGEREF _Toc83810603 \h </w:instrText>
        </w:r>
        <w:r w:rsidR="00E44868">
          <w:rPr>
            <w:noProof/>
            <w:webHidden/>
          </w:rPr>
        </w:r>
        <w:r w:rsidR="00E44868">
          <w:rPr>
            <w:noProof/>
            <w:webHidden/>
          </w:rPr>
          <w:fldChar w:fldCharType="separate"/>
        </w:r>
        <w:r w:rsidR="00CF61A9">
          <w:rPr>
            <w:noProof/>
            <w:webHidden/>
          </w:rPr>
          <w:t>210</w:t>
        </w:r>
        <w:r w:rsidR="00E44868">
          <w:rPr>
            <w:noProof/>
            <w:webHidden/>
          </w:rPr>
          <w:fldChar w:fldCharType="end"/>
        </w:r>
      </w:hyperlink>
    </w:p>
    <w:p w14:paraId="74423C86" w14:textId="373BD7B2" w:rsidR="00E44868" w:rsidRDefault="00D5430D">
      <w:pPr>
        <w:pStyle w:val="Spistreci2"/>
        <w:rPr>
          <w:rFonts w:asciiTheme="minorHAnsi" w:eastAsiaTheme="minorEastAsia" w:hAnsiTheme="minorHAnsi" w:cstheme="minorBidi"/>
          <w:smallCaps w:val="0"/>
          <w:noProof/>
          <w:sz w:val="22"/>
          <w:szCs w:val="22"/>
          <w:lang w:eastAsia="pl-PL"/>
        </w:rPr>
      </w:pPr>
      <w:hyperlink w:anchor="_Toc83810604" w:history="1">
        <w:r w:rsidR="00E44868" w:rsidRPr="001143C6">
          <w:rPr>
            <w:rStyle w:val="Hipercze"/>
            <w:rFonts w:ascii="Arial" w:hAnsi="Arial"/>
            <w:noProof/>
            <w:spacing w:val="15"/>
            <w:lang w:val="x-none" w:eastAsia="pl-PL"/>
          </w:rPr>
          <w:t>12.2.</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noProof/>
            <w:spacing w:val="15"/>
            <w:lang w:val="x-none" w:eastAsia="pl-PL"/>
          </w:rPr>
          <w:t>Wykaz dużych projektów</w:t>
        </w:r>
        <w:r w:rsidR="00E44868">
          <w:rPr>
            <w:noProof/>
            <w:webHidden/>
          </w:rPr>
          <w:tab/>
        </w:r>
        <w:r w:rsidR="00E44868">
          <w:rPr>
            <w:noProof/>
            <w:webHidden/>
          </w:rPr>
          <w:fldChar w:fldCharType="begin"/>
        </w:r>
        <w:r w:rsidR="00E44868">
          <w:rPr>
            <w:noProof/>
            <w:webHidden/>
          </w:rPr>
          <w:instrText xml:space="preserve"> PAGEREF _Toc83810604 \h </w:instrText>
        </w:r>
        <w:r w:rsidR="00E44868">
          <w:rPr>
            <w:noProof/>
            <w:webHidden/>
          </w:rPr>
        </w:r>
        <w:r w:rsidR="00E44868">
          <w:rPr>
            <w:noProof/>
            <w:webHidden/>
          </w:rPr>
          <w:fldChar w:fldCharType="separate"/>
        </w:r>
        <w:r w:rsidR="00CF61A9">
          <w:rPr>
            <w:noProof/>
            <w:webHidden/>
          </w:rPr>
          <w:t>210</w:t>
        </w:r>
        <w:r w:rsidR="00E44868">
          <w:rPr>
            <w:noProof/>
            <w:webHidden/>
          </w:rPr>
          <w:fldChar w:fldCharType="end"/>
        </w:r>
      </w:hyperlink>
    </w:p>
    <w:p w14:paraId="2C18E468" w14:textId="0DCE964D" w:rsidR="00E44868" w:rsidRDefault="00D5430D">
      <w:pPr>
        <w:pStyle w:val="Spistreci2"/>
        <w:rPr>
          <w:rFonts w:asciiTheme="minorHAnsi" w:eastAsiaTheme="minorEastAsia" w:hAnsiTheme="minorHAnsi" w:cstheme="minorBidi"/>
          <w:smallCaps w:val="0"/>
          <w:noProof/>
          <w:sz w:val="22"/>
          <w:szCs w:val="22"/>
          <w:lang w:eastAsia="pl-PL"/>
        </w:rPr>
      </w:pPr>
      <w:hyperlink w:anchor="_Toc83810605" w:history="1">
        <w:r w:rsidR="00E44868" w:rsidRPr="001143C6">
          <w:rPr>
            <w:rStyle w:val="Hipercze"/>
            <w:rFonts w:ascii="Arial" w:hAnsi="Arial"/>
            <w:noProof/>
            <w:spacing w:val="15"/>
            <w:lang w:eastAsia="pl-PL"/>
          </w:rPr>
          <w:t>12.3.</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cs="Arial"/>
            <w:noProof/>
            <w:spacing w:val="15"/>
            <w:lang w:eastAsia="pl-PL"/>
          </w:rPr>
          <w:t>L</w:t>
        </w:r>
        <w:r w:rsidR="00E44868" w:rsidRPr="001143C6">
          <w:rPr>
            <w:rStyle w:val="Hipercze"/>
            <w:rFonts w:ascii="Arial" w:hAnsi="Arial"/>
            <w:noProof/>
            <w:spacing w:val="15"/>
            <w:lang w:eastAsia="pl-PL"/>
          </w:rPr>
          <w:t>ista partnerów</w:t>
        </w:r>
        <w:r w:rsidR="00E44868">
          <w:rPr>
            <w:noProof/>
            <w:webHidden/>
          </w:rPr>
          <w:tab/>
        </w:r>
        <w:r w:rsidR="00E44868">
          <w:rPr>
            <w:noProof/>
            <w:webHidden/>
          </w:rPr>
          <w:fldChar w:fldCharType="begin"/>
        </w:r>
        <w:r w:rsidR="00E44868">
          <w:rPr>
            <w:noProof/>
            <w:webHidden/>
          </w:rPr>
          <w:instrText xml:space="preserve"> PAGEREF _Toc83810605 \h </w:instrText>
        </w:r>
        <w:r w:rsidR="00E44868">
          <w:rPr>
            <w:noProof/>
            <w:webHidden/>
          </w:rPr>
        </w:r>
        <w:r w:rsidR="00E44868">
          <w:rPr>
            <w:noProof/>
            <w:webHidden/>
          </w:rPr>
          <w:fldChar w:fldCharType="separate"/>
        </w:r>
        <w:r w:rsidR="00CF61A9">
          <w:rPr>
            <w:noProof/>
            <w:webHidden/>
          </w:rPr>
          <w:t>221</w:t>
        </w:r>
        <w:r w:rsidR="00E44868">
          <w:rPr>
            <w:noProof/>
            <w:webHidden/>
          </w:rPr>
          <w:fldChar w:fldCharType="end"/>
        </w:r>
      </w:hyperlink>
    </w:p>
    <w:p w14:paraId="51FF29D8" w14:textId="4968CFE7" w:rsidR="00E44868" w:rsidRDefault="00D5430D">
      <w:pPr>
        <w:pStyle w:val="Spistreci2"/>
        <w:rPr>
          <w:rFonts w:asciiTheme="minorHAnsi" w:eastAsiaTheme="minorEastAsia" w:hAnsiTheme="minorHAnsi" w:cstheme="minorBidi"/>
          <w:smallCaps w:val="0"/>
          <w:noProof/>
          <w:sz w:val="22"/>
          <w:szCs w:val="22"/>
          <w:lang w:eastAsia="pl-PL"/>
        </w:rPr>
      </w:pPr>
      <w:hyperlink w:anchor="_Toc83810606" w:history="1">
        <w:r w:rsidR="00E44868" w:rsidRPr="001143C6">
          <w:rPr>
            <w:rStyle w:val="Hipercze"/>
            <w:rFonts w:ascii="Arial" w:hAnsi="Arial" w:cs="Arial"/>
            <w:noProof/>
            <w:spacing w:val="15"/>
            <w:lang w:eastAsia="pl-PL"/>
          </w:rPr>
          <w:t>12.4.</w:t>
        </w:r>
        <w:r w:rsidR="00E44868">
          <w:rPr>
            <w:rFonts w:asciiTheme="minorHAnsi" w:eastAsiaTheme="minorEastAsia" w:hAnsiTheme="minorHAnsi" w:cstheme="minorBidi"/>
            <w:smallCaps w:val="0"/>
            <w:noProof/>
            <w:sz w:val="22"/>
            <w:szCs w:val="22"/>
            <w:lang w:eastAsia="pl-PL"/>
          </w:rPr>
          <w:tab/>
        </w:r>
        <w:r w:rsidR="00E44868" w:rsidRPr="001143C6">
          <w:rPr>
            <w:rStyle w:val="Hipercze"/>
            <w:rFonts w:ascii="Arial" w:hAnsi="Arial" w:cs="Arial"/>
            <w:noProof/>
            <w:spacing w:val="15"/>
            <w:lang w:eastAsia="pl-PL"/>
          </w:rPr>
          <w:t>Słowniczek skrótów</w:t>
        </w:r>
        <w:r w:rsidR="00E44868">
          <w:rPr>
            <w:noProof/>
            <w:webHidden/>
          </w:rPr>
          <w:tab/>
        </w:r>
        <w:r w:rsidR="00E44868">
          <w:rPr>
            <w:noProof/>
            <w:webHidden/>
          </w:rPr>
          <w:fldChar w:fldCharType="begin"/>
        </w:r>
        <w:r w:rsidR="00E44868">
          <w:rPr>
            <w:noProof/>
            <w:webHidden/>
          </w:rPr>
          <w:instrText xml:space="preserve"> PAGEREF _Toc83810606 \h </w:instrText>
        </w:r>
        <w:r w:rsidR="00E44868">
          <w:rPr>
            <w:noProof/>
            <w:webHidden/>
          </w:rPr>
        </w:r>
        <w:r w:rsidR="00E44868">
          <w:rPr>
            <w:noProof/>
            <w:webHidden/>
          </w:rPr>
          <w:fldChar w:fldCharType="separate"/>
        </w:r>
        <w:r w:rsidR="00CF61A9">
          <w:rPr>
            <w:noProof/>
            <w:webHidden/>
          </w:rPr>
          <w:t>222</w:t>
        </w:r>
        <w:r w:rsidR="00E44868">
          <w:rPr>
            <w:noProof/>
            <w:webHidden/>
          </w:rPr>
          <w:fldChar w:fldCharType="end"/>
        </w:r>
      </w:hyperlink>
    </w:p>
    <w:p w14:paraId="44F528EC" w14:textId="77777777" w:rsidR="004E3242" w:rsidRPr="004E3242" w:rsidRDefault="004E3242" w:rsidP="004E3242">
      <w:pPr>
        <w:spacing w:before="120" w:after="120" w:line="240" w:lineRule="auto"/>
        <w:jc w:val="both"/>
        <w:outlineLvl w:val="2"/>
        <w:rPr>
          <w:sz w:val="18"/>
          <w:szCs w:val="18"/>
        </w:rPr>
      </w:pPr>
      <w:r w:rsidRPr="004E3242">
        <w:rPr>
          <w:sz w:val="18"/>
          <w:szCs w:val="18"/>
        </w:rPr>
        <w:fldChar w:fldCharType="end"/>
      </w:r>
      <w:bookmarkStart w:id="0" w:name="_Toc369693028"/>
      <w:bookmarkStart w:id="1" w:name="_Toc369693206"/>
      <w:bookmarkStart w:id="2" w:name="_Toc369693759"/>
      <w:bookmarkStart w:id="3" w:name="_Toc369695446"/>
      <w:bookmarkStart w:id="4" w:name="_Toc369697204"/>
      <w:bookmarkStart w:id="5" w:name="_Toc369697437"/>
      <w:bookmarkStart w:id="6" w:name="_Toc369697513"/>
      <w:bookmarkStart w:id="7" w:name="_Toc369698103"/>
      <w:bookmarkStart w:id="8" w:name="_Toc369698397"/>
      <w:bookmarkStart w:id="9" w:name="_Toc369698563"/>
      <w:bookmarkStart w:id="10" w:name="_Toc369699075"/>
      <w:bookmarkStart w:id="11" w:name="_Toc369699700"/>
      <w:bookmarkStart w:id="12" w:name="_Toc369699768"/>
      <w:bookmarkStart w:id="13" w:name="_Toc364429813"/>
      <w:bookmarkStart w:id="14" w:name="_Toc364429874"/>
      <w:bookmarkStart w:id="15" w:name="_Toc364430068"/>
      <w:bookmarkStart w:id="16" w:name="_Toc364430510"/>
      <w:bookmarkStart w:id="17" w:name="_Toc364432234"/>
      <w:bookmarkStart w:id="18" w:name="_Toc364771825"/>
      <w:bookmarkStart w:id="19" w:name="_Toc364772029"/>
      <w:bookmarkStart w:id="20" w:name="_Toc364773460"/>
      <w:bookmarkStart w:id="21" w:name="_Toc364773528"/>
      <w:bookmarkStart w:id="22" w:name="_Toc364773788"/>
      <w:bookmarkStart w:id="23" w:name="_Toc364773969"/>
      <w:bookmarkStart w:id="24" w:name="_Toc364774113"/>
      <w:bookmarkStart w:id="25" w:name="_Toc364774268"/>
      <w:bookmarkStart w:id="26" w:name="_Toc364774653"/>
      <w:bookmarkStart w:id="27" w:name="_Toc364774720"/>
      <w:bookmarkStart w:id="28" w:name="_Toc364774788"/>
      <w:bookmarkStart w:id="29" w:name="_Toc364853277"/>
      <w:bookmarkStart w:id="30" w:name="_Toc364853411"/>
      <w:bookmarkStart w:id="31" w:name="_Toc364866342"/>
      <w:bookmarkStart w:id="32" w:name="_Toc365285644"/>
      <w:bookmarkStart w:id="33" w:name="_Toc365296670"/>
      <w:bookmarkStart w:id="34" w:name="_Toc364771826"/>
      <w:bookmarkStart w:id="35" w:name="_Toc364772030"/>
      <w:bookmarkStart w:id="36" w:name="_Toc364773461"/>
      <w:bookmarkStart w:id="37" w:name="_Toc364773529"/>
      <w:bookmarkStart w:id="38" w:name="_Toc364773789"/>
      <w:bookmarkStart w:id="39" w:name="_Toc364773970"/>
      <w:bookmarkStart w:id="40" w:name="_Toc364774114"/>
      <w:bookmarkStart w:id="41" w:name="_Toc364774269"/>
      <w:bookmarkStart w:id="42" w:name="_Toc364774654"/>
      <w:bookmarkStart w:id="43" w:name="_Toc364774721"/>
      <w:bookmarkStart w:id="44" w:name="_Toc364774789"/>
      <w:bookmarkStart w:id="45" w:name="_Toc364866343"/>
      <w:bookmarkStart w:id="46" w:name="_Toc365285645"/>
      <w:bookmarkStart w:id="47" w:name="_Toc364429814"/>
      <w:bookmarkStart w:id="48" w:name="_Toc364429875"/>
      <w:bookmarkStart w:id="49" w:name="_Toc364430069"/>
      <w:bookmarkStart w:id="50" w:name="_Toc364430511"/>
      <w:bookmarkStart w:id="51" w:name="_Toc364432235"/>
      <w:bookmarkStart w:id="52" w:name="_Toc364771827"/>
      <w:bookmarkStart w:id="53" w:name="_Toc364772031"/>
      <w:bookmarkStart w:id="54" w:name="_Toc364773462"/>
      <w:bookmarkStart w:id="55" w:name="_Toc364773530"/>
      <w:bookmarkStart w:id="56" w:name="_Toc364773790"/>
      <w:bookmarkStart w:id="57" w:name="_Toc364773971"/>
      <w:bookmarkStart w:id="58" w:name="_Toc364774115"/>
      <w:bookmarkStart w:id="59" w:name="_Toc364774270"/>
      <w:bookmarkStart w:id="60" w:name="_Toc364774655"/>
      <w:bookmarkStart w:id="61" w:name="_Toc364774722"/>
      <w:bookmarkStart w:id="62" w:name="_Toc364774790"/>
      <w:bookmarkStart w:id="63" w:name="_Toc364853278"/>
      <w:bookmarkStart w:id="64" w:name="_Toc364853412"/>
      <w:bookmarkStart w:id="65" w:name="_Toc364866344"/>
      <w:bookmarkStart w:id="66" w:name="_Toc365285646"/>
      <w:bookmarkStart w:id="67" w:name="_Toc365296671"/>
      <w:bookmarkStart w:id="68" w:name="_Toc364429815"/>
      <w:bookmarkStart w:id="69" w:name="_Toc364429876"/>
      <w:bookmarkStart w:id="70" w:name="_Toc364430070"/>
      <w:bookmarkStart w:id="71" w:name="_Toc364430512"/>
      <w:bookmarkStart w:id="72" w:name="_Toc364432236"/>
      <w:bookmarkStart w:id="73" w:name="_Toc364771828"/>
      <w:bookmarkStart w:id="74" w:name="_Toc364772032"/>
      <w:bookmarkStart w:id="75" w:name="_Toc364773463"/>
      <w:bookmarkStart w:id="76" w:name="_Toc364773531"/>
      <w:bookmarkStart w:id="77" w:name="_Toc364773791"/>
      <w:bookmarkStart w:id="78" w:name="_Toc364773972"/>
      <w:bookmarkStart w:id="79" w:name="_Toc364774116"/>
      <w:bookmarkStart w:id="80" w:name="_Toc364774271"/>
      <w:bookmarkStart w:id="81" w:name="_Toc364774656"/>
      <w:bookmarkStart w:id="82" w:name="_Toc364774723"/>
      <w:bookmarkStart w:id="83" w:name="_Toc364774791"/>
      <w:bookmarkStart w:id="84" w:name="_Toc364853279"/>
      <w:bookmarkStart w:id="85" w:name="_Toc364853413"/>
      <w:bookmarkStart w:id="86" w:name="_Toc364866345"/>
      <w:bookmarkStart w:id="87" w:name="_Toc365285647"/>
      <w:bookmarkStart w:id="88" w:name="_Toc365296672"/>
      <w:bookmarkStart w:id="89" w:name="_Toc364429816"/>
      <w:bookmarkStart w:id="90" w:name="_Toc364429877"/>
      <w:bookmarkStart w:id="91" w:name="_Toc364430071"/>
      <w:bookmarkStart w:id="92" w:name="_Toc364430513"/>
      <w:bookmarkStart w:id="93" w:name="_Toc364432237"/>
      <w:bookmarkStart w:id="94" w:name="_Toc364771829"/>
      <w:bookmarkStart w:id="95" w:name="_Toc364772033"/>
      <w:bookmarkStart w:id="96" w:name="_Toc364773464"/>
      <w:bookmarkStart w:id="97" w:name="_Toc364773532"/>
      <w:bookmarkStart w:id="98" w:name="_Toc364773792"/>
      <w:bookmarkStart w:id="99" w:name="_Toc364773973"/>
      <w:bookmarkStart w:id="100" w:name="_Toc364774117"/>
      <w:bookmarkStart w:id="101" w:name="_Toc364774272"/>
      <w:bookmarkStart w:id="102" w:name="_Toc364774657"/>
      <w:bookmarkStart w:id="103" w:name="_Toc364774724"/>
      <w:bookmarkStart w:id="104" w:name="_Toc364774792"/>
      <w:bookmarkStart w:id="105" w:name="_Toc364853280"/>
      <w:bookmarkStart w:id="106" w:name="_Toc364853414"/>
      <w:bookmarkStart w:id="107" w:name="_Toc364866346"/>
      <w:bookmarkStart w:id="108" w:name="_Toc365285648"/>
      <w:bookmarkStart w:id="109" w:name="_Toc365296673"/>
      <w:bookmarkStart w:id="110" w:name="_Toc364429817"/>
      <w:bookmarkStart w:id="111" w:name="_Toc364429878"/>
      <w:bookmarkStart w:id="112" w:name="_Toc364430072"/>
      <w:bookmarkStart w:id="113" w:name="_Toc364430514"/>
      <w:bookmarkStart w:id="114" w:name="_Toc364432238"/>
      <w:bookmarkStart w:id="115" w:name="_Toc364771830"/>
      <w:bookmarkStart w:id="116" w:name="_Toc364772034"/>
      <w:bookmarkStart w:id="117" w:name="_Toc364773465"/>
      <w:bookmarkStart w:id="118" w:name="_Toc364773533"/>
      <w:bookmarkStart w:id="119" w:name="_Toc364773793"/>
      <w:bookmarkStart w:id="120" w:name="_Toc364773974"/>
      <w:bookmarkStart w:id="121" w:name="_Toc364774118"/>
      <w:bookmarkStart w:id="122" w:name="_Toc364774273"/>
      <w:bookmarkStart w:id="123" w:name="_Toc364774658"/>
      <w:bookmarkStart w:id="124" w:name="_Toc364774725"/>
      <w:bookmarkStart w:id="125" w:name="_Toc364774793"/>
      <w:bookmarkStart w:id="126" w:name="_Toc364853281"/>
      <w:bookmarkStart w:id="127" w:name="_Toc364853415"/>
      <w:bookmarkStart w:id="128" w:name="_Toc364866347"/>
      <w:bookmarkStart w:id="129" w:name="_Toc365285649"/>
      <w:bookmarkStart w:id="130" w:name="_Toc365296674"/>
      <w:bookmarkStart w:id="131" w:name="_Toc364429818"/>
      <w:bookmarkStart w:id="132" w:name="_Toc364429879"/>
      <w:bookmarkStart w:id="133" w:name="_Toc364430073"/>
      <w:bookmarkStart w:id="134" w:name="_Toc364430515"/>
      <w:bookmarkStart w:id="135" w:name="_Toc364432239"/>
      <w:bookmarkStart w:id="136" w:name="_Toc364771831"/>
      <w:bookmarkStart w:id="137" w:name="_Toc364772035"/>
      <w:bookmarkStart w:id="138" w:name="_Toc364773466"/>
      <w:bookmarkStart w:id="139" w:name="_Toc364773534"/>
      <w:bookmarkStart w:id="140" w:name="_Toc364773794"/>
      <w:bookmarkStart w:id="141" w:name="_Toc364773975"/>
      <w:bookmarkStart w:id="142" w:name="_Toc364774119"/>
      <w:bookmarkStart w:id="143" w:name="_Toc364774274"/>
      <w:bookmarkStart w:id="144" w:name="_Toc364774659"/>
      <w:bookmarkStart w:id="145" w:name="_Toc364774726"/>
      <w:bookmarkStart w:id="146" w:name="_Toc364774794"/>
      <w:bookmarkStart w:id="147" w:name="_Toc364853282"/>
      <w:bookmarkStart w:id="148" w:name="_Toc364853416"/>
      <w:bookmarkStart w:id="149" w:name="_Toc364866348"/>
      <w:bookmarkStart w:id="150" w:name="_Toc365285650"/>
      <w:bookmarkStart w:id="151" w:name="_Toc365296675"/>
      <w:bookmarkStart w:id="152" w:name="_Toc364429819"/>
      <w:bookmarkStart w:id="153" w:name="_Toc364429880"/>
      <w:bookmarkStart w:id="154" w:name="_Toc364430074"/>
      <w:bookmarkStart w:id="155" w:name="_Toc364430516"/>
      <w:bookmarkStart w:id="156" w:name="_Toc364432240"/>
      <w:bookmarkStart w:id="157" w:name="_Toc364771832"/>
      <w:bookmarkStart w:id="158" w:name="_Toc364772036"/>
      <w:bookmarkStart w:id="159" w:name="_Toc364773467"/>
      <w:bookmarkStart w:id="160" w:name="_Toc364773535"/>
      <w:bookmarkStart w:id="161" w:name="_Toc364773795"/>
      <w:bookmarkStart w:id="162" w:name="_Toc364773976"/>
      <w:bookmarkStart w:id="163" w:name="_Toc364774120"/>
      <w:bookmarkStart w:id="164" w:name="_Toc364774275"/>
      <w:bookmarkStart w:id="165" w:name="_Toc364774660"/>
      <w:bookmarkStart w:id="166" w:name="_Toc364774727"/>
      <w:bookmarkStart w:id="167" w:name="_Toc364774795"/>
      <w:bookmarkStart w:id="168" w:name="_Toc364853283"/>
      <w:bookmarkStart w:id="169" w:name="_Toc364853417"/>
      <w:bookmarkStart w:id="170" w:name="_Toc364866349"/>
      <w:bookmarkStart w:id="171" w:name="_Toc365285651"/>
      <w:bookmarkStart w:id="172" w:name="_Toc365296676"/>
      <w:bookmarkStart w:id="173" w:name="_Toc364429820"/>
      <w:bookmarkStart w:id="174" w:name="_Toc364429881"/>
      <w:bookmarkStart w:id="175" w:name="_Toc364430075"/>
      <w:bookmarkStart w:id="176" w:name="_Toc364430517"/>
      <w:bookmarkStart w:id="177" w:name="_Toc364432241"/>
      <w:bookmarkStart w:id="178" w:name="_Toc364771833"/>
      <w:bookmarkStart w:id="179" w:name="_Toc364772037"/>
      <w:bookmarkStart w:id="180" w:name="_Toc364773468"/>
      <w:bookmarkStart w:id="181" w:name="_Toc364773536"/>
      <w:bookmarkStart w:id="182" w:name="_Toc364773796"/>
      <w:bookmarkStart w:id="183" w:name="_Toc364773977"/>
      <w:bookmarkStart w:id="184" w:name="_Toc364774121"/>
      <w:bookmarkStart w:id="185" w:name="_Toc364774276"/>
      <w:bookmarkStart w:id="186" w:name="_Toc364774661"/>
      <w:bookmarkStart w:id="187" w:name="_Toc364774728"/>
      <w:bookmarkStart w:id="188" w:name="_Toc364774796"/>
      <w:bookmarkStart w:id="189" w:name="_Toc364853284"/>
      <w:bookmarkStart w:id="190" w:name="_Toc364853418"/>
      <w:bookmarkStart w:id="191" w:name="_Toc364866350"/>
      <w:bookmarkStart w:id="192" w:name="_Toc365285652"/>
      <w:bookmarkStart w:id="193" w:name="_Toc365296677"/>
      <w:bookmarkStart w:id="194" w:name="_Toc355864724"/>
      <w:bookmarkStart w:id="195" w:name="_Toc3558665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C2FBD54" w14:textId="77777777" w:rsidR="004E3242" w:rsidRDefault="004E3242" w:rsidP="004E3242">
      <w:pPr>
        <w:spacing w:before="120" w:after="120" w:line="240" w:lineRule="auto"/>
        <w:jc w:val="both"/>
        <w:outlineLvl w:val="2"/>
        <w:rPr>
          <w:rFonts w:ascii="Arial" w:hAnsi="Arial" w:cs="Arial"/>
          <w:b/>
          <w:spacing w:val="4"/>
          <w:sz w:val="18"/>
          <w:szCs w:val="18"/>
        </w:rPr>
      </w:pPr>
    </w:p>
    <w:p w14:paraId="1E7EFFF5" w14:textId="77777777" w:rsidR="001D108D" w:rsidRDefault="001D108D" w:rsidP="004E3242">
      <w:pPr>
        <w:spacing w:before="120" w:after="120" w:line="240" w:lineRule="auto"/>
        <w:jc w:val="both"/>
        <w:outlineLvl w:val="2"/>
        <w:rPr>
          <w:rFonts w:ascii="Arial" w:hAnsi="Arial" w:cs="Arial"/>
          <w:b/>
          <w:spacing w:val="4"/>
          <w:sz w:val="18"/>
          <w:szCs w:val="18"/>
        </w:rPr>
      </w:pPr>
    </w:p>
    <w:p w14:paraId="092E1593" w14:textId="77777777" w:rsidR="001D108D" w:rsidRDefault="001D108D" w:rsidP="004E3242">
      <w:pPr>
        <w:spacing w:before="120" w:after="120" w:line="240" w:lineRule="auto"/>
        <w:jc w:val="both"/>
        <w:outlineLvl w:val="2"/>
        <w:rPr>
          <w:rFonts w:ascii="Arial" w:hAnsi="Arial" w:cs="Arial"/>
          <w:b/>
          <w:spacing w:val="4"/>
          <w:sz w:val="18"/>
          <w:szCs w:val="18"/>
        </w:rPr>
      </w:pPr>
    </w:p>
    <w:p w14:paraId="47FE6B63" w14:textId="77777777" w:rsidR="001D108D" w:rsidRDefault="001D108D" w:rsidP="004E3242">
      <w:pPr>
        <w:spacing w:before="120" w:after="120" w:line="240" w:lineRule="auto"/>
        <w:jc w:val="both"/>
        <w:outlineLvl w:val="2"/>
        <w:rPr>
          <w:rFonts w:ascii="Arial" w:hAnsi="Arial" w:cs="Arial"/>
          <w:b/>
          <w:spacing w:val="4"/>
          <w:sz w:val="18"/>
          <w:szCs w:val="18"/>
        </w:rPr>
      </w:pPr>
    </w:p>
    <w:p w14:paraId="066A9DA5" w14:textId="77777777" w:rsidR="001D108D" w:rsidRDefault="001D108D" w:rsidP="004E3242">
      <w:pPr>
        <w:spacing w:before="120" w:after="120" w:line="240" w:lineRule="auto"/>
        <w:jc w:val="both"/>
        <w:outlineLvl w:val="2"/>
        <w:rPr>
          <w:rFonts w:ascii="Arial" w:hAnsi="Arial" w:cs="Arial"/>
          <w:b/>
          <w:spacing w:val="4"/>
          <w:sz w:val="18"/>
          <w:szCs w:val="18"/>
        </w:rPr>
      </w:pPr>
    </w:p>
    <w:p w14:paraId="432E6CE7" w14:textId="77777777" w:rsidR="001D108D" w:rsidRDefault="001D108D" w:rsidP="004E3242">
      <w:pPr>
        <w:spacing w:before="120" w:after="120" w:line="240" w:lineRule="auto"/>
        <w:jc w:val="both"/>
        <w:outlineLvl w:val="2"/>
        <w:rPr>
          <w:rFonts w:ascii="Arial" w:hAnsi="Arial" w:cs="Arial"/>
          <w:b/>
          <w:spacing w:val="4"/>
          <w:sz w:val="18"/>
          <w:szCs w:val="18"/>
        </w:rPr>
      </w:pPr>
    </w:p>
    <w:p w14:paraId="6714A8F7" w14:textId="77777777" w:rsidR="001D108D" w:rsidRDefault="001D108D" w:rsidP="004E3242">
      <w:pPr>
        <w:spacing w:before="120" w:after="120" w:line="240" w:lineRule="auto"/>
        <w:jc w:val="both"/>
        <w:outlineLvl w:val="2"/>
        <w:rPr>
          <w:rFonts w:ascii="Arial" w:hAnsi="Arial" w:cs="Arial"/>
          <w:b/>
          <w:spacing w:val="4"/>
          <w:sz w:val="18"/>
          <w:szCs w:val="18"/>
        </w:rPr>
      </w:pPr>
    </w:p>
    <w:p w14:paraId="1EA2FDC6" w14:textId="77777777" w:rsidR="001D108D" w:rsidRDefault="001D108D" w:rsidP="004E3242">
      <w:pPr>
        <w:spacing w:before="120" w:after="120" w:line="240" w:lineRule="auto"/>
        <w:jc w:val="both"/>
        <w:outlineLvl w:val="2"/>
        <w:rPr>
          <w:rFonts w:ascii="Arial" w:hAnsi="Arial" w:cs="Arial"/>
          <w:b/>
          <w:spacing w:val="4"/>
          <w:sz w:val="18"/>
          <w:szCs w:val="18"/>
        </w:rPr>
      </w:pPr>
    </w:p>
    <w:p w14:paraId="6DEE59F0" w14:textId="77777777" w:rsidR="001D108D" w:rsidRDefault="001D108D" w:rsidP="004E3242">
      <w:pPr>
        <w:spacing w:before="120" w:after="120" w:line="240" w:lineRule="auto"/>
        <w:jc w:val="both"/>
        <w:outlineLvl w:val="2"/>
        <w:rPr>
          <w:rFonts w:ascii="Arial" w:hAnsi="Arial" w:cs="Arial"/>
          <w:b/>
          <w:spacing w:val="4"/>
          <w:sz w:val="18"/>
          <w:szCs w:val="18"/>
        </w:rPr>
      </w:pPr>
    </w:p>
    <w:p w14:paraId="6BFD3130" w14:textId="77777777" w:rsidR="001D108D" w:rsidRDefault="001D108D" w:rsidP="004E3242">
      <w:pPr>
        <w:spacing w:before="120" w:after="120" w:line="240" w:lineRule="auto"/>
        <w:jc w:val="both"/>
        <w:outlineLvl w:val="2"/>
        <w:rPr>
          <w:rFonts w:ascii="Arial" w:hAnsi="Arial" w:cs="Arial"/>
          <w:b/>
          <w:spacing w:val="4"/>
          <w:sz w:val="18"/>
          <w:szCs w:val="18"/>
        </w:rPr>
      </w:pPr>
    </w:p>
    <w:p w14:paraId="6B54F8F1" w14:textId="77777777" w:rsidR="001D108D" w:rsidRDefault="001D108D" w:rsidP="004E3242">
      <w:pPr>
        <w:spacing w:before="120" w:after="120" w:line="240" w:lineRule="auto"/>
        <w:jc w:val="both"/>
        <w:outlineLvl w:val="2"/>
        <w:rPr>
          <w:rFonts w:ascii="Arial" w:hAnsi="Arial" w:cs="Arial"/>
          <w:b/>
          <w:spacing w:val="4"/>
          <w:sz w:val="18"/>
          <w:szCs w:val="18"/>
        </w:rPr>
      </w:pPr>
    </w:p>
    <w:p w14:paraId="35DF3528" w14:textId="77777777" w:rsidR="001D108D" w:rsidRDefault="001D108D" w:rsidP="004E3242">
      <w:pPr>
        <w:spacing w:before="120" w:after="120" w:line="240" w:lineRule="auto"/>
        <w:jc w:val="both"/>
        <w:outlineLvl w:val="2"/>
        <w:rPr>
          <w:rFonts w:ascii="Arial" w:hAnsi="Arial" w:cs="Arial"/>
          <w:b/>
          <w:spacing w:val="4"/>
          <w:sz w:val="18"/>
          <w:szCs w:val="18"/>
        </w:rPr>
      </w:pPr>
    </w:p>
    <w:p w14:paraId="4F06FFE5" w14:textId="77777777" w:rsidR="001D108D" w:rsidRDefault="001D108D" w:rsidP="004E3242">
      <w:pPr>
        <w:spacing w:before="120" w:after="120" w:line="240" w:lineRule="auto"/>
        <w:jc w:val="both"/>
        <w:outlineLvl w:val="2"/>
        <w:rPr>
          <w:rFonts w:ascii="Arial" w:hAnsi="Arial" w:cs="Arial"/>
          <w:b/>
          <w:spacing w:val="4"/>
          <w:sz w:val="18"/>
          <w:szCs w:val="18"/>
        </w:rPr>
      </w:pPr>
    </w:p>
    <w:p w14:paraId="5A93CF27" w14:textId="77777777" w:rsidR="001D108D" w:rsidRDefault="001D108D" w:rsidP="004E3242">
      <w:pPr>
        <w:spacing w:before="120" w:after="120" w:line="240" w:lineRule="auto"/>
        <w:jc w:val="both"/>
        <w:outlineLvl w:val="2"/>
        <w:rPr>
          <w:rFonts w:ascii="Arial" w:hAnsi="Arial" w:cs="Arial"/>
          <w:b/>
          <w:spacing w:val="4"/>
          <w:sz w:val="18"/>
          <w:szCs w:val="18"/>
        </w:rPr>
      </w:pPr>
    </w:p>
    <w:p w14:paraId="737EF8A3" w14:textId="77777777" w:rsidR="001D108D" w:rsidRDefault="001D108D" w:rsidP="004E3242">
      <w:pPr>
        <w:spacing w:before="120" w:after="120" w:line="240" w:lineRule="auto"/>
        <w:jc w:val="both"/>
        <w:outlineLvl w:val="2"/>
        <w:rPr>
          <w:rFonts w:ascii="Arial" w:hAnsi="Arial" w:cs="Arial"/>
          <w:b/>
          <w:spacing w:val="4"/>
          <w:sz w:val="18"/>
          <w:szCs w:val="18"/>
        </w:rPr>
      </w:pPr>
    </w:p>
    <w:p w14:paraId="69156D83" w14:textId="77777777" w:rsidR="001D108D" w:rsidRDefault="001D108D" w:rsidP="004E3242">
      <w:pPr>
        <w:spacing w:before="120" w:after="120" w:line="240" w:lineRule="auto"/>
        <w:jc w:val="both"/>
        <w:outlineLvl w:val="2"/>
        <w:rPr>
          <w:rFonts w:ascii="Arial" w:hAnsi="Arial" w:cs="Arial"/>
          <w:b/>
          <w:spacing w:val="4"/>
          <w:sz w:val="18"/>
          <w:szCs w:val="18"/>
        </w:rPr>
      </w:pPr>
    </w:p>
    <w:p w14:paraId="761734CB" w14:textId="77777777" w:rsidR="001D108D" w:rsidRDefault="001D108D" w:rsidP="004E3242">
      <w:pPr>
        <w:spacing w:before="120" w:after="120" w:line="240" w:lineRule="auto"/>
        <w:jc w:val="both"/>
        <w:outlineLvl w:val="2"/>
        <w:rPr>
          <w:rFonts w:ascii="Arial" w:hAnsi="Arial" w:cs="Arial"/>
          <w:b/>
          <w:spacing w:val="4"/>
          <w:sz w:val="18"/>
          <w:szCs w:val="18"/>
        </w:rPr>
      </w:pPr>
    </w:p>
    <w:p w14:paraId="735159C3" w14:textId="77777777" w:rsidR="001D108D" w:rsidRDefault="001D108D" w:rsidP="004E3242">
      <w:pPr>
        <w:spacing w:before="120" w:after="120" w:line="240" w:lineRule="auto"/>
        <w:jc w:val="both"/>
        <w:outlineLvl w:val="2"/>
        <w:rPr>
          <w:rFonts w:ascii="Arial" w:hAnsi="Arial" w:cs="Arial"/>
          <w:b/>
          <w:spacing w:val="4"/>
          <w:sz w:val="18"/>
          <w:szCs w:val="18"/>
        </w:rPr>
      </w:pPr>
    </w:p>
    <w:p w14:paraId="12ED7E29" w14:textId="77777777" w:rsidR="001D108D" w:rsidRDefault="001D108D" w:rsidP="004E3242">
      <w:pPr>
        <w:spacing w:before="120" w:after="120" w:line="240" w:lineRule="auto"/>
        <w:jc w:val="both"/>
        <w:outlineLvl w:val="2"/>
        <w:rPr>
          <w:rFonts w:ascii="Arial" w:hAnsi="Arial" w:cs="Arial"/>
          <w:b/>
          <w:spacing w:val="4"/>
          <w:sz w:val="18"/>
          <w:szCs w:val="18"/>
        </w:rPr>
      </w:pPr>
    </w:p>
    <w:p w14:paraId="3C0DA929" w14:textId="77777777" w:rsidR="001D108D" w:rsidRDefault="001D108D" w:rsidP="004E3242">
      <w:pPr>
        <w:spacing w:before="120" w:after="120" w:line="240" w:lineRule="auto"/>
        <w:jc w:val="both"/>
        <w:outlineLvl w:val="2"/>
        <w:rPr>
          <w:rFonts w:ascii="Arial" w:hAnsi="Arial" w:cs="Arial"/>
          <w:b/>
          <w:spacing w:val="4"/>
          <w:sz w:val="18"/>
          <w:szCs w:val="18"/>
        </w:rPr>
      </w:pPr>
    </w:p>
    <w:p w14:paraId="731F618F" w14:textId="77777777" w:rsidR="001D108D" w:rsidRDefault="001D108D" w:rsidP="004E3242">
      <w:pPr>
        <w:spacing w:before="120" w:after="120" w:line="240" w:lineRule="auto"/>
        <w:jc w:val="both"/>
        <w:outlineLvl w:val="2"/>
        <w:rPr>
          <w:rFonts w:ascii="Arial" w:hAnsi="Arial" w:cs="Arial"/>
          <w:b/>
          <w:spacing w:val="4"/>
          <w:sz w:val="18"/>
          <w:szCs w:val="18"/>
        </w:rPr>
      </w:pPr>
    </w:p>
    <w:p w14:paraId="15EE98B9" w14:textId="77777777" w:rsidR="001D108D" w:rsidRDefault="001D108D" w:rsidP="004E3242">
      <w:pPr>
        <w:spacing w:before="120" w:after="120" w:line="240" w:lineRule="auto"/>
        <w:jc w:val="both"/>
        <w:outlineLvl w:val="2"/>
        <w:rPr>
          <w:rFonts w:ascii="Arial" w:hAnsi="Arial" w:cs="Arial"/>
          <w:b/>
          <w:spacing w:val="4"/>
          <w:sz w:val="18"/>
          <w:szCs w:val="18"/>
        </w:rPr>
      </w:pPr>
    </w:p>
    <w:p w14:paraId="7D65A8BA" w14:textId="77777777" w:rsidR="001D108D" w:rsidRDefault="001D108D" w:rsidP="004E3242">
      <w:pPr>
        <w:spacing w:before="120" w:after="120" w:line="240" w:lineRule="auto"/>
        <w:jc w:val="both"/>
        <w:outlineLvl w:val="2"/>
        <w:rPr>
          <w:rFonts w:ascii="Arial" w:hAnsi="Arial" w:cs="Arial"/>
          <w:b/>
          <w:spacing w:val="4"/>
          <w:sz w:val="18"/>
          <w:szCs w:val="18"/>
        </w:rPr>
      </w:pPr>
    </w:p>
    <w:p w14:paraId="4006D843" w14:textId="77777777" w:rsidR="001D108D" w:rsidRDefault="001D108D" w:rsidP="004E3242">
      <w:pPr>
        <w:spacing w:before="120" w:after="120" w:line="240" w:lineRule="auto"/>
        <w:jc w:val="both"/>
        <w:outlineLvl w:val="2"/>
        <w:rPr>
          <w:rFonts w:ascii="Arial" w:hAnsi="Arial" w:cs="Arial"/>
          <w:b/>
          <w:spacing w:val="4"/>
          <w:sz w:val="18"/>
          <w:szCs w:val="18"/>
        </w:rPr>
      </w:pPr>
    </w:p>
    <w:p w14:paraId="61A3635F" w14:textId="77777777" w:rsidR="001D108D" w:rsidRDefault="001D108D" w:rsidP="004E3242">
      <w:pPr>
        <w:spacing w:before="120" w:after="120" w:line="240" w:lineRule="auto"/>
        <w:jc w:val="both"/>
        <w:outlineLvl w:val="2"/>
        <w:rPr>
          <w:rFonts w:ascii="Arial" w:hAnsi="Arial" w:cs="Arial"/>
          <w:b/>
          <w:spacing w:val="4"/>
          <w:sz w:val="18"/>
          <w:szCs w:val="18"/>
        </w:rPr>
      </w:pPr>
    </w:p>
    <w:p w14:paraId="542815F7" w14:textId="77777777" w:rsidR="001D108D" w:rsidRDefault="001D108D" w:rsidP="004E3242">
      <w:pPr>
        <w:spacing w:before="120" w:after="120" w:line="240" w:lineRule="auto"/>
        <w:jc w:val="both"/>
        <w:outlineLvl w:val="2"/>
        <w:rPr>
          <w:rFonts w:ascii="Arial" w:hAnsi="Arial" w:cs="Arial"/>
          <w:b/>
          <w:spacing w:val="4"/>
          <w:sz w:val="18"/>
          <w:szCs w:val="18"/>
        </w:rPr>
      </w:pPr>
    </w:p>
    <w:p w14:paraId="20DF987F" w14:textId="77777777" w:rsidR="001D108D" w:rsidRDefault="001D108D" w:rsidP="004E3242">
      <w:pPr>
        <w:spacing w:before="120" w:after="120" w:line="240" w:lineRule="auto"/>
        <w:jc w:val="both"/>
        <w:outlineLvl w:val="2"/>
        <w:rPr>
          <w:rFonts w:ascii="Arial" w:hAnsi="Arial" w:cs="Arial"/>
          <w:b/>
          <w:spacing w:val="4"/>
          <w:sz w:val="18"/>
          <w:szCs w:val="18"/>
        </w:rPr>
      </w:pPr>
    </w:p>
    <w:p w14:paraId="3CEA0BF7" w14:textId="77777777" w:rsidR="001D108D" w:rsidRDefault="001D108D" w:rsidP="004E3242">
      <w:pPr>
        <w:spacing w:before="120" w:after="120" w:line="240" w:lineRule="auto"/>
        <w:jc w:val="both"/>
        <w:outlineLvl w:val="2"/>
        <w:rPr>
          <w:rFonts w:ascii="Arial" w:hAnsi="Arial" w:cs="Arial"/>
          <w:b/>
          <w:spacing w:val="4"/>
          <w:sz w:val="18"/>
          <w:szCs w:val="18"/>
        </w:rPr>
      </w:pPr>
    </w:p>
    <w:p w14:paraId="79D9D5AC" w14:textId="77777777" w:rsidR="001D108D" w:rsidRDefault="001D108D" w:rsidP="004E3242">
      <w:pPr>
        <w:spacing w:before="120" w:after="120" w:line="240" w:lineRule="auto"/>
        <w:jc w:val="both"/>
        <w:outlineLvl w:val="2"/>
        <w:rPr>
          <w:rFonts w:ascii="Arial" w:hAnsi="Arial" w:cs="Arial"/>
          <w:b/>
          <w:spacing w:val="4"/>
          <w:sz w:val="18"/>
          <w:szCs w:val="18"/>
        </w:rPr>
      </w:pPr>
    </w:p>
    <w:p w14:paraId="34E72A9C" w14:textId="77777777" w:rsidR="001D108D" w:rsidRDefault="001D108D" w:rsidP="004E3242">
      <w:pPr>
        <w:spacing w:before="120" w:after="120" w:line="240" w:lineRule="auto"/>
        <w:jc w:val="both"/>
        <w:outlineLvl w:val="2"/>
        <w:rPr>
          <w:rFonts w:ascii="Arial" w:hAnsi="Arial" w:cs="Arial"/>
          <w:b/>
          <w:spacing w:val="4"/>
          <w:sz w:val="18"/>
          <w:szCs w:val="18"/>
        </w:rPr>
      </w:pPr>
    </w:p>
    <w:p w14:paraId="235A77B8" w14:textId="77777777" w:rsidR="001D108D" w:rsidRDefault="001D108D" w:rsidP="004E3242">
      <w:pPr>
        <w:spacing w:before="120" w:after="120" w:line="240" w:lineRule="auto"/>
        <w:jc w:val="both"/>
        <w:outlineLvl w:val="2"/>
        <w:rPr>
          <w:rFonts w:ascii="Arial" w:hAnsi="Arial" w:cs="Arial"/>
          <w:b/>
          <w:spacing w:val="4"/>
          <w:sz w:val="18"/>
          <w:szCs w:val="18"/>
        </w:rPr>
      </w:pPr>
    </w:p>
    <w:p w14:paraId="60AF8789" w14:textId="77777777" w:rsidR="001D108D" w:rsidRDefault="001D108D" w:rsidP="004E3242">
      <w:pPr>
        <w:spacing w:before="120" w:after="120" w:line="240" w:lineRule="auto"/>
        <w:jc w:val="both"/>
        <w:outlineLvl w:val="2"/>
        <w:rPr>
          <w:rFonts w:ascii="Arial" w:hAnsi="Arial" w:cs="Arial"/>
          <w:b/>
          <w:spacing w:val="4"/>
          <w:sz w:val="18"/>
          <w:szCs w:val="18"/>
        </w:rPr>
      </w:pPr>
    </w:p>
    <w:p w14:paraId="48EF8DBA" w14:textId="77777777" w:rsidR="001D108D" w:rsidRDefault="001D108D" w:rsidP="004E3242">
      <w:pPr>
        <w:spacing w:before="120" w:after="120" w:line="240" w:lineRule="auto"/>
        <w:jc w:val="both"/>
        <w:outlineLvl w:val="2"/>
        <w:rPr>
          <w:rFonts w:ascii="Arial" w:hAnsi="Arial" w:cs="Arial"/>
          <w:b/>
          <w:spacing w:val="4"/>
          <w:sz w:val="18"/>
          <w:szCs w:val="18"/>
        </w:rPr>
      </w:pPr>
    </w:p>
    <w:p w14:paraId="291CF52F" w14:textId="77777777" w:rsidR="001D108D" w:rsidRDefault="001D108D" w:rsidP="004E3242">
      <w:pPr>
        <w:spacing w:before="120" w:after="120" w:line="240" w:lineRule="auto"/>
        <w:jc w:val="both"/>
        <w:outlineLvl w:val="2"/>
        <w:rPr>
          <w:rFonts w:ascii="Arial" w:hAnsi="Arial" w:cs="Arial"/>
          <w:b/>
          <w:spacing w:val="4"/>
          <w:sz w:val="18"/>
          <w:szCs w:val="18"/>
        </w:rPr>
      </w:pPr>
    </w:p>
    <w:p w14:paraId="56F6D308" w14:textId="77777777" w:rsidR="001D108D" w:rsidRDefault="001D108D" w:rsidP="004E3242">
      <w:pPr>
        <w:spacing w:before="120" w:after="120" w:line="240" w:lineRule="auto"/>
        <w:jc w:val="both"/>
        <w:outlineLvl w:val="2"/>
        <w:rPr>
          <w:rFonts w:ascii="Arial" w:hAnsi="Arial" w:cs="Arial"/>
          <w:b/>
          <w:spacing w:val="4"/>
          <w:sz w:val="18"/>
          <w:szCs w:val="18"/>
        </w:rPr>
      </w:pPr>
    </w:p>
    <w:p w14:paraId="560AB445" w14:textId="77777777" w:rsidR="001D108D" w:rsidRPr="004E3242" w:rsidRDefault="001D108D" w:rsidP="004E3242">
      <w:pPr>
        <w:spacing w:before="120" w:after="120" w:line="240" w:lineRule="auto"/>
        <w:jc w:val="both"/>
        <w:outlineLvl w:val="2"/>
        <w:rPr>
          <w:rFonts w:ascii="Arial" w:hAnsi="Arial" w:cs="Arial"/>
          <w:b/>
          <w:spacing w:val="4"/>
          <w:sz w:val="18"/>
          <w:szCs w:val="18"/>
        </w:rPr>
      </w:pPr>
    </w:p>
    <w:p w14:paraId="73B29727"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hAnsi="Arial"/>
          <w:bCs/>
          <w:smallCaps/>
          <w:color w:val="000000"/>
          <w:spacing w:val="15"/>
          <w:sz w:val="28"/>
          <w:lang w:eastAsia="pl-PL"/>
        </w:rPr>
      </w:pPr>
      <w:bookmarkStart w:id="196" w:name="_Ref477783171"/>
      <w:bookmarkStart w:id="197" w:name="_Toc83810556"/>
      <w:r w:rsidRPr="004E3242">
        <w:rPr>
          <w:rFonts w:ascii="Arial" w:hAnsi="Arial"/>
          <w:bCs/>
          <w:smallCaps/>
          <w:color w:val="000000"/>
          <w:spacing w:val="15"/>
          <w:sz w:val="28"/>
          <w:lang w:eastAsia="pl-PL"/>
        </w:rPr>
        <w:t>Strategia dotycząca wkładu programu operacyjnego w realizację unijnej strategii na rzecz inteligentnego, zrównoważonego wzrostu sprzyjającego włączeniu społecznemu oraz osiągnięcie spójności gospodarczej, społecznej i terytorialnej</w:t>
      </w:r>
      <w:bookmarkEnd w:id="196"/>
      <w:bookmarkEnd w:id="197"/>
    </w:p>
    <w:p w14:paraId="255D9613" w14:textId="77777777" w:rsidR="004E3242" w:rsidRPr="004E3242" w:rsidRDefault="004E3242" w:rsidP="004E3242">
      <w:pPr>
        <w:numPr>
          <w:ilvl w:val="1"/>
          <w:numId w:val="3"/>
        </w:numPr>
        <w:shd w:val="clear" w:color="auto" w:fill="BFBFBF"/>
        <w:spacing w:before="360" w:after="240"/>
        <w:outlineLvl w:val="1"/>
        <w:rPr>
          <w:rFonts w:ascii="Arial" w:hAnsi="Arial"/>
          <w:smallCaps/>
          <w:color w:val="000000"/>
          <w:spacing w:val="4"/>
          <w:sz w:val="20"/>
          <w:szCs w:val="20"/>
          <w:lang w:eastAsia="pl-PL"/>
        </w:rPr>
      </w:pPr>
      <w:bookmarkStart w:id="198" w:name="_Toc394316134"/>
      <w:bookmarkStart w:id="199" w:name="_Toc394316190"/>
      <w:bookmarkStart w:id="200" w:name="_Toc394316496"/>
      <w:bookmarkStart w:id="201" w:name="_Toc394317190"/>
      <w:bookmarkStart w:id="202" w:name="_Toc394317342"/>
      <w:bookmarkStart w:id="203" w:name="_Toc394317411"/>
      <w:bookmarkStart w:id="204" w:name="_Toc394317479"/>
      <w:bookmarkStart w:id="205" w:name="_Toc394318049"/>
      <w:bookmarkStart w:id="206" w:name="_Toc394318129"/>
      <w:bookmarkStart w:id="207" w:name="_Toc394318445"/>
      <w:bookmarkStart w:id="208" w:name="_Toc394318546"/>
      <w:bookmarkStart w:id="209" w:name="_Toc394318612"/>
      <w:bookmarkStart w:id="210" w:name="_Toc394318676"/>
      <w:bookmarkStart w:id="211" w:name="_Toc394318744"/>
      <w:bookmarkStart w:id="212" w:name="_Toc394318833"/>
      <w:bookmarkStart w:id="213" w:name="_Toc394319399"/>
      <w:bookmarkStart w:id="214" w:name="_Toc394319470"/>
      <w:bookmarkStart w:id="215" w:name="_Toc394319541"/>
      <w:bookmarkStart w:id="216" w:name="_Toc394319637"/>
      <w:bookmarkStart w:id="217" w:name="_Toc394319733"/>
      <w:bookmarkStart w:id="218" w:name="_Toc402941926"/>
      <w:bookmarkStart w:id="219" w:name="_Toc402942236"/>
      <w:bookmarkStart w:id="220" w:name="_Toc394315007"/>
      <w:bookmarkStart w:id="221" w:name="_Toc394315202"/>
      <w:bookmarkStart w:id="222" w:name="_Toc394315234"/>
      <w:bookmarkStart w:id="223" w:name="_Toc394315391"/>
      <w:bookmarkStart w:id="224" w:name="_Toc394315424"/>
      <w:bookmarkStart w:id="225" w:name="_Toc394315547"/>
      <w:bookmarkStart w:id="226" w:name="_Toc394315590"/>
      <w:bookmarkStart w:id="227" w:name="_Toc394315645"/>
      <w:bookmarkStart w:id="228" w:name="_Toc394316382"/>
      <w:bookmarkStart w:id="229" w:name="_Toc394316497"/>
      <w:bookmarkStart w:id="230" w:name="_Toc394317191"/>
      <w:bookmarkStart w:id="231" w:name="_Toc394317343"/>
      <w:bookmarkStart w:id="232" w:name="_Toc394317412"/>
      <w:bookmarkStart w:id="233" w:name="_Toc394317480"/>
      <w:bookmarkStart w:id="234" w:name="_Toc394318050"/>
      <w:bookmarkStart w:id="235" w:name="_Toc394318130"/>
      <w:bookmarkStart w:id="236" w:name="_Toc394318446"/>
      <w:bookmarkStart w:id="237" w:name="_Toc394318547"/>
      <w:bookmarkStart w:id="238" w:name="_Toc394318613"/>
      <w:bookmarkStart w:id="239" w:name="_Toc394318677"/>
      <w:bookmarkStart w:id="240" w:name="_Toc394318745"/>
      <w:bookmarkStart w:id="241" w:name="_Toc394318834"/>
      <w:bookmarkStart w:id="242" w:name="_Toc394319400"/>
      <w:bookmarkStart w:id="243" w:name="_Toc394319471"/>
      <w:bookmarkStart w:id="244" w:name="_Toc394319542"/>
      <w:bookmarkStart w:id="245" w:name="_Toc394319638"/>
      <w:bookmarkStart w:id="246" w:name="_Toc394319734"/>
      <w:bookmarkStart w:id="247" w:name="_Toc402941927"/>
      <w:bookmarkStart w:id="248" w:name="_Toc402942237"/>
      <w:bookmarkStart w:id="249" w:name="_Toc404585126"/>
      <w:bookmarkStart w:id="250" w:name="_Toc8381055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4E3242">
        <w:rPr>
          <w:rFonts w:ascii="Arial" w:hAnsi="Arial"/>
          <w:smallCaps/>
          <w:color w:val="000000"/>
          <w:spacing w:val="4"/>
          <w:sz w:val="24"/>
          <w:szCs w:val="20"/>
          <w:lang w:eastAsia="pl-PL"/>
        </w:rPr>
        <w:t>strategia dotycząca wkładu programu operacyjnego w realizację unijnej strategii na rzecz inteligentnego, zrównoważonego wzrostu sprzyjającego włączeniu społecznemu oraz osiągnięcie spójności gospodarczej, społecznej i terytorialnej</w:t>
      </w:r>
      <w:bookmarkEnd w:id="250"/>
    </w:p>
    <w:p w14:paraId="125327C1"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bookmarkStart w:id="251" w:name="_Toc394316499"/>
      <w:bookmarkStart w:id="252" w:name="_Toc394317193"/>
      <w:bookmarkStart w:id="253" w:name="_Toc394317345"/>
      <w:bookmarkStart w:id="254" w:name="_Toc394317414"/>
      <w:bookmarkStart w:id="255" w:name="_Toc394317482"/>
      <w:bookmarkStart w:id="256" w:name="_Toc394318052"/>
      <w:bookmarkStart w:id="257" w:name="_Toc394318132"/>
      <w:bookmarkStart w:id="258" w:name="_Toc394318448"/>
      <w:bookmarkStart w:id="259" w:name="_Toc394318549"/>
      <w:bookmarkStart w:id="260" w:name="_Toc394318615"/>
      <w:bookmarkStart w:id="261" w:name="_Toc394318679"/>
      <w:bookmarkStart w:id="262" w:name="_Toc394318747"/>
      <w:bookmarkStart w:id="263" w:name="_Toc394318836"/>
      <w:bookmarkStart w:id="264" w:name="_Toc394319402"/>
      <w:bookmarkStart w:id="265" w:name="_Toc394319473"/>
      <w:bookmarkStart w:id="266" w:name="_Toc394319544"/>
      <w:bookmarkStart w:id="267" w:name="_Toc394319640"/>
      <w:bookmarkStart w:id="268" w:name="_Toc394319736"/>
      <w:bookmarkStart w:id="269" w:name="_Toc402941929"/>
      <w:bookmarkStart w:id="270" w:name="_Toc402942239"/>
      <w:bookmarkStart w:id="271" w:name="_Toc404585128"/>
      <w:bookmarkStart w:id="272" w:name="_Toc407709551"/>
      <w:bookmarkStart w:id="273" w:name="_Toc407716619"/>
      <w:bookmarkStart w:id="274" w:name="_Toc407716685"/>
      <w:bookmarkStart w:id="275" w:name="_Toc409602782"/>
      <w:bookmarkStart w:id="276" w:name="_Toc409602835"/>
      <w:bookmarkStart w:id="277" w:name="_Toc409603687"/>
      <w:bookmarkStart w:id="278" w:name="_Toc394316500"/>
      <w:bookmarkStart w:id="279" w:name="_Toc394317194"/>
      <w:bookmarkStart w:id="280" w:name="_Toc394317346"/>
      <w:bookmarkStart w:id="281" w:name="_Toc394317415"/>
      <w:bookmarkStart w:id="282" w:name="_Toc394317483"/>
      <w:bookmarkStart w:id="283" w:name="_Toc394318053"/>
      <w:bookmarkStart w:id="284" w:name="_Toc394318133"/>
      <w:bookmarkStart w:id="285" w:name="_Toc394318449"/>
      <w:bookmarkStart w:id="286" w:name="_Toc394318550"/>
      <w:bookmarkStart w:id="287" w:name="_Toc394318616"/>
      <w:bookmarkStart w:id="288" w:name="_Toc394318680"/>
      <w:bookmarkStart w:id="289" w:name="_Toc394318748"/>
      <w:bookmarkStart w:id="290" w:name="_Toc394318837"/>
      <w:bookmarkStart w:id="291" w:name="_Toc394319403"/>
      <w:bookmarkStart w:id="292" w:name="_Toc394319474"/>
      <w:bookmarkStart w:id="293" w:name="_Toc394319545"/>
      <w:bookmarkStart w:id="294" w:name="_Toc394319641"/>
      <w:bookmarkStart w:id="295" w:name="_Toc394319737"/>
      <w:bookmarkStart w:id="296" w:name="_Toc402941930"/>
      <w:bookmarkStart w:id="297" w:name="_Toc402942240"/>
      <w:bookmarkStart w:id="298" w:name="_Toc404585129"/>
      <w:bookmarkStart w:id="299" w:name="_Toc407709552"/>
      <w:bookmarkStart w:id="300" w:name="_Toc407716620"/>
      <w:bookmarkStart w:id="301" w:name="_Toc407716686"/>
      <w:bookmarkStart w:id="302" w:name="_Toc409602783"/>
      <w:bookmarkStart w:id="303" w:name="_Toc409602836"/>
      <w:bookmarkStart w:id="304" w:name="_Toc409603688"/>
      <w:bookmarkStart w:id="305" w:name="_Toc394316501"/>
      <w:bookmarkStart w:id="306" w:name="_Toc394317195"/>
      <w:bookmarkStart w:id="307" w:name="_Toc394317347"/>
      <w:bookmarkStart w:id="308" w:name="_Toc394317416"/>
      <w:bookmarkStart w:id="309" w:name="_Toc394317484"/>
      <w:bookmarkStart w:id="310" w:name="_Toc394318054"/>
      <w:bookmarkStart w:id="311" w:name="_Toc394318134"/>
      <w:bookmarkStart w:id="312" w:name="_Toc394318450"/>
      <w:bookmarkStart w:id="313" w:name="_Toc394318551"/>
      <w:bookmarkStart w:id="314" w:name="_Toc394318617"/>
      <w:bookmarkStart w:id="315" w:name="_Toc394318681"/>
      <w:bookmarkStart w:id="316" w:name="_Toc394318749"/>
      <w:bookmarkStart w:id="317" w:name="_Toc394318838"/>
      <w:bookmarkStart w:id="318" w:name="_Toc394319404"/>
      <w:bookmarkStart w:id="319" w:name="_Toc394319475"/>
      <w:bookmarkStart w:id="320" w:name="_Toc394319546"/>
      <w:bookmarkStart w:id="321" w:name="_Toc394319642"/>
      <w:bookmarkStart w:id="322" w:name="_Toc394319738"/>
      <w:bookmarkStart w:id="323" w:name="_Toc402941931"/>
      <w:bookmarkStart w:id="324" w:name="_Toc402942241"/>
      <w:bookmarkStart w:id="325" w:name="_Toc404585130"/>
      <w:bookmarkStart w:id="326" w:name="_Toc407709553"/>
      <w:bookmarkStart w:id="327" w:name="_Toc407716621"/>
      <w:bookmarkStart w:id="328" w:name="_Toc407716687"/>
      <w:bookmarkStart w:id="329" w:name="_Toc409602784"/>
      <w:bookmarkStart w:id="330" w:name="_Toc409602837"/>
      <w:bookmarkStart w:id="331" w:name="_Toc409603689"/>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4E3242">
        <w:rPr>
          <w:rFonts w:ascii="Arial" w:eastAsia="Times New Roman" w:hAnsi="Arial"/>
          <w:smallCaps/>
          <w:color w:val="669900"/>
          <w:spacing w:val="10"/>
          <w:sz w:val="24"/>
          <w:szCs w:val="24"/>
          <w:u w:color="A8C743"/>
          <w:lang w:eastAsia="pl-PL"/>
        </w:rPr>
        <w:t>Diagnoza potrzeb i wyzwań</w:t>
      </w:r>
    </w:p>
    <w:p w14:paraId="1B28CA3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b/>
          <w:spacing w:val="4"/>
          <w:sz w:val="20"/>
          <w:szCs w:val="20"/>
        </w:rPr>
        <w:t>Cel główny programu:</w:t>
      </w:r>
    </w:p>
    <w:p w14:paraId="06E2752E" w14:textId="77777777" w:rsidR="004E3242" w:rsidRPr="004E3242" w:rsidRDefault="004E3242" w:rsidP="004E3242">
      <w:pPr>
        <w:shd w:val="clear" w:color="auto" w:fill="FFFFFF"/>
        <w:spacing w:before="120" w:after="120"/>
        <w:ind w:left="1298" w:right="1151"/>
        <w:jc w:val="both"/>
        <w:rPr>
          <w:rFonts w:cs="Arial"/>
          <w:bCs/>
          <w:i/>
          <w:iCs/>
          <w:color w:val="669900"/>
        </w:rPr>
      </w:pPr>
      <w:r w:rsidRPr="004E3242">
        <w:rPr>
          <w:rFonts w:cs="Arial"/>
          <w:bCs/>
          <w:i/>
          <w:iCs/>
          <w:color w:val="669900"/>
        </w:rPr>
        <w:t>Wsparcie gospodarki efektywnie korzystającej z zasobów i przyjaznej środowisku oraz sprzyjającej spójności terytorialnej i społecznej</w:t>
      </w:r>
    </w:p>
    <w:p w14:paraId="38B606F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Cel główny POIŚ wynika</w:t>
      </w:r>
      <w:r w:rsidR="004E6596">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z jednego z trzech priorytetów Strategii Europa 2020</w:t>
      </w:r>
      <w:r w:rsidRPr="004E3242">
        <w:rPr>
          <w:rFonts w:ascii="Arial" w:eastAsia="Times New Roman" w:hAnsi="Arial" w:cs="Arial"/>
          <w:sz w:val="20"/>
          <w:szCs w:val="20"/>
          <w:vertAlign w:val="superscript"/>
          <w:lang w:eastAsia="pl-PL"/>
        </w:rPr>
        <w:footnoteReference w:id="1"/>
      </w:r>
      <w:r w:rsidRPr="004E3242">
        <w:rPr>
          <w:rFonts w:ascii="Arial" w:eastAsia="Times New Roman" w:hAnsi="Arial" w:cs="Arial"/>
          <w:sz w:val="20"/>
          <w:szCs w:val="20"/>
          <w:lang w:eastAsia="pl-PL"/>
        </w:rPr>
        <w:t xml:space="preserve">, którym jest </w:t>
      </w:r>
      <w:r w:rsidRPr="004E3242">
        <w:rPr>
          <w:rFonts w:ascii="Arial" w:eastAsia="Times New Roman" w:hAnsi="Arial" w:cs="Arial"/>
          <w:b/>
          <w:bCs/>
          <w:sz w:val="20"/>
          <w:szCs w:val="20"/>
          <w:lang w:eastAsia="pl-PL"/>
        </w:rPr>
        <w:t>wzrost zrównoważony</w:t>
      </w:r>
      <w:r w:rsidRPr="004E3242">
        <w:rPr>
          <w:rFonts w:ascii="Arial" w:eastAsia="Times New Roman" w:hAnsi="Arial" w:cs="Arial"/>
          <w:sz w:val="20"/>
          <w:szCs w:val="20"/>
          <w:lang w:eastAsia="pl-PL"/>
        </w:rPr>
        <w:t xml:space="preserve"> rozumiany jako wspieranie gospodarki efektywniej korzystającej z zasobów, bardziej przyjaznej środowisku i bardziej konkurencyjnej, w której </w:t>
      </w:r>
      <w:r w:rsidRPr="004E3242">
        <w:rPr>
          <w:rFonts w:ascii="Arial" w:eastAsia="Times New Roman" w:hAnsi="Arial" w:cs="Arial"/>
          <w:b/>
          <w:bCs/>
          <w:sz w:val="20"/>
          <w:szCs w:val="20"/>
          <w:lang w:eastAsia="pl-PL"/>
        </w:rPr>
        <w:t>cele środowiskowe</w:t>
      </w:r>
      <w:r w:rsidRPr="004E3242">
        <w:rPr>
          <w:rFonts w:ascii="Arial" w:eastAsia="Times New Roman" w:hAnsi="Arial" w:cs="Arial"/>
          <w:sz w:val="20"/>
          <w:szCs w:val="20"/>
          <w:lang w:eastAsia="pl-PL"/>
        </w:rPr>
        <w:t xml:space="preserve"> są</w:t>
      </w:r>
      <w:r w:rsidR="00075A3F">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 xml:space="preserve"> dopełnione działaniami na rzecz </w:t>
      </w:r>
      <w:r w:rsidRPr="004E3242">
        <w:rPr>
          <w:rFonts w:ascii="Arial" w:eastAsia="Times New Roman" w:hAnsi="Arial" w:cs="Arial"/>
          <w:b/>
          <w:bCs/>
          <w:sz w:val="20"/>
          <w:szCs w:val="20"/>
          <w:lang w:eastAsia="pl-PL"/>
        </w:rPr>
        <w:t>spójności gospodarczej, społecznej i terytorialnej</w:t>
      </w:r>
      <w:r w:rsidRPr="004E3242">
        <w:rPr>
          <w:rFonts w:ascii="Arial" w:eastAsia="Times New Roman" w:hAnsi="Arial" w:cs="Arial"/>
          <w:sz w:val="20"/>
          <w:szCs w:val="20"/>
          <w:lang w:eastAsia="pl-PL"/>
        </w:rPr>
        <w:t>. Priorytet ten został oparty na równowadze oraz wzajemnym uzupełnianiu się działań w trzech podstawowych obszarach:</w:t>
      </w:r>
    </w:p>
    <w:p w14:paraId="3A369789" w14:textId="77777777" w:rsidR="004E3242" w:rsidRPr="004E3242" w:rsidRDefault="004E3242" w:rsidP="000C458B">
      <w:pPr>
        <w:numPr>
          <w:ilvl w:val="0"/>
          <w:numId w:val="64"/>
        </w:num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czystej i efektywnej energii</w:t>
      </w:r>
      <w:r w:rsidRPr="004E3242">
        <w:rPr>
          <w:rFonts w:ascii="Arial" w:eastAsia="Times New Roman" w:hAnsi="Arial" w:cs="Arial"/>
          <w:sz w:val="20"/>
          <w:szCs w:val="20"/>
          <w:lang w:eastAsia="pl-PL"/>
        </w:rPr>
        <w:t>, w tym efektywności energetycznej, ograniczeniu emisji gazów cieplarnianych, rozwoju energii ze źródeł odnawialnych oraz integracji i poprawy funkcjonowania</w:t>
      </w:r>
      <w:r w:rsidRPr="004E3242">
        <w:rPr>
          <w:rFonts w:ascii="Arial" w:eastAsia="Times New Roman" w:hAnsi="Arial" w:cs="Arial"/>
          <w:b/>
          <w:bCs/>
          <w:sz w:val="20"/>
          <w:szCs w:val="20"/>
          <w:lang w:eastAsia="pl-PL"/>
        </w:rPr>
        <w:t xml:space="preserve"> europejskiego rynku energii</w:t>
      </w:r>
      <w:r w:rsidRPr="004E3242">
        <w:rPr>
          <w:rFonts w:ascii="Arial" w:eastAsia="Times New Roman" w:hAnsi="Arial" w:cs="Arial"/>
          <w:sz w:val="20"/>
          <w:szCs w:val="20"/>
          <w:lang w:eastAsia="pl-PL"/>
        </w:rPr>
        <w:t>;</w:t>
      </w:r>
    </w:p>
    <w:p w14:paraId="5B604021" w14:textId="77777777" w:rsidR="004E3242" w:rsidRPr="004E3242" w:rsidRDefault="004E3242" w:rsidP="000C458B">
      <w:pPr>
        <w:numPr>
          <w:ilvl w:val="0"/>
          <w:numId w:val="64"/>
        </w:num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adaptacji do zmian klimatu</w:t>
      </w:r>
      <w:r w:rsidRPr="004E3242">
        <w:rPr>
          <w:rFonts w:ascii="Arial" w:eastAsia="Times New Roman" w:hAnsi="Arial" w:cs="Arial"/>
          <w:sz w:val="20"/>
          <w:szCs w:val="20"/>
          <w:lang w:eastAsia="pl-PL"/>
        </w:rPr>
        <w:t xml:space="preserve"> oraz </w:t>
      </w:r>
      <w:r w:rsidRPr="004E3242">
        <w:rPr>
          <w:rFonts w:ascii="Arial" w:eastAsia="Times New Roman" w:hAnsi="Arial" w:cs="Arial"/>
          <w:b/>
          <w:bCs/>
          <w:sz w:val="20"/>
          <w:szCs w:val="20"/>
          <w:lang w:eastAsia="pl-PL"/>
        </w:rPr>
        <w:t>efektywnego korzystania z zasobów</w:t>
      </w:r>
      <w:r w:rsidRPr="004E3242">
        <w:rPr>
          <w:rFonts w:ascii="Arial" w:eastAsia="Times New Roman" w:hAnsi="Arial" w:cs="Arial"/>
          <w:sz w:val="20"/>
          <w:szCs w:val="20"/>
          <w:lang w:eastAsia="pl-PL"/>
        </w:rPr>
        <w:t>, wzmocnieniu odporności systemów gospodarczych na zagrożenia związane z klimatem oraz zwiększeniu możliwości zapobiegania zagrożeniom (zwłaszcza zagrożeniom naturalnym) i reagowania na nie;</w:t>
      </w:r>
    </w:p>
    <w:p w14:paraId="16891845" w14:textId="77777777" w:rsidR="004E3242" w:rsidRPr="004E3242" w:rsidRDefault="004E3242" w:rsidP="000C458B">
      <w:pPr>
        <w:numPr>
          <w:ilvl w:val="0"/>
          <w:numId w:val="64"/>
        </w:numPr>
        <w:spacing w:after="240"/>
        <w:ind w:left="714" w:hanging="357"/>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konkurencyjności, w tym wnoszeniu istotnego wkładu w utrzymanie przez UE prowadzenia na światowym rynku technologii przyjaznych środowisku, zapewniając jednocześnie efektywne korzystanie z zasobów i usuwając przeszkody w działaniu najważniejszych </w:t>
      </w:r>
      <w:r w:rsidRPr="004E3242">
        <w:rPr>
          <w:rFonts w:ascii="Arial" w:eastAsia="Times New Roman" w:hAnsi="Arial" w:cs="Arial"/>
          <w:b/>
          <w:bCs/>
          <w:sz w:val="20"/>
          <w:szCs w:val="20"/>
          <w:lang w:eastAsia="pl-PL"/>
        </w:rPr>
        <w:t>infrastruktur sieciowych</w:t>
      </w:r>
      <w:r w:rsidRPr="004E3242">
        <w:rPr>
          <w:rFonts w:ascii="Arial" w:eastAsia="Times New Roman" w:hAnsi="Arial" w:cs="Arial"/>
          <w:sz w:val="20"/>
          <w:szCs w:val="20"/>
          <w:lang w:eastAsia="pl-PL"/>
        </w:rPr>
        <w:t>.</w:t>
      </w:r>
    </w:p>
    <w:p w14:paraId="2474C03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Dotychczasowe działania podejmowane w Polsce (również dzięki interwencji Polityki Spójności) pozwoliły zbliżyć się do celu, jakim jest zrównoważony rozwój, niemniej w dalszym ciągu stanowi on poważne </w:t>
      </w:r>
      <w:r w:rsidRPr="004E3242">
        <w:rPr>
          <w:rFonts w:ascii="Arial" w:eastAsia="Times New Roman" w:hAnsi="Arial" w:cs="Arial"/>
          <w:b/>
          <w:bCs/>
          <w:sz w:val="20"/>
          <w:szCs w:val="20"/>
          <w:lang w:eastAsia="pl-PL"/>
        </w:rPr>
        <w:t>wyzwanie</w:t>
      </w:r>
      <w:r w:rsidRPr="004E3242">
        <w:rPr>
          <w:rFonts w:ascii="Arial" w:eastAsia="Times New Roman" w:hAnsi="Arial" w:cs="Arial"/>
          <w:sz w:val="20"/>
          <w:szCs w:val="20"/>
          <w:lang w:eastAsia="pl-PL"/>
        </w:rPr>
        <w:t xml:space="preserve"> dla kraju, zwłaszcza na tle całej UE. Polska jest zobowiązana podjąć to wyzwanie, jej zadaniem pozostaje właściwa diagnoza </w:t>
      </w:r>
      <w:r w:rsidRPr="004E3242">
        <w:rPr>
          <w:rFonts w:ascii="Arial" w:eastAsia="Times New Roman" w:hAnsi="Arial" w:cs="Arial"/>
          <w:b/>
          <w:bCs/>
          <w:sz w:val="20"/>
          <w:szCs w:val="20"/>
          <w:lang w:eastAsia="pl-PL"/>
        </w:rPr>
        <w:t>potrzeb</w:t>
      </w:r>
      <w:r w:rsidRPr="004E3242">
        <w:rPr>
          <w:rFonts w:ascii="Arial" w:eastAsia="Times New Roman" w:hAnsi="Arial" w:cs="Arial"/>
          <w:sz w:val="20"/>
          <w:szCs w:val="20"/>
          <w:lang w:eastAsia="pl-PL"/>
        </w:rPr>
        <w:t xml:space="preserve"> oraz określenie niezbędnych działań </w:t>
      </w:r>
      <w:r w:rsidRPr="004E3242">
        <w:rPr>
          <w:rFonts w:ascii="Arial" w:eastAsia="Times New Roman" w:hAnsi="Arial" w:cs="Arial"/>
          <w:sz w:val="20"/>
          <w:szCs w:val="20"/>
          <w:lang w:eastAsia="pl-PL"/>
        </w:rPr>
        <w:br/>
        <w:t>i przedsięwzięć.</w:t>
      </w:r>
    </w:p>
    <w:p w14:paraId="2DFF042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Podstawą jest budowa </w:t>
      </w:r>
      <w:r w:rsidRPr="004E3242">
        <w:rPr>
          <w:rFonts w:ascii="Arial" w:eastAsia="Times New Roman" w:hAnsi="Arial" w:cs="Arial"/>
          <w:b/>
          <w:bCs/>
          <w:sz w:val="20"/>
          <w:szCs w:val="20"/>
          <w:lang w:eastAsia="pl-PL"/>
        </w:rPr>
        <w:t>gospodarki niskoemisyjnej</w:t>
      </w:r>
      <w:r w:rsidRPr="004E3242">
        <w:rPr>
          <w:rFonts w:ascii="Arial" w:eastAsia="Times New Roman" w:hAnsi="Arial" w:cs="Arial"/>
          <w:sz w:val="20"/>
          <w:szCs w:val="20"/>
          <w:lang w:eastAsia="pl-PL"/>
        </w:rPr>
        <w:t xml:space="preserve">, w ramach której najbardziej oszczędnym sposobem redukcji emisji jest efektywne korzystanie z istniejących zasobów energii. W przypadku Polski obszarami wykazującymi największy potencjał poprawy </w:t>
      </w:r>
      <w:r w:rsidRPr="004E3242">
        <w:rPr>
          <w:rFonts w:ascii="Arial" w:eastAsia="Times New Roman" w:hAnsi="Arial" w:cs="Arial"/>
          <w:b/>
          <w:bCs/>
          <w:sz w:val="20"/>
          <w:szCs w:val="20"/>
          <w:lang w:eastAsia="pl-PL"/>
        </w:rPr>
        <w:t>efektywności energetycznej</w:t>
      </w:r>
      <w:r w:rsidRPr="004E3242">
        <w:rPr>
          <w:rFonts w:ascii="Arial" w:eastAsia="Times New Roman" w:hAnsi="Arial" w:cs="Arial"/>
          <w:sz w:val="20"/>
          <w:szCs w:val="20"/>
          <w:lang w:eastAsia="pl-PL"/>
        </w:rPr>
        <w:t xml:space="preserve"> są budownictwo (w tym publiczne i mieszkaniowe), sektor ciepłownictwa oraz transport. W dalszym ciągu należy zatem podejmować działania związane z </w:t>
      </w:r>
      <w:r w:rsidRPr="004E3242">
        <w:rPr>
          <w:rFonts w:ascii="Arial" w:eastAsia="Times New Roman" w:hAnsi="Arial" w:cs="Arial"/>
          <w:b/>
          <w:bCs/>
          <w:sz w:val="20"/>
          <w:szCs w:val="20"/>
          <w:lang w:eastAsia="pl-PL"/>
        </w:rPr>
        <w:t>modernizacją energetyczną</w:t>
      </w:r>
      <w:r w:rsidRPr="004E3242">
        <w:rPr>
          <w:rFonts w:ascii="Arial" w:eastAsia="Times New Roman" w:hAnsi="Arial" w:cs="Arial"/>
          <w:sz w:val="20"/>
          <w:szCs w:val="20"/>
          <w:lang w:eastAsia="pl-PL"/>
        </w:rPr>
        <w:t xml:space="preserve"> budynków, niemniej silniej niż dotychczas promując jej kompleksowy wymiar (tzw. głęboka modernizacja), </w:t>
      </w:r>
      <w:r w:rsidRPr="004E3242">
        <w:rPr>
          <w:rFonts w:ascii="Arial" w:eastAsia="Times New Roman" w:hAnsi="Arial" w:cs="Arial"/>
          <w:sz w:val="20"/>
          <w:szCs w:val="20"/>
          <w:lang w:eastAsia="pl-PL"/>
        </w:rPr>
        <w:br/>
        <w:t>z uwzględnieniem wysokosprawnych źródeł ciepła oraz modernizacji sieci dystrybucji ciepła, jako przynoszących najwyższy efekt oszczędności energii. Ponadto ze względu na wieloletnie niedoinwestowanie i częste zapóźnienie technologiczne (wykorzystywanie starych energiochłonnych maszyn i przestarzałych technologii) niezbędnym jest umożliwienie dużym przedsiębiorstwom impulsu do zapoczątkowania przemian w zakresie zastosowania energooszczędnych (energia elektryczna, ciepło, chłód, woda) technologii produkcji, a także wprowadzanie systemów zarządzania energią.</w:t>
      </w:r>
    </w:p>
    <w:p w14:paraId="2B50186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Dodatkowo z poprawą efektywności energetycznej w sektorze komunalno-bytowym związane jest dotrzymanie standardów jakości powietrza. Przeprowadzona w Polsce, w 2013 r., ocena oraz kontrola jakości powietrza potwierdza, że problem zanieczyszczonego powietrza dotyczy </w:t>
      </w:r>
      <w:r w:rsidRPr="004E3242">
        <w:rPr>
          <w:rFonts w:ascii="Arial" w:eastAsia="Times New Roman" w:hAnsi="Arial" w:cs="Arial"/>
          <w:b/>
          <w:bCs/>
          <w:sz w:val="20"/>
          <w:szCs w:val="20"/>
          <w:lang w:eastAsia="pl-PL"/>
        </w:rPr>
        <w:t>obszarów zurbanizowanych (tzw. niska emisja</w:t>
      </w:r>
      <w:r w:rsidRPr="004E3242">
        <w:rPr>
          <w:rFonts w:ascii="Arial" w:eastAsia="Times New Roman" w:hAnsi="Arial" w:cs="Arial"/>
          <w:sz w:val="20"/>
          <w:szCs w:val="20"/>
          <w:lang w:eastAsia="pl-PL"/>
        </w:rPr>
        <w:t>), głównie w dużych miastach Polski zlokalizowanych na terenach aglomeracji śląsko-dąbrowskiej oraz krakowskiej.</w:t>
      </w:r>
    </w:p>
    <w:p w14:paraId="3AC4EA0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Istniejąca infrastruktura systemu</w:t>
      </w:r>
      <w:r w:rsidRPr="004E3242">
        <w:rPr>
          <w:rFonts w:ascii="Arial" w:eastAsia="Times New Roman" w:hAnsi="Arial" w:cs="Arial"/>
          <w:b/>
          <w:bCs/>
          <w:sz w:val="20"/>
          <w:szCs w:val="20"/>
          <w:lang w:eastAsia="pl-PL"/>
        </w:rPr>
        <w:t xml:space="preserve"> ciepłownictwa</w:t>
      </w:r>
      <w:r w:rsidRPr="004E3242">
        <w:rPr>
          <w:rFonts w:ascii="Arial" w:eastAsia="Times New Roman" w:hAnsi="Arial" w:cs="Arial"/>
          <w:sz w:val="20"/>
          <w:szCs w:val="20"/>
          <w:lang w:eastAsia="pl-PL"/>
        </w:rPr>
        <w:t xml:space="preserve"> w miastach wykazuje relatywnie wysoki poziom emisji. Zidentyfikowane główne obszary poprawy wydajności energetycznej w tym zakresie to rozwój </w:t>
      </w:r>
      <w:r w:rsidRPr="004E3242">
        <w:rPr>
          <w:rFonts w:ascii="Arial" w:eastAsia="Times New Roman" w:hAnsi="Arial" w:cs="Arial"/>
          <w:b/>
          <w:bCs/>
          <w:sz w:val="20"/>
          <w:szCs w:val="20"/>
          <w:lang w:eastAsia="pl-PL"/>
        </w:rPr>
        <w:t>kogeneracji</w:t>
      </w:r>
      <w:r w:rsidRPr="004E3242">
        <w:rPr>
          <w:rFonts w:ascii="Arial" w:eastAsia="Times New Roman" w:hAnsi="Arial" w:cs="Arial"/>
          <w:sz w:val="20"/>
          <w:szCs w:val="20"/>
          <w:lang w:eastAsia="pl-PL"/>
        </w:rPr>
        <w:t xml:space="preserve"> (w tym wysokosprawnej) oraz systemów </w:t>
      </w:r>
      <w:proofErr w:type="spellStart"/>
      <w:r w:rsidRPr="004E3242">
        <w:rPr>
          <w:rFonts w:ascii="Arial" w:eastAsia="Times New Roman" w:hAnsi="Arial" w:cs="Arial"/>
          <w:sz w:val="20"/>
          <w:szCs w:val="20"/>
          <w:lang w:eastAsia="pl-PL"/>
        </w:rPr>
        <w:t>przesyłu</w:t>
      </w:r>
      <w:proofErr w:type="spellEnd"/>
      <w:r w:rsidRPr="004E3242">
        <w:rPr>
          <w:rFonts w:ascii="Arial" w:eastAsia="Times New Roman" w:hAnsi="Arial" w:cs="Arial"/>
          <w:sz w:val="20"/>
          <w:szCs w:val="20"/>
          <w:lang w:eastAsia="pl-PL"/>
        </w:rPr>
        <w:t xml:space="preserve"> ciepła.</w:t>
      </w:r>
    </w:p>
    <w:p w14:paraId="2F52FAB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kontekście wsparcia rozwoju sieci, istnieje potrzeba wdrażania koncepcji </w:t>
      </w:r>
      <w:r w:rsidRPr="004E3242">
        <w:rPr>
          <w:rFonts w:ascii="Arial" w:eastAsia="Times New Roman" w:hAnsi="Arial" w:cs="Arial"/>
          <w:b/>
          <w:bCs/>
          <w:i/>
          <w:iCs/>
          <w:sz w:val="20"/>
          <w:szCs w:val="20"/>
          <w:lang w:eastAsia="pl-PL"/>
        </w:rPr>
        <w:t xml:space="preserve">smart </w:t>
      </w:r>
      <w:proofErr w:type="spellStart"/>
      <w:r w:rsidRPr="004E3242">
        <w:rPr>
          <w:rFonts w:ascii="Arial" w:eastAsia="Times New Roman" w:hAnsi="Arial" w:cs="Arial"/>
          <w:b/>
          <w:bCs/>
          <w:i/>
          <w:iCs/>
          <w:sz w:val="20"/>
          <w:szCs w:val="20"/>
          <w:lang w:eastAsia="pl-PL"/>
        </w:rPr>
        <w:t>grid</w:t>
      </w:r>
      <w:proofErr w:type="spellEnd"/>
      <w:r w:rsidRPr="004E3242">
        <w:rPr>
          <w:rFonts w:ascii="Arial" w:eastAsia="Times New Roman" w:hAnsi="Arial" w:cs="Arial"/>
          <w:sz w:val="20"/>
          <w:szCs w:val="20"/>
          <w:lang w:eastAsia="pl-PL"/>
        </w:rPr>
        <w:t>, które umożliwią lokalne bilansowanie zaopatrzenia w energię, podłączanie do sieci nawet bardzo niewielkich źródeł oraz zarządzanie popytem na energię elektryczną w szczycie. Dzięki temu rozwój energetyki rozproszonej będzie miał wkład w poprawę bezpieczeństwa energetycznego kraju.</w:t>
      </w:r>
    </w:p>
    <w:p w14:paraId="1D6A099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Racjonalne gospodarowanie zasobami energetycznymi, nie stwarzające presji na skalę emisji, to także czysta energia pochodząca ze </w:t>
      </w:r>
      <w:r w:rsidRPr="004E3242">
        <w:rPr>
          <w:rFonts w:ascii="Arial" w:eastAsia="Times New Roman" w:hAnsi="Arial" w:cs="Arial"/>
          <w:b/>
          <w:bCs/>
          <w:sz w:val="20"/>
          <w:szCs w:val="20"/>
          <w:lang w:eastAsia="pl-PL"/>
        </w:rPr>
        <w:t xml:space="preserve">źródeł odnawialnych </w:t>
      </w:r>
      <w:r w:rsidRPr="004E3242">
        <w:rPr>
          <w:rFonts w:ascii="Arial" w:eastAsia="Times New Roman" w:hAnsi="Arial" w:cs="Arial"/>
          <w:sz w:val="20"/>
          <w:szCs w:val="20"/>
          <w:lang w:eastAsia="pl-PL"/>
        </w:rPr>
        <w:t>(OZE). W przypadku Polski mamy do czynienia z sytuacją, gdzie struktura rozwoju produkcji energii z OZE, spowodowana jednakowym poziomem wsparcia dla wszystkich jej rodzajów, stymuluje rozwój jedynie niektórych źródeł. Analiza danych</w:t>
      </w:r>
      <w:r w:rsidRPr="004E3242">
        <w:rPr>
          <w:rFonts w:ascii="Arial" w:eastAsia="Times New Roman" w:hAnsi="Arial" w:cs="Arial"/>
          <w:sz w:val="20"/>
          <w:szCs w:val="20"/>
          <w:vertAlign w:val="superscript"/>
          <w:lang w:eastAsia="pl-PL"/>
        </w:rPr>
        <w:footnoteReference w:id="2"/>
      </w:r>
      <w:r w:rsidRPr="004E3242">
        <w:rPr>
          <w:rFonts w:ascii="Arial" w:eastAsia="Times New Roman" w:hAnsi="Arial" w:cs="Arial"/>
          <w:sz w:val="20"/>
          <w:szCs w:val="20"/>
          <w:lang w:eastAsia="pl-PL"/>
        </w:rPr>
        <w:t xml:space="preserve"> wskazuje, że dynamiczny rozwój miał miejsce tylko w zakresie wykorzystania biomasy (przede wszystkim współspalania biomasy z węglem) i w zakresie energetyki wiatrowej na lądzie. Należy zauważyć, że </w:t>
      </w:r>
      <w:r w:rsidRPr="004E3242">
        <w:rPr>
          <w:rFonts w:ascii="Arial" w:eastAsia="Times New Roman" w:hAnsi="Arial" w:cs="Arial"/>
          <w:i/>
          <w:iCs/>
          <w:sz w:val="20"/>
          <w:szCs w:val="20"/>
          <w:lang w:eastAsia="pl-PL"/>
        </w:rPr>
        <w:t>Krajowy Plan Działania w zakresie energii ze źródeł odnawialnych</w:t>
      </w:r>
      <w:r w:rsidRPr="004E3242">
        <w:rPr>
          <w:rFonts w:ascii="Arial" w:eastAsia="Times New Roman" w:hAnsi="Arial" w:cs="Arial"/>
          <w:sz w:val="20"/>
          <w:szCs w:val="20"/>
          <w:lang w:eastAsia="pl-PL"/>
        </w:rPr>
        <w:t xml:space="preserve"> zakłada możliwość selektywnego rozwoju branży produkcji energii ze źródeł odnawialnych, prognozując największą jej dynamikę właśnie w sektorach energetyki wiatrowej i biomasy.</w:t>
      </w:r>
    </w:p>
    <w:p w14:paraId="07FEB30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Rozwój produkcji energii ze źródeł odnawialnych cechują istotne uwarunkowania terytorialne. Obiektywną przesłanką jest istnienie odpowiednich zasobów i warunków naturalnych. Ważne jest zatem powiązanie rozwoju OZE z planowaniem przestrzennym, w tym zintegrowanie z istniejącą </w:t>
      </w:r>
      <w:r w:rsidRPr="004E3242">
        <w:rPr>
          <w:rFonts w:ascii="Arial" w:eastAsia="Times New Roman" w:hAnsi="Arial" w:cs="Arial"/>
          <w:b/>
          <w:bCs/>
          <w:sz w:val="20"/>
          <w:szCs w:val="20"/>
          <w:lang w:eastAsia="pl-PL"/>
        </w:rPr>
        <w:t>infrastrukturą elektroenergetyczną</w:t>
      </w:r>
      <w:r w:rsidRPr="004E3242">
        <w:rPr>
          <w:rFonts w:ascii="Arial" w:eastAsia="Times New Roman" w:hAnsi="Arial" w:cs="Arial"/>
          <w:sz w:val="20"/>
          <w:szCs w:val="20"/>
          <w:lang w:eastAsia="pl-PL"/>
        </w:rPr>
        <w:t xml:space="preserve"> w celu umożliwienia przejęcia wyprodukowanych mocy. Niestety zły stan ww. infrastruktury, jak również istniejące „białe plamy” w jej rozmieszczeniu, stanowią </w:t>
      </w:r>
      <w:r w:rsidRPr="004E3242">
        <w:rPr>
          <w:rFonts w:ascii="Arial" w:eastAsia="Times New Roman" w:hAnsi="Arial" w:cs="Arial"/>
          <w:sz w:val="20"/>
          <w:szCs w:val="20"/>
          <w:lang w:eastAsia="pl-PL"/>
        </w:rPr>
        <w:br/>
        <w:t>w dalszym ciągu barierę w maksymalizowaniu efektów oszczędzania zużycia energii i jej produkcji ze źródeł odnawialnych, dlatego istotny jest rozwój i modernizacja infrastruktury sieciowej.</w:t>
      </w:r>
    </w:p>
    <w:p w14:paraId="5127173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Pomimo posiadania własnych surowców energetycznych, Polska nadal nie jest niezależna energetycznie. Zróżnicowanie źródeł i pewność dostaw nośników energii (po akceptowalnej cenie) są kluczowymi elementami bezpieczeństwa energetycznego. Z tego też powodu obiektywną potrzebą jest </w:t>
      </w:r>
      <w:r w:rsidRPr="004E3242">
        <w:rPr>
          <w:rFonts w:ascii="Arial" w:eastAsia="Times New Roman" w:hAnsi="Arial" w:cs="Arial"/>
          <w:b/>
          <w:bCs/>
          <w:sz w:val="20"/>
          <w:szCs w:val="20"/>
          <w:lang w:eastAsia="pl-PL"/>
        </w:rPr>
        <w:t>dywersyfikacja źródeł i kierunków dostaw gazu</w:t>
      </w:r>
      <w:r w:rsidRPr="004E3242">
        <w:rPr>
          <w:rFonts w:ascii="Arial" w:eastAsia="Times New Roman" w:hAnsi="Arial" w:cs="Arial"/>
          <w:sz w:val="20"/>
          <w:szCs w:val="20"/>
          <w:lang w:eastAsia="pl-PL"/>
        </w:rPr>
        <w:t xml:space="preserve"> </w:t>
      </w:r>
      <w:r w:rsidRPr="004E3242">
        <w:rPr>
          <w:rFonts w:ascii="Arial" w:eastAsia="Times New Roman" w:hAnsi="Arial" w:cs="Arial"/>
          <w:b/>
          <w:bCs/>
          <w:sz w:val="20"/>
          <w:szCs w:val="20"/>
          <w:lang w:eastAsia="pl-PL"/>
        </w:rPr>
        <w:t>ziemnego</w:t>
      </w:r>
      <w:r w:rsidRPr="004E3242">
        <w:rPr>
          <w:rFonts w:ascii="Arial" w:eastAsia="Times New Roman" w:hAnsi="Arial" w:cs="Arial"/>
          <w:sz w:val="20"/>
          <w:szCs w:val="20"/>
          <w:lang w:eastAsia="pl-PL"/>
        </w:rPr>
        <w:t xml:space="preserve">, co powinno być związane </w:t>
      </w:r>
      <w:r w:rsidRPr="004E3242">
        <w:rPr>
          <w:rFonts w:ascii="Arial" w:eastAsia="Times New Roman" w:hAnsi="Arial" w:cs="Arial"/>
          <w:sz w:val="20"/>
          <w:szCs w:val="20"/>
          <w:lang w:eastAsia="pl-PL"/>
        </w:rPr>
        <w:br/>
        <w:t xml:space="preserve">z rozbudową i modernizacją systemu </w:t>
      </w:r>
      <w:r w:rsidRPr="004E3242">
        <w:rPr>
          <w:rFonts w:ascii="Arial" w:eastAsia="Times New Roman" w:hAnsi="Arial" w:cs="Arial"/>
          <w:b/>
          <w:bCs/>
          <w:sz w:val="20"/>
          <w:szCs w:val="20"/>
          <w:lang w:eastAsia="pl-PL"/>
        </w:rPr>
        <w:t>sieci przesyłowych i dystrybucyjnych</w:t>
      </w:r>
      <w:r w:rsidRPr="004E3242">
        <w:rPr>
          <w:rFonts w:ascii="Arial" w:eastAsia="Times New Roman" w:hAnsi="Arial" w:cs="Arial"/>
          <w:sz w:val="20"/>
          <w:szCs w:val="20"/>
          <w:lang w:eastAsia="pl-PL"/>
        </w:rPr>
        <w:t xml:space="preserve"> oraz rozbudową terminala LNG. Podstawową zaletą </w:t>
      </w:r>
      <w:r w:rsidRPr="004E3242">
        <w:rPr>
          <w:rFonts w:ascii="Arial" w:eastAsia="Times New Roman" w:hAnsi="Arial" w:cs="Arial"/>
          <w:b/>
          <w:bCs/>
          <w:sz w:val="20"/>
          <w:szCs w:val="20"/>
          <w:lang w:eastAsia="pl-PL"/>
        </w:rPr>
        <w:t>gazu</w:t>
      </w:r>
      <w:r w:rsidRPr="004E3242">
        <w:rPr>
          <w:rFonts w:ascii="Arial" w:eastAsia="Times New Roman" w:hAnsi="Arial" w:cs="Arial"/>
          <w:sz w:val="20"/>
          <w:szCs w:val="20"/>
          <w:lang w:eastAsia="pl-PL"/>
        </w:rPr>
        <w:t xml:space="preserve"> jest znacząco niższa emisyjność oraz relatywnie krótki czas </w:t>
      </w:r>
      <w:r w:rsidRPr="004E3242">
        <w:rPr>
          <w:rFonts w:ascii="Arial" w:eastAsia="Times New Roman" w:hAnsi="Arial" w:cs="Arial"/>
          <w:sz w:val="20"/>
          <w:szCs w:val="20"/>
          <w:lang w:eastAsia="pl-PL"/>
        </w:rPr>
        <w:lastRenderedPageBreak/>
        <w:t>budowy bloków energetycznych zasilanych paliwem gazowym, a także niższe koszty oraz wyższa sprawność infrastruktury, m.in. w stosunku do bloków energetycznych zasilanych paliwem stałym.</w:t>
      </w:r>
    </w:p>
    <w:p w14:paraId="63B1921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odniesieniu do sektora </w:t>
      </w:r>
      <w:r w:rsidRPr="004E3242">
        <w:rPr>
          <w:rFonts w:ascii="Arial" w:eastAsia="Times New Roman" w:hAnsi="Arial" w:cs="Arial"/>
          <w:b/>
          <w:bCs/>
          <w:sz w:val="20"/>
          <w:szCs w:val="20"/>
          <w:lang w:eastAsia="pl-PL"/>
        </w:rPr>
        <w:t>elektroenergetyki</w:t>
      </w:r>
      <w:r w:rsidRPr="004E3242">
        <w:rPr>
          <w:rFonts w:ascii="Arial" w:eastAsia="Times New Roman" w:hAnsi="Arial" w:cs="Arial"/>
          <w:sz w:val="20"/>
          <w:szCs w:val="20"/>
          <w:lang w:eastAsia="pl-PL"/>
        </w:rPr>
        <w:t>, Polskę cechuje duży udział węgla w strukturze nośników energii elektrycznej (ok. 83%), co wynika z posiadania znacznych złóż tego surowca, niemniej udział OZE rośnie. Niestety infrastruktura energetyczna oraz znaczna część jednostek transformatorowych jest przestarzała, czego rezultatem są wysokie straty sieciowe energii elektrycznej</w:t>
      </w:r>
      <w:r w:rsidRPr="004E3242">
        <w:rPr>
          <w:rFonts w:ascii="Arial" w:eastAsia="Times New Roman" w:hAnsi="Arial" w:cs="Arial"/>
          <w:sz w:val="20"/>
          <w:szCs w:val="20"/>
          <w:vertAlign w:val="superscript"/>
          <w:lang w:eastAsia="pl-PL"/>
        </w:rPr>
        <w:footnoteReference w:id="3"/>
      </w:r>
      <w:r w:rsidRPr="004E3242">
        <w:rPr>
          <w:rFonts w:ascii="Arial" w:eastAsia="Times New Roman" w:hAnsi="Arial" w:cs="Arial"/>
          <w:sz w:val="20"/>
          <w:szCs w:val="20"/>
          <w:lang w:eastAsia="pl-PL"/>
        </w:rPr>
        <w:t xml:space="preserve">. Planowany dalszy wzrost produkcji energii z OZE wymagać będzie odpowiedniej infrastruktury sieciowej pozwalającej na przyłączenie mocy wytwórczych do sieci elektroenergetycznej. Zatem inwestycje w modernizację oraz rozbudowę </w:t>
      </w:r>
      <w:r w:rsidRPr="004E3242">
        <w:rPr>
          <w:rFonts w:ascii="Arial" w:eastAsia="Times New Roman" w:hAnsi="Arial" w:cs="Arial"/>
          <w:b/>
          <w:bCs/>
          <w:sz w:val="20"/>
          <w:szCs w:val="20"/>
          <w:lang w:eastAsia="pl-PL"/>
        </w:rPr>
        <w:t>Krajowego Systemu Elektroenergetycznego</w:t>
      </w:r>
      <w:r w:rsidRPr="004E3242">
        <w:rPr>
          <w:rFonts w:ascii="Arial" w:eastAsia="Times New Roman" w:hAnsi="Arial" w:cs="Arial"/>
          <w:sz w:val="20"/>
          <w:szCs w:val="20"/>
          <w:lang w:eastAsia="pl-PL"/>
        </w:rPr>
        <w:t xml:space="preserve"> (KSE) należy uznać za jedną z kluczowych potrzeb w zakresie bezpieczeństwa dostaw energii elektrycznej, w tym z OZE.</w:t>
      </w:r>
    </w:p>
    <w:p w14:paraId="2E3F17D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kontekście występującego niedoboru bądź złego stanu sieci przesyłowej i dystrybucyjnej oraz mocy wytwórczych, szczególne znaczenie ma wdrażanie inteligentnych rozwiązań dla infrastruktury energetycznej. Inteligentne sieci (ang. </w:t>
      </w:r>
      <w:r w:rsidRPr="004E3242">
        <w:rPr>
          <w:rFonts w:ascii="Arial" w:eastAsia="Times New Roman" w:hAnsi="Arial" w:cs="Arial"/>
          <w:b/>
          <w:bCs/>
          <w:i/>
          <w:iCs/>
          <w:sz w:val="20"/>
          <w:szCs w:val="20"/>
          <w:lang w:eastAsia="pl-PL"/>
        </w:rPr>
        <w:t xml:space="preserve">smart </w:t>
      </w:r>
      <w:proofErr w:type="spellStart"/>
      <w:r w:rsidRPr="004E3242">
        <w:rPr>
          <w:rFonts w:ascii="Arial" w:eastAsia="Times New Roman" w:hAnsi="Arial" w:cs="Arial"/>
          <w:b/>
          <w:bCs/>
          <w:i/>
          <w:iCs/>
          <w:sz w:val="20"/>
          <w:szCs w:val="20"/>
          <w:lang w:eastAsia="pl-PL"/>
        </w:rPr>
        <w:t>grid</w:t>
      </w:r>
      <w:proofErr w:type="spellEnd"/>
      <w:r w:rsidRPr="004E3242">
        <w:rPr>
          <w:rFonts w:ascii="Arial" w:eastAsia="Times New Roman" w:hAnsi="Arial" w:cs="Arial"/>
          <w:sz w:val="20"/>
          <w:szCs w:val="20"/>
          <w:lang w:eastAsia="pl-PL"/>
        </w:rPr>
        <w:t xml:space="preserve">) istotnie usprawniają zarządzanie energią rozproszoną oraz jej użytkowanie. Jednocześnie wdrożenie rozwiązań </w:t>
      </w:r>
      <w:r w:rsidRPr="004E3242">
        <w:rPr>
          <w:rFonts w:ascii="Arial" w:eastAsia="Times New Roman" w:hAnsi="Arial" w:cs="Arial"/>
          <w:i/>
          <w:iCs/>
          <w:sz w:val="20"/>
          <w:szCs w:val="20"/>
          <w:lang w:eastAsia="pl-PL"/>
        </w:rPr>
        <w:t>smart</w:t>
      </w:r>
      <w:r w:rsidRPr="004E3242">
        <w:rPr>
          <w:rFonts w:ascii="Arial" w:eastAsia="Times New Roman" w:hAnsi="Arial" w:cs="Arial"/>
          <w:sz w:val="20"/>
          <w:szCs w:val="20"/>
          <w:lang w:eastAsia="pl-PL"/>
        </w:rPr>
        <w:t xml:space="preserve"> nierozerwalnie wiąże się z budową nowych sieci elektroenergetycznych lub gazowych bądź ich modernizacją.</w:t>
      </w:r>
    </w:p>
    <w:p w14:paraId="45813FA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Zwiększenie bezpieczeństwa energetycznego ma istotne uwarunkowania terytorialne z uwagi na występujące luki w gęstości sieci energetycznych. Wyjątkowo niekorzystna sytuacja w zakresie sieci dystrybucyjnej dotyka terenów wiejskich. Sieci na tych obszarach charakteryzują się wysokim stopniem awaryjności</w:t>
      </w:r>
      <w:r w:rsidRPr="004E3242">
        <w:rPr>
          <w:rFonts w:ascii="Arial" w:eastAsia="Times New Roman" w:hAnsi="Arial" w:cs="Arial"/>
          <w:sz w:val="20"/>
          <w:szCs w:val="20"/>
          <w:vertAlign w:val="superscript"/>
          <w:lang w:eastAsia="pl-PL"/>
        </w:rPr>
        <w:footnoteReference w:id="4"/>
      </w:r>
      <w:r w:rsidRPr="004E3242">
        <w:rPr>
          <w:rFonts w:ascii="Arial" w:eastAsia="Times New Roman" w:hAnsi="Arial" w:cs="Arial"/>
          <w:sz w:val="20"/>
          <w:szCs w:val="20"/>
          <w:lang w:eastAsia="pl-PL"/>
        </w:rPr>
        <w:t>.</w:t>
      </w:r>
    </w:p>
    <w:p w14:paraId="0A73F99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Stan infrastruktury sieciowej jest także jedną z najpoważniejszych barier rozwojowych Polski, w tym zwłaszcza jej północnej części. Największe braki przepustowości (mocy) systemu przesyłowego gazu występują na obszarze Pomorza Środkowego i Polski Zachodniej. Do najbardziej niedoinwestowanych regionów w zakresie infrastruktury energetycznej (linie przesyłowe elektryczności i gazu) należą: Pomorze, Warmia i Mazury oraz województwa Polski Wschodniej.</w:t>
      </w:r>
    </w:p>
    <w:p w14:paraId="1E3B868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Problematyka </w:t>
      </w:r>
      <w:r w:rsidRPr="004E3242">
        <w:rPr>
          <w:rFonts w:ascii="Arial" w:eastAsia="Times New Roman" w:hAnsi="Arial" w:cs="Arial"/>
          <w:b/>
          <w:bCs/>
          <w:sz w:val="20"/>
          <w:szCs w:val="20"/>
          <w:lang w:eastAsia="pl-PL"/>
        </w:rPr>
        <w:t>zmian klimatu</w:t>
      </w:r>
      <w:r w:rsidRPr="004E3242">
        <w:rPr>
          <w:rFonts w:ascii="Arial" w:eastAsia="Times New Roman" w:hAnsi="Arial" w:cs="Arial"/>
          <w:sz w:val="20"/>
          <w:szCs w:val="20"/>
          <w:lang w:eastAsia="pl-PL"/>
        </w:rPr>
        <w:t xml:space="preserve"> oraz </w:t>
      </w:r>
      <w:r w:rsidRPr="004E3242">
        <w:rPr>
          <w:rFonts w:ascii="Arial" w:eastAsia="Times New Roman" w:hAnsi="Arial" w:cs="Arial"/>
          <w:b/>
          <w:bCs/>
          <w:sz w:val="20"/>
          <w:szCs w:val="20"/>
          <w:lang w:eastAsia="pl-PL"/>
        </w:rPr>
        <w:t xml:space="preserve">adaptacji do tych zmian </w:t>
      </w:r>
      <w:r w:rsidRPr="004E3242">
        <w:rPr>
          <w:rFonts w:ascii="Arial" w:eastAsia="Times New Roman" w:hAnsi="Arial" w:cs="Arial"/>
          <w:sz w:val="20"/>
          <w:szCs w:val="20"/>
          <w:lang w:eastAsia="pl-PL"/>
        </w:rPr>
        <w:t xml:space="preserve">ma znaczenie horyzontalne i jest ważna dla osiągnięcia celów ogólnorozwojowych kraju. Szczególne znaczenie ma zapobieganie i łagodzenie skutków kluczowych zagrożeń, uporządkowanych według dotkliwości skutków i prawdopodobieństwa wystąpienia w </w:t>
      </w:r>
      <w:r w:rsidRPr="004E3242">
        <w:rPr>
          <w:rFonts w:ascii="Arial" w:eastAsia="Times New Roman" w:hAnsi="Arial" w:cs="Arial"/>
          <w:i/>
          <w:iCs/>
          <w:sz w:val="20"/>
          <w:szCs w:val="20"/>
          <w:lang w:eastAsia="pl-PL"/>
        </w:rPr>
        <w:t>Raporcie o zagrożeniach bezpieczeństwa narodowego</w:t>
      </w:r>
      <w:r w:rsidRPr="004E3242">
        <w:rPr>
          <w:rFonts w:ascii="Arial" w:eastAsia="Times New Roman" w:hAnsi="Arial" w:cs="Arial"/>
          <w:sz w:val="20"/>
          <w:szCs w:val="20"/>
          <w:lang w:eastAsia="pl-PL"/>
        </w:rPr>
        <w:t>. Zgodnie z ww. dokumentem, najistotniejszym oddziaływaniem i skutkiem zmiany klimatu jest nasilenie zjawisk powodziowych. Oprócz tego należy wyróżnić takie zjawiska, jak częstsze ekstrema temperatury, mniejsze miesięczne sumy opadów w okresie letnim, nawalne deszcze, podtopienia, fale upałów, susze, huragany, ruchy masowe.</w:t>
      </w:r>
    </w:p>
    <w:p w14:paraId="6CA4AD0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Największe oddziaływanie klimatu i ekstremalnych zdarzeń pogodowych w Polsce występuje</w:t>
      </w:r>
      <w:r w:rsidRPr="004E3242">
        <w:rPr>
          <w:rFonts w:ascii="Arial" w:eastAsia="Times New Roman" w:hAnsi="Arial" w:cs="Arial"/>
          <w:b/>
          <w:bCs/>
          <w:sz w:val="20"/>
          <w:szCs w:val="20"/>
          <w:lang w:eastAsia="pl-PL"/>
        </w:rPr>
        <w:t xml:space="preserve"> </w:t>
      </w:r>
      <w:r w:rsidRPr="004E3242">
        <w:rPr>
          <w:rFonts w:ascii="Arial" w:eastAsia="Times New Roman" w:hAnsi="Arial" w:cs="Arial"/>
          <w:b/>
          <w:bCs/>
          <w:sz w:val="20"/>
          <w:szCs w:val="20"/>
          <w:lang w:eastAsia="pl-PL"/>
        </w:rPr>
        <w:br/>
        <w:t>w sektorze gospodarki wodnej</w:t>
      </w:r>
      <w:r w:rsidRPr="004E3242">
        <w:rPr>
          <w:rFonts w:ascii="Arial" w:eastAsia="Times New Roman" w:hAnsi="Arial" w:cs="Arial"/>
          <w:sz w:val="20"/>
          <w:szCs w:val="20"/>
          <w:lang w:eastAsia="pl-PL"/>
        </w:rPr>
        <w:t>. Zróżnicowanie opadów w czasie i pod względem terytorialnym determinuje występowanie powodzi i suszy.</w:t>
      </w:r>
    </w:p>
    <w:p w14:paraId="048DCF8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Przyczyną </w:t>
      </w:r>
      <w:r w:rsidRPr="004E3242">
        <w:rPr>
          <w:rFonts w:ascii="Arial" w:eastAsia="Times New Roman" w:hAnsi="Arial" w:cs="Arial"/>
          <w:b/>
          <w:bCs/>
          <w:sz w:val="20"/>
          <w:szCs w:val="20"/>
          <w:lang w:eastAsia="pl-PL"/>
        </w:rPr>
        <w:t>zjawisk powodziowych</w:t>
      </w:r>
      <w:r w:rsidRPr="004E3242">
        <w:rPr>
          <w:rFonts w:ascii="Arial" w:eastAsia="Times New Roman" w:hAnsi="Arial" w:cs="Arial"/>
          <w:sz w:val="20"/>
          <w:szCs w:val="20"/>
          <w:lang w:eastAsia="pl-PL"/>
        </w:rPr>
        <w:t xml:space="preserve"> jest niewystarczająca efektywność systemu ochrony przeciwpowodziowej, w tym zły stan urządzeń wodnych, niewystarczający rozwój działań technicznych i nietechnicznych środków ochrony przeciwpowodziowej, słaba organizacja i nieskuteczne działania prewencyjne. Podejmowanie efektywnych działań utrudnia także brak właściwego planowania strategicznego. Możliwości przeprowadzenia skutecznych działań ratowniczych w sytuacji wystąpienia powodzi na danym terenie są natomiast ograniczone przez niedobory sprzętowe służb włączonych w Krajowy System Ratowniczo-Gaśniczy (KSRG) oraz </w:t>
      </w:r>
      <w:r w:rsidRPr="004E3242">
        <w:rPr>
          <w:rFonts w:ascii="Arial" w:eastAsia="Times New Roman" w:hAnsi="Arial" w:cs="Arial"/>
          <w:sz w:val="20"/>
          <w:szCs w:val="20"/>
          <w:lang w:eastAsia="pl-PL"/>
        </w:rPr>
        <w:lastRenderedPageBreak/>
        <w:t>działających w porozumieniu z KSRG</w:t>
      </w:r>
      <w:r w:rsidRPr="004E3242">
        <w:rPr>
          <w:rFonts w:ascii="Arial" w:eastAsia="Times New Roman" w:hAnsi="Arial" w:cs="Arial"/>
          <w:sz w:val="20"/>
          <w:szCs w:val="20"/>
          <w:vertAlign w:val="superscript"/>
          <w:lang w:eastAsia="pl-PL"/>
        </w:rPr>
        <w:footnoteReference w:id="5"/>
      </w:r>
      <w:r w:rsidRPr="004E3242">
        <w:rPr>
          <w:rFonts w:ascii="Arial" w:eastAsia="Times New Roman" w:hAnsi="Arial" w:cs="Arial"/>
          <w:sz w:val="20"/>
          <w:szCs w:val="20"/>
          <w:lang w:eastAsia="pl-PL"/>
        </w:rPr>
        <w:t xml:space="preserve">. Skuteczne przygotowanie do reagowania i likwidacji skutków zagrożeń wymaga realizacji szeregu przedsięwzięć obejmujących swym zakresem m.in. inwestycje </w:t>
      </w:r>
      <w:r w:rsidRPr="004E3242">
        <w:rPr>
          <w:rFonts w:ascii="Arial" w:eastAsia="Times New Roman" w:hAnsi="Arial" w:cs="Arial"/>
          <w:sz w:val="20"/>
          <w:szCs w:val="20"/>
          <w:lang w:eastAsia="pl-PL"/>
        </w:rPr>
        <w:br/>
        <w:t xml:space="preserve">w infrastrukturę przeciwpowodziową (działania techniczne i nietechniczne), doposażenie w pojazdy </w:t>
      </w:r>
      <w:r w:rsidRPr="004E3242">
        <w:rPr>
          <w:rFonts w:ascii="Arial" w:eastAsia="Times New Roman" w:hAnsi="Arial" w:cs="Arial"/>
          <w:sz w:val="20"/>
          <w:szCs w:val="20"/>
          <w:lang w:eastAsia="pl-PL"/>
        </w:rPr>
        <w:br/>
        <w:t>i sprzęt ratowniczy, tworzenie infrastruktury ratowniczej wraz z budową urządzeń/budowli ze stanowiskami naukowymi i szkoleniowymi pozorującymi katastrofy, zapewnienie doraźnej pomocy ludności dotkniętej skutkami klęsk żywiołowych.</w:t>
      </w:r>
    </w:p>
    <w:p w14:paraId="4F5FA26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Niezbędne jest również zwiększanie efektywności systemu wczesnego ostrzegania i prognozowania zagrożeń, w szczególności w zakresie zwiększenia obszarów objętych systemem monitorowania wystąpienia ryzyka powodziowego.</w:t>
      </w:r>
    </w:p>
    <w:p w14:paraId="22E5DE8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Obszary szczególnego zagrożenia powodzią to przede wszystkim zachodnia i południowa część Polski, tereny wzdłuż Odry i Wisły, depresyjne tereny Żuław, dolina Wisły od Płocka do Torunia. Dodatkowo zagrożone powodziami sztormowymi są północne tereny kraju. Jednocześnie wskazuje się na niebezpieczeństwo występowania wezbrań zatorowych wzdłuż cieków wodnych, szczególnie na obszarze Środkowej Wisły i Dolnej Odry.</w:t>
      </w:r>
    </w:p>
    <w:p w14:paraId="6797833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kontekście zagrożeń powodziowych, szczególnie spowodowanych przez zjawiska ekstremalne, należy zwrócić szczególną uwagę na </w:t>
      </w:r>
      <w:r w:rsidRPr="004E3242">
        <w:rPr>
          <w:rFonts w:ascii="Arial" w:eastAsia="Times New Roman" w:hAnsi="Arial" w:cs="Arial"/>
          <w:b/>
          <w:bCs/>
          <w:sz w:val="20"/>
          <w:szCs w:val="20"/>
          <w:lang w:eastAsia="pl-PL"/>
        </w:rPr>
        <w:t>obszary miejskie</w:t>
      </w:r>
      <w:r w:rsidRPr="004E3242">
        <w:rPr>
          <w:rFonts w:ascii="Arial" w:eastAsia="Times New Roman" w:hAnsi="Arial" w:cs="Arial"/>
          <w:sz w:val="20"/>
          <w:szCs w:val="20"/>
          <w:lang w:eastAsia="pl-PL"/>
        </w:rPr>
        <w:t>, gdzie dochodzi do kumulacji negatywnych zjawisk pogodowych i klimatycznych.</w:t>
      </w:r>
    </w:p>
    <w:p w14:paraId="3A92A7F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Obserwowane i przewidywane zmiany klimatu mają negatywny wpływ na funkcjonowanie strefy brzegowej</w:t>
      </w:r>
      <w:r w:rsidRPr="004E3242">
        <w:rPr>
          <w:rFonts w:ascii="Arial" w:eastAsia="Times New Roman" w:hAnsi="Arial" w:cs="Arial"/>
          <w:sz w:val="20"/>
          <w:szCs w:val="20"/>
          <w:vertAlign w:val="superscript"/>
          <w:lang w:eastAsia="pl-PL"/>
        </w:rPr>
        <w:footnoteReference w:id="6"/>
      </w:r>
      <w:r w:rsidRPr="004E3242">
        <w:rPr>
          <w:rFonts w:ascii="Arial" w:eastAsia="Times New Roman" w:hAnsi="Arial" w:cs="Arial"/>
          <w:sz w:val="20"/>
          <w:szCs w:val="20"/>
          <w:lang w:eastAsia="pl-PL"/>
        </w:rPr>
        <w:t xml:space="preserve">. Oprócz dużego wpływu wzrostu poziomu morza, negatywne zjawiska obejmują przede wszystkim wzrost częstotliwości występowania i intensywności wezbrań sztormowych oraz wzrost wysokości fal. Dodatkowym elementem przyspieszającym proces erozji brzegów są coraz cieplejsze zimy. Brak pokrywy lodowej oraz brak ujemnych temperatur zmniejszają odporność brzegu na rozmywanie. W granicach Polski znajduje się ok. 843 km linii brzegowej. W ramach projektu Programu ochrony brzegów morskich do ochrony przewidzianych jest 251 km brzegu morskiego oraz 241 km Zalewu Szczecińskiego. Są to odcinki bezpośrednio zagrożone erozją oraz ryzykiem wystąpienia powodzi </w:t>
      </w:r>
      <w:proofErr w:type="spellStart"/>
      <w:r w:rsidRPr="004E3242">
        <w:rPr>
          <w:rFonts w:ascii="Arial" w:eastAsia="Times New Roman" w:hAnsi="Arial" w:cs="Arial"/>
          <w:sz w:val="20"/>
          <w:szCs w:val="20"/>
          <w:lang w:eastAsia="pl-PL"/>
        </w:rPr>
        <w:t>odmorskiej</w:t>
      </w:r>
      <w:proofErr w:type="spellEnd"/>
      <w:r w:rsidRPr="004E3242">
        <w:rPr>
          <w:rFonts w:ascii="Arial" w:eastAsia="Times New Roman" w:hAnsi="Arial" w:cs="Arial"/>
          <w:sz w:val="20"/>
          <w:szCs w:val="20"/>
          <w:lang w:eastAsia="pl-PL"/>
        </w:rPr>
        <w:t>.</w:t>
      </w:r>
    </w:p>
    <w:p w14:paraId="274231F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Istotne jest też przeciwdziałanie występowaniu </w:t>
      </w:r>
      <w:r w:rsidRPr="004E3242">
        <w:rPr>
          <w:rFonts w:ascii="Arial" w:eastAsia="Times New Roman" w:hAnsi="Arial" w:cs="Arial"/>
          <w:b/>
          <w:bCs/>
          <w:sz w:val="20"/>
          <w:szCs w:val="20"/>
          <w:lang w:eastAsia="pl-PL"/>
        </w:rPr>
        <w:t>susz</w:t>
      </w:r>
      <w:r w:rsidRPr="004E3242">
        <w:rPr>
          <w:rFonts w:ascii="Arial" w:eastAsia="Times New Roman" w:hAnsi="Arial" w:cs="Arial"/>
          <w:sz w:val="20"/>
          <w:szCs w:val="20"/>
          <w:lang w:eastAsia="pl-PL"/>
        </w:rPr>
        <w:t xml:space="preserve">, którym oprócz niedoboru opadów, zwykle towarzyszą wysokie temperatury. Tereny zagrożone suszą w Polsce, to przede wszystkim tereny środkowej części Polski, ze szczególnym wskazaniem na Pojezierze Wielkopolskie. Deficyt wody występuje również na Kujawach oraz części Mazowsza. Kompleksowa realizacja projektów naturalnej retencji poprawia stosunki wodne oraz pozwala na odtwarzanie obszarów podmokłych i torfowisk. Problemem jest również </w:t>
      </w:r>
      <w:r w:rsidRPr="004E3242">
        <w:rPr>
          <w:rFonts w:ascii="Arial" w:eastAsia="Times New Roman" w:hAnsi="Arial" w:cs="Arial"/>
          <w:b/>
          <w:bCs/>
          <w:sz w:val="20"/>
          <w:szCs w:val="20"/>
          <w:lang w:eastAsia="pl-PL"/>
        </w:rPr>
        <w:t>niewystarczająca wielkość zasobów</w:t>
      </w:r>
      <w:r w:rsidRPr="004E3242">
        <w:rPr>
          <w:rFonts w:ascii="Arial" w:eastAsia="Times New Roman" w:hAnsi="Arial" w:cs="Arial"/>
          <w:sz w:val="20"/>
          <w:szCs w:val="20"/>
          <w:lang w:eastAsia="pl-PL"/>
        </w:rPr>
        <w:t xml:space="preserve"> wodnych. Średnioroczna ilość wody przypadająca na jednego mieszkańca Polski to 1655 m3/rok</w:t>
      </w:r>
      <w:r w:rsidRPr="004E3242">
        <w:rPr>
          <w:rFonts w:ascii="Arial" w:eastAsia="Times New Roman" w:hAnsi="Arial" w:cs="Arial"/>
          <w:sz w:val="20"/>
          <w:szCs w:val="20"/>
          <w:vertAlign w:val="superscript"/>
          <w:lang w:eastAsia="pl-PL"/>
        </w:rPr>
        <w:footnoteReference w:id="7"/>
      </w:r>
      <w:r w:rsidRPr="004E3242">
        <w:rPr>
          <w:rFonts w:ascii="Arial" w:eastAsia="Times New Roman" w:hAnsi="Arial" w:cs="Arial"/>
          <w:sz w:val="20"/>
          <w:szCs w:val="20"/>
          <w:lang w:eastAsia="pl-PL"/>
        </w:rPr>
        <w:t xml:space="preserve"> i jest blisko trzykrotnie mniejsza niż średnioroczna w Europie, wynosząca 4560 m3/rok.</w:t>
      </w:r>
    </w:p>
    <w:p w14:paraId="3183303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Dodatkowe zagrożenie stanowią </w:t>
      </w:r>
      <w:r w:rsidRPr="004E3242">
        <w:rPr>
          <w:rFonts w:ascii="Arial" w:eastAsia="Times New Roman" w:hAnsi="Arial" w:cs="Arial"/>
          <w:b/>
          <w:bCs/>
          <w:sz w:val="20"/>
          <w:szCs w:val="20"/>
          <w:lang w:eastAsia="pl-PL"/>
        </w:rPr>
        <w:t xml:space="preserve">poważne awarie </w:t>
      </w:r>
      <w:r w:rsidRPr="004E3242">
        <w:rPr>
          <w:rFonts w:ascii="Arial" w:eastAsia="Times New Roman" w:hAnsi="Arial" w:cs="Arial"/>
          <w:sz w:val="20"/>
          <w:szCs w:val="20"/>
          <w:lang w:eastAsia="pl-PL"/>
        </w:rPr>
        <w:t>(w 2010 r. w Polsce odnotowano 114 poważnych awarii</w:t>
      </w:r>
      <w:r w:rsidRPr="004E3242">
        <w:rPr>
          <w:rFonts w:ascii="Arial" w:eastAsia="Times New Roman" w:hAnsi="Arial" w:cs="Arial"/>
          <w:sz w:val="20"/>
          <w:szCs w:val="20"/>
          <w:vertAlign w:val="superscript"/>
          <w:lang w:eastAsia="pl-PL"/>
        </w:rPr>
        <w:footnoteReference w:id="8"/>
      </w:r>
      <w:r w:rsidRPr="004E3242">
        <w:rPr>
          <w:rFonts w:ascii="Arial" w:eastAsia="Times New Roman" w:hAnsi="Arial" w:cs="Arial"/>
          <w:sz w:val="20"/>
          <w:szCs w:val="20"/>
          <w:lang w:eastAsia="pl-PL"/>
        </w:rPr>
        <w:t>). W przypadku wystąpienia takiego zdarzenia konieczna jest szybka reakcja odpowiednich służb, aby zmniejszyć do minimum występujące zagrożenie życia lub zdrowia ludzi oraz zapobiec negatywnym skutkom dla środowiska.</w:t>
      </w:r>
    </w:p>
    <w:p w14:paraId="10DD67E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Zrównoważone wykorzystywanie i ochrona zasobów środowiska jest nierozerwalnie związane </w:t>
      </w:r>
      <w:r w:rsidRPr="004E3242">
        <w:rPr>
          <w:rFonts w:ascii="Arial" w:eastAsia="Times New Roman" w:hAnsi="Arial" w:cs="Arial"/>
          <w:sz w:val="20"/>
          <w:szCs w:val="20"/>
          <w:lang w:eastAsia="pl-PL"/>
        </w:rPr>
        <w:br/>
        <w:t xml:space="preserve">z prowadzeniem właściwego </w:t>
      </w:r>
      <w:r w:rsidRPr="004E3242">
        <w:rPr>
          <w:rFonts w:ascii="Arial" w:eastAsia="Times New Roman" w:hAnsi="Arial" w:cs="Arial"/>
          <w:b/>
          <w:bCs/>
          <w:sz w:val="20"/>
          <w:szCs w:val="20"/>
          <w:lang w:eastAsia="pl-PL"/>
        </w:rPr>
        <w:t>monitoringu poszczególnych komponentów środowiska</w:t>
      </w:r>
      <w:r w:rsidRPr="004E3242">
        <w:rPr>
          <w:rFonts w:ascii="Arial" w:eastAsia="Times New Roman" w:hAnsi="Arial" w:cs="Arial"/>
          <w:sz w:val="20"/>
          <w:szCs w:val="20"/>
          <w:lang w:eastAsia="pl-PL"/>
        </w:rPr>
        <w:t>. Ma na celu gromadzenie wiarygodnych danych, ich analizę oraz przygotowywanie prognoz.</w:t>
      </w:r>
    </w:p>
    <w:p w14:paraId="18E7CC0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Jednym z najważniejszych wyzwań w zakresie zrównoważonego rozwoju jest efektywne korzystanie </w:t>
      </w:r>
      <w:r w:rsidRPr="004E3242">
        <w:rPr>
          <w:rFonts w:ascii="Arial" w:eastAsia="Times New Roman" w:hAnsi="Arial" w:cs="Arial"/>
          <w:sz w:val="20"/>
          <w:szCs w:val="20"/>
          <w:lang w:eastAsia="pl-PL"/>
        </w:rPr>
        <w:br/>
        <w:t>z coraz bardziej ograniczonych zasobów wodnych oraz poprawa ich jakości</w:t>
      </w:r>
      <w:r w:rsidRPr="004E3242">
        <w:rPr>
          <w:rFonts w:ascii="Arial" w:eastAsia="Times New Roman" w:hAnsi="Arial" w:cs="Arial"/>
          <w:sz w:val="20"/>
          <w:szCs w:val="20"/>
          <w:vertAlign w:val="superscript"/>
          <w:lang w:eastAsia="pl-PL"/>
        </w:rPr>
        <w:footnoteReference w:id="9"/>
      </w:r>
      <w:r w:rsidRPr="004E3242">
        <w:rPr>
          <w:rFonts w:ascii="Arial" w:eastAsia="Times New Roman" w:hAnsi="Arial" w:cs="Arial"/>
          <w:sz w:val="20"/>
          <w:szCs w:val="20"/>
          <w:lang w:eastAsia="pl-PL"/>
        </w:rPr>
        <w:t xml:space="preserve">. Dane monitoringowe wskazują, że ok. 80% rzek należy do III klasy czystości, natomiast w ogóle nie odnotowano wód </w:t>
      </w:r>
      <w:r w:rsidRPr="004E3242">
        <w:rPr>
          <w:rFonts w:ascii="Arial" w:eastAsia="Times New Roman" w:hAnsi="Arial" w:cs="Arial"/>
          <w:sz w:val="20"/>
          <w:szCs w:val="20"/>
          <w:lang w:eastAsia="pl-PL"/>
        </w:rPr>
        <w:br/>
        <w:t>w najwyższej, I klasie jakości. Czynnikiem, przyczyniającym się do degradacji zasobów wodnych jest ich eutrofizacja, wynikająca m.in. z odprowadzania do wód ścieków (komunalnych i przemysłowych) oraz zanieczyszczeń pochodzenia rolniczego.</w:t>
      </w:r>
    </w:p>
    <w:p w14:paraId="0F8C055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Głównym celem działań w </w:t>
      </w:r>
      <w:r w:rsidRPr="004E3242">
        <w:rPr>
          <w:rFonts w:ascii="Arial" w:eastAsia="Times New Roman" w:hAnsi="Arial" w:cs="Arial"/>
          <w:b/>
          <w:bCs/>
          <w:sz w:val="20"/>
          <w:szCs w:val="20"/>
          <w:lang w:eastAsia="pl-PL"/>
        </w:rPr>
        <w:t xml:space="preserve">gospodarce wodno-ściekowej, </w:t>
      </w:r>
      <w:r w:rsidRPr="004E3242">
        <w:rPr>
          <w:rFonts w:ascii="Arial" w:eastAsia="Times New Roman" w:hAnsi="Arial" w:cs="Arial"/>
          <w:sz w:val="20"/>
          <w:szCs w:val="20"/>
          <w:lang w:eastAsia="pl-PL"/>
        </w:rPr>
        <w:t xml:space="preserve">bezpośrednio związanym z efektywnym gospodarowaniem zasobami wodnymi, jest konieczność ograniczenia zrzutów nieoczyszczonych </w:t>
      </w:r>
      <w:r w:rsidRPr="004E3242">
        <w:rPr>
          <w:rFonts w:ascii="Arial" w:eastAsia="Times New Roman" w:hAnsi="Arial" w:cs="Arial"/>
          <w:sz w:val="20"/>
          <w:szCs w:val="20"/>
          <w:lang w:eastAsia="pl-PL"/>
        </w:rPr>
        <w:br/>
        <w:t>i niedostatecznie oczyszczonych ścieków. Pomimo zauważalnego w ostatnich latach postępu w tym zakresie, nadal ok. 31% mieszkańców Polski pozostaje bez dostępu do oczyszczalni ścieków komunalnych. Szacuje się, że nadal 8% ścieków komunalnych jest nieoczyszczanych</w:t>
      </w:r>
      <w:r w:rsidRPr="004E3242">
        <w:rPr>
          <w:rFonts w:ascii="Arial" w:eastAsia="Times New Roman" w:hAnsi="Arial" w:cs="Arial"/>
          <w:sz w:val="20"/>
          <w:szCs w:val="20"/>
          <w:vertAlign w:val="superscript"/>
          <w:lang w:eastAsia="pl-PL"/>
        </w:rPr>
        <w:footnoteReference w:id="10"/>
      </w:r>
      <w:r w:rsidRPr="004E3242">
        <w:rPr>
          <w:rFonts w:ascii="Arial" w:eastAsia="Times New Roman" w:hAnsi="Arial" w:cs="Arial"/>
          <w:sz w:val="20"/>
          <w:szCs w:val="20"/>
          <w:lang w:eastAsia="pl-PL"/>
        </w:rPr>
        <w:t xml:space="preserve">. Wyzwaniem w kolejnych latach będzie również efektywne zagospodarowanie przyrastającej masy </w:t>
      </w:r>
      <w:r w:rsidRPr="004E3242">
        <w:rPr>
          <w:rFonts w:ascii="Arial" w:eastAsia="Times New Roman" w:hAnsi="Arial" w:cs="Arial"/>
          <w:b/>
          <w:bCs/>
          <w:sz w:val="20"/>
          <w:szCs w:val="20"/>
          <w:lang w:eastAsia="pl-PL"/>
        </w:rPr>
        <w:t>osadów ściekowych</w:t>
      </w:r>
      <w:r w:rsidRPr="004E3242">
        <w:rPr>
          <w:rFonts w:ascii="Arial" w:eastAsia="Times New Roman" w:hAnsi="Arial" w:cs="Arial"/>
          <w:sz w:val="20"/>
          <w:szCs w:val="20"/>
          <w:lang w:eastAsia="pl-PL"/>
        </w:rPr>
        <w:t>, a właściwa gospodarka nimi pozwoli także na ograniczenie emisji jednego z głównych gazów cieplarnianych, tj. metanu, który jest emitowany w procesie fermentacji osadów ściekowych.</w:t>
      </w:r>
    </w:p>
    <w:p w14:paraId="09B57C5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Obszarem wymagającym podejmowania dalszych działań jest obszar </w:t>
      </w:r>
      <w:r w:rsidRPr="004E3242">
        <w:rPr>
          <w:rFonts w:ascii="Arial" w:eastAsia="Times New Roman" w:hAnsi="Arial" w:cs="Arial"/>
          <w:b/>
          <w:bCs/>
          <w:sz w:val="20"/>
          <w:szCs w:val="20"/>
          <w:lang w:eastAsia="pl-PL"/>
        </w:rPr>
        <w:t>gospodarki odpadami</w:t>
      </w:r>
      <w:r w:rsidRPr="004E3242">
        <w:rPr>
          <w:rFonts w:ascii="Arial" w:eastAsia="Times New Roman" w:hAnsi="Arial" w:cs="Arial"/>
          <w:sz w:val="20"/>
          <w:szCs w:val="20"/>
          <w:lang w:eastAsia="pl-PL"/>
        </w:rPr>
        <w:t xml:space="preserve">. Zdecydowana większość </w:t>
      </w:r>
      <w:r w:rsidRPr="004E3242">
        <w:rPr>
          <w:rFonts w:ascii="Arial" w:eastAsia="Times New Roman" w:hAnsi="Arial" w:cs="Arial"/>
          <w:b/>
          <w:bCs/>
          <w:sz w:val="20"/>
          <w:szCs w:val="20"/>
          <w:lang w:eastAsia="pl-PL"/>
        </w:rPr>
        <w:t>odpadów komunalnych</w:t>
      </w:r>
      <w:r w:rsidRPr="004E3242">
        <w:rPr>
          <w:rFonts w:ascii="Arial" w:eastAsia="Times New Roman" w:hAnsi="Arial" w:cs="Arial"/>
          <w:sz w:val="20"/>
          <w:szCs w:val="20"/>
          <w:lang w:eastAsia="pl-PL"/>
        </w:rPr>
        <w:t xml:space="preserve"> jest składowana – w 2011 r.</w:t>
      </w:r>
      <w:r w:rsidRPr="004E3242">
        <w:rPr>
          <w:rFonts w:ascii="Arial" w:eastAsia="Times New Roman" w:hAnsi="Arial" w:cs="Arial"/>
          <w:sz w:val="20"/>
          <w:szCs w:val="20"/>
          <w:vertAlign w:val="superscript"/>
          <w:lang w:eastAsia="pl-PL"/>
        </w:rPr>
        <w:footnoteReference w:id="11"/>
      </w:r>
      <w:r w:rsidRPr="004E3242">
        <w:rPr>
          <w:rFonts w:ascii="Arial" w:eastAsia="Times New Roman" w:hAnsi="Arial" w:cs="Arial"/>
          <w:sz w:val="20"/>
          <w:szCs w:val="20"/>
          <w:lang w:eastAsia="pl-PL"/>
        </w:rPr>
        <w:t xml:space="preserve"> było to aż 79% odpadów zebranych w sposób nieselektywny, termicznemu unieszkodliwieniu poddano 1% odpadów, pozostałe były przetwarzane w sposób mechaniczny, biologiczny lub mechaniczno-biologiczny. Wysegregowaniu ze strumienia odpadów zmieszanych uległo jedynie 4%.</w:t>
      </w:r>
    </w:p>
    <w:p w14:paraId="126F4BF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Największym wyzwaniem jest więc rozwój systemów selektywnego zbierania odpadów zapewniających pozyskanie odpadów nadających się do recyklingu. Konieczny jest też rozwój: instalacji do sortowania selektywnie zebranych odpadów, instalacji do przetwarzania bioodpadów oraz instalacji do termicznego przekształcania odpadów z odzyskiem energii. Konieczne jest podejmowanie działań zmierzających </w:t>
      </w:r>
      <w:r w:rsidRPr="004E3242">
        <w:rPr>
          <w:rFonts w:ascii="Arial" w:eastAsia="Times New Roman" w:hAnsi="Arial" w:cs="Arial"/>
          <w:b/>
          <w:bCs/>
          <w:sz w:val="20"/>
          <w:szCs w:val="20"/>
          <w:lang w:eastAsia="pl-PL"/>
        </w:rPr>
        <w:t>do zapobiegania powstawaniu odpadów</w:t>
      </w:r>
      <w:r w:rsidRPr="004E3242">
        <w:rPr>
          <w:rFonts w:ascii="Arial" w:eastAsia="Times New Roman" w:hAnsi="Arial" w:cs="Arial"/>
          <w:sz w:val="20"/>
          <w:szCs w:val="20"/>
          <w:lang w:eastAsia="pl-PL"/>
        </w:rPr>
        <w:t xml:space="preserve">, w tym działania zmierzające do zmiany </w:t>
      </w:r>
      <w:proofErr w:type="spellStart"/>
      <w:r w:rsidRPr="004E3242">
        <w:rPr>
          <w:rFonts w:ascii="Arial" w:eastAsia="Times New Roman" w:hAnsi="Arial" w:cs="Arial"/>
          <w:sz w:val="20"/>
          <w:szCs w:val="20"/>
          <w:lang w:eastAsia="pl-PL"/>
        </w:rPr>
        <w:t>zachowań</w:t>
      </w:r>
      <w:proofErr w:type="spellEnd"/>
      <w:r w:rsidRPr="004E3242">
        <w:rPr>
          <w:rFonts w:ascii="Arial" w:eastAsia="Times New Roman" w:hAnsi="Arial" w:cs="Arial"/>
          <w:sz w:val="20"/>
          <w:szCs w:val="20"/>
          <w:lang w:eastAsia="pl-PL"/>
        </w:rPr>
        <w:t xml:space="preserve"> mieszkańców w zakresie ograniczania ilości wytwarzanych odpadów oraz ich właściwej segregacji u źródła.</w:t>
      </w:r>
    </w:p>
    <w:p w14:paraId="52C1944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Polska jest krajem o dużym potencjale w zakresie </w:t>
      </w:r>
      <w:r w:rsidRPr="004E3242">
        <w:rPr>
          <w:rFonts w:ascii="Arial" w:eastAsia="Times New Roman" w:hAnsi="Arial" w:cs="Arial"/>
          <w:b/>
          <w:bCs/>
          <w:sz w:val="20"/>
          <w:szCs w:val="20"/>
          <w:lang w:eastAsia="pl-PL"/>
        </w:rPr>
        <w:t>różnorodności biologicznej i stanu zachowania dziedzictwa przyrodniczego</w:t>
      </w:r>
      <w:r w:rsidRPr="004E3242">
        <w:rPr>
          <w:rFonts w:ascii="Arial" w:eastAsia="Times New Roman" w:hAnsi="Arial" w:cs="Arial"/>
          <w:sz w:val="20"/>
          <w:szCs w:val="20"/>
          <w:lang w:eastAsia="pl-PL"/>
        </w:rPr>
        <w:t>, zidentyfikowano</w:t>
      </w:r>
      <w:r w:rsidRPr="004E3242">
        <w:rPr>
          <w:rFonts w:ascii="Arial" w:eastAsia="Times New Roman" w:hAnsi="Arial" w:cs="Arial"/>
          <w:sz w:val="20"/>
          <w:szCs w:val="20"/>
          <w:vertAlign w:val="superscript"/>
          <w:lang w:eastAsia="pl-PL"/>
        </w:rPr>
        <w:footnoteReference w:id="12"/>
      </w:r>
      <w:r w:rsidRPr="004E3242">
        <w:rPr>
          <w:rFonts w:ascii="Arial" w:eastAsia="Times New Roman" w:hAnsi="Arial" w:cs="Arial"/>
          <w:sz w:val="20"/>
          <w:szCs w:val="20"/>
          <w:lang w:eastAsia="pl-PL"/>
        </w:rPr>
        <w:t xml:space="preserve"> 485 zespołów roślinnych, z czego ok. 12% uznaje się za unikalne. Łączna liczba zarejestrowanych gatunków kształtuje się na poziomie 60 tys. (ok. 16 tys. gatunków roślin oraz ok. 35 tys. gatunków zwierząt). W celu zachowania dziedzictwa przyrodniczego Polski, na koniec 2012 r.</w:t>
      </w:r>
      <w:r w:rsidRPr="004E3242">
        <w:rPr>
          <w:rFonts w:ascii="Arial" w:eastAsia="Times New Roman" w:hAnsi="Arial" w:cs="Arial"/>
          <w:sz w:val="20"/>
          <w:szCs w:val="20"/>
          <w:vertAlign w:val="superscript"/>
          <w:lang w:eastAsia="pl-PL"/>
        </w:rPr>
        <w:footnoteReference w:id="13"/>
      </w:r>
      <w:r w:rsidRPr="004E3242">
        <w:rPr>
          <w:rFonts w:ascii="Arial" w:eastAsia="Times New Roman" w:hAnsi="Arial" w:cs="Arial"/>
          <w:sz w:val="20"/>
          <w:szCs w:val="20"/>
          <w:lang w:eastAsia="pl-PL"/>
        </w:rPr>
        <w:t xml:space="preserve"> krajowymi formami ochrony przyrody objęte było ponad 10,15 mln ha, co stanowiło 32,5% powierzchni kraju. Biorąc jednak po uwagę nasilające się zagrożenia dla różnorodności biologicznej, typowe dla procesów cywilizacyjnych, konieczne jest podjęcie szeregu działań służących </w:t>
      </w:r>
      <w:r w:rsidRPr="004E3242">
        <w:rPr>
          <w:rFonts w:ascii="Arial" w:eastAsia="Times New Roman" w:hAnsi="Arial" w:cs="Arial"/>
          <w:b/>
          <w:bCs/>
          <w:sz w:val="20"/>
          <w:szCs w:val="20"/>
          <w:lang w:eastAsia="pl-PL"/>
        </w:rPr>
        <w:t>zahamowaniu spadku różnorodności</w:t>
      </w:r>
      <w:r w:rsidRPr="004E3242">
        <w:rPr>
          <w:rFonts w:ascii="Arial" w:eastAsia="Times New Roman" w:hAnsi="Arial" w:cs="Arial"/>
          <w:sz w:val="20"/>
          <w:szCs w:val="20"/>
          <w:lang w:eastAsia="pl-PL"/>
        </w:rPr>
        <w:t xml:space="preserve"> </w:t>
      </w:r>
      <w:r w:rsidRPr="004E3242">
        <w:rPr>
          <w:rFonts w:ascii="Arial" w:eastAsia="Times New Roman" w:hAnsi="Arial" w:cs="Arial"/>
          <w:b/>
          <w:bCs/>
          <w:sz w:val="20"/>
          <w:szCs w:val="20"/>
          <w:lang w:eastAsia="pl-PL"/>
        </w:rPr>
        <w:t>biologicznej</w:t>
      </w:r>
      <w:r w:rsidRPr="004E3242">
        <w:rPr>
          <w:rFonts w:ascii="Arial" w:eastAsia="Times New Roman" w:hAnsi="Arial" w:cs="Arial"/>
          <w:sz w:val="20"/>
          <w:szCs w:val="20"/>
          <w:lang w:eastAsia="pl-PL"/>
        </w:rPr>
        <w:t>.</w:t>
      </w:r>
    </w:p>
    <w:p w14:paraId="676229F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Występowanie </w:t>
      </w:r>
      <w:r w:rsidRPr="004E3242">
        <w:rPr>
          <w:rFonts w:ascii="Arial" w:eastAsia="Times New Roman" w:hAnsi="Arial" w:cs="Arial"/>
          <w:b/>
          <w:bCs/>
          <w:sz w:val="20"/>
          <w:szCs w:val="20"/>
          <w:lang w:eastAsia="pl-PL"/>
        </w:rPr>
        <w:t>terenów zdegradowanych dotyczy głównie rejonów</w:t>
      </w:r>
      <w:r w:rsidRPr="004E3242">
        <w:rPr>
          <w:rFonts w:ascii="Arial" w:eastAsia="Times New Roman" w:hAnsi="Arial" w:cs="Arial"/>
          <w:sz w:val="20"/>
          <w:szCs w:val="20"/>
          <w:lang w:eastAsia="pl-PL"/>
        </w:rPr>
        <w:t xml:space="preserve"> silnie uprzemysłowionych </w:t>
      </w:r>
      <w:r w:rsidRPr="004E3242">
        <w:rPr>
          <w:rFonts w:ascii="Arial" w:eastAsia="Times New Roman" w:hAnsi="Arial" w:cs="Arial"/>
          <w:sz w:val="20"/>
          <w:szCs w:val="20"/>
          <w:lang w:eastAsia="pl-PL"/>
        </w:rPr>
        <w:br/>
        <w:t>i zurbanizowanych. W Polsce występuje problem terenów zanieczyszczonych na skutek prowadzenia działalności gospodarczej, dla których utrudnione jest pociągnięcie do odpowiedzialności faktycznego sprawcę zanieczyszczenia, którym nie zawsze jest aktualny właściciel tego terenu.</w:t>
      </w:r>
    </w:p>
    <w:p w14:paraId="3BF05E6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Dla zrównoważonego rozwoju niezbędne są nie tylko proekologiczne inwestycje i rozsądne gospodarowanie zasobami naturalnymi, ale też wysoka </w:t>
      </w:r>
      <w:r w:rsidRPr="004E3242">
        <w:rPr>
          <w:rFonts w:ascii="Arial" w:eastAsia="Times New Roman" w:hAnsi="Arial" w:cs="Arial"/>
          <w:b/>
          <w:bCs/>
          <w:sz w:val="20"/>
          <w:szCs w:val="20"/>
          <w:lang w:eastAsia="pl-PL"/>
        </w:rPr>
        <w:t>świadomość ekologiczna społeczeństwa</w:t>
      </w:r>
      <w:r w:rsidRPr="004E3242">
        <w:rPr>
          <w:rFonts w:ascii="Arial" w:eastAsia="Times New Roman" w:hAnsi="Arial" w:cs="Arial"/>
          <w:sz w:val="20"/>
          <w:szCs w:val="20"/>
          <w:lang w:eastAsia="pl-PL"/>
        </w:rPr>
        <w:t xml:space="preserve">. Promowanie </w:t>
      </w:r>
      <w:proofErr w:type="spellStart"/>
      <w:r w:rsidRPr="004E3242">
        <w:rPr>
          <w:rFonts w:ascii="Arial" w:eastAsia="Times New Roman" w:hAnsi="Arial" w:cs="Arial"/>
          <w:sz w:val="20"/>
          <w:szCs w:val="20"/>
          <w:lang w:eastAsia="pl-PL"/>
        </w:rPr>
        <w:t>zachowań</w:t>
      </w:r>
      <w:proofErr w:type="spellEnd"/>
      <w:r w:rsidRPr="004E3242">
        <w:rPr>
          <w:rFonts w:ascii="Arial" w:eastAsia="Times New Roman" w:hAnsi="Arial" w:cs="Arial"/>
          <w:sz w:val="20"/>
          <w:szCs w:val="20"/>
          <w:lang w:eastAsia="pl-PL"/>
        </w:rPr>
        <w:t xml:space="preserve"> ekologicznych spełnia przesłanki tzw. działania u źródła.</w:t>
      </w:r>
    </w:p>
    <w:p w14:paraId="0F61F99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Istotnym problemem jest również dotrzymanie </w:t>
      </w:r>
      <w:r w:rsidRPr="004E3242">
        <w:rPr>
          <w:rFonts w:ascii="Arial" w:eastAsia="Times New Roman" w:hAnsi="Arial" w:cs="Arial"/>
          <w:b/>
          <w:bCs/>
          <w:sz w:val="20"/>
          <w:szCs w:val="20"/>
          <w:lang w:eastAsia="pl-PL"/>
        </w:rPr>
        <w:t>standardów jakości powietrza.</w:t>
      </w:r>
      <w:r w:rsidRPr="004E3242">
        <w:rPr>
          <w:rFonts w:ascii="Arial" w:eastAsia="Times New Roman" w:hAnsi="Arial" w:cs="Arial"/>
          <w:sz w:val="20"/>
          <w:szCs w:val="20"/>
          <w:lang w:eastAsia="pl-PL"/>
        </w:rPr>
        <w:t xml:space="preserve"> W odniesieniu do </w:t>
      </w:r>
      <w:r w:rsidRPr="004E3242">
        <w:rPr>
          <w:rFonts w:ascii="Arial" w:eastAsia="Times New Roman" w:hAnsi="Arial" w:cs="Arial"/>
          <w:b/>
          <w:bCs/>
          <w:sz w:val="20"/>
          <w:szCs w:val="20"/>
          <w:lang w:eastAsia="pl-PL"/>
        </w:rPr>
        <w:t>wymiaru terytorialnego</w:t>
      </w:r>
      <w:r w:rsidRPr="004E3242">
        <w:rPr>
          <w:rFonts w:ascii="Arial" w:eastAsia="Times New Roman" w:hAnsi="Arial" w:cs="Arial"/>
          <w:sz w:val="20"/>
          <w:szCs w:val="20"/>
          <w:lang w:eastAsia="pl-PL"/>
        </w:rPr>
        <w:t xml:space="preserve"> interwencji, należy podkreślić, że osiągniecie i utrzymanie wysokiej jakości środowiska przyrodniczego i walorów krajobrazowych oraz efektywne korzystanie z zasobów przyrody są kluczowymi elementami rozwoju zrównoważonego i wymagają szczególnego podejścia polityki rozwoju </w:t>
      </w:r>
      <w:r w:rsidRPr="004E3242">
        <w:rPr>
          <w:rFonts w:ascii="Arial" w:eastAsia="Times New Roman" w:hAnsi="Arial" w:cs="Arial"/>
          <w:b/>
          <w:bCs/>
          <w:sz w:val="20"/>
          <w:szCs w:val="20"/>
          <w:lang w:eastAsia="pl-PL"/>
        </w:rPr>
        <w:t>bez względu na to, jakiego obszaru (terytorium) dotyczą</w:t>
      </w:r>
      <w:r w:rsidRPr="004E3242">
        <w:rPr>
          <w:rFonts w:ascii="Arial" w:eastAsia="Times New Roman" w:hAnsi="Arial" w:cs="Arial"/>
          <w:sz w:val="20"/>
          <w:szCs w:val="20"/>
          <w:lang w:eastAsia="pl-PL"/>
        </w:rPr>
        <w:t>. Cele rozwoju zrównoważonego mają charakter horyzontalny i powinny przenikać wszystkie działania podejmowane w przestrzeni.</w:t>
      </w:r>
    </w:p>
    <w:p w14:paraId="3CB213B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Dziedzictwo kulturowe</w:t>
      </w:r>
      <w:r w:rsidRPr="004E3242">
        <w:rPr>
          <w:rFonts w:ascii="Arial" w:eastAsia="Times New Roman" w:hAnsi="Arial" w:cs="Arial"/>
          <w:sz w:val="20"/>
          <w:szCs w:val="20"/>
          <w:lang w:eastAsia="pl-PL"/>
        </w:rPr>
        <w:t xml:space="preserve"> jest zasobem, który należy chronić i wzmacniać dla efektywnego osiągania celów rozwoju zrównoważonego kraju. Jako czynnik rozwoju ma duże znaczenie dla wzmacniania atrakcyjności i konkurencyjności miast oraz regionów. Zgodnie z „Konwencją UNESCO” przez dziedzictwo kulturowe rozumie się dziedzictwo materialne, na które składają się </w:t>
      </w:r>
      <w:r w:rsidRPr="004E3242">
        <w:rPr>
          <w:rFonts w:ascii="Arial" w:eastAsia="Times New Roman" w:hAnsi="Arial" w:cs="Arial"/>
          <w:b/>
          <w:bCs/>
          <w:sz w:val="20"/>
          <w:szCs w:val="20"/>
          <w:lang w:eastAsia="pl-PL"/>
        </w:rPr>
        <w:t>zabytki nieruchome i ruchome</w:t>
      </w:r>
      <w:r w:rsidRPr="004E3242">
        <w:rPr>
          <w:rFonts w:ascii="Arial" w:eastAsia="Times New Roman" w:hAnsi="Arial" w:cs="Arial"/>
          <w:sz w:val="20"/>
          <w:szCs w:val="20"/>
          <w:lang w:eastAsia="pl-PL"/>
        </w:rPr>
        <w:t xml:space="preserve"> (w tym dzieła architektury, rzeźby i malarstwa oraz inne mające wyjątkową powszechną wartość z punktu widzenia historii, sztuki lub nauki) oraz dziedzictwo niematerialne. W wymiarze fizycznym dziedzictwo niematerialne prezentowane jest za pośrednictwem </w:t>
      </w:r>
      <w:r w:rsidRPr="004E3242">
        <w:rPr>
          <w:rFonts w:ascii="Arial" w:eastAsia="Times New Roman" w:hAnsi="Arial" w:cs="Arial"/>
          <w:b/>
          <w:bCs/>
          <w:sz w:val="20"/>
          <w:szCs w:val="20"/>
          <w:lang w:eastAsia="pl-PL"/>
        </w:rPr>
        <w:t>instytucji kultury</w:t>
      </w:r>
      <w:r w:rsidRPr="004E3242">
        <w:rPr>
          <w:rFonts w:ascii="Arial" w:eastAsia="Times New Roman" w:hAnsi="Arial" w:cs="Arial"/>
          <w:sz w:val="20"/>
          <w:szCs w:val="20"/>
          <w:lang w:eastAsia="pl-PL"/>
        </w:rPr>
        <w:t>, wykorzystujących jako instrumentarium zarówno zasoby zabytkowe, jak również współczesne formy upowszechniania: infrastrukturę kultury oraz nowoczesne technologie.</w:t>
      </w:r>
    </w:p>
    <w:p w14:paraId="16AA395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Polska posiada bogate zasoby </w:t>
      </w:r>
      <w:r w:rsidRPr="004E3242">
        <w:rPr>
          <w:rFonts w:ascii="Arial" w:eastAsia="Times New Roman" w:hAnsi="Arial" w:cs="Arial"/>
          <w:b/>
          <w:bCs/>
          <w:sz w:val="20"/>
          <w:szCs w:val="20"/>
          <w:lang w:eastAsia="pl-PL"/>
        </w:rPr>
        <w:t xml:space="preserve">dziedzictwa kulturowego </w:t>
      </w:r>
      <w:r w:rsidRPr="004E3242">
        <w:rPr>
          <w:rFonts w:ascii="Arial" w:eastAsia="Times New Roman" w:hAnsi="Arial" w:cs="Arial"/>
          <w:sz w:val="20"/>
          <w:szCs w:val="20"/>
          <w:lang w:eastAsia="pl-PL"/>
        </w:rPr>
        <w:t xml:space="preserve">– zarówno ruchomego, jak i nieruchomego. Biorąc pod uwagę, że dziedzictwo kulturowe, podobnie jak naturalne, jest zasobem niepowtarzalnym </w:t>
      </w:r>
      <w:r w:rsidRPr="004E3242">
        <w:rPr>
          <w:rFonts w:ascii="Arial" w:eastAsia="Times New Roman" w:hAnsi="Arial" w:cs="Arial"/>
          <w:sz w:val="20"/>
          <w:szCs w:val="20"/>
          <w:lang w:eastAsia="pl-PL"/>
        </w:rPr>
        <w:br/>
        <w:t>i nieodnawialnym wymaga stałej ochrony i świadomego gospodarowania. W 2011 r. udział wydatków publicznych na kulturę i ochronę dziedzictwa narodowego w PKB stanowił 0,53%. 42% zabytków wymaga remontu zabezpieczającego lub remontu kapitalnego,, a jedynie 9% zabytków nie wymaga remontów i napraw. Problemem sektora kultury jest też jej niedoinwestowanie, zwłaszcza jeśli chodzi o wyposażenie i nowoczesne technologie. Istotnym czynnikiem upowszechnienia, a także ochrony kultury jest digitalizacja zasobów i ułatwienie dostępu do nich za pomocą nowych technologii, których kosztu większość instytucji kultury w kraju nie jest w stanie sfinansować, w oparciu o posiadane środki.</w:t>
      </w:r>
    </w:p>
    <w:p w14:paraId="1B67198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Rozwój dziedzictwa kulturalnego oraz zasobów kultury ma pozytywny wpływ na osiąganie celów rozwoju zrównoważonego poprzez ich komplementarność oraz powiązania z szeroko rozumianymi zasobami dziedzictwa naturalnego. Pozytywny wpływ miast na konkurencyjność terytorialną jest możliwy m.in. dzięki wykorzystaniu potencjałów tkwiących w zasobach dziedzictwa kulturowego. Przestrzenie publiczne, na które składają się obiekty zabytkowe oraz nowoczesne instytucje kultury przystosowane do świadczenia wysokiej jakości usług kulturalnych, stanowią o wzroście konkurencyjności ośrodków miejskich jako miejsc atrakcyjnych dla potencjalnych inwestorów, turystów i twórców. Dziedzictwo kulturowe stanowi istotny czynnik stymulujący rozwój sektora turystyki, mający duże znaczenie dla polskiej gospodarki.</w:t>
      </w:r>
    </w:p>
    <w:p w14:paraId="5D4BE04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Nowoczesny </w:t>
      </w:r>
      <w:r w:rsidRPr="004E3242">
        <w:rPr>
          <w:rFonts w:ascii="Arial" w:eastAsia="Times New Roman" w:hAnsi="Arial" w:cs="Arial"/>
          <w:b/>
          <w:bCs/>
          <w:sz w:val="20"/>
          <w:szCs w:val="20"/>
          <w:lang w:eastAsia="pl-PL"/>
        </w:rPr>
        <w:t>system transportowy</w:t>
      </w:r>
      <w:r w:rsidRPr="004E3242">
        <w:rPr>
          <w:rFonts w:ascii="Arial" w:eastAsia="Times New Roman" w:hAnsi="Arial" w:cs="Arial"/>
          <w:sz w:val="20"/>
          <w:szCs w:val="20"/>
          <w:lang w:eastAsia="pl-PL"/>
        </w:rPr>
        <w:t xml:space="preserve"> musi zmierzyć się z podwójnym wyzwaniem – zapewnienia sprawnej i wydajnej infrastruktury, która sprzyjałaby rozwojowi gospodarczemu, a jednocześnie służyła celom gospodarki niskoemisyjnej. Dokończenie budowy spójnej sieci transportowej w Polsce, poprawa konkurencyjności ekologicznych form transportu oraz integracja wszystkich gałęzi transportowych są jednym z priorytetów w procesie transformacji gospodarki, która byłaby konkurencyjna, a jednocześnie spełniała wymogi niskiej emisyjności.</w:t>
      </w:r>
    </w:p>
    <w:p w14:paraId="42E719F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Obecna </w:t>
      </w:r>
      <w:r w:rsidRPr="004E3242">
        <w:rPr>
          <w:rFonts w:ascii="Arial" w:eastAsia="Times New Roman" w:hAnsi="Arial" w:cs="Arial"/>
          <w:b/>
          <w:bCs/>
          <w:sz w:val="20"/>
          <w:szCs w:val="20"/>
          <w:lang w:eastAsia="pl-PL"/>
        </w:rPr>
        <w:t>sieć kolejowa</w:t>
      </w:r>
      <w:r w:rsidRPr="004E3242">
        <w:rPr>
          <w:rFonts w:ascii="Arial" w:eastAsia="Times New Roman" w:hAnsi="Arial" w:cs="Arial"/>
          <w:sz w:val="20"/>
          <w:szCs w:val="20"/>
          <w:lang w:eastAsia="pl-PL"/>
        </w:rPr>
        <w:t xml:space="preserve"> w Polsce, pomimo szeregu inwestycji w ostatnich latach, charakteryzuje się nadal złym stanem technicznym, wynikającym z wieloletnich zaniedbań inwestycyjnych. Nieatrakcyjność cenowa połączona z podatnością infrastruktury kolejowej na awarie, a także niewystarczająca integracja z innymi formami transportu powodują niski poziom wykorzystania kolei </w:t>
      </w:r>
      <w:r w:rsidRPr="004E3242">
        <w:rPr>
          <w:rFonts w:ascii="Arial" w:eastAsia="Times New Roman" w:hAnsi="Arial" w:cs="Arial"/>
          <w:sz w:val="20"/>
          <w:szCs w:val="20"/>
          <w:lang w:eastAsia="pl-PL"/>
        </w:rPr>
        <w:br/>
        <w:t xml:space="preserve">w obsłudze przewozów pasażerskich i towarowych. Wzrost konkurencyjności sektora kolejowego wymaga skrócenia czasu przejazdu i poprawy standardów obsługi poprzez </w:t>
      </w:r>
      <w:r w:rsidRPr="004E3242">
        <w:rPr>
          <w:rFonts w:ascii="Arial" w:eastAsia="Times New Roman" w:hAnsi="Arial" w:cs="Arial"/>
          <w:b/>
          <w:bCs/>
          <w:sz w:val="20"/>
          <w:szCs w:val="20"/>
          <w:lang w:eastAsia="pl-PL"/>
        </w:rPr>
        <w:t>poprawę parametrów linii</w:t>
      </w:r>
      <w:r w:rsidRPr="004E3242">
        <w:rPr>
          <w:rFonts w:ascii="Arial" w:eastAsia="Times New Roman" w:hAnsi="Arial" w:cs="Arial"/>
          <w:sz w:val="20"/>
          <w:szCs w:val="20"/>
          <w:lang w:eastAsia="pl-PL"/>
        </w:rPr>
        <w:t xml:space="preserve"> pasażerskich i towarowych, w tym zwiększenie prędkości przejazdów i </w:t>
      </w:r>
      <w:r w:rsidRPr="004E3242">
        <w:rPr>
          <w:rFonts w:ascii="Arial" w:eastAsia="Times New Roman" w:hAnsi="Arial" w:cs="Arial"/>
          <w:b/>
          <w:bCs/>
          <w:sz w:val="20"/>
          <w:szCs w:val="20"/>
          <w:lang w:eastAsia="pl-PL"/>
        </w:rPr>
        <w:t xml:space="preserve">poprawę ich </w:t>
      </w:r>
      <w:r w:rsidRPr="004E3242">
        <w:rPr>
          <w:rFonts w:ascii="Arial" w:eastAsia="Times New Roman" w:hAnsi="Arial" w:cs="Arial"/>
          <w:b/>
          <w:bCs/>
          <w:sz w:val="20"/>
          <w:szCs w:val="20"/>
          <w:lang w:eastAsia="pl-PL"/>
        </w:rPr>
        <w:lastRenderedPageBreak/>
        <w:t>przepustowości</w:t>
      </w:r>
      <w:r w:rsidRPr="004E3242">
        <w:rPr>
          <w:rFonts w:ascii="Arial" w:eastAsia="Times New Roman" w:hAnsi="Arial" w:cs="Arial"/>
          <w:sz w:val="20"/>
          <w:szCs w:val="20"/>
          <w:lang w:eastAsia="pl-PL"/>
        </w:rPr>
        <w:t xml:space="preserve">. Istotna będzie również integracja transportu kolejowego z innymi gałęziami przewozów w </w:t>
      </w:r>
      <w:r w:rsidRPr="004E3242">
        <w:rPr>
          <w:rFonts w:ascii="Arial" w:eastAsia="Times New Roman" w:hAnsi="Arial" w:cs="Arial"/>
          <w:b/>
          <w:bCs/>
          <w:sz w:val="20"/>
          <w:szCs w:val="20"/>
          <w:lang w:eastAsia="pl-PL"/>
        </w:rPr>
        <w:t>multimodalnych łańcuchach transportowych</w:t>
      </w:r>
      <w:r w:rsidRPr="004E3242">
        <w:rPr>
          <w:rFonts w:ascii="Arial" w:eastAsia="Times New Roman" w:hAnsi="Arial" w:cs="Arial"/>
          <w:sz w:val="20"/>
          <w:szCs w:val="20"/>
          <w:lang w:eastAsia="pl-PL"/>
        </w:rPr>
        <w:t xml:space="preserve"> oraz poprawa bezpieczeństwa ruchu kolejowego.</w:t>
      </w:r>
    </w:p>
    <w:p w14:paraId="36DD133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Krajowa</w:t>
      </w:r>
      <w:r w:rsidRPr="004E3242">
        <w:rPr>
          <w:rFonts w:ascii="Arial" w:eastAsia="Times New Roman" w:hAnsi="Arial" w:cs="Arial"/>
          <w:b/>
          <w:bCs/>
          <w:sz w:val="20"/>
          <w:szCs w:val="20"/>
          <w:lang w:eastAsia="pl-PL"/>
        </w:rPr>
        <w:t xml:space="preserve"> infrastruktura drogowa</w:t>
      </w:r>
      <w:r w:rsidRPr="004E3242">
        <w:rPr>
          <w:rFonts w:ascii="Arial" w:eastAsia="Times New Roman" w:hAnsi="Arial" w:cs="Arial"/>
          <w:sz w:val="20"/>
          <w:szCs w:val="20"/>
          <w:lang w:eastAsia="pl-PL"/>
        </w:rPr>
        <w:t xml:space="preserve"> jest niewystarczająco rozwinięta w stosunku do intensywności produkcji i wymiany towarów oraz mobilności mieszkańców. Charakteryzuje się brakiem spójnej sieci dróg szybkiego ruchu (mimo stałego wzrostu ich długości), wysokim odsetkiem dróg krajowych przebiegających w terenie zabudowanym i niedostateczną ilością dróg przystosowanych do skali istniejącego ruchu. Niedorozwój sieci drogowej w znaczącym stopniu rzutuje na niski poziom dostępności terytorialnej i bezpieczeństwa ruchu drogowego. Dlatego konieczne będzie skoncentrowanie inwestycji na rozbudowie dróg w sieci TEN-T, a także poprawie dostępności </w:t>
      </w:r>
      <w:r w:rsidRPr="004E3242">
        <w:rPr>
          <w:rFonts w:ascii="Arial" w:eastAsia="Times New Roman" w:hAnsi="Arial" w:cs="Arial"/>
          <w:sz w:val="20"/>
          <w:szCs w:val="20"/>
          <w:lang w:eastAsia="pl-PL"/>
        </w:rPr>
        <w:br/>
        <w:t>i odciążenia miast od nadmiernego ruchu drogowego, w tym zwłaszcza tranzytowego.</w:t>
      </w:r>
    </w:p>
    <w:p w14:paraId="5A362A8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Pomimo dotychczasowego wsparcia </w:t>
      </w:r>
      <w:r w:rsidRPr="004E3242">
        <w:rPr>
          <w:rFonts w:ascii="Arial" w:eastAsia="Times New Roman" w:hAnsi="Arial" w:cs="Arial"/>
          <w:b/>
          <w:bCs/>
          <w:sz w:val="20"/>
          <w:szCs w:val="20"/>
          <w:lang w:eastAsia="pl-PL"/>
        </w:rPr>
        <w:t>transportu publicznego</w:t>
      </w:r>
      <w:r w:rsidRPr="004E3242">
        <w:rPr>
          <w:rFonts w:ascii="Arial" w:eastAsia="Times New Roman" w:hAnsi="Arial" w:cs="Arial"/>
          <w:sz w:val="20"/>
          <w:szCs w:val="20"/>
          <w:lang w:eastAsia="pl-PL"/>
        </w:rPr>
        <w:t xml:space="preserve">, nadal do głównych problemów należy przeciążenie miejskiej infrastruktury indywidualnym ruchem drogowym oraz niedostatecznie rozwinięty system transportu zbiorowego. Rosnące zatłoczenie ulic ruchem indywidualnym prowadzi do powiększania się kosztów transportu towarów i osób oraz postępującej degradacji miejskiej infrastruktury drogowej, ponadto negatywnie wpływa na stan środowiska, zdrowie mieszkańców oraz komfort życia w miastach. Dlatego warunkiem niezbędnym do poprawy jakości przestrzeni miejskiej oraz redukcji uciążliwości ruchu drogowego, będzie zmniejszenie zatłoczenia motoryzacyjnego </w:t>
      </w:r>
      <w:r w:rsidRPr="004E3242">
        <w:rPr>
          <w:rFonts w:ascii="Arial" w:eastAsia="Times New Roman" w:hAnsi="Arial" w:cs="Arial"/>
          <w:sz w:val="20"/>
          <w:szCs w:val="20"/>
          <w:lang w:eastAsia="pl-PL"/>
        </w:rPr>
        <w:br/>
        <w:t>w miastach, poprzez stworzenie atrakcyjnej alternatywy w stosunku do indywidualnej komunikacji samochodowej.</w:t>
      </w:r>
    </w:p>
    <w:p w14:paraId="6B0B1E5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Polsce jedynie niewielka część </w:t>
      </w:r>
      <w:r w:rsidRPr="004E3242">
        <w:rPr>
          <w:rFonts w:ascii="Arial" w:eastAsia="Times New Roman" w:hAnsi="Arial" w:cs="Arial"/>
          <w:b/>
          <w:bCs/>
          <w:sz w:val="20"/>
          <w:szCs w:val="20"/>
          <w:lang w:eastAsia="pl-PL"/>
        </w:rPr>
        <w:t>dróg wodnych śródlądowych</w:t>
      </w:r>
      <w:r w:rsidRPr="004E3242">
        <w:rPr>
          <w:rFonts w:ascii="Arial" w:eastAsia="Times New Roman" w:hAnsi="Arial" w:cs="Arial"/>
          <w:sz w:val="20"/>
          <w:szCs w:val="20"/>
          <w:lang w:eastAsia="pl-PL"/>
        </w:rPr>
        <w:t xml:space="preserve"> spełnia warunki stawiane współczesnej żegludze towarowej. Najważniejsza z transportowego punktu widzenia Odrzańska Droga Wodna jest niespójna pod względem parametrów żeglugowych. Niezadowalający stan infrastruktury oraz fragmentaryczność sieci pod względem parametrów wpływają na nikły udział żeglugi śródlądowej w pracy przewozowej polskiego transportu towarowego. Wymaga to działań na rzecz poprawy jej konkurencyjności i przejęcia części transportu ładunków przewożonych transportem samochodowym.</w:t>
      </w:r>
    </w:p>
    <w:p w14:paraId="2497D58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Pomimo znaczącego wysiłku inwestycyjnego, wciąż identyfikuje się problemy polskich </w:t>
      </w:r>
      <w:r w:rsidRPr="004E3242">
        <w:rPr>
          <w:rFonts w:ascii="Arial" w:eastAsia="Times New Roman" w:hAnsi="Arial" w:cs="Arial"/>
          <w:b/>
          <w:bCs/>
          <w:sz w:val="20"/>
          <w:szCs w:val="20"/>
          <w:lang w:eastAsia="pl-PL"/>
        </w:rPr>
        <w:t>portów morskich</w:t>
      </w:r>
      <w:r w:rsidRPr="004E3242">
        <w:rPr>
          <w:rFonts w:ascii="Arial" w:eastAsia="Times New Roman" w:hAnsi="Arial" w:cs="Arial"/>
          <w:sz w:val="20"/>
          <w:szCs w:val="20"/>
          <w:lang w:eastAsia="pl-PL"/>
        </w:rPr>
        <w:t xml:space="preserve"> związane z parametrami wejścia do portów wewnętrznych, jakością i przepustowością infrastruktury transportowej oraz z dekapitalizacją części infrastruktury portowej. Dużym wyzwaniem jest obsłużenie rosnącego poziomu przeładunków kontenerów oraz zintegrowanie ich z zapleczem </w:t>
      </w:r>
      <w:r w:rsidRPr="004E3242">
        <w:rPr>
          <w:rFonts w:ascii="Arial" w:eastAsia="Times New Roman" w:hAnsi="Arial" w:cs="Arial"/>
          <w:sz w:val="20"/>
          <w:szCs w:val="20"/>
          <w:lang w:eastAsia="pl-PL"/>
        </w:rPr>
        <w:br/>
        <w:t xml:space="preserve">w głębi kraju. Poprawa konkurencyjności i zwiększenie udziału polskich portów w obsłudze ruchu morskiego wymagać będzie inwestycji służących poprawie stanu infrastruktury dostępu do portów </w:t>
      </w:r>
      <w:r w:rsidRPr="004E3242">
        <w:rPr>
          <w:rFonts w:ascii="Arial" w:eastAsia="Times New Roman" w:hAnsi="Arial" w:cs="Arial"/>
          <w:sz w:val="20"/>
          <w:szCs w:val="20"/>
          <w:lang w:eastAsia="pl-PL"/>
        </w:rPr>
        <w:br/>
        <w:t>i infrastruktury portowej.</w:t>
      </w:r>
    </w:p>
    <w:p w14:paraId="6FE6B74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Biorąc pod uwagę wielkość ruchu lotniczego, nie obserwuje się deficytu przepustowości </w:t>
      </w:r>
      <w:r w:rsidRPr="004E3242">
        <w:rPr>
          <w:rFonts w:ascii="Arial" w:eastAsia="Times New Roman" w:hAnsi="Arial" w:cs="Arial"/>
          <w:b/>
          <w:bCs/>
          <w:sz w:val="20"/>
          <w:szCs w:val="20"/>
          <w:lang w:eastAsia="pl-PL"/>
        </w:rPr>
        <w:t>krajowej infrastruktury lotniczej</w:t>
      </w:r>
      <w:r w:rsidRPr="004E3242">
        <w:rPr>
          <w:rFonts w:ascii="Arial" w:eastAsia="Times New Roman" w:hAnsi="Arial" w:cs="Arial"/>
          <w:sz w:val="20"/>
          <w:szCs w:val="20"/>
          <w:lang w:eastAsia="pl-PL"/>
        </w:rPr>
        <w:t xml:space="preserve">. Jednak jego dynamiczny rozwój i związany z tym wzrost liczby operacji lotniczych może powodować sytuację wystąpienia opóźnień w wykonywaniu operacji lotniczych, związanych z </w:t>
      </w:r>
      <w:r w:rsidRPr="004E3242">
        <w:rPr>
          <w:rFonts w:ascii="Arial" w:eastAsia="Times New Roman" w:hAnsi="Arial" w:cs="Arial"/>
          <w:b/>
          <w:bCs/>
          <w:sz w:val="20"/>
          <w:szCs w:val="20"/>
          <w:lang w:eastAsia="pl-PL"/>
        </w:rPr>
        <w:t>ograniczoną przepustowością nawigacyjną</w:t>
      </w:r>
      <w:r w:rsidRPr="004E3242">
        <w:rPr>
          <w:rFonts w:ascii="Arial" w:eastAsia="Times New Roman" w:hAnsi="Arial" w:cs="Arial"/>
          <w:sz w:val="20"/>
          <w:szCs w:val="20"/>
          <w:lang w:eastAsia="pl-PL"/>
        </w:rPr>
        <w:t xml:space="preserve"> portów lotniczych. Dlatego dalsze wysiłki powinny skupić się na wzroście efektywności operacyjnej portów lotniczych i zarządcy polskiej przestrzeni powietrznej, pozwalającej na realizację większej liczby operacji lotniczych w określonym czasie oraz zarządzanie ruchem w warunkach pogodowych odbiegających od optymalnych.</w:t>
      </w:r>
    </w:p>
    <w:p w14:paraId="011179C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Rozwój </w:t>
      </w:r>
      <w:r w:rsidRPr="004E3242">
        <w:rPr>
          <w:rFonts w:ascii="Arial" w:eastAsia="Times New Roman" w:hAnsi="Arial" w:cs="Arial"/>
          <w:b/>
          <w:bCs/>
          <w:sz w:val="20"/>
          <w:szCs w:val="20"/>
          <w:lang w:eastAsia="pl-PL"/>
        </w:rPr>
        <w:t xml:space="preserve">transportu intermodalnego </w:t>
      </w:r>
      <w:r w:rsidRPr="004E3242">
        <w:rPr>
          <w:rFonts w:ascii="Arial" w:eastAsia="Times New Roman" w:hAnsi="Arial" w:cs="Arial"/>
          <w:sz w:val="20"/>
          <w:szCs w:val="20"/>
          <w:lang w:eastAsia="pl-PL"/>
        </w:rPr>
        <w:t>w Polsce napotyka na szereg barier, w tym zwłaszcza stan techniczny linii kolejowych i wynikającą z tego niską prędkość przewozową, niekonkurencyjność cenową transportu intermodalnego wynikającą z wysokich stawek dostępu do infrastruktury kolejowej, brak centrów logistycznych oraz kompleksowego systemu informacyjnego w łańcuchach transportu intermodalnego. Również brak dostatecznej ilości specjalistycznego taboru ogranicza możliwości zaspokojenia zwiększającego się popytu na przewóz towarów w kontenerach. Wsparcie tej gałęzi transportu zapewni poprawę konkurencyjności i szersze jej wykorzystanie w ogólnych przewozach ładunków.</w:t>
      </w:r>
    </w:p>
    <w:p w14:paraId="1679ABA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Integracja systemu transportowego wiąże się z wykorzystaniem </w:t>
      </w:r>
      <w:r w:rsidRPr="004E3242">
        <w:rPr>
          <w:rFonts w:ascii="Arial" w:eastAsia="Times New Roman" w:hAnsi="Arial" w:cs="Arial"/>
          <w:b/>
          <w:bCs/>
          <w:sz w:val="20"/>
          <w:szCs w:val="20"/>
          <w:lang w:eastAsia="pl-PL"/>
        </w:rPr>
        <w:t xml:space="preserve">inteligentnych systemów transportowych </w:t>
      </w:r>
      <w:r w:rsidRPr="004E3242">
        <w:rPr>
          <w:rFonts w:ascii="Arial" w:eastAsia="Times New Roman" w:hAnsi="Arial" w:cs="Arial"/>
          <w:sz w:val="20"/>
          <w:szCs w:val="20"/>
          <w:lang w:eastAsia="pl-PL"/>
        </w:rPr>
        <w:t xml:space="preserve">(ITS) usprawniających funkcjonowanie transportu i poprawiających bezpieczeństwo użytkowników ruchu. W tej sferze obserwuje się olbrzymie opóźnienia w stosunku do istniejących systemów zarządzania transportem w miastach europejskich. Szersze wykorzystanie ITS przyczyni się do integracji systemu transportowego, optymalizacji ruchu i zarządzania infrastrukturą, lepszej obsługi informacyjnej użytkowników usług transportowych, a także do poprawy bezpieczeństwa </w:t>
      </w:r>
      <w:r w:rsidRPr="004E3242">
        <w:rPr>
          <w:rFonts w:ascii="Arial" w:eastAsia="Times New Roman" w:hAnsi="Arial" w:cs="Arial"/>
          <w:sz w:val="20"/>
          <w:szCs w:val="20"/>
          <w:lang w:eastAsia="pl-PL"/>
        </w:rPr>
        <w:br/>
        <w:t>i ograniczenia emisji zanieczyszczeń.</w:t>
      </w:r>
    </w:p>
    <w:p w14:paraId="54B9D4E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Inwestycje w </w:t>
      </w:r>
      <w:r w:rsidRPr="004E3242">
        <w:rPr>
          <w:rFonts w:ascii="Arial" w:eastAsia="Times New Roman" w:hAnsi="Arial" w:cs="Arial"/>
          <w:b/>
          <w:bCs/>
          <w:sz w:val="20"/>
          <w:szCs w:val="20"/>
          <w:lang w:eastAsia="pl-PL"/>
        </w:rPr>
        <w:t>infrastrukturę instytucji ochrony zdrowia</w:t>
      </w:r>
      <w:r w:rsidRPr="004E3242">
        <w:rPr>
          <w:rFonts w:ascii="Arial" w:eastAsia="Times New Roman" w:hAnsi="Arial" w:cs="Arial"/>
          <w:sz w:val="20"/>
          <w:szCs w:val="20"/>
          <w:lang w:eastAsia="pl-PL"/>
        </w:rPr>
        <w:t xml:space="preserve"> stanowią znaczący wkład w działania na rzecz włączenia społecznego i przeciwdziałania ubóstwu. Mogą również istotnie przyczynić się do zmniejszania nierówności w zakresie stanu zdrowia, zarówno w zakresie poprawy dostępu dla grup </w:t>
      </w:r>
      <w:r w:rsidRPr="004E3242">
        <w:rPr>
          <w:rFonts w:ascii="Arial" w:eastAsia="Times New Roman" w:hAnsi="Arial" w:cs="Arial"/>
          <w:sz w:val="20"/>
          <w:szCs w:val="20"/>
          <w:lang w:eastAsia="pl-PL"/>
        </w:rPr>
        <w:br/>
        <w:t>i osób zmarginalizowanych oraz dostępności przestrzennej poszczególnych terytoriów. Jednocześnie stanowią uzupełnienie działań w zakresie szeroko rozumianego bezpieczeństwa ludzi (drogowego, ekologiczno-chemicznego, związanego z katastrofami naturalnymi) oraz mających na celu poprawę jakości życia społeczeństwa i osiągnięcie założeń rozwoju zrównoważonego.</w:t>
      </w:r>
    </w:p>
    <w:p w14:paraId="782A1EC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obszarze ochrony zdrowia w Polsce, utrzymują się duże zróżnicowania regionalne, co dotyczy dostępności do opieki instytucjonalnej, jak również poziomu zachorowalności oraz liczby zgonów. Poprawa dostępu do świadczeń instytucjonalnych w obszarze </w:t>
      </w:r>
      <w:r w:rsidRPr="004E3242">
        <w:rPr>
          <w:rFonts w:ascii="Arial" w:eastAsia="Times New Roman" w:hAnsi="Arial" w:cs="Arial"/>
          <w:b/>
          <w:bCs/>
          <w:sz w:val="20"/>
          <w:szCs w:val="20"/>
          <w:lang w:eastAsia="pl-PL"/>
        </w:rPr>
        <w:t>strategicznej infrastruktury ochrony zdrowia</w:t>
      </w:r>
      <w:r w:rsidRPr="004E3242">
        <w:rPr>
          <w:rFonts w:ascii="Arial" w:eastAsia="Times New Roman" w:hAnsi="Arial" w:cs="Arial"/>
          <w:sz w:val="20"/>
          <w:szCs w:val="20"/>
          <w:lang w:eastAsia="pl-PL"/>
        </w:rPr>
        <w:t xml:space="preserve">, uzupełniana działaniami z poziomu regionalnego ma istotne znaczenie dla zwiększenia spójności terytorialnej oraz poprawy jakości życia mieszkańców. Jednocześnie stan zdrowia wpływa na aktywność zawodową osób w wieku produkcyjnym, przedprodukcyjnym (przyszłe zasoby pracy) </w:t>
      </w:r>
      <w:r w:rsidRPr="004E3242">
        <w:rPr>
          <w:rFonts w:ascii="Arial" w:eastAsia="Times New Roman" w:hAnsi="Arial" w:cs="Arial"/>
          <w:sz w:val="20"/>
          <w:szCs w:val="20"/>
          <w:lang w:eastAsia="pl-PL"/>
        </w:rPr>
        <w:br/>
        <w:t>i poprodukcyjnym (zdrowa populacja osób w wieku poprodukcyjnym nie wymaga opieki osób w wieku produkcyjnym)</w:t>
      </w:r>
      <w:r w:rsidRPr="004E3242">
        <w:rPr>
          <w:rFonts w:ascii="Arial" w:eastAsia="Times New Roman" w:hAnsi="Arial" w:cs="Arial"/>
          <w:sz w:val="20"/>
          <w:szCs w:val="20"/>
          <w:vertAlign w:val="superscript"/>
          <w:lang w:eastAsia="pl-PL"/>
        </w:rPr>
        <w:footnoteReference w:id="14"/>
      </w:r>
      <w:r w:rsidRPr="004E3242">
        <w:rPr>
          <w:rFonts w:ascii="Arial" w:eastAsia="Times New Roman" w:hAnsi="Arial" w:cs="Arial"/>
          <w:sz w:val="20"/>
          <w:szCs w:val="20"/>
          <w:lang w:eastAsia="pl-PL"/>
        </w:rPr>
        <w:t>.</w:t>
      </w:r>
    </w:p>
    <w:p w14:paraId="02EB09D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zakresie sytuacji demograficznej w Polsce, obserwuje się dwa główne trendy: spadek liczby ludności wywołany spadkiem urodzeń oraz wzrost długości życia (starzenie się społeczeństwa) przy jednoczesnym spadku liczby lat przeżytych w zdrowiu. Może to doprowadzić do znaczących zmian na rynku pracy (poprzez zmniejszenie się liczby osób wchodzących na rynek pracy przy jednoczesnym wzroście liczby osób w podeszłym wieku), rodząc adekwatne oczekiwania w zakresie systemu ochrony zdrowia.</w:t>
      </w:r>
    </w:p>
    <w:p w14:paraId="0DE53F4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ramach </w:t>
      </w:r>
      <w:r w:rsidRPr="004E3242">
        <w:rPr>
          <w:rFonts w:ascii="Arial" w:eastAsia="Times New Roman" w:hAnsi="Arial" w:cs="Arial"/>
          <w:b/>
          <w:bCs/>
          <w:sz w:val="20"/>
          <w:szCs w:val="20"/>
          <w:lang w:eastAsia="pl-PL"/>
        </w:rPr>
        <w:t>infrastruktury ratownictwa medycznego</w:t>
      </w:r>
      <w:r w:rsidRPr="004E3242">
        <w:rPr>
          <w:rFonts w:ascii="Arial" w:eastAsia="Times New Roman" w:hAnsi="Arial" w:cs="Arial"/>
          <w:sz w:val="20"/>
          <w:szCs w:val="20"/>
          <w:lang w:eastAsia="pl-PL"/>
        </w:rPr>
        <w:t>, szczególnie istotne jest zachowanie zasady tzw. „</w:t>
      </w:r>
      <w:r w:rsidRPr="004E3242">
        <w:rPr>
          <w:rFonts w:ascii="Arial" w:eastAsia="Times New Roman" w:hAnsi="Arial" w:cs="Arial"/>
          <w:i/>
          <w:iCs/>
          <w:sz w:val="20"/>
          <w:szCs w:val="20"/>
          <w:lang w:eastAsia="pl-PL"/>
        </w:rPr>
        <w:t>złotej godziny</w:t>
      </w:r>
      <w:r w:rsidRPr="004E3242">
        <w:rPr>
          <w:rFonts w:ascii="Arial" w:eastAsia="Times New Roman" w:hAnsi="Arial" w:cs="Arial"/>
          <w:sz w:val="20"/>
          <w:szCs w:val="20"/>
          <w:lang w:eastAsia="pl-PL"/>
        </w:rPr>
        <w:t>”, (nie przekraczania 60 minut pomiędzy zdarzeniem a rozpoczęciem specjalistycznego leczenia szpitalnego). Konieczne jest dopełnienie funkcjonującego już systemu Państwowego Ratownictwa Medycznego poprzez wypełnienie „białych plam” w sposób adekwatny do zagrożeń charakteryzujących różne obszary kraju oraz zapewniający niezbędną opiekę medyczną na porównywalnym poziomie, niezależnie od miejsca pobytu.</w:t>
      </w:r>
    </w:p>
    <w:p w14:paraId="2EB8FC75" w14:textId="77777777" w:rsidR="004E3242" w:rsidRDefault="004E3242" w:rsidP="004E3242">
      <w:pPr>
        <w:spacing w:after="24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Pomimo znaczącej poprawy wyposażenia i funkcjonowania </w:t>
      </w:r>
      <w:r w:rsidRPr="004E3242">
        <w:rPr>
          <w:rFonts w:ascii="Arial" w:eastAsia="Times New Roman" w:hAnsi="Arial" w:cs="Arial"/>
          <w:b/>
          <w:bCs/>
          <w:sz w:val="20"/>
          <w:szCs w:val="20"/>
          <w:lang w:eastAsia="pl-PL"/>
        </w:rPr>
        <w:t>szpitalnych oddziałów ratunkowych</w:t>
      </w:r>
      <w:r w:rsidRPr="004E3242">
        <w:rPr>
          <w:rFonts w:ascii="Arial" w:eastAsia="Times New Roman" w:hAnsi="Arial" w:cs="Arial"/>
          <w:sz w:val="20"/>
          <w:szCs w:val="20"/>
          <w:lang w:eastAsia="pl-PL"/>
        </w:rPr>
        <w:t xml:space="preserve">, nadal istnieją potrzeby doposażenia tych jednostek, w tym w szczególności utworzenia stanowisk intensywnej terapii. Odnowienia wymaga również infrastruktura szpitalna, niezbędna do sprawnego funkcjonowania </w:t>
      </w:r>
      <w:r w:rsidRPr="004E3242">
        <w:rPr>
          <w:rFonts w:ascii="Arial" w:eastAsia="Times New Roman" w:hAnsi="Arial" w:cs="Arial"/>
          <w:b/>
          <w:bCs/>
          <w:sz w:val="20"/>
          <w:szCs w:val="20"/>
          <w:lang w:eastAsia="pl-PL"/>
        </w:rPr>
        <w:t>centrów urazowych</w:t>
      </w:r>
      <w:r w:rsidRPr="004E3242">
        <w:rPr>
          <w:rFonts w:ascii="Arial" w:eastAsia="Times New Roman" w:hAnsi="Arial" w:cs="Arial"/>
          <w:sz w:val="20"/>
          <w:szCs w:val="20"/>
          <w:lang w:eastAsia="pl-PL"/>
        </w:rPr>
        <w:t xml:space="preserve">. Znaczące potrzeby infrastrukturalne identyfikuje się również </w:t>
      </w:r>
      <w:r w:rsidRPr="004E3242">
        <w:rPr>
          <w:rFonts w:ascii="Arial" w:eastAsia="Times New Roman" w:hAnsi="Arial" w:cs="Arial"/>
          <w:sz w:val="20"/>
          <w:szCs w:val="20"/>
          <w:lang w:eastAsia="pl-PL"/>
        </w:rPr>
        <w:br/>
        <w:t xml:space="preserve">w obszarze </w:t>
      </w:r>
      <w:r w:rsidRPr="004E3242">
        <w:rPr>
          <w:rFonts w:ascii="Arial" w:eastAsia="Times New Roman" w:hAnsi="Arial" w:cs="Arial"/>
          <w:b/>
          <w:bCs/>
          <w:sz w:val="20"/>
          <w:szCs w:val="20"/>
          <w:lang w:eastAsia="pl-PL"/>
        </w:rPr>
        <w:t>lądowisk przyszpitalnych</w:t>
      </w:r>
      <w:r w:rsidRPr="004E3242">
        <w:rPr>
          <w:rFonts w:ascii="Arial" w:eastAsia="Times New Roman" w:hAnsi="Arial" w:cs="Arial"/>
          <w:sz w:val="20"/>
          <w:szCs w:val="20"/>
          <w:lang w:eastAsia="pl-PL"/>
        </w:rPr>
        <w:t xml:space="preserve"> oraz wzmocnienia baz </w:t>
      </w:r>
      <w:r w:rsidRPr="004E3242">
        <w:rPr>
          <w:rFonts w:ascii="Arial" w:eastAsia="Times New Roman" w:hAnsi="Arial" w:cs="Arial"/>
          <w:b/>
          <w:bCs/>
          <w:sz w:val="20"/>
          <w:szCs w:val="20"/>
          <w:lang w:eastAsia="pl-PL"/>
        </w:rPr>
        <w:t>Lotniczego Pogotowia Ratunkowego</w:t>
      </w:r>
      <w:r w:rsidRPr="004E3242">
        <w:rPr>
          <w:rFonts w:ascii="Arial" w:eastAsia="Times New Roman" w:hAnsi="Arial" w:cs="Arial"/>
          <w:sz w:val="20"/>
          <w:szCs w:val="20"/>
          <w:lang w:eastAsia="pl-PL"/>
        </w:rPr>
        <w:t>, co pozwoli na wydłużenie czasu operacyjnego lotniczych służb ratowniczych oraz skrócenie czasu dotarcia do zdarzenia.</w:t>
      </w:r>
    </w:p>
    <w:p w14:paraId="38FD540D" w14:textId="77777777" w:rsidR="00A506CF" w:rsidRDefault="00EA686D" w:rsidP="00EA686D">
      <w:pPr>
        <w:spacing w:after="120"/>
        <w:jc w:val="both"/>
        <w:rPr>
          <w:rFonts w:ascii="Arial" w:eastAsia="Times New Roman" w:hAnsi="Arial" w:cs="Arial"/>
          <w:b/>
          <w:sz w:val="20"/>
          <w:szCs w:val="20"/>
          <w:lang w:eastAsia="pl-PL"/>
        </w:rPr>
      </w:pPr>
      <w:r w:rsidRPr="001F1E86">
        <w:rPr>
          <w:rFonts w:ascii="Arial" w:eastAsia="Times New Roman" w:hAnsi="Arial" w:cs="Arial"/>
          <w:b/>
          <w:sz w:val="20"/>
          <w:szCs w:val="20"/>
          <w:lang w:eastAsia="pl-PL"/>
        </w:rPr>
        <w:t>Implementacja REACT- EU</w:t>
      </w:r>
    </w:p>
    <w:p w14:paraId="09B9DC70" w14:textId="1CD52BC8" w:rsidR="00EA686D" w:rsidRPr="0095609E" w:rsidRDefault="00EA686D" w:rsidP="00EA686D">
      <w:p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Planowane wsparcie będzie zgodne z treścią </w:t>
      </w:r>
      <w:r w:rsidRPr="00E86C37">
        <w:rPr>
          <w:rFonts w:ascii="Arial" w:eastAsia="Times New Roman" w:hAnsi="Arial" w:cs="Arial"/>
          <w:sz w:val="20"/>
          <w:szCs w:val="20"/>
          <w:lang w:eastAsia="pl-PL"/>
        </w:rPr>
        <w:t>Wniosk</w:t>
      </w:r>
      <w:r>
        <w:rPr>
          <w:rFonts w:ascii="Arial" w:eastAsia="Times New Roman" w:hAnsi="Arial" w:cs="Arial"/>
          <w:sz w:val="20"/>
          <w:szCs w:val="20"/>
          <w:lang w:eastAsia="pl-PL"/>
        </w:rPr>
        <w:t>u</w:t>
      </w:r>
      <w:r w:rsidRPr="00E86C37">
        <w:rPr>
          <w:rFonts w:ascii="Arial" w:eastAsia="Times New Roman" w:hAnsi="Arial" w:cs="Arial"/>
          <w:sz w:val="20"/>
          <w:szCs w:val="20"/>
          <w:lang w:eastAsia="pl-PL"/>
        </w:rPr>
        <w:t xml:space="preserve"> w sprawie ROZPORZĄDZENIA PARLAMENTU EUROPEJSKIEGO I RADY zmieniającego rozporządzenie (UE) nr 1303/2013 w odniesieniu do nadzwyczajnych zasobów dodatkowych i przepisów wykonawczych w ramach celu </w:t>
      </w:r>
      <w:r w:rsidRPr="00E86C37">
        <w:rPr>
          <w:rFonts w:ascii="Arial" w:eastAsia="Times New Roman" w:hAnsi="Arial" w:cs="Arial"/>
          <w:sz w:val="20"/>
          <w:szCs w:val="20"/>
          <w:lang w:eastAsia="pl-PL"/>
        </w:rPr>
        <w:lastRenderedPageBreak/>
        <w:t>„Inwestycje na rzecz wzrostu i zatrudnienia”, aby zapewnić pomoc na wspieranie kryzysowych działań naprawczych w kontekście pandemii COVID-19 i przygotowania do ekologicznej i cyfrowej odbudowy gospodarki zwiększającej jej odporność (REACT-EU)</w:t>
      </w:r>
    </w:p>
    <w:p w14:paraId="3A4A768D" w14:textId="77777777" w:rsidR="00EA686D" w:rsidRPr="004E3242" w:rsidRDefault="00EA686D" w:rsidP="00EA686D">
      <w:pPr>
        <w:spacing w:after="120"/>
        <w:jc w:val="both"/>
        <w:rPr>
          <w:rFonts w:ascii="Arial" w:eastAsia="Times New Roman" w:hAnsi="Arial" w:cs="Arial"/>
          <w:sz w:val="20"/>
          <w:szCs w:val="20"/>
          <w:lang w:eastAsia="pl-PL"/>
        </w:rPr>
      </w:pPr>
      <w:r w:rsidRPr="0095609E">
        <w:rPr>
          <w:rFonts w:ascii="Arial" w:eastAsia="Times New Roman" w:hAnsi="Arial" w:cs="Arial"/>
          <w:sz w:val="20"/>
          <w:szCs w:val="20"/>
          <w:lang w:eastAsia="pl-PL"/>
        </w:rPr>
        <w:t xml:space="preserve">Finansowanie </w:t>
      </w:r>
      <w:r>
        <w:rPr>
          <w:rFonts w:ascii="Arial" w:eastAsia="Times New Roman" w:hAnsi="Arial" w:cs="Arial"/>
          <w:sz w:val="20"/>
          <w:szCs w:val="20"/>
          <w:lang w:eastAsia="pl-PL"/>
        </w:rPr>
        <w:t xml:space="preserve">w ramach REACT -EU </w:t>
      </w:r>
      <w:r w:rsidRPr="0095609E">
        <w:rPr>
          <w:rFonts w:ascii="Arial" w:eastAsia="Times New Roman" w:hAnsi="Arial" w:cs="Arial"/>
          <w:sz w:val="20"/>
          <w:szCs w:val="20"/>
          <w:lang w:eastAsia="pl-PL"/>
        </w:rPr>
        <w:t>jest całkowicie nowe: stanowi uzupełnienie do programów na lata 2014-2020, zwiększając całkowitą pulę funduszy w ramach jednej polityki w budże</w:t>
      </w:r>
      <w:r w:rsidR="00C12774">
        <w:rPr>
          <w:rFonts w:ascii="Arial" w:eastAsia="Times New Roman" w:hAnsi="Arial" w:cs="Arial"/>
          <w:sz w:val="20"/>
          <w:szCs w:val="20"/>
          <w:lang w:eastAsia="pl-PL"/>
        </w:rPr>
        <w:t>cie</w:t>
      </w:r>
      <w:r w:rsidRPr="0095609E">
        <w:rPr>
          <w:rFonts w:ascii="Arial" w:eastAsia="Times New Roman" w:hAnsi="Arial" w:cs="Arial"/>
          <w:sz w:val="20"/>
          <w:szCs w:val="20"/>
          <w:lang w:eastAsia="pl-PL"/>
        </w:rPr>
        <w:t xml:space="preserve"> UE.</w:t>
      </w:r>
    </w:p>
    <w:p w14:paraId="55B2CC19" w14:textId="77777777" w:rsidR="00EA686D" w:rsidRDefault="00EA686D" w:rsidP="00EA686D">
      <w:pPr>
        <w:spacing w:after="240"/>
        <w:jc w:val="both"/>
        <w:rPr>
          <w:rFonts w:ascii="Arial" w:eastAsia="Times New Roman" w:hAnsi="Arial" w:cs="Arial"/>
          <w:sz w:val="20"/>
          <w:szCs w:val="20"/>
          <w:lang w:eastAsia="pl-PL"/>
        </w:rPr>
      </w:pPr>
      <w:r>
        <w:rPr>
          <w:rFonts w:ascii="Arial" w:eastAsia="Times New Roman" w:hAnsi="Arial" w:cs="Arial"/>
          <w:sz w:val="20"/>
          <w:szCs w:val="20"/>
          <w:lang w:eastAsia="pl-PL"/>
        </w:rPr>
        <w:t>U</w:t>
      </w:r>
      <w:r w:rsidRPr="005132DB">
        <w:rPr>
          <w:rFonts w:ascii="Arial" w:eastAsia="Times New Roman" w:hAnsi="Arial" w:cs="Arial"/>
          <w:sz w:val="20"/>
          <w:szCs w:val="20"/>
          <w:lang w:eastAsia="pl-PL"/>
        </w:rPr>
        <w:t>względnieni</w:t>
      </w:r>
      <w:r>
        <w:rPr>
          <w:rFonts w:ascii="Arial" w:eastAsia="Times New Roman" w:hAnsi="Arial" w:cs="Arial"/>
          <w:sz w:val="20"/>
          <w:szCs w:val="20"/>
          <w:lang w:eastAsia="pl-PL"/>
        </w:rPr>
        <w:t>e</w:t>
      </w:r>
      <w:r w:rsidRPr="005132DB">
        <w:rPr>
          <w:rFonts w:ascii="Arial" w:eastAsia="Times New Roman" w:hAnsi="Arial" w:cs="Arial"/>
          <w:sz w:val="20"/>
          <w:szCs w:val="20"/>
          <w:lang w:eastAsia="pl-PL"/>
        </w:rPr>
        <w:t xml:space="preserve"> dodatkowych zasobów </w:t>
      </w:r>
      <w:r>
        <w:rPr>
          <w:rFonts w:ascii="Arial" w:eastAsia="Times New Roman" w:hAnsi="Arial" w:cs="Arial"/>
          <w:sz w:val="20"/>
          <w:szCs w:val="20"/>
          <w:lang w:eastAsia="pl-PL"/>
        </w:rPr>
        <w:t xml:space="preserve">wynika </w:t>
      </w:r>
      <w:r w:rsidRPr="005132DB">
        <w:rPr>
          <w:rFonts w:ascii="Arial" w:eastAsia="Times New Roman" w:hAnsi="Arial" w:cs="Arial"/>
          <w:sz w:val="20"/>
          <w:szCs w:val="20"/>
          <w:lang w:eastAsia="pl-PL"/>
        </w:rPr>
        <w:t xml:space="preserve">w szczególności </w:t>
      </w:r>
      <w:r>
        <w:rPr>
          <w:rFonts w:ascii="Arial" w:eastAsia="Times New Roman" w:hAnsi="Arial" w:cs="Arial"/>
          <w:sz w:val="20"/>
          <w:szCs w:val="20"/>
          <w:lang w:eastAsia="pl-PL"/>
        </w:rPr>
        <w:t xml:space="preserve">z konieczności </w:t>
      </w:r>
      <w:r w:rsidRPr="005132DB">
        <w:rPr>
          <w:rFonts w:ascii="Arial" w:eastAsia="Times New Roman" w:hAnsi="Arial" w:cs="Arial"/>
          <w:sz w:val="20"/>
          <w:szCs w:val="20"/>
          <w:lang w:eastAsia="pl-PL"/>
        </w:rPr>
        <w:t xml:space="preserve"> działań naprawczych związanych z kryzysem w kontekście pandemii COVID-19 i przygotowania do ekologicznej i cyfrowej odbudowy gospodarki zwiększającej jej odpornoś</w:t>
      </w:r>
      <w:r>
        <w:rPr>
          <w:rFonts w:ascii="Arial" w:eastAsia="Times New Roman" w:hAnsi="Arial" w:cs="Arial"/>
          <w:sz w:val="20"/>
          <w:szCs w:val="20"/>
          <w:lang w:eastAsia="pl-PL"/>
        </w:rPr>
        <w:t>ć i w rezultacie zwi</w:t>
      </w:r>
      <w:r w:rsidRPr="005132DB">
        <w:rPr>
          <w:rFonts w:ascii="Arial" w:eastAsia="Times New Roman" w:hAnsi="Arial" w:cs="Arial"/>
          <w:sz w:val="20"/>
          <w:szCs w:val="20"/>
          <w:lang w:eastAsia="pl-PL"/>
        </w:rPr>
        <w:t>ększy</w:t>
      </w:r>
      <w:r>
        <w:rPr>
          <w:rFonts w:ascii="Arial" w:eastAsia="Times New Roman" w:hAnsi="Arial" w:cs="Arial"/>
          <w:sz w:val="20"/>
          <w:szCs w:val="20"/>
          <w:lang w:eastAsia="pl-PL"/>
        </w:rPr>
        <w:t xml:space="preserve"> </w:t>
      </w:r>
      <w:r w:rsidRPr="005132DB">
        <w:rPr>
          <w:rFonts w:ascii="Arial" w:eastAsia="Times New Roman" w:hAnsi="Arial" w:cs="Arial"/>
          <w:sz w:val="20"/>
          <w:szCs w:val="20"/>
          <w:lang w:eastAsia="pl-PL"/>
        </w:rPr>
        <w:t>zdolność reagowania na zaistniał</w:t>
      </w:r>
      <w:r>
        <w:rPr>
          <w:rFonts w:ascii="Arial" w:eastAsia="Times New Roman" w:hAnsi="Arial" w:cs="Arial"/>
          <w:sz w:val="20"/>
          <w:szCs w:val="20"/>
          <w:lang w:eastAsia="pl-PL"/>
        </w:rPr>
        <w:t>e</w:t>
      </w:r>
      <w:r w:rsidRPr="005132DB">
        <w:rPr>
          <w:rFonts w:ascii="Arial" w:eastAsia="Times New Roman" w:hAnsi="Arial" w:cs="Arial"/>
          <w:sz w:val="20"/>
          <w:szCs w:val="20"/>
          <w:lang w:eastAsia="pl-PL"/>
        </w:rPr>
        <w:t xml:space="preserve"> kryzys</w:t>
      </w:r>
      <w:r>
        <w:rPr>
          <w:rFonts w:ascii="Arial" w:eastAsia="Times New Roman" w:hAnsi="Arial" w:cs="Arial"/>
          <w:sz w:val="20"/>
          <w:szCs w:val="20"/>
          <w:lang w:eastAsia="pl-PL"/>
        </w:rPr>
        <w:t>y w przyszłości.</w:t>
      </w:r>
      <w:r w:rsidRPr="005132DB">
        <w:rPr>
          <w:rFonts w:ascii="Arial" w:eastAsia="Times New Roman" w:hAnsi="Arial" w:cs="Arial"/>
          <w:sz w:val="20"/>
          <w:szCs w:val="20"/>
          <w:lang w:eastAsia="pl-PL"/>
        </w:rPr>
        <w:t xml:space="preserve"> </w:t>
      </w:r>
    </w:p>
    <w:p w14:paraId="474CC2DC" w14:textId="77777777" w:rsidR="00EA686D" w:rsidRPr="00121298" w:rsidRDefault="00EA686D" w:rsidP="00EA686D">
      <w:pPr>
        <w:spacing w:after="240"/>
        <w:jc w:val="both"/>
        <w:rPr>
          <w:rFonts w:ascii="Arial" w:eastAsia="Times New Roman" w:hAnsi="Arial" w:cs="Arial"/>
          <w:sz w:val="20"/>
          <w:szCs w:val="20"/>
          <w:lang w:eastAsia="pl-PL"/>
        </w:rPr>
      </w:pPr>
      <w:r w:rsidRPr="000E1B8C">
        <w:rPr>
          <w:rFonts w:ascii="Arial" w:eastAsia="Times New Roman" w:hAnsi="Arial" w:cs="Arial"/>
          <w:sz w:val="20"/>
          <w:szCs w:val="20"/>
          <w:lang w:eastAsia="pl-PL"/>
        </w:rPr>
        <w:t xml:space="preserve">Sytuację społeczno-gospodarczą Polski w 2020 r. zdeterminował wpływ pandemii COVID-19, wynikający głównie ze zmian w postawach społecznych i ograniczeń administracyjnych, podjętych w celu ochrony mieszkańców i utrzymania wydolności systemu ochrony zdrowia. Pojawienie się pandemii COVID-19 spowodowało wzrost obciążeń strukturalnych dla sektora zdrowia, wprowadzenie szeregu ograniczeń dla działalności gospodarczej oraz zmianę wzorców </w:t>
      </w:r>
      <w:proofErr w:type="spellStart"/>
      <w:r w:rsidRPr="000E1B8C">
        <w:rPr>
          <w:rFonts w:ascii="Arial" w:eastAsia="Times New Roman" w:hAnsi="Arial" w:cs="Arial"/>
          <w:sz w:val="20"/>
          <w:szCs w:val="20"/>
          <w:lang w:eastAsia="pl-PL"/>
        </w:rPr>
        <w:t>zachowań</w:t>
      </w:r>
      <w:proofErr w:type="spellEnd"/>
      <w:r w:rsidRPr="000E1B8C">
        <w:rPr>
          <w:rFonts w:ascii="Arial" w:eastAsia="Times New Roman" w:hAnsi="Arial" w:cs="Arial"/>
          <w:sz w:val="20"/>
          <w:szCs w:val="20"/>
          <w:lang w:eastAsia="pl-PL"/>
        </w:rPr>
        <w:t xml:space="preserve"> społecznych, co wpłynęło na spadek aktywności gospodarki narodowej. W rezultacie w 2020 r. odnotowano – po raz pierwszy od okresu tzw. „recesji transformacyjnej” w latach 1990-1991 – spadek realnego PKB względem poprzedniego roku. </w:t>
      </w:r>
      <w:r w:rsidRPr="0050178D">
        <w:rPr>
          <w:rFonts w:ascii="Arial" w:eastAsia="Times New Roman" w:hAnsi="Arial" w:cs="Arial"/>
          <w:sz w:val="20"/>
          <w:szCs w:val="20"/>
          <w:lang w:eastAsia="pl-PL"/>
        </w:rPr>
        <w:t xml:space="preserve">Zjawiska, które pojawiły się w wyniku pandemii COVID-19 należy widzieć na tle innych słabości strukturalnych polskiej gospodarki, które wpływają negatywnie na poziom konkurencyjności i produktywności, a pośrednio w dłuższym okresie decydują o perspektywach wzrostu poziomu i jakości życia mieszkańców. Należą do nich m.in.: duża energochłonność gospodarki, zależność od paliw kopalnych, zagrożenia środowiskowe, </w:t>
      </w:r>
      <w:r w:rsidR="00121298">
        <w:rPr>
          <w:rFonts w:ascii="Arial" w:eastAsia="Times New Roman" w:hAnsi="Arial" w:cs="Arial"/>
          <w:sz w:val="20"/>
          <w:szCs w:val="20"/>
          <w:lang w:eastAsia="pl-PL"/>
        </w:rPr>
        <w:t xml:space="preserve">a także </w:t>
      </w:r>
      <w:r w:rsidRPr="0050178D">
        <w:rPr>
          <w:rFonts w:ascii="Arial" w:eastAsia="Times New Roman" w:hAnsi="Arial" w:cs="Arial"/>
          <w:sz w:val="20"/>
          <w:szCs w:val="20"/>
          <w:lang w:eastAsia="pl-PL"/>
        </w:rPr>
        <w:t>luka infrastrukturalna w zakresie infrastruktury energetycznej</w:t>
      </w:r>
      <w:r w:rsidR="00121298">
        <w:rPr>
          <w:rFonts w:ascii="Arial" w:eastAsia="Times New Roman" w:hAnsi="Arial" w:cs="Arial"/>
          <w:sz w:val="20"/>
          <w:szCs w:val="20"/>
          <w:lang w:eastAsia="pl-PL"/>
        </w:rPr>
        <w:t>,</w:t>
      </w:r>
      <w:r w:rsidRPr="0050178D">
        <w:rPr>
          <w:rFonts w:ascii="Arial" w:eastAsia="Times New Roman" w:hAnsi="Arial" w:cs="Arial"/>
          <w:sz w:val="20"/>
          <w:szCs w:val="20"/>
          <w:lang w:eastAsia="pl-PL"/>
        </w:rPr>
        <w:t xml:space="preserve"> cyfrowej</w:t>
      </w:r>
      <w:r w:rsidR="00121298">
        <w:rPr>
          <w:rFonts w:ascii="Arial" w:eastAsia="Times New Roman" w:hAnsi="Arial" w:cs="Arial"/>
          <w:sz w:val="20"/>
          <w:szCs w:val="20"/>
          <w:lang w:eastAsia="pl-PL"/>
        </w:rPr>
        <w:t xml:space="preserve"> oraz niedoskonałości w systemie ochrony zdrowia.</w:t>
      </w:r>
    </w:p>
    <w:p w14:paraId="66DC3B59"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 xml:space="preserve">Wybuch pandemii COVID-19 spowodował, że system ochrony zdrowia stanął przed koniecznością zabezpieczenia społeczeństwa przed zagrożeniem epidemiologicznym, a jednocześnie utrzymania dostępności świadczeń zdrowotnych i leków dla wszystkich potrzebujących. </w:t>
      </w:r>
    </w:p>
    <w:p w14:paraId="29DDC5D6"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 xml:space="preserve">W marcu 2020 r. wprowadzono w Polsce stan epidemii związany z zakażeniami wirusem SARS-CoV-2. Wiązało się to z nałożeniem na obywateli ograniczeń m.in. zamknięciem placówek edukacyjnych, nakazem obowiązkowego dystansowania społecznego czy zasłaniania ust i nosa. Dodatkowo rozpoczęła się zmiana </w:t>
      </w:r>
      <w:proofErr w:type="spellStart"/>
      <w:r w:rsidRPr="00572329">
        <w:rPr>
          <w:rFonts w:ascii="Arial" w:eastAsia="Times New Roman" w:hAnsi="Arial" w:cs="Arial"/>
          <w:sz w:val="20"/>
          <w:szCs w:val="20"/>
          <w:lang w:eastAsia="pl-PL"/>
        </w:rPr>
        <w:t>ogranizacji</w:t>
      </w:r>
      <w:proofErr w:type="spellEnd"/>
      <w:r w:rsidRPr="00572329">
        <w:rPr>
          <w:rFonts w:ascii="Arial" w:eastAsia="Times New Roman" w:hAnsi="Arial" w:cs="Arial"/>
          <w:sz w:val="20"/>
          <w:szCs w:val="20"/>
          <w:lang w:eastAsia="pl-PL"/>
        </w:rPr>
        <w:t xml:space="preserve"> szpitali i oddziałów zakaźnych oraz innych podmiotów leczniczych w celu obsługi pacjentów z COVID-19. Przykładem tych działań było </w:t>
      </w:r>
      <w:proofErr w:type="spellStart"/>
      <w:r w:rsidRPr="00572329">
        <w:rPr>
          <w:rFonts w:ascii="Arial" w:eastAsia="Times New Roman" w:hAnsi="Arial" w:cs="Arial"/>
          <w:sz w:val="20"/>
          <w:szCs w:val="20"/>
          <w:lang w:eastAsia="pl-PL"/>
        </w:rPr>
        <w:t>wprowadzonie</w:t>
      </w:r>
      <w:proofErr w:type="spellEnd"/>
      <w:r w:rsidRPr="00572329">
        <w:rPr>
          <w:rFonts w:ascii="Arial" w:eastAsia="Times New Roman" w:hAnsi="Arial" w:cs="Arial"/>
          <w:sz w:val="20"/>
          <w:szCs w:val="20"/>
          <w:lang w:eastAsia="pl-PL"/>
        </w:rPr>
        <w:t xml:space="preserve"> sieci szpitali jednoimiennych zlokalizowanych w każdym województwie, dedykowanych wyłącznie chorym na COVID-19 i w szybkim tempie zwiększano potencjał laboratoriów diagnostycznych, celem zapewnienia odpowiedniej diagnostyki zakażeń wirusem SARS-CoV-2</w:t>
      </w:r>
      <w:r w:rsidRPr="00572329">
        <w:rPr>
          <w:rFonts w:ascii="Arial" w:eastAsia="Times New Roman" w:hAnsi="Arial" w:cs="Arial"/>
          <w:sz w:val="20"/>
          <w:szCs w:val="20"/>
          <w:vertAlign w:val="superscript"/>
          <w:lang w:eastAsia="pl-PL"/>
        </w:rPr>
        <w:footnoteReference w:id="15"/>
      </w:r>
      <w:r w:rsidRPr="00572329">
        <w:rPr>
          <w:rFonts w:ascii="Arial" w:eastAsia="Times New Roman" w:hAnsi="Arial" w:cs="Arial"/>
          <w:sz w:val="20"/>
          <w:szCs w:val="20"/>
          <w:lang w:eastAsia="pl-PL"/>
        </w:rPr>
        <w:t>. Ponadto, uniemożliwiono też pracownikom ochrony zdrowia świadczeni</w:t>
      </w:r>
      <w:r w:rsidR="00C12774">
        <w:rPr>
          <w:rFonts w:ascii="Arial" w:eastAsia="Times New Roman" w:hAnsi="Arial" w:cs="Arial"/>
          <w:sz w:val="20"/>
          <w:szCs w:val="20"/>
          <w:lang w:eastAsia="pl-PL"/>
        </w:rPr>
        <w:t>e</w:t>
      </w:r>
      <w:r w:rsidRPr="00572329">
        <w:rPr>
          <w:rFonts w:ascii="Arial" w:eastAsia="Times New Roman" w:hAnsi="Arial" w:cs="Arial"/>
          <w:sz w:val="20"/>
          <w:szCs w:val="20"/>
          <w:lang w:eastAsia="pl-PL"/>
        </w:rPr>
        <w:t xml:space="preserve"> usług zdrowotnych poza miejscem stałego zatrudnienia. Również w początkowej fazie pandemii Główny Inspektor Sanitarny opublikował komunikat w sprawie schematu postępowania dla podstawowej opieki zdrowotnej oraz nocnej i świątecznej opieki zdrowotnej. Początkowo ciężar opieki nad osobami zakażonymi spoczywał na opiece </w:t>
      </w:r>
      <w:proofErr w:type="spellStart"/>
      <w:r w:rsidRPr="00572329">
        <w:rPr>
          <w:rFonts w:ascii="Arial" w:eastAsia="Times New Roman" w:hAnsi="Arial" w:cs="Arial"/>
          <w:sz w:val="20"/>
          <w:szCs w:val="20"/>
          <w:lang w:eastAsia="pl-PL"/>
        </w:rPr>
        <w:t>szpitalenej</w:t>
      </w:r>
      <w:proofErr w:type="spellEnd"/>
      <w:r w:rsidRPr="00572329">
        <w:rPr>
          <w:rFonts w:ascii="Arial" w:eastAsia="Times New Roman" w:hAnsi="Arial" w:cs="Arial"/>
          <w:sz w:val="20"/>
          <w:szCs w:val="20"/>
          <w:lang w:eastAsia="pl-PL"/>
        </w:rPr>
        <w:t xml:space="preserve">, w tym ww. szpitalach jednoimiennych. </w:t>
      </w:r>
      <w:proofErr w:type="spellStart"/>
      <w:r w:rsidRPr="00572329">
        <w:rPr>
          <w:rFonts w:ascii="Arial" w:eastAsia="Times New Roman" w:hAnsi="Arial" w:cs="Arial"/>
          <w:sz w:val="20"/>
          <w:szCs w:val="20"/>
          <w:lang w:eastAsia="pl-PL"/>
        </w:rPr>
        <w:t>Stoponiowo</w:t>
      </w:r>
      <w:proofErr w:type="spellEnd"/>
      <w:r w:rsidRPr="00572329">
        <w:rPr>
          <w:rFonts w:ascii="Arial" w:eastAsia="Times New Roman" w:hAnsi="Arial" w:cs="Arial"/>
          <w:sz w:val="20"/>
          <w:szCs w:val="20"/>
          <w:lang w:eastAsia="pl-PL"/>
        </w:rPr>
        <w:t xml:space="preserve"> w opiekę nad zakażonymi </w:t>
      </w:r>
      <w:proofErr w:type="spellStart"/>
      <w:r w:rsidRPr="00572329">
        <w:rPr>
          <w:rFonts w:ascii="Arial" w:eastAsia="Times New Roman" w:hAnsi="Arial" w:cs="Arial"/>
          <w:sz w:val="20"/>
          <w:szCs w:val="20"/>
          <w:lang w:eastAsia="pl-PL"/>
        </w:rPr>
        <w:t>pacjetami</w:t>
      </w:r>
      <w:proofErr w:type="spellEnd"/>
      <w:r w:rsidRPr="00572329">
        <w:rPr>
          <w:rFonts w:ascii="Arial" w:eastAsia="Times New Roman" w:hAnsi="Arial" w:cs="Arial"/>
          <w:sz w:val="20"/>
          <w:szCs w:val="20"/>
          <w:lang w:eastAsia="pl-PL"/>
        </w:rPr>
        <w:t xml:space="preserve"> zostały włączone kolejne poziomy opieki zdrowotnej, w tym podstawowa opieka zdrowotna. Z uwagi na rosnącą liczbę zakażeń oraz dużą ilość bezobjawowych osób zakażonyc</w:t>
      </w:r>
      <w:r w:rsidR="00C12774">
        <w:rPr>
          <w:rFonts w:ascii="Arial" w:eastAsia="Times New Roman" w:hAnsi="Arial" w:cs="Arial"/>
          <w:sz w:val="20"/>
          <w:szCs w:val="20"/>
          <w:lang w:eastAsia="pl-PL"/>
        </w:rPr>
        <w:t>h, lekarze POZ zostali włączeni</w:t>
      </w:r>
      <w:r w:rsidRPr="00572329">
        <w:rPr>
          <w:rFonts w:ascii="Arial" w:eastAsia="Times New Roman" w:hAnsi="Arial" w:cs="Arial"/>
          <w:sz w:val="20"/>
          <w:szCs w:val="20"/>
          <w:lang w:eastAsia="pl-PL"/>
        </w:rPr>
        <w:t xml:space="preserve"> w zlecenia testów diagnostycznych oraz opiekę nad zakażonymi </w:t>
      </w:r>
      <w:proofErr w:type="spellStart"/>
      <w:r w:rsidRPr="00572329">
        <w:rPr>
          <w:rFonts w:ascii="Arial" w:eastAsia="Times New Roman" w:hAnsi="Arial" w:cs="Arial"/>
          <w:sz w:val="20"/>
          <w:szCs w:val="20"/>
          <w:lang w:eastAsia="pl-PL"/>
        </w:rPr>
        <w:t>pacjetnami</w:t>
      </w:r>
      <w:proofErr w:type="spellEnd"/>
      <w:r w:rsidRPr="00572329">
        <w:rPr>
          <w:rFonts w:ascii="Arial" w:eastAsia="Times New Roman" w:hAnsi="Arial" w:cs="Arial"/>
          <w:sz w:val="20"/>
          <w:szCs w:val="20"/>
          <w:lang w:eastAsia="pl-PL"/>
        </w:rPr>
        <w:t xml:space="preserve"> pozostającymi w domach. Należy podkreślić, że w momencie pogorszenia się stanu zdrowia zakażonych pacjentów, wymagających hospitalizacji, to szpital był jednym miejscem, </w:t>
      </w:r>
      <w:r w:rsidR="00C12774">
        <w:rPr>
          <w:rFonts w:ascii="Arial" w:eastAsia="Times New Roman" w:hAnsi="Arial" w:cs="Arial"/>
          <w:sz w:val="20"/>
          <w:szCs w:val="20"/>
          <w:lang w:eastAsia="pl-PL"/>
        </w:rPr>
        <w:t>gdzie konieczne było skierowanie</w:t>
      </w:r>
      <w:r w:rsidRPr="00572329">
        <w:rPr>
          <w:rFonts w:ascii="Arial" w:eastAsia="Times New Roman" w:hAnsi="Arial" w:cs="Arial"/>
          <w:sz w:val="20"/>
          <w:szCs w:val="20"/>
          <w:lang w:eastAsia="pl-PL"/>
        </w:rPr>
        <w:t xml:space="preserve"> pacjenta i zapewnienie odpowiedniej opieki, </w:t>
      </w:r>
      <w:proofErr w:type="spellStart"/>
      <w:r w:rsidRPr="00572329">
        <w:rPr>
          <w:rFonts w:ascii="Arial" w:eastAsia="Times New Roman" w:hAnsi="Arial" w:cs="Arial"/>
          <w:sz w:val="20"/>
          <w:szCs w:val="20"/>
          <w:lang w:eastAsia="pl-PL"/>
        </w:rPr>
        <w:t>niejedokrotnie</w:t>
      </w:r>
      <w:proofErr w:type="spellEnd"/>
      <w:r w:rsidRPr="00572329">
        <w:rPr>
          <w:rFonts w:ascii="Arial" w:eastAsia="Times New Roman" w:hAnsi="Arial" w:cs="Arial"/>
          <w:sz w:val="20"/>
          <w:szCs w:val="20"/>
          <w:lang w:eastAsia="pl-PL"/>
        </w:rPr>
        <w:t xml:space="preserve"> ratującej życie pacjenta. Opieka szpitalna </w:t>
      </w:r>
      <w:r w:rsidRPr="00572329">
        <w:rPr>
          <w:rFonts w:ascii="Arial" w:eastAsia="Times New Roman" w:hAnsi="Arial" w:cs="Arial"/>
          <w:sz w:val="20"/>
          <w:szCs w:val="20"/>
          <w:lang w:eastAsia="pl-PL"/>
        </w:rPr>
        <w:lastRenderedPageBreak/>
        <w:t xml:space="preserve">musiała sprostać olbrzymiemu obciążeniu dodatkowymi zadaniami, </w:t>
      </w:r>
      <w:proofErr w:type="spellStart"/>
      <w:r w:rsidRPr="00572329">
        <w:rPr>
          <w:rFonts w:ascii="Arial" w:eastAsia="Times New Roman" w:hAnsi="Arial" w:cs="Arial"/>
          <w:sz w:val="20"/>
          <w:szCs w:val="20"/>
          <w:lang w:eastAsia="pl-PL"/>
        </w:rPr>
        <w:t>udzialejąc</w:t>
      </w:r>
      <w:proofErr w:type="spellEnd"/>
      <w:r w:rsidRPr="00572329">
        <w:rPr>
          <w:rFonts w:ascii="Arial" w:eastAsia="Times New Roman" w:hAnsi="Arial" w:cs="Arial"/>
          <w:sz w:val="20"/>
          <w:szCs w:val="20"/>
          <w:lang w:eastAsia="pl-PL"/>
        </w:rPr>
        <w:t xml:space="preserve"> pomocy również w trudnych warunkach sanitarnych.  </w:t>
      </w:r>
    </w:p>
    <w:p w14:paraId="3BFB69ED"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 xml:space="preserve">W ostatnim kwartale 2020 r. sytuacja epidemiologiczna uległa gwałtownej zmianie. Od początku października 2020 r. wzrost poziomu zakażeń był znaczny. </w:t>
      </w:r>
    </w:p>
    <w:p w14:paraId="371B7201"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 xml:space="preserve">Obecnie mierzymy się także ze zjawiskiem nadmiarowych zgonów. Analiza danych w oparciu o prognozy Eurostatu wskazuje, że nadwyżka liczby ogólnej zgonów w 2020 r. względem prognozowanej liczby zgonów wyniosła ok. 62 tys. Nadwyżkę tę wygenerowały przede wszystkim zgony, które wystąpiły między październikiem, a grudniem 2020 r., a 43% stanowią zgony zaraportowane przez Stacje Sanitarno-Epidemiologiczne z przyczyną zgonu SARS-CoV-2. Co więcej, 27% nadwyżki to zgony u pozostałych osób, które w przeszłości były chore na COVID-19. </w:t>
      </w:r>
    </w:p>
    <w:p w14:paraId="32F16017"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Analiza zgonów w 2020 r. wskazuje, że 82% nadwyżki zgonów generowane było przez osoby, które były obciążone chorobami współistniejącymi, przy czym wśród osób, które w przeszłości leczyły się na choroby przewlekłe najwyższy relatywny wzrost w porównaniu z 2019 r. odnotowano wśród osób cierpiących na choroby układu krążenia (ok. 17%), cukrzycę (ok. 16%), czy choroby neurologiczne (ok. 14,6%)</w:t>
      </w:r>
      <w:r w:rsidRPr="00572329">
        <w:rPr>
          <w:rFonts w:ascii="Arial" w:eastAsia="Times New Roman" w:hAnsi="Arial" w:cs="Arial"/>
          <w:sz w:val="20"/>
          <w:szCs w:val="20"/>
          <w:vertAlign w:val="superscript"/>
          <w:lang w:eastAsia="pl-PL"/>
        </w:rPr>
        <w:footnoteReference w:id="16"/>
      </w:r>
      <w:r w:rsidRPr="00572329">
        <w:rPr>
          <w:rFonts w:ascii="Arial" w:eastAsia="Times New Roman" w:hAnsi="Arial" w:cs="Arial"/>
          <w:sz w:val="20"/>
          <w:szCs w:val="20"/>
          <w:lang w:eastAsia="pl-PL"/>
        </w:rPr>
        <w:t xml:space="preserve">. Nie powstało jeszcze obszerne piśmiennictwo na ten temat, ale na podstawie powyższego można sądzić, że kryzys spowodowany COVID-19 nie wpłynął na ogólne trendy przyczyn zgonów sprzed pandemii. </w:t>
      </w:r>
    </w:p>
    <w:p w14:paraId="71001005"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Ponadto, od początku pandemii, w efekcie częściowego zamknięcia gospodarki i zwrócenia się w stronę rozwiązań zdalnych, system ochrony zdrowia na niespotykaną dotąd skalę upowszechnił rozwiązania z obszaru e-zdrowia i rozwiązań cyfrowych. Pacjenci dostrzegli wartość (obowiązkowej od początku 2020 roku) e-recepty, która w zaistniałej sytuacji doskonale spełniła zadanie zabezpieczenia pacjentów w produkty lecznicze</w:t>
      </w:r>
      <w:r w:rsidRPr="00572329">
        <w:rPr>
          <w:rFonts w:ascii="Arial" w:eastAsia="Times New Roman" w:hAnsi="Arial" w:cs="Arial"/>
          <w:sz w:val="20"/>
          <w:szCs w:val="20"/>
          <w:vertAlign w:val="superscript"/>
          <w:lang w:eastAsia="pl-PL"/>
        </w:rPr>
        <w:footnoteReference w:id="17"/>
      </w:r>
      <w:r w:rsidRPr="00572329">
        <w:rPr>
          <w:rFonts w:ascii="Arial" w:eastAsia="Times New Roman" w:hAnsi="Arial" w:cs="Arial"/>
          <w:sz w:val="20"/>
          <w:szCs w:val="20"/>
          <w:lang w:eastAsia="pl-PL"/>
        </w:rPr>
        <w:t>. Powszechniejsze stały się również teleporady, które w części przypadk</w:t>
      </w:r>
      <w:r w:rsidR="006958DB">
        <w:rPr>
          <w:rFonts w:ascii="Arial" w:eastAsia="Times New Roman" w:hAnsi="Arial" w:cs="Arial"/>
          <w:sz w:val="20"/>
          <w:szCs w:val="20"/>
          <w:lang w:eastAsia="pl-PL"/>
        </w:rPr>
        <w:t>ów</w:t>
      </w:r>
      <w:r w:rsidRPr="00572329">
        <w:rPr>
          <w:rFonts w:ascii="Arial" w:eastAsia="Times New Roman" w:hAnsi="Arial" w:cs="Arial"/>
          <w:sz w:val="20"/>
          <w:szCs w:val="20"/>
          <w:lang w:eastAsia="pl-PL"/>
        </w:rPr>
        <w:t xml:space="preserve"> mog</w:t>
      </w:r>
      <w:r w:rsidR="006958DB">
        <w:rPr>
          <w:rFonts w:ascii="Arial" w:eastAsia="Times New Roman" w:hAnsi="Arial" w:cs="Arial"/>
          <w:sz w:val="20"/>
          <w:szCs w:val="20"/>
          <w:lang w:eastAsia="pl-PL"/>
        </w:rPr>
        <w:t>ły</w:t>
      </w:r>
      <w:r w:rsidRPr="00572329">
        <w:rPr>
          <w:rFonts w:ascii="Arial" w:eastAsia="Times New Roman" w:hAnsi="Arial" w:cs="Arial"/>
          <w:sz w:val="20"/>
          <w:szCs w:val="20"/>
          <w:lang w:eastAsia="pl-PL"/>
        </w:rPr>
        <w:t xml:space="preserve"> zastąpić tradycyjne wizyty u lekarza. </w:t>
      </w:r>
    </w:p>
    <w:p w14:paraId="2A737C77" w14:textId="77777777" w:rsidR="00572329" w:rsidRPr="00572329" w:rsidRDefault="00572329" w:rsidP="00572329">
      <w:pPr>
        <w:spacing w:after="120"/>
        <w:jc w:val="both"/>
        <w:rPr>
          <w:rFonts w:ascii="Arial" w:eastAsia="Times New Roman" w:hAnsi="Arial" w:cs="Arial"/>
          <w:b/>
          <w:bCs/>
          <w:iCs/>
          <w:sz w:val="20"/>
          <w:szCs w:val="20"/>
          <w:lang w:eastAsia="pl-PL"/>
        </w:rPr>
      </w:pPr>
      <w:r w:rsidRPr="00572329">
        <w:rPr>
          <w:rFonts w:ascii="Arial" w:eastAsia="Times New Roman" w:hAnsi="Arial" w:cs="Arial"/>
          <w:b/>
          <w:bCs/>
          <w:iCs/>
          <w:sz w:val="20"/>
          <w:szCs w:val="20"/>
          <w:lang w:eastAsia="pl-PL"/>
        </w:rPr>
        <w:t>Obszary najmocniej dotknięte przez pandemię</w:t>
      </w:r>
      <w:r w:rsidR="001F1E86">
        <w:rPr>
          <w:rFonts w:ascii="Arial" w:eastAsia="Times New Roman" w:hAnsi="Arial" w:cs="Arial"/>
          <w:b/>
          <w:bCs/>
          <w:iCs/>
          <w:sz w:val="20"/>
          <w:szCs w:val="20"/>
          <w:lang w:eastAsia="pl-PL"/>
        </w:rPr>
        <w:t xml:space="preserve"> w sektorze zdrowia</w:t>
      </w:r>
      <w:r w:rsidRPr="00572329">
        <w:rPr>
          <w:rFonts w:ascii="Arial" w:eastAsia="Times New Roman" w:hAnsi="Arial" w:cs="Arial"/>
          <w:b/>
          <w:bCs/>
          <w:iCs/>
          <w:sz w:val="20"/>
          <w:szCs w:val="20"/>
          <w:lang w:eastAsia="pl-PL"/>
        </w:rPr>
        <w:t xml:space="preserve"> </w:t>
      </w:r>
    </w:p>
    <w:p w14:paraId="2B7AA365"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Opieka szpitalna wraz z oddziałami zakaźnymi oraz jednostki diagnostyczne</w:t>
      </w:r>
      <w:r w:rsidRPr="00572329">
        <w:rPr>
          <w:rFonts w:ascii="Arial" w:eastAsia="Times New Roman" w:hAnsi="Arial" w:cs="Arial"/>
          <w:iCs/>
          <w:sz w:val="20"/>
          <w:szCs w:val="20"/>
          <w:lang w:eastAsia="pl-PL"/>
        </w:rPr>
        <w:t xml:space="preserve">, </w:t>
      </w:r>
      <w:r w:rsidRPr="00572329">
        <w:rPr>
          <w:rFonts w:ascii="Arial" w:eastAsia="Times New Roman" w:hAnsi="Arial" w:cs="Arial"/>
          <w:sz w:val="20"/>
          <w:szCs w:val="20"/>
          <w:lang w:eastAsia="pl-PL"/>
        </w:rPr>
        <w:t xml:space="preserve">były szczególnie obciążone w momencie wybuchu pandemii i podczas kolejnych fal zwiększonej liczby osób zakażonych i chorych na COVID-19. Nałożono na podmioty lecznicze, w tym podmioty ponadregionalne /wysokospecjalistyczne, szereg dodatkowych obowiązków związanych m.in. z koniecznością izolacji pacjentów. Wiązało się to z koniecznością przeprowadzenia zmiany organizacji funkcjonowania oddziałów (wykonanie dodatkowych robót budowlanych) i zapewnienia szeregu procedur medycznych dla pacjentów przy użyciu profesjonalnego sprzętu medycznego w warunkach wzmożonego rygoru sanitarnego. Powyższe dotyczyło nie tylko opieki nad pacjentami zakażonymi i chorymi na COVID-19, ale również nad pozostałymi pacjentami, którzy wymagali odpowiedniej opieki medycznej, </w:t>
      </w:r>
      <w:proofErr w:type="spellStart"/>
      <w:r w:rsidRPr="00572329">
        <w:rPr>
          <w:rFonts w:ascii="Arial" w:eastAsia="Times New Roman" w:hAnsi="Arial" w:cs="Arial"/>
          <w:sz w:val="20"/>
          <w:szCs w:val="20"/>
          <w:lang w:eastAsia="pl-PL"/>
        </w:rPr>
        <w:t>udzialanej</w:t>
      </w:r>
      <w:proofErr w:type="spellEnd"/>
      <w:r w:rsidRPr="00572329">
        <w:rPr>
          <w:rFonts w:ascii="Arial" w:eastAsia="Times New Roman" w:hAnsi="Arial" w:cs="Arial"/>
          <w:sz w:val="20"/>
          <w:szCs w:val="20"/>
          <w:lang w:eastAsia="pl-PL"/>
        </w:rPr>
        <w:t xml:space="preserve"> w bezpiecznych warunkach sanitarnych i epidemiologicznych. </w:t>
      </w:r>
    </w:p>
    <w:p w14:paraId="1ADB1C15"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Należy podkreślić, że pacjenci trafiający do szpitali wymagają specjalistycznej pomocy, znacznie bardziej kompleksowej niż może to zapewnić poziom podstawowej opieki zdrowotnej czy ambulatoryjnej opieki specjalistycznej.</w:t>
      </w:r>
      <w:r w:rsidRPr="00572329">
        <w:rPr>
          <w:rFonts w:ascii="Arial" w:eastAsia="Times New Roman" w:hAnsi="Arial" w:cs="Arial"/>
          <w:b/>
          <w:bCs/>
          <w:sz w:val="20"/>
          <w:szCs w:val="20"/>
          <w:lang w:eastAsia="pl-PL"/>
        </w:rPr>
        <w:t xml:space="preserve"> </w:t>
      </w:r>
      <w:r w:rsidRPr="00572329">
        <w:rPr>
          <w:rFonts w:ascii="Arial" w:eastAsia="Times New Roman" w:hAnsi="Arial" w:cs="Arial"/>
          <w:sz w:val="20"/>
          <w:szCs w:val="20"/>
          <w:lang w:eastAsia="pl-PL"/>
        </w:rPr>
        <w:t xml:space="preserve">W tym kontekście niezwykle istotne staje się wsparcie ze środków programu krajowego podmiotów mających szczególne, strategiczne znaczenie dla systemu ochrony zdrowia Polsce. Podmioty te są jednostkami udzielającymi wysokospecjalistycznych i unikalnych w skali kraju świadczeń zdrowotnych, posiadającymi wysoko </w:t>
      </w:r>
      <w:proofErr w:type="spellStart"/>
      <w:r w:rsidRPr="00572329">
        <w:rPr>
          <w:rFonts w:ascii="Arial" w:eastAsia="Times New Roman" w:hAnsi="Arial" w:cs="Arial"/>
          <w:sz w:val="20"/>
          <w:szCs w:val="20"/>
          <w:lang w:eastAsia="pl-PL"/>
        </w:rPr>
        <w:t>wykwaifikowaną</w:t>
      </w:r>
      <w:proofErr w:type="spellEnd"/>
      <w:r w:rsidRPr="00572329">
        <w:rPr>
          <w:rFonts w:ascii="Arial" w:eastAsia="Times New Roman" w:hAnsi="Arial" w:cs="Arial"/>
          <w:sz w:val="20"/>
          <w:szCs w:val="20"/>
          <w:lang w:eastAsia="pl-PL"/>
        </w:rPr>
        <w:t xml:space="preserve"> kadrę medyczną, która jest przygotowana do wykonywania najbardziej skomplikowanych procedur medycznych. Wzmocnienie opieki szpitalnej, z jednoczesnym wsparciem ambulatoryjnej opieki </w:t>
      </w:r>
      <w:proofErr w:type="spellStart"/>
      <w:r w:rsidRPr="00572329">
        <w:rPr>
          <w:rFonts w:ascii="Arial" w:eastAsia="Times New Roman" w:hAnsi="Arial" w:cs="Arial"/>
          <w:sz w:val="20"/>
          <w:szCs w:val="20"/>
          <w:lang w:eastAsia="pl-PL"/>
        </w:rPr>
        <w:t>specalistyczynej</w:t>
      </w:r>
      <w:proofErr w:type="spellEnd"/>
      <w:r w:rsidRPr="00572329">
        <w:rPr>
          <w:rFonts w:ascii="Arial" w:eastAsia="Times New Roman" w:hAnsi="Arial" w:cs="Arial"/>
          <w:sz w:val="20"/>
          <w:szCs w:val="20"/>
          <w:lang w:eastAsia="pl-PL"/>
        </w:rPr>
        <w:t xml:space="preserve"> udzielanej w tych podmiotach, pozwoli na wzmocnienie podmiotów leczniczych mocno dotkniętych przez </w:t>
      </w:r>
      <w:proofErr w:type="spellStart"/>
      <w:r w:rsidRPr="00572329">
        <w:rPr>
          <w:rFonts w:ascii="Arial" w:eastAsia="Times New Roman" w:hAnsi="Arial" w:cs="Arial"/>
          <w:sz w:val="20"/>
          <w:szCs w:val="20"/>
          <w:lang w:eastAsia="pl-PL"/>
        </w:rPr>
        <w:t>pademię</w:t>
      </w:r>
      <w:proofErr w:type="spellEnd"/>
      <w:r w:rsidRPr="00572329">
        <w:rPr>
          <w:rFonts w:ascii="Arial" w:eastAsia="Times New Roman" w:hAnsi="Arial" w:cs="Arial"/>
          <w:sz w:val="20"/>
          <w:szCs w:val="20"/>
          <w:lang w:eastAsia="pl-PL"/>
        </w:rPr>
        <w:t xml:space="preserve">. </w:t>
      </w:r>
    </w:p>
    <w:p w14:paraId="62D1028E"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lastRenderedPageBreak/>
        <w:t xml:space="preserve">Publiczna służba krwi oraz podmioty w zakresie medycyny transplantacyjnej zmierzyły się z trudnym zadaniem ratowania ciężko chorych w sytuacji, kiedy zakażenia wirusem SARS-CoV-2 spowodowały znaczący spadek liczby dawców – zarówno krwi, jak i narządów do przeszczepów. Te okoliczności negatywnie wpłynęły na donację i transplantologię, a przeciwdziałanie im będzie niewątpliwie wymagało wsparcia, m.in. infrastrukturalnego, dzięki czemu możliwe będzie dostosowanie podmiotów do działania w warunkach epidemii oraz wzmocnienie realizowanych już działań. </w:t>
      </w:r>
    </w:p>
    <w:p w14:paraId="075BF2E2" w14:textId="7E578D50"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 xml:space="preserve">W ramach całej inspekcji sanitarnej siły skierowane są na walkę z pandemią COVID-19. Pandemia, w różnych jej fazach, nałożyła na te służby szereg obowiązków. W ramach programu krajowego konieczne jest </w:t>
      </w:r>
      <w:r w:rsidR="000C459A">
        <w:rPr>
          <w:rFonts w:ascii="Arial" w:eastAsia="Times New Roman" w:hAnsi="Arial" w:cs="Arial"/>
          <w:sz w:val="20"/>
          <w:szCs w:val="20"/>
          <w:lang w:eastAsia="pl-PL"/>
        </w:rPr>
        <w:t>w</w:t>
      </w:r>
      <w:r w:rsidRPr="00572329">
        <w:rPr>
          <w:rFonts w:ascii="Arial" w:eastAsia="Times New Roman" w:hAnsi="Arial" w:cs="Arial"/>
          <w:sz w:val="20"/>
          <w:szCs w:val="20"/>
          <w:lang w:eastAsia="pl-PL"/>
        </w:rPr>
        <w:t>zmocnienie Głównego Inspektoratu Sanitarnego</w:t>
      </w:r>
      <w:r w:rsidR="000C459A">
        <w:rPr>
          <w:rFonts w:ascii="Arial" w:eastAsia="Times New Roman" w:hAnsi="Arial" w:cs="Arial"/>
          <w:sz w:val="20"/>
          <w:szCs w:val="20"/>
          <w:lang w:eastAsia="pl-PL"/>
        </w:rPr>
        <w:t>,</w:t>
      </w:r>
      <w:r w:rsidRPr="00572329">
        <w:rPr>
          <w:rFonts w:ascii="Arial" w:eastAsia="Times New Roman" w:hAnsi="Arial" w:cs="Arial"/>
          <w:sz w:val="20"/>
          <w:szCs w:val="20"/>
          <w:lang w:eastAsia="pl-PL"/>
        </w:rPr>
        <w:t xml:space="preserve"> wojewódzkich</w:t>
      </w:r>
      <w:r w:rsidR="000C459A" w:rsidRPr="000C459A">
        <w:rPr>
          <w:rFonts w:ascii="Arial" w:eastAsia="Times New Roman" w:hAnsi="Arial" w:cs="Arial"/>
          <w:color w:val="FF0000"/>
          <w:sz w:val="20"/>
          <w:szCs w:val="20"/>
          <w:lang w:eastAsia="pl-PL"/>
        </w:rPr>
        <w:t xml:space="preserve"> </w:t>
      </w:r>
      <w:r w:rsidR="000C459A">
        <w:rPr>
          <w:rFonts w:ascii="Arial" w:eastAsia="Times New Roman" w:hAnsi="Arial" w:cs="Arial"/>
          <w:color w:val="FF0000"/>
          <w:sz w:val="20"/>
          <w:szCs w:val="20"/>
          <w:lang w:eastAsia="pl-PL"/>
        </w:rPr>
        <w:t>oraz powiatowych</w:t>
      </w:r>
      <w:r w:rsidRPr="00572329">
        <w:rPr>
          <w:rFonts w:ascii="Arial" w:eastAsia="Times New Roman" w:hAnsi="Arial" w:cs="Arial"/>
          <w:sz w:val="20"/>
          <w:szCs w:val="20"/>
          <w:lang w:eastAsia="pl-PL"/>
        </w:rPr>
        <w:t xml:space="preserve"> stacji sanitarno-epidemiologicznych, jako kluczowych elementów odpowiedzi na zagrożenia epidemiologicz</w:t>
      </w:r>
      <w:r w:rsidR="006C42E7">
        <w:rPr>
          <w:rFonts w:ascii="Arial" w:eastAsia="Times New Roman" w:hAnsi="Arial" w:cs="Arial"/>
          <w:sz w:val="20"/>
          <w:szCs w:val="20"/>
          <w:lang w:eastAsia="pl-PL"/>
        </w:rPr>
        <w:t>n</w:t>
      </w:r>
      <w:r w:rsidRPr="00572329">
        <w:rPr>
          <w:rFonts w:ascii="Arial" w:eastAsia="Times New Roman" w:hAnsi="Arial" w:cs="Arial"/>
          <w:sz w:val="20"/>
          <w:szCs w:val="20"/>
          <w:lang w:eastAsia="pl-PL"/>
        </w:rPr>
        <w:t>e oraz lepsze przygotowanie ww. służb do realizowanych zadań. Konieczna jest modernizacja posiadanej infrastruktury sprzętowej, niezbędnych robót modernizacyjnych, czy budowlanych, m.in. w zakresie laboratoriów diagnostycznych, dzięki czemu zostanie zwiększona efektywność realizowanych zadań.</w:t>
      </w:r>
    </w:p>
    <w:p w14:paraId="6D816DCA" w14:textId="77777777" w:rsidR="00572329" w:rsidRPr="00572329" w:rsidRDefault="00572329" w:rsidP="00572329">
      <w:pPr>
        <w:spacing w:after="120"/>
        <w:jc w:val="both"/>
        <w:rPr>
          <w:rFonts w:ascii="Arial" w:eastAsia="Times New Roman" w:hAnsi="Arial" w:cs="Arial"/>
          <w:b/>
          <w:bCs/>
          <w:sz w:val="20"/>
          <w:szCs w:val="20"/>
          <w:lang w:eastAsia="pl-PL"/>
        </w:rPr>
      </w:pPr>
      <w:r w:rsidRPr="00572329">
        <w:rPr>
          <w:rFonts w:ascii="Arial" w:eastAsia="Times New Roman" w:hAnsi="Arial" w:cs="Arial"/>
          <w:sz w:val="20"/>
          <w:szCs w:val="20"/>
          <w:lang w:eastAsia="pl-PL"/>
        </w:rPr>
        <w:t xml:space="preserve">Informatyzacja systemu ochrony zdrowia jest od kilku lat jednym z priorytetowych działań prowadzonych przez Ministerstwo Zdrowia w celu rozszerzania dostępu do usług publicznych w ochronie zdrowia świadczonych drogą elektroniczną. Jak pokazują doświadczenia kryzysu epidemiologicznego związanego z COVID-19, </w:t>
      </w:r>
      <w:r w:rsidRPr="00572329">
        <w:rPr>
          <w:rFonts w:ascii="Arial" w:eastAsia="Times New Roman" w:hAnsi="Arial" w:cs="Arial"/>
          <w:b/>
          <w:bCs/>
          <w:sz w:val="20"/>
          <w:szCs w:val="20"/>
          <w:lang w:eastAsia="pl-PL"/>
        </w:rPr>
        <w:t xml:space="preserve">informatyzacja w ochronie zdrowia stanowi kluczowy element wzmacniania odporności sektora ochrony zdrowia na zagrożenia zewnętrzne. </w:t>
      </w:r>
    </w:p>
    <w:p w14:paraId="195DC63C" w14:textId="77777777" w:rsid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Placówki POZ wciąż nie są odpowiednio przygotowane od strony infrastrukturalnej do procesu cyfryzacji sektora ochrony zdrowia, a potrzeby w zakresie wdrożeń e-usług dla pacjentów oraz dedykowanych rozwiązań IT są wciąż znaczące</w:t>
      </w:r>
      <w:r w:rsidR="006958DB">
        <w:rPr>
          <w:rFonts w:ascii="Arial" w:eastAsia="Times New Roman" w:hAnsi="Arial" w:cs="Arial"/>
          <w:sz w:val="20"/>
          <w:szCs w:val="20"/>
          <w:lang w:eastAsia="pl-PL"/>
        </w:rPr>
        <w:t>. Jak pokazuje V wydanie Badania</w:t>
      </w:r>
      <w:r w:rsidRPr="00572329">
        <w:rPr>
          <w:rFonts w:ascii="Arial" w:eastAsia="Times New Roman" w:hAnsi="Arial" w:cs="Arial"/>
          <w:sz w:val="20"/>
          <w:szCs w:val="20"/>
          <w:lang w:eastAsia="pl-PL"/>
        </w:rPr>
        <w:t xml:space="preserve"> Stopnia Informatyzacji Podmiotów Wykonujących Działalność Leczniczą</w:t>
      </w:r>
      <w:r w:rsidRPr="00572329">
        <w:rPr>
          <w:rFonts w:ascii="Arial" w:eastAsia="Times New Roman" w:hAnsi="Arial" w:cs="Arial"/>
          <w:sz w:val="20"/>
          <w:szCs w:val="20"/>
          <w:vertAlign w:val="superscript"/>
          <w:lang w:eastAsia="pl-PL"/>
        </w:rPr>
        <w:footnoteReference w:id="18"/>
      </w:r>
      <w:r w:rsidRPr="00572329">
        <w:rPr>
          <w:rFonts w:ascii="Arial" w:eastAsia="Times New Roman" w:hAnsi="Arial" w:cs="Arial"/>
          <w:sz w:val="20"/>
          <w:szCs w:val="20"/>
          <w:lang w:eastAsia="pl-PL"/>
        </w:rPr>
        <w:t xml:space="preserve">,  35% podmiotów POZ – respondentów ankiety wykazało, że nie dysponuje wystarczającą infrastrukturą IT pozwalającą na prowadzenie dokumentacji w postaci elektronicznej oraz przetwarzanie jednostkowych danych medycznych. Odsetek podmiotów POZ prowadzących poszczególne rodzaje dokumentacji w wersji elektronicznej jest także niski. Tylko 27% respondentów potwierdziło prowadzenie w wersji elektronicznej karty informacyjnej z leczenia szpitalnego, o której mowa w przepisach wydanych na podstawie art. 30 ustawy o prawach pacjenta i Rzeczniku Praw Pacjenta, a 37% podmiotów prowadzi elektroniczne wyniki badań wraz z ich opisem. Tylko 13% podmiotów POZ posiada wdrożone usługi elektroniczne dedykowane innym podmiotom leczniczym (np. wymiana badań diagnostycznych), a 60% podmiotów POZ nie posiada Repozytorium Elektronicznej Dokumentacji Medycznej (rozumianego jako miejsce składowania dokumentów elektronicznych wraz z metadanymi na potrzeby ich wyszukiwania). Konieczna jest realizacja zadań w zakresie zakupu sprzętu i oprogramowania dla podmiotów POZ. </w:t>
      </w:r>
    </w:p>
    <w:p w14:paraId="3D8ABC58" w14:textId="77777777" w:rsidR="00572329" w:rsidRPr="00572329" w:rsidRDefault="00572329" w:rsidP="00572329">
      <w:pPr>
        <w:spacing w:after="120"/>
        <w:jc w:val="both"/>
        <w:rPr>
          <w:rFonts w:ascii="Arial" w:eastAsia="Times New Roman" w:hAnsi="Arial" w:cs="Arial"/>
          <w:sz w:val="20"/>
          <w:szCs w:val="20"/>
          <w:lang w:eastAsia="pl-PL"/>
        </w:rPr>
      </w:pPr>
      <w:r w:rsidRPr="00572329">
        <w:rPr>
          <w:rFonts w:ascii="Arial" w:eastAsia="Times New Roman" w:hAnsi="Arial" w:cs="Arial"/>
          <w:sz w:val="20"/>
          <w:szCs w:val="20"/>
          <w:lang w:eastAsia="pl-PL"/>
        </w:rPr>
        <w:t xml:space="preserve">Podsumowując zaproponowany zakres wsparcia w ramach Programu został przygotowany </w:t>
      </w:r>
      <w:r w:rsidRPr="00572329">
        <w:rPr>
          <w:rFonts w:ascii="Arial" w:eastAsia="Times New Roman" w:hAnsi="Arial" w:cs="Arial"/>
          <w:sz w:val="20"/>
          <w:szCs w:val="20"/>
          <w:lang w:eastAsia="pl-PL"/>
        </w:rPr>
        <w:br/>
        <w:t>w odpowiedzi na zdiagnozowane dotychczas problemy i identyfikowane potrzeby. Należy skupić się na poprawie dostępności, efektywności i jakości systemu ochrony zdrowia we wskazanych obszarach. Celem podejmowanych działań jest przeciwdziałanie negatywnym skutkom wystąpienia pandemii COVID-19 oraz przygotowanie systemu na potencjalne przyszłe zagrożenia epidemiologiczne.</w:t>
      </w:r>
    </w:p>
    <w:p w14:paraId="0E685FED" w14:textId="77777777" w:rsidR="00EA686D" w:rsidRPr="00EA686D" w:rsidRDefault="00EA686D" w:rsidP="003435C2">
      <w:pPr>
        <w:spacing w:after="120"/>
        <w:jc w:val="both"/>
        <w:rPr>
          <w:rFonts w:ascii="Arial" w:eastAsia="Times New Roman" w:hAnsi="Arial" w:cs="Arial"/>
          <w:b/>
          <w:sz w:val="20"/>
          <w:szCs w:val="20"/>
          <w:lang w:eastAsia="pl-PL"/>
        </w:rPr>
      </w:pPr>
      <w:r w:rsidRPr="00EA686D">
        <w:rPr>
          <w:rFonts w:ascii="Arial" w:eastAsia="Times New Roman" w:hAnsi="Arial" w:cs="Arial"/>
          <w:b/>
          <w:sz w:val="20"/>
          <w:szCs w:val="20"/>
          <w:lang w:eastAsia="pl-PL"/>
        </w:rPr>
        <w:t xml:space="preserve">Znaczenie sektora energetyki w </w:t>
      </w:r>
      <w:r w:rsidR="001F1E86">
        <w:rPr>
          <w:rFonts w:ascii="Arial" w:eastAsia="Times New Roman" w:hAnsi="Arial" w:cs="Arial"/>
          <w:b/>
          <w:sz w:val="20"/>
          <w:szCs w:val="20"/>
          <w:lang w:eastAsia="pl-PL"/>
        </w:rPr>
        <w:t>odbudowie</w:t>
      </w:r>
      <w:r w:rsidRPr="00EA686D">
        <w:rPr>
          <w:rFonts w:ascii="Arial" w:eastAsia="Times New Roman" w:hAnsi="Arial" w:cs="Arial"/>
          <w:b/>
          <w:sz w:val="20"/>
          <w:szCs w:val="20"/>
          <w:lang w:eastAsia="pl-PL"/>
        </w:rPr>
        <w:t xml:space="preserve"> gospodarki</w:t>
      </w:r>
    </w:p>
    <w:p w14:paraId="5534C669" w14:textId="77777777" w:rsidR="00225C52" w:rsidRDefault="0050178D" w:rsidP="00225C52">
      <w:p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S</w:t>
      </w:r>
      <w:r w:rsidR="00AE122A">
        <w:rPr>
          <w:rFonts w:ascii="Arial" w:eastAsia="Times New Roman" w:hAnsi="Arial" w:cs="Arial"/>
          <w:sz w:val="20"/>
          <w:szCs w:val="20"/>
          <w:lang w:eastAsia="pl-PL"/>
        </w:rPr>
        <w:t>ektor</w:t>
      </w:r>
      <w:r w:rsidR="0030005F">
        <w:rPr>
          <w:rFonts w:ascii="Arial" w:eastAsia="Times New Roman" w:hAnsi="Arial" w:cs="Arial"/>
          <w:sz w:val="20"/>
          <w:szCs w:val="20"/>
          <w:lang w:eastAsia="pl-PL"/>
        </w:rPr>
        <w:t xml:space="preserve"> energetyki</w:t>
      </w:r>
      <w:r>
        <w:rPr>
          <w:rFonts w:ascii="Arial" w:eastAsia="Times New Roman" w:hAnsi="Arial" w:cs="Arial"/>
          <w:sz w:val="20"/>
          <w:szCs w:val="20"/>
          <w:lang w:eastAsia="pl-PL"/>
        </w:rPr>
        <w:t xml:space="preserve"> ma kluczowe znaczenie dla </w:t>
      </w:r>
      <w:r w:rsidR="0030005F" w:rsidRPr="0095609E">
        <w:rPr>
          <w:rFonts w:ascii="Arial" w:eastAsia="Times New Roman" w:hAnsi="Arial" w:cs="Arial"/>
          <w:sz w:val="20"/>
          <w:szCs w:val="20"/>
          <w:lang w:eastAsia="pl-PL"/>
        </w:rPr>
        <w:t>tworz</w:t>
      </w:r>
      <w:r>
        <w:rPr>
          <w:rFonts w:ascii="Arial" w:eastAsia="Times New Roman" w:hAnsi="Arial" w:cs="Arial"/>
          <w:sz w:val="20"/>
          <w:szCs w:val="20"/>
          <w:lang w:eastAsia="pl-PL"/>
        </w:rPr>
        <w:t>enia odpowiednich warunków</w:t>
      </w:r>
      <w:r w:rsidR="0030005F" w:rsidRPr="0095609E">
        <w:rPr>
          <w:rFonts w:ascii="Arial" w:eastAsia="Times New Roman" w:hAnsi="Arial" w:cs="Arial"/>
          <w:sz w:val="20"/>
          <w:szCs w:val="20"/>
          <w:lang w:eastAsia="pl-PL"/>
        </w:rPr>
        <w:t xml:space="preserve"> do ożywienia</w:t>
      </w:r>
      <w:r w:rsidR="0030005F">
        <w:rPr>
          <w:rFonts w:ascii="Arial" w:eastAsia="Times New Roman" w:hAnsi="Arial" w:cs="Arial"/>
          <w:sz w:val="20"/>
          <w:szCs w:val="20"/>
          <w:lang w:eastAsia="pl-PL"/>
        </w:rPr>
        <w:t xml:space="preserve"> gospodarczego</w:t>
      </w:r>
      <w:r w:rsidR="0030005F" w:rsidRPr="0095609E">
        <w:rPr>
          <w:rFonts w:ascii="Arial" w:eastAsia="Times New Roman" w:hAnsi="Arial" w:cs="Arial"/>
          <w:sz w:val="20"/>
          <w:szCs w:val="20"/>
          <w:lang w:eastAsia="pl-PL"/>
        </w:rPr>
        <w:t>,</w:t>
      </w:r>
      <w:r>
        <w:rPr>
          <w:rFonts w:ascii="Arial" w:eastAsia="Times New Roman" w:hAnsi="Arial" w:cs="Arial"/>
          <w:sz w:val="20"/>
          <w:szCs w:val="20"/>
          <w:lang w:eastAsia="pl-PL"/>
        </w:rPr>
        <w:t xml:space="preserve"> w tym </w:t>
      </w:r>
      <w:r w:rsidR="0030005F" w:rsidRPr="0095609E">
        <w:rPr>
          <w:rFonts w:ascii="Arial" w:eastAsia="Times New Roman" w:hAnsi="Arial" w:cs="Arial"/>
          <w:sz w:val="20"/>
          <w:szCs w:val="20"/>
          <w:lang w:eastAsia="pl-PL"/>
        </w:rPr>
        <w:t xml:space="preserve"> </w:t>
      </w:r>
      <w:r w:rsidR="0030005F">
        <w:rPr>
          <w:rFonts w:ascii="Arial" w:eastAsia="Times New Roman" w:hAnsi="Arial" w:cs="Arial"/>
          <w:sz w:val="20"/>
          <w:szCs w:val="20"/>
          <w:lang w:eastAsia="pl-PL"/>
        </w:rPr>
        <w:t>wsparci</w:t>
      </w:r>
      <w:r>
        <w:rPr>
          <w:rFonts w:ascii="Arial" w:eastAsia="Times New Roman" w:hAnsi="Arial" w:cs="Arial"/>
          <w:sz w:val="20"/>
          <w:szCs w:val="20"/>
          <w:lang w:eastAsia="pl-PL"/>
        </w:rPr>
        <w:t>a</w:t>
      </w:r>
      <w:r w:rsidR="0030005F">
        <w:rPr>
          <w:rFonts w:ascii="Arial" w:eastAsia="Times New Roman" w:hAnsi="Arial" w:cs="Arial"/>
          <w:sz w:val="20"/>
          <w:szCs w:val="20"/>
          <w:lang w:eastAsia="pl-PL"/>
        </w:rPr>
        <w:t xml:space="preserve"> dla</w:t>
      </w:r>
      <w:r w:rsidR="0030005F" w:rsidRPr="0095609E">
        <w:rPr>
          <w:rFonts w:ascii="Arial" w:eastAsia="Times New Roman" w:hAnsi="Arial" w:cs="Arial"/>
          <w:sz w:val="20"/>
          <w:szCs w:val="20"/>
          <w:lang w:eastAsia="pl-PL"/>
        </w:rPr>
        <w:t xml:space="preserve"> inwestycji przyczyniających się do </w:t>
      </w:r>
      <w:r w:rsidR="0030005F">
        <w:rPr>
          <w:rFonts w:ascii="Arial" w:eastAsia="Times New Roman" w:hAnsi="Arial" w:cs="Arial"/>
          <w:sz w:val="20"/>
          <w:szCs w:val="20"/>
          <w:lang w:eastAsia="pl-PL"/>
        </w:rPr>
        <w:t>budowy niskoemisyjnej, opartej na cyfrowych rozwiązaniach gospodarki.</w:t>
      </w:r>
      <w:r w:rsidR="00225C52">
        <w:rPr>
          <w:rFonts w:ascii="Arial" w:eastAsia="Times New Roman" w:hAnsi="Arial" w:cs="Arial"/>
          <w:sz w:val="20"/>
          <w:szCs w:val="20"/>
          <w:lang w:eastAsia="pl-PL"/>
        </w:rPr>
        <w:t xml:space="preserve"> Impuls do ożywienia gospodarczego będzie prowadził do </w:t>
      </w:r>
      <w:r w:rsidR="00225C52" w:rsidRPr="00AE122A">
        <w:rPr>
          <w:rFonts w:ascii="Arial" w:eastAsia="Times New Roman" w:hAnsi="Arial" w:cs="Arial"/>
          <w:sz w:val="20"/>
          <w:szCs w:val="20"/>
          <w:lang w:eastAsia="pl-PL"/>
        </w:rPr>
        <w:t xml:space="preserve">transformacji w kierunku gospodarki neutralnej dla klimatu, dla której kluczowym </w:t>
      </w:r>
      <w:r w:rsidR="00225C52" w:rsidRPr="00AE122A">
        <w:rPr>
          <w:rFonts w:ascii="Arial" w:eastAsia="Times New Roman" w:hAnsi="Arial" w:cs="Arial"/>
          <w:sz w:val="20"/>
          <w:szCs w:val="20"/>
          <w:lang w:eastAsia="pl-PL"/>
        </w:rPr>
        <w:lastRenderedPageBreak/>
        <w:t xml:space="preserve">wyzwaniem jest dekarbonizacja gospodarki. Jest to proces kompleksowy, wymagający znaczących nakładów finansowych, planowania w horyzoncie wieloletnim, a także przemian społeczno-gospodarczych związanych ze zmianą profilu gospodarczego w skali regionalnej. Oprócz stopniowego </w:t>
      </w:r>
      <w:r w:rsidR="00AE122A" w:rsidRPr="00AE122A">
        <w:rPr>
          <w:rFonts w:ascii="Arial" w:eastAsia="Times New Roman" w:hAnsi="Arial" w:cs="Arial"/>
          <w:sz w:val="20"/>
          <w:szCs w:val="20"/>
          <w:lang w:eastAsia="pl-PL"/>
        </w:rPr>
        <w:t>zmniejszenia wykorzystania węgla</w:t>
      </w:r>
      <w:r w:rsidR="00225C52" w:rsidRPr="00AE122A">
        <w:rPr>
          <w:rFonts w:ascii="Arial" w:eastAsia="Times New Roman" w:hAnsi="Arial" w:cs="Arial"/>
          <w:sz w:val="20"/>
          <w:szCs w:val="20"/>
          <w:lang w:eastAsia="pl-PL"/>
        </w:rPr>
        <w:t>, z dekarbonizacją wiąże się konieczność zapewnienia dostępu do nisko- i zeroemisyjnych źródeł energii, w tym zwiększenie wykorzystania OZE . Wyzwaniem będzie także dostosowanie już istniejących systemów energetycznych do stopniowego zastosowania technologii wodorowych i rozw</w:t>
      </w:r>
      <w:r w:rsidR="00AE122A" w:rsidRPr="00AE122A">
        <w:rPr>
          <w:rFonts w:ascii="Arial" w:eastAsia="Times New Roman" w:hAnsi="Arial" w:cs="Arial"/>
          <w:sz w:val="20"/>
          <w:szCs w:val="20"/>
          <w:lang w:eastAsia="pl-PL"/>
        </w:rPr>
        <w:t>oju innych paliw alternatywnych</w:t>
      </w:r>
      <w:r w:rsidR="00225C52" w:rsidRPr="00AE122A">
        <w:rPr>
          <w:rFonts w:ascii="Arial" w:eastAsia="Times New Roman" w:hAnsi="Arial" w:cs="Arial"/>
          <w:sz w:val="20"/>
          <w:szCs w:val="20"/>
          <w:lang w:eastAsia="pl-PL"/>
        </w:rPr>
        <w:t xml:space="preserve"> oraz rozwój energetyki rozproszonej i </w:t>
      </w:r>
      <w:proofErr w:type="spellStart"/>
      <w:r w:rsidR="00225C52" w:rsidRPr="00AE122A">
        <w:rPr>
          <w:rFonts w:ascii="Arial" w:eastAsia="Times New Roman" w:hAnsi="Arial" w:cs="Arial"/>
          <w:sz w:val="20"/>
          <w:szCs w:val="20"/>
          <w:lang w:eastAsia="pl-PL"/>
        </w:rPr>
        <w:t>prosumenckiej</w:t>
      </w:r>
      <w:proofErr w:type="spellEnd"/>
      <w:r w:rsidR="00225C52" w:rsidRPr="00AE122A">
        <w:rPr>
          <w:rFonts w:ascii="Arial" w:eastAsia="Times New Roman" w:hAnsi="Arial" w:cs="Arial"/>
          <w:sz w:val="20"/>
          <w:szCs w:val="20"/>
          <w:lang w:eastAsia="pl-PL"/>
        </w:rPr>
        <w:t>.</w:t>
      </w:r>
      <w:r w:rsidR="00595495">
        <w:rPr>
          <w:rFonts w:ascii="Arial" w:eastAsia="Times New Roman" w:hAnsi="Arial" w:cs="Arial"/>
          <w:sz w:val="20"/>
          <w:szCs w:val="20"/>
          <w:lang w:eastAsia="pl-PL"/>
        </w:rPr>
        <w:t xml:space="preserve"> N</w:t>
      </w:r>
      <w:r w:rsidR="00595495" w:rsidRPr="00595495">
        <w:rPr>
          <w:rFonts w:ascii="Arial" w:eastAsia="Times New Roman" w:hAnsi="Arial" w:cs="Arial"/>
          <w:sz w:val="20"/>
          <w:szCs w:val="20"/>
          <w:lang w:eastAsia="pl-PL"/>
        </w:rPr>
        <w:t xml:space="preserve">ajwiększym wyzwaniem nadal pozostają ponadnormatywne stężenia w sezonie zimowym pyłu zawieszonego oraz </w:t>
      </w:r>
      <w:proofErr w:type="spellStart"/>
      <w:r w:rsidR="00595495" w:rsidRPr="00595495">
        <w:rPr>
          <w:rFonts w:ascii="Arial" w:eastAsia="Times New Roman" w:hAnsi="Arial" w:cs="Arial"/>
          <w:sz w:val="20"/>
          <w:szCs w:val="20"/>
          <w:lang w:eastAsia="pl-PL"/>
        </w:rPr>
        <w:t>benzo</w:t>
      </w:r>
      <w:proofErr w:type="spellEnd"/>
      <w:r w:rsidR="00595495" w:rsidRPr="00595495">
        <w:rPr>
          <w:rFonts w:ascii="Arial" w:eastAsia="Times New Roman" w:hAnsi="Arial" w:cs="Arial"/>
          <w:sz w:val="20"/>
          <w:szCs w:val="20"/>
          <w:lang w:eastAsia="pl-PL"/>
        </w:rPr>
        <w:t>(a)</w:t>
      </w:r>
      <w:proofErr w:type="spellStart"/>
      <w:r w:rsidR="00595495" w:rsidRPr="00595495">
        <w:rPr>
          <w:rFonts w:ascii="Arial" w:eastAsia="Times New Roman" w:hAnsi="Arial" w:cs="Arial"/>
          <w:sz w:val="20"/>
          <w:szCs w:val="20"/>
          <w:lang w:eastAsia="pl-PL"/>
        </w:rPr>
        <w:t>pirenu</w:t>
      </w:r>
      <w:proofErr w:type="spellEnd"/>
      <w:r w:rsidR="00595495" w:rsidRPr="00595495">
        <w:rPr>
          <w:rFonts w:ascii="Arial" w:eastAsia="Times New Roman" w:hAnsi="Arial" w:cs="Arial"/>
          <w:sz w:val="20"/>
          <w:szCs w:val="20"/>
          <w:lang w:eastAsia="pl-PL"/>
        </w:rPr>
        <w:t xml:space="preserve">. Szacuje się, że blisko połowa gospodarstw domowych (45,4% - dane GUS za 2018 r.) wykorzystuje do ogrzewania paliwa stałe, głównie węgiel kamienny i drewno opałowe. Tylko liczba domów jednorodzinnych ogrzewanych paliwami stałymi w Polsce wynosi około 3,5 mln. Paliwa stałe służą też w przeszło 25% gospodarstw domowych do ogrzewania wody (dane GUS za 2018 r.). W sektorze bytowo-komunalnym do procesów spalania wykorzystywane są przestarzałe instalacje i często paliwa stałe złej jakości, co wpływa na niską emisję. Przyczyną tego stanu rzeczy jest często aspekt finansowy związany z tzw. ubóstwem energetycznym. Dużym wyzwaniem w kontekście dekarbonizacji gospodarki jest więc przestawienie sektora </w:t>
      </w:r>
      <w:proofErr w:type="spellStart"/>
      <w:r w:rsidR="00595495" w:rsidRPr="00595495">
        <w:rPr>
          <w:rFonts w:ascii="Arial" w:eastAsia="Times New Roman" w:hAnsi="Arial" w:cs="Arial"/>
          <w:sz w:val="20"/>
          <w:szCs w:val="20"/>
          <w:lang w:eastAsia="pl-PL"/>
        </w:rPr>
        <w:t>komunalnobytowego</w:t>
      </w:r>
      <w:proofErr w:type="spellEnd"/>
      <w:r w:rsidR="00595495" w:rsidRPr="00595495">
        <w:rPr>
          <w:rFonts w:ascii="Arial" w:eastAsia="Times New Roman" w:hAnsi="Arial" w:cs="Arial"/>
          <w:sz w:val="20"/>
          <w:szCs w:val="20"/>
          <w:lang w:eastAsia="pl-PL"/>
        </w:rPr>
        <w:t xml:space="preserve"> na większe wykorzystywanie indywidulanych instalacji OZE, a w okresie przejściowym gazu ziemnego.</w:t>
      </w:r>
    </w:p>
    <w:p w14:paraId="64AC96A4" w14:textId="77777777" w:rsidR="00CB60AA" w:rsidRDefault="0030005F" w:rsidP="00595495">
      <w:p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 związku z powyższym, w ramach obszarów przewidzianych do wsparcia z sektora energetyki ze </w:t>
      </w:r>
      <w:r w:rsidR="00367333">
        <w:rPr>
          <w:rFonts w:ascii="Arial" w:eastAsia="Times New Roman" w:hAnsi="Arial" w:cs="Arial"/>
          <w:sz w:val="20"/>
          <w:szCs w:val="20"/>
          <w:lang w:eastAsia="pl-PL"/>
        </w:rPr>
        <w:t>ś</w:t>
      </w:r>
      <w:r>
        <w:rPr>
          <w:rFonts w:ascii="Arial" w:eastAsia="Times New Roman" w:hAnsi="Arial" w:cs="Arial"/>
          <w:sz w:val="20"/>
          <w:szCs w:val="20"/>
          <w:lang w:eastAsia="pl-PL"/>
        </w:rPr>
        <w:t xml:space="preserve">rodków REACT-EU, </w:t>
      </w:r>
      <w:r w:rsidR="00595495">
        <w:rPr>
          <w:rFonts w:ascii="Arial" w:eastAsia="Times New Roman" w:hAnsi="Arial" w:cs="Arial"/>
          <w:sz w:val="20"/>
          <w:szCs w:val="20"/>
          <w:lang w:eastAsia="pl-PL"/>
        </w:rPr>
        <w:t xml:space="preserve">powyżej opisane wyzwania zostaną zaadresowane </w:t>
      </w:r>
      <w:r w:rsidR="00CB60AA">
        <w:rPr>
          <w:rFonts w:ascii="Arial" w:eastAsia="Times New Roman" w:hAnsi="Arial" w:cs="Arial"/>
          <w:sz w:val="20"/>
          <w:szCs w:val="20"/>
          <w:lang w:eastAsia="pl-PL"/>
        </w:rPr>
        <w:t>w następujący sposób:</w:t>
      </w:r>
    </w:p>
    <w:p w14:paraId="4C1BEC04" w14:textId="77777777" w:rsidR="0030005F" w:rsidRDefault="0030005F" w:rsidP="00CB60AA">
      <w:pPr>
        <w:numPr>
          <w:ilvl w:val="0"/>
          <w:numId w:val="113"/>
        </w:num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obszarze </w:t>
      </w:r>
      <w:proofErr w:type="spellStart"/>
      <w:r>
        <w:rPr>
          <w:rFonts w:ascii="Arial" w:eastAsia="Times New Roman" w:hAnsi="Arial" w:cs="Arial"/>
          <w:sz w:val="20"/>
          <w:szCs w:val="20"/>
          <w:lang w:eastAsia="pl-PL"/>
        </w:rPr>
        <w:t>m</w:t>
      </w:r>
      <w:r w:rsidR="00AE122A">
        <w:rPr>
          <w:rFonts w:ascii="Arial" w:eastAsia="Times New Roman" w:hAnsi="Arial" w:cs="Arial"/>
          <w:sz w:val="20"/>
          <w:szCs w:val="20"/>
          <w:lang w:eastAsia="pl-PL"/>
        </w:rPr>
        <w:t>ikroinstalacji</w:t>
      </w:r>
      <w:proofErr w:type="spellEnd"/>
      <w:r w:rsidR="00AE122A">
        <w:rPr>
          <w:rFonts w:ascii="Arial" w:eastAsia="Times New Roman" w:hAnsi="Arial" w:cs="Arial"/>
          <w:sz w:val="20"/>
          <w:szCs w:val="20"/>
          <w:lang w:eastAsia="pl-PL"/>
        </w:rPr>
        <w:t xml:space="preserve"> fotowoltaicznych </w:t>
      </w:r>
      <w:r w:rsidRPr="005132DB">
        <w:rPr>
          <w:rFonts w:ascii="Arial" w:eastAsia="Times New Roman" w:hAnsi="Arial" w:cs="Arial"/>
          <w:sz w:val="20"/>
          <w:szCs w:val="20"/>
          <w:lang w:eastAsia="pl-PL"/>
        </w:rPr>
        <w:t xml:space="preserve">Program priorytetowy Mój Prąd stanowi unikatowy na dotychczasową skalę w Polsce, instrument dedykowany wsparciu rozwoju energetyki </w:t>
      </w:r>
      <w:proofErr w:type="spellStart"/>
      <w:r w:rsidRPr="005132DB">
        <w:rPr>
          <w:rFonts w:ascii="Arial" w:eastAsia="Times New Roman" w:hAnsi="Arial" w:cs="Arial"/>
          <w:sz w:val="20"/>
          <w:szCs w:val="20"/>
          <w:lang w:eastAsia="pl-PL"/>
        </w:rPr>
        <w:t>prosumenckiej</w:t>
      </w:r>
      <w:proofErr w:type="spellEnd"/>
      <w:r w:rsidRPr="005132DB">
        <w:rPr>
          <w:rFonts w:ascii="Arial" w:eastAsia="Times New Roman" w:hAnsi="Arial" w:cs="Arial"/>
          <w:sz w:val="20"/>
          <w:szCs w:val="20"/>
          <w:lang w:eastAsia="pl-PL"/>
        </w:rPr>
        <w:t xml:space="preserve">, a konkretnie wsparcia segmentu </w:t>
      </w:r>
      <w:proofErr w:type="spellStart"/>
      <w:r w:rsidRPr="005132DB">
        <w:rPr>
          <w:rFonts w:ascii="Arial" w:eastAsia="Times New Roman" w:hAnsi="Arial" w:cs="Arial"/>
          <w:sz w:val="20"/>
          <w:szCs w:val="20"/>
          <w:lang w:eastAsia="pl-PL"/>
        </w:rPr>
        <w:t>mikroinstalacji</w:t>
      </w:r>
      <w:proofErr w:type="spellEnd"/>
      <w:r w:rsidRPr="005132DB">
        <w:rPr>
          <w:rFonts w:ascii="Arial" w:eastAsia="Times New Roman" w:hAnsi="Arial" w:cs="Arial"/>
          <w:sz w:val="20"/>
          <w:szCs w:val="20"/>
          <w:lang w:eastAsia="pl-PL"/>
        </w:rPr>
        <w:t xml:space="preserve"> fotowoltaicznych (PV).</w:t>
      </w:r>
      <w:r w:rsidR="00AE122A">
        <w:rPr>
          <w:rFonts w:ascii="Arial" w:eastAsia="Times New Roman" w:hAnsi="Arial" w:cs="Arial"/>
          <w:sz w:val="20"/>
          <w:szCs w:val="20"/>
          <w:lang w:eastAsia="pl-PL"/>
        </w:rPr>
        <w:t xml:space="preserve"> </w:t>
      </w:r>
      <w:r w:rsidRPr="005132DB">
        <w:rPr>
          <w:rFonts w:ascii="Arial" w:eastAsia="Times New Roman" w:hAnsi="Arial" w:cs="Arial"/>
          <w:sz w:val="20"/>
          <w:szCs w:val="20"/>
          <w:lang w:eastAsia="pl-PL"/>
        </w:rPr>
        <w:t xml:space="preserve">Wdrożenie </w:t>
      </w:r>
      <w:r>
        <w:rPr>
          <w:rFonts w:ascii="Arial" w:eastAsia="Times New Roman" w:hAnsi="Arial" w:cs="Arial"/>
          <w:sz w:val="20"/>
          <w:szCs w:val="20"/>
          <w:lang w:eastAsia="pl-PL"/>
        </w:rPr>
        <w:t>P</w:t>
      </w:r>
      <w:r w:rsidRPr="005132DB">
        <w:rPr>
          <w:rFonts w:ascii="Arial" w:eastAsia="Times New Roman" w:hAnsi="Arial" w:cs="Arial"/>
          <w:sz w:val="20"/>
          <w:szCs w:val="20"/>
          <w:lang w:eastAsia="pl-PL"/>
        </w:rPr>
        <w:t xml:space="preserve">rogramu </w:t>
      </w:r>
      <w:r>
        <w:rPr>
          <w:rFonts w:ascii="Arial" w:eastAsia="Times New Roman" w:hAnsi="Arial" w:cs="Arial"/>
          <w:sz w:val="20"/>
          <w:szCs w:val="20"/>
          <w:lang w:eastAsia="pl-PL"/>
        </w:rPr>
        <w:t xml:space="preserve">Mój Prąd </w:t>
      </w:r>
      <w:r w:rsidRPr="005132DB">
        <w:rPr>
          <w:rFonts w:ascii="Arial" w:eastAsia="Times New Roman" w:hAnsi="Arial" w:cs="Arial"/>
          <w:sz w:val="20"/>
          <w:szCs w:val="20"/>
          <w:lang w:eastAsia="pl-PL"/>
        </w:rPr>
        <w:t xml:space="preserve">będzie silnym impulsem dla dalszego rozwoju energetyki </w:t>
      </w:r>
      <w:proofErr w:type="spellStart"/>
      <w:r w:rsidRPr="005132DB">
        <w:rPr>
          <w:rFonts w:ascii="Arial" w:eastAsia="Times New Roman" w:hAnsi="Arial" w:cs="Arial"/>
          <w:sz w:val="20"/>
          <w:szCs w:val="20"/>
          <w:lang w:eastAsia="pl-PL"/>
        </w:rPr>
        <w:t>prosumenckiej</w:t>
      </w:r>
      <w:proofErr w:type="spellEnd"/>
      <w:r w:rsidRPr="005132DB">
        <w:rPr>
          <w:rFonts w:ascii="Arial" w:eastAsia="Times New Roman" w:hAnsi="Arial" w:cs="Arial"/>
          <w:sz w:val="20"/>
          <w:szCs w:val="20"/>
          <w:lang w:eastAsia="pl-PL"/>
        </w:rPr>
        <w:t xml:space="preserve"> i znacząco przyczyni się do spełnienia międzynarodowych zobowiązań Polski w zakresie rozwoju energetyki odnawialnej</w:t>
      </w:r>
      <w:r>
        <w:rPr>
          <w:rFonts w:ascii="Arial" w:eastAsia="Times New Roman" w:hAnsi="Arial" w:cs="Arial"/>
          <w:sz w:val="20"/>
          <w:szCs w:val="20"/>
          <w:lang w:eastAsia="pl-PL"/>
        </w:rPr>
        <w:t>, a jednocześnie przyczyni się do wzrostu świadomości ogółu społeczeństwa w zakresie rozwiązań przyjaznych środowisku naturalnemu</w:t>
      </w:r>
      <w:r w:rsidRPr="005132DB">
        <w:rPr>
          <w:rFonts w:ascii="Arial" w:eastAsia="Times New Roman" w:hAnsi="Arial" w:cs="Arial"/>
          <w:sz w:val="20"/>
          <w:szCs w:val="20"/>
          <w:lang w:eastAsia="pl-PL"/>
        </w:rPr>
        <w:t>.</w:t>
      </w:r>
    </w:p>
    <w:p w14:paraId="663A3882" w14:textId="77777777" w:rsidR="0030005F" w:rsidRDefault="0030005F" w:rsidP="00CB60AA">
      <w:pPr>
        <w:numPr>
          <w:ilvl w:val="0"/>
          <w:numId w:val="113"/>
        </w:numPr>
        <w:spacing w:after="240"/>
        <w:jc w:val="both"/>
        <w:rPr>
          <w:rFonts w:ascii="Arial" w:eastAsia="Times New Roman" w:hAnsi="Arial" w:cs="Arial"/>
          <w:sz w:val="20"/>
          <w:szCs w:val="20"/>
          <w:lang w:eastAsia="pl-PL"/>
        </w:rPr>
      </w:pPr>
      <w:r>
        <w:rPr>
          <w:rFonts w:ascii="Arial" w:eastAsia="Times New Roman" w:hAnsi="Arial" w:cs="Arial"/>
          <w:sz w:val="20"/>
          <w:szCs w:val="20"/>
          <w:lang w:eastAsia="pl-PL"/>
        </w:rPr>
        <w:t>W obszarze infrastruktury przesyłowej gazu</w:t>
      </w:r>
      <w:r w:rsidR="00AE122A">
        <w:rPr>
          <w:rFonts w:ascii="Arial" w:eastAsia="Times New Roman" w:hAnsi="Arial" w:cs="Arial"/>
          <w:sz w:val="20"/>
          <w:szCs w:val="20"/>
          <w:lang w:eastAsia="pl-PL"/>
        </w:rPr>
        <w:t xml:space="preserve"> r</w:t>
      </w:r>
      <w:r>
        <w:rPr>
          <w:rFonts w:ascii="Arial" w:eastAsia="Times New Roman" w:hAnsi="Arial" w:cs="Arial"/>
          <w:sz w:val="20"/>
          <w:szCs w:val="20"/>
          <w:lang w:eastAsia="pl-PL"/>
        </w:rPr>
        <w:t>ealizacja inwestycji przyczyni się do z</w:t>
      </w:r>
      <w:r w:rsidRPr="005132DB">
        <w:rPr>
          <w:rFonts w:ascii="Arial" w:eastAsia="Times New Roman" w:hAnsi="Arial" w:cs="Arial"/>
          <w:sz w:val="20"/>
          <w:szCs w:val="20"/>
          <w:lang w:eastAsia="pl-PL"/>
        </w:rPr>
        <w:t>większeni</w:t>
      </w:r>
      <w:r>
        <w:rPr>
          <w:rFonts w:ascii="Arial" w:eastAsia="Times New Roman" w:hAnsi="Arial" w:cs="Arial"/>
          <w:sz w:val="20"/>
          <w:szCs w:val="20"/>
          <w:lang w:eastAsia="pl-PL"/>
        </w:rPr>
        <w:t>a</w:t>
      </w:r>
      <w:r w:rsidRPr="005132DB">
        <w:rPr>
          <w:rFonts w:ascii="Arial" w:eastAsia="Times New Roman" w:hAnsi="Arial" w:cs="Arial"/>
          <w:sz w:val="20"/>
          <w:szCs w:val="20"/>
          <w:lang w:eastAsia="pl-PL"/>
        </w:rPr>
        <w:t xml:space="preserve"> bezpieczeństwa i ciągłości zasilania paliwem gazowym przyłączonych do sieci operatorów dystrybucyjnych i odbiorców indywidualnych, uwzględniając przy tym rosnące zapotrzebowanie m.in. na cele komunalno-bytowe mieszkańców</w:t>
      </w:r>
      <w:r>
        <w:rPr>
          <w:rFonts w:ascii="Arial" w:eastAsia="Times New Roman" w:hAnsi="Arial" w:cs="Arial"/>
          <w:sz w:val="20"/>
          <w:szCs w:val="20"/>
          <w:lang w:eastAsia="pl-PL"/>
        </w:rPr>
        <w:t>.</w:t>
      </w:r>
      <w:r w:rsidR="00AE122A">
        <w:rPr>
          <w:rFonts w:ascii="Arial" w:eastAsia="Times New Roman" w:hAnsi="Arial" w:cs="Arial"/>
          <w:sz w:val="20"/>
          <w:szCs w:val="20"/>
          <w:lang w:eastAsia="pl-PL"/>
        </w:rPr>
        <w:t xml:space="preserve"> </w:t>
      </w:r>
      <w:r>
        <w:rPr>
          <w:rFonts w:ascii="Arial" w:eastAsia="Times New Roman" w:hAnsi="Arial" w:cs="Arial"/>
          <w:sz w:val="20"/>
          <w:szCs w:val="20"/>
          <w:lang w:eastAsia="pl-PL"/>
        </w:rPr>
        <w:t>Dzięki wsparciu infrastruktury przesyłowej gazu, zapewniony zostanie szerszy dostęp do paliwa niskoemisyjnego w Polsce, pozwalając m.in. na zastępowanie indywidualnych źródeł ciepła, opartych na stałych paliwach kopalnych, które są jednym z głównych przyczyn złej jakości powietrza.</w:t>
      </w:r>
    </w:p>
    <w:p w14:paraId="4A37EE50" w14:textId="2435C78A" w:rsidR="003435C2" w:rsidRPr="004E3242" w:rsidRDefault="00FD4560" w:rsidP="004E3242">
      <w:pPr>
        <w:spacing w:after="240"/>
        <w:jc w:val="both"/>
        <w:rPr>
          <w:rFonts w:ascii="Arial" w:eastAsia="Times New Roman" w:hAnsi="Arial" w:cs="Arial"/>
          <w:sz w:val="20"/>
          <w:szCs w:val="20"/>
          <w:lang w:eastAsia="pl-PL"/>
        </w:rPr>
      </w:pPr>
      <w:r w:rsidRPr="00FD4560">
        <w:rPr>
          <w:rFonts w:ascii="Arial" w:eastAsia="Times New Roman" w:hAnsi="Arial" w:cs="Arial"/>
          <w:sz w:val="20"/>
          <w:szCs w:val="20"/>
          <w:lang w:eastAsia="pl-PL"/>
        </w:rPr>
        <w:t>Pandemia C</w:t>
      </w:r>
      <w:r>
        <w:rPr>
          <w:rFonts w:ascii="Arial" w:eastAsia="Times New Roman" w:hAnsi="Arial" w:cs="Arial"/>
          <w:sz w:val="20"/>
          <w:szCs w:val="20"/>
          <w:lang w:eastAsia="pl-PL"/>
        </w:rPr>
        <w:t>OVID</w:t>
      </w:r>
      <w:r w:rsidRPr="00FD4560">
        <w:rPr>
          <w:rFonts w:ascii="Arial" w:eastAsia="Times New Roman" w:hAnsi="Arial" w:cs="Arial"/>
          <w:sz w:val="20"/>
          <w:szCs w:val="20"/>
          <w:lang w:eastAsia="pl-PL"/>
        </w:rPr>
        <w:t xml:space="preserve">-19 miała duży wpływ na </w:t>
      </w:r>
      <w:r w:rsidRPr="00FD4560">
        <w:rPr>
          <w:rFonts w:ascii="Arial" w:eastAsia="Times New Roman" w:hAnsi="Arial" w:cs="Arial"/>
          <w:b/>
          <w:bCs/>
          <w:sz w:val="20"/>
          <w:szCs w:val="20"/>
          <w:lang w:eastAsia="pl-PL"/>
        </w:rPr>
        <w:t>transport publiczny w miastach</w:t>
      </w:r>
      <w:r w:rsidRPr="00FD4560">
        <w:rPr>
          <w:rFonts w:ascii="Arial" w:eastAsia="Times New Roman" w:hAnsi="Arial" w:cs="Arial"/>
          <w:sz w:val="20"/>
          <w:szCs w:val="20"/>
          <w:lang w:eastAsia="pl-PL"/>
        </w:rPr>
        <w:t xml:space="preserve">. W 2020 r. wykonano o ok. 40 proc. mniej przewozów komunikacji miejskiej w Polsce w stosunku do 2019 r. Wpłynęły na to zarówno obostrzenia wprowadzone odgórnie (wprowadzony na samym początku limit zajętości miejsc w środkach komunikacji miejskiej), jak i oddolna zmiana zachowania pasażerów. Unikanie wyjazdów poza dom w celach innych niż zawodowe, bądź związanych z zaspokajaniem podstawowych potrzeb konsumpcyjnych, wpłynęło na obniżenie mobilności w miastach. Postrzeganie transportu publicznego jako potencjalnego miejsca zakażenia sprawiło, że z komunikacji publicznej zrezygnowało wiele osób. Część z nich powróciła do korzystania z indywidualnych środków transportu. Część pozostała w domach, w związku z wprowadzeniem możliwości wykonywania pracy w formie zdalnej. Zmiana ta może mieć, przynajmniej w pewnym stopniu, charakter trwały, co oznacza, że po pandemii samorządy miejskie będą musiały zmierzyć się z wyzwaniem większego ruchu samochodowego i zmniejszonego popytu na usługi transportu miejskiego, a zarazem większymi wymaganiami w zakresie </w:t>
      </w:r>
      <w:r w:rsidRPr="00FD4560">
        <w:rPr>
          <w:rFonts w:ascii="Arial" w:eastAsia="Times New Roman" w:hAnsi="Arial" w:cs="Arial"/>
          <w:sz w:val="20"/>
          <w:szCs w:val="20"/>
          <w:lang w:eastAsia="pl-PL"/>
        </w:rPr>
        <w:lastRenderedPageBreak/>
        <w:t>bezpieczeństwa higienicznego.</w:t>
      </w:r>
      <w:r>
        <w:rPr>
          <w:rStyle w:val="Odwoanieprzypisudolnego"/>
          <w:rFonts w:ascii="Arial" w:eastAsia="Times New Roman" w:hAnsi="Arial" w:cs="Arial"/>
          <w:sz w:val="20"/>
          <w:szCs w:val="20"/>
          <w:lang w:eastAsia="pl-PL"/>
        </w:rPr>
        <w:footnoteReference w:id="19"/>
      </w:r>
      <w:r w:rsidRPr="00FD4560">
        <w:rPr>
          <w:rFonts w:ascii="Arial" w:eastAsia="Times New Roman" w:hAnsi="Arial" w:cs="Arial"/>
          <w:sz w:val="20"/>
          <w:szCs w:val="20"/>
          <w:lang w:eastAsia="pl-PL"/>
        </w:rPr>
        <w:t xml:space="preserve">   Tym samym, niezbędne jest wsparcie dodatkowymi środkami REACT-EU inwestycji w ten sektor w celu zahamowania i odwrócenia w dłuższym okresie negatywnych trendów w zakresie mobilności w miastach.</w:t>
      </w:r>
    </w:p>
    <w:p w14:paraId="5EBE4901" w14:textId="77777777" w:rsidR="004E3242" w:rsidRPr="004E3242" w:rsidRDefault="004E3242" w:rsidP="004E3242">
      <w:pPr>
        <w:keepLines/>
        <w:pBdr>
          <w:bottom w:val="single" w:sz="4" w:space="1" w:color="669900"/>
        </w:pBdr>
        <w:spacing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Wkład w realizację Strategii Europa 2020 i innych dokumentów strategicznych</w:t>
      </w:r>
    </w:p>
    <w:bookmarkEnd w:id="194"/>
    <w:bookmarkEnd w:id="195"/>
    <w:p w14:paraId="4503925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Niniejszy program stanowi ramy interwencji dla prowadzenia działań wpisujących się w cel</w:t>
      </w:r>
      <w:r w:rsidRPr="004E3242">
        <w:rPr>
          <w:rFonts w:ascii="Arial" w:eastAsia="Times New Roman" w:hAnsi="Arial" w:cs="Arial"/>
          <w:b/>
          <w:bCs/>
          <w:sz w:val="20"/>
          <w:szCs w:val="20"/>
          <w:lang w:eastAsia="pl-PL"/>
        </w:rPr>
        <w:t xml:space="preserve"> rozwoju zrównoważonego</w:t>
      </w:r>
      <w:r w:rsidRPr="004E3242">
        <w:rPr>
          <w:rFonts w:ascii="Arial" w:eastAsia="Times New Roman" w:hAnsi="Arial" w:cs="Arial"/>
          <w:sz w:val="20"/>
          <w:szCs w:val="20"/>
          <w:lang w:eastAsia="pl-PL"/>
        </w:rPr>
        <w:t xml:space="preserve"> określony w głównym dokumencie kierunkowym dla Polityki Spójności – </w:t>
      </w:r>
      <w:r w:rsidRPr="004E3242">
        <w:rPr>
          <w:rFonts w:ascii="Arial" w:eastAsia="Times New Roman" w:hAnsi="Arial" w:cs="Arial"/>
          <w:b/>
          <w:bCs/>
          <w:i/>
          <w:iCs/>
          <w:sz w:val="20"/>
          <w:szCs w:val="20"/>
          <w:lang w:eastAsia="pl-PL"/>
        </w:rPr>
        <w:t>Strategia Europa 2020</w:t>
      </w:r>
      <w:r w:rsidRPr="004E3242">
        <w:rPr>
          <w:rFonts w:ascii="Arial" w:eastAsia="Times New Roman" w:hAnsi="Arial" w:cs="Arial"/>
          <w:sz w:val="20"/>
          <w:szCs w:val="20"/>
          <w:lang w:eastAsia="pl-PL"/>
        </w:rPr>
        <w:t>. Zgodnie z tym dokumentem działania wynikające z POIŚ 2014-2020 będą zmierzać do budowy podstaw gospodarki niskoemisyjnej, promowania dostosowania do zmiany klimatu, ochrony środowiska naturalnego i wspierania efektywności wykorzystywania zasobów oraz promowania zrównoważonego transportu i usuwania niedoborów przepustowości w działaniu najważniejszych infrastruktur sieciowych.</w:t>
      </w:r>
    </w:p>
    <w:p w14:paraId="3510F6E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Cele Europa 2020 przekładają się operacyjnie na pakiet dziesięciu zintegrowanych wytycznych dla działań dotyczących gospodarki oraz zatrudnienia oraz siedmiu inicjatyw o charakterze flagowym. Wsparcie wzrostu zrównoważonego wpisuje się zwłaszcza w </w:t>
      </w:r>
      <w:r w:rsidRPr="004E3242">
        <w:rPr>
          <w:rFonts w:ascii="Arial" w:eastAsia="Times New Roman" w:hAnsi="Arial" w:cs="Arial"/>
          <w:b/>
          <w:bCs/>
          <w:sz w:val="20"/>
          <w:szCs w:val="20"/>
          <w:lang w:eastAsia="pl-PL"/>
        </w:rPr>
        <w:t xml:space="preserve">wytyczną nr 5. </w:t>
      </w:r>
      <w:r w:rsidRPr="004E3242">
        <w:rPr>
          <w:rFonts w:ascii="Arial" w:eastAsia="Times New Roman" w:hAnsi="Arial" w:cs="Arial"/>
          <w:b/>
          <w:bCs/>
          <w:i/>
          <w:iCs/>
          <w:sz w:val="20"/>
          <w:szCs w:val="20"/>
          <w:lang w:eastAsia="pl-PL"/>
        </w:rPr>
        <w:t>Bardziej efektywne korzystanie z zasobów i ograniczenie emisji gazów cieplarnianych</w:t>
      </w:r>
      <w:r w:rsidRPr="004E3242">
        <w:rPr>
          <w:rFonts w:ascii="Arial" w:eastAsia="Times New Roman" w:hAnsi="Arial" w:cs="Arial"/>
          <w:sz w:val="20"/>
          <w:szCs w:val="20"/>
          <w:lang w:eastAsia="pl-PL"/>
        </w:rPr>
        <w:t xml:space="preserve"> oraz następujące </w:t>
      </w:r>
      <w:r w:rsidRPr="004E3242">
        <w:rPr>
          <w:rFonts w:ascii="Arial" w:eastAsia="Times New Roman" w:hAnsi="Arial" w:cs="Arial"/>
          <w:b/>
          <w:bCs/>
          <w:sz w:val="20"/>
          <w:szCs w:val="20"/>
          <w:lang w:eastAsia="pl-PL"/>
        </w:rPr>
        <w:t xml:space="preserve">inicjatywy flagowe: </w:t>
      </w:r>
      <w:r w:rsidRPr="004E3242">
        <w:rPr>
          <w:rFonts w:ascii="Arial" w:eastAsia="Times New Roman" w:hAnsi="Arial" w:cs="Arial"/>
          <w:b/>
          <w:bCs/>
          <w:i/>
          <w:iCs/>
          <w:sz w:val="20"/>
          <w:szCs w:val="20"/>
          <w:lang w:eastAsia="pl-PL"/>
        </w:rPr>
        <w:t>Europa efektywnie korzystająca z zasobów</w:t>
      </w:r>
      <w:r w:rsidRPr="004E3242">
        <w:rPr>
          <w:rFonts w:ascii="Arial" w:eastAsia="Times New Roman" w:hAnsi="Arial" w:cs="Arial"/>
          <w:b/>
          <w:bCs/>
          <w:sz w:val="20"/>
          <w:szCs w:val="20"/>
          <w:lang w:eastAsia="pl-PL"/>
        </w:rPr>
        <w:t xml:space="preserve">, </w:t>
      </w:r>
      <w:r w:rsidRPr="004E3242">
        <w:rPr>
          <w:rFonts w:ascii="Arial" w:eastAsia="Times New Roman" w:hAnsi="Arial" w:cs="Arial"/>
          <w:b/>
          <w:bCs/>
          <w:i/>
          <w:iCs/>
          <w:sz w:val="20"/>
          <w:szCs w:val="20"/>
          <w:lang w:eastAsia="pl-PL"/>
        </w:rPr>
        <w:t>Unia innowacji</w:t>
      </w:r>
      <w:r w:rsidRPr="004E3242">
        <w:rPr>
          <w:rFonts w:ascii="Arial" w:eastAsia="Times New Roman" w:hAnsi="Arial" w:cs="Arial"/>
          <w:b/>
          <w:bCs/>
          <w:sz w:val="20"/>
          <w:szCs w:val="20"/>
          <w:lang w:eastAsia="pl-PL"/>
        </w:rPr>
        <w:t xml:space="preserve"> oraz </w:t>
      </w:r>
      <w:r w:rsidRPr="004E3242">
        <w:rPr>
          <w:rFonts w:ascii="Arial" w:eastAsia="Times New Roman" w:hAnsi="Arial" w:cs="Arial"/>
          <w:b/>
          <w:bCs/>
          <w:i/>
          <w:iCs/>
          <w:sz w:val="20"/>
          <w:szCs w:val="20"/>
          <w:lang w:eastAsia="pl-PL"/>
        </w:rPr>
        <w:t>Polityka przemysłowa w erze globalizacji</w:t>
      </w:r>
      <w:r w:rsidRPr="004E3242">
        <w:rPr>
          <w:rFonts w:ascii="Arial" w:eastAsia="Times New Roman" w:hAnsi="Arial" w:cs="Arial"/>
          <w:b/>
          <w:bCs/>
          <w:sz w:val="20"/>
          <w:szCs w:val="20"/>
          <w:lang w:eastAsia="pl-PL"/>
        </w:rPr>
        <w:t xml:space="preserve">. </w:t>
      </w:r>
    </w:p>
    <w:p w14:paraId="66DDE99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Wysiłki państw członkowskich na rzecz osiągania celów Strategii Europa 2020 powinny zostać przedstawione w </w:t>
      </w:r>
      <w:r w:rsidRPr="004E3242">
        <w:rPr>
          <w:rFonts w:ascii="Arial" w:eastAsia="Times New Roman" w:hAnsi="Arial" w:cs="Arial"/>
          <w:b/>
          <w:bCs/>
          <w:sz w:val="20"/>
          <w:szCs w:val="20"/>
          <w:lang w:eastAsia="pl-PL"/>
        </w:rPr>
        <w:t>Krajowych Programach Reform</w:t>
      </w:r>
      <w:r w:rsidRPr="004E3242">
        <w:rPr>
          <w:rFonts w:ascii="Arial" w:eastAsia="Times New Roman" w:hAnsi="Arial" w:cs="Arial"/>
          <w:sz w:val="20"/>
          <w:szCs w:val="20"/>
          <w:lang w:eastAsia="pl-PL"/>
        </w:rPr>
        <w:t xml:space="preserve"> (KPR). W przypadku Polski, KPR skupia się na działaniach na rzecz infrastruktury wzrostu zrównoważonego, mających przyczyniać się do promowania gospodarki zrównoważonej – mniej obciążającej środowisko, efektywniej wykorzystującej zasoby, a zarazem konkurencyjnej (ang. </w:t>
      </w:r>
      <w:proofErr w:type="spellStart"/>
      <w:r w:rsidRPr="004E3242">
        <w:rPr>
          <w:rFonts w:ascii="Arial" w:eastAsia="Times New Roman" w:hAnsi="Arial" w:cs="Arial"/>
          <w:i/>
          <w:iCs/>
          <w:sz w:val="20"/>
          <w:szCs w:val="20"/>
          <w:lang w:eastAsia="pl-PL"/>
        </w:rPr>
        <w:t>sustainable</w:t>
      </w:r>
      <w:proofErr w:type="spellEnd"/>
      <w:r w:rsidRPr="004E3242">
        <w:rPr>
          <w:rFonts w:ascii="Arial" w:eastAsia="Times New Roman" w:hAnsi="Arial" w:cs="Arial"/>
          <w:i/>
          <w:iCs/>
          <w:sz w:val="20"/>
          <w:szCs w:val="20"/>
          <w:lang w:eastAsia="pl-PL"/>
        </w:rPr>
        <w:t xml:space="preserve"> </w:t>
      </w:r>
      <w:proofErr w:type="spellStart"/>
      <w:r w:rsidRPr="004E3242">
        <w:rPr>
          <w:rFonts w:ascii="Arial" w:eastAsia="Times New Roman" w:hAnsi="Arial" w:cs="Arial"/>
          <w:i/>
          <w:iCs/>
          <w:sz w:val="20"/>
          <w:szCs w:val="20"/>
          <w:lang w:eastAsia="pl-PL"/>
        </w:rPr>
        <w:t>growth</w:t>
      </w:r>
      <w:proofErr w:type="spellEnd"/>
      <w:r w:rsidRPr="004E3242">
        <w:rPr>
          <w:rFonts w:ascii="Arial" w:eastAsia="Times New Roman" w:hAnsi="Arial" w:cs="Arial"/>
          <w:sz w:val="20"/>
          <w:szCs w:val="20"/>
          <w:lang w:eastAsia="pl-PL"/>
        </w:rPr>
        <w:t xml:space="preserve">). Coroczna aktualizacja KPR uwzględnia m.in. </w:t>
      </w:r>
      <w:r w:rsidRPr="004E3242">
        <w:rPr>
          <w:rFonts w:ascii="Arial" w:eastAsia="Times New Roman" w:hAnsi="Arial" w:cs="Arial"/>
          <w:i/>
          <w:iCs/>
          <w:sz w:val="20"/>
          <w:szCs w:val="20"/>
          <w:lang w:eastAsia="pl-PL"/>
        </w:rPr>
        <w:t>Zalecenia Rady Unii Europejskiej dla poszczególnych państw członkowskich</w:t>
      </w:r>
      <w:r w:rsidRPr="004E3242">
        <w:rPr>
          <w:rFonts w:ascii="Arial" w:eastAsia="Times New Roman" w:hAnsi="Arial" w:cs="Arial"/>
          <w:sz w:val="20"/>
          <w:szCs w:val="20"/>
          <w:lang w:eastAsia="pl-PL"/>
        </w:rPr>
        <w:t xml:space="preserve"> (tzw. </w:t>
      </w:r>
      <w:r w:rsidRPr="004E3242">
        <w:rPr>
          <w:rFonts w:ascii="Arial" w:eastAsia="Times New Roman" w:hAnsi="Arial" w:cs="Arial"/>
          <w:b/>
          <w:bCs/>
          <w:i/>
          <w:iCs/>
          <w:sz w:val="20"/>
          <w:szCs w:val="20"/>
          <w:lang w:eastAsia="pl-PL"/>
        </w:rPr>
        <w:t>Country-</w:t>
      </w:r>
      <w:proofErr w:type="spellStart"/>
      <w:r w:rsidRPr="004E3242">
        <w:rPr>
          <w:rFonts w:ascii="Arial" w:eastAsia="Times New Roman" w:hAnsi="Arial" w:cs="Arial"/>
          <w:b/>
          <w:bCs/>
          <w:i/>
          <w:iCs/>
          <w:sz w:val="20"/>
          <w:szCs w:val="20"/>
          <w:lang w:eastAsia="pl-PL"/>
        </w:rPr>
        <w:t>specific</w:t>
      </w:r>
      <w:proofErr w:type="spellEnd"/>
      <w:r w:rsidRPr="004E3242">
        <w:rPr>
          <w:rFonts w:ascii="Arial" w:eastAsia="Times New Roman" w:hAnsi="Arial" w:cs="Arial"/>
          <w:b/>
          <w:bCs/>
          <w:i/>
          <w:iCs/>
          <w:sz w:val="20"/>
          <w:szCs w:val="20"/>
          <w:lang w:eastAsia="pl-PL"/>
        </w:rPr>
        <w:t xml:space="preserve"> </w:t>
      </w:r>
      <w:proofErr w:type="spellStart"/>
      <w:r w:rsidRPr="004E3242">
        <w:rPr>
          <w:rFonts w:ascii="Arial" w:eastAsia="Times New Roman" w:hAnsi="Arial" w:cs="Arial"/>
          <w:b/>
          <w:bCs/>
          <w:i/>
          <w:iCs/>
          <w:sz w:val="20"/>
          <w:szCs w:val="20"/>
          <w:lang w:eastAsia="pl-PL"/>
        </w:rPr>
        <w:t>recommendations</w:t>
      </w:r>
      <w:proofErr w:type="spellEnd"/>
      <w:r w:rsidRPr="004E3242">
        <w:rPr>
          <w:rFonts w:ascii="Arial" w:eastAsia="Times New Roman" w:hAnsi="Arial" w:cs="Arial"/>
          <w:sz w:val="20"/>
          <w:szCs w:val="20"/>
          <w:lang w:eastAsia="pl-PL"/>
        </w:rPr>
        <w:t xml:space="preserve">). Zalecenia Rady w największym stopniu odnoszące się do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 dotyczą rekomendacji nr 5, tj. odnowienia i rozbudowy mocy wytwórczych oraz poprawę efektywności w całym łańcuchu energetycznym; przyspieszenia i rozszerzenie rozbudowy sieci elektroenergetycznej, w tym transgranicznych połączeń międzysystemowych z sąsiednimi państwami członkowskimi, oraz rozbudowy gazociągu międzysystemowego z Litwą; zapewnienie skutecznej realizacji projektów inwestycyjnych w dziedzinie kolejnictwa bez dalszych opóźnień i poprawa zdolności administracyjnych w tym sektorze; poprawy gospodarowania odpadami.</w:t>
      </w:r>
    </w:p>
    <w:p w14:paraId="6A56491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Zgodnie z </w:t>
      </w:r>
      <w:r w:rsidRPr="004E3242">
        <w:rPr>
          <w:rFonts w:ascii="Arial" w:eastAsia="Times New Roman" w:hAnsi="Arial" w:cs="Arial"/>
          <w:b/>
          <w:bCs/>
          <w:i/>
          <w:iCs/>
          <w:sz w:val="20"/>
          <w:szCs w:val="20"/>
          <w:lang w:eastAsia="pl-PL"/>
        </w:rPr>
        <w:t>Country-</w:t>
      </w:r>
      <w:proofErr w:type="spellStart"/>
      <w:r w:rsidRPr="004E3242">
        <w:rPr>
          <w:rFonts w:ascii="Arial" w:eastAsia="Times New Roman" w:hAnsi="Arial" w:cs="Arial"/>
          <w:b/>
          <w:bCs/>
          <w:i/>
          <w:iCs/>
          <w:sz w:val="20"/>
          <w:szCs w:val="20"/>
          <w:lang w:eastAsia="pl-PL"/>
        </w:rPr>
        <w:t>specific</w:t>
      </w:r>
      <w:proofErr w:type="spellEnd"/>
      <w:r w:rsidRPr="004E3242">
        <w:rPr>
          <w:rFonts w:ascii="Arial" w:eastAsia="Times New Roman" w:hAnsi="Arial" w:cs="Arial"/>
          <w:b/>
          <w:bCs/>
          <w:i/>
          <w:iCs/>
          <w:sz w:val="20"/>
          <w:szCs w:val="20"/>
          <w:lang w:eastAsia="pl-PL"/>
        </w:rPr>
        <w:t xml:space="preserve"> </w:t>
      </w:r>
      <w:proofErr w:type="spellStart"/>
      <w:r w:rsidRPr="004E3242">
        <w:rPr>
          <w:rFonts w:ascii="Arial" w:eastAsia="Times New Roman" w:hAnsi="Arial" w:cs="Arial"/>
          <w:b/>
          <w:bCs/>
          <w:i/>
          <w:iCs/>
          <w:sz w:val="20"/>
          <w:szCs w:val="20"/>
          <w:lang w:eastAsia="pl-PL"/>
        </w:rPr>
        <w:t>recommendations</w:t>
      </w:r>
      <w:proofErr w:type="spellEnd"/>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Zalecenia Rady w sprawie krajowego programu reform dla Polski na 2014 r.</w:t>
      </w:r>
      <w:r w:rsidRPr="004E3242">
        <w:rPr>
          <w:rFonts w:ascii="Arial" w:eastAsia="Times New Roman" w:hAnsi="Arial" w:cs="Arial"/>
          <w:sz w:val="20"/>
          <w:szCs w:val="20"/>
          <w:lang w:eastAsia="pl-PL"/>
        </w:rPr>
        <w:t xml:space="preserve"> z dnia 2 czerwca 2014 r.) na lata 2014-2015, pkt 5, działania w zakresie rozbudowy sieci elektroenergetycznej, w tym transgranicznych połączeń międzysystemowych </w:t>
      </w:r>
      <w:r w:rsidRPr="004E3242">
        <w:rPr>
          <w:rFonts w:ascii="Arial" w:eastAsia="Times New Roman" w:hAnsi="Arial" w:cs="Arial"/>
          <w:sz w:val="20"/>
          <w:szCs w:val="20"/>
          <w:lang w:eastAsia="pl-PL"/>
        </w:rPr>
        <w:br/>
        <w:t>z sąsiednimi Państwami członkowskimi oraz rozbudowy gazociągu międzysystemowego z Litwą będą realizowane ze środków UE</w:t>
      </w:r>
      <w:r w:rsidRPr="004E3242">
        <w:rPr>
          <w:rFonts w:ascii="Arial" w:eastAsia="Times New Roman" w:hAnsi="Arial" w:cs="Arial"/>
          <w:sz w:val="20"/>
          <w:szCs w:val="20"/>
          <w:vertAlign w:val="superscript"/>
          <w:lang w:eastAsia="pl-PL"/>
        </w:rPr>
        <w:footnoteReference w:id="20"/>
      </w:r>
      <w:r w:rsidRPr="004E3242">
        <w:rPr>
          <w:rFonts w:ascii="Arial" w:eastAsia="Times New Roman" w:hAnsi="Arial" w:cs="Arial"/>
          <w:sz w:val="20"/>
          <w:szCs w:val="20"/>
          <w:lang w:eastAsia="pl-PL"/>
        </w:rPr>
        <w:t>.</w:t>
      </w:r>
    </w:p>
    <w:p w14:paraId="0B3F33B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Poprzez objecie wsparciem projektów infrastrukturalnych w ochronie zdrowia skoncentrowanych m.in. na poprawie opieki nad matką i dzieckiem, działania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 w sposób pośredni, będą skorelowane z zaleceniem nr 3, dotyczącym kontynuowania starań w celu podniesienia współczynnika aktywności zawodowej kobiet. Ponadto, realizacja inwestycji w infrastrukturę ochrony zdrowia wpisuje się w zalecenie nr 1, w którym KE nakłada na Polskę obowiązek dokonania zmian w systemie ochrony zdrowia mających na celu zwiększenie efektywności systemu, w tym w szczególności efektywności kosztowej.</w:t>
      </w:r>
    </w:p>
    <w:p w14:paraId="12B032C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Do dokumentów strategicznych, które uwzględnione zostały w procesie programowania wsparcia należy </w:t>
      </w:r>
      <w:r w:rsidRPr="004E3242">
        <w:rPr>
          <w:rFonts w:ascii="Arial" w:eastAsia="Times New Roman" w:hAnsi="Arial" w:cs="Arial"/>
          <w:i/>
          <w:iCs/>
          <w:sz w:val="20"/>
          <w:szCs w:val="20"/>
          <w:lang w:eastAsia="pl-PL"/>
        </w:rPr>
        <w:t>Strategia UE dla Regionu Morza Bałtyckiego</w:t>
      </w:r>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(SUE RMB)</w:t>
      </w:r>
      <w:r w:rsidRPr="004E3242">
        <w:rPr>
          <w:rFonts w:ascii="Arial" w:eastAsia="Times New Roman" w:hAnsi="Arial" w:cs="Arial"/>
          <w:sz w:val="20"/>
          <w:szCs w:val="20"/>
          <w:lang w:eastAsia="pl-PL"/>
        </w:rPr>
        <w:t xml:space="preserve">. Dokument ten ma wielowymiarowe znaczenie dla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 przede wszystkim z uwagi na zbieżność tematyczną interwencji, konieczność koordynacji i promowanie współpracy w obszarach wspólnego zainteresowania oraz wymiar terytorialny, który do realizowanych działań programu wprowadza perspektywę makroregionalną i ponadnarodową. W przypadku tego dokumentu, integracja problemowa z POIŚ 2014-2020 dotyczy wszystkich trzech celów tj. związanych z ochroną morza, poprawą dostępności regionu oraz zwiększeniem dobrobytu. Działania wynikające z POIŚ 2014-2020 przyczynią się do wzmacniania rozwoju oraz rozwiązywania problemów nie tylko istotnych w danym kontekście regionalnym czy krajowym, lecz wniosą wkład do rozwoju na szerszym obszarze. Stosownym przykładem może być realizacja wymiaru bałtyckiego programu oraz włączenie celów i priorytetów wskazanych w SUE RMB do systemu realizacji inwestycji przyjętego w ramach POIŚ 2014-2020.</w:t>
      </w:r>
    </w:p>
    <w:p w14:paraId="0C98A55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kontekście SUE RMB należy podkreślić, że program jest również ważnym instrumentem realizacji podejścia zintegrowanego w wymiarze ponadnarodowym. Zakres oraz przyjęte zasady realizacji interwencji programu wpisują się w przyjętą na poziomie UE koncepcję rozwoju makroregionów którego egzemplifikacją pozostaje przede wszystkim ww. strategia. W celu wykorzystania potencjału makroregionu dla wzmocnienia rozwoju w obszarach wskazanych w SUE RMB, tam gdzie będzie to uzasadnione zakresem tematycznym programu i zasadami udzielania wsparcia, działania programu będą mogły wpisywać się do realizacji podejścia zintegrowanego i realizacji projektów komplementarnych z działaniami wynikającymi z programów współpracy terytorialnej oraz </w:t>
      </w:r>
      <w:r w:rsidRPr="004E3242">
        <w:rPr>
          <w:rFonts w:ascii="Arial" w:eastAsia="Times New Roman" w:hAnsi="Arial" w:cs="Arial"/>
          <w:i/>
          <w:iCs/>
          <w:sz w:val="20"/>
          <w:szCs w:val="20"/>
          <w:lang w:eastAsia="pl-PL"/>
        </w:rPr>
        <w:t>Europejskiego Instrumentu Sąsiedztwa</w:t>
      </w:r>
      <w:r w:rsidRPr="004E3242">
        <w:rPr>
          <w:rFonts w:ascii="Arial" w:eastAsia="Times New Roman" w:hAnsi="Arial" w:cs="Arial"/>
          <w:sz w:val="20"/>
          <w:szCs w:val="20"/>
          <w:lang w:eastAsia="pl-PL"/>
        </w:rPr>
        <w:t xml:space="preserve">. Podejmowanie skoordynowanej interwencji w ramach współpracy z partnerami po drugiej stronie granicy będzie miało istotne znaczenie w przypadku obszarów funkcjonalnych, gdzie istotne będą skoordynowane działania w celu skutecznego </w:t>
      </w:r>
      <w:r w:rsidRPr="004E3242">
        <w:rPr>
          <w:rFonts w:ascii="Arial" w:eastAsia="Times New Roman" w:hAnsi="Arial" w:cs="Arial"/>
          <w:sz w:val="20"/>
          <w:szCs w:val="20"/>
          <w:lang w:eastAsia="pl-PL"/>
        </w:rPr>
        <w:br/>
        <w:t>i efektywnego rozwiązywania istniejących problemów.</w:t>
      </w:r>
    </w:p>
    <w:p w14:paraId="570C5C3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Jednym z największych wyzwań, przed którymi stoi Polska, jest pogodzenie wzrostu gospodarczego </w:t>
      </w:r>
      <w:r w:rsidRPr="004E3242">
        <w:rPr>
          <w:rFonts w:ascii="Arial" w:eastAsia="Times New Roman" w:hAnsi="Arial" w:cs="Arial"/>
          <w:sz w:val="20"/>
          <w:szCs w:val="20"/>
          <w:lang w:eastAsia="pl-PL"/>
        </w:rPr>
        <w:br/>
        <w:t xml:space="preserve">z dbałością o środowisko. Efektywne i racjonalne korzystanie z dostępnych zasobów stanowi kluczowy warunek rozwoju zrównoważonego, który podkreślony został w </w:t>
      </w:r>
      <w:r w:rsidRPr="004E3242">
        <w:rPr>
          <w:rFonts w:ascii="Arial" w:eastAsia="Times New Roman" w:hAnsi="Arial" w:cs="Arial"/>
          <w:b/>
          <w:bCs/>
          <w:sz w:val="20"/>
          <w:szCs w:val="20"/>
          <w:lang w:eastAsia="pl-PL"/>
        </w:rPr>
        <w:t>Strategii Bezpieczeństwo Energetyczne i Środowisko</w:t>
      </w:r>
      <w:r w:rsidRPr="004E3242">
        <w:rPr>
          <w:rFonts w:ascii="Arial" w:eastAsia="Times New Roman" w:hAnsi="Arial" w:cs="Arial"/>
          <w:sz w:val="20"/>
          <w:szCs w:val="20"/>
          <w:lang w:eastAsia="pl-PL"/>
        </w:rPr>
        <w:t>.</w:t>
      </w:r>
    </w:p>
    <w:p w14:paraId="103A80C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Program jest spójny z celami </w:t>
      </w:r>
      <w:r w:rsidRPr="004E3242">
        <w:rPr>
          <w:rFonts w:ascii="Arial" w:eastAsia="Times New Roman" w:hAnsi="Arial" w:cs="Arial"/>
          <w:b/>
          <w:bCs/>
          <w:sz w:val="20"/>
          <w:szCs w:val="20"/>
          <w:lang w:eastAsia="pl-PL"/>
        </w:rPr>
        <w:t>pakietu klimatyczno-energetycznego</w:t>
      </w:r>
      <w:r w:rsidRPr="004E3242">
        <w:rPr>
          <w:rFonts w:ascii="Arial" w:eastAsia="Times New Roman" w:hAnsi="Arial" w:cs="Arial"/>
          <w:sz w:val="20"/>
          <w:szCs w:val="20"/>
          <w:lang w:eastAsia="pl-PL"/>
        </w:rPr>
        <w:t xml:space="preserve"> oraz z opublikowaną przez KE </w:t>
      </w:r>
      <w:r w:rsidRPr="004E3242">
        <w:rPr>
          <w:rFonts w:ascii="Arial" w:eastAsia="Times New Roman" w:hAnsi="Arial" w:cs="Arial"/>
          <w:sz w:val="20"/>
          <w:szCs w:val="20"/>
          <w:lang w:eastAsia="pl-PL"/>
        </w:rPr>
        <w:br/>
        <w:t xml:space="preserve">w listopadzie 2010 r. </w:t>
      </w:r>
      <w:r w:rsidRPr="004E3242">
        <w:rPr>
          <w:rFonts w:ascii="Arial" w:eastAsia="Times New Roman" w:hAnsi="Arial" w:cs="Arial"/>
          <w:b/>
          <w:bCs/>
          <w:i/>
          <w:iCs/>
          <w:sz w:val="20"/>
          <w:szCs w:val="20"/>
          <w:lang w:eastAsia="pl-PL"/>
        </w:rPr>
        <w:t>Strategią na rzecz konkurencyjnej, zrównoważonej i bezpiecznej energii „Energia 2020”</w:t>
      </w:r>
      <w:r w:rsidRPr="004E3242">
        <w:rPr>
          <w:rFonts w:ascii="Arial" w:eastAsia="Times New Roman" w:hAnsi="Arial" w:cs="Arial"/>
          <w:sz w:val="20"/>
          <w:szCs w:val="20"/>
          <w:lang w:eastAsia="pl-PL"/>
        </w:rPr>
        <w:t>, zawierającą priorytety energetyczne dotyczące m.in. osiągnięcia efektywności energetycznej, utworzenia konkurencyjnego i bezpiecznego wewnętrznego rynku energii. Działania na rzecz efektywności energetycznej uwzględniają również cele wynikające z dokumentów krajowych, takich jak:</w:t>
      </w:r>
    </w:p>
    <w:p w14:paraId="2F6A0644" w14:textId="77777777" w:rsidR="004E3242" w:rsidRPr="004E3242" w:rsidRDefault="004E3242" w:rsidP="008D34EE">
      <w:pPr>
        <w:numPr>
          <w:ilvl w:val="0"/>
          <w:numId w:val="65"/>
        </w:num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lang w:eastAsia="pl-PL"/>
        </w:rPr>
        <w:t>Krajowy Plan Działań dotyczący efektywności energetycznej dla Polski 2014</w:t>
      </w:r>
    </w:p>
    <w:p w14:paraId="117F213E" w14:textId="77777777" w:rsidR="004E3242" w:rsidRPr="004E3242" w:rsidRDefault="004E3242" w:rsidP="008D34EE">
      <w:pPr>
        <w:numPr>
          <w:ilvl w:val="0"/>
          <w:numId w:val="65"/>
        </w:numPr>
        <w:spacing w:after="240"/>
        <w:ind w:left="714" w:hanging="357"/>
        <w:jc w:val="both"/>
        <w:rPr>
          <w:rFonts w:ascii="Arial" w:eastAsia="Times New Roman" w:hAnsi="Arial" w:cs="Arial"/>
          <w:sz w:val="20"/>
          <w:szCs w:val="20"/>
          <w:lang w:eastAsia="pl-PL"/>
        </w:rPr>
      </w:pPr>
      <w:r w:rsidRPr="004E3242">
        <w:rPr>
          <w:rFonts w:ascii="Arial" w:eastAsia="Times New Roman" w:hAnsi="Arial" w:cs="Arial"/>
          <w:i/>
          <w:iCs/>
          <w:sz w:val="20"/>
          <w:szCs w:val="20"/>
          <w:lang w:eastAsia="pl-PL"/>
        </w:rPr>
        <w:t>Krajowy Plan Działania w zakresie energii ze źródeł odnawialnych</w:t>
      </w:r>
      <w:r w:rsidRPr="004E3242">
        <w:rPr>
          <w:rFonts w:ascii="Arial" w:eastAsia="Times New Roman" w:hAnsi="Arial" w:cs="Arial"/>
          <w:sz w:val="20"/>
          <w:szCs w:val="20"/>
          <w:lang w:eastAsia="pl-PL"/>
        </w:rPr>
        <w:t>.</w:t>
      </w:r>
    </w:p>
    <w:p w14:paraId="552B066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zakresie wspierania przejścia na gospodarkę niskoemisyjną we wszystkich sektorach, podstawowe znaczenie będzie również miał obecnie przygotowywany </w:t>
      </w:r>
      <w:r w:rsidRPr="004E3242">
        <w:rPr>
          <w:rFonts w:ascii="Arial" w:eastAsia="Times New Roman" w:hAnsi="Arial" w:cs="Arial"/>
          <w:b/>
          <w:bCs/>
          <w:i/>
          <w:iCs/>
          <w:sz w:val="20"/>
          <w:szCs w:val="20"/>
          <w:lang w:eastAsia="pl-PL"/>
        </w:rPr>
        <w:t>Narodowy Program Rozwoju Gospodarki Niskoemisyjnej</w:t>
      </w:r>
      <w:r w:rsidRPr="004E3242">
        <w:rPr>
          <w:rFonts w:ascii="Arial" w:eastAsia="Times New Roman" w:hAnsi="Arial" w:cs="Arial"/>
          <w:b/>
          <w:bCs/>
          <w:sz w:val="20"/>
          <w:szCs w:val="20"/>
          <w:lang w:eastAsia="pl-PL"/>
        </w:rPr>
        <w:t xml:space="preserve"> (NPRGN)</w:t>
      </w:r>
      <w:r w:rsidRPr="004E3242">
        <w:rPr>
          <w:rFonts w:ascii="Arial" w:eastAsia="Times New Roman" w:hAnsi="Arial" w:cs="Arial"/>
          <w:sz w:val="20"/>
          <w:szCs w:val="20"/>
          <w:lang w:eastAsia="pl-PL"/>
        </w:rPr>
        <w:t xml:space="preserve"> – jako jeden z programów realizujących </w:t>
      </w:r>
      <w:r w:rsidRPr="004E3242">
        <w:rPr>
          <w:rFonts w:ascii="Arial" w:eastAsia="Times New Roman" w:hAnsi="Arial" w:cs="Arial"/>
          <w:b/>
          <w:bCs/>
          <w:sz w:val="20"/>
          <w:szCs w:val="20"/>
          <w:lang w:eastAsia="pl-PL"/>
        </w:rPr>
        <w:t>Strategię Bezpieczeństwo Energetyczne i Środowisko</w:t>
      </w:r>
      <w:r w:rsidRPr="004E3242">
        <w:rPr>
          <w:rFonts w:ascii="Arial" w:eastAsia="Times New Roman" w:hAnsi="Arial" w:cs="Arial"/>
          <w:sz w:val="20"/>
          <w:szCs w:val="20"/>
          <w:lang w:eastAsia="pl-PL"/>
        </w:rPr>
        <w:t xml:space="preserve">. Dokument ten wskazuje na ścieżkę dojścia do wypełnienia unijnych celów redukcyjnych, przy jednoczesnym zapewnieniu korzyści ekonomicznych, społecznych </w:t>
      </w:r>
      <w:r w:rsidRPr="004E3242">
        <w:rPr>
          <w:rFonts w:ascii="Arial" w:eastAsia="Times New Roman" w:hAnsi="Arial" w:cs="Arial"/>
          <w:sz w:val="20"/>
          <w:szCs w:val="20"/>
          <w:lang w:eastAsia="pl-PL"/>
        </w:rPr>
        <w:br/>
        <w:t>i środowiskowych.</w:t>
      </w:r>
    </w:p>
    <w:p w14:paraId="6EA0ED0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zakresie </w:t>
      </w:r>
      <w:r w:rsidRPr="004E3242">
        <w:rPr>
          <w:rFonts w:ascii="Arial" w:eastAsia="Times New Roman" w:hAnsi="Arial" w:cs="Arial"/>
          <w:b/>
          <w:bCs/>
          <w:sz w:val="20"/>
          <w:szCs w:val="20"/>
          <w:lang w:eastAsia="pl-PL"/>
        </w:rPr>
        <w:t>infrastruktury energetycznej</w:t>
      </w:r>
      <w:r w:rsidRPr="004E3242">
        <w:rPr>
          <w:rFonts w:ascii="Arial" w:eastAsia="Times New Roman" w:hAnsi="Arial" w:cs="Arial"/>
          <w:sz w:val="20"/>
          <w:szCs w:val="20"/>
          <w:lang w:eastAsia="pl-PL"/>
        </w:rPr>
        <w:t xml:space="preserve"> kluczowym dokumentem jest komunikat </w:t>
      </w:r>
      <w:r w:rsidRPr="004E3242">
        <w:rPr>
          <w:rFonts w:ascii="Arial" w:eastAsia="Times New Roman" w:hAnsi="Arial" w:cs="Arial"/>
          <w:b/>
          <w:bCs/>
          <w:sz w:val="20"/>
          <w:szCs w:val="20"/>
          <w:lang w:eastAsia="pl-PL"/>
        </w:rPr>
        <w:t xml:space="preserve">Komisji </w:t>
      </w:r>
      <w:r w:rsidRPr="004E3242">
        <w:rPr>
          <w:rFonts w:ascii="Arial" w:eastAsia="Times New Roman" w:hAnsi="Arial" w:cs="Arial"/>
          <w:b/>
          <w:bCs/>
          <w:sz w:val="20"/>
          <w:szCs w:val="20"/>
          <w:lang w:eastAsia="pl-PL"/>
        </w:rPr>
        <w:br/>
        <w:t xml:space="preserve">z listopada 2010 r. </w:t>
      </w:r>
      <w:r w:rsidRPr="004E3242">
        <w:rPr>
          <w:rFonts w:ascii="Arial" w:eastAsia="Times New Roman" w:hAnsi="Arial" w:cs="Arial"/>
          <w:b/>
          <w:bCs/>
          <w:i/>
          <w:iCs/>
          <w:sz w:val="20"/>
          <w:szCs w:val="20"/>
          <w:lang w:eastAsia="pl-PL"/>
        </w:rPr>
        <w:t xml:space="preserve">Priorytety w odniesieniu do infrastruktury energetycznej na 2020 r. </w:t>
      </w:r>
      <w:r w:rsidRPr="004E3242">
        <w:rPr>
          <w:rFonts w:ascii="Arial" w:eastAsia="Times New Roman" w:hAnsi="Arial" w:cs="Arial"/>
          <w:b/>
          <w:bCs/>
          <w:i/>
          <w:iCs/>
          <w:sz w:val="20"/>
          <w:szCs w:val="20"/>
          <w:lang w:eastAsia="pl-PL"/>
        </w:rPr>
        <w:br/>
        <w:t>i w dalszej perspektywie - plan działania na rzecz zintegrowanej europejskiej sieci energetycznej.</w:t>
      </w:r>
      <w:r w:rsidRPr="004E3242">
        <w:rPr>
          <w:rFonts w:ascii="Arial" w:eastAsia="Times New Roman" w:hAnsi="Arial" w:cs="Arial"/>
          <w:sz w:val="20"/>
          <w:szCs w:val="20"/>
          <w:lang w:eastAsia="pl-PL"/>
        </w:rPr>
        <w:t xml:space="preserve"> Dokument ten wskazuje na potrzebę uzgodnienia nowej polityki na rzecz infrastruktury energetycznej w celu optymalizacji rozwoju sieci na poziomie europejskim w okresie do 2020 r. i w dalszej perspektywie, aby umożliwić Unii Europejskiej realizację podstawowych celów polityki energetycznej – konkurencyjności, stabilności i bezpieczeństwa dostaw.</w:t>
      </w:r>
    </w:p>
    <w:p w14:paraId="2EB17F4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Działania w ramach Programu będą służyć również realizacji ambitnych celów określonych w </w:t>
      </w:r>
      <w:r w:rsidRPr="004E3242">
        <w:rPr>
          <w:rFonts w:ascii="Arial" w:eastAsia="Times New Roman" w:hAnsi="Arial" w:cs="Arial"/>
          <w:b/>
          <w:bCs/>
          <w:i/>
          <w:iCs/>
          <w:sz w:val="20"/>
          <w:szCs w:val="20"/>
          <w:lang w:eastAsia="pl-PL"/>
        </w:rPr>
        <w:t>Białej Księdze UE: Adaptacja do zmian klimatu: europejskie ramy działania</w:t>
      </w:r>
      <w:r w:rsidRPr="004E3242">
        <w:rPr>
          <w:rFonts w:ascii="Arial" w:eastAsia="Times New Roman" w:hAnsi="Arial" w:cs="Arial"/>
          <w:b/>
          <w:bCs/>
          <w:i/>
          <w:iCs/>
          <w:sz w:val="20"/>
          <w:szCs w:val="20"/>
          <w:vertAlign w:val="superscript"/>
          <w:lang w:eastAsia="pl-PL"/>
        </w:rPr>
        <w:footnoteReference w:id="21"/>
      </w:r>
      <w:r w:rsidRPr="004E3242">
        <w:rPr>
          <w:rFonts w:ascii="Arial" w:eastAsia="Times New Roman" w:hAnsi="Arial" w:cs="Arial"/>
          <w:b/>
          <w:bCs/>
          <w:i/>
          <w:iCs/>
          <w:sz w:val="20"/>
          <w:szCs w:val="20"/>
          <w:lang w:eastAsia="pl-PL"/>
        </w:rPr>
        <w:t>, Strategii UE w zakresie przystosowania się do zmian klimatu</w:t>
      </w:r>
      <w:r w:rsidRPr="004E3242">
        <w:rPr>
          <w:rFonts w:ascii="Arial" w:eastAsia="Times New Roman" w:hAnsi="Arial" w:cs="Arial"/>
          <w:b/>
          <w:bCs/>
          <w:i/>
          <w:iCs/>
          <w:sz w:val="20"/>
          <w:szCs w:val="20"/>
          <w:vertAlign w:val="superscript"/>
          <w:lang w:eastAsia="pl-PL"/>
        </w:rPr>
        <w:footnoteReference w:id="22"/>
      </w:r>
      <w:r w:rsidRPr="004E3242">
        <w:rPr>
          <w:rFonts w:ascii="Arial" w:eastAsia="Times New Roman" w:hAnsi="Arial" w:cs="Arial"/>
          <w:b/>
          <w:bCs/>
          <w:i/>
          <w:iCs/>
          <w:sz w:val="20"/>
          <w:szCs w:val="20"/>
          <w:lang w:eastAsia="pl-PL"/>
        </w:rPr>
        <w:t xml:space="preserve"> oraz unijnej strategii ochrony różnorodności biologicznej na okres do 2020 r.</w:t>
      </w:r>
      <w:r w:rsidRPr="004E3242">
        <w:rPr>
          <w:rFonts w:ascii="Arial" w:eastAsia="Times New Roman" w:hAnsi="Arial" w:cs="Arial"/>
          <w:b/>
          <w:bCs/>
          <w:i/>
          <w:iCs/>
          <w:sz w:val="20"/>
          <w:szCs w:val="20"/>
          <w:vertAlign w:val="superscript"/>
          <w:lang w:eastAsia="pl-PL"/>
        </w:rPr>
        <w:footnoteReference w:id="23"/>
      </w:r>
      <w:r w:rsidRPr="004E3242">
        <w:rPr>
          <w:rFonts w:ascii="Arial" w:eastAsia="Times New Roman" w:hAnsi="Arial" w:cs="Arial"/>
          <w:sz w:val="20"/>
          <w:szCs w:val="20"/>
          <w:lang w:eastAsia="pl-PL"/>
        </w:rPr>
        <w:t xml:space="preserve"> Podejmowane działania będą również odpowiedzią na kluczowe wyzwania związane z realizacją szeroko rozumianej polityki klimatycznej, która znalazła swoje odzwierciedlenie w szeregu dokumentów krajowych, wśród nich najistotniejsze są: </w:t>
      </w:r>
      <w:r w:rsidRPr="004E3242">
        <w:rPr>
          <w:rFonts w:ascii="Arial" w:eastAsia="Times New Roman" w:hAnsi="Arial" w:cs="Arial"/>
          <w:b/>
          <w:bCs/>
          <w:i/>
          <w:iCs/>
          <w:sz w:val="20"/>
          <w:szCs w:val="20"/>
          <w:lang w:eastAsia="pl-PL"/>
        </w:rPr>
        <w:t>Strategia Bezpieczeństwo Energetyczne i Środowisko</w:t>
      </w:r>
      <w:r w:rsidRPr="004E3242">
        <w:rPr>
          <w:rFonts w:ascii="Arial" w:eastAsia="Times New Roman" w:hAnsi="Arial" w:cs="Arial"/>
          <w:sz w:val="20"/>
          <w:szCs w:val="20"/>
          <w:lang w:eastAsia="pl-PL"/>
        </w:rPr>
        <w:t xml:space="preserve"> (w przygotowaniu),</w:t>
      </w:r>
      <w:r w:rsidRPr="004E3242">
        <w:rPr>
          <w:rFonts w:ascii="Arial" w:eastAsia="Times New Roman" w:hAnsi="Arial" w:cs="Arial"/>
          <w:i/>
          <w:iCs/>
          <w:sz w:val="20"/>
          <w:szCs w:val="20"/>
          <w:lang w:eastAsia="pl-PL"/>
        </w:rPr>
        <w:t xml:space="preserve"> </w:t>
      </w:r>
      <w:r w:rsidRPr="004E3242">
        <w:rPr>
          <w:rFonts w:ascii="Arial" w:eastAsia="Times New Roman" w:hAnsi="Arial" w:cs="Arial"/>
          <w:b/>
          <w:bCs/>
          <w:i/>
          <w:iCs/>
          <w:sz w:val="20"/>
          <w:szCs w:val="20"/>
          <w:lang w:eastAsia="pl-PL"/>
        </w:rPr>
        <w:t>Strategiczny plan adaptacji dla sektorów i obszarów wrażliwych na zmiany klimatu do roku 2020</w:t>
      </w:r>
      <w:r w:rsidRPr="004E3242">
        <w:rPr>
          <w:rFonts w:ascii="Arial" w:eastAsia="Times New Roman" w:hAnsi="Arial" w:cs="Arial"/>
          <w:b/>
          <w:bCs/>
          <w:sz w:val="20"/>
          <w:szCs w:val="20"/>
          <w:lang w:eastAsia="pl-PL"/>
        </w:rPr>
        <w:t xml:space="preserve">, </w:t>
      </w:r>
      <w:r w:rsidRPr="004E3242">
        <w:rPr>
          <w:rFonts w:ascii="Arial" w:eastAsia="Times New Roman" w:hAnsi="Arial" w:cs="Arial"/>
          <w:b/>
          <w:bCs/>
          <w:i/>
          <w:iCs/>
          <w:sz w:val="20"/>
          <w:szCs w:val="20"/>
          <w:lang w:eastAsia="pl-PL"/>
        </w:rPr>
        <w:t>Polityka klimatyczna Państwa, Strategia redukcji emisji gazów cieplarnianych w Polsce do roku 2020</w:t>
      </w:r>
      <w:r w:rsidRPr="004E3242">
        <w:rPr>
          <w:rFonts w:ascii="Arial" w:eastAsia="Times New Roman" w:hAnsi="Arial" w:cs="Arial"/>
          <w:b/>
          <w:bCs/>
          <w:sz w:val="20"/>
          <w:szCs w:val="20"/>
          <w:lang w:eastAsia="pl-PL"/>
        </w:rPr>
        <w:t>.</w:t>
      </w:r>
    </w:p>
    <w:p w14:paraId="6A6BC17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obszarze </w:t>
      </w:r>
      <w:r w:rsidRPr="004E3242">
        <w:rPr>
          <w:rFonts w:ascii="Arial" w:eastAsia="Times New Roman" w:hAnsi="Arial" w:cs="Arial"/>
          <w:b/>
          <w:bCs/>
          <w:sz w:val="20"/>
          <w:szCs w:val="20"/>
          <w:lang w:eastAsia="pl-PL"/>
        </w:rPr>
        <w:t>ochrony środowiska</w:t>
      </w:r>
      <w:r w:rsidRPr="004E3242">
        <w:rPr>
          <w:rFonts w:ascii="Arial" w:eastAsia="Times New Roman" w:hAnsi="Arial" w:cs="Arial"/>
          <w:sz w:val="20"/>
          <w:szCs w:val="20"/>
          <w:lang w:eastAsia="pl-PL"/>
        </w:rPr>
        <w:t xml:space="preserve">, program będzie instrumentem realizacyjnym działań wynikających z </w:t>
      </w:r>
      <w:r w:rsidRPr="004E3242">
        <w:rPr>
          <w:rFonts w:ascii="Arial" w:eastAsia="Times New Roman" w:hAnsi="Arial" w:cs="Arial"/>
          <w:i/>
          <w:iCs/>
          <w:sz w:val="20"/>
          <w:szCs w:val="20"/>
          <w:lang w:eastAsia="pl-PL"/>
        </w:rPr>
        <w:t>Krajowego Programu Oczyszczania Ścieków Komunalnych</w:t>
      </w:r>
      <w:r w:rsidRPr="004E3242">
        <w:rPr>
          <w:rFonts w:ascii="Arial" w:eastAsia="Times New Roman" w:hAnsi="Arial" w:cs="Arial"/>
          <w:sz w:val="20"/>
          <w:szCs w:val="20"/>
          <w:lang w:eastAsia="pl-PL"/>
        </w:rPr>
        <w:t xml:space="preserve">, Krajowego planu gospodarki odpadami oraz wojewódzkich planów gospodarki odpadami, </w:t>
      </w:r>
      <w:r w:rsidRPr="004E3242">
        <w:rPr>
          <w:rFonts w:ascii="Arial" w:eastAsia="Times New Roman" w:hAnsi="Arial" w:cs="Arial"/>
          <w:i/>
          <w:iCs/>
          <w:sz w:val="20"/>
          <w:szCs w:val="20"/>
          <w:lang w:eastAsia="pl-PL"/>
        </w:rPr>
        <w:t>Planu zapobiegania powstawaniu odpadów</w:t>
      </w:r>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Programu ochrony i zrównoważonego użytkowania różnorodności biologicznej wraz z planem działań na lata 2014-2020, Priorytetowe Ramy Działań dla sieci Natura 2000 na Wieloletni Program Finansowania UE w latach 2014-2020</w:t>
      </w:r>
      <w:r w:rsidRPr="004E3242">
        <w:rPr>
          <w:rFonts w:ascii="Arial" w:eastAsia="Times New Roman" w:hAnsi="Arial" w:cs="Arial"/>
          <w:sz w:val="20"/>
          <w:szCs w:val="20"/>
          <w:lang w:eastAsia="pl-PL"/>
        </w:rPr>
        <w:t>.</w:t>
      </w:r>
    </w:p>
    <w:p w14:paraId="42EAF9A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Interwencja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 poprzez koncentrację na infrastrukturze w sieci TEN-T i niskoemisyjnych środkach transportu, będzie wpisywała się w realizację celu określonego w </w:t>
      </w:r>
      <w:r w:rsidRPr="004E3242">
        <w:rPr>
          <w:rFonts w:ascii="Arial" w:eastAsia="Times New Roman" w:hAnsi="Arial" w:cs="Arial"/>
          <w:b/>
          <w:bCs/>
          <w:sz w:val="20"/>
          <w:szCs w:val="20"/>
          <w:lang w:eastAsia="pl-PL"/>
        </w:rPr>
        <w:t>Białej Księdze Transportu „</w:t>
      </w:r>
      <w:r w:rsidRPr="004E3242">
        <w:rPr>
          <w:rFonts w:ascii="Arial" w:eastAsia="Times New Roman" w:hAnsi="Arial" w:cs="Arial"/>
          <w:b/>
          <w:bCs/>
          <w:i/>
          <w:iCs/>
          <w:sz w:val="20"/>
          <w:szCs w:val="20"/>
          <w:lang w:eastAsia="pl-PL"/>
        </w:rPr>
        <w:t xml:space="preserve">Plan utworzenia jednolitego europejskiego obszaru transportu – dążenie do osiągnięcia konkurencyjnego i </w:t>
      </w:r>
      <w:proofErr w:type="spellStart"/>
      <w:r w:rsidRPr="004E3242">
        <w:rPr>
          <w:rFonts w:ascii="Arial" w:eastAsia="Times New Roman" w:hAnsi="Arial" w:cs="Arial"/>
          <w:b/>
          <w:bCs/>
          <w:i/>
          <w:iCs/>
          <w:sz w:val="20"/>
          <w:szCs w:val="20"/>
          <w:lang w:eastAsia="pl-PL"/>
        </w:rPr>
        <w:t>zasobooszczędnego</w:t>
      </w:r>
      <w:proofErr w:type="spellEnd"/>
      <w:r w:rsidRPr="004E3242">
        <w:rPr>
          <w:rFonts w:ascii="Arial" w:eastAsia="Times New Roman" w:hAnsi="Arial" w:cs="Arial"/>
          <w:b/>
          <w:bCs/>
          <w:i/>
          <w:iCs/>
          <w:sz w:val="20"/>
          <w:szCs w:val="20"/>
          <w:lang w:eastAsia="pl-PL"/>
        </w:rPr>
        <w:t xml:space="preserve"> systemu transportu</w:t>
      </w:r>
      <w:r w:rsidRPr="004E3242">
        <w:rPr>
          <w:rFonts w:ascii="Arial" w:eastAsia="Times New Roman" w:hAnsi="Arial" w:cs="Arial"/>
          <w:sz w:val="20"/>
          <w:szCs w:val="20"/>
          <w:lang w:eastAsia="pl-PL"/>
        </w:rPr>
        <w:t>, dotyczącego ustanowienia systemu stanowiącego podstawę postępu gospodarczego w Europie, wzmacniającego konkurencyjność i oferującego usługi w zakresie mobilności o wysokiej jakości przy oszczędnym gospodarowaniu zasobami</w:t>
      </w:r>
      <w:r w:rsidRPr="004E3242">
        <w:rPr>
          <w:rFonts w:ascii="Arial" w:eastAsia="Times New Roman" w:hAnsi="Arial" w:cs="Arial"/>
          <w:sz w:val="20"/>
          <w:szCs w:val="20"/>
          <w:vertAlign w:val="superscript"/>
          <w:lang w:eastAsia="pl-PL"/>
        </w:rPr>
        <w:footnoteReference w:id="24"/>
      </w:r>
      <w:r w:rsidRPr="004E3242">
        <w:rPr>
          <w:rFonts w:ascii="Arial" w:eastAsia="Times New Roman" w:hAnsi="Arial" w:cs="Arial"/>
          <w:sz w:val="20"/>
          <w:szCs w:val="20"/>
          <w:lang w:eastAsia="pl-PL"/>
        </w:rPr>
        <w:t xml:space="preserve"> w ramach jednolitego europejskiego obszaru transportu”</w:t>
      </w:r>
      <w:r w:rsidRPr="004E3242">
        <w:rPr>
          <w:rFonts w:ascii="Arial" w:eastAsia="Times New Roman" w:hAnsi="Arial" w:cs="Arial"/>
          <w:sz w:val="20"/>
          <w:szCs w:val="20"/>
          <w:vertAlign w:val="superscript"/>
          <w:lang w:eastAsia="pl-PL"/>
        </w:rPr>
        <w:footnoteReference w:id="25"/>
      </w:r>
      <w:r w:rsidRPr="004E3242">
        <w:rPr>
          <w:rFonts w:ascii="Arial" w:eastAsia="Times New Roman" w:hAnsi="Arial" w:cs="Arial"/>
          <w:sz w:val="20"/>
          <w:szCs w:val="20"/>
          <w:lang w:eastAsia="pl-PL"/>
        </w:rPr>
        <w:t xml:space="preserve">. Wskazane </w:t>
      </w:r>
      <w:r w:rsidRPr="004E3242">
        <w:rPr>
          <w:rFonts w:ascii="Arial" w:eastAsia="Times New Roman" w:hAnsi="Arial" w:cs="Arial"/>
          <w:sz w:val="20"/>
          <w:szCs w:val="20"/>
          <w:lang w:eastAsia="pl-PL"/>
        </w:rPr>
        <w:br/>
        <w:t xml:space="preserve">w </w:t>
      </w:r>
      <w:r w:rsidRPr="004E3242">
        <w:rPr>
          <w:rFonts w:ascii="Arial" w:eastAsia="Times New Roman" w:hAnsi="Arial" w:cs="Arial"/>
          <w:b/>
          <w:bCs/>
          <w:sz w:val="20"/>
          <w:szCs w:val="20"/>
          <w:lang w:eastAsia="pl-PL"/>
        </w:rPr>
        <w:t xml:space="preserve">Strategii Rozwoju Kraju </w:t>
      </w:r>
      <w:r w:rsidRPr="004E3242">
        <w:rPr>
          <w:rFonts w:ascii="Arial" w:eastAsia="Times New Roman" w:hAnsi="Arial" w:cs="Arial"/>
          <w:sz w:val="20"/>
          <w:szCs w:val="20"/>
          <w:lang w:eastAsia="pl-PL"/>
        </w:rPr>
        <w:t xml:space="preserve">(SRK) cele i obszary priorytetowych kierunków działań w dziedzinie transportu zostały rozwinięte w </w:t>
      </w:r>
      <w:r w:rsidRPr="004E3242">
        <w:rPr>
          <w:rFonts w:ascii="Arial" w:eastAsia="Times New Roman" w:hAnsi="Arial" w:cs="Arial"/>
          <w:b/>
          <w:bCs/>
          <w:i/>
          <w:iCs/>
          <w:sz w:val="20"/>
          <w:szCs w:val="20"/>
          <w:lang w:eastAsia="pl-PL"/>
        </w:rPr>
        <w:t>Strategii Rozwoju Transportu do 2020 roku (z perspektywą do 2030 roku)</w:t>
      </w:r>
      <w:r w:rsidRPr="004E3242">
        <w:rPr>
          <w:rFonts w:ascii="Arial" w:eastAsia="Times New Roman" w:hAnsi="Arial" w:cs="Arial"/>
          <w:b/>
          <w:bCs/>
          <w:sz w:val="20"/>
          <w:szCs w:val="20"/>
          <w:lang w:eastAsia="pl-PL"/>
        </w:rPr>
        <w:t xml:space="preserve"> – SRT</w:t>
      </w:r>
      <w:r w:rsidRPr="004E3242">
        <w:rPr>
          <w:rFonts w:ascii="Arial" w:eastAsia="Times New Roman" w:hAnsi="Arial" w:cs="Arial"/>
          <w:b/>
          <w:bCs/>
          <w:sz w:val="20"/>
          <w:szCs w:val="20"/>
          <w:vertAlign w:val="superscript"/>
          <w:lang w:eastAsia="pl-PL"/>
        </w:rPr>
        <w:footnoteReference w:id="26"/>
      </w:r>
      <w:r w:rsidRPr="004E3242">
        <w:rPr>
          <w:rFonts w:ascii="Arial" w:eastAsia="Times New Roman" w:hAnsi="Arial" w:cs="Arial"/>
          <w:b/>
          <w:bCs/>
          <w:sz w:val="20"/>
          <w:szCs w:val="20"/>
          <w:lang w:eastAsia="pl-PL"/>
        </w:rPr>
        <w:t xml:space="preserve">, </w:t>
      </w:r>
      <w:r w:rsidRPr="004E3242">
        <w:rPr>
          <w:rFonts w:ascii="Arial" w:eastAsia="Times New Roman" w:hAnsi="Arial" w:cs="Arial"/>
          <w:sz w:val="20"/>
          <w:szCs w:val="20"/>
          <w:lang w:eastAsia="pl-PL"/>
        </w:rPr>
        <w:t xml:space="preserve">a sposób ich realizacji w tzw. </w:t>
      </w:r>
      <w:r w:rsidRPr="004E3242">
        <w:rPr>
          <w:rFonts w:ascii="Arial" w:eastAsia="Times New Roman" w:hAnsi="Arial" w:cs="Arial"/>
          <w:b/>
          <w:bCs/>
          <w:sz w:val="20"/>
          <w:szCs w:val="20"/>
          <w:lang w:eastAsia="pl-PL"/>
        </w:rPr>
        <w:t>Dokumencie Implementacyjnym</w:t>
      </w:r>
      <w:r w:rsidRPr="004E3242">
        <w:rPr>
          <w:rFonts w:ascii="Arial" w:eastAsia="Times New Roman" w:hAnsi="Arial" w:cs="Arial"/>
          <w:i/>
          <w:iCs/>
          <w:sz w:val="20"/>
          <w:szCs w:val="20"/>
          <w:lang w:eastAsia="pl-PL"/>
        </w:rPr>
        <w:t xml:space="preserve">, </w:t>
      </w:r>
      <w:r w:rsidRPr="004E3242">
        <w:rPr>
          <w:rFonts w:ascii="Arial" w:eastAsia="Times New Roman" w:hAnsi="Arial" w:cs="Arial"/>
          <w:sz w:val="20"/>
          <w:szCs w:val="20"/>
          <w:lang w:eastAsia="pl-PL"/>
        </w:rPr>
        <w:t xml:space="preserve">w zakresie wymaganym w ramach warunkowości </w:t>
      </w:r>
      <w:r w:rsidRPr="004E3242">
        <w:rPr>
          <w:rFonts w:ascii="Arial" w:eastAsia="Times New Roman" w:hAnsi="Arial" w:cs="Arial"/>
          <w:i/>
          <w:iCs/>
          <w:sz w:val="20"/>
          <w:szCs w:val="20"/>
          <w:lang w:eastAsia="pl-PL"/>
        </w:rPr>
        <w:t>ex-</w:t>
      </w:r>
      <w:proofErr w:type="spellStart"/>
      <w:r w:rsidRPr="004E3242">
        <w:rPr>
          <w:rFonts w:ascii="Arial" w:eastAsia="Times New Roman" w:hAnsi="Arial" w:cs="Arial"/>
          <w:i/>
          <w:iCs/>
          <w:sz w:val="20"/>
          <w:szCs w:val="20"/>
          <w:lang w:eastAsia="pl-PL"/>
        </w:rPr>
        <w:t>ante</w:t>
      </w:r>
      <w:proofErr w:type="spellEnd"/>
      <w:r w:rsidRPr="004E3242">
        <w:rPr>
          <w:rFonts w:ascii="Arial" w:eastAsia="Times New Roman" w:hAnsi="Arial" w:cs="Arial"/>
          <w:i/>
          <w:iCs/>
          <w:sz w:val="20"/>
          <w:szCs w:val="20"/>
          <w:lang w:eastAsia="pl-PL"/>
        </w:rPr>
        <w:t xml:space="preserve">. </w:t>
      </w:r>
    </w:p>
    <w:p w14:paraId="4B7877A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Projekty z zakresu ochrony i zachowania dziedzictwa kulturowego oraz rozwoju zasobów kultury mają wpływ na rozwój postaw kreatywnych i innowacyjnych społeczeństwa, dzięki czemu wniosą znaczący wkład w założenia inicjatyw flagowych:</w:t>
      </w:r>
      <w:r w:rsidRPr="004E3242">
        <w:rPr>
          <w:rFonts w:ascii="Arial" w:eastAsia="Times New Roman" w:hAnsi="Arial" w:cs="Arial"/>
          <w:b/>
          <w:bCs/>
          <w:sz w:val="20"/>
          <w:szCs w:val="20"/>
          <w:lang w:eastAsia="pl-PL"/>
        </w:rPr>
        <w:t xml:space="preserve"> </w:t>
      </w:r>
      <w:r w:rsidRPr="004E3242">
        <w:rPr>
          <w:rFonts w:ascii="Arial" w:eastAsia="Times New Roman" w:hAnsi="Arial" w:cs="Arial"/>
          <w:b/>
          <w:bCs/>
          <w:i/>
          <w:iCs/>
          <w:sz w:val="20"/>
          <w:szCs w:val="20"/>
          <w:lang w:eastAsia="pl-PL"/>
        </w:rPr>
        <w:t>Unia Innowacji</w:t>
      </w:r>
      <w:r w:rsidRPr="004E3242">
        <w:rPr>
          <w:rFonts w:ascii="Arial" w:eastAsia="Times New Roman" w:hAnsi="Arial" w:cs="Arial"/>
          <w:i/>
          <w:iCs/>
          <w:sz w:val="20"/>
          <w:szCs w:val="20"/>
          <w:lang w:eastAsia="pl-PL"/>
        </w:rPr>
        <w:t xml:space="preserve">, </w:t>
      </w:r>
      <w:r w:rsidRPr="004E3242">
        <w:rPr>
          <w:rFonts w:ascii="Arial" w:eastAsia="Times New Roman" w:hAnsi="Arial" w:cs="Arial"/>
          <w:b/>
          <w:bCs/>
          <w:i/>
          <w:iCs/>
          <w:sz w:val="20"/>
          <w:szCs w:val="20"/>
          <w:lang w:eastAsia="pl-PL"/>
        </w:rPr>
        <w:t>Europejska Agenda Cyfrowa</w:t>
      </w:r>
      <w:r w:rsidRPr="004E3242">
        <w:rPr>
          <w:rFonts w:ascii="Arial" w:eastAsia="Times New Roman" w:hAnsi="Arial" w:cs="Arial"/>
          <w:sz w:val="20"/>
          <w:szCs w:val="20"/>
          <w:lang w:eastAsia="pl-PL"/>
        </w:rPr>
        <w:t xml:space="preserve"> oraz </w:t>
      </w:r>
      <w:r w:rsidRPr="004E3242">
        <w:rPr>
          <w:rFonts w:ascii="Arial" w:eastAsia="Times New Roman" w:hAnsi="Arial" w:cs="Arial"/>
          <w:b/>
          <w:bCs/>
          <w:i/>
          <w:iCs/>
          <w:sz w:val="20"/>
          <w:szCs w:val="20"/>
          <w:lang w:eastAsia="pl-PL"/>
        </w:rPr>
        <w:t>Zintegrowana polityka przemysłowa w erze globalizacji</w:t>
      </w:r>
      <w:r w:rsidRPr="004E3242">
        <w:rPr>
          <w:rFonts w:ascii="Arial" w:eastAsia="Times New Roman" w:hAnsi="Arial" w:cs="Arial"/>
          <w:sz w:val="20"/>
          <w:szCs w:val="20"/>
          <w:lang w:eastAsia="pl-PL"/>
        </w:rPr>
        <w:t xml:space="preserve">. Projekty z zakresu kultury wpisują się również w cele </w:t>
      </w:r>
      <w:r w:rsidRPr="004E3242">
        <w:rPr>
          <w:rFonts w:ascii="Arial" w:eastAsia="Times New Roman" w:hAnsi="Arial" w:cs="Arial"/>
          <w:b/>
          <w:bCs/>
          <w:sz w:val="20"/>
          <w:szCs w:val="20"/>
          <w:lang w:eastAsia="pl-PL"/>
        </w:rPr>
        <w:t>Strategii Rozwoju Kapitału Społecznego</w:t>
      </w:r>
      <w:r w:rsidRPr="004E3242">
        <w:rPr>
          <w:rFonts w:ascii="Arial" w:eastAsia="Times New Roman" w:hAnsi="Arial" w:cs="Arial"/>
          <w:sz w:val="20"/>
          <w:szCs w:val="20"/>
          <w:lang w:eastAsia="pl-PL"/>
        </w:rPr>
        <w:t xml:space="preserve"> (cel szczegółowy 4. </w:t>
      </w:r>
      <w:r w:rsidRPr="004E3242">
        <w:rPr>
          <w:rFonts w:ascii="Arial" w:eastAsia="Times New Roman" w:hAnsi="Arial" w:cs="Arial"/>
          <w:i/>
          <w:iCs/>
          <w:sz w:val="20"/>
          <w:szCs w:val="20"/>
          <w:lang w:eastAsia="pl-PL"/>
        </w:rPr>
        <w:t>Rozwój i efektywne wykorzystanie potencjału kulturowego i kreatywnego</w:t>
      </w:r>
      <w:r w:rsidRPr="004E3242">
        <w:rPr>
          <w:rFonts w:ascii="Arial" w:eastAsia="Times New Roman" w:hAnsi="Arial" w:cs="Arial"/>
          <w:sz w:val="20"/>
          <w:szCs w:val="20"/>
          <w:lang w:eastAsia="pl-PL"/>
        </w:rPr>
        <w:t>).</w:t>
      </w:r>
    </w:p>
    <w:p w14:paraId="6793F2E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Inwestycje w poprawę dostępu do usług zdrowotnych, poprzez zapewnienie niezbędnej infrastruktury zostały ujęte w działaniach objętych </w:t>
      </w:r>
      <w:r w:rsidRPr="004E3242">
        <w:rPr>
          <w:rFonts w:ascii="Arial" w:eastAsia="Times New Roman" w:hAnsi="Arial" w:cs="Arial"/>
          <w:b/>
          <w:bCs/>
          <w:sz w:val="20"/>
          <w:szCs w:val="20"/>
          <w:lang w:eastAsia="pl-PL"/>
        </w:rPr>
        <w:t>Strategią Sprawne Państwo</w:t>
      </w:r>
      <w:r w:rsidRPr="004E3242">
        <w:rPr>
          <w:rFonts w:ascii="Arial" w:eastAsia="Times New Roman" w:hAnsi="Arial" w:cs="Arial"/>
          <w:sz w:val="20"/>
          <w:szCs w:val="20"/>
          <w:lang w:eastAsia="pl-PL"/>
        </w:rPr>
        <w:t xml:space="preserve">, gdzie podkreślono konieczność poprawy funkcjonowania systemu Państwowego Ratownictwa Medycznego oraz w </w:t>
      </w:r>
      <w:r w:rsidRPr="004E3242">
        <w:rPr>
          <w:rFonts w:ascii="Arial" w:eastAsia="Times New Roman" w:hAnsi="Arial" w:cs="Arial"/>
          <w:b/>
          <w:bCs/>
          <w:sz w:val="20"/>
          <w:szCs w:val="20"/>
          <w:lang w:eastAsia="pl-PL"/>
        </w:rPr>
        <w:t>Strategii Rozwoju Kapitału Ludzkiego</w:t>
      </w:r>
      <w:r w:rsidRPr="004E3242">
        <w:rPr>
          <w:rFonts w:ascii="Arial" w:eastAsia="Times New Roman" w:hAnsi="Arial" w:cs="Arial"/>
          <w:sz w:val="20"/>
          <w:szCs w:val="20"/>
          <w:lang w:eastAsia="pl-PL"/>
        </w:rPr>
        <w:t xml:space="preserve">, w szczególności w zakresie </w:t>
      </w:r>
      <w:r w:rsidRPr="004E3242">
        <w:rPr>
          <w:rFonts w:ascii="Arial" w:eastAsia="Times New Roman" w:hAnsi="Arial" w:cs="Arial"/>
          <w:i/>
          <w:iCs/>
          <w:sz w:val="20"/>
          <w:szCs w:val="20"/>
          <w:lang w:eastAsia="pl-PL"/>
        </w:rPr>
        <w:t>„Dostosowania opieki zdrowotnej do wyzwań demograficznych poprzez działania odpowiadające potrzebom i oczekiwaniom w szczególności matek i dzieci oraz osób starszych, a także uwzględnienie aktualnych i prognozowanych trendów epidemiologicznych”</w:t>
      </w:r>
      <w:r w:rsidRPr="004E3242">
        <w:rPr>
          <w:rFonts w:ascii="Arial" w:eastAsia="Times New Roman" w:hAnsi="Arial" w:cs="Arial"/>
          <w:sz w:val="20"/>
          <w:szCs w:val="20"/>
          <w:lang w:eastAsia="pl-PL"/>
        </w:rPr>
        <w:t>.</w:t>
      </w:r>
    </w:p>
    <w:p w14:paraId="31DB481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Poza tym Ministerstwo Zdrowia przyjęło dokument </w:t>
      </w:r>
      <w:r w:rsidRPr="004E3242">
        <w:rPr>
          <w:rFonts w:ascii="Arial" w:eastAsia="Times New Roman" w:hAnsi="Arial" w:cs="Arial"/>
          <w:i/>
          <w:iCs/>
          <w:sz w:val="20"/>
          <w:szCs w:val="20"/>
          <w:lang w:eastAsia="pl-PL"/>
        </w:rPr>
        <w:t xml:space="preserve">Policy Paper dla ochrony zdrowia na lata 2014-2020 Krajowe Strategiczne Ramy, </w:t>
      </w:r>
      <w:r w:rsidRPr="004E3242">
        <w:rPr>
          <w:rFonts w:ascii="Arial" w:eastAsia="Times New Roman" w:hAnsi="Arial" w:cs="Arial"/>
          <w:sz w:val="20"/>
          <w:szCs w:val="20"/>
          <w:lang w:eastAsia="pl-PL"/>
        </w:rPr>
        <w:t xml:space="preserve">który stanowi realizację zobowiązania w zakresie warunkowości </w:t>
      </w:r>
      <w:r w:rsidRPr="004E3242">
        <w:rPr>
          <w:rFonts w:ascii="Arial" w:eastAsia="Times New Roman" w:hAnsi="Arial" w:cs="Arial"/>
          <w:sz w:val="20"/>
          <w:szCs w:val="20"/>
          <w:lang w:eastAsia="pl-PL"/>
        </w:rPr>
        <w:br/>
      </w:r>
      <w:r w:rsidRPr="004E3242">
        <w:rPr>
          <w:rFonts w:ascii="Arial" w:eastAsia="Times New Roman" w:hAnsi="Arial" w:cs="Arial"/>
          <w:i/>
          <w:sz w:val="20"/>
          <w:szCs w:val="20"/>
          <w:lang w:eastAsia="pl-PL"/>
        </w:rPr>
        <w:t>ex-</w:t>
      </w:r>
      <w:proofErr w:type="spellStart"/>
      <w:r w:rsidRPr="004E3242">
        <w:rPr>
          <w:rFonts w:ascii="Arial" w:eastAsia="Times New Roman" w:hAnsi="Arial" w:cs="Arial"/>
          <w:i/>
          <w:sz w:val="20"/>
          <w:szCs w:val="20"/>
          <w:lang w:eastAsia="pl-PL"/>
        </w:rPr>
        <w:t>ante</w:t>
      </w:r>
      <w:proofErr w:type="spellEnd"/>
      <w:r w:rsidRPr="004E3242">
        <w:rPr>
          <w:rFonts w:ascii="Arial" w:eastAsia="Times New Roman" w:hAnsi="Arial" w:cs="Arial"/>
          <w:sz w:val="20"/>
          <w:szCs w:val="20"/>
          <w:lang w:eastAsia="pl-PL"/>
        </w:rPr>
        <w:t xml:space="preserve"> oraz ma na celu ukierunkowanie środków Europejskich Funduszy Strukturalnych </w:t>
      </w:r>
      <w:r w:rsidRPr="004E3242">
        <w:rPr>
          <w:rFonts w:ascii="Arial" w:eastAsia="Times New Roman" w:hAnsi="Arial" w:cs="Arial"/>
          <w:sz w:val="20"/>
          <w:szCs w:val="20"/>
          <w:lang w:eastAsia="pl-PL"/>
        </w:rPr>
        <w:br/>
        <w:t xml:space="preserve">i Inwestycyjnych (EFSI) na efektywną implementację programów rozwojowych w zakresie ochrony zdrowia. współfinansowanych przez ww. środki UE. </w:t>
      </w:r>
      <w:r w:rsidRPr="004E3242">
        <w:rPr>
          <w:rFonts w:ascii="Arial" w:eastAsia="Times New Roman" w:hAnsi="Arial" w:cs="Arial"/>
          <w:i/>
          <w:iCs/>
          <w:sz w:val="20"/>
          <w:szCs w:val="20"/>
          <w:lang w:eastAsia="pl-PL"/>
        </w:rPr>
        <w:t>Policy Paper</w:t>
      </w:r>
      <w:r w:rsidRPr="004E3242">
        <w:rPr>
          <w:rFonts w:ascii="Arial" w:eastAsia="Times New Roman" w:hAnsi="Arial" w:cs="Arial"/>
          <w:sz w:val="20"/>
          <w:szCs w:val="20"/>
          <w:lang w:eastAsia="pl-PL"/>
        </w:rPr>
        <w:t xml:space="preserve"> ma charakter dokumentu wdrożeniowego wobec krajowych dokumentów strategicznych, w ramach których działania </w:t>
      </w:r>
      <w:r w:rsidRPr="004E3242">
        <w:rPr>
          <w:rFonts w:ascii="Arial" w:eastAsia="Times New Roman" w:hAnsi="Arial" w:cs="Arial"/>
          <w:sz w:val="20"/>
          <w:szCs w:val="20"/>
          <w:lang w:eastAsia="pl-PL"/>
        </w:rPr>
        <w:br/>
        <w:t>w obszarze zdrowia stanowią element interwencji .</w:t>
      </w:r>
    </w:p>
    <w:p w14:paraId="4469539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najważniejszych, krajowych dokumentach strategicznych - </w:t>
      </w:r>
      <w:r w:rsidRPr="004E3242">
        <w:rPr>
          <w:rFonts w:ascii="Arial" w:eastAsia="Times New Roman" w:hAnsi="Arial" w:cs="Arial"/>
          <w:i/>
          <w:iCs/>
          <w:sz w:val="20"/>
          <w:szCs w:val="20"/>
          <w:lang w:eastAsia="pl-PL"/>
        </w:rPr>
        <w:t>Długookresowej Strategii Rozwoju Kraju. Polska 2030. Trzecia fala nowoczesności (DSRK)</w:t>
      </w:r>
      <w:r w:rsidRPr="004E3242">
        <w:rPr>
          <w:rFonts w:ascii="Arial" w:eastAsia="Times New Roman" w:hAnsi="Arial" w:cs="Arial"/>
          <w:i/>
          <w:iCs/>
          <w:sz w:val="20"/>
          <w:szCs w:val="20"/>
          <w:vertAlign w:val="superscript"/>
          <w:lang w:eastAsia="pl-PL"/>
        </w:rPr>
        <w:footnoteReference w:id="27"/>
      </w:r>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Strategii Rozwoju Kraju 2020</w:t>
      </w:r>
      <w:r w:rsidRPr="004E3242">
        <w:rPr>
          <w:rFonts w:ascii="Arial" w:eastAsia="Times New Roman" w:hAnsi="Arial" w:cs="Arial"/>
          <w:i/>
          <w:iCs/>
          <w:sz w:val="20"/>
          <w:szCs w:val="20"/>
          <w:vertAlign w:val="superscript"/>
          <w:lang w:eastAsia="pl-PL"/>
        </w:rPr>
        <w:footnoteReference w:id="28"/>
      </w:r>
      <w:r w:rsidRPr="004E3242">
        <w:rPr>
          <w:rFonts w:ascii="Arial" w:eastAsia="Times New Roman" w:hAnsi="Arial" w:cs="Arial"/>
          <w:sz w:val="20"/>
          <w:szCs w:val="20"/>
          <w:lang w:eastAsia="pl-PL"/>
        </w:rPr>
        <w:t xml:space="preserve"> oraz w tzw. dziewięciu strategiach zintegrowanych</w:t>
      </w:r>
      <w:r w:rsidRPr="004E3242">
        <w:rPr>
          <w:rFonts w:ascii="Arial" w:eastAsia="Times New Roman" w:hAnsi="Arial" w:cs="Arial"/>
          <w:sz w:val="20"/>
          <w:szCs w:val="20"/>
          <w:vertAlign w:val="superscript"/>
          <w:lang w:eastAsia="pl-PL"/>
        </w:rPr>
        <w:footnoteReference w:id="29"/>
      </w:r>
      <w:r w:rsidRPr="004E3242">
        <w:rPr>
          <w:rFonts w:ascii="Arial" w:eastAsia="Times New Roman" w:hAnsi="Arial" w:cs="Arial"/>
          <w:sz w:val="20"/>
          <w:szCs w:val="20"/>
          <w:lang w:eastAsia="pl-PL"/>
        </w:rPr>
        <w:t xml:space="preserve"> podkreślony został związek nowoczesnej infrastruktury </w:t>
      </w:r>
      <w:r w:rsidRPr="004E3242">
        <w:rPr>
          <w:rFonts w:ascii="Arial" w:eastAsia="Times New Roman" w:hAnsi="Arial" w:cs="Arial"/>
          <w:sz w:val="20"/>
          <w:szCs w:val="20"/>
          <w:lang w:eastAsia="pl-PL"/>
        </w:rPr>
        <w:br/>
        <w:t xml:space="preserve">z rozwojem zrównoważonym oraz budową gospodarki konkurencyjnej, która jednocześnie uwzględnia priorytety rozwoju UE określone w Strategii </w:t>
      </w:r>
      <w:r w:rsidRPr="004E3242">
        <w:rPr>
          <w:rFonts w:ascii="Arial" w:eastAsia="Times New Roman" w:hAnsi="Arial" w:cs="Arial"/>
          <w:i/>
          <w:iCs/>
          <w:sz w:val="20"/>
          <w:szCs w:val="20"/>
          <w:lang w:eastAsia="pl-PL"/>
        </w:rPr>
        <w:t>Europa 2020</w:t>
      </w:r>
      <w:r w:rsidRPr="004E3242">
        <w:rPr>
          <w:rFonts w:ascii="Arial" w:eastAsia="Times New Roman" w:hAnsi="Arial" w:cs="Arial"/>
          <w:sz w:val="20"/>
          <w:szCs w:val="20"/>
          <w:lang w:eastAsia="pl-PL"/>
        </w:rPr>
        <w:t>.</w:t>
      </w:r>
    </w:p>
    <w:p w14:paraId="17B90C1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w:t>
      </w:r>
      <w:r w:rsidRPr="004E3242">
        <w:rPr>
          <w:rFonts w:ascii="Arial" w:eastAsia="Times New Roman" w:hAnsi="Arial" w:cs="Arial"/>
          <w:b/>
          <w:bCs/>
          <w:i/>
          <w:iCs/>
          <w:sz w:val="20"/>
          <w:szCs w:val="20"/>
          <w:lang w:eastAsia="pl-PL"/>
        </w:rPr>
        <w:t>Długookresowej Strategii Rozwoju Kraju</w:t>
      </w:r>
      <w:r w:rsidRPr="004E3242">
        <w:rPr>
          <w:rFonts w:ascii="Arial" w:eastAsia="Times New Roman" w:hAnsi="Arial" w:cs="Arial"/>
          <w:sz w:val="20"/>
          <w:szCs w:val="20"/>
          <w:lang w:eastAsia="pl-PL"/>
        </w:rPr>
        <w:t xml:space="preserve"> działania infrastrukturalne wspierające rozwój zrównoważony zostały włączone do dwóch, spośród trzech obszarów strategicznych:</w:t>
      </w:r>
    </w:p>
    <w:p w14:paraId="3111C3B2" w14:textId="77777777" w:rsidR="004E3242" w:rsidRPr="004E3242" w:rsidRDefault="004E3242" w:rsidP="008D34EE">
      <w:pPr>
        <w:numPr>
          <w:ilvl w:val="0"/>
          <w:numId w:val="6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konkurencyjność i innowacyjność gospodarki (gdzie zostały umieszczone działania dotyczące bezpieczeństwa energetycznego i środowiska);</w:t>
      </w:r>
    </w:p>
    <w:p w14:paraId="118D4860" w14:textId="77777777" w:rsidR="004E3242" w:rsidRPr="004E3242" w:rsidRDefault="004E3242" w:rsidP="008D34EE">
      <w:pPr>
        <w:numPr>
          <w:ilvl w:val="0"/>
          <w:numId w:val="66"/>
        </w:numPr>
        <w:spacing w:after="240"/>
        <w:ind w:left="714" w:hanging="357"/>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równoważenie potencjału rozwojowego regionów Polski (zawierającym pozostałe kierunki interwencji, w tym transport oraz infrastrukturę społeczną).</w:t>
      </w:r>
    </w:p>
    <w:p w14:paraId="741E540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dokumencie podkreślono również, że poprawa infrastruktury ochrony zdrowia, bazy dydaktycznej uczelni medycznych oraz instytutów badawczych jest jednym z kluczowych działań w ramach kierunku interwencji pod nazwą </w:t>
      </w:r>
      <w:r w:rsidRPr="004E3242">
        <w:rPr>
          <w:rFonts w:ascii="Arial" w:eastAsia="Times New Roman" w:hAnsi="Arial" w:cs="Arial"/>
          <w:i/>
          <w:iCs/>
          <w:sz w:val="20"/>
          <w:szCs w:val="20"/>
          <w:lang w:eastAsia="pl-PL"/>
        </w:rPr>
        <w:t>Wdrożenie instrumentów podnoszących jakość świadczonych usług zdrowotnych i efektywność systemu ochrony zdrowia</w:t>
      </w:r>
      <w:r w:rsidRPr="004E3242">
        <w:rPr>
          <w:rFonts w:ascii="Arial" w:eastAsia="Times New Roman" w:hAnsi="Arial" w:cs="Arial"/>
          <w:sz w:val="20"/>
          <w:szCs w:val="20"/>
          <w:lang w:eastAsia="pl-PL"/>
        </w:rPr>
        <w:t>.</w:t>
      </w:r>
    </w:p>
    <w:p w14:paraId="4A898EF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w:t>
      </w:r>
      <w:r w:rsidRPr="004E3242">
        <w:rPr>
          <w:rFonts w:ascii="Arial" w:eastAsia="Times New Roman" w:hAnsi="Arial" w:cs="Arial"/>
          <w:b/>
          <w:bCs/>
          <w:sz w:val="20"/>
          <w:szCs w:val="20"/>
          <w:lang w:eastAsia="pl-PL"/>
        </w:rPr>
        <w:t>Strategii Rozwoju Kraju 2020</w:t>
      </w:r>
      <w:r w:rsidRPr="004E3242">
        <w:rPr>
          <w:rFonts w:ascii="Arial" w:eastAsia="Times New Roman" w:hAnsi="Arial" w:cs="Arial"/>
          <w:sz w:val="20"/>
          <w:szCs w:val="20"/>
          <w:lang w:eastAsia="pl-PL"/>
        </w:rPr>
        <w:t xml:space="preserve"> (SRK) wskazane zostały strategiczne zadania państwa, które powinny przyczyniać się do realizacji założonych celów, a zaprojektowane w nich działania rozwijać </w:t>
      </w:r>
      <w:r w:rsidRPr="004E3242">
        <w:rPr>
          <w:rFonts w:ascii="Arial" w:eastAsia="Times New Roman" w:hAnsi="Arial" w:cs="Arial"/>
          <w:sz w:val="20"/>
          <w:szCs w:val="20"/>
          <w:lang w:eastAsia="pl-PL"/>
        </w:rPr>
        <w:br/>
        <w:t>i uszczegóławiać reformy wskazane w strategii.</w:t>
      </w:r>
    </w:p>
    <w:p w14:paraId="1A3F7E0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Zadania związane z bezpieczeństwem energetycznym i środowiskiem oraz zwiększeniem efektywności transportu zostały zaliczone do obszaru strategicznego </w:t>
      </w:r>
      <w:r w:rsidRPr="004E3242">
        <w:rPr>
          <w:rFonts w:ascii="Arial" w:eastAsia="Times New Roman" w:hAnsi="Arial" w:cs="Arial"/>
          <w:i/>
          <w:iCs/>
          <w:sz w:val="20"/>
          <w:szCs w:val="20"/>
          <w:lang w:eastAsia="pl-PL"/>
        </w:rPr>
        <w:t>Konkurencyjna gospodarka</w:t>
      </w:r>
      <w:r w:rsidRPr="004E3242">
        <w:rPr>
          <w:rFonts w:ascii="Arial" w:eastAsia="Times New Roman" w:hAnsi="Arial" w:cs="Arial"/>
          <w:sz w:val="20"/>
          <w:szCs w:val="20"/>
          <w:lang w:eastAsia="pl-PL"/>
        </w:rPr>
        <w:t xml:space="preserve">. Zachowanie zasobów przyrodniczych w stanie niepogorszonym, a docelowo zwiększenie ich trwałości i jakości, nie może być traktowane jako bariera w rozwoju kraju, ale jako warunek konieczny dla dalszej poprawy jakości życia. Jako wyzwanie, SRK wskazuje też dostosowywanie do bieżących </w:t>
      </w:r>
      <w:r w:rsidRPr="004E3242">
        <w:rPr>
          <w:rFonts w:ascii="Arial" w:eastAsia="Times New Roman" w:hAnsi="Arial" w:cs="Arial"/>
          <w:sz w:val="20"/>
          <w:szCs w:val="20"/>
          <w:lang w:eastAsia="pl-PL"/>
        </w:rPr>
        <w:br/>
        <w:t>i przyszłych skutków zmian klimatu, umożliwiające zminimalizowanie szkód i zagrożeń przez nie powodowanych dla człowieka i środowiska.</w:t>
      </w:r>
    </w:p>
    <w:p w14:paraId="10D22DD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Strategia Rozwoju Kraju wskazuje znaczenie kultury jako czynnika rozwoju. Kultura została uznana za „przestrzeń innowacji, w której poszukiwane i testowane są nowe formy podmiotowości, uczestnictwa, konsumpcji oraz wytwarzania wartości. Wywierają one bezpośredni (m.in. w postaci przemysłów kultury i przemysłów kreatywnych) oraz pośredni wpływ na rozwój społeczno-gospodarczy”.</w:t>
      </w:r>
    </w:p>
    <w:p w14:paraId="6A34F7B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Rozwój infrastruktury ochrony zdrowia jest także integralnym elementem działań zaplanowanych </w:t>
      </w:r>
      <w:r w:rsidRPr="004E3242">
        <w:rPr>
          <w:rFonts w:ascii="Arial" w:eastAsia="Times New Roman" w:hAnsi="Arial" w:cs="Arial"/>
          <w:sz w:val="20"/>
          <w:szCs w:val="20"/>
          <w:lang w:eastAsia="pl-PL"/>
        </w:rPr>
        <w:br/>
        <w:t xml:space="preserve">w średniookresowej Strategii Rozwoju Kraju 2020 w ramach celu I.3.3 </w:t>
      </w:r>
      <w:r w:rsidRPr="004E3242">
        <w:rPr>
          <w:rFonts w:ascii="Arial" w:eastAsia="Times New Roman" w:hAnsi="Arial" w:cs="Arial"/>
          <w:i/>
          <w:iCs/>
          <w:sz w:val="20"/>
          <w:szCs w:val="20"/>
          <w:lang w:eastAsia="pl-PL"/>
        </w:rPr>
        <w:t>Zwiększenie bezpieczeństwa obywatela</w:t>
      </w:r>
      <w:r w:rsidRPr="004E3242">
        <w:rPr>
          <w:rFonts w:ascii="Arial" w:eastAsia="Times New Roman" w:hAnsi="Arial" w:cs="Arial"/>
          <w:sz w:val="20"/>
          <w:szCs w:val="20"/>
          <w:lang w:eastAsia="pl-PL"/>
        </w:rPr>
        <w:t>.</w:t>
      </w:r>
    </w:p>
    <w:p w14:paraId="0D0F9E7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W </w:t>
      </w:r>
      <w:r w:rsidRPr="004E3242">
        <w:rPr>
          <w:rFonts w:ascii="Arial" w:eastAsia="Times New Roman" w:hAnsi="Arial" w:cs="Arial"/>
          <w:b/>
          <w:bCs/>
          <w:sz w:val="20"/>
          <w:szCs w:val="20"/>
          <w:lang w:eastAsia="pl-PL"/>
        </w:rPr>
        <w:t>Krajowej Strategii Rozwoju Regionalnego 2010-2020: Regiony, miasta, obszary wiejskie</w:t>
      </w:r>
      <w:r w:rsidRPr="004E3242">
        <w:rPr>
          <w:rFonts w:ascii="Arial" w:eastAsia="Times New Roman" w:hAnsi="Arial" w:cs="Arial"/>
          <w:sz w:val="20"/>
          <w:szCs w:val="20"/>
          <w:lang w:eastAsia="pl-PL"/>
        </w:rPr>
        <w:t xml:space="preserve"> (KSRR), wyznaczone zostały zadania dla polityki regionalnej służące osiąganiu strategicznych celów rozwoju kraju określonych w ww. dokumentach strategicznych. W KSRR wskazane zostały obszary strategicznej interwencji polityki państwa (OSI) wraz z zestawem działań sprzyjających maksymalnemu wykorzystaniu potencjałów terytorialnych. Kluczowe znaczenie dla wzrostu konkurencyjności kraju i regionów będą miały działania adresowane do najważniejszych obszarów miejskich polegające na wykorzystaniu ich potencjałów rozwojowych. Interwencji tej będą towarzyszyć działania polegające na rozprzestrzenianiu procesów rozwojowych w słabiej rozwijających się ośrodkach, w tym min. zakładające wykorzystanie potencjału wewnętrznego ośrodków </w:t>
      </w:r>
      <w:proofErr w:type="spellStart"/>
      <w:r w:rsidRPr="004E3242">
        <w:rPr>
          <w:rFonts w:ascii="Arial" w:eastAsia="Times New Roman" w:hAnsi="Arial" w:cs="Arial"/>
          <w:sz w:val="20"/>
          <w:szCs w:val="20"/>
          <w:lang w:eastAsia="pl-PL"/>
        </w:rPr>
        <w:t>subregionalnych</w:t>
      </w:r>
      <w:proofErr w:type="spellEnd"/>
      <w:r w:rsidRPr="004E3242">
        <w:rPr>
          <w:rFonts w:ascii="Arial" w:eastAsia="Times New Roman" w:hAnsi="Arial" w:cs="Arial"/>
          <w:sz w:val="20"/>
          <w:szCs w:val="20"/>
          <w:lang w:eastAsia="pl-PL"/>
        </w:rPr>
        <w:t>, obszarów wiejskich i innych obszarów funkcjonalnych o wyraźniej specjalizacji przestrzennej.</w:t>
      </w:r>
    </w:p>
    <w:p w14:paraId="2B40030B" w14:textId="77777777" w:rsidR="004E3242" w:rsidRPr="004E3242" w:rsidRDefault="004E3242" w:rsidP="004E3242">
      <w:pPr>
        <w:tabs>
          <w:tab w:val="right" w:pos="9070"/>
        </w:tabs>
        <w:spacing w:before="100" w:beforeAutospacing="1" w:after="120" w:line="280" w:lineRule="atLeast"/>
        <w:jc w:val="both"/>
        <w:rPr>
          <w:rFonts w:ascii="Arial" w:hAnsi="Arial" w:cs="Arial"/>
          <w:b/>
          <w:i/>
          <w:spacing w:val="4"/>
          <w:sz w:val="18"/>
          <w:szCs w:val="18"/>
        </w:rPr>
        <w:sectPr w:rsidR="004E3242" w:rsidRPr="004E3242" w:rsidSect="00C73ABE">
          <w:footerReference w:type="even" r:id="rId9"/>
          <w:footerReference w:type="default" r:id="rId10"/>
          <w:footerReference w:type="first" r:id="rId11"/>
          <w:pgSz w:w="11906" w:h="16838"/>
          <w:pgMar w:top="1418" w:right="1418" w:bottom="1418" w:left="1418" w:header="709" w:footer="709" w:gutter="0"/>
          <w:pgNumType w:start="1"/>
          <w:cols w:space="708"/>
          <w:titlePg/>
          <w:docGrid w:linePitch="360"/>
        </w:sectPr>
      </w:pPr>
    </w:p>
    <w:p w14:paraId="51C18A79" w14:textId="77777777" w:rsidR="004E3242" w:rsidRPr="004E3242" w:rsidRDefault="004E3242" w:rsidP="004E3242">
      <w:pPr>
        <w:keepNext/>
        <w:spacing w:before="60" w:after="60" w:line="240" w:lineRule="auto"/>
        <w:rPr>
          <w:rFonts w:ascii="Arial" w:hAnsi="Arial" w:cs="Arial"/>
          <w:b/>
          <w:bCs/>
          <w:smallCaps/>
          <w:color w:val="808080"/>
          <w:sz w:val="18"/>
          <w:szCs w:val="18"/>
          <w:lang w:eastAsia="pl-PL"/>
        </w:rPr>
      </w:pPr>
      <w:r w:rsidRPr="004E3242">
        <w:rPr>
          <w:rFonts w:ascii="Arial" w:hAnsi="Arial" w:cs="Arial"/>
          <w:b/>
          <w:bCs/>
          <w:smallCaps/>
          <w:color w:val="808080"/>
          <w:sz w:val="18"/>
          <w:szCs w:val="18"/>
          <w:lang w:eastAsia="pl-PL"/>
        </w:rPr>
        <w:lastRenderedPageBreak/>
        <w:t xml:space="preserve">Tabela </w:t>
      </w:r>
      <w:r w:rsidRPr="004E3242">
        <w:rPr>
          <w:rFonts w:ascii="Arial" w:hAnsi="Arial" w:cs="Arial"/>
          <w:b/>
          <w:bCs/>
          <w:smallCaps/>
          <w:color w:val="808080"/>
          <w:sz w:val="18"/>
          <w:szCs w:val="18"/>
          <w:lang w:eastAsia="pl-PL"/>
        </w:rPr>
        <w:fldChar w:fldCharType="begin"/>
      </w:r>
      <w:r w:rsidRPr="004E3242">
        <w:rPr>
          <w:rFonts w:ascii="Arial" w:hAnsi="Arial" w:cs="Arial"/>
          <w:b/>
          <w:bCs/>
          <w:smallCaps/>
          <w:color w:val="808080"/>
          <w:sz w:val="18"/>
          <w:szCs w:val="18"/>
          <w:lang w:eastAsia="pl-PL"/>
        </w:rPr>
        <w:instrText xml:space="preserve"> SEQ Tabela \* ARABIC </w:instrText>
      </w:r>
      <w:r w:rsidRPr="004E3242">
        <w:rPr>
          <w:rFonts w:ascii="Arial" w:hAnsi="Arial" w:cs="Arial"/>
          <w:b/>
          <w:bCs/>
          <w:smallCaps/>
          <w:color w:val="808080"/>
          <w:sz w:val="18"/>
          <w:szCs w:val="18"/>
          <w:lang w:eastAsia="pl-PL"/>
        </w:rPr>
        <w:fldChar w:fldCharType="separate"/>
      </w:r>
      <w:r w:rsidR="00C04517">
        <w:rPr>
          <w:rFonts w:ascii="Arial" w:hAnsi="Arial" w:cs="Arial"/>
          <w:b/>
          <w:bCs/>
          <w:smallCaps/>
          <w:noProof/>
          <w:color w:val="808080"/>
          <w:sz w:val="18"/>
          <w:szCs w:val="18"/>
          <w:lang w:eastAsia="pl-PL"/>
        </w:rPr>
        <w:t>1</w:t>
      </w:r>
      <w:r w:rsidRPr="004E3242">
        <w:rPr>
          <w:rFonts w:ascii="Arial" w:hAnsi="Arial" w:cs="Arial"/>
          <w:b/>
          <w:bCs/>
          <w:smallCaps/>
          <w:color w:val="808080"/>
          <w:sz w:val="18"/>
          <w:szCs w:val="18"/>
          <w:lang w:eastAsia="pl-PL"/>
        </w:rPr>
        <w:fldChar w:fldCharType="end"/>
      </w:r>
      <w:r w:rsidRPr="004E3242">
        <w:rPr>
          <w:rFonts w:ascii="Arial" w:hAnsi="Arial" w:cs="Arial"/>
          <w:b/>
          <w:bCs/>
          <w:smallCaps/>
          <w:color w:val="808080"/>
          <w:sz w:val="18"/>
          <w:szCs w:val="18"/>
          <w:lang w:eastAsia="pl-PL"/>
        </w:rPr>
        <w:t>. Uzasadnienie wyboru celów tematycznych i priorytetów inwestycyjnych</w:t>
      </w:r>
    </w:p>
    <w:tbl>
      <w:tblPr>
        <w:tblW w:w="147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2235"/>
        <w:gridCol w:w="3969"/>
        <w:gridCol w:w="8539"/>
      </w:tblGrid>
      <w:tr w:rsidR="004E3242" w:rsidRPr="004E3242" w14:paraId="5325BD86" w14:textId="77777777" w:rsidTr="00AA7998">
        <w:trPr>
          <w:tblHeader/>
        </w:trPr>
        <w:tc>
          <w:tcPr>
            <w:tcW w:w="2235" w:type="dxa"/>
            <w:shd w:val="clear" w:color="auto" w:fill="99CC00"/>
            <w:vAlign w:val="center"/>
          </w:tcPr>
          <w:p w14:paraId="08EA16C2"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Cel tematyczny</w:t>
            </w:r>
          </w:p>
        </w:tc>
        <w:tc>
          <w:tcPr>
            <w:tcW w:w="3969" w:type="dxa"/>
            <w:shd w:val="clear" w:color="auto" w:fill="99CC00"/>
            <w:vAlign w:val="center"/>
          </w:tcPr>
          <w:p w14:paraId="1777B8F1"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Priorytet inwestycyjny</w:t>
            </w:r>
          </w:p>
        </w:tc>
        <w:tc>
          <w:tcPr>
            <w:tcW w:w="8539" w:type="dxa"/>
            <w:shd w:val="clear" w:color="auto" w:fill="99CC00"/>
            <w:vAlign w:val="center"/>
          </w:tcPr>
          <w:p w14:paraId="66FEAC52"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6FA164E4" w14:textId="77777777" w:rsidTr="00AA7998">
        <w:tc>
          <w:tcPr>
            <w:tcW w:w="2235" w:type="dxa"/>
            <w:vMerge w:val="restart"/>
            <w:shd w:val="clear" w:color="auto" w:fill="D6E3BC"/>
            <w:vAlign w:val="center"/>
          </w:tcPr>
          <w:p w14:paraId="69E4A18F"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pacing w:val="4"/>
                <w:sz w:val="16"/>
                <w:szCs w:val="16"/>
              </w:rPr>
              <w:t>4.</w:t>
            </w:r>
            <w:r w:rsidRPr="004E3242">
              <w:rPr>
                <w:rFonts w:ascii="Arial" w:hAnsi="Arial" w:cs="Arial"/>
                <w:spacing w:val="4"/>
                <w:sz w:val="16"/>
                <w:szCs w:val="16"/>
              </w:rPr>
              <w:t xml:space="preserve"> </w:t>
            </w:r>
            <w:r w:rsidRPr="004E3242">
              <w:rPr>
                <w:rFonts w:ascii="Arial" w:hAnsi="Arial" w:cs="Arial"/>
                <w:spacing w:val="4"/>
                <w:sz w:val="16"/>
                <w:szCs w:val="16"/>
                <w:shd w:val="clear" w:color="auto" w:fill="D6E3BC"/>
              </w:rPr>
              <w:t>Wspieranie przejścia na gospodarkę niskoemisyjną we wszystkich sektorach</w:t>
            </w:r>
          </w:p>
        </w:tc>
        <w:tc>
          <w:tcPr>
            <w:tcW w:w="3969" w:type="dxa"/>
            <w:shd w:val="clear" w:color="auto" w:fill="F2F2F2"/>
            <w:vAlign w:val="center"/>
          </w:tcPr>
          <w:p w14:paraId="0316C9AA"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t>4.i.</w:t>
            </w:r>
            <w:r w:rsidRPr="004E3242">
              <w:rPr>
                <w:rFonts w:ascii="Arial" w:hAnsi="Arial" w:cs="Arial"/>
                <w:sz w:val="16"/>
                <w:szCs w:val="16"/>
              </w:rPr>
              <w:t xml:space="preserve"> Wspieranie wytwarzania i dystrybucji energii pochodzącej ze źródeł odnawialnych</w:t>
            </w:r>
          </w:p>
        </w:tc>
        <w:tc>
          <w:tcPr>
            <w:tcW w:w="8539" w:type="dxa"/>
            <w:shd w:val="clear" w:color="auto" w:fill="F2F2F2"/>
            <w:vAlign w:val="center"/>
          </w:tcPr>
          <w:p w14:paraId="1C4322A7" w14:textId="77777777" w:rsidR="004E3242" w:rsidRPr="004E3242" w:rsidRDefault="004E3242" w:rsidP="00B345B6">
            <w:pPr>
              <w:numPr>
                <w:ilvl w:val="0"/>
                <w:numId w:val="28"/>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zmniejszenia emisyjności gospodarki, a tym samym konieczność wypełnienia postanowień pakietu klimatyczno-energetycznego oraz wynikających z niego krajowych zobowiązań w odniesieniu do minimalnego udziału OZE w produkcji energii (Europa 2020).</w:t>
            </w:r>
          </w:p>
          <w:p w14:paraId="5695145F" w14:textId="77777777" w:rsidR="004E3242" w:rsidRPr="004E3242" w:rsidRDefault="004E3242" w:rsidP="00B345B6">
            <w:pPr>
              <w:numPr>
                <w:ilvl w:val="0"/>
                <w:numId w:val="28"/>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Rozwój wykorzystania odnawialnych źródeł energii (oraz racjonalizacja zużycia energii elektrycznej są ważnym elementem wspierającym przejście na gospodarkę niskoemisyjną (Polityka energetyczna Polski do 2030 r., Strategia Bezpieczeństwo Energetyczne i Środowisko, Krajowy Plany działania </w:t>
            </w:r>
            <w:r w:rsidRPr="004E3242">
              <w:rPr>
                <w:rFonts w:ascii="Arial" w:hAnsi="Arial" w:cs="Arial"/>
                <w:spacing w:val="4"/>
                <w:sz w:val="16"/>
                <w:szCs w:val="16"/>
              </w:rPr>
              <w:br/>
              <w:t>w zakresie energii ze źródeł odnawialnych).</w:t>
            </w:r>
          </w:p>
          <w:p w14:paraId="303B57BB" w14:textId="77777777" w:rsidR="004E3242" w:rsidRPr="004E3242" w:rsidRDefault="004E3242" w:rsidP="00B345B6">
            <w:pPr>
              <w:numPr>
                <w:ilvl w:val="0"/>
                <w:numId w:val="28"/>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poprawy bezpieczeństwa energetycznego poprzez wzrost dywersyfikacji wytwarzania energii elektrycznej w Polsce (Strategia Rozwoju Kraju, Strategia Bezpieczeństwo Energetyczne i Środowisko, Koncepcja Przestrzennego Zagospodarowania Kraju).</w:t>
            </w:r>
          </w:p>
        </w:tc>
      </w:tr>
      <w:tr w:rsidR="004E3242" w:rsidRPr="004E3242" w14:paraId="1F8F6BBD" w14:textId="77777777" w:rsidTr="00AA7998">
        <w:tc>
          <w:tcPr>
            <w:tcW w:w="2235" w:type="dxa"/>
            <w:vMerge/>
            <w:shd w:val="clear" w:color="auto" w:fill="D6E3BC"/>
            <w:vAlign w:val="center"/>
          </w:tcPr>
          <w:p w14:paraId="1DA8755E"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62AB586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4ii.</w:t>
            </w:r>
            <w:r w:rsidRPr="004E3242">
              <w:rPr>
                <w:rFonts w:ascii="Arial" w:hAnsi="Arial" w:cs="Arial"/>
                <w:sz w:val="16"/>
                <w:szCs w:val="16"/>
              </w:rPr>
              <w:t xml:space="preserve"> Promowanie efektywności energetycznej i korzystania z odnawialnych źródeł energii w przedsiębiorstwach</w:t>
            </w:r>
          </w:p>
        </w:tc>
        <w:tc>
          <w:tcPr>
            <w:tcW w:w="8539" w:type="dxa"/>
            <w:shd w:val="clear" w:color="auto" w:fill="F2F2F2"/>
            <w:vAlign w:val="center"/>
          </w:tcPr>
          <w:p w14:paraId="626B9600"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pacing w:val="4"/>
                <w:sz w:val="16"/>
                <w:szCs w:val="16"/>
              </w:rPr>
              <w:t>Dążenie do zmniejszenia emisyjności gospodarki poprzez racjonalne zużycie zasobów (Strategia Rozwoju Kraju, Strategia Bezpieczeństwo Energetyczne i Środowisko).</w:t>
            </w:r>
          </w:p>
          <w:p w14:paraId="54666061"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Zmniejszanie korelacji pomiędzy wzrostem gospodarczym i zużyciem energii.(Komunikat Komisji Europejskiej Energia 2020: Strategia na rzecz konkurencyjnej, zrównoważonej i bezpiecznej energii).</w:t>
            </w:r>
          </w:p>
          <w:p w14:paraId="768C5608"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z w:val="16"/>
                <w:szCs w:val="16"/>
              </w:rPr>
              <w:t>Obniżenie kosztów zużycia energii (</w:t>
            </w:r>
            <w:r w:rsidRPr="004E3242">
              <w:rPr>
                <w:rFonts w:ascii="Arial" w:hAnsi="Arial" w:cs="Arial"/>
                <w:color w:val="000000"/>
                <w:sz w:val="16"/>
                <w:szCs w:val="16"/>
              </w:rPr>
              <w:t>Dyrektywa 2012/27/UE)</w:t>
            </w:r>
            <w:r w:rsidRPr="004E3242">
              <w:rPr>
                <w:rFonts w:ascii="Arial" w:hAnsi="Arial" w:cs="Arial"/>
                <w:sz w:val="16"/>
                <w:szCs w:val="16"/>
              </w:rPr>
              <w:t>.</w:t>
            </w:r>
          </w:p>
          <w:p w14:paraId="00CD6739"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z w:val="16"/>
                <w:szCs w:val="16"/>
              </w:rPr>
              <w:t>Zmniejszenie kosztów działalności przedsiębiorstwa.</w:t>
            </w:r>
          </w:p>
          <w:p w14:paraId="62FDA1FD"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z w:val="16"/>
                <w:szCs w:val="16"/>
              </w:rPr>
              <w:t>Zmniejszenie emisji zanieczyszczeń oraz gazów cieplarnianych.</w:t>
            </w:r>
          </w:p>
          <w:p w14:paraId="373C4E2A"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z w:val="16"/>
                <w:szCs w:val="16"/>
              </w:rPr>
              <w:t>Redukcja zapotrzebowania na ciepło i chłód.</w:t>
            </w:r>
          </w:p>
        </w:tc>
      </w:tr>
      <w:tr w:rsidR="004E3242" w:rsidRPr="004E3242" w14:paraId="25397E06" w14:textId="77777777" w:rsidTr="00AA7998">
        <w:tc>
          <w:tcPr>
            <w:tcW w:w="2235" w:type="dxa"/>
            <w:vMerge/>
            <w:shd w:val="clear" w:color="auto" w:fill="D6E3BC"/>
            <w:vAlign w:val="center"/>
          </w:tcPr>
          <w:p w14:paraId="5C24FA44"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11A1DCE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4.iii.</w:t>
            </w:r>
            <w:r w:rsidRPr="004E3242">
              <w:rPr>
                <w:rFonts w:ascii="Arial" w:hAnsi="Arial" w:cs="Arial"/>
                <w:sz w:val="16"/>
                <w:szCs w:val="16"/>
              </w:rPr>
              <w:t xml:space="preserve"> Wspieranie efektywności energetycznej, inteligentnego zarządzania energią i wykorzystania odnawialnych źródeł energii w infrastrukturze publicznej, w tym w budynkach publicznych, i w sektorze mieszkaniowym</w:t>
            </w:r>
          </w:p>
        </w:tc>
        <w:tc>
          <w:tcPr>
            <w:tcW w:w="8539" w:type="dxa"/>
            <w:shd w:val="clear" w:color="auto" w:fill="F2F2F2"/>
            <w:vAlign w:val="center"/>
          </w:tcPr>
          <w:p w14:paraId="09A4F186"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poprawy efektywności energetycznej, która łączy w sobie cele gospodarcze i społeczne, co jest ważnym celem z punktu widzenie obniżenia emisyjności gospodarki (Europa 2020, Strategia Rozwoju Kraju, Strategia Bezpieczeństwo Energetyczne i Środowisko).</w:t>
            </w:r>
          </w:p>
          <w:p w14:paraId="17D26677"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pacing w:val="4"/>
                <w:sz w:val="16"/>
                <w:szCs w:val="16"/>
              </w:rPr>
              <w:t>Obniżenie kosztów zużycia energii.</w:t>
            </w:r>
          </w:p>
          <w:p w14:paraId="7DB1B353"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pacing w:val="4"/>
                <w:sz w:val="16"/>
                <w:szCs w:val="16"/>
              </w:rPr>
              <w:t>Poprawa jakości życia mieszkańców.</w:t>
            </w:r>
          </w:p>
        </w:tc>
      </w:tr>
      <w:tr w:rsidR="004E3242" w:rsidRPr="004E3242" w14:paraId="6D9D8AEC" w14:textId="77777777" w:rsidTr="00AA7998">
        <w:tc>
          <w:tcPr>
            <w:tcW w:w="2235" w:type="dxa"/>
            <w:vMerge/>
            <w:shd w:val="clear" w:color="auto" w:fill="D6E3BC"/>
            <w:vAlign w:val="center"/>
          </w:tcPr>
          <w:p w14:paraId="29A48439"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2771429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4.iv.</w:t>
            </w:r>
            <w:r w:rsidRPr="004E3242">
              <w:rPr>
                <w:rFonts w:ascii="Arial" w:hAnsi="Arial" w:cs="Arial"/>
                <w:sz w:val="16"/>
                <w:szCs w:val="16"/>
              </w:rPr>
              <w:t xml:space="preserve"> Rozwijanie i wdrażanie inteligentnych systemów dystrybucji działających na niskich i średnich poziomach</w:t>
            </w:r>
            <w:r w:rsidRPr="004E3242">
              <w:rPr>
                <w:rFonts w:ascii="Arial" w:hAnsi="Arial" w:cs="Arial"/>
                <w:b/>
                <w:sz w:val="16"/>
                <w:szCs w:val="16"/>
              </w:rPr>
              <w:t xml:space="preserve"> </w:t>
            </w:r>
            <w:r w:rsidRPr="004E3242">
              <w:rPr>
                <w:rFonts w:ascii="Arial" w:hAnsi="Arial" w:cs="Arial"/>
                <w:sz w:val="16"/>
                <w:szCs w:val="16"/>
              </w:rPr>
              <w:t>napięcia</w:t>
            </w:r>
          </w:p>
        </w:tc>
        <w:tc>
          <w:tcPr>
            <w:tcW w:w="8539" w:type="dxa"/>
            <w:shd w:val="clear" w:color="auto" w:fill="F2F2F2"/>
            <w:vAlign w:val="center"/>
          </w:tcPr>
          <w:p w14:paraId="3F148A6D"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Zmniejszenie energochłonności gospodarki (Strategia Rozwoju Kraju, Strategia Bezpieczeństwo Energetyczne i Środowisko).</w:t>
            </w:r>
          </w:p>
          <w:p w14:paraId="120F3CD6" w14:textId="77777777" w:rsidR="004E3242" w:rsidRPr="004E3242" w:rsidRDefault="004E3242" w:rsidP="00B345B6">
            <w:pPr>
              <w:numPr>
                <w:ilvl w:val="0"/>
                <w:numId w:val="67"/>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Sieci typu </w:t>
            </w:r>
            <w:r w:rsidRPr="004E3242">
              <w:rPr>
                <w:rFonts w:ascii="Arial" w:hAnsi="Arial" w:cs="Arial"/>
                <w:i/>
                <w:spacing w:val="4"/>
                <w:sz w:val="16"/>
                <w:szCs w:val="16"/>
              </w:rPr>
              <w:t xml:space="preserve">smart </w:t>
            </w:r>
            <w:proofErr w:type="spellStart"/>
            <w:r w:rsidRPr="004E3242">
              <w:rPr>
                <w:rFonts w:ascii="Arial" w:hAnsi="Arial" w:cs="Arial"/>
                <w:i/>
                <w:spacing w:val="4"/>
                <w:sz w:val="16"/>
                <w:szCs w:val="16"/>
              </w:rPr>
              <w:t>grid</w:t>
            </w:r>
            <w:proofErr w:type="spellEnd"/>
            <w:r w:rsidRPr="004E3242">
              <w:rPr>
                <w:rFonts w:ascii="Arial" w:hAnsi="Arial" w:cs="Arial"/>
                <w:i/>
                <w:spacing w:val="4"/>
                <w:sz w:val="16"/>
                <w:szCs w:val="16"/>
              </w:rPr>
              <w:t>,</w:t>
            </w:r>
            <w:r w:rsidRPr="004E3242">
              <w:rPr>
                <w:rFonts w:ascii="Arial" w:hAnsi="Arial" w:cs="Arial"/>
                <w:spacing w:val="4"/>
                <w:sz w:val="16"/>
                <w:szCs w:val="16"/>
              </w:rPr>
              <w:t xml:space="preserve"> ułatwiają zarządzanie energetyką rozproszoną, umożliwiającą efektywne zarządzanie energią oraz jej użytkowanie, co ma istotne znaczenie dla rozwoju miast obniżenia kosztów zużycia energii na tych obszarach, zgodnie z planami gospodarki niskoemisyjnej.</w:t>
            </w:r>
          </w:p>
        </w:tc>
      </w:tr>
      <w:tr w:rsidR="004E3242" w:rsidRPr="004E3242" w14:paraId="01EDC7AE" w14:textId="77777777" w:rsidTr="00AA7998">
        <w:tc>
          <w:tcPr>
            <w:tcW w:w="2235" w:type="dxa"/>
            <w:vMerge/>
            <w:shd w:val="clear" w:color="auto" w:fill="D6E3BC"/>
            <w:vAlign w:val="center"/>
          </w:tcPr>
          <w:p w14:paraId="4FE76DE1"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7C6F2B2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4.v.</w:t>
            </w:r>
            <w:r w:rsidRPr="004E3242">
              <w:rPr>
                <w:rFonts w:ascii="Arial" w:hAnsi="Arial" w:cs="Arial"/>
                <w:sz w:val="16"/>
                <w:szCs w:val="16"/>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c>
          <w:tcPr>
            <w:tcW w:w="8539" w:type="dxa"/>
            <w:shd w:val="clear" w:color="auto" w:fill="F2F2F2"/>
            <w:vAlign w:val="center"/>
          </w:tcPr>
          <w:p w14:paraId="4FD84067" w14:textId="77777777" w:rsidR="004E3242" w:rsidRPr="004E3242" w:rsidRDefault="004E3242" w:rsidP="00B345B6">
            <w:pPr>
              <w:numPr>
                <w:ilvl w:val="0"/>
                <w:numId w:val="68"/>
              </w:numPr>
              <w:spacing w:before="60" w:after="60" w:line="240" w:lineRule="auto"/>
              <w:jc w:val="both"/>
              <w:rPr>
                <w:rFonts w:ascii="Arial" w:hAnsi="Arial" w:cs="Arial"/>
                <w:spacing w:val="4"/>
                <w:sz w:val="16"/>
                <w:szCs w:val="16"/>
              </w:rPr>
            </w:pPr>
            <w:r w:rsidRPr="004E3242">
              <w:rPr>
                <w:rFonts w:ascii="Arial" w:hAnsi="Arial" w:cs="Arial"/>
                <w:spacing w:val="4"/>
                <w:sz w:val="16"/>
                <w:szCs w:val="16"/>
              </w:rPr>
              <w:t>Wsparcie adresowane do miast jako obszarów strategicznej interwencji polityki państwa (OSI) wymienionych w Krajowej Strategii Rozwoju Regionalnego i innych dokumentach strategicznych (Koncepcja Przestrzennego Zagospodarowania Kraju 2030, Strategia Rozwoju Kraju).</w:t>
            </w:r>
          </w:p>
          <w:p w14:paraId="362B8E5A" w14:textId="77777777" w:rsidR="004E3242" w:rsidRPr="004E3242" w:rsidRDefault="004E3242" w:rsidP="00B345B6">
            <w:pPr>
              <w:numPr>
                <w:ilvl w:val="0"/>
                <w:numId w:val="68"/>
              </w:numPr>
              <w:spacing w:before="60" w:after="60" w:line="240" w:lineRule="auto"/>
              <w:jc w:val="both"/>
              <w:rPr>
                <w:rFonts w:ascii="Arial" w:hAnsi="Arial" w:cs="Arial"/>
                <w:spacing w:val="4"/>
                <w:sz w:val="16"/>
                <w:szCs w:val="16"/>
              </w:rPr>
            </w:pPr>
            <w:r w:rsidRPr="004E3242">
              <w:rPr>
                <w:rFonts w:ascii="Arial" w:hAnsi="Arial" w:cs="Arial"/>
                <w:spacing w:val="4"/>
                <w:sz w:val="16"/>
                <w:szCs w:val="16"/>
              </w:rPr>
              <w:t>Rozwój planów gospodarki niskoemisyjnej na obszarach miejskich, które odpowiadają za największy udział emisji CO2.</w:t>
            </w:r>
          </w:p>
          <w:p w14:paraId="4000F1DB" w14:textId="77777777" w:rsidR="004E3242" w:rsidRPr="004E3242" w:rsidRDefault="004E3242" w:rsidP="00B345B6">
            <w:pPr>
              <w:numPr>
                <w:ilvl w:val="0"/>
                <w:numId w:val="68"/>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Zmniejszenie emisji zanieczyszczeń oraz gazów cieplarnianych przyczyni się do zmniejszenia zanieczyszczeń stanowiących istotny problem środowiskowy.</w:t>
            </w:r>
          </w:p>
          <w:p w14:paraId="7F4B2C41" w14:textId="77777777" w:rsidR="004E3242" w:rsidRPr="004E3242" w:rsidRDefault="004E3242" w:rsidP="00B345B6">
            <w:pPr>
              <w:numPr>
                <w:ilvl w:val="0"/>
                <w:numId w:val="68"/>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Potrzeba odciążenia infrastruktury miejskiej od nadmiernego ruchu drogowego oraz poprawy integracji </w:t>
            </w:r>
            <w:r w:rsidRPr="004E3242">
              <w:rPr>
                <w:rFonts w:ascii="Arial" w:hAnsi="Arial" w:cs="Arial"/>
                <w:spacing w:val="4"/>
                <w:sz w:val="16"/>
                <w:szCs w:val="16"/>
              </w:rPr>
              <w:lastRenderedPageBreak/>
              <w:t>miast z otoczeniem poprzez rozwój systemu niskoemisyjnego transportu zbiorowego.</w:t>
            </w:r>
          </w:p>
        </w:tc>
      </w:tr>
      <w:tr w:rsidR="004E3242" w:rsidRPr="004E3242" w14:paraId="7F1EE859" w14:textId="77777777" w:rsidTr="00AA7998">
        <w:tc>
          <w:tcPr>
            <w:tcW w:w="2235" w:type="dxa"/>
            <w:vMerge/>
            <w:shd w:val="clear" w:color="auto" w:fill="D6E3BC"/>
            <w:vAlign w:val="center"/>
          </w:tcPr>
          <w:p w14:paraId="1A1220AD"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447C44BF"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4.vi.</w:t>
            </w:r>
            <w:r w:rsidRPr="004E3242">
              <w:rPr>
                <w:rFonts w:ascii="Arial" w:hAnsi="Arial" w:cs="Arial"/>
                <w:sz w:val="16"/>
                <w:szCs w:val="16"/>
              </w:rPr>
              <w:t xml:space="preserve"> Promowanie wykorzystywania wysokosprawnej kogeneracji ciepła i energii elektrycznej w oparciu o zapotrzebowanie na ciepło użytkowe</w:t>
            </w:r>
          </w:p>
        </w:tc>
        <w:tc>
          <w:tcPr>
            <w:tcW w:w="8539" w:type="dxa"/>
            <w:shd w:val="clear" w:color="auto" w:fill="F2F2F2"/>
            <w:vAlign w:val="center"/>
          </w:tcPr>
          <w:p w14:paraId="6E663132"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Upowszechnienie kogeneracji oraz rozwój systemów ciepłowniczych umożliwi podłączenie większej ilości budynków i pozwoli zredukować emisję zanieczyszczeń pochodzących z tzw. niskiej emisji.</w:t>
            </w:r>
          </w:p>
          <w:p w14:paraId="617A34E3"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Upowszechnienie kogeneracji będzie mieć pozytywny wpływ na rozwój miast jako OSI. Nastąpi to poprzez poprawę lokalnego mikroklimatu i warunków życia mieszkańców.</w:t>
            </w:r>
          </w:p>
          <w:p w14:paraId="284BCDB2"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Zwiększenie świadomości społecznej w zakresie oszczędnego i efektywnego wykorzystania energii może skutkować zmniejszeniem obciążeń finansowych mieszkańców, a tym samym przyczynić się do poprawy jakości życia (Strategia Rozwoju Kraju, Strategia Bezpieczeństwo Energetyczne i Środowisko Krajowa Strategia Rozwoju Regionalnego).</w:t>
            </w:r>
          </w:p>
        </w:tc>
      </w:tr>
      <w:tr w:rsidR="004E3242" w:rsidRPr="004E3242" w14:paraId="7F028CC2" w14:textId="77777777" w:rsidTr="00AA7998">
        <w:tc>
          <w:tcPr>
            <w:tcW w:w="2235" w:type="dxa"/>
            <w:shd w:val="clear" w:color="auto" w:fill="D6E3BC"/>
            <w:vAlign w:val="center"/>
          </w:tcPr>
          <w:p w14:paraId="5FC4917F"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pacing w:val="4"/>
                <w:sz w:val="16"/>
                <w:szCs w:val="16"/>
              </w:rPr>
              <w:t>5.</w:t>
            </w:r>
            <w:r w:rsidRPr="004E3242">
              <w:rPr>
                <w:rFonts w:ascii="Arial" w:hAnsi="Arial" w:cs="Arial"/>
                <w:spacing w:val="4"/>
                <w:sz w:val="16"/>
                <w:szCs w:val="16"/>
              </w:rPr>
              <w:t xml:space="preserve"> Promowanie dostosowania do zmian klimatu, zapobiegania ryzyku i zarządzania ryzykiem</w:t>
            </w:r>
          </w:p>
        </w:tc>
        <w:tc>
          <w:tcPr>
            <w:tcW w:w="3969" w:type="dxa"/>
            <w:shd w:val="clear" w:color="auto" w:fill="F2F2F2"/>
            <w:vAlign w:val="center"/>
          </w:tcPr>
          <w:p w14:paraId="130E9606"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5.ii.</w:t>
            </w:r>
            <w:r w:rsidRPr="004E3242">
              <w:rPr>
                <w:rFonts w:ascii="Arial" w:hAnsi="Arial" w:cs="Arial"/>
                <w:sz w:val="16"/>
                <w:szCs w:val="16"/>
              </w:rPr>
              <w:t xml:space="preserve"> Wspieranie inwestycji ukierunkowanych na konkretne rodzaje zagrożeń przy jednoczesnym zwiększeniu odporności na klęski i katastrofy i rozwijaniu systemów zarządzania klęskami i katastrofami</w:t>
            </w:r>
          </w:p>
        </w:tc>
        <w:tc>
          <w:tcPr>
            <w:tcW w:w="8539" w:type="dxa"/>
            <w:shd w:val="clear" w:color="auto" w:fill="F2F2F2"/>
            <w:vAlign w:val="center"/>
          </w:tcPr>
          <w:p w14:paraId="319E1256"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Adaptacja do zmian klimatu ma znaczenie horyzontalne i przyczynia się do osiągnięcia celów ogólnorozwojowych kraju, co podkreślają dokumenty strategicznej na poziomie UE (Europa 2020) i krajowym (SRK, KPZK, </w:t>
            </w:r>
            <w:proofErr w:type="spellStart"/>
            <w:r w:rsidRPr="004E3242">
              <w:rPr>
                <w:rFonts w:ascii="Arial" w:hAnsi="Arial" w:cs="Arial"/>
                <w:spacing w:val="4"/>
                <w:sz w:val="16"/>
                <w:szCs w:val="16"/>
              </w:rPr>
              <w:t>BEiŚ</w:t>
            </w:r>
            <w:proofErr w:type="spellEnd"/>
            <w:r w:rsidRPr="004E3242">
              <w:rPr>
                <w:rFonts w:ascii="Arial" w:hAnsi="Arial" w:cs="Arial"/>
                <w:spacing w:val="4"/>
                <w:sz w:val="16"/>
                <w:szCs w:val="16"/>
              </w:rPr>
              <w:t>, SPA 2020).</w:t>
            </w:r>
          </w:p>
          <w:p w14:paraId="183242E3"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Wkład w osiąganie celów wskazanych w Białej Księdze i Strategii UE w zakresie przystosowania się do zmian klimatu.</w:t>
            </w:r>
          </w:p>
          <w:p w14:paraId="5B3CC98B"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wzmocnienia odporności (przede wszystkim ośrodków miejskich) na zagrożenia związane z negatywnymi efektami zmian klimatu.</w:t>
            </w:r>
          </w:p>
          <w:p w14:paraId="460CB37C"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Zwiększenie możliwości reagowania na skutki zagrożeń naturalnych (głównie powodzi i suszy).</w:t>
            </w:r>
          </w:p>
          <w:p w14:paraId="704E7BA7"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Podejmowanie działań adaptacyjnych możliwie jak najwcześniej spowoduje znaczne oszczędności dla polskiej gospodarki (koszty takich działań są o wiele niższe niż w przypadku strat, jakie wywoływane są przez zjawiska klimatyczne).</w:t>
            </w:r>
          </w:p>
          <w:p w14:paraId="0DEAAD2F"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Właściwie zaplanowane działania e zwiększające odporność na zmiany klimatyczne, będą stanowić istotny czynnik stymulujący wzrost efektywności i innowacyjności polskiej gospodarki.</w:t>
            </w:r>
          </w:p>
        </w:tc>
      </w:tr>
      <w:tr w:rsidR="004E3242" w:rsidRPr="004E3242" w14:paraId="48DBB81A" w14:textId="77777777" w:rsidTr="00AA7998">
        <w:tc>
          <w:tcPr>
            <w:tcW w:w="2235" w:type="dxa"/>
            <w:vMerge w:val="restart"/>
            <w:shd w:val="clear" w:color="auto" w:fill="D6E3BC"/>
            <w:vAlign w:val="center"/>
          </w:tcPr>
          <w:p w14:paraId="1FDEE08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pacing w:val="4"/>
                <w:sz w:val="16"/>
                <w:szCs w:val="16"/>
              </w:rPr>
              <w:t>6.</w:t>
            </w:r>
            <w:r w:rsidRPr="004E3242">
              <w:rPr>
                <w:rFonts w:ascii="Arial" w:hAnsi="Arial" w:cs="Arial"/>
                <w:spacing w:val="4"/>
                <w:sz w:val="16"/>
                <w:szCs w:val="16"/>
              </w:rPr>
              <w:t xml:space="preserve"> Zachowanie i ochrona środowiska oraz promowanie efektywnego gospodarowania zasobami</w:t>
            </w:r>
          </w:p>
        </w:tc>
        <w:tc>
          <w:tcPr>
            <w:tcW w:w="3969" w:type="dxa"/>
            <w:shd w:val="clear" w:color="auto" w:fill="F2F2F2"/>
            <w:vAlign w:val="center"/>
          </w:tcPr>
          <w:p w14:paraId="4458137A"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t>6.i.</w:t>
            </w:r>
            <w:r w:rsidRPr="004E3242">
              <w:rPr>
                <w:rFonts w:ascii="Arial" w:hAnsi="Arial" w:cs="Arial"/>
                <w:sz w:val="16"/>
                <w:szCs w:val="16"/>
              </w:rPr>
              <w:t xml:space="preserve"> Inwestowanie w sektor gospodarki odpadami celem wypełnienia zobowiązań określonych w dorobku prawnym Unii w zakresie środowiska oraz zaspokojenia wykraczających poza te zobowiązania potrzeb inwestycyjnych określonych przez państwa członkowskie</w:t>
            </w:r>
          </w:p>
        </w:tc>
        <w:tc>
          <w:tcPr>
            <w:tcW w:w="8539" w:type="dxa"/>
            <w:shd w:val="clear" w:color="auto" w:fill="F2F2F2"/>
            <w:vAlign w:val="center"/>
          </w:tcPr>
          <w:p w14:paraId="01EFFBE7"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Właściwe gospodarowanie odpadami jest wyzwaniem podnoszonym w kluczowych dokumentach strategicznych na poziomie UE (Europa 2020) i krajowym (KPZK, SRK, </w:t>
            </w:r>
            <w:proofErr w:type="spellStart"/>
            <w:r w:rsidRPr="004E3242">
              <w:rPr>
                <w:rFonts w:ascii="Arial" w:hAnsi="Arial" w:cs="Arial"/>
                <w:spacing w:val="4"/>
                <w:sz w:val="16"/>
                <w:szCs w:val="16"/>
              </w:rPr>
              <w:t>BEiŚ</w:t>
            </w:r>
            <w:proofErr w:type="spellEnd"/>
            <w:r w:rsidRPr="004E3242">
              <w:rPr>
                <w:rFonts w:ascii="Arial" w:hAnsi="Arial" w:cs="Arial"/>
                <w:spacing w:val="4"/>
                <w:sz w:val="16"/>
                <w:szCs w:val="16"/>
              </w:rPr>
              <w:t>, KPGO).</w:t>
            </w:r>
          </w:p>
          <w:p w14:paraId="6E9F7274"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Konieczność wypełnienia wymogów unijnego </w:t>
            </w:r>
            <w:proofErr w:type="spellStart"/>
            <w:r w:rsidRPr="004E3242">
              <w:rPr>
                <w:rFonts w:ascii="Arial" w:hAnsi="Arial" w:cs="Arial"/>
                <w:spacing w:val="4"/>
                <w:sz w:val="16"/>
                <w:szCs w:val="16"/>
              </w:rPr>
              <w:t>acquis</w:t>
            </w:r>
            <w:proofErr w:type="spellEnd"/>
            <w:r w:rsidRPr="004E3242">
              <w:rPr>
                <w:rFonts w:ascii="Arial" w:hAnsi="Arial" w:cs="Arial"/>
                <w:spacing w:val="4"/>
                <w:sz w:val="16"/>
                <w:szCs w:val="16"/>
              </w:rPr>
              <w:t xml:space="preserve"> (w szczególności zapewnienie zgodnego z hierarchią sposobów postępowania z odpadami).</w:t>
            </w:r>
          </w:p>
          <w:p w14:paraId="75F6CC6B"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rozwoju: systemów selektywnego zbierania odpadów zapewniających pozyskanie odpadów nadających się do recyklingu, instalacji do sortowania selektywnie zebranych odpadów komunalnych, instalacji do przetwarzania bioodpadów oraz instalacji do termicznego przekształcania odpadów z odzyskiem energii.</w:t>
            </w:r>
          </w:p>
          <w:p w14:paraId="180D1498"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Konieczność podejmowania działań zmierzających do zapobiegania powstawaniu odpadów (w tym działania zmierzające do zmiany </w:t>
            </w:r>
            <w:proofErr w:type="spellStart"/>
            <w:r w:rsidRPr="004E3242">
              <w:rPr>
                <w:rFonts w:ascii="Arial" w:hAnsi="Arial" w:cs="Arial"/>
                <w:spacing w:val="4"/>
                <w:sz w:val="16"/>
                <w:szCs w:val="16"/>
              </w:rPr>
              <w:t>zachowań</w:t>
            </w:r>
            <w:proofErr w:type="spellEnd"/>
            <w:r w:rsidRPr="004E3242">
              <w:rPr>
                <w:rFonts w:ascii="Arial" w:hAnsi="Arial" w:cs="Arial"/>
                <w:spacing w:val="4"/>
                <w:sz w:val="16"/>
                <w:szCs w:val="16"/>
              </w:rPr>
              <w:t xml:space="preserve"> mieszkańców w zakresie ograniczania ilości wytwarzanych odpadów oraz ich właściwej segregacji u źródła).</w:t>
            </w:r>
          </w:p>
        </w:tc>
      </w:tr>
      <w:tr w:rsidR="004E3242" w:rsidRPr="004E3242" w14:paraId="2316E42A" w14:textId="77777777" w:rsidTr="00AA7998">
        <w:tc>
          <w:tcPr>
            <w:tcW w:w="2235" w:type="dxa"/>
            <w:vMerge/>
            <w:shd w:val="clear" w:color="auto" w:fill="D6E3BC"/>
            <w:vAlign w:val="center"/>
          </w:tcPr>
          <w:p w14:paraId="30328FB8"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1EC04A4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6.ii.</w:t>
            </w:r>
            <w:r w:rsidRPr="004E3242">
              <w:rPr>
                <w:rFonts w:ascii="Arial" w:hAnsi="Arial" w:cs="Arial"/>
                <w:sz w:val="16"/>
                <w:szCs w:val="16"/>
              </w:rPr>
              <w:t xml:space="preserve"> Inwestowanie w sektor gospodarki wodnej celem wypełnienia zobowiązań określonych w dorobku prawnym Unii w zakresie środowiska oraz zaspokojenia wykraczających poza te zobowiązania potrzeb inwestycyjnych, określonych przez państwa członkowskie</w:t>
            </w:r>
          </w:p>
        </w:tc>
        <w:tc>
          <w:tcPr>
            <w:tcW w:w="8539" w:type="dxa"/>
            <w:shd w:val="clear" w:color="auto" w:fill="F2F2F2"/>
            <w:vAlign w:val="center"/>
          </w:tcPr>
          <w:p w14:paraId="51ED733C"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Właściwe gospodarowanie zasobami wodnymi jest wyzwaniem podnoszonym w kluczowych dokumentach strategicznych na poziomie UE (Europa 2020) i krajowym (KPZK, SRK, </w:t>
            </w:r>
            <w:proofErr w:type="spellStart"/>
            <w:r w:rsidRPr="004E3242">
              <w:rPr>
                <w:rFonts w:ascii="Arial" w:hAnsi="Arial" w:cs="Arial"/>
                <w:spacing w:val="4"/>
                <w:sz w:val="16"/>
                <w:szCs w:val="16"/>
              </w:rPr>
              <w:t>BEiŚ</w:t>
            </w:r>
            <w:proofErr w:type="spellEnd"/>
            <w:r w:rsidRPr="004E3242">
              <w:rPr>
                <w:rFonts w:ascii="Arial" w:hAnsi="Arial" w:cs="Arial"/>
                <w:spacing w:val="4"/>
                <w:sz w:val="16"/>
                <w:szCs w:val="16"/>
              </w:rPr>
              <w:t>, KPOŚK, PGW).</w:t>
            </w:r>
          </w:p>
          <w:p w14:paraId="1D6A938D"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Konieczność wypełnienia wymogów unijnego </w:t>
            </w:r>
            <w:proofErr w:type="spellStart"/>
            <w:r w:rsidRPr="004E3242">
              <w:rPr>
                <w:rFonts w:ascii="Arial" w:hAnsi="Arial" w:cs="Arial"/>
                <w:spacing w:val="4"/>
                <w:sz w:val="16"/>
                <w:szCs w:val="16"/>
              </w:rPr>
              <w:t>acquis</w:t>
            </w:r>
            <w:proofErr w:type="spellEnd"/>
            <w:r w:rsidRPr="004E3242">
              <w:rPr>
                <w:rFonts w:ascii="Arial" w:hAnsi="Arial" w:cs="Arial"/>
                <w:spacing w:val="4"/>
                <w:sz w:val="16"/>
                <w:szCs w:val="16"/>
              </w:rPr>
              <w:t>.</w:t>
            </w:r>
          </w:p>
          <w:p w14:paraId="1CAB3808"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ograniczenia zrzutów nieoczyszczonych i niedostatecznie oczyszczonych ścieków komunalnych do środowiska.</w:t>
            </w:r>
          </w:p>
          <w:p w14:paraId="6F913A09"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efektywnego zagospodarowania przyrastającej masy osadów ściekowych.</w:t>
            </w:r>
          </w:p>
          <w:p w14:paraId="316C4EC7"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lastRenderedPageBreak/>
              <w:t>Konieczność efektywnego korzystania z ograniczonych i słabych jakościowo zasobów wodnych.</w:t>
            </w:r>
          </w:p>
        </w:tc>
      </w:tr>
      <w:tr w:rsidR="004E3242" w:rsidRPr="004E3242" w14:paraId="2E0B9FC9" w14:textId="77777777" w:rsidTr="00AA7998">
        <w:tc>
          <w:tcPr>
            <w:tcW w:w="2235" w:type="dxa"/>
            <w:vMerge/>
            <w:shd w:val="clear" w:color="auto" w:fill="D6E3BC"/>
            <w:vAlign w:val="center"/>
          </w:tcPr>
          <w:p w14:paraId="403BD7C1"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52D0DF4E"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6.c</w:t>
            </w:r>
            <w:r w:rsidRPr="004E3242">
              <w:rPr>
                <w:rFonts w:ascii="Arial" w:hAnsi="Arial" w:cs="Arial"/>
                <w:sz w:val="16"/>
                <w:szCs w:val="16"/>
              </w:rPr>
              <w:t xml:space="preserve"> Zachowanie, ochrona, promowanie i rozwój dziedzictwa naturalnego i kulturowego</w:t>
            </w:r>
          </w:p>
        </w:tc>
        <w:tc>
          <w:tcPr>
            <w:tcW w:w="8539" w:type="dxa"/>
            <w:shd w:val="clear" w:color="auto" w:fill="F2F2F2"/>
            <w:vAlign w:val="center"/>
          </w:tcPr>
          <w:p w14:paraId="32138529"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Znaczny stopień degradacji zabytków oraz nierównomierny dostęp do infrastruktury kultury – potrzeba aktywizacji potencjałów związanych z materialnym i niematerialnym dziedzictwem kulturowym.</w:t>
            </w:r>
          </w:p>
          <w:p w14:paraId="31E836DC"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Komunikaty Komisji Europejskiej (Komunikat dotyczący Europejskiej agendy kultury w dobie globalizacji świata, Polityka regionalna jako czynnik przyczyniający się do inteligentnego rozwoju w ramach strategii Europa 2020, Promowanie sektora kultury i sektora kreatywnego na rzecz wzrostu gospodarczego i wzrostu zatrudnienia w UE, Zielona Księga Komisji w sprawie uwalniania potencjału przedsiębiorstw z branży kultury i branży twórczej, Polityka spójności i miasta: rola miast i aglomeracji w odniesieniu do wzrostu i zatrudnienia w regionach).</w:t>
            </w:r>
          </w:p>
          <w:p w14:paraId="348D5BE8"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Krajowe dokumenty strategiczne – SRK 2020, SRKS.</w:t>
            </w:r>
          </w:p>
        </w:tc>
      </w:tr>
      <w:tr w:rsidR="004E3242" w:rsidRPr="004E3242" w14:paraId="10EBB5A4" w14:textId="77777777" w:rsidTr="00AA7998">
        <w:tc>
          <w:tcPr>
            <w:tcW w:w="2235" w:type="dxa"/>
            <w:vMerge/>
            <w:shd w:val="clear" w:color="auto" w:fill="D6E3BC"/>
            <w:vAlign w:val="center"/>
          </w:tcPr>
          <w:p w14:paraId="0EFDA6F5"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33FABCAD"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t>6.iii</w:t>
            </w:r>
            <w:r w:rsidRPr="004E3242">
              <w:rPr>
                <w:rFonts w:ascii="Arial" w:hAnsi="Arial" w:cs="Arial"/>
                <w:sz w:val="16"/>
                <w:szCs w:val="16"/>
              </w:rPr>
              <w:t xml:space="preserve"> Ochrona i przywrócenie różnorodności biologicznej, ochrona i rekultywacja gleby oraz wspieranie usług ekosystemowych, także poprzez program „Natura 2000” i zieloną infrastrukturę</w:t>
            </w:r>
          </w:p>
        </w:tc>
        <w:tc>
          <w:tcPr>
            <w:tcW w:w="8539" w:type="dxa"/>
            <w:shd w:val="clear" w:color="auto" w:fill="F2F2F2"/>
            <w:vAlign w:val="center"/>
          </w:tcPr>
          <w:p w14:paraId="3525111D"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Właściwa ochrona i gospodarowanie zasobami przyrodniczymi jest wyzwaniem podnoszonym w kluczowych dokumentach strategicznych na poziomie UE (Europa 2020) i krajowym (KPZK, SRK, </w:t>
            </w:r>
            <w:proofErr w:type="spellStart"/>
            <w:r w:rsidRPr="004E3242">
              <w:rPr>
                <w:rFonts w:ascii="Arial" w:hAnsi="Arial" w:cs="Arial"/>
                <w:spacing w:val="4"/>
                <w:sz w:val="16"/>
                <w:szCs w:val="16"/>
              </w:rPr>
              <w:t>BEiŚ</w:t>
            </w:r>
            <w:proofErr w:type="spellEnd"/>
            <w:r w:rsidRPr="004E3242">
              <w:rPr>
                <w:rFonts w:ascii="Arial" w:hAnsi="Arial" w:cs="Arial"/>
                <w:spacing w:val="4"/>
                <w:sz w:val="16"/>
                <w:szCs w:val="16"/>
              </w:rPr>
              <w:t>).</w:t>
            </w:r>
          </w:p>
          <w:p w14:paraId="6A0E5E53"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ochrony i zahamowania spadku różnorodności biologicznej jest elementem koniecznym dla rozwoju zrównoważonego.</w:t>
            </w:r>
          </w:p>
          <w:p w14:paraId="4445795C"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Zahamowanie spadku różnorodności biologicznej, obserwowanego w związku z rozwojem gospodarczym źródłem wymiernych korzyści dla gospodarki (np. rozwój turystyki).</w:t>
            </w:r>
          </w:p>
          <w:p w14:paraId="384D84C8"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Zaniechanie działań prowadzi do wielopłaszczyznowych negatywnych i nieodwracalnych skutków dla społeczeństwa i gospodarki (m.in. utrata miejsc pracy w sektorach uzależnionych od stanu środowiska przyrodniczego (rolnictwo, leśnictwo, turystyka).</w:t>
            </w:r>
          </w:p>
        </w:tc>
      </w:tr>
      <w:tr w:rsidR="004E3242" w:rsidRPr="004E3242" w14:paraId="34D92EA1" w14:textId="77777777" w:rsidTr="00AA7998">
        <w:tc>
          <w:tcPr>
            <w:tcW w:w="2235" w:type="dxa"/>
            <w:vMerge/>
            <w:shd w:val="clear" w:color="auto" w:fill="D6E3BC"/>
            <w:vAlign w:val="center"/>
          </w:tcPr>
          <w:p w14:paraId="3DA404E8"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585D1830"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t>6.iv.</w:t>
            </w:r>
            <w:r w:rsidRPr="004E3242">
              <w:rPr>
                <w:rFonts w:ascii="Arial" w:hAnsi="Arial" w:cs="Arial"/>
                <w:sz w:val="16"/>
                <w:szCs w:val="16"/>
              </w:rPr>
              <w:t xml:space="preserve"> Podejmowanie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tc>
        <w:tc>
          <w:tcPr>
            <w:tcW w:w="8539" w:type="dxa"/>
            <w:shd w:val="clear" w:color="auto" w:fill="F2F2F2"/>
            <w:vAlign w:val="center"/>
          </w:tcPr>
          <w:p w14:paraId="0675D676"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Poprawa środowiska miejskiego jest wyzwaniem podnoszonym w kluczowych dokumentach strategicznych na poziomie UE (Europa 2020) i krajowym (KPZK, SRK, KSRR i </w:t>
            </w:r>
            <w:proofErr w:type="spellStart"/>
            <w:r w:rsidRPr="004E3242">
              <w:rPr>
                <w:rFonts w:ascii="Arial" w:hAnsi="Arial" w:cs="Arial"/>
                <w:spacing w:val="4"/>
                <w:sz w:val="16"/>
                <w:szCs w:val="16"/>
              </w:rPr>
              <w:t>BEiŚ</w:t>
            </w:r>
            <w:proofErr w:type="spellEnd"/>
            <w:r w:rsidRPr="004E3242">
              <w:rPr>
                <w:rFonts w:ascii="Arial" w:hAnsi="Arial" w:cs="Arial"/>
                <w:spacing w:val="4"/>
                <w:sz w:val="16"/>
                <w:szCs w:val="16"/>
              </w:rPr>
              <w:t>).</w:t>
            </w:r>
          </w:p>
          <w:p w14:paraId="71B12B5B"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Na obszarach zurbanizowanych (zwłaszcza poprzemysłowych) dochodzi do kumulacji negatywnych zjawisk społeczno-gospodarczych, przestrzennych i środowiskowych. Szczególnym przejawem degradacji tkanki miejskiej są obszary zdegradowane pod względem środowiskowym, które wymagają rekultywacji i stworzenia warunków do ich ponownego zagospodarowania.</w:t>
            </w:r>
          </w:p>
        </w:tc>
      </w:tr>
      <w:tr w:rsidR="004E3242" w:rsidRPr="004E3242" w14:paraId="5718F880" w14:textId="77777777" w:rsidTr="00AA7998">
        <w:tc>
          <w:tcPr>
            <w:tcW w:w="2235" w:type="dxa"/>
            <w:vMerge w:val="restart"/>
            <w:shd w:val="clear" w:color="auto" w:fill="D6E3BC"/>
            <w:vAlign w:val="center"/>
          </w:tcPr>
          <w:p w14:paraId="0ADEB7F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pacing w:val="4"/>
                <w:sz w:val="16"/>
                <w:szCs w:val="16"/>
              </w:rPr>
              <w:t>7.</w:t>
            </w:r>
            <w:r w:rsidRPr="004E3242">
              <w:rPr>
                <w:rFonts w:ascii="Arial" w:hAnsi="Arial" w:cs="Arial"/>
                <w:spacing w:val="4"/>
                <w:sz w:val="16"/>
                <w:szCs w:val="16"/>
              </w:rPr>
              <w:t xml:space="preserve"> Promowanie zrównoważonego transportu i usuwanie niedoborów przepustowości w działaniu najważniejszych infrastruktur sieciowych</w:t>
            </w:r>
          </w:p>
        </w:tc>
        <w:tc>
          <w:tcPr>
            <w:tcW w:w="3969" w:type="dxa"/>
            <w:shd w:val="clear" w:color="auto" w:fill="F2F2F2"/>
            <w:vAlign w:val="center"/>
          </w:tcPr>
          <w:p w14:paraId="1D448B00"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t xml:space="preserve">7.i. </w:t>
            </w:r>
            <w:r w:rsidRPr="004E3242">
              <w:rPr>
                <w:rFonts w:ascii="Arial" w:hAnsi="Arial" w:cs="Arial"/>
                <w:sz w:val="16"/>
                <w:szCs w:val="16"/>
              </w:rPr>
              <w:t xml:space="preserve">Wspieranie multimodalnego jednolitego europejskiego obszaru transportu  poprzez inwestycje </w:t>
            </w:r>
            <w:r w:rsidRPr="004E3242">
              <w:rPr>
                <w:rFonts w:ascii="Arial" w:hAnsi="Arial" w:cs="Arial"/>
                <w:sz w:val="16"/>
                <w:szCs w:val="16"/>
              </w:rPr>
              <w:br/>
              <w:t>w TEN</w:t>
            </w:r>
            <w:r w:rsidRPr="004E3242">
              <w:rPr>
                <w:rFonts w:ascii="Arial" w:hAnsi="Arial" w:cs="Arial"/>
                <w:sz w:val="16"/>
                <w:szCs w:val="16"/>
              </w:rPr>
              <w:noBreakHyphen/>
              <w:t>T</w:t>
            </w:r>
          </w:p>
        </w:tc>
        <w:tc>
          <w:tcPr>
            <w:tcW w:w="8539" w:type="dxa"/>
            <w:shd w:val="clear" w:color="auto" w:fill="F2F2F2"/>
            <w:vAlign w:val="center"/>
          </w:tcPr>
          <w:p w14:paraId="699533AC"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Ograniczona dostępność zewnętrzna kraju wymagająca dokończenia budowy nowoczesnej sieci drogowej, podjętej w okresie 2007-2013.</w:t>
            </w:r>
          </w:p>
          <w:p w14:paraId="1BEC41ED"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Realizacja wytycznych UE </w:t>
            </w:r>
            <w:proofErr w:type="spellStart"/>
            <w:r w:rsidRPr="004E3242">
              <w:rPr>
                <w:rFonts w:ascii="Arial" w:hAnsi="Arial" w:cs="Arial"/>
                <w:spacing w:val="4"/>
                <w:sz w:val="16"/>
                <w:szCs w:val="16"/>
              </w:rPr>
              <w:t>ws</w:t>
            </w:r>
            <w:proofErr w:type="spellEnd"/>
            <w:r w:rsidRPr="004E3242">
              <w:rPr>
                <w:rFonts w:ascii="Arial" w:hAnsi="Arial" w:cs="Arial"/>
                <w:spacing w:val="4"/>
                <w:sz w:val="16"/>
                <w:szCs w:val="16"/>
              </w:rPr>
              <w:t>. rozwoju kolejowej i drogowej sieci TEN-T oraz umowy dot. kluczowych linii dla transportu kolejowego AGTC.</w:t>
            </w:r>
          </w:p>
          <w:p w14:paraId="51A9DEEA"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Niska konkurencyjność sektora kolejowego względem innych form przewozu towarów i osób, kluczowa dla zapewnienia bardziej zrównoważonego systemu transportowego.</w:t>
            </w:r>
          </w:p>
          <w:p w14:paraId="7CD98B39"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Zgodność z Zaleceniami Rady dotyczącymi zapewnienia efektywnego i terminowego wdrażania projektów kolejowych.</w:t>
            </w:r>
          </w:p>
          <w:p w14:paraId="40BF1034"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Wkład w osiąganie celów Białej Księgi Transportu dotyczących tworzenia warunków do przeniesienia drogowego transportu towarów na inne środki transportu, w tym na transport kolejowy.</w:t>
            </w:r>
          </w:p>
          <w:p w14:paraId="7CDD7686"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Wkład w realizację europejskiej strategii w zakresie bezpieczeństwa lotnictwa cywilnego i zgodność z planami wprowadzenia w Europie do 2020 r. zmodernizowanej infrastruktury zarządzania ruchem lotniczym (SESAR) w ramach prac nad Wspólnym Europejskim Obszarem Lotniczym (SES).</w:t>
            </w:r>
          </w:p>
        </w:tc>
      </w:tr>
      <w:tr w:rsidR="004E3242" w:rsidRPr="004E3242" w14:paraId="55F2B039" w14:textId="77777777" w:rsidTr="00AA7998">
        <w:tc>
          <w:tcPr>
            <w:tcW w:w="2235" w:type="dxa"/>
            <w:vMerge/>
            <w:shd w:val="clear" w:color="auto" w:fill="D6E3BC"/>
            <w:vAlign w:val="center"/>
          </w:tcPr>
          <w:p w14:paraId="74023039"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1300DFDD"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7a.</w:t>
            </w:r>
            <w:r w:rsidRPr="004E3242">
              <w:rPr>
                <w:rFonts w:ascii="Arial" w:hAnsi="Arial" w:cs="Arial"/>
                <w:sz w:val="16"/>
                <w:szCs w:val="16"/>
              </w:rPr>
              <w:t xml:space="preserve"> Wspieranie multimodalnego jednolitego europejskiego obszaru transportu  poprzez inwestycje w TEN</w:t>
            </w:r>
            <w:r w:rsidRPr="004E3242">
              <w:rPr>
                <w:rFonts w:ascii="Arial" w:hAnsi="Arial" w:cs="Arial"/>
                <w:sz w:val="16"/>
                <w:szCs w:val="16"/>
              </w:rPr>
              <w:noBreakHyphen/>
              <w:t>T</w:t>
            </w:r>
          </w:p>
        </w:tc>
        <w:tc>
          <w:tcPr>
            <w:tcW w:w="8539" w:type="dxa"/>
            <w:shd w:val="clear" w:color="auto" w:fill="F2F2F2"/>
            <w:vAlign w:val="center"/>
          </w:tcPr>
          <w:p w14:paraId="2398DD28"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Realizacja wytycznych UE </w:t>
            </w:r>
            <w:proofErr w:type="spellStart"/>
            <w:r w:rsidRPr="004E3242">
              <w:rPr>
                <w:rFonts w:ascii="Arial" w:hAnsi="Arial" w:cs="Arial"/>
                <w:spacing w:val="4"/>
                <w:sz w:val="16"/>
                <w:szCs w:val="16"/>
              </w:rPr>
              <w:t>ws</w:t>
            </w:r>
            <w:proofErr w:type="spellEnd"/>
            <w:r w:rsidRPr="004E3242">
              <w:rPr>
                <w:rFonts w:ascii="Arial" w:hAnsi="Arial" w:cs="Arial"/>
                <w:spacing w:val="4"/>
                <w:sz w:val="16"/>
                <w:szCs w:val="16"/>
              </w:rPr>
              <w:t>. sieci TEN-T w zakresie rozwoju infrastruktury drogowej miejskich węzłów sieci bazowej.</w:t>
            </w:r>
          </w:p>
          <w:p w14:paraId="3A690007"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Potrzeba tworzenia warunków do rozwoju policentrycznej struktury osadniczej w kraju, opartej na sieci miast średniej i mniejszej wielkości (tzw. regionalnych i </w:t>
            </w:r>
            <w:proofErr w:type="spellStart"/>
            <w:r w:rsidRPr="004E3242">
              <w:rPr>
                <w:rFonts w:ascii="Arial" w:hAnsi="Arial" w:cs="Arial"/>
                <w:spacing w:val="4"/>
                <w:sz w:val="16"/>
                <w:szCs w:val="16"/>
              </w:rPr>
              <w:t>subregionalnych</w:t>
            </w:r>
            <w:proofErr w:type="spellEnd"/>
            <w:r w:rsidRPr="004E3242">
              <w:rPr>
                <w:rFonts w:ascii="Arial" w:hAnsi="Arial" w:cs="Arial"/>
                <w:spacing w:val="4"/>
                <w:sz w:val="16"/>
                <w:szCs w:val="16"/>
              </w:rPr>
              <w:t xml:space="preserve"> określonych w KPZK).</w:t>
            </w:r>
          </w:p>
          <w:p w14:paraId="6932E4BB"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Ograniczona dostępność mniejszych ośrodków miejskich i obszarów ich otaczających, wymagająca inwestycji, które zapewnią rozwój i integrację lokalnych rynków pracy.</w:t>
            </w:r>
          </w:p>
          <w:p w14:paraId="607DD21E"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eliminacji ograniczeń blokujących rozwój miast, związanych z przeciążeniem ich infrastruktury ruchem tranzytowym ciężkich pojazdów.</w:t>
            </w:r>
          </w:p>
        </w:tc>
      </w:tr>
      <w:tr w:rsidR="004E3242" w:rsidRPr="004E3242" w14:paraId="31958713" w14:textId="77777777" w:rsidTr="00AA7998">
        <w:tc>
          <w:tcPr>
            <w:tcW w:w="2235" w:type="dxa"/>
            <w:vMerge/>
            <w:shd w:val="clear" w:color="auto" w:fill="D6E3BC"/>
            <w:vAlign w:val="center"/>
          </w:tcPr>
          <w:p w14:paraId="5A5F670D"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19015097"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7.b.</w:t>
            </w:r>
            <w:r w:rsidRPr="004E3242">
              <w:rPr>
                <w:rFonts w:ascii="Arial" w:hAnsi="Arial" w:cs="Arial"/>
                <w:sz w:val="16"/>
                <w:szCs w:val="16"/>
              </w:rPr>
              <w:t xml:space="preserve"> Zwiększanie mobilności regionalnej poprzez łączenie węzłów drugorzędnych i trzeciorzędnych z infrastrukturą TEN-T,</w:t>
            </w:r>
            <w:r w:rsidRPr="004E3242">
              <w:t xml:space="preserve"> </w:t>
            </w:r>
            <w:r w:rsidRPr="004E3242">
              <w:rPr>
                <w:rFonts w:ascii="Arial" w:hAnsi="Arial" w:cs="Arial"/>
                <w:sz w:val="16"/>
                <w:szCs w:val="16"/>
              </w:rPr>
              <w:t>w tym z węzłami multimodalnymi</w:t>
            </w:r>
          </w:p>
        </w:tc>
        <w:tc>
          <w:tcPr>
            <w:tcW w:w="8539" w:type="dxa"/>
            <w:shd w:val="clear" w:color="auto" w:fill="F2F2F2"/>
            <w:vAlign w:val="center"/>
          </w:tcPr>
          <w:p w14:paraId="627D75CA"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Realizacja wytycznych UE </w:t>
            </w:r>
            <w:proofErr w:type="spellStart"/>
            <w:r w:rsidRPr="004E3242">
              <w:rPr>
                <w:rFonts w:ascii="Arial" w:hAnsi="Arial" w:cs="Arial"/>
                <w:spacing w:val="4"/>
                <w:sz w:val="16"/>
                <w:szCs w:val="16"/>
              </w:rPr>
              <w:t>ws</w:t>
            </w:r>
            <w:proofErr w:type="spellEnd"/>
            <w:r w:rsidRPr="004E3242">
              <w:rPr>
                <w:rFonts w:ascii="Arial" w:hAnsi="Arial" w:cs="Arial"/>
                <w:spacing w:val="4"/>
                <w:sz w:val="16"/>
                <w:szCs w:val="16"/>
              </w:rPr>
              <w:t>. sieci TEN-T w zakresie rozwoju infrastruktury drogowej miejskich węzłów sieci bazowej.</w:t>
            </w:r>
          </w:p>
          <w:p w14:paraId="021CA46C"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Potrzeba tworzenia warunków do rozwoju policentrycznej struktury osadniczej w kraju, opartej na sieci miast średniej i mniejszej wielkości (tzw. regionalnych i </w:t>
            </w:r>
            <w:proofErr w:type="spellStart"/>
            <w:r w:rsidRPr="004E3242">
              <w:rPr>
                <w:rFonts w:ascii="Arial" w:hAnsi="Arial" w:cs="Arial"/>
                <w:spacing w:val="4"/>
                <w:sz w:val="16"/>
                <w:szCs w:val="16"/>
              </w:rPr>
              <w:t>subregionalnych</w:t>
            </w:r>
            <w:proofErr w:type="spellEnd"/>
            <w:r w:rsidRPr="004E3242">
              <w:rPr>
                <w:rFonts w:ascii="Arial" w:hAnsi="Arial" w:cs="Arial"/>
                <w:spacing w:val="4"/>
                <w:sz w:val="16"/>
                <w:szCs w:val="16"/>
              </w:rPr>
              <w:t xml:space="preserve"> określonych w KPZK).</w:t>
            </w:r>
          </w:p>
          <w:p w14:paraId="1FDC7524"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Ograniczona dostępność mniejszych ośrodków miejskich i obszarów ich otaczających, wymagająca inwestycji, które zapewnią rozwój i integrację lokalnych rynków pracy.</w:t>
            </w:r>
          </w:p>
          <w:p w14:paraId="67869881"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Konieczność eliminacji ograniczeń blokujących rozwój miast, związanych </w:t>
            </w:r>
            <w:r w:rsidRPr="004E3242">
              <w:rPr>
                <w:rFonts w:ascii="Arial" w:hAnsi="Arial" w:cs="Arial"/>
                <w:spacing w:val="4"/>
                <w:sz w:val="16"/>
                <w:szCs w:val="16"/>
              </w:rPr>
              <w:br/>
              <w:t>z przeciążeniem ich infrastruktury ruchem tranzytowym ciężkich pojazdów.</w:t>
            </w:r>
          </w:p>
        </w:tc>
      </w:tr>
      <w:tr w:rsidR="004E3242" w:rsidRPr="004E3242" w14:paraId="5E5CB4B1" w14:textId="77777777" w:rsidTr="00AA7998">
        <w:tc>
          <w:tcPr>
            <w:tcW w:w="2235" w:type="dxa"/>
            <w:vMerge/>
            <w:shd w:val="clear" w:color="auto" w:fill="D6E3BC"/>
            <w:vAlign w:val="center"/>
          </w:tcPr>
          <w:p w14:paraId="506BA131"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4C13C4F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7.ii.</w:t>
            </w:r>
            <w:r w:rsidRPr="004E3242">
              <w:rPr>
                <w:rFonts w:ascii="Arial" w:hAnsi="Arial" w:cs="Arial"/>
                <w:sz w:val="16"/>
                <w:szCs w:val="16"/>
              </w:rPr>
              <w:t xml:space="preserve"> Rozwój i usprawnianie przyjaznych środowisku (w tym o obniżonej emisji hałasu) i niskoemisyjnych systemów transportu, w tym śródlądowych dróg wodnych i transportu morskiego, portów, połączeń multimodalnych oraz infrastruktury portów lotniczych, w celu promowania zrównoważonej mobilności regionalnej i lokalnej</w:t>
            </w:r>
          </w:p>
        </w:tc>
        <w:tc>
          <w:tcPr>
            <w:tcW w:w="8539" w:type="dxa"/>
            <w:shd w:val="clear" w:color="auto" w:fill="F2F2F2"/>
            <w:vAlign w:val="center"/>
          </w:tcPr>
          <w:p w14:paraId="2D7834B6"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Zgodność z celami Białej Księgi Transportu postulującymi większe wykorzystanie bardziej energooszczędnych środków transportu i tworzenie warunków do przeniesienia drogowego transportu towarów na inne środki transportu, w tym na transport wodny.</w:t>
            </w:r>
          </w:p>
          <w:p w14:paraId="778B030E"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Realizacja wytycznych UE w sprawie rozwoju sieci TEN-T na drogach wodnych śródlądowych, portów morskich i terminali przeładunkowych.</w:t>
            </w:r>
          </w:p>
          <w:p w14:paraId="2B01213B"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Zgodność z inicjatywą KE dotyczącą tworzenia tzw. zielonych korytarzy transportowych wykorzystujących </w:t>
            </w:r>
            <w:proofErr w:type="spellStart"/>
            <w:r w:rsidRPr="004E3242">
              <w:rPr>
                <w:rFonts w:ascii="Arial" w:hAnsi="Arial" w:cs="Arial"/>
                <w:spacing w:val="4"/>
                <w:sz w:val="16"/>
                <w:szCs w:val="16"/>
              </w:rPr>
              <w:t>współmodalność</w:t>
            </w:r>
            <w:proofErr w:type="spellEnd"/>
            <w:r w:rsidRPr="004E3242">
              <w:rPr>
                <w:rFonts w:ascii="Arial" w:hAnsi="Arial" w:cs="Arial"/>
                <w:spacing w:val="4"/>
                <w:sz w:val="16"/>
                <w:szCs w:val="16"/>
              </w:rPr>
              <w:t>, która zakłada wzajemne uzupełnianie się środków przewozu dla umożliwienia wyboru transportu.</w:t>
            </w:r>
          </w:p>
          <w:p w14:paraId="656492B2"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Konieczność zabezpieczenia obsługi rosnącego poziomu przeładunków kontenerów w portach morskich oraz zintegrowanie ich z zapleczem w głębi kraju.</w:t>
            </w:r>
          </w:p>
        </w:tc>
      </w:tr>
      <w:tr w:rsidR="004E3242" w:rsidRPr="004E3242" w14:paraId="2F717F73" w14:textId="77777777" w:rsidTr="00AA7998">
        <w:tc>
          <w:tcPr>
            <w:tcW w:w="2235" w:type="dxa"/>
            <w:vMerge/>
            <w:shd w:val="clear" w:color="auto" w:fill="D6E3BC"/>
            <w:vAlign w:val="center"/>
          </w:tcPr>
          <w:p w14:paraId="258CD813"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274A085A"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7.iii.</w:t>
            </w:r>
            <w:r w:rsidRPr="004E3242">
              <w:rPr>
                <w:rFonts w:ascii="Arial" w:hAnsi="Arial" w:cs="Arial"/>
                <w:sz w:val="16"/>
                <w:szCs w:val="16"/>
              </w:rPr>
              <w:t xml:space="preserve"> Rozwój i rehabilitacja kompleksowych, wysokiej jakości i </w:t>
            </w:r>
            <w:proofErr w:type="spellStart"/>
            <w:r w:rsidRPr="004E3242">
              <w:rPr>
                <w:rFonts w:ascii="Arial" w:hAnsi="Arial" w:cs="Arial"/>
                <w:sz w:val="16"/>
                <w:szCs w:val="16"/>
              </w:rPr>
              <w:t>interoperacyjnych</w:t>
            </w:r>
            <w:proofErr w:type="spellEnd"/>
            <w:r w:rsidRPr="004E3242">
              <w:rPr>
                <w:rFonts w:ascii="Arial" w:hAnsi="Arial" w:cs="Arial"/>
                <w:sz w:val="16"/>
                <w:szCs w:val="16"/>
              </w:rPr>
              <w:t xml:space="preserve"> systemów transportu kolejowego oraz propagowanie działań służących zmniejszaniu hałasu</w:t>
            </w:r>
          </w:p>
        </w:tc>
        <w:tc>
          <w:tcPr>
            <w:tcW w:w="8539" w:type="dxa"/>
            <w:shd w:val="clear" w:color="auto" w:fill="F2F2F2"/>
            <w:vAlign w:val="center"/>
          </w:tcPr>
          <w:p w14:paraId="5E2F280E"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Zgodność z Zaleceniami Rady (country </w:t>
            </w:r>
            <w:proofErr w:type="spellStart"/>
            <w:r w:rsidRPr="004E3242">
              <w:rPr>
                <w:rFonts w:ascii="Arial" w:hAnsi="Arial" w:cs="Arial"/>
                <w:spacing w:val="4"/>
                <w:sz w:val="16"/>
                <w:szCs w:val="16"/>
              </w:rPr>
              <w:t>specific</w:t>
            </w:r>
            <w:proofErr w:type="spellEnd"/>
            <w:r w:rsidRPr="004E3242">
              <w:rPr>
                <w:rFonts w:ascii="Arial" w:hAnsi="Arial" w:cs="Arial"/>
                <w:spacing w:val="4"/>
                <w:sz w:val="16"/>
                <w:szCs w:val="16"/>
              </w:rPr>
              <w:t xml:space="preserve"> </w:t>
            </w:r>
            <w:proofErr w:type="spellStart"/>
            <w:r w:rsidRPr="004E3242">
              <w:rPr>
                <w:rFonts w:ascii="Arial" w:hAnsi="Arial" w:cs="Arial"/>
                <w:spacing w:val="4"/>
                <w:sz w:val="16"/>
                <w:szCs w:val="16"/>
              </w:rPr>
              <w:t>recommendations</w:t>
            </w:r>
            <w:proofErr w:type="spellEnd"/>
            <w:r w:rsidRPr="004E3242">
              <w:rPr>
                <w:rFonts w:ascii="Arial" w:hAnsi="Arial" w:cs="Arial"/>
                <w:spacing w:val="4"/>
                <w:sz w:val="16"/>
                <w:szCs w:val="16"/>
              </w:rPr>
              <w:t>) dotyczącymi zapewnienia efektywnego i terminowego wdrażania projektów kolejowych.</w:t>
            </w:r>
          </w:p>
          <w:p w14:paraId="5220863D"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Niska konkurencyjność sektora kolejowego względem innych form przewozu towarów i osób , kluczowa dla zapewnienia bardziej zrównoważonego systemu transportowego (tzw. </w:t>
            </w:r>
            <w:proofErr w:type="spellStart"/>
            <w:r w:rsidRPr="004E3242">
              <w:rPr>
                <w:rFonts w:ascii="Arial" w:hAnsi="Arial" w:cs="Arial"/>
                <w:spacing w:val="4"/>
                <w:sz w:val="16"/>
                <w:szCs w:val="16"/>
              </w:rPr>
              <w:t>modal</w:t>
            </w:r>
            <w:proofErr w:type="spellEnd"/>
            <w:r w:rsidRPr="004E3242">
              <w:rPr>
                <w:rFonts w:ascii="Arial" w:hAnsi="Arial" w:cs="Arial"/>
                <w:spacing w:val="4"/>
                <w:sz w:val="16"/>
                <w:szCs w:val="16"/>
              </w:rPr>
              <w:t xml:space="preserve"> </w:t>
            </w:r>
            <w:proofErr w:type="spellStart"/>
            <w:r w:rsidRPr="004E3242">
              <w:rPr>
                <w:rFonts w:ascii="Arial" w:hAnsi="Arial" w:cs="Arial"/>
                <w:spacing w:val="4"/>
                <w:sz w:val="16"/>
                <w:szCs w:val="16"/>
              </w:rPr>
              <w:t>split</w:t>
            </w:r>
            <w:proofErr w:type="spellEnd"/>
            <w:r w:rsidRPr="004E3242">
              <w:rPr>
                <w:rFonts w:ascii="Arial" w:hAnsi="Arial" w:cs="Arial"/>
                <w:spacing w:val="4"/>
                <w:sz w:val="16"/>
                <w:szCs w:val="16"/>
              </w:rPr>
              <w:t>).</w:t>
            </w:r>
          </w:p>
          <w:p w14:paraId="44CAB43E"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Potrzeba ograniczenia emisji zanieczyszczeń z transportu w miastach, odciążenia infrastruktury miejskiej od nadmiernego ruchu drogowego i poprawy ich integracji z otoczeniem poprzez rozwój systemów kolejowych na ich obszarze.</w:t>
            </w:r>
          </w:p>
        </w:tc>
      </w:tr>
      <w:tr w:rsidR="004E3242" w:rsidRPr="004E3242" w14:paraId="4E48653C" w14:textId="77777777" w:rsidTr="00AA7998">
        <w:trPr>
          <w:trHeight w:val="1171"/>
        </w:trPr>
        <w:tc>
          <w:tcPr>
            <w:tcW w:w="2235" w:type="dxa"/>
            <w:vMerge/>
            <w:shd w:val="clear" w:color="auto" w:fill="D6E3BC"/>
            <w:vAlign w:val="center"/>
          </w:tcPr>
          <w:p w14:paraId="303318D9" w14:textId="77777777" w:rsidR="004E3242" w:rsidRPr="004E3242" w:rsidRDefault="004E3242" w:rsidP="004E3242">
            <w:pPr>
              <w:spacing w:before="60" w:after="60" w:line="240" w:lineRule="auto"/>
              <w:jc w:val="both"/>
              <w:rPr>
                <w:rFonts w:ascii="Arial" w:hAnsi="Arial" w:cs="Arial"/>
                <w:spacing w:val="4"/>
                <w:sz w:val="16"/>
                <w:szCs w:val="16"/>
              </w:rPr>
            </w:pPr>
          </w:p>
        </w:tc>
        <w:tc>
          <w:tcPr>
            <w:tcW w:w="3969" w:type="dxa"/>
            <w:shd w:val="clear" w:color="auto" w:fill="F2F2F2"/>
            <w:vAlign w:val="center"/>
          </w:tcPr>
          <w:p w14:paraId="334D0DE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7.e.</w:t>
            </w:r>
            <w:r w:rsidRPr="004E3242">
              <w:rPr>
                <w:rFonts w:ascii="Arial" w:hAnsi="Arial" w:cs="Arial"/>
                <w:sz w:val="16"/>
                <w:szCs w:val="16"/>
              </w:rPr>
              <w:t xml:space="preserve"> Zwiększenie efektywności energetycznej i bezpieczeństwa dostaw poprzez rozwój inteligentnych systemów dystrybucji, magazynowania i </w:t>
            </w:r>
            <w:proofErr w:type="spellStart"/>
            <w:r w:rsidRPr="004E3242">
              <w:rPr>
                <w:rFonts w:ascii="Arial" w:hAnsi="Arial" w:cs="Arial"/>
                <w:sz w:val="16"/>
                <w:szCs w:val="16"/>
              </w:rPr>
              <w:t>przesyłu</w:t>
            </w:r>
            <w:proofErr w:type="spellEnd"/>
            <w:r w:rsidRPr="004E3242">
              <w:rPr>
                <w:rFonts w:ascii="Arial" w:hAnsi="Arial" w:cs="Arial"/>
                <w:sz w:val="16"/>
                <w:szCs w:val="16"/>
              </w:rPr>
              <w:t xml:space="preserve"> energii oraz poprzez integrację rozproszonego wytwarzania energii ze źródeł odnawialnych</w:t>
            </w:r>
          </w:p>
        </w:tc>
        <w:tc>
          <w:tcPr>
            <w:tcW w:w="8539" w:type="dxa"/>
            <w:shd w:val="clear" w:color="auto" w:fill="F2F2F2"/>
            <w:vAlign w:val="center"/>
          </w:tcPr>
          <w:p w14:paraId="2E1B454A"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Zwiększenie bezpieczeństwa funkcjonowania systemów gazowych (Polityka Energetyczna Polski do roku 2030).</w:t>
            </w:r>
          </w:p>
          <w:p w14:paraId="673DF0B6"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Zapewnienie stabilności pod względem ciągłości dostaw gazu i energii elektrycznej.</w:t>
            </w:r>
          </w:p>
        </w:tc>
      </w:tr>
      <w:tr w:rsidR="004E3242" w:rsidRPr="004E3242" w14:paraId="4FFE2040" w14:textId="77777777" w:rsidTr="00AA7998">
        <w:tc>
          <w:tcPr>
            <w:tcW w:w="2235" w:type="dxa"/>
            <w:shd w:val="clear" w:color="auto" w:fill="D6E3BC"/>
            <w:vAlign w:val="center"/>
          </w:tcPr>
          <w:p w14:paraId="4A6096F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pacing w:val="4"/>
                <w:sz w:val="16"/>
                <w:szCs w:val="16"/>
              </w:rPr>
              <w:lastRenderedPageBreak/>
              <w:t>9.</w:t>
            </w:r>
            <w:r w:rsidRPr="004E3242">
              <w:rPr>
                <w:rFonts w:ascii="Arial" w:hAnsi="Arial" w:cs="Arial"/>
                <w:spacing w:val="4"/>
                <w:sz w:val="16"/>
                <w:szCs w:val="16"/>
              </w:rPr>
              <w:t xml:space="preserve"> Promowanie włączenia społecznego, walka z ubóstwem i wszelką dyskryminacją</w:t>
            </w:r>
          </w:p>
        </w:tc>
        <w:tc>
          <w:tcPr>
            <w:tcW w:w="3969" w:type="dxa"/>
            <w:shd w:val="clear" w:color="auto" w:fill="F2F2F2"/>
            <w:vAlign w:val="center"/>
          </w:tcPr>
          <w:p w14:paraId="768BAE2F"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bCs/>
                <w:spacing w:val="4"/>
                <w:sz w:val="16"/>
                <w:szCs w:val="16"/>
              </w:rPr>
              <w:t>9.1</w:t>
            </w:r>
            <w:r w:rsidRPr="004E3242">
              <w:rPr>
                <w:rFonts w:ascii="Arial" w:hAnsi="Arial" w:cs="Arial"/>
                <w:bCs/>
                <w:spacing w:val="4"/>
                <w:sz w:val="16"/>
                <w:szCs w:val="16"/>
              </w:rPr>
              <w:t xml:space="preserve"> </w:t>
            </w:r>
            <w:r w:rsidRPr="004E3242">
              <w:rPr>
                <w:rFonts w:ascii="Arial" w:hAnsi="Arial" w:cs="Arial"/>
                <w:sz w:val="16"/>
                <w:szCs w:val="16"/>
              </w:rPr>
              <w:t xml:space="preserve">Inwestycje w infrastrukturę zdrowotną i społeczną, które przyczyniają się do rozwoju krajowego, regionalnego i lokalnego, zmniejszania nierówności </w:t>
            </w:r>
            <w:r w:rsidRPr="004E3242">
              <w:rPr>
                <w:rFonts w:ascii="Arial" w:hAnsi="Arial" w:cs="Arial"/>
                <w:sz w:val="16"/>
                <w:szCs w:val="16"/>
              </w:rPr>
              <w:br/>
              <w:t>w zakresie stanu zdrowia, promowanie włączenia społecznego poprzez lepszy dostęp do usług społecznych, kulturalnych i rekreacyjnych oraz przejścia z usług instytucjonalnych do usług na poziomie społeczności lokalnych</w:t>
            </w:r>
          </w:p>
        </w:tc>
        <w:tc>
          <w:tcPr>
            <w:tcW w:w="8539" w:type="dxa"/>
            <w:shd w:val="clear" w:color="auto" w:fill="F2F2F2"/>
            <w:vAlign w:val="center"/>
          </w:tcPr>
          <w:p w14:paraId="67A62CF8"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Skuteczna i efektywna walka z ubóstwem i wykluczeniem społecznym zakłada również zapewnienie niezbędnej infrastruktury ochrony zdrowia (z zakresu ratownictwa medycznego oraz usług wysokospecjalistycznych) likwidującej lukę w dostępie do usług medycznych, a tym samym sprzyjającej szeroko rozumianemu włączeniu społecznemu i chroniącej przed wykluczeniem.</w:t>
            </w:r>
          </w:p>
          <w:p w14:paraId="6D181582" w14:textId="77777777" w:rsidR="004E3242" w:rsidRPr="004E3242" w:rsidRDefault="004E3242" w:rsidP="00B345B6">
            <w:pPr>
              <w:numPr>
                <w:ilvl w:val="0"/>
                <w:numId w:val="69"/>
              </w:numPr>
              <w:spacing w:before="60" w:after="60" w:line="240" w:lineRule="auto"/>
              <w:jc w:val="both"/>
              <w:rPr>
                <w:rFonts w:ascii="Arial" w:hAnsi="Arial" w:cs="Arial"/>
                <w:spacing w:val="4"/>
                <w:sz w:val="16"/>
                <w:szCs w:val="16"/>
              </w:rPr>
            </w:pPr>
            <w:r w:rsidRPr="004E3242">
              <w:rPr>
                <w:rFonts w:ascii="Arial" w:hAnsi="Arial" w:cs="Arial"/>
                <w:spacing w:val="4"/>
                <w:sz w:val="16"/>
                <w:szCs w:val="16"/>
              </w:rPr>
              <w:t>Działania dążące do zmniejszania nierówności w zakresie zdrowia są istotne dla wzrostu gospodarczego sprzyjającego włączeniu społecznemu. Poprawa jakości życia ludności, jako efekt tych działań, stanowi integralny komponent koncepcji rozwoju zrównoważonego, do której program wnosi znaczący wkład.</w:t>
            </w:r>
          </w:p>
        </w:tc>
      </w:tr>
      <w:tr w:rsidR="004F05B6" w:rsidRPr="004E3242" w14:paraId="42E211CF" w14:textId="77777777" w:rsidTr="004F05B6">
        <w:tc>
          <w:tcPr>
            <w:tcW w:w="6204" w:type="dxa"/>
            <w:gridSpan w:val="2"/>
            <w:shd w:val="clear" w:color="auto" w:fill="D6E3BC"/>
            <w:vAlign w:val="center"/>
          </w:tcPr>
          <w:p w14:paraId="6328132F" w14:textId="77777777" w:rsidR="004F05B6" w:rsidRPr="004E3242" w:rsidRDefault="004F05B6" w:rsidP="004E3242">
            <w:pPr>
              <w:spacing w:before="60" w:after="60" w:line="240" w:lineRule="auto"/>
              <w:jc w:val="both"/>
              <w:rPr>
                <w:rFonts w:ascii="Arial" w:hAnsi="Arial" w:cs="Arial"/>
                <w:b/>
                <w:bCs/>
                <w:spacing w:val="4"/>
                <w:sz w:val="16"/>
                <w:szCs w:val="16"/>
              </w:rPr>
            </w:pPr>
            <w:r>
              <w:rPr>
                <w:rFonts w:ascii="Arial" w:hAnsi="Arial" w:cs="Arial"/>
                <w:b/>
                <w:spacing w:val="4"/>
                <w:sz w:val="16"/>
                <w:szCs w:val="16"/>
              </w:rPr>
              <w:t>10.</w:t>
            </w:r>
            <w:r w:rsidRPr="004F05B6">
              <w:rPr>
                <w:rFonts w:ascii="Arial" w:hAnsi="Arial" w:cs="Arial"/>
                <w:spacing w:val="4"/>
                <w:sz w:val="16"/>
                <w:szCs w:val="16"/>
              </w:rPr>
              <w:t xml:space="preserve"> Wspieranie kryzysowych działań naprawczych w kontekście pandemii COVID-19 i jej skutków społecznych oraz przygotowanie do ekologicznej i cyfrowej odbudowy gospodarki zwiększającej jej odporność</w:t>
            </w:r>
          </w:p>
        </w:tc>
        <w:tc>
          <w:tcPr>
            <w:tcW w:w="8539" w:type="dxa"/>
            <w:shd w:val="clear" w:color="auto" w:fill="F2F2F2"/>
            <w:vAlign w:val="center"/>
          </w:tcPr>
          <w:p w14:paraId="1374ED69" w14:textId="77777777" w:rsidR="00533BDB" w:rsidRDefault="009F384B" w:rsidP="009F384B">
            <w:pPr>
              <w:numPr>
                <w:ilvl w:val="0"/>
                <w:numId w:val="69"/>
              </w:numPr>
              <w:spacing w:before="60" w:after="60" w:line="240" w:lineRule="auto"/>
              <w:jc w:val="both"/>
              <w:rPr>
                <w:rFonts w:ascii="Arial" w:hAnsi="Arial" w:cs="Arial"/>
                <w:spacing w:val="4"/>
                <w:sz w:val="16"/>
                <w:szCs w:val="16"/>
              </w:rPr>
            </w:pPr>
            <w:r w:rsidRPr="009F384B">
              <w:rPr>
                <w:rFonts w:ascii="Arial" w:hAnsi="Arial" w:cs="Arial"/>
                <w:spacing w:val="4"/>
                <w:sz w:val="16"/>
                <w:szCs w:val="16"/>
              </w:rPr>
              <w:t>Uwzględnienie dodatkowych zasobów wynika w szczególności z konieczności działań naprawczych związanych z kryzysem w kontekście pandemii COVID-19 i przygotowania do ekologicznej i cyfrowej odbudowy gospodarki zwiększającej jej odporność, w szczególności poprzez zwiększenie zapewnienia dostępu do nisko- i zeroemisyjnych źródeł energii, w tym zwiększenia wykorzystania OZE</w:t>
            </w:r>
            <w:r w:rsidR="004427FA">
              <w:rPr>
                <w:rFonts w:ascii="Arial" w:hAnsi="Arial" w:cs="Arial"/>
                <w:spacing w:val="4"/>
                <w:sz w:val="16"/>
                <w:szCs w:val="16"/>
              </w:rPr>
              <w:t>.</w:t>
            </w:r>
          </w:p>
          <w:p w14:paraId="07C487E0" w14:textId="77777777" w:rsidR="00F460B8" w:rsidRDefault="00F460B8" w:rsidP="00F460B8">
            <w:pPr>
              <w:numPr>
                <w:ilvl w:val="0"/>
                <w:numId w:val="69"/>
              </w:numPr>
              <w:spacing w:before="60" w:after="60" w:line="240" w:lineRule="auto"/>
              <w:jc w:val="both"/>
              <w:rPr>
                <w:rFonts w:ascii="Arial" w:hAnsi="Arial" w:cs="Arial"/>
                <w:spacing w:val="4"/>
                <w:sz w:val="16"/>
                <w:szCs w:val="16"/>
              </w:rPr>
            </w:pPr>
            <w:r>
              <w:rPr>
                <w:rFonts w:ascii="Arial" w:hAnsi="Arial" w:cs="Arial"/>
                <w:spacing w:val="4"/>
                <w:sz w:val="16"/>
                <w:szCs w:val="16"/>
              </w:rPr>
              <w:t xml:space="preserve">Mając na względzie dynamikę </w:t>
            </w:r>
            <w:r w:rsidRPr="00AC083A">
              <w:rPr>
                <w:rFonts w:ascii="Arial" w:hAnsi="Arial" w:cs="Arial"/>
                <w:spacing w:val="4"/>
                <w:sz w:val="16"/>
                <w:szCs w:val="16"/>
              </w:rPr>
              <w:t>rozwoju stanu pandemii COVID-19</w:t>
            </w:r>
            <w:r>
              <w:rPr>
                <w:rFonts w:ascii="Arial" w:hAnsi="Arial" w:cs="Arial"/>
                <w:spacing w:val="4"/>
                <w:sz w:val="16"/>
                <w:szCs w:val="16"/>
              </w:rPr>
              <w:t xml:space="preserve">, </w:t>
            </w:r>
            <w:r w:rsidRPr="00AC083A">
              <w:rPr>
                <w:rFonts w:ascii="Arial" w:hAnsi="Arial" w:cs="Arial"/>
                <w:spacing w:val="4"/>
                <w:sz w:val="16"/>
                <w:szCs w:val="16"/>
              </w:rPr>
              <w:t xml:space="preserve"> </w:t>
            </w:r>
            <w:r>
              <w:rPr>
                <w:rFonts w:ascii="Arial" w:hAnsi="Arial" w:cs="Arial"/>
                <w:spacing w:val="4"/>
                <w:sz w:val="16"/>
                <w:szCs w:val="16"/>
              </w:rPr>
              <w:t>istnieje p</w:t>
            </w:r>
            <w:r w:rsidRPr="00AC083A">
              <w:rPr>
                <w:rFonts w:ascii="Arial" w:hAnsi="Arial" w:cs="Arial"/>
                <w:spacing w:val="4"/>
                <w:sz w:val="16"/>
                <w:szCs w:val="16"/>
              </w:rPr>
              <w:t>otrzeba tworzenia odpornego systemu ochrony zdrowia, który jeszcze przez dłuższy czas będzie narażony na deficyty infrastrukturalne</w:t>
            </w:r>
            <w:r>
              <w:rPr>
                <w:rFonts w:ascii="Arial" w:hAnsi="Arial" w:cs="Arial"/>
                <w:spacing w:val="4"/>
                <w:sz w:val="16"/>
                <w:szCs w:val="16"/>
              </w:rPr>
              <w:t>.</w:t>
            </w:r>
            <w:r w:rsidRPr="00AC083A">
              <w:rPr>
                <w:rFonts w:ascii="Arial" w:hAnsi="Arial" w:cs="Arial"/>
                <w:spacing w:val="4"/>
                <w:sz w:val="16"/>
                <w:szCs w:val="16"/>
              </w:rPr>
              <w:t xml:space="preserve"> </w:t>
            </w:r>
          </w:p>
          <w:p w14:paraId="5EC54FC9" w14:textId="77777777" w:rsidR="004F05B6" w:rsidRDefault="00F460B8" w:rsidP="00F460B8">
            <w:pPr>
              <w:numPr>
                <w:ilvl w:val="0"/>
                <w:numId w:val="69"/>
              </w:numPr>
              <w:spacing w:before="60" w:after="60" w:line="240" w:lineRule="auto"/>
              <w:jc w:val="both"/>
              <w:rPr>
                <w:rFonts w:ascii="Arial" w:hAnsi="Arial" w:cs="Arial"/>
                <w:spacing w:val="4"/>
                <w:sz w:val="16"/>
                <w:szCs w:val="16"/>
              </w:rPr>
            </w:pPr>
            <w:r>
              <w:rPr>
                <w:rFonts w:ascii="Arial" w:hAnsi="Arial" w:cs="Arial"/>
                <w:spacing w:val="4"/>
                <w:sz w:val="16"/>
                <w:szCs w:val="16"/>
              </w:rPr>
              <w:t>W</w:t>
            </w:r>
            <w:r w:rsidRPr="00AC083A">
              <w:rPr>
                <w:rFonts w:ascii="Arial" w:hAnsi="Arial" w:cs="Arial"/>
                <w:spacing w:val="4"/>
                <w:sz w:val="16"/>
                <w:szCs w:val="16"/>
              </w:rPr>
              <w:t xml:space="preserve">sparcie strategicznych </w:t>
            </w:r>
            <w:proofErr w:type="spellStart"/>
            <w:r w:rsidRPr="00AC083A">
              <w:rPr>
                <w:rFonts w:ascii="Arial" w:hAnsi="Arial" w:cs="Arial"/>
                <w:spacing w:val="4"/>
                <w:sz w:val="16"/>
                <w:szCs w:val="16"/>
              </w:rPr>
              <w:t>elementow</w:t>
            </w:r>
            <w:proofErr w:type="spellEnd"/>
            <w:r w:rsidRPr="00AC083A">
              <w:rPr>
                <w:rFonts w:ascii="Arial" w:hAnsi="Arial" w:cs="Arial"/>
                <w:spacing w:val="4"/>
                <w:sz w:val="16"/>
                <w:szCs w:val="16"/>
              </w:rPr>
              <w:t xml:space="preserve"> infrastruktury ochrony zdrowia</w:t>
            </w:r>
            <w:r>
              <w:rPr>
                <w:rFonts w:ascii="Arial" w:hAnsi="Arial" w:cs="Arial"/>
                <w:spacing w:val="4"/>
                <w:sz w:val="16"/>
                <w:szCs w:val="16"/>
              </w:rPr>
              <w:t xml:space="preserve"> przyczyni się do </w:t>
            </w:r>
            <w:r w:rsidRPr="00AC083A">
              <w:rPr>
                <w:rFonts w:ascii="Arial" w:hAnsi="Arial" w:cs="Arial"/>
                <w:spacing w:val="4"/>
                <w:sz w:val="16"/>
                <w:szCs w:val="16"/>
              </w:rPr>
              <w:t>zapewnieni</w:t>
            </w:r>
            <w:r>
              <w:rPr>
                <w:rFonts w:ascii="Arial" w:hAnsi="Arial" w:cs="Arial"/>
                <w:spacing w:val="4"/>
                <w:sz w:val="16"/>
                <w:szCs w:val="16"/>
              </w:rPr>
              <w:t>a</w:t>
            </w:r>
            <w:r w:rsidRPr="00AC083A">
              <w:rPr>
                <w:rFonts w:ascii="Arial" w:hAnsi="Arial" w:cs="Arial"/>
                <w:spacing w:val="4"/>
                <w:sz w:val="16"/>
                <w:szCs w:val="16"/>
              </w:rPr>
              <w:t xml:space="preserve"> gotowości reagowania na podobne sytuacje w przyszłości.</w:t>
            </w:r>
          </w:p>
          <w:p w14:paraId="199D4EBB" w14:textId="6FAF628C" w:rsidR="00F13F02" w:rsidRPr="004E3242" w:rsidRDefault="00F13F02" w:rsidP="00F460B8">
            <w:pPr>
              <w:numPr>
                <w:ilvl w:val="0"/>
                <w:numId w:val="69"/>
              </w:numPr>
              <w:spacing w:before="60" w:after="60" w:line="240" w:lineRule="auto"/>
              <w:jc w:val="both"/>
              <w:rPr>
                <w:rFonts w:ascii="Arial" w:hAnsi="Arial" w:cs="Arial"/>
                <w:spacing w:val="4"/>
                <w:sz w:val="16"/>
                <w:szCs w:val="16"/>
              </w:rPr>
            </w:pPr>
            <w:r>
              <w:rPr>
                <w:rFonts w:ascii="Arial" w:hAnsi="Arial" w:cs="Arial"/>
                <w:spacing w:val="4"/>
                <w:sz w:val="16"/>
                <w:szCs w:val="16"/>
              </w:rPr>
              <w:t>Konieczne jest w</w:t>
            </w:r>
            <w:r w:rsidRPr="00F13F02">
              <w:rPr>
                <w:rFonts w:ascii="Arial" w:hAnsi="Arial" w:cs="Arial"/>
                <w:spacing w:val="4"/>
                <w:sz w:val="16"/>
                <w:szCs w:val="16"/>
              </w:rPr>
              <w:t>zmocnienie jednostek samorządowych w odbudowywaniu roli transportu zbiorowego po pandemii</w:t>
            </w:r>
            <w:r>
              <w:rPr>
                <w:rFonts w:ascii="Arial" w:hAnsi="Arial" w:cs="Arial"/>
                <w:spacing w:val="4"/>
                <w:sz w:val="16"/>
                <w:szCs w:val="16"/>
              </w:rPr>
              <w:t xml:space="preserve"> poprzez projekty mające na celu </w:t>
            </w:r>
            <w:r w:rsidRPr="00F13F02">
              <w:rPr>
                <w:rFonts w:ascii="Arial" w:hAnsi="Arial" w:cs="Arial"/>
                <w:spacing w:val="4"/>
                <w:sz w:val="16"/>
                <w:szCs w:val="16"/>
              </w:rPr>
              <w:t>zahamowani</w:t>
            </w:r>
            <w:r>
              <w:rPr>
                <w:rFonts w:ascii="Arial" w:hAnsi="Arial" w:cs="Arial"/>
                <w:spacing w:val="4"/>
                <w:sz w:val="16"/>
                <w:szCs w:val="16"/>
              </w:rPr>
              <w:t>e</w:t>
            </w:r>
            <w:r w:rsidRPr="00F13F02">
              <w:rPr>
                <w:rFonts w:ascii="Arial" w:hAnsi="Arial" w:cs="Arial"/>
                <w:spacing w:val="4"/>
                <w:sz w:val="16"/>
                <w:szCs w:val="16"/>
              </w:rPr>
              <w:t xml:space="preserve"> i odwróceni</w:t>
            </w:r>
            <w:r>
              <w:rPr>
                <w:rFonts w:ascii="Arial" w:hAnsi="Arial" w:cs="Arial"/>
                <w:spacing w:val="4"/>
                <w:sz w:val="16"/>
                <w:szCs w:val="16"/>
              </w:rPr>
              <w:t>e</w:t>
            </w:r>
            <w:r w:rsidRPr="00F13F02">
              <w:rPr>
                <w:rFonts w:ascii="Arial" w:hAnsi="Arial" w:cs="Arial"/>
                <w:spacing w:val="4"/>
                <w:sz w:val="16"/>
                <w:szCs w:val="16"/>
              </w:rPr>
              <w:t xml:space="preserve"> w dłuższym okresie negatywnych trendów w zakresie mobilności w miastach</w:t>
            </w:r>
            <w:r>
              <w:rPr>
                <w:rFonts w:ascii="Arial" w:hAnsi="Arial" w:cs="Arial"/>
                <w:spacing w:val="4"/>
                <w:sz w:val="16"/>
                <w:szCs w:val="16"/>
              </w:rPr>
              <w:t>.</w:t>
            </w:r>
          </w:p>
        </w:tc>
      </w:tr>
    </w:tbl>
    <w:p w14:paraId="75D1FCAD" w14:textId="77777777" w:rsidR="004E3242" w:rsidRPr="004E3242" w:rsidRDefault="004E3242" w:rsidP="004E3242">
      <w:pPr>
        <w:spacing w:after="240" w:line="280" w:lineRule="atLeast"/>
        <w:jc w:val="both"/>
        <w:rPr>
          <w:rFonts w:ascii="Arial" w:hAnsi="Arial" w:cs="Arial"/>
          <w:spacing w:val="4"/>
          <w:sz w:val="20"/>
          <w:szCs w:val="20"/>
        </w:rPr>
      </w:pPr>
    </w:p>
    <w:p w14:paraId="13D767D2" w14:textId="77777777" w:rsidR="004E3242" w:rsidRPr="004E3242" w:rsidRDefault="004E3242" w:rsidP="004E3242">
      <w:pPr>
        <w:rPr>
          <w:rFonts w:ascii="Arial" w:hAnsi="Arial" w:cs="Arial"/>
          <w:sz w:val="20"/>
          <w:szCs w:val="20"/>
        </w:rPr>
      </w:pPr>
    </w:p>
    <w:p w14:paraId="49B69737" w14:textId="77777777" w:rsidR="0063507A" w:rsidRDefault="0063507A" w:rsidP="004E3242">
      <w:pPr>
        <w:rPr>
          <w:rFonts w:ascii="Arial" w:hAnsi="Arial" w:cs="Arial"/>
          <w:sz w:val="20"/>
          <w:szCs w:val="20"/>
        </w:rPr>
        <w:sectPr w:rsidR="0063507A" w:rsidSect="00C73ABE">
          <w:pgSz w:w="16838" w:h="11906" w:orient="landscape"/>
          <w:pgMar w:top="1418" w:right="1418" w:bottom="1418" w:left="1418" w:header="709" w:footer="709" w:gutter="0"/>
          <w:cols w:space="708"/>
          <w:titlePg/>
          <w:docGrid w:linePitch="360"/>
        </w:sectPr>
      </w:pPr>
    </w:p>
    <w:p w14:paraId="7CD3EE18" w14:textId="77777777" w:rsidR="004E3242" w:rsidRPr="004E3242" w:rsidRDefault="004E3242" w:rsidP="004E3242">
      <w:pPr>
        <w:shd w:val="clear" w:color="auto" w:fill="BFBFBF"/>
        <w:spacing w:before="360" w:after="240"/>
        <w:outlineLvl w:val="1"/>
        <w:rPr>
          <w:rFonts w:ascii="Arial" w:hAnsi="Arial" w:cs="Arial"/>
          <w:smallCaps/>
          <w:color w:val="000000"/>
          <w:spacing w:val="15"/>
          <w:sz w:val="20"/>
          <w:szCs w:val="20"/>
          <w:lang w:eastAsia="pl-PL"/>
        </w:rPr>
      </w:pPr>
      <w:bookmarkStart w:id="332" w:name="_Toc373503315"/>
      <w:bookmarkStart w:id="333" w:name="_Toc373767226"/>
      <w:bookmarkStart w:id="334" w:name="_Toc373768778"/>
      <w:bookmarkStart w:id="335" w:name="_Toc373769096"/>
      <w:bookmarkStart w:id="336" w:name="_Toc373503316"/>
      <w:bookmarkStart w:id="337" w:name="_Toc373767227"/>
      <w:bookmarkStart w:id="338" w:name="_Toc373768779"/>
      <w:bookmarkStart w:id="339" w:name="_Toc373769097"/>
      <w:bookmarkStart w:id="340" w:name="_Toc83810558"/>
      <w:bookmarkEnd w:id="332"/>
      <w:bookmarkEnd w:id="333"/>
      <w:bookmarkEnd w:id="334"/>
      <w:bookmarkEnd w:id="335"/>
      <w:bookmarkEnd w:id="336"/>
      <w:bookmarkEnd w:id="337"/>
      <w:bookmarkEnd w:id="338"/>
      <w:bookmarkEnd w:id="339"/>
      <w:r w:rsidRPr="004E3242">
        <w:rPr>
          <w:rFonts w:ascii="Arial" w:hAnsi="Arial"/>
          <w:smallCaps/>
          <w:color w:val="000000"/>
          <w:spacing w:val="4"/>
          <w:sz w:val="24"/>
          <w:szCs w:val="20"/>
          <w:lang w:eastAsia="pl-PL"/>
        </w:rPr>
        <w:lastRenderedPageBreak/>
        <w:t>1.2 Uzasadnienie alokacji finansowej</w:t>
      </w:r>
      <w:bookmarkEnd w:id="340"/>
    </w:p>
    <w:p w14:paraId="69621C1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Przedstawiona koncepcja Programu Operacyjnego Infrastruktura i Środowisko na lata 2014-2020 jest odpowiedzią na wyzwania związane z przyjęciem ambitnych celów rozwojowych zaadresowanych do Polityki Spójności w zakresie infrastruktury rozwoju zrównoważonego, przy jednoczesnym dostosowaniu tych celów do krajowych uwarunkowań. Zgodnie ze Strategią Europa 2020, rozwój zrównoważony oznacza budowanie zrównoważonej i konkurencyjnej gospodarki efektywnie korzystającej z zasobów, tj. jednocześnie uwzględniającej wymiar środowiskowy, społeczny i gospodarczy prowadzonych działań. Program wskazuje  krajowe cele w obszarze rozwoju zrównoważonego, przy zachowaniu spójności i równowagi pomiędzy działaniami inwestycyjnymi w zakresie niezbędnej infrastruktury oraz wsparcia skierowanego do wybranych obszarów gospodarki.</w:t>
      </w:r>
    </w:p>
    <w:p w14:paraId="73DD2EB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Struktura programu składa się  z czterech  głównych celów tematycznych tworzących podstawowe obszary interwencji (gospodarka niskoemisyjna, adaptacja do zmian klimatu, ochrona środowiska i efektywne wykorzystanie zasobów, transport zrównoważony i bezpieczeństwo energetyczne) oraz w ograniczonym zakresie komplementarnych działań dotyczących kluczowych elementów infrastruktury ochrony zdrowia oraz dziedzictwa kulturowego. Działania realizowane w ramach programu zostały dobrane tak, aby w największym stopniu przyczyniały się do osiągnięcia celu głównego, tj. wsparcia gospodarki efektywnie korzystającej z zasobów i przyjaznej środowisku oraz sprzyjającej spójności terytorialnej i społecznej.</w:t>
      </w:r>
    </w:p>
    <w:p w14:paraId="07562CCD" w14:textId="77777777" w:rsidR="004E3242" w:rsidRPr="004E3242" w:rsidRDefault="004E3242" w:rsidP="00EA4B27">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Konstrukcja programu operacyjnego odchodzi od sektorowości rozumianej jako osiąganie celów strategicznych poprzez kumulację interwencji w poszczególnych sektorach. Podejście to  zostało zastąpione podejściem zintegrowanym, zakładającym prymat celów tematycznych i dobieranie do nich adekwatnych instrumentów wsparcia. Zgodnie z nowym podejściem, podejmowane będą interwencje przekrojowe w różnych obszarach, jednak ich cele strategiczne nie powinny dotyczyć poszczególnych sektorów gospodarki. Przyjęcie takiego podejścia jest również związane z koniecznością znaczącego wzmocnienia efektywności inwestycji poprzez szersze niż do tej pory wykorzystanie zasady komplementarności interwencji finansowanych operacji.</w:t>
      </w:r>
    </w:p>
    <w:p w14:paraId="100173F1" w14:textId="77777777" w:rsidR="004F05B6" w:rsidRPr="004E3242" w:rsidRDefault="004E3242" w:rsidP="00EA4B27">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Zmiana podejścia znajduje swoje odzwierciedlenie również w zdecydowanie mocniejszym zaakcentowaniu w programie wymiaru terytorialnego. Wsparcie kierowane jest zarówno do miast wojewódzkich i obszarów powiązanych z nimi funkcjonalnie, tj. mniejszych miast i obszarów wiejskich je otaczających, jak i miast regionalnych i </w:t>
      </w:r>
      <w:proofErr w:type="spellStart"/>
      <w:r w:rsidRPr="004E3242">
        <w:rPr>
          <w:rFonts w:ascii="Arial" w:eastAsia="Times New Roman" w:hAnsi="Arial" w:cs="Arial"/>
          <w:sz w:val="20"/>
          <w:szCs w:val="20"/>
          <w:lang w:eastAsia="pl-PL"/>
        </w:rPr>
        <w:t>subregionalnych</w:t>
      </w:r>
      <w:proofErr w:type="spellEnd"/>
      <w:r w:rsidRPr="004E3242">
        <w:rPr>
          <w:rFonts w:ascii="Arial" w:eastAsia="Times New Roman" w:hAnsi="Arial" w:cs="Arial"/>
          <w:sz w:val="20"/>
          <w:szCs w:val="20"/>
          <w:lang w:eastAsia="pl-PL"/>
        </w:rPr>
        <w:t>, które stoją przed poważnymi wyzwaniami rozwojowymi związanymi z przywróceniem ich znaczenia w procesach rozwojowych. Wsparcie miast obejmuje w szczególności interwencje związane z realizacją strategii niskoemisyjnych, w tym transportu publicznego, rewitalizację przestrzeni miejskich uwzględniającą aspekty środowiskowe (poprzez działania dotyczące kompleksowej termomodernizacji budynków użyteczności publicznej i mieszkalnych, odnawialnych źródeł energii), ochronę środowiska, w tym gospodarkę wodno-kanalizacyjną, odpadową i rekultywację terenów zdegradowanych, kulturę i infrastrukturę zdrowotną, w szczególności związaną z systemem ratownictwa medycznego.</w:t>
      </w:r>
    </w:p>
    <w:p w14:paraId="22C99242" w14:textId="77777777" w:rsidR="004E3242" w:rsidRPr="004E3242" w:rsidRDefault="004E3242" w:rsidP="004E3242">
      <w:pPr>
        <w:spacing w:after="120" w:line="240" w:lineRule="auto"/>
        <w:ind w:firstLine="709"/>
        <w:jc w:val="both"/>
        <w:rPr>
          <w:rFonts w:ascii="Arial" w:eastAsia="Times New Roman" w:hAnsi="Arial" w:cs="Arial"/>
          <w:sz w:val="20"/>
          <w:szCs w:val="20"/>
          <w:lang w:eastAsia="pl-PL"/>
        </w:rPr>
      </w:pPr>
    </w:p>
    <w:p w14:paraId="29FCC02D" w14:textId="77777777" w:rsidR="004E3242" w:rsidRPr="004E3242" w:rsidRDefault="004E3242" w:rsidP="004E3242">
      <w:pPr>
        <w:rPr>
          <w:lang w:eastAsia="pl-PL"/>
        </w:rPr>
      </w:pPr>
    </w:p>
    <w:p w14:paraId="60653BCA" w14:textId="77777777" w:rsidR="0063507A" w:rsidRDefault="0063507A" w:rsidP="004E3242">
      <w:pPr>
        <w:rPr>
          <w:lang w:eastAsia="pl-PL"/>
        </w:rPr>
        <w:sectPr w:rsidR="0063507A" w:rsidSect="00C73ABE">
          <w:pgSz w:w="11906" w:h="16838"/>
          <w:pgMar w:top="964" w:right="1418" w:bottom="964" w:left="1418" w:header="709" w:footer="709" w:gutter="0"/>
          <w:cols w:space="708"/>
          <w:titlePg/>
          <w:docGrid w:linePitch="360"/>
        </w:sectPr>
      </w:pPr>
    </w:p>
    <w:p w14:paraId="26B38C20" w14:textId="77777777" w:rsidR="004E3242" w:rsidRPr="004E3242" w:rsidRDefault="004E3242" w:rsidP="004E3242">
      <w:pPr>
        <w:rPr>
          <w:lang w:eastAsia="pl-PL"/>
        </w:rPr>
      </w:pPr>
    </w:p>
    <w:p w14:paraId="51137600" w14:textId="77777777" w:rsidR="004E3242" w:rsidRPr="004E3242" w:rsidRDefault="004E3242" w:rsidP="004E3242">
      <w:pPr>
        <w:rPr>
          <w:lang w:eastAsia="pl-PL"/>
        </w:rPr>
      </w:pPr>
      <w:r w:rsidRPr="004E3242">
        <w:rPr>
          <w:rFonts w:ascii="Arial" w:hAnsi="Arial" w:cs="Arial"/>
          <w:smallCaps/>
          <w:color w:val="808080"/>
          <w:sz w:val="18"/>
          <w:szCs w:val="18"/>
        </w:rPr>
        <w:t xml:space="preserve">Tabela </w:t>
      </w:r>
      <w:r w:rsidRPr="004E3242">
        <w:rPr>
          <w:rFonts w:ascii="Arial" w:hAnsi="Arial" w:cs="Arial"/>
          <w:smallCaps/>
          <w:color w:val="808080"/>
          <w:sz w:val="18"/>
          <w:szCs w:val="18"/>
        </w:rPr>
        <w:fldChar w:fldCharType="begin"/>
      </w:r>
      <w:r w:rsidRPr="004E3242">
        <w:rPr>
          <w:rFonts w:ascii="Arial" w:hAnsi="Arial" w:cs="Arial"/>
          <w:smallCaps/>
          <w:color w:val="808080"/>
          <w:sz w:val="18"/>
          <w:szCs w:val="18"/>
        </w:rPr>
        <w:instrText xml:space="preserve"> SEQ Tabela \* ARABIC </w:instrText>
      </w:r>
      <w:r w:rsidRPr="004E3242">
        <w:rPr>
          <w:rFonts w:ascii="Arial" w:hAnsi="Arial" w:cs="Arial"/>
          <w:smallCaps/>
          <w:color w:val="808080"/>
          <w:sz w:val="18"/>
          <w:szCs w:val="18"/>
        </w:rPr>
        <w:fldChar w:fldCharType="separate"/>
      </w:r>
      <w:r w:rsidR="00C04517">
        <w:rPr>
          <w:rFonts w:ascii="Arial" w:hAnsi="Arial" w:cs="Arial"/>
          <w:smallCaps/>
          <w:noProof/>
          <w:color w:val="808080"/>
          <w:sz w:val="18"/>
          <w:szCs w:val="18"/>
        </w:rPr>
        <w:t>2</w:t>
      </w:r>
      <w:r w:rsidRPr="004E3242">
        <w:rPr>
          <w:rFonts w:ascii="Arial" w:hAnsi="Arial" w:cs="Arial"/>
          <w:smallCaps/>
          <w:color w:val="808080"/>
          <w:sz w:val="18"/>
          <w:szCs w:val="18"/>
        </w:rPr>
        <w:fldChar w:fldCharType="end"/>
      </w:r>
      <w:r w:rsidRPr="004E3242">
        <w:rPr>
          <w:rFonts w:ascii="Arial" w:hAnsi="Arial" w:cs="Arial"/>
          <w:smallCaps/>
          <w:color w:val="808080"/>
          <w:sz w:val="18"/>
          <w:szCs w:val="18"/>
        </w:rPr>
        <w:t>. PRZEGLĄD STRATEGII INWESTYCYJNEJ PROGRAMU OPERACYJNEGO</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817"/>
        <w:gridCol w:w="992"/>
        <w:gridCol w:w="1419"/>
        <w:gridCol w:w="850"/>
        <w:gridCol w:w="1134"/>
        <w:gridCol w:w="1274"/>
        <w:gridCol w:w="3969"/>
        <w:gridCol w:w="4671"/>
      </w:tblGrid>
      <w:tr w:rsidR="004E3242" w:rsidRPr="004E3242" w14:paraId="20C78DA8" w14:textId="77777777" w:rsidTr="00AA7998">
        <w:trPr>
          <w:tblHeader/>
        </w:trPr>
        <w:tc>
          <w:tcPr>
            <w:tcW w:w="270" w:type="pct"/>
            <w:shd w:val="clear" w:color="auto" w:fill="99CC00"/>
            <w:vAlign w:val="center"/>
          </w:tcPr>
          <w:p w14:paraId="72A2B7B0"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Oś priorytetowa</w:t>
            </w:r>
          </w:p>
        </w:tc>
        <w:tc>
          <w:tcPr>
            <w:tcW w:w="328" w:type="pct"/>
            <w:shd w:val="clear" w:color="auto" w:fill="99CC00"/>
            <w:vAlign w:val="center"/>
          </w:tcPr>
          <w:p w14:paraId="676DC509"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Fundusz</w:t>
            </w:r>
          </w:p>
        </w:tc>
        <w:tc>
          <w:tcPr>
            <w:tcW w:w="469" w:type="pct"/>
            <w:shd w:val="clear" w:color="auto" w:fill="99CC00"/>
            <w:vAlign w:val="center"/>
          </w:tcPr>
          <w:p w14:paraId="792CCBE6"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Wkład UE (EUR)</w:t>
            </w:r>
          </w:p>
        </w:tc>
        <w:tc>
          <w:tcPr>
            <w:tcW w:w="281" w:type="pct"/>
            <w:shd w:val="clear" w:color="auto" w:fill="99CC00"/>
            <w:vAlign w:val="center"/>
          </w:tcPr>
          <w:p w14:paraId="46972A65"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Udział wkładu UE(%)</w:t>
            </w:r>
          </w:p>
        </w:tc>
        <w:tc>
          <w:tcPr>
            <w:tcW w:w="375" w:type="pct"/>
            <w:shd w:val="clear" w:color="auto" w:fill="99CC00"/>
            <w:vAlign w:val="center"/>
          </w:tcPr>
          <w:p w14:paraId="304237A3"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Cel tematyczny</w:t>
            </w:r>
          </w:p>
        </w:tc>
        <w:tc>
          <w:tcPr>
            <w:tcW w:w="421" w:type="pct"/>
            <w:shd w:val="clear" w:color="auto" w:fill="99CC00"/>
            <w:vAlign w:val="center"/>
          </w:tcPr>
          <w:p w14:paraId="775D44F9"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Priorytet inwestycyjny</w:t>
            </w:r>
          </w:p>
        </w:tc>
        <w:tc>
          <w:tcPr>
            <w:tcW w:w="1312" w:type="pct"/>
            <w:shd w:val="clear" w:color="auto" w:fill="99CC00"/>
            <w:vAlign w:val="center"/>
          </w:tcPr>
          <w:p w14:paraId="502BFFB7"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Cele szczegółowe</w:t>
            </w:r>
          </w:p>
        </w:tc>
        <w:tc>
          <w:tcPr>
            <w:tcW w:w="1544" w:type="pct"/>
            <w:shd w:val="clear" w:color="auto" w:fill="99CC00"/>
            <w:vAlign w:val="center"/>
          </w:tcPr>
          <w:p w14:paraId="42FDE1AD" w14:textId="77777777" w:rsidR="004E3242" w:rsidRPr="004E3242" w:rsidRDefault="004E3242" w:rsidP="004E3242">
            <w:pPr>
              <w:spacing w:before="40" w:after="40" w:line="240" w:lineRule="auto"/>
              <w:jc w:val="center"/>
              <w:rPr>
                <w:rFonts w:ascii="Arial" w:hAnsi="Arial" w:cs="Arial"/>
                <w:bCs/>
                <w:color w:val="FFFFFF"/>
                <w:spacing w:val="4"/>
                <w:sz w:val="16"/>
                <w:szCs w:val="16"/>
              </w:rPr>
            </w:pPr>
            <w:r w:rsidRPr="004E3242">
              <w:rPr>
                <w:rFonts w:ascii="Arial" w:hAnsi="Arial" w:cs="Arial"/>
                <w:bCs/>
                <w:color w:val="FFFFFF"/>
                <w:spacing w:val="4"/>
                <w:sz w:val="16"/>
                <w:szCs w:val="16"/>
              </w:rPr>
              <w:t>Wskaźniki rezultatu</w:t>
            </w:r>
          </w:p>
        </w:tc>
      </w:tr>
      <w:tr w:rsidR="004E3242" w:rsidRPr="004E3242" w14:paraId="02586AFD" w14:textId="77777777" w:rsidTr="00AA7998">
        <w:tc>
          <w:tcPr>
            <w:tcW w:w="270" w:type="pct"/>
            <w:vMerge w:val="restart"/>
            <w:shd w:val="clear" w:color="auto" w:fill="F2F2F2"/>
            <w:vAlign w:val="center"/>
          </w:tcPr>
          <w:p w14:paraId="2292176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I.</w:t>
            </w:r>
          </w:p>
        </w:tc>
        <w:tc>
          <w:tcPr>
            <w:tcW w:w="328" w:type="pct"/>
            <w:vMerge w:val="restart"/>
            <w:shd w:val="clear" w:color="auto" w:fill="F2F2F2"/>
            <w:vAlign w:val="center"/>
          </w:tcPr>
          <w:p w14:paraId="5998E58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469" w:type="pct"/>
            <w:vMerge w:val="restart"/>
            <w:shd w:val="clear" w:color="auto" w:fill="F2F2F2"/>
            <w:vAlign w:val="center"/>
          </w:tcPr>
          <w:p w14:paraId="59A9F901"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bCs/>
                <w:spacing w:val="4"/>
                <w:sz w:val="16"/>
                <w:szCs w:val="16"/>
              </w:rPr>
              <w:t xml:space="preserve">1 828 430 978    </w:t>
            </w:r>
          </w:p>
        </w:tc>
        <w:tc>
          <w:tcPr>
            <w:tcW w:w="281" w:type="pct"/>
            <w:vMerge w:val="restart"/>
            <w:shd w:val="clear" w:color="auto" w:fill="F2F2F2"/>
            <w:vAlign w:val="center"/>
          </w:tcPr>
          <w:p w14:paraId="645FDA05" w14:textId="77777777" w:rsidR="00BF6D02" w:rsidRDefault="00BF6D02" w:rsidP="004E3242">
            <w:pPr>
              <w:spacing w:before="40" w:after="40" w:line="240" w:lineRule="auto"/>
              <w:jc w:val="center"/>
              <w:rPr>
                <w:rFonts w:ascii="Arial" w:hAnsi="Arial" w:cs="Arial"/>
                <w:spacing w:val="4"/>
                <w:sz w:val="16"/>
                <w:szCs w:val="16"/>
              </w:rPr>
            </w:pPr>
            <w:r>
              <w:rPr>
                <w:rFonts w:ascii="Arial" w:hAnsi="Arial" w:cs="Arial"/>
                <w:spacing w:val="4"/>
                <w:sz w:val="16"/>
                <w:szCs w:val="16"/>
              </w:rPr>
              <w:t>6,49</w:t>
            </w:r>
          </w:p>
          <w:p w14:paraId="0986E181" w14:textId="44E24C55"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val="restart"/>
            <w:shd w:val="clear" w:color="auto" w:fill="F2F2F2"/>
            <w:vAlign w:val="center"/>
          </w:tcPr>
          <w:p w14:paraId="1685B8F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w:t>
            </w:r>
          </w:p>
        </w:tc>
        <w:tc>
          <w:tcPr>
            <w:tcW w:w="421" w:type="pct"/>
            <w:shd w:val="clear" w:color="auto" w:fill="F2F2F2"/>
            <w:vAlign w:val="center"/>
          </w:tcPr>
          <w:p w14:paraId="2316219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4.i.</w:t>
            </w:r>
          </w:p>
        </w:tc>
        <w:tc>
          <w:tcPr>
            <w:tcW w:w="1312" w:type="pct"/>
            <w:shd w:val="clear" w:color="auto" w:fill="F2F2F2"/>
            <w:vAlign w:val="center"/>
          </w:tcPr>
          <w:p w14:paraId="2314793A"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Wzrost udziału energii wytwarzanej ze źródeł odnawialnych w końcowym zużyciu energii brutto</w:t>
            </w:r>
          </w:p>
        </w:tc>
        <w:tc>
          <w:tcPr>
            <w:tcW w:w="1544" w:type="pct"/>
            <w:shd w:val="clear" w:color="auto" w:fill="F2F2F2"/>
            <w:vAlign w:val="center"/>
          </w:tcPr>
          <w:p w14:paraId="637B5CD7"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Udział energii ze źródeł odnawialnych w końcowym zużyciu energii brutto</w:t>
            </w:r>
          </w:p>
          <w:p w14:paraId="0EA59BD8" w14:textId="77777777" w:rsidR="004E3242" w:rsidRPr="004E3242" w:rsidRDefault="004E3242" w:rsidP="004E3242">
            <w:pPr>
              <w:spacing w:before="40" w:after="40" w:line="240" w:lineRule="auto"/>
              <w:ind w:left="316"/>
              <w:jc w:val="both"/>
              <w:rPr>
                <w:rFonts w:ascii="Arial" w:hAnsi="Arial" w:cs="Arial"/>
                <w:spacing w:val="4"/>
                <w:sz w:val="16"/>
                <w:szCs w:val="16"/>
              </w:rPr>
            </w:pPr>
          </w:p>
        </w:tc>
      </w:tr>
      <w:tr w:rsidR="004E3242" w:rsidRPr="004E3242" w14:paraId="53DE5AB7" w14:textId="77777777" w:rsidTr="00AA7998">
        <w:tc>
          <w:tcPr>
            <w:tcW w:w="270" w:type="pct"/>
            <w:vMerge/>
            <w:shd w:val="clear" w:color="auto" w:fill="F2F2F2"/>
            <w:vAlign w:val="center"/>
          </w:tcPr>
          <w:p w14:paraId="150D2442"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3434C23C"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670C4280"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5C600602"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6AD36EF0"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4C53E2D3"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4.ii.</w:t>
            </w:r>
          </w:p>
        </w:tc>
        <w:tc>
          <w:tcPr>
            <w:tcW w:w="1312" w:type="pct"/>
            <w:shd w:val="clear" w:color="auto" w:fill="F2F2F2"/>
            <w:vAlign w:val="center"/>
          </w:tcPr>
          <w:p w14:paraId="49319962"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Zwiększona efektywność energetyczna w przedsiębiorstwach</w:t>
            </w:r>
          </w:p>
        </w:tc>
        <w:tc>
          <w:tcPr>
            <w:tcW w:w="1544" w:type="pct"/>
            <w:shd w:val="clear" w:color="auto" w:fill="F2F2F2"/>
            <w:vAlign w:val="center"/>
          </w:tcPr>
          <w:p w14:paraId="0ED6318D"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p w14:paraId="4A37A5BF" w14:textId="77777777" w:rsidR="004E3242" w:rsidRPr="004E3242" w:rsidRDefault="004E3242" w:rsidP="00CB6667">
            <w:pPr>
              <w:spacing w:before="40" w:after="40" w:line="240" w:lineRule="auto"/>
              <w:ind w:left="360"/>
              <w:jc w:val="both"/>
              <w:rPr>
                <w:rFonts w:ascii="Arial" w:hAnsi="Arial" w:cs="Arial"/>
                <w:spacing w:val="4"/>
                <w:sz w:val="16"/>
                <w:szCs w:val="16"/>
              </w:rPr>
            </w:pPr>
          </w:p>
        </w:tc>
      </w:tr>
      <w:tr w:rsidR="004E3242" w:rsidRPr="004E3242" w14:paraId="25E35C3F" w14:textId="77777777" w:rsidTr="00AA7998">
        <w:tc>
          <w:tcPr>
            <w:tcW w:w="270" w:type="pct"/>
            <w:vMerge/>
            <w:shd w:val="clear" w:color="auto" w:fill="F2F2F2"/>
            <w:vAlign w:val="center"/>
          </w:tcPr>
          <w:p w14:paraId="144AFF84"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1C39270C"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579BC4C2"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0DD838AC"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3B02CB11"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753527EF"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4.iii.</w:t>
            </w:r>
          </w:p>
        </w:tc>
        <w:tc>
          <w:tcPr>
            <w:tcW w:w="1312" w:type="pct"/>
            <w:shd w:val="clear" w:color="auto" w:fill="F2F2F2"/>
            <w:vAlign w:val="center"/>
          </w:tcPr>
          <w:p w14:paraId="1349F716"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Zwiększona efektywność energetyczna w budownictwie wielorodzinnym mieszkaniowym oraz w budynkach użyteczności publicznej</w:t>
            </w:r>
          </w:p>
        </w:tc>
        <w:tc>
          <w:tcPr>
            <w:tcW w:w="1544" w:type="pct"/>
            <w:shd w:val="clear" w:color="auto" w:fill="F2F2F2"/>
            <w:vAlign w:val="center"/>
          </w:tcPr>
          <w:p w14:paraId="1798B2D4"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p w14:paraId="58112C75"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Sprzedaż energii cieplnej na cele komunalno-bytowe w budynkach mieszkalnych w przeliczeniu na kubaturę budynków mieszkalnych ogrzewanych centralnie</w:t>
            </w:r>
          </w:p>
        </w:tc>
      </w:tr>
      <w:tr w:rsidR="004E3242" w:rsidRPr="004E3242" w14:paraId="182BB23A" w14:textId="77777777" w:rsidTr="00AA7998">
        <w:tc>
          <w:tcPr>
            <w:tcW w:w="270" w:type="pct"/>
            <w:vMerge/>
            <w:shd w:val="clear" w:color="auto" w:fill="F2F2F2"/>
            <w:vAlign w:val="center"/>
          </w:tcPr>
          <w:p w14:paraId="1E56AB44"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7DF50307"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3B820DA4"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07522E37"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76C39B17"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4921BA84"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4.iv.</w:t>
            </w:r>
          </w:p>
        </w:tc>
        <w:tc>
          <w:tcPr>
            <w:tcW w:w="1312" w:type="pct"/>
            <w:shd w:val="clear" w:color="auto" w:fill="F2F2F2"/>
            <w:vAlign w:val="center"/>
          </w:tcPr>
          <w:p w14:paraId="2DFD28DB"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Wprowadzenie pilotażowych sieci inteligentnych</w:t>
            </w:r>
          </w:p>
        </w:tc>
        <w:tc>
          <w:tcPr>
            <w:tcW w:w="1544" w:type="pct"/>
            <w:shd w:val="clear" w:color="auto" w:fill="F2F2F2"/>
            <w:vAlign w:val="center"/>
          </w:tcPr>
          <w:p w14:paraId="6415174C"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Odsetek odbiorców korzystających z inteligentnych liczników</w:t>
            </w:r>
          </w:p>
        </w:tc>
      </w:tr>
      <w:tr w:rsidR="004E3242" w:rsidRPr="004E3242" w14:paraId="3D5378B0" w14:textId="77777777" w:rsidTr="00AA7998">
        <w:tc>
          <w:tcPr>
            <w:tcW w:w="270" w:type="pct"/>
            <w:vMerge/>
            <w:shd w:val="clear" w:color="auto" w:fill="F2F2F2"/>
            <w:vAlign w:val="center"/>
          </w:tcPr>
          <w:p w14:paraId="5F6118F6"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2B07708E"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5775D399"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5E437084"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5C407349"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2F93909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4.v.</w:t>
            </w:r>
          </w:p>
        </w:tc>
        <w:tc>
          <w:tcPr>
            <w:tcW w:w="1312" w:type="pct"/>
            <w:shd w:val="clear" w:color="auto" w:fill="F2F2F2"/>
            <w:vAlign w:val="center"/>
          </w:tcPr>
          <w:p w14:paraId="4B1F8963"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Zwiększona sprawność </w:t>
            </w:r>
            <w:proofErr w:type="spellStart"/>
            <w:r w:rsidRPr="004E3242">
              <w:rPr>
                <w:rFonts w:ascii="Arial" w:hAnsi="Arial" w:cs="Arial"/>
                <w:spacing w:val="4"/>
                <w:sz w:val="16"/>
                <w:szCs w:val="16"/>
              </w:rPr>
              <w:t>przesyłu</w:t>
            </w:r>
            <w:proofErr w:type="spellEnd"/>
            <w:r w:rsidRPr="004E3242">
              <w:rPr>
                <w:rFonts w:ascii="Arial" w:hAnsi="Arial" w:cs="Arial"/>
                <w:spacing w:val="4"/>
                <w:sz w:val="16"/>
                <w:szCs w:val="16"/>
              </w:rPr>
              <w:t xml:space="preserve"> energii termicznej</w:t>
            </w:r>
          </w:p>
        </w:tc>
        <w:tc>
          <w:tcPr>
            <w:tcW w:w="1544" w:type="pct"/>
            <w:shd w:val="clear" w:color="auto" w:fill="F2F2F2"/>
            <w:vAlign w:val="center"/>
          </w:tcPr>
          <w:p w14:paraId="13E67734"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p w14:paraId="0B77D05F"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Emisja gazów cieplarnianych</w:t>
            </w:r>
          </w:p>
          <w:p w14:paraId="0E81951F"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Sprawność przesyłania energii w koncesjonowanych przedsiębiorstwach ciepłowniczych</w:t>
            </w:r>
          </w:p>
          <w:p w14:paraId="1C427A1D"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Ludność miast narażona na stężenie PM10 przewyższające dzienny limit (przez więcej niż 35 dni w roku) – średnia 3 letnia</w:t>
            </w:r>
          </w:p>
        </w:tc>
      </w:tr>
      <w:tr w:rsidR="004E3242" w:rsidRPr="004E3242" w14:paraId="2D8607DD" w14:textId="77777777" w:rsidTr="00AA7998">
        <w:tc>
          <w:tcPr>
            <w:tcW w:w="270" w:type="pct"/>
            <w:vMerge/>
            <w:shd w:val="clear" w:color="auto" w:fill="F2F2F2"/>
            <w:vAlign w:val="center"/>
          </w:tcPr>
          <w:p w14:paraId="4649BCB9"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15D9D54F"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60D8F1D8"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7DC2C382"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33D33C7A"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49C3DDAD"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4.vi.</w:t>
            </w:r>
          </w:p>
        </w:tc>
        <w:tc>
          <w:tcPr>
            <w:tcW w:w="1312" w:type="pct"/>
            <w:shd w:val="clear" w:color="auto" w:fill="F2F2F2"/>
            <w:vAlign w:val="center"/>
          </w:tcPr>
          <w:p w14:paraId="7A1C0904"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Zwiększony udział energii wytwarzanej w wysokosprawnej kogeneracji</w:t>
            </w:r>
          </w:p>
        </w:tc>
        <w:tc>
          <w:tcPr>
            <w:tcW w:w="1544" w:type="pct"/>
            <w:shd w:val="clear" w:color="auto" w:fill="F2F2F2"/>
            <w:vAlign w:val="center"/>
          </w:tcPr>
          <w:p w14:paraId="2092D01F"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p w14:paraId="3B46FDDE"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Udział energii elektrycznej produkowanej w skojarzeniu w produkcji energii elektrycznej ogółem</w:t>
            </w:r>
          </w:p>
        </w:tc>
      </w:tr>
      <w:tr w:rsidR="004E3242" w:rsidRPr="004E3242" w14:paraId="7C7A8647" w14:textId="77777777" w:rsidTr="00AA7998">
        <w:tc>
          <w:tcPr>
            <w:tcW w:w="270" w:type="pct"/>
            <w:vMerge w:val="restart"/>
            <w:shd w:val="clear" w:color="auto" w:fill="F2F2F2"/>
            <w:vAlign w:val="center"/>
          </w:tcPr>
          <w:p w14:paraId="09E8777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II.</w:t>
            </w:r>
          </w:p>
        </w:tc>
        <w:tc>
          <w:tcPr>
            <w:tcW w:w="328" w:type="pct"/>
            <w:vMerge w:val="restart"/>
            <w:shd w:val="clear" w:color="auto" w:fill="F2F2F2"/>
            <w:vAlign w:val="center"/>
          </w:tcPr>
          <w:p w14:paraId="363AC87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469" w:type="pct"/>
            <w:shd w:val="clear" w:color="auto" w:fill="F2F2F2"/>
            <w:vAlign w:val="center"/>
          </w:tcPr>
          <w:p w14:paraId="08299A0F" w14:textId="77777777" w:rsidR="004E3242" w:rsidRPr="004E3242" w:rsidRDefault="001F407D" w:rsidP="001F407D">
            <w:pPr>
              <w:spacing w:before="40" w:after="40" w:line="240" w:lineRule="auto"/>
              <w:jc w:val="center"/>
              <w:rPr>
                <w:rFonts w:ascii="Arial" w:hAnsi="Arial" w:cs="Arial"/>
                <w:spacing w:val="4"/>
                <w:sz w:val="16"/>
                <w:szCs w:val="16"/>
              </w:rPr>
            </w:pPr>
            <w:r>
              <w:rPr>
                <w:rFonts w:ascii="Arial" w:hAnsi="Arial" w:cs="Arial"/>
                <w:sz w:val="16"/>
                <w:szCs w:val="16"/>
              </w:rPr>
              <w:t xml:space="preserve">  </w:t>
            </w:r>
            <w:r w:rsidRPr="001F407D">
              <w:rPr>
                <w:rFonts w:ascii="Arial" w:hAnsi="Arial" w:cs="Arial"/>
                <w:sz w:val="16"/>
                <w:szCs w:val="16"/>
              </w:rPr>
              <w:t>920 267 366</w:t>
            </w:r>
          </w:p>
        </w:tc>
        <w:tc>
          <w:tcPr>
            <w:tcW w:w="281" w:type="pct"/>
            <w:shd w:val="clear" w:color="auto" w:fill="F2F2F2"/>
            <w:vAlign w:val="center"/>
          </w:tcPr>
          <w:p w14:paraId="225AC72D" w14:textId="77777777" w:rsidR="007202F4" w:rsidRDefault="007202F4" w:rsidP="001F407D">
            <w:pPr>
              <w:spacing w:before="40" w:after="40" w:line="240" w:lineRule="auto"/>
              <w:jc w:val="center"/>
              <w:rPr>
                <w:rFonts w:ascii="Arial" w:hAnsi="Arial" w:cs="Arial"/>
                <w:spacing w:val="4"/>
                <w:sz w:val="16"/>
                <w:szCs w:val="16"/>
              </w:rPr>
            </w:pPr>
            <w:r>
              <w:rPr>
                <w:rFonts w:ascii="Arial" w:hAnsi="Arial" w:cs="Arial"/>
                <w:spacing w:val="4"/>
                <w:sz w:val="16"/>
                <w:szCs w:val="16"/>
              </w:rPr>
              <w:t>3,27</w:t>
            </w:r>
          </w:p>
          <w:p w14:paraId="2DE5FE43" w14:textId="1CBDC04B" w:rsidR="004E3242" w:rsidRPr="004E3242" w:rsidRDefault="004E3242" w:rsidP="001F407D">
            <w:pPr>
              <w:spacing w:before="40" w:after="40" w:line="240" w:lineRule="auto"/>
              <w:jc w:val="center"/>
              <w:rPr>
                <w:rFonts w:ascii="Arial" w:hAnsi="Arial" w:cs="Arial"/>
                <w:spacing w:val="4"/>
                <w:sz w:val="16"/>
                <w:szCs w:val="16"/>
              </w:rPr>
            </w:pPr>
          </w:p>
        </w:tc>
        <w:tc>
          <w:tcPr>
            <w:tcW w:w="375" w:type="pct"/>
            <w:shd w:val="clear" w:color="auto" w:fill="F2F2F2"/>
            <w:vAlign w:val="center"/>
          </w:tcPr>
          <w:p w14:paraId="6B58143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5.</w:t>
            </w:r>
          </w:p>
        </w:tc>
        <w:tc>
          <w:tcPr>
            <w:tcW w:w="421" w:type="pct"/>
            <w:shd w:val="clear" w:color="auto" w:fill="F2F2F2"/>
            <w:vAlign w:val="center"/>
          </w:tcPr>
          <w:p w14:paraId="2D0CBE47"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5.ii.</w:t>
            </w:r>
          </w:p>
        </w:tc>
        <w:tc>
          <w:tcPr>
            <w:tcW w:w="1312" w:type="pct"/>
            <w:shd w:val="clear" w:color="auto" w:fill="F2F2F2"/>
            <w:vAlign w:val="center"/>
          </w:tcPr>
          <w:p w14:paraId="5CEC6F1A"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Większa ilość retencjonowanej wody oraz wyższa sprawność przeprowadzania rozpoznania i reagowania w sytuacji wystąpienia zagrożeń naturalnych i poważnych awarii </w:t>
            </w:r>
          </w:p>
        </w:tc>
        <w:tc>
          <w:tcPr>
            <w:tcW w:w="1544" w:type="pct"/>
            <w:shd w:val="clear" w:color="auto" w:fill="F2F2F2"/>
            <w:vAlign w:val="center"/>
          </w:tcPr>
          <w:p w14:paraId="756F12F5"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Pojemność obiektów małej retencji wodnej</w:t>
            </w:r>
          </w:p>
          <w:p w14:paraId="41372B07" w14:textId="77777777" w:rsidR="004E3242" w:rsidRPr="004E3242" w:rsidRDefault="00FF42CA" w:rsidP="00FF42CA">
            <w:pPr>
              <w:numPr>
                <w:ilvl w:val="0"/>
                <w:numId w:val="70"/>
              </w:numPr>
              <w:spacing w:before="40" w:after="40" w:line="240" w:lineRule="auto"/>
              <w:jc w:val="both"/>
              <w:rPr>
                <w:rFonts w:ascii="Arial" w:hAnsi="Arial" w:cs="Arial"/>
                <w:spacing w:val="4"/>
                <w:sz w:val="16"/>
                <w:szCs w:val="16"/>
              </w:rPr>
            </w:pPr>
            <w:r w:rsidRPr="00FF42CA">
              <w:rPr>
                <w:rFonts w:ascii="Arial" w:hAnsi="Arial" w:cs="Arial"/>
                <w:spacing w:val="4"/>
                <w:sz w:val="16"/>
                <w:szCs w:val="16"/>
              </w:rPr>
              <w:t>Odsetek interwencji ratowniczych, w których jednostka Krajowego Systemu Ratowniczo-Gaśniczego dotarła na miejsce zdarzenia w czasie krótszym niż 15 min</w:t>
            </w:r>
          </w:p>
        </w:tc>
      </w:tr>
      <w:tr w:rsidR="004E3242" w:rsidRPr="004E3242" w14:paraId="58FEA946" w14:textId="77777777" w:rsidTr="00AA7998">
        <w:tc>
          <w:tcPr>
            <w:tcW w:w="270" w:type="pct"/>
            <w:vMerge/>
            <w:shd w:val="clear" w:color="auto" w:fill="F2F2F2"/>
            <w:vAlign w:val="center"/>
          </w:tcPr>
          <w:p w14:paraId="037E50BA"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1FEB97A9"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val="restart"/>
            <w:shd w:val="clear" w:color="auto" w:fill="F2F2F2"/>
            <w:vAlign w:val="center"/>
          </w:tcPr>
          <w:p w14:paraId="2C25E8B1" w14:textId="77777777" w:rsidR="004E3242" w:rsidRPr="004E3242" w:rsidRDefault="00422D72" w:rsidP="00422D72">
            <w:pPr>
              <w:spacing w:before="40" w:after="40" w:line="240" w:lineRule="auto"/>
              <w:jc w:val="center"/>
              <w:rPr>
                <w:rFonts w:ascii="Arial" w:hAnsi="Arial" w:cs="Arial"/>
                <w:spacing w:val="4"/>
                <w:sz w:val="16"/>
                <w:szCs w:val="16"/>
              </w:rPr>
            </w:pPr>
            <w:r w:rsidRPr="00422D72">
              <w:rPr>
                <w:rFonts w:ascii="Arial" w:hAnsi="Arial" w:cs="Arial"/>
                <w:sz w:val="16"/>
                <w:szCs w:val="16"/>
              </w:rPr>
              <w:t xml:space="preserve">2 587 906 800    </w:t>
            </w:r>
            <w:r w:rsidR="004E3242" w:rsidRPr="004E3242">
              <w:rPr>
                <w:rFonts w:ascii="Arial" w:hAnsi="Arial" w:cs="Arial"/>
                <w:sz w:val="16"/>
                <w:szCs w:val="16"/>
              </w:rPr>
              <w:t xml:space="preserve">    </w:t>
            </w:r>
          </w:p>
        </w:tc>
        <w:tc>
          <w:tcPr>
            <w:tcW w:w="281" w:type="pct"/>
            <w:vMerge w:val="restart"/>
            <w:shd w:val="clear" w:color="auto" w:fill="F2F2F2"/>
            <w:vAlign w:val="center"/>
          </w:tcPr>
          <w:p w14:paraId="455C8DEA" w14:textId="77777777" w:rsidR="00820412" w:rsidRDefault="00F24B50" w:rsidP="001F407D">
            <w:pPr>
              <w:spacing w:before="40" w:after="40" w:line="240" w:lineRule="auto"/>
              <w:jc w:val="center"/>
              <w:rPr>
                <w:rFonts w:ascii="Arial" w:hAnsi="Arial" w:cs="Arial"/>
                <w:spacing w:val="4"/>
                <w:sz w:val="16"/>
                <w:szCs w:val="16"/>
              </w:rPr>
            </w:pPr>
            <w:r>
              <w:rPr>
                <w:rFonts w:ascii="Arial" w:hAnsi="Arial" w:cs="Arial"/>
                <w:spacing w:val="4"/>
                <w:sz w:val="16"/>
                <w:szCs w:val="16"/>
              </w:rPr>
              <w:t>9,18</w:t>
            </w:r>
          </w:p>
          <w:p w14:paraId="0ABD2C05" w14:textId="69336F7F" w:rsidR="004E3242" w:rsidRPr="004E3242" w:rsidRDefault="004E3242" w:rsidP="001F407D">
            <w:pPr>
              <w:spacing w:before="40" w:after="40" w:line="240" w:lineRule="auto"/>
              <w:jc w:val="center"/>
              <w:rPr>
                <w:rFonts w:ascii="Arial" w:hAnsi="Arial" w:cs="Arial"/>
                <w:spacing w:val="4"/>
                <w:sz w:val="16"/>
                <w:szCs w:val="16"/>
              </w:rPr>
            </w:pPr>
          </w:p>
        </w:tc>
        <w:tc>
          <w:tcPr>
            <w:tcW w:w="375" w:type="pct"/>
            <w:vMerge w:val="restart"/>
            <w:shd w:val="clear" w:color="auto" w:fill="F2F2F2"/>
            <w:vAlign w:val="center"/>
          </w:tcPr>
          <w:p w14:paraId="164E5F6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6.</w:t>
            </w:r>
          </w:p>
        </w:tc>
        <w:tc>
          <w:tcPr>
            <w:tcW w:w="421" w:type="pct"/>
            <w:shd w:val="clear" w:color="auto" w:fill="F2F2F2"/>
            <w:vAlign w:val="center"/>
          </w:tcPr>
          <w:p w14:paraId="57AEFD5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6.i.</w:t>
            </w:r>
          </w:p>
        </w:tc>
        <w:tc>
          <w:tcPr>
            <w:tcW w:w="1312" w:type="pct"/>
            <w:shd w:val="clear" w:color="auto" w:fill="F2F2F2"/>
            <w:vAlign w:val="center"/>
          </w:tcPr>
          <w:p w14:paraId="6F399CF0" w14:textId="77777777" w:rsidR="004E3242" w:rsidRPr="004E3242" w:rsidRDefault="004E3242" w:rsidP="004E3242">
            <w:pPr>
              <w:autoSpaceDE w:val="0"/>
              <w:autoSpaceDN w:val="0"/>
              <w:adjustRightInd w:val="0"/>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Mniejsza ilość odpadów komunalnych podlegających składowaniu </w:t>
            </w:r>
          </w:p>
        </w:tc>
        <w:tc>
          <w:tcPr>
            <w:tcW w:w="1544" w:type="pct"/>
            <w:shd w:val="clear" w:color="auto" w:fill="F2F2F2"/>
            <w:vAlign w:val="center"/>
          </w:tcPr>
          <w:p w14:paraId="10469515"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Udział odpadów komunalnych niepodlegających składowaniu w ogólnej masie odpadów komunalnych</w:t>
            </w:r>
          </w:p>
          <w:p w14:paraId="7ED1FDB3"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Udział odpadów komunalnych zbieranych selektywnie w masie wszystkich zebranych odpadów komunalnych w skali kraju</w:t>
            </w:r>
          </w:p>
        </w:tc>
      </w:tr>
      <w:tr w:rsidR="004E3242" w:rsidRPr="004E3242" w14:paraId="0BD94D02" w14:textId="77777777" w:rsidTr="00AA7998">
        <w:tc>
          <w:tcPr>
            <w:tcW w:w="270" w:type="pct"/>
            <w:vMerge/>
            <w:shd w:val="clear" w:color="auto" w:fill="F2F2F2"/>
            <w:vAlign w:val="center"/>
          </w:tcPr>
          <w:p w14:paraId="3CB0B5FA"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6241FF9A"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18F7913D"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6C8B7FEA"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3EB71B09"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1194F8D2"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6.ii.</w:t>
            </w:r>
          </w:p>
        </w:tc>
        <w:tc>
          <w:tcPr>
            <w:tcW w:w="1312" w:type="pct"/>
            <w:shd w:val="clear" w:color="auto" w:fill="F2F2F2"/>
            <w:vAlign w:val="center"/>
          </w:tcPr>
          <w:p w14:paraId="1B1A4DE2" w14:textId="77777777" w:rsidR="004E3242" w:rsidRPr="004E3242" w:rsidRDefault="004E3242" w:rsidP="004E3242">
            <w:pPr>
              <w:autoSpaceDE w:val="0"/>
              <w:autoSpaceDN w:val="0"/>
              <w:adjustRightInd w:val="0"/>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Większa liczba ludności korzystająca z ulepszonego systemu oczyszczania ścieków </w:t>
            </w:r>
            <w:r w:rsidRPr="004E3242">
              <w:rPr>
                <w:rFonts w:ascii="Arial" w:hAnsi="Arial" w:cs="Arial"/>
                <w:spacing w:val="4"/>
                <w:sz w:val="16"/>
                <w:szCs w:val="16"/>
              </w:rPr>
              <w:lastRenderedPageBreak/>
              <w:t>komunalnych  zapewniającego podwyższone usuwanie biogenów</w:t>
            </w:r>
          </w:p>
        </w:tc>
        <w:tc>
          <w:tcPr>
            <w:tcW w:w="1544" w:type="pct"/>
            <w:shd w:val="clear" w:color="auto" w:fill="F2F2F2"/>
            <w:vAlign w:val="center"/>
          </w:tcPr>
          <w:p w14:paraId="5B2A966A"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lastRenderedPageBreak/>
              <w:t>Odsetek ludności korzystającej z oczyszczalni ścieków</w:t>
            </w:r>
          </w:p>
        </w:tc>
      </w:tr>
      <w:tr w:rsidR="004E3242" w:rsidRPr="004E3242" w14:paraId="6B7DDCB6" w14:textId="77777777" w:rsidTr="00AA7998">
        <w:tc>
          <w:tcPr>
            <w:tcW w:w="270" w:type="pct"/>
            <w:vMerge/>
            <w:shd w:val="clear" w:color="auto" w:fill="F2F2F2"/>
            <w:vAlign w:val="center"/>
          </w:tcPr>
          <w:p w14:paraId="2A6BF9CE"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0B5B1088"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3F95E9D4"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75383B3C"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0945691B"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46DDF17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6.iii</w:t>
            </w:r>
          </w:p>
        </w:tc>
        <w:tc>
          <w:tcPr>
            <w:tcW w:w="1312" w:type="pct"/>
            <w:shd w:val="clear" w:color="auto" w:fill="F2F2F2"/>
            <w:vAlign w:val="center"/>
          </w:tcPr>
          <w:p w14:paraId="4B857F6E" w14:textId="77777777" w:rsidR="004E3242" w:rsidRPr="004E3242" w:rsidRDefault="004E3242" w:rsidP="004E3242">
            <w:pPr>
              <w:autoSpaceDE w:val="0"/>
              <w:autoSpaceDN w:val="0"/>
              <w:adjustRightInd w:val="0"/>
              <w:spacing w:before="40" w:after="40" w:line="240" w:lineRule="auto"/>
              <w:jc w:val="both"/>
              <w:rPr>
                <w:rFonts w:ascii="Arial" w:hAnsi="Arial" w:cs="Arial"/>
                <w:spacing w:val="4"/>
                <w:sz w:val="16"/>
                <w:szCs w:val="16"/>
              </w:rPr>
            </w:pPr>
            <w:r w:rsidRPr="004E3242">
              <w:rPr>
                <w:rFonts w:ascii="Arial" w:hAnsi="Arial" w:cs="Arial"/>
                <w:spacing w:val="4"/>
                <w:sz w:val="16"/>
                <w:szCs w:val="16"/>
              </w:rPr>
              <w:t>Wzmocnione mechanizmy służące ochronie przyrody</w:t>
            </w:r>
          </w:p>
        </w:tc>
        <w:tc>
          <w:tcPr>
            <w:tcW w:w="1544" w:type="pct"/>
            <w:shd w:val="clear" w:color="auto" w:fill="F2F2F2"/>
            <w:vAlign w:val="center"/>
          </w:tcPr>
          <w:p w14:paraId="5B767BF2"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Odsetek obszarów Natura 2000 objętych planami zarządzania</w:t>
            </w:r>
          </w:p>
        </w:tc>
      </w:tr>
      <w:tr w:rsidR="004E3242" w:rsidRPr="004E3242" w14:paraId="118D9168" w14:textId="77777777" w:rsidTr="00AA7998">
        <w:tc>
          <w:tcPr>
            <w:tcW w:w="270" w:type="pct"/>
            <w:vMerge/>
            <w:shd w:val="clear" w:color="auto" w:fill="F2F2F2"/>
            <w:vAlign w:val="center"/>
          </w:tcPr>
          <w:p w14:paraId="56891E3D"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6559E831"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452D9E6E"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0223BAC1"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2FC03AF5"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vAlign w:val="center"/>
          </w:tcPr>
          <w:p w14:paraId="7CA28F5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6.iv.</w:t>
            </w:r>
          </w:p>
        </w:tc>
        <w:tc>
          <w:tcPr>
            <w:tcW w:w="1312" w:type="pct"/>
            <w:shd w:val="clear" w:color="auto" w:fill="F2F2F2"/>
            <w:vAlign w:val="center"/>
          </w:tcPr>
          <w:p w14:paraId="0362C2C6" w14:textId="77777777" w:rsidR="004E3242" w:rsidRPr="004E3242" w:rsidRDefault="004E3242" w:rsidP="004E3242">
            <w:pPr>
              <w:autoSpaceDE w:val="0"/>
              <w:autoSpaceDN w:val="0"/>
              <w:adjustRightInd w:val="0"/>
              <w:spacing w:before="40" w:after="40" w:line="240" w:lineRule="auto"/>
              <w:jc w:val="both"/>
              <w:rPr>
                <w:rFonts w:ascii="Arial" w:hAnsi="Arial" w:cs="Arial"/>
                <w:spacing w:val="4"/>
                <w:sz w:val="16"/>
                <w:szCs w:val="16"/>
              </w:rPr>
            </w:pPr>
            <w:r w:rsidRPr="004E3242">
              <w:rPr>
                <w:rFonts w:ascii="Arial" w:hAnsi="Arial" w:cs="Arial"/>
                <w:spacing w:val="4"/>
                <w:sz w:val="16"/>
                <w:szCs w:val="16"/>
              </w:rPr>
              <w:t>Zahamowanie spadku powierzchni terenów zieleni w miastach</w:t>
            </w:r>
          </w:p>
        </w:tc>
        <w:tc>
          <w:tcPr>
            <w:tcW w:w="1544" w:type="pct"/>
            <w:shd w:val="clear" w:color="auto" w:fill="F2F2F2"/>
            <w:vAlign w:val="center"/>
          </w:tcPr>
          <w:p w14:paraId="7ED6CD43"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Powierzchnia parków, zieleńców i terenów zieleni osiedlowej w miastach</w:t>
            </w:r>
          </w:p>
        </w:tc>
      </w:tr>
      <w:tr w:rsidR="004E3242" w:rsidRPr="004E3242" w14:paraId="64538931" w14:textId="77777777" w:rsidTr="00AA7998">
        <w:trPr>
          <w:trHeight w:val="233"/>
        </w:trPr>
        <w:tc>
          <w:tcPr>
            <w:tcW w:w="270" w:type="pct"/>
            <w:vMerge w:val="restart"/>
            <w:shd w:val="clear" w:color="auto" w:fill="F2F2F2"/>
            <w:vAlign w:val="center"/>
          </w:tcPr>
          <w:p w14:paraId="7F10053D"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III.</w:t>
            </w:r>
          </w:p>
        </w:tc>
        <w:tc>
          <w:tcPr>
            <w:tcW w:w="328" w:type="pct"/>
            <w:vMerge w:val="restart"/>
            <w:shd w:val="clear" w:color="auto" w:fill="F2F2F2"/>
            <w:vAlign w:val="center"/>
          </w:tcPr>
          <w:p w14:paraId="24A5F9C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469" w:type="pct"/>
            <w:vMerge w:val="restart"/>
            <w:shd w:val="clear" w:color="auto" w:fill="F2F2F2"/>
            <w:vAlign w:val="center"/>
          </w:tcPr>
          <w:p w14:paraId="0E6C5AFB" w14:textId="77777777" w:rsidR="00827B1B" w:rsidRDefault="00827B1B" w:rsidP="004E3242">
            <w:pPr>
              <w:spacing w:before="40" w:after="40" w:line="240" w:lineRule="auto"/>
              <w:jc w:val="center"/>
              <w:rPr>
                <w:rFonts w:ascii="Arial" w:hAnsi="Arial" w:cs="Arial"/>
                <w:spacing w:val="4"/>
                <w:sz w:val="16"/>
                <w:szCs w:val="16"/>
              </w:rPr>
            </w:pPr>
            <w:r w:rsidRPr="00827B1B">
              <w:rPr>
                <w:rFonts w:ascii="Arial" w:hAnsi="Arial" w:cs="Arial"/>
                <w:spacing w:val="4"/>
                <w:sz w:val="16"/>
                <w:szCs w:val="16"/>
              </w:rPr>
              <w:t>9 487 004</w:t>
            </w:r>
            <w:r>
              <w:rPr>
                <w:rFonts w:ascii="Arial" w:hAnsi="Arial" w:cs="Arial"/>
                <w:spacing w:val="4"/>
                <w:sz w:val="16"/>
                <w:szCs w:val="16"/>
              </w:rPr>
              <w:t> </w:t>
            </w:r>
            <w:r w:rsidRPr="00827B1B">
              <w:rPr>
                <w:rFonts w:ascii="Arial" w:hAnsi="Arial" w:cs="Arial"/>
                <w:spacing w:val="4"/>
                <w:sz w:val="16"/>
                <w:szCs w:val="16"/>
              </w:rPr>
              <w:t>829</w:t>
            </w:r>
          </w:p>
          <w:p w14:paraId="6DEB032E"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val="restart"/>
            <w:shd w:val="clear" w:color="auto" w:fill="F2F2F2"/>
            <w:vAlign w:val="center"/>
          </w:tcPr>
          <w:p w14:paraId="27FAFDD3" w14:textId="77777777" w:rsidR="00BE32FB" w:rsidRDefault="00BE32FB" w:rsidP="0070389B">
            <w:pPr>
              <w:spacing w:before="40" w:after="40" w:line="240" w:lineRule="auto"/>
              <w:jc w:val="center"/>
              <w:rPr>
                <w:rFonts w:ascii="Arial" w:hAnsi="Arial" w:cs="Arial"/>
                <w:spacing w:val="4"/>
                <w:sz w:val="16"/>
                <w:szCs w:val="16"/>
              </w:rPr>
            </w:pPr>
            <w:r>
              <w:rPr>
                <w:rFonts w:ascii="Arial" w:hAnsi="Arial" w:cs="Arial"/>
                <w:spacing w:val="4"/>
                <w:sz w:val="16"/>
                <w:szCs w:val="16"/>
              </w:rPr>
              <w:t>33,67</w:t>
            </w:r>
          </w:p>
          <w:p w14:paraId="71544DDF" w14:textId="75494981" w:rsidR="004E3242" w:rsidRPr="004E3242" w:rsidRDefault="004E3242" w:rsidP="0070389B">
            <w:pPr>
              <w:spacing w:before="40" w:after="40" w:line="240" w:lineRule="auto"/>
              <w:jc w:val="center"/>
              <w:rPr>
                <w:rFonts w:ascii="Arial" w:hAnsi="Arial" w:cs="Arial"/>
                <w:spacing w:val="4"/>
                <w:sz w:val="16"/>
                <w:szCs w:val="16"/>
              </w:rPr>
            </w:pPr>
          </w:p>
        </w:tc>
        <w:tc>
          <w:tcPr>
            <w:tcW w:w="375" w:type="pct"/>
            <w:vMerge w:val="restart"/>
            <w:shd w:val="clear" w:color="auto" w:fill="F2F2F2"/>
            <w:vAlign w:val="center"/>
          </w:tcPr>
          <w:p w14:paraId="4A3C6244"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7.</w:t>
            </w:r>
          </w:p>
        </w:tc>
        <w:tc>
          <w:tcPr>
            <w:tcW w:w="421" w:type="pct"/>
            <w:shd w:val="clear" w:color="auto" w:fill="F2F2F2"/>
          </w:tcPr>
          <w:p w14:paraId="0992A718"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z w:val="16"/>
                <w:szCs w:val="16"/>
              </w:rPr>
              <w:t>7.i.</w:t>
            </w:r>
          </w:p>
        </w:tc>
        <w:tc>
          <w:tcPr>
            <w:tcW w:w="1312" w:type="pct"/>
            <w:shd w:val="clear" w:color="auto" w:fill="F2F2F2"/>
          </w:tcPr>
          <w:p w14:paraId="5A20F5C5"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Lepszy stan połączeń drogowych w sieci TEN-T w Polsce</w:t>
            </w:r>
          </w:p>
          <w:p w14:paraId="3D816D4B" w14:textId="77777777" w:rsidR="004E3242" w:rsidRPr="004E3242" w:rsidDel="00CF5EB7" w:rsidRDefault="004E3242" w:rsidP="004E3242">
            <w:pPr>
              <w:autoSpaceDE w:val="0"/>
              <w:autoSpaceDN w:val="0"/>
              <w:adjustRightInd w:val="0"/>
              <w:spacing w:before="40" w:after="40" w:line="240" w:lineRule="auto"/>
              <w:jc w:val="both"/>
              <w:rPr>
                <w:rFonts w:ascii="Arial" w:hAnsi="Arial" w:cs="Arial"/>
                <w:spacing w:val="4"/>
                <w:sz w:val="16"/>
                <w:szCs w:val="16"/>
              </w:rPr>
            </w:pPr>
          </w:p>
        </w:tc>
        <w:tc>
          <w:tcPr>
            <w:tcW w:w="1544" w:type="pct"/>
            <w:vMerge w:val="restart"/>
            <w:shd w:val="clear" w:color="auto" w:fill="F2F2F2"/>
          </w:tcPr>
          <w:p w14:paraId="294AB136"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z w:val="16"/>
                <w:szCs w:val="16"/>
              </w:rPr>
              <w:t>Skrócenie średniego czasu przejazdu drogowego pomiędzy 18 ośrodkami wojewódzkimi</w:t>
            </w:r>
          </w:p>
          <w:p w14:paraId="317D2BBA"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 xml:space="preserve">Wskaźnik Drogowej Dostępności Transportowej (WDDT II) syntetyczny </w:t>
            </w:r>
          </w:p>
          <w:p w14:paraId="2A034082"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Praca przewozowa w transporcie intermodalnym</w:t>
            </w:r>
          </w:p>
          <w:p w14:paraId="59CE8F12" w14:textId="77777777" w:rsidR="004E3242" w:rsidRPr="004E3242" w:rsidDel="00CF5EB7"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Obroty ładunkowe w portach morskich </w:t>
            </w:r>
          </w:p>
        </w:tc>
      </w:tr>
      <w:tr w:rsidR="004E3242" w:rsidRPr="004E3242" w14:paraId="32E9C178" w14:textId="77777777" w:rsidTr="00AA7998">
        <w:trPr>
          <w:trHeight w:val="232"/>
        </w:trPr>
        <w:tc>
          <w:tcPr>
            <w:tcW w:w="270" w:type="pct"/>
            <w:vMerge/>
            <w:shd w:val="clear" w:color="auto" w:fill="F2F2F2"/>
            <w:vAlign w:val="center"/>
          </w:tcPr>
          <w:p w14:paraId="73C30CF7"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1CD55CB7"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40528B0F"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39AD893A"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51765A8C"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tcPr>
          <w:p w14:paraId="447C9CF4"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7.ii.</w:t>
            </w:r>
          </w:p>
        </w:tc>
        <w:tc>
          <w:tcPr>
            <w:tcW w:w="1312" w:type="pct"/>
            <w:shd w:val="clear" w:color="auto" w:fill="F2F2F2"/>
          </w:tcPr>
          <w:p w14:paraId="7B9E0C49"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Większy potencjał przyjaznego środowisku transportu w przewozie towarów oraz lepszy stan krajowej sieci platform multimodalnych w TEN-T</w:t>
            </w:r>
          </w:p>
        </w:tc>
        <w:tc>
          <w:tcPr>
            <w:tcW w:w="1544" w:type="pct"/>
            <w:vMerge/>
            <w:shd w:val="clear" w:color="auto" w:fill="F2F2F2"/>
          </w:tcPr>
          <w:p w14:paraId="794A4FF1" w14:textId="77777777" w:rsidR="004E3242" w:rsidRPr="004E3242" w:rsidRDefault="004E3242" w:rsidP="00B345B6">
            <w:pPr>
              <w:numPr>
                <w:ilvl w:val="0"/>
                <w:numId w:val="70"/>
              </w:numPr>
              <w:spacing w:before="40" w:after="40" w:line="240" w:lineRule="auto"/>
              <w:jc w:val="both"/>
              <w:rPr>
                <w:rFonts w:ascii="Arial" w:hAnsi="Arial" w:cs="Arial"/>
                <w:sz w:val="16"/>
                <w:szCs w:val="16"/>
              </w:rPr>
            </w:pPr>
          </w:p>
        </w:tc>
      </w:tr>
      <w:tr w:rsidR="004E3242" w:rsidRPr="004E3242" w14:paraId="58CF7D44" w14:textId="77777777" w:rsidTr="00AA7998">
        <w:tc>
          <w:tcPr>
            <w:tcW w:w="270" w:type="pct"/>
            <w:shd w:val="clear" w:color="auto" w:fill="F2F2F2"/>
            <w:vAlign w:val="center"/>
          </w:tcPr>
          <w:p w14:paraId="4CAFE83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IV.</w:t>
            </w:r>
          </w:p>
        </w:tc>
        <w:tc>
          <w:tcPr>
            <w:tcW w:w="328" w:type="pct"/>
            <w:shd w:val="clear" w:color="auto" w:fill="F2F2F2"/>
            <w:vAlign w:val="center"/>
          </w:tcPr>
          <w:p w14:paraId="136D6F96"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685E97E5" w14:textId="77777777" w:rsidR="004E3242" w:rsidRPr="00FB32C7" w:rsidRDefault="00E340AD" w:rsidP="00FB32C7">
            <w:pPr>
              <w:spacing w:after="0" w:line="240" w:lineRule="auto"/>
              <w:jc w:val="center"/>
              <w:rPr>
                <w:rFonts w:ascii="Arial" w:hAnsi="Arial" w:cs="Arial"/>
                <w:color w:val="000000"/>
                <w:sz w:val="16"/>
                <w:szCs w:val="16"/>
              </w:rPr>
            </w:pPr>
            <w:r w:rsidRPr="00E340AD">
              <w:rPr>
                <w:rFonts w:ascii="Arial" w:hAnsi="Arial" w:cs="Arial"/>
                <w:color w:val="000000"/>
                <w:sz w:val="16"/>
                <w:szCs w:val="16"/>
              </w:rPr>
              <w:t>2 842 766 990</w:t>
            </w:r>
          </w:p>
        </w:tc>
        <w:tc>
          <w:tcPr>
            <w:tcW w:w="281" w:type="pct"/>
            <w:shd w:val="clear" w:color="auto" w:fill="F2F2F2"/>
            <w:vAlign w:val="center"/>
          </w:tcPr>
          <w:p w14:paraId="4D43073C" w14:textId="77777777" w:rsidR="000154FB" w:rsidRDefault="000154FB" w:rsidP="004E3242">
            <w:pPr>
              <w:spacing w:before="40" w:after="40" w:line="240" w:lineRule="auto"/>
              <w:jc w:val="center"/>
              <w:rPr>
                <w:rFonts w:ascii="Arial" w:hAnsi="Arial" w:cs="Arial"/>
                <w:spacing w:val="4"/>
                <w:sz w:val="16"/>
                <w:szCs w:val="16"/>
              </w:rPr>
            </w:pPr>
            <w:r>
              <w:rPr>
                <w:rFonts w:ascii="Arial" w:hAnsi="Arial" w:cs="Arial"/>
                <w:spacing w:val="4"/>
                <w:sz w:val="16"/>
                <w:szCs w:val="16"/>
              </w:rPr>
              <w:t>10,09</w:t>
            </w:r>
          </w:p>
          <w:p w14:paraId="6E717A22" w14:textId="684F0D34" w:rsidR="004E3242" w:rsidRPr="004E3242" w:rsidRDefault="004E3242" w:rsidP="004E3242">
            <w:pPr>
              <w:spacing w:before="40" w:after="40" w:line="240" w:lineRule="auto"/>
              <w:jc w:val="center"/>
              <w:rPr>
                <w:rFonts w:ascii="Arial" w:hAnsi="Arial" w:cs="Arial"/>
                <w:spacing w:val="4"/>
                <w:sz w:val="16"/>
                <w:szCs w:val="16"/>
              </w:rPr>
            </w:pPr>
          </w:p>
        </w:tc>
        <w:tc>
          <w:tcPr>
            <w:tcW w:w="375" w:type="pct"/>
            <w:shd w:val="clear" w:color="auto" w:fill="F2F2F2"/>
            <w:vAlign w:val="center"/>
          </w:tcPr>
          <w:p w14:paraId="12675E7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7.</w:t>
            </w:r>
          </w:p>
        </w:tc>
        <w:tc>
          <w:tcPr>
            <w:tcW w:w="421" w:type="pct"/>
            <w:shd w:val="clear" w:color="auto" w:fill="F2F2F2"/>
          </w:tcPr>
          <w:p w14:paraId="22A0D03B"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7.a.</w:t>
            </w:r>
          </w:p>
        </w:tc>
        <w:tc>
          <w:tcPr>
            <w:tcW w:w="1312" w:type="pct"/>
            <w:shd w:val="clear" w:color="auto" w:fill="F2F2F2"/>
          </w:tcPr>
          <w:p w14:paraId="0E6133B7"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Zwiększona dostępność transportowa ośrodków miejskich w TEN-T oraz odciążenie miast od nadmiernego ruchu drogowego</w:t>
            </w:r>
          </w:p>
        </w:tc>
        <w:tc>
          <w:tcPr>
            <w:tcW w:w="1544" w:type="pct"/>
            <w:shd w:val="clear" w:color="auto" w:fill="F2F2F2"/>
          </w:tcPr>
          <w:p w14:paraId="4209A382" w14:textId="77777777" w:rsidR="004E3242" w:rsidRPr="004E3242" w:rsidRDefault="004E3242" w:rsidP="00D20217">
            <w:pPr>
              <w:numPr>
                <w:ilvl w:val="0"/>
                <w:numId w:val="99"/>
              </w:numPr>
              <w:spacing w:before="40" w:after="40" w:line="240" w:lineRule="auto"/>
              <w:ind w:left="318" w:hanging="283"/>
              <w:jc w:val="both"/>
              <w:rPr>
                <w:rFonts w:ascii="Arial" w:hAnsi="Arial" w:cs="Arial"/>
                <w:sz w:val="16"/>
                <w:szCs w:val="16"/>
              </w:rPr>
            </w:pPr>
            <w:r w:rsidRPr="004E3242">
              <w:rPr>
                <w:rFonts w:ascii="Arial" w:hAnsi="Arial" w:cs="Arial"/>
                <w:sz w:val="16"/>
                <w:szCs w:val="16"/>
              </w:rPr>
              <w:t>Wskaźnik Drogowej Dostępności Transportowej WDDT II (syntetyczny) dla miast na prawach powiatu na sieci TEN-T</w:t>
            </w:r>
          </w:p>
          <w:p w14:paraId="06D29CA1" w14:textId="77777777" w:rsidR="004E3242" w:rsidRPr="004E3242" w:rsidRDefault="004E3242" w:rsidP="00D20217">
            <w:pPr>
              <w:numPr>
                <w:ilvl w:val="0"/>
                <w:numId w:val="99"/>
              </w:numPr>
              <w:spacing w:before="40" w:after="40" w:line="240" w:lineRule="auto"/>
              <w:ind w:left="318" w:hanging="283"/>
              <w:jc w:val="both"/>
              <w:rPr>
                <w:rFonts w:ascii="Arial" w:hAnsi="Arial" w:cs="Arial"/>
                <w:sz w:val="16"/>
                <w:szCs w:val="16"/>
              </w:rPr>
            </w:pPr>
            <w:r w:rsidRPr="004E3242">
              <w:rPr>
                <w:rFonts w:ascii="Arial" w:hAnsi="Arial" w:cs="Arial"/>
                <w:sz w:val="16"/>
                <w:szCs w:val="16"/>
              </w:rPr>
              <w:t>Wypadki w miastach na prawach powiatu w sieci TEN-T</w:t>
            </w:r>
          </w:p>
        </w:tc>
      </w:tr>
      <w:tr w:rsidR="004E3242" w:rsidRPr="004E3242" w14:paraId="3A387205" w14:textId="77777777" w:rsidTr="00AA7998">
        <w:tc>
          <w:tcPr>
            <w:tcW w:w="270" w:type="pct"/>
            <w:shd w:val="clear" w:color="auto" w:fill="F2F2F2"/>
            <w:vAlign w:val="center"/>
          </w:tcPr>
          <w:p w14:paraId="2B057D0F"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shd w:val="clear" w:color="auto" w:fill="F2F2F2"/>
            <w:vAlign w:val="center"/>
          </w:tcPr>
          <w:p w14:paraId="0C9B7CBF"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shd w:val="clear" w:color="auto" w:fill="F2F2F2"/>
            <w:vAlign w:val="center"/>
          </w:tcPr>
          <w:p w14:paraId="440D6C20"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shd w:val="clear" w:color="auto" w:fill="F2F2F2"/>
            <w:vAlign w:val="center"/>
          </w:tcPr>
          <w:p w14:paraId="51F9DF11"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shd w:val="clear" w:color="auto" w:fill="F2F2F2"/>
            <w:vAlign w:val="center"/>
          </w:tcPr>
          <w:p w14:paraId="79EF680A"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tcPr>
          <w:p w14:paraId="707731CE"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7.b.</w:t>
            </w:r>
          </w:p>
        </w:tc>
        <w:tc>
          <w:tcPr>
            <w:tcW w:w="1312" w:type="pct"/>
            <w:shd w:val="clear" w:color="auto" w:fill="F2F2F2"/>
          </w:tcPr>
          <w:p w14:paraId="27BE9483"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Zwiększona dostępność transportowa ośrodków miejskich poza siecią podstawowych połączeń drogowych w TEN-T oraz odciążenie miast od nadmiernego ruchu drogowego</w:t>
            </w:r>
          </w:p>
        </w:tc>
        <w:tc>
          <w:tcPr>
            <w:tcW w:w="1544" w:type="pct"/>
            <w:shd w:val="clear" w:color="auto" w:fill="F2F2F2"/>
          </w:tcPr>
          <w:p w14:paraId="555435FD"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Wskaźnik Drogowej Dostępności Transportowej WDDT II (syntetyczny) dla miast na prawach powiatu poza siecią TEN-T</w:t>
            </w:r>
            <w:r w:rsidRPr="004E3242" w:rsidDel="00F3436C">
              <w:rPr>
                <w:rFonts w:ascii="Arial" w:hAnsi="Arial" w:cs="Arial"/>
                <w:sz w:val="16"/>
                <w:szCs w:val="16"/>
              </w:rPr>
              <w:t xml:space="preserve"> </w:t>
            </w:r>
          </w:p>
          <w:p w14:paraId="1AA800EE"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Wypadki w miastach na prawach powiatu poza siecią TEN-T</w:t>
            </w:r>
          </w:p>
        </w:tc>
      </w:tr>
      <w:tr w:rsidR="004E3242" w:rsidRPr="004E3242" w14:paraId="44B51E65" w14:textId="77777777" w:rsidTr="00AA7998">
        <w:trPr>
          <w:trHeight w:val="638"/>
        </w:trPr>
        <w:tc>
          <w:tcPr>
            <w:tcW w:w="270" w:type="pct"/>
            <w:vMerge w:val="restart"/>
            <w:shd w:val="clear" w:color="auto" w:fill="F2F2F2"/>
            <w:vAlign w:val="center"/>
          </w:tcPr>
          <w:p w14:paraId="227AEF34"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V.</w:t>
            </w:r>
          </w:p>
        </w:tc>
        <w:tc>
          <w:tcPr>
            <w:tcW w:w="328" w:type="pct"/>
            <w:vMerge w:val="restart"/>
            <w:shd w:val="clear" w:color="auto" w:fill="F2F2F2"/>
            <w:vAlign w:val="center"/>
          </w:tcPr>
          <w:p w14:paraId="61375902"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469" w:type="pct"/>
            <w:vMerge w:val="restart"/>
            <w:shd w:val="clear" w:color="auto" w:fill="F2F2F2"/>
            <w:vAlign w:val="center"/>
          </w:tcPr>
          <w:p w14:paraId="235E87A2"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 xml:space="preserve">5 009 700 000    </w:t>
            </w:r>
          </w:p>
        </w:tc>
        <w:tc>
          <w:tcPr>
            <w:tcW w:w="281" w:type="pct"/>
            <w:vMerge w:val="restart"/>
            <w:shd w:val="clear" w:color="auto" w:fill="F2F2F2"/>
            <w:vAlign w:val="center"/>
          </w:tcPr>
          <w:p w14:paraId="19033C99" w14:textId="77777777" w:rsidR="003F6650" w:rsidRDefault="003F6650" w:rsidP="004E3242">
            <w:pPr>
              <w:spacing w:before="40" w:after="40" w:line="240" w:lineRule="auto"/>
              <w:jc w:val="center"/>
              <w:rPr>
                <w:rFonts w:ascii="Arial" w:hAnsi="Arial" w:cs="Arial"/>
                <w:spacing w:val="4"/>
                <w:sz w:val="16"/>
                <w:szCs w:val="16"/>
              </w:rPr>
            </w:pPr>
            <w:r>
              <w:rPr>
                <w:rFonts w:ascii="Arial" w:hAnsi="Arial" w:cs="Arial"/>
                <w:spacing w:val="4"/>
                <w:sz w:val="16"/>
                <w:szCs w:val="16"/>
              </w:rPr>
              <w:t>17,78</w:t>
            </w:r>
          </w:p>
          <w:p w14:paraId="3CB5371E" w14:textId="79CFA7E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val="restart"/>
            <w:shd w:val="clear" w:color="auto" w:fill="F2F2F2"/>
            <w:vAlign w:val="center"/>
          </w:tcPr>
          <w:p w14:paraId="0F105E3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7.</w:t>
            </w:r>
          </w:p>
        </w:tc>
        <w:tc>
          <w:tcPr>
            <w:tcW w:w="421" w:type="pct"/>
            <w:shd w:val="clear" w:color="auto" w:fill="F2F2F2"/>
          </w:tcPr>
          <w:p w14:paraId="01FBB93B"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7.i</w:t>
            </w:r>
          </w:p>
          <w:p w14:paraId="30FDBDF6" w14:textId="77777777" w:rsidR="004E3242" w:rsidRPr="004E3242" w:rsidRDefault="004E3242" w:rsidP="004E3242">
            <w:pPr>
              <w:spacing w:before="40" w:after="40" w:line="240" w:lineRule="auto"/>
              <w:jc w:val="center"/>
              <w:rPr>
                <w:rFonts w:ascii="Arial" w:hAnsi="Arial" w:cs="Arial"/>
                <w:sz w:val="16"/>
                <w:szCs w:val="16"/>
              </w:rPr>
            </w:pPr>
          </w:p>
        </w:tc>
        <w:tc>
          <w:tcPr>
            <w:tcW w:w="1312" w:type="pct"/>
            <w:shd w:val="clear" w:color="auto" w:fill="F2F2F2"/>
          </w:tcPr>
          <w:p w14:paraId="116D62AF"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Lepszy stan połączeń kolejowych pomiędzy głównymi miastami Polski</w:t>
            </w:r>
          </w:p>
          <w:p w14:paraId="2C6F95AA"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p>
        </w:tc>
        <w:tc>
          <w:tcPr>
            <w:tcW w:w="1544" w:type="pct"/>
            <w:shd w:val="clear" w:color="auto" w:fill="F2F2F2"/>
          </w:tcPr>
          <w:p w14:paraId="4FCD562D"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Skrócenie średniego czasu przejazdu koleją między ośrodkami wojewódzkimi</w:t>
            </w:r>
          </w:p>
          <w:p w14:paraId="136FD7C3"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Wskaźnik Kolejowej Dostępności Transportowej WKDT II (syntetyczny) dla Polski</w:t>
            </w:r>
            <w:r w:rsidRPr="004E3242" w:rsidDel="00F3436C">
              <w:rPr>
                <w:rFonts w:ascii="Arial" w:hAnsi="Arial" w:cs="Arial"/>
                <w:sz w:val="16"/>
                <w:szCs w:val="16"/>
              </w:rPr>
              <w:t xml:space="preserve"> </w:t>
            </w:r>
          </w:p>
        </w:tc>
      </w:tr>
      <w:tr w:rsidR="004E3242" w:rsidRPr="004E3242" w14:paraId="493E3F50" w14:textId="77777777" w:rsidTr="00AA7998">
        <w:tc>
          <w:tcPr>
            <w:tcW w:w="270" w:type="pct"/>
            <w:vMerge/>
            <w:shd w:val="clear" w:color="auto" w:fill="F2F2F2"/>
            <w:vAlign w:val="center"/>
          </w:tcPr>
          <w:p w14:paraId="735BD843" w14:textId="77777777" w:rsidR="004E3242" w:rsidRPr="004E3242" w:rsidRDefault="004E3242" w:rsidP="004E3242">
            <w:pPr>
              <w:spacing w:before="40" w:after="40" w:line="240" w:lineRule="auto"/>
              <w:jc w:val="center"/>
              <w:rPr>
                <w:rFonts w:ascii="Arial" w:hAnsi="Arial" w:cs="Arial"/>
                <w:spacing w:val="4"/>
                <w:sz w:val="16"/>
                <w:szCs w:val="16"/>
              </w:rPr>
            </w:pPr>
          </w:p>
        </w:tc>
        <w:tc>
          <w:tcPr>
            <w:tcW w:w="328" w:type="pct"/>
            <w:vMerge/>
            <w:shd w:val="clear" w:color="auto" w:fill="F2F2F2"/>
            <w:vAlign w:val="center"/>
          </w:tcPr>
          <w:p w14:paraId="25847ECC" w14:textId="77777777" w:rsidR="004E3242" w:rsidRPr="004E3242" w:rsidRDefault="004E3242" w:rsidP="004E3242">
            <w:pPr>
              <w:spacing w:before="40" w:after="40" w:line="240" w:lineRule="auto"/>
              <w:jc w:val="center"/>
              <w:rPr>
                <w:rFonts w:ascii="Arial" w:hAnsi="Arial" w:cs="Arial"/>
                <w:spacing w:val="4"/>
                <w:sz w:val="16"/>
                <w:szCs w:val="16"/>
              </w:rPr>
            </w:pPr>
          </w:p>
        </w:tc>
        <w:tc>
          <w:tcPr>
            <w:tcW w:w="469" w:type="pct"/>
            <w:vMerge/>
            <w:shd w:val="clear" w:color="auto" w:fill="F2F2F2"/>
            <w:vAlign w:val="center"/>
          </w:tcPr>
          <w:p w14:paraId="670126B5" w14:textId="77777777" w:rsidR="004E3242" w:rsidRPr="004E3242" w:rsidRDefault="004E3242" w:rsidP="004E3242">
            <w:pPr>
              <w:spacing w:before="40" w:after="40" w:line="240" w:lineRule="auto"/>
              <w:jc w:val="center"/>
              <w:rPr>
                <w:rFonts w:ascii="Arial" w:hAnsi="Arial" w:cs="Arial"/>
                <w:spacing w:val="4"/>
                <w:sz w:val="16"/>
                <w:szCs w:val="16"/>
              </w:rPr>
            </w:pPr>
          </w:p>
        </w:tc>
        <w:tc>
          <w:tcPr>
            <w:tcW w:w="281" w:type="pct"/>
            <w:vMerge/>
            <w:shd w:val="clear" w:color="auto" w:fill="F2F2F2"/>
            <w:vAlign w:val="center"/>
          </w:tcPr>
          <w:p w14:paraId="3236DC59" w14:textId="77777777" w:rsidR="004E3242" w:rsidRPr="004E3242" w:rsidRDefault="004E3242" w:rsidP="004E3242">
            <w:pPr>
              <w:spacing w:before="40" w:after="40" w:line="240" w:lineRule="auto"/>
              <w:jc w:val="center"/>
              <w:rPr>
                <w:rFonts w:ascii="Arial" w:hAnsi="Arial" w:cs="Arial"/>
                <w:spacing w:val="4"/>
                <w:sz w:val="16"/>
                <w:szCs w:val="16"/>
              </w:rPr>
            </w:pPr>
          </w:p>
        </w:tc>
        <w:tc>
          <w:tcPr>
            <w:tcW w:w="375" w:type="pct"/>
            <w:vMerge/>
            <w:shd w:val="clear" w:color="auto" w:fill="F2F2F2"/>
            <w:vAlign w:val="center"/>
          </w:tcPr>
          <w:p w14:paraId="7DB02010" w14:textId="77777777" w:rsidR="004E3242" w:rsidRPr="004E3242" w:rsidRDefault="004E3242" w:rsidP="004E3242">
            <w:pPr>
              <w:spacing w:before="40" w:after="40" w:line="240" w:lineRule="auto"/>
              <w:jc w:val="center"/>
              <w:rPr>
                <w:rFonts w:ascii="Arial" w:hAnsi="Arial" w:cs="Arial"/>
                <w:spacing w:val="4"/>
                <w:sz w:val="16"/>
                <w:szCs w:val="16"/>
              </w:rPr>
            </w:pPr>
          </w:p>
        </w:tc>
        <w:tc>
          <w:tcPr>
            <w:tcW w:w="421" w:type="pct"/>
            <w:shd w:val="clear" w:color="auto" w:fill="F2F2F2"/>
          </w:tcPr>
          <w:p w14:paraId="68CB0EEE"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pacing w:val="4"/>
                <w:sz w:val="16"/>
                <w:szCs w:val="16"/>
              </w:rPr>
              <w:t>7.iii.</w:t>
            </w:r>
          </w:p>
        </w:tc>
        <w:tc>
          <w:tcPr>
            <w:tcW w:w="1312" w:type="pct"/>
            <w:shd w:val="clear" w:color="auto" w:fill="F2F2F2"/>
          </w:tcPr>
          <w:p w14:paraId="5108A9E2"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Lepszy stan krajowych połączeń kolejowych oraz większe wykorzystanie systemów kolejowych</w:t>
            </w:r>
          </w:p>
          <w:p w14:paraId="546A32BE"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w miastach</w:t>
            </w:r>
          </w:p>
        </w:tc>
        <w:tc>
          <w:tcPr>
            <w:tcW w:w="1544" w:type="pct"/>
            <w:shd w:val="clear" w:color="auto" w:fill="F2F2F2"/>
          </w:tcPr>
          <w:p w14:paraId="09299598"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Praca przewozowa w kolejowym transporcie pasażerskim</w:t>
            </w:r>
          </w:p>
          <w:p w14:paraId="1B5C9148"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Praca przewozowa w kolejowym transporcie towarowym</w:t>
            </w:r>
          </w:p>
        </w:tc>
      </w:tr>
      <w:tr w:rsidR="004E3242" w:rsidRPr="004E3242" w14:paraId="451D02BD" w14:textId="77777777" w:rsidTr="00AA7998">
        <w:tc>
          <w:tcPr>
            <w:tcW w:w="270" w:type="pct"/>
            <w:shd w:val="clear" w:color="auto" w:fill="F2F2F2"/>
            <w:vAlign w:val="center"/>
          </w:tcPr>
          <w:p w14:paraId="740FB6D4"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VI.</w:t>
            </w:r>
          </w:p>
        </w:tc>
        <w:tc>
          <w:tcPr>
            <w:tcW w:w="328" w:type="pct"/>
            <w:shd w:val="clear" w:color="auto" w:fill="F2F2F2"/>
            <w:vAlign w:val="center"/>
          </w:tcPr>
          <w:p w14:paraId="19E5C9E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469" w:type="pct"/>
            <w:shd w:val="clear" w:color="auto" w:fill="F2F2F2"/>
            <w:vAlign w:val="center"/>
          </w:tcPr>
          <w:p w14:paraId="1F7F18CE" w14:textId="77777777" w:rsidR="004E3242" w:rsidRPr="004E3242" w:rsidRDefault="00827B1B" w:rsidP="004E3242">
            <w:pPr>
              <w:spacing w:before="40" w:after="40" w:line="240" w:lineRule="auto"/>
              <w:jc w:val="center"/>
              <w:rPr>
                <w:rFonts w:ascii="Arial" w:hAnsi="Arial" w:cs="Arial"/>
                <w:spacing w:val="4"/>
                <w:sz w:val="16"/>
                <w:szCs w:val="16"/>
              </w:rPr>
            </w:pPr>
            <w:r w:rsidRPr="00827B1B">
              <w:rPr>
                <w:rFonts w:ascii="Arial" w:hAnsi="Arial" w:cs="Arial"/>
                <w:spacing w:val="4"/>
                <w:sz w:val="16"/>
                <w:szCs w:val="16"/>
              </w:rPr>
              <w:t>2 276 497 630</w:t>
            </w:r>
          </w:p>
        </w:tc>
        <w:tc>
          <w:tcPr>
            <w:tcW w:w="281" w:type="pct"/>
            <w:shd w:val="clear" w:color="auto" w:fill="F2F2F2"/>
            <w:vAlign w:val="center"/>
          </w:tcPr>
          <w:p w14:paraId="5D69B003" w14:textId="77777777" w:rsidR="007D2DA9" w:rsidRDefault="007D2DA9" w:rsidP="0070389B">
            <w:pPr>
              <w:spacing w:before="40" w:after="40" w:line="240" w:lineRule="auto"/>
              <w:jc w:val="center"/>
              <w:rPr>
                <w:rFonts w:ascii="Arial" w:hAnsi="Arial" w:cs="Arial"/>
                <w:spacing w:val="4"/>
                <w:sz w:val="16"/>
                <w:szCs w:val="16"/>
              </w:rPr>
            </w:pPr>
            <w:r>
              <w:rPr>
                <w:rFonts w:ascii="Arial" w:hAnsi="Arial" w:cs="Arial"/>
                <w:spacing w:val="4"/>
                <w:sz w:val="16"/>
                <w:szCs w:val="16"/>
              </w:rPr>
              <w:t>8,08</w:t>
            </w:r>
          </w:p>
          <w:p w14:paraId="6BDAF10C" w14:textId="2E6934D1" w:rsidR="004E3242" w:rsidRPr="004E3242" w:rsidRDefault="004E3242" w:rsidP="0070389B">
            <w:pPr>
              <w:spacing w:before="40" w:after="40" w:line="240" w:lineRule="auto"/>
              <w:jc w:val="center"/>
              <w:rPr>
                <w:rFonts w:ascii="Arial" w:hAnsi="Arial" w:cs="Arial"/>
                <w:spacing w:val="4"/>
                <w:sz w:val="16"/>
                <w:szCs w:val="16"/>
              </w:rPr>
            </w:pPr>
          </w:p>
        </w:tc>
        <w:tc>
          <w:tcPr>
            <w:tcW w:w="375" w:type="pct"/>
            <w:shd w:val="clear" w:color="auto" w:fill="F2F2F2"/>
            <w:vAlign w:val="center"/>
          </w:tcPr>
          <w:p w14:paraId="495E4CE6"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w:t>
            </w:r>
          </w:p>
        </w:tc>
        <w:tc>
          <w:tcPr>
            <w:tcW w:w="421" w:type="pct"/>
            <w:shd w:val="clear" w:color="auto" w:fill="F2F2F2"/>
          </w:tcPr>
          <w:p w14:paraId="41B8F0F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4.v.</w:t>
            </w:r>
          </w:p>
        </w:tc>
        <w:tc>
          <w:tcPr>
            <w:tcW w:w="1312" w:type="pct"/>
            <w:shd w:val="clear" w:color="auto" w:fill="F2F2F2"/>
          </w:tcPr>
          <w:p w14:paraId="6F020727" w14:textId="77777777" w:rsidR="004E3242" w:rsidRPr="004E3242" w:rsidRDefault="004E3242" w:rsidP="004E3242">
            <w:pPr>
              <w:autoSpaceDE w:val="0"/>
              <w:autoSpaceDN w:val="0"/>
              <w:adjustRightInd w:val="0"/>
              <w:spacing w:before="40" w:after="40" w:line="240" w:lineRule="auto"/>
              <w:jc w:val="both"/>
              <w:rPr>
                <w:rFonts w:ascii="Arial" w:hAnsi="Arial" w:cs="Arial"/>
                <w:sz w:val="16"/>
                <w:szCs w:val="16"/>
              </w:rPr>
            </w:pPr>
            <w:r w:rsidRPr="004E3242">
              <w:rPr>
                <w:rFonts w:ascii="Arial" w:hAnsi="Arial" w:cs="Arial"/>
                <w:sz w:val="16"/>
                <w:szCs w:val="16"/>
              </w:rPr>
              <w:t>Większe wykorzystanie niskoemisyjnego transportu miejskiego</w:t>
            </w:r>
          </w:p>
        </w:tc>
        <w:tc>
          <w:tcPr>
            <w:tcW w:w="1544" w:type="pct"/>
            <w:shd w:val="clear" w:color="auto" w:fill="F2F2F2"/>
          </w:tcPr>
          <w:p w14:paraId="3BD95CED"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Liczba przewozów pasażerskich w przeliczeniu na 1 mieszkańca obszarów miejskich</w:t>
            </w:r>
          </w:p>
          <w:p w14:paraId="1CCED062" w14:textId="77777777" w:rsidR="004E3242" w:rsidRPr="004E3242" w:rsidRDefault="004E3242" w:rsidP="00B345B6">
            <w:pPr>
              <w:numPr>
                <w:ilvl w:val="0"/>
                <w:numId w:val="70"/>
              </w:numPr>
              <w:spacing w:before="40" w:after="40" w:line="240" w:lineRule="auto"/>
              <w:jc w:val="both"/>
              <w:rPr>
                <w:rFonts w:ascii="Arial" w:hAnsi="Arial" w:cs="Arial"/>
                <w:sz w:val="16"/>
                <w:szCs w:val="16"/>
              </w:rPr>
            </w:pPr>
            <w:r w:rsidRPr="004E3242">
              <w:rPr>
                <w:rFonts w:ascii="Arial" w:hAnsi="Arial" w:cs="Arial"/>
                <w:sz w:val="16"/>
                <w:szCs w:val="16"/>
              </w:rPr>
              <w:t>Uniknięta emisja CO2 w wyniku funkcjonowania transportu publicznego</w:t>
            </w:r>
          </w:p>
        </w:tc>
      </w:tr>
      <w:tr w:rsidR="004E3242" w:rsidRPr="004E3242" w14:paraId="03196CB2" w14:textId="77777777" w:rsidTr="00AA7998">
        <w:tc>
          <w:tcPr>
            <w:tcW w:w="270" w:type="pct"/>
            <w:shd w:val="clear" w:color="auto" w:fill="F2F2F2"/>
            <w:vAlign w:val="center"/>
          </w:tcPr>
          <w:p w14:paraId="04FEDCEA"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VII.</w:t>
            </w:r>
          </w:p>
        </w:tc>
        <w:tc>
          <w:tcPr>
            <w:tcW w:w="328" w:type="pct"/>
            <w:shd w:val="clear" w:color="auto" w:fill="F2F2F2"/>
            <w:vAlign w:val="center"/>
          </w:tcPr>
          <w:p w14:paraId="406D9EBA"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486F155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1 000 000 000</w:t>
            </w:r>
          </w:p>
        </w:tc>
        <w:tc>
          <w:tcPr>
            <w:tcW w:w="281" w:type="pct"/>
            <w:shd w:val="clear" w:color="auto" w:fill="F2F2F2"/>
            <w:vAlign w:val="center"/>
          </w:tcPr>
          <w:p w14:paraId="6893A225" w14:textId="77777777" w:rsidR="00EA629B" w:rsidRDefault="005606C8" w:rsidP="004E3242">
            <w:pPr>
              <w:spacing w:before="40" w:after="40" w:line="240" w:lineRule="auto"/>
              <w:jc w:val="center"/>
              <w:rPr>
                <w:rFonts w:ascii="Arial" w:hAnsi="Arial" w:cs="Arial"/>
                <w:spacing w:val="4"/>
                <w:sz w:val="16"/>
                <w:szCs w:val="16"/>
              </w:rPr>
            </w:pPr>
            <w:r>
              <w:rPr>
                <w:rFonts w:ascii="Arial" w:hAnsi="Arial" w:cs="Arial"/>
                <w:spacing w:val="4"/>
                <w:sz w:val="16"/>
                <w:szCs w:val="16"/>
              </w:rPr>
              <w:t>3,55</w:t>
            </w:r>
          </w:p>
          <w:p w14:paraId="02C04DF8" w14:textId="6E11C0D7" w:rsidR="004E3242" w:rsidRPr="004E3242" w:rsidRDefault="004E3242" w:rsidP="004E3242">
            <w:pPr>
              <w:spacing w:before="40" w:after="40" w:line="240" w:lineRule="auto"/>
              <w:jc w:val="center"/>
              <w:rPr>
                <w:rFonts w:ascii="Arial" w:hAnsi="Arial" w:cs="Arial"/>
                <w:spacing w:val="4"/>
                <w:sz w:val="16"/>
                <w:szCs w:val="16"/>
              </w:rPr>
            </w:pPr>
          </w:p>
        </w:tc>
        <w:tc>
          <w:tcPr>
            <w:tcW w:w="375" w:type="pct"/>
            <w:shd w:val="clear" w:color="auto" w:fill="F2F2F2"/>
            <w:vAlign w:val="center"/>
          </w:tcPr>
          <w:p w14:paraId="267BE57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7.</w:t>
            </w:r>
          </w:p>
        </w:tc>
        <w:tc>
          <w:tcPr>
            <w:tcW w:w="421" w:type="pct"/>
            <w:shd w:val="clear" w:color="auto" w:fill="F2F2F2"/>
            <w:vAlign w:val="center"/>
          </w:tcPr>
          <w:p w14:paraId="7A1F76F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7.e.</w:t>
            </w:r>
          </w:p>
        </w:tc>
        <w:tc>
          <w:tcPr>
            <w:tcW w:w="1312" w:type="pct"/>
            <w:shd w:val="clear" w:color="auto" w:fill="F2F2F2"/>
            <w:vAlign w:val="center"/>
          </w:tcPr>
          <w:p w14:paraId="242436C1" w14:textId="77777777" w:rsidR="004E3242" w:rsidRPr="004E3242" w:rsidRDefault="004E3242" w:rsidP="004E3242">
            <w:pPr>
              <w:autoSpaceDE w:val="0"/>
              <w:autoSpaceDN w:val="0"/>
              <w:adjustRightInd w:val="0"/>
              <w:spacing w:before="40" w:after="40" w:line="240" w:lineRule="auto"/>
              <w:jc w:val="both"/>
              <w:rPr>
                <w:rFonts w:ascii="Arial" w:hAnsi="Arial" w:cs="Arial"/>
                <w:spacing w:val="4"/>
                <w:sz w:val="16"/>
                <w:szCs w:val="16"/>
              </w:rPr>
            </w:pPr>
            <w:r w:rsidRPr="004E3242">
              <w:rPr>
                <w:rFonts w:ascii="Arial" w:hAnsi="Arial" w:cs="Arial"/>
                <w:spacing w:val="4"/>
                <w:sz w:val="16"/>
                <w:szCs w:val="16"/>
              </w:rPr>
              <w:t>Wzmocniona infrastruktura bezpieczeństwa energetycznego kraju</w:t>
            </w:r>
          </w:p>
        </w:tc>
        <w:tc>
          <w:tcPr>
            <w:tcW w:w="1544" w:type="pct"/>
            <w:shd w:val="clear" w:color="auto" w:fill="F2F2F2"/>
            <w:vAlign w:val="center"/>
          </w:tcPr>
          <w:p w14:paraId="1C554D2D"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Indeks </w:t>
            </w:r>
            <w:proofErr w:type="spellStart"/>
            <w:r w:rsidRPr="004E3242">
              <w:rPr>
                <w:rFonts w:ascii="Arial" w:hAnsi="Arial" w:cs="Arial"/>
                <w:spacing w:val="4"/>
                <w:sz w:val="16"/>
                <w:szCs w:val="16"/>
              </w:rPr>
              <w:t>Herfindahl`a-Hirschman`a</w:t>
            </w:r>
            <w:proofErr w:type="spellEnd"/>
            <w:r w:rsidRPr="004E3242">
              <w:rPr>
                <w:rFonts w:ascii="Arial" w:hAnsi="Arial" w:cs="Arial"/>
                <w:spacing w:val="4"/>
                <w:sz w:val="16"/>
                <w:szCs w:val="16"/>
              </w:rPr>
              <w:t xml:space="preserve"> - Dywersyfikacja (HHI-D) dla sektora gazowego</w:t>
            </w:r>
          </w:p>
          <w:p w14:paraId="0F7E80A1"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Ilość energii elektrycznej niedostarczonej przez system przesyłowy elektroenergetyczny</w:t>
            </w:r>
          </w:p>
        </w:tc>
      </w:tr>
      <w:tr w:rsidR="004E3242" w:rsidRPr="004E3242" w14:paraId="1487F5C9" w14:textId="77777777" w:rsidTr="00AA7998">
        <w:tc>
          <w:tcPr>
            <w:tcW w:w="270" w:type="pct"/>
            <w:shd w:val="clear" w:color="auto" w:fill="F2F2F2"/>
            <w:vAlign w:val="center"/>
          </w:tcPr>
          <w:p w14:paraId="016B91B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VIII.</w:t>
            </w:r>
          </w:p>
        </w:tc>
        <w:tc>
          <w:tcPr>
            <w:tcW w:w="328" w:type="pct"/>
            <w:shd w:val="clear" w:color="auto" w:fill="F2F2F2"/>
            <w:vAlign w:val="center"/>
          </w:tcPr>
          <w:p w14:paraId="16C254B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38395156"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467 300 000</w:t>
            </w:r>
          </w:p>
        </w:tc>
        <w:tc>
          <w:tcPr>
            <w:tcW w:w="281" w:type="pct"/>
            <w:shd w:val="clear" w:color="auto" w:fill="F2F2F2"/>
            <w:vAlign w:val="center"/>
          </w:tcPr>
          <w:p w14:paraId="09F21AEE" w14:textId="77777777" w:rsidR="004E3242" w:rsidRPr="004E3242" w:rsidRDefault="00EA629B" w:rsidP="004B5FE0">
            <w:pPr>
              <w:spacing w:before="40" w:after="40" w:line="240" w:lineRule="auto"/>
              <w:jc w:val="center"/>
              <w:rPr>
                <w:rFonts w:ascii="Arial" w:hAnsi="Arial" w:cs="Arial"/>
                <w:spacing w:val="4"/>
                <w:sz w:val="16"/>
                <w:szCs w:val="16"/>
              </w:rPr>
            </w:pPr>
            <w:r>
              <w:rPr>
                <w:rFonts w:ascii="Arial" w:hAnsi="Arial" w:cs="Arial"/>
                <w:spacing w:val="4"/>
                <w:sz w:val="16"/>
                <w:szCs w:val="16"/>
              </w:rPr>
              <w:t>1,66</w:t>
            </w:r>
          </w:p>
        </w:tc>
        <w:tc>
          <w:tcPr>
            <w:tcW w:w="375" w:type="pct"/>
            <w:shd w:val="clear" w:color="auto" w:fill="F2F2F2"/>
            <w:vAlign w:val="center"/>
          </w:tcPr>
          <w:p w14:paraId="27FFDB7A"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6.</w:t>
            </w:r>
          </w:p>
        </w:tc>
        <w:tc>
          <w:tcPr>
            <w:tcW w:w="421" w:type="pct"/>
            <w:shd w:val="clear" w:color="auto" w:fill="F2F2F2"/>
            <w:vAlign w:val="center"/>
          </w:tcPr>
          <w:p w14:paraId="1D93A7F2"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6.c</w:t>
            </w:r>
          </w:p>
        </w:tc>
        <w:tc>
          <w:tcPr>
            <w:tcW w:w="1312" w:type="pct"/>
            <w:shd w:val="clear" w:color="auto" w:fill="F2F2F2"/>
            <w:vAlign w:val="center"/>
          </w:tcPr>
          <w:p w14:paraId="449EB379"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Lepsza dostępność infrastruktury kultury i </w:t>
            </w:r>
            <w:r w:rsidRPr="004E3242">
              <w:rPr>
                <w:rFonts w:ascii="Arial" w:hAnsi="Arial" w:cs="Arial"/>
                <w:spacing w:val="4"/>
                <w:sz w:val="16"/>
                <w:szCs w:val="16"/>
              </w:rPr>
              <w:lastRenderedPageBreak/>
              <w:t>dziedzictwa kulturowego oraz wzrost kompetencji kulturowych społeczeństwa jako ważnych elementów konkurencyjności gospodarki</w:t>
            </w:r>
          </w:p>
        </w:tc>
        <w:tc>
          <w:tcPr>
            <w:tcW w:w="1544" w:type="pct"/>
            <w:shd w:val="clear" w:color="auto" w:fill="F2F2F2"/>
            <w:vAlign w:val="center"/>
          </w:tcPr>
          <w:p w14:paraId="17580A84"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lastRenderedPageBreak/>
              <w:t xml:space="preserve">Odsetek osób uczestniczących w wybranych </w:t>
            </w:r>
            <w:r w:rsidRPr="004E3242">
              <w:rPr>
                <w:rFonts w:ascii="Arial" w:hAnsi="Arial" w:cs="Arial"/>
                <w:spacing w:val="4"/>
                <w:sz w:val="16"/>
                <w:szCs w:val="16"/>
              </w:rPr>
              <w:lastRenderedPageBreak/>
              <w:t>obszarach kultury</w:t>
            </w:r>
          </w:p>
          <w:p w14:paraId="27983076"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Zwiedzający muzea i oddziały muzealne na 1000 mieszkańców</w:t>
            </w:r>
          </w:p>
        </w:tc>
      </w:tr>
      <w:tr w:rsidR="004E3242" w:rsidRPr="004E3242" w14:paraId="3D8B040C" w14:textId="77777777" w:rsidTr="00AA7998">
        <w:tc>
          <w:tcPr>
            <w:tcW w:w="270" w:type="pct"/>
            <w:shd w:val="clear" w:color="auto" w:fill="F2F2F2"/>
            <w:vAlign w:val="center"/>
          </w:tcPr>
          <w:p w14:paraId="3EECEE78"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lastRenderedPageBreak/>
              <w:t>IX.</w:t>
            </w:r>
          </w:p>
        </w:tc>
        <w:tc>
          <w:tcPr>
            <w:tcW w:w="328" w:type="pct"/>
            <w:shd w:val="clear" w:color="auto" w:fill="F2F2F2"/>
            <w:vAlign w:val="center"/>
          </w:tcPr>
          <w:p w14:paraId="22855241"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6FB1473A" w14:textId="77777777" w:rsidR="004E3242" w:rsidRPr="00FB32C7" w:rsidRDefault="00933833" w:rsidP="00FB32C7">
            <w:pPr>
              <w:spacing w:after="0" w:line="240" w:lineRule="auto"/>
              <w:jc w:val="center"/>
              <w:rPr>
                <w:rFonts w:ascii="Arial" w:hAnsi="Arial" w:cs="Arial"/>
                <w:color w:val="000000"/>
                <w:sz w:val="16"/>
                <w:szCs w:val="16"/>
              </w:rPr>
            </w:pPr>
            <w:bookmarkStart w:id="341" w:name="OLE_LINK59"/>
            <w:bookmarkStart w:id="342" w:name="OLE_LINK71"/>
            <w:r w:rsidRPr="00933833">
              <w:rPr>
                <w:rFonts w:ascii="Arial" w:hAnsi="Arial" w:cs="Arial"/>
                <w:color w:val="000000"/>
                <w:sz w:val="16"/>
                <w:szCs w:val="16"/>
              </w:rPr>
              <w:t>663 872 292</w:t>
            </w:r>
            <w:bookmarkEnd w:id="341"/>
            <w:bookmarkEnd w:id="342"/>
          </w:p>
        </w:tc>
        <w:tc>
          <w:tcPr>
            <w:tcW w:w="281" w:type="pct"/>
            <w:shd w:val="clear" w:color="auto" w:fill="F2F2F2"/>
            <w:vAlign w:val="center"/>
          </w:tcPr>
          <w:p w14:paraId="3253EF39" w14:textId="77777777" w:rsidR="004E3242" w:rsidRPr="004E3242" w:rsidRDefault="00EA629B" w:rsidP="009B7DE1">
            <w:pPr>
              <w:spacing w:before="40" w:after="40" w:line="240" w:lineRule="auto"/>
              <w:jc w:val="center"/>
              <w:rPr>
                <w:rFonts w:ascii="Arial" w:hAnsi="Arial" w:cs="Arial"/>
                <w:spacing w:val="4"/>
                <w:sz w:val="16"/>
                <w:szCs w:val="16"/>
              </w:rPr>
            </w:pPr>
            <w:r>
              <w:rPr>
                <w:rFonts w:ascii="Arial" w:hAnsi="Arial" w:cs="Arial"/>
                <w:spacing w:val="4"/>
                <w:sz w:val="16"/>
                <w:szCs w:val="16"/>
              </w:rPr>
              <w:t>2,36</w:t>
            </w:r>
          </w:p>
        </w:tc>
        <w:tc>
          <w:tcPr>
            <w:tcW w:w="375" w:type="pct"/>
            <w:shd w:val="clear" w:color="auto" w:fill="F2F2F2"/>
            <w:vAlign w:val="center"/>
          </w:tcPr>
          <w:p w14:paraId="590D1BF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9.</w:t>
            </w:r>
          </w:p>
        </w:tc>
        <w:tc>
          <w:tcPr>
            <w:tcW w:w="421" w:type="pct"/>
            <w:shd w:val="clear" w:color="auto" w:fill="F2F2F2"/>
            <w:vAlign w:val="center"/>
          </w:tcPr>
          <w:p w14:paraId="66F6F71F"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9.a</w:t>
            </w:r>
          </w:p>
        </w:tc>
        <w:tc>
          <w:tcPr>
            <w:tcW w:w="1312" w:type="pct"/>
            <w:shd w:val="clear" w:color="auto" w:fill="F2F2F2"/>
            <w:vAlign w:val="center"/>
          </w:tcPr>
          <w:p w14:paraId="2B734E09"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bCs/>
                <w:iCs/>
                <w:spacing w:val="4"/>
                <w:sz w:val="16"/>
                <w:szCs w:val="16"/>
              </w:rPr>
              <w:t>Zapewnienie dostępu ludności do infrastruktury ochrony zdrowia oraz poprawa efektywności systemu opieki zdrowotnej</w:t>
            </w:r>
          </w:p>
        </w:tc>
        <w:tc>
          <w:tcPr>
            <w:tcW w:w="1544" w:type="pct"/>
            <w:shd w:val="clear" w:color="auto" w:fill="F2F2F2"/>
            <w:vAlign w:val="center"/>
          </w:tcPr>
          <w:p w14:paraId="018566B8"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Średnia liczba osób przypadająca na szpitalny oddział ratunkowy</w:t>
            </w:r>
          </w:p>
          <w:p w14:paraId="75C26434"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Średni czas pobytu pacjenta na łóżkach leczniczych w Polsce</w:t>
            </w:r>
          </w:p>
        </w:tc>
      </w:tr>
      <w:tr w:rsidR="004E3242" w:rsidRPr="004E3242" w14:paraId="4C807DBF" w14:textId="77777777" w:rsidTr="00AA7998">
        <w:tc>
          <w:tcPr>
            <w:tcW w:w="270" w:type="pct"/>
            <w:shd w:val="clear" w:color="auto" w:fill="F2F2F2"/>
            <w:vAlign w:val="center"/>
          </w:tcPr>
          <w:p w14:paraId="1927079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X.</w:t>
            </w:r>
          </w:p>
        </w:tc>
        <w:tc>
          <w:tcPr>
            <w:tcW w:w="328" w:type="pct"/>
            <w:shd w:val="clear" w:color="auto" w:fill="F2F2F2"/>
            <w:vAlign w:val="center"/>
          </w:tcPr>
          <w:p w14:paraId="095C0847"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469" w:type="pct"/>
            <w:shd w:val="clear" w:color="auto" w:fill="F2F2F2"/>
            <w:vAlign w:val="center"/>
          </w:tcPr>
          <w:p w14:paraId="2AB63109" w14:textId="77777777" w:rsidR="004E3242" w:rsidRPr="004E3242" w:rsidRDefault="00470A12" w:rsidP="00470A12">
            <w:pPr>
              <w:spacing w:before="40" w:after="40" w:line="240" w:lineRule="auto"/>
              <w:jc w:val="center"/>
              <w:rPr>
                <w:rFonts w:ascii="Arial" w:hAnsi="Arial" w:cs="Arial"/>
                <w:spacing w:val="4"/>
                <w:sz w:val="16"/>
                <w:szCs w:val="16"/>
              </w:rPr>
            </w:pPr>
            <w:r w:rsidRPr="00470A12">
              <w:rPr>
                <w:rFonts w:ascii="Arial" w:hAnsi="Arial" w:cs="Arial"/>
                <w:spacing w:val="4"/>
                <w:sz w:val="16"/>
                <w:szCs w:val="16"/>
              </w:rPr>
              <w:t>327 000 000</w:t>
            </w:r>
          </w:p>
        </w:tc>
        <w:tc>
          <w:tcPr>
            <w:tcW w:w="281" w:type="pct"/>
            <w:shd w:val="clear" w:color="auto" w:fill="F2F2F2"/>
            <w:vAlign w:val="center"/>
          </w:tcPr>
          <w:p w14:paraId="20DA93D3" w14:textId="77777777" w:rsidR="004E3242" w:rsidRPr="004E3242" w:rsidRDefault="00EA629B" w:rsidP="009B7DE1">
            <w:pPr>
              <w:spacing w:before="40" w:after="40" w:line="240" w:lineRule="auto"/>
              <w:jc w:val="center"/>
              <w:rPr>
                <w:rFonts w:ascii="Arial" w:hAnsi="Arial" w:cs="Arial"/>
                <w:spacing w:val="4"/>
                <w:sz w:val="16"/>
                <w:szCs w:val="16"/>
              </w:rPr>
            </w:pPr>
            <w:r>
              <w:rPr>
                <w:rFonts w:ascii="Arial" w:hAnsi="Arial" w:cs="Arial"/>
                <w:spacing w:val="4"/>
                <w:sz w:val="16"/>
                <w:szCs w:val="16"/>
              </w:rPr>
              <w:t>1,16</w:t>
            </w:r>
          </w:p>
        </w:tc>
        <w:tc>
          <w:tcPr>
            <w:tcW w:w="796" w:type="pct"/>
            <w:gridSpan w:val="2"/>
            <w:shd w:val="clear" w:color="auto" w:fill="F2F2F2"/>
            <w:vAlign w:val="center"/>
          </w:tcPr>
          <w:p w14:paraId="7C65D96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n/d</w:t>
            </w:r>
          </w:p>
        </w:tc>
        <w:tc>
          <w:tcPr>
            <w:tcW w:w="1312" w:type="pct"/>
            <w:shd w:val="clear" w:color="auto" w:fill="F2F2F2"/>
            <w:vAlign w:val="center"/>
          </w:tcPr>
          <w:p w14:paraId="6A52E0EB"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Utrzymanie niezbędnych warunków pracy oraz potencjału instytucji realizujących Program oraz instytucji mających znaczący wpływ na wdrażanie Programu, gwarantujących skuteczne wykonywanie obowiązków związanych z realizacją Programu</w:t>
            </w:r>
          </w:p>
          <w:p w14:paraId="088B8BBD"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Zapewnienie sprawnego systemu realizacji Programu</w:t>
            </w:r>
          </w:p>
          <w:p w14:paraId="6C7C8881"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Wzmocnienie potencjału beneficjentów i potencjalnych beneficjentów Programu, ze szczególnym uwzględnieniem Generalnej Dyrekcji Dróg Krajowych i Autostrad oraz PKP Polskie Linie Kolejowe SA oraz instytucji mających znaczący wpływ na potencjał beneficjentów Programu</w:t>
            </w:r>
          </w:p>
          <w:p w14:paraId="008DBB92"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Skuteczna i efektywna informacja i promocja Programu</w:t>
            </w:r>
          </w:p>
        </w:tc>
        <w:tc>
          <w:tcPr>
            <w:tcW w:w="1544" w:type="pct"/>
            <w:shd w:val="clear" w:color="auto" w:fill="F2F2F2"/>
            <w:vAlign w:val="center"/>
          </w:tcPr>
          <w:p w14:paraId="58618982"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Średnioroczna liczba form szkoleniowych na jednego pracownika instytucji systemu wdrażania FE</w:t>
            </w:r>
          </w:p>
          <w:p w14:paraId="30E52648"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Odsetek wdrożonych rekomendacji operacyjnych</w:t>
            </w:r>
          </w:p>
          <w:p w14:paraId="61FA663B"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Średni czas zatwierdzenia projektu (od złożenia wniosku o dofinansowanie do podpisania umowy)</w:t>
            </w:r>
          </w:p>
          <w:p w14:paraId="5E30C99C"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Poziom fluktuacji pracowników w instytucjach zaangażowanych w politykę spójności (monitorowany w odniesieniu do dwóch największych beneficjentów, tj. GDDKiA i PKP PLK SA)</w:t>
            </w:r>
          </w:p>
          <w:p w14:paraId="10B36042" w14:textId="77777777" w:rsidR="004E3242" w:rsidRPr="004E3242" w:rsidRDefault="004E3242" w:rsidP="00B345B6">
            <w:pPr>
              <w:numPr>
                <w:ilvl w:val="0"/>
                <w:numId w:val="70"/>
              </w:numPr>
              <w:spacing w:before="40" w:after="40" w:line="240" w:lineRule="auto"/>
              <w:jc w:val="both"/>
              <w:rPr>
                <w:rFonts w:ascii="Arial" w:hAnsi="Arial" w:cs="Arial"/>
                <w:spacing w:val="4"/>
                <w:sz w:val="16"/>
                <w:szCs w:val="16"/>
              </w:rPr>
            </w:pPr>
            <w:r w:rsidRPr="004E3242">
              <w:rPr>
                <w:rFonts w:ascii="Arial" w:hAnsi="Arial" w:cs="Arial"/>
                <w:spacing w:val="4"/>
                <w:sz w:val="16"/>
                <w:szCs w:val="16"/>
              </w:rPr>
              <w:t>Ocena przydatności form szkoleniowych dla beneficjentów</w:t>
            </w:r>
          </w:p>
        </w:tc>
      </w:tr>
      <w:tr w:rsidR="000D3464" w:rsidRPr="004E3242" w14:paraId="3629EAE1" w14:textId="77777777" w:rsidTr="000D3464">
        <w:tc>
          <w:tcPr>
            <w:tcW w:w="270" w:type="pct"/>
            <w:shd w:val="clear" w:color="auto" w:fill="F2F2F2"/>
            <w:vAlign w:val="center"/>
          </w:tcPr>
          <w:p w14:paraId="7864E3F2" w14:textId="77777777" w:rsidR="000D3464" w:rsidRPr="004E3242" w:rsidRDefault="000D3464" w:rsidP="004E3242">
            <w:pPr>
              <w:spacing w:before="40" w:after="40" w:line="240" w:lineRule="auto"/>
              <w:jc w:val="center"/>
              <w:rPr>
                <w:rFonts w:ascii="Arial" w:hAnsi="Arial" w:cs="Arial"/>
                <w:spacing w:val="4"/>
                <w:sz w:val="16"/>
                <w:szCs w:val="16"/>
              </w:rPr>
            </w:pPr>
            <w:r>
              <w:rPr>
                <w:rFonts w:ascii="Arial" w:hAnsi="Arial" w:cs="Arial"/>
                <w:spacing w:val="4"/>
                <w:sz w:val="16"/>
                <w:szCs w:val="16"/>
              </w:rPr>
              <w:t>XI.</w:t>
            </w:r>
          </w:p>
        </w:tc>
        <w:tc>
          <w:tcPr>
            <w:tcW w:w="328" w:type="pct"/>
            <w:shd w:val="clear" w:color="auto" w:fill="F2F2F2"/>
            <w:vAlign w:val="center"/>
          </w:tcPr>
          <w:p w14:paraId="5189B9C4" w14:textId="77777777" w:rsidR="000D3464" w:rsidRPr="004E3242" w:rsidRDefault="000D3464" w:rsidP="004E3242">
            <w:pPr>
              <w:spacing w:before="40" w:after="40" w:line="240" w:lineRule="auto"/>
              <w:jc w:val="center"/>
              <w:rPr>
                <w:rFonts w:ascii="Arial" w:hAnsi="Arial" w:cs="Arial"/>
                <w:spacing w:val="4"/>
                <w:sz w:val="16"/>
                <w:szCs w:val="16"/>
              </w:rPr>
            </w:pPr>
            <w:r>
              <w:rPr>
                <w:rFonts w:ascii="Arial" w:hAnsi="Arial" w:cs="Arial"/>
                <w:spacing w:val="4"/>
                <w:sz w:val="16"/>
                <w:szCs w:val="16"/>
              </w:rPr>
              <w:t>EFRR REACT-EU</w:t>
            </w:r>
          </w:p>
        </w:tc>
        <w:tc>
          <w:tcPr>
            <w:tcW w:w="469" w:type="pct"/>
            <w:shd w:val="clear" w:color="auto" w:fill="F2F2F2"/>
            <w:vAlign w:val="center"/>
          </w:tcPr>
          <w:p w14:paraId="5681BCFD" w14:textId="00AD4277" w:rsidR="00632BDE" w:rsidRDefault="00632BDE" w:rsidP="00470A12">
            <w:pPr>
              <w:spacing w:before="40" w:after="40" w:line="240" w:lineRule="auto"/>
              <w:jc w:val="center"/>
              <w:rPr>
                <w:rFonts w:ascii="Arial" w:hAnsi="Arial" w:cs="Arial"/>
                <w:spacing w:val="4"/>
                <w:sz w:val="16"/>
                <w:szCs w:val="16"/>
              </w:rPr>
            </w:pPr>
            <w:r w:rsidRPr="00632BDE">
              <w:rPr>
                <w:rFonts w:ascii="Arial" w:hAnsi="Arial" w:cs="Arial"/>
                <w:spacing w:val="4"/>
                <w:sz w:val="16"/>
                <w:szCs w:val="16"/>
              </w:rPr>
              <w:t>737 175</w:t>
            </w:r>
            <w:r>
              <w:rPr>
                <w:rFonts w:ascii="Arial" w:hAnsi="Arial" w:cs="Arial"/>
                <w:spacing w:val="4"/>
                <w:sz w:val="16"/>
                <w:szCs w:val="16"/>
              </w:rPr>
              <w:t> </w:t>
            </w:r>
            <w:r w:rsidRPr="00632BDE">
              <w:rPr>
                <w:rFonts w:ascii="Arial" w:hAnsi="Arial" w:cs="Arial"/>
                <w:spacing w:val="4"/>
                <w:sz w:val="16"/>
                <w:szCs w:val="16"/>
              </w:rPr>
              <w:t>003</w:t>
            </w:r>
          </w:p>
          <w:p w14:paraId="7A8F0B44" w14:textId="3A1FFA42" w:rsidR="000D3464" w:rsidRPr="00470A12" w:rsidRDefault="000D3464" w:rsidP="00091F8D">
            <w:pPr>
              <w:spacing w:before="40" w:after="40" w:line="240" w:lineRule="auto"/>
              <w:jc w:val="center"/>
              <w:rPr>
                <w:rFonts w:ascii="Arial" w:hAnsi="Arial" w:cs="Arial"/>
                <w:spacing w:val="4"/>
                <w:sz w:val="16"/>
                <w:szCs w:val="16"/>
              </w:rPr>
            </w:pPr>
          </w:p>
        </w:tc>
        <w:tc>
          <w:tcPr>
            <w:tcW w:w="281" w:type="pct"/>
            <w:shd w:val="clear" w:color="auto" w:fill="F2F2F2"/>
            <w:vAlign w:val="center"/>
          </w:tcPr>
          <w:p w14:paraId="5CB0196D" w14:textId="66E5ED2C" w:rsidR="00D85B5C" w:rsidRDefault="00B47B55" w:rsidP="00B47B55">
            <w:pPr>
              <w:spacing w:before="40" w:after="40" w:line="240" w:lineRule="auto"/>
              <w:jc w:val="center"/>
              <w:rPr>
                <w:rFonts w:ascii="Arial" w:hAnsi="Arial" w:cs="Arial"/>
                <w:spacing w:val="4"/>
                <w:sz w:val="16"/>
                <w:szCs w:val="16"/>
              </w:rPr>
            </w:pPr>
            <w:r>
              <w:rPr>
                <w:rFonts w:ascii="Arial" w:hAnsi="Arial" w:cs="Arial"/>
                <w:spacing w:val="4"/>
                <w:sz w:val="16"/>
                <w:szCs w:val="16"/>
              </w:rPr>
              <w:t>2,62</w:t>
            </w:r>
          </w:p>
          <w:p w14:paraId="6ACC4FD3" w14:textId="77D07D15" w:rsidR="000D3464" w:rsidRPr="00470A12" w:rsidRDefault="000D3464" w:rsidP="00470A12">
            <w:pPr>
              <w:spacing w:before="40" w:after="40" w:line="240" w:lineRule="auto"/>
              <w:jc w:val="center"/>
              <w:rPr>
                <w:rFonts w:ascii="Arial" w:hAnsi="Arial" w:cs="Arial"/>
                <w:spacing w:val="4"/>
                <w:sz w:val="16"/>
                <w:szCs w:val="16"/>
              </w:rPr>
            </w:pPr>
          </w:p>
        </w:tc>
        <w:tc>
          <w:tcPr>
            <w:tcW w:w="796" w:type="pct"/>
            <w:gridSpan w:val="2"/>
            <w:shd w:val="clear" w:color="auto" w:fill="F2F2F2"/>
            <w:vAlign w:val="center"/>
          </w:tcPr>
          <w:p w14:paraId="3B1F3AB4" w14:textId="77777777" w:rsidR="000D3464" w:rsidRPr="004E3242" w:rsidRDefault="000D3464" w:rsidP="004E3242">
            <w:pPr>
              <w:spacing w:before="40" w:after="40" w:line="240" w:lineRule="auto"/>
              <w:jc w:val="center"/>
              <w:rPr>
                <w:rFonts w:ascii="Arial" w:hAnsi="Arial" w:cs="Arial"/>
                <w:spacing w:val="4"/>
                <w:sz w:val="16"/>
                <w:szCs w:val="16"/>
              </w:rPr>
            </w:pPr>
            <w:r>
              <w:rPr>
                <w:rFonts w:ascii="Arial" w:hAnsi="Arial" w:cs="Arial"/>
                <w:spacing w:val="4"/>
                <w:sz w:val="16"/>
                <w:szCs w:val="16"/>
              </w:rPr>
              <w:t>10.</w:t>
            </w:r>
          </w:p>
        </w:tc>
        <w:tc>
          <w:tcPr>
            <w:tcW w:w="1312" w:type="pct"/>
            <w:shd w:val="clear" w:color="auto" w:fill="F2F2F2"/>
            <w:vAlign w:val="center"/>
          </w:tcPr>
          <w:p w14:paraId="381BD858" w14:textId="77777777" w:rsidR="000D3464" w:rsidRPr="004E3242" w:rsidRDefault="000D3464" w:rsidP="004E3242">
            <w:pPr>
              <w:spacing w:before="40" w:after="40" w:line="240" w:lineRule="auto"/>
              <w:jc w:val="both"/>
              <w:rPr>
                <w:rFonts w:ascii="Arial" w:hAnsi="Arial" w:cs="Arial"/>
                <w:spacing w:val="4"/>
                <w:sz w:val="16"/>
                <w:szCs w:val="16"/>
              </w:rPr>
            </w:pPr>
            <w:r w:rsidRPr="004F05B6">
              <w:rPr>
                <w:rFonts w:ascii="Arial" w:hAnsi="Arial" w:cs="Arial"/>
                <w:spacing w:val="4"/>
                <w:sz w:val="16"/>
                <w:szCs w:val="16"/>
              </w:rPr>
              <w:t>Wspieranie kryzysowych działań naprawczych w kontekście pandemii COVID-19 i jej skutków społecznych oraz przygotowanie do ekologicznej i cyfrowej odbudowy gospodarki zwiększającej jej odporność</w:t>
            </w:r>
          </w:p>
        </w:tc>
        <w:tc>
          <w:tcPr>
            <w:tcW w:w="1544" w:type="pct"/>
            <w:shd w:val="clear" w:color="auto" w:fill="F2F2F2"/>
            <w:vAlign w:val="center"/>
          </w:tcPr>
          <w:p w14:paraId="1F47705A" w14:textId="77777777" w:rsidR="000D3464" w:rsidRDefault="000D3464" w:rsidP="00490CE1">
            <w:pPr>
              <w:numPr>
                <w:ilvl w:val="0"/>
                <w:numId w:val="70"/>
              </w:numPr>
              <w:spacing w:before="40" w:after="40" w:line="240" w:lineRule="auto"/>
              <w:jc w:val="both"/>
              <w:rPr>
                <w:rFonts w:ascii="Arial" w:hAnsi="Arial" w:cs="Arial"/>
                <w:spacing w:val="4"/>
                <w:sz w:val="16"/>
                <w:szCs w:val="16"/>
              </w:rPr>
            </w:pPr>
            <w:r w:rsidRPr="00490CE1">
              <w:rPr>
                <w:rFonts w:ascii="Arial" w:hAnsi="Arial" w:cs="Arial"/>
                <w:spacing w:val="4"/>
                <w:sz w:val="16"/>
                <w:szCs w:val="16"/>
              </w:rPr>
              <w:t>Liczba odbiorców indywidualnych wytwarzających energię elektryczną z OZE</w:t>
            </w:r>
          </w:p>
          <w:p w14:paraId="4F082F06" w14:textId="77777777" w:rsidR="000D3464" w:rsidRDefault="000D3464" w:rsidP="00B345B6">
            <w:pPr>
              <w:numPr>
                <w:ilvl w:val="0"/>
                <w:numId w:val="70"/>
              </w:numPr>
              <w:spacing w:before="40" w:after="40" w:line="240" w:lineRule="auto"/>
              <w:jc w:val="both"/>
              <w:rPr>
                <w:rFonts w:ascii="Arial" w:hAnsi="Arial" w:cs="Arial"/>
                <w:spacing w:val="4"/>
                <w:sz w:val="16"/>
                <w:szCs w:val="16"/>
              </w:rPr>
            </w:pPr>
            <w:r>
              <w:rPr>
                <w:rFonts w:ascii="Arial" w:hAnsi="Arial" w:cs="Arial"/>
                <w:spacing w:val="4"/>
                <w:sz w:val="16"/>
                <w:szCs w:val="16"/>
              </w:rPr>
              <w:t>Liczba leczonych w podmiotach leczniczych objętych wsparciem</w:t>
            </w:r>
          </w:p>
          <w:p w14:paraId="12ADF202" w14:textId="3AA1BA26" w:rsidR="00FE2345" w:rsidRPr="00CE3DD5" w:rsidRDefault="00CE3DD5" w:rsidP="00CE3DD5">
            <w:pPr>
              <w:numPr>
                <w:ilvl w:val="0"/>
                <w:numId w:val="70"/>
              </w:numPr>
              <w:spacing w:before="40" w:after="40" w:line="240" w:lineRule="auto"/>
              <w:jc w:val="both"/>
              <w:rPr>
                <w:rFonts w:ascii="Arial" w:hAnsi="Arial" w:cs="Arial"/>
                <w:spacing w:val="4"/>
                <w:sz w:val="16"/>
                <w:szCs w:val="16"/>
              </w:rPr>
            </w:pPr>
            <w:r w:rsidRPr="00DC275C">
              <w:rPr>
                <w:rFonts w:ascii="Arial" w:hAnsi="Arial" w:cs="Arial"/>
                <w:spacing w:val="4"/>
                <w:sz w:val="16"/>
                <w:szCs w:val="16"/>
              </w:rPr>
              <w:t>Liczba przewozów komunikacją miejską w nowym taborze komunikacji miejskiej</w:t>
            </w:r>
          </w:p>
        </w:tc>
      </w:tr>
      <w:tr w:rsidR="006F0DB4" w:rsidRPr="004E3242" w14:paraId="6902D46C" w14:textId="77777777" w:rsidTr="00AA7998">
        <w:tc>
          <w:tcPr>
            <w:tcW w:w="270" w:type="pct"/>
            <w:shd w:val="clear" w:color="auto" w:fill="F2F2F2"/>
            <w:vAlign w:val="center"/>
          </w:tcPr>
          <w:p w14:paraId="01247D67" w14:textId="77777777" w:rsidR="006F0DB4" w:rsidRPr="004E3242" w:rsidRDefault="006F0DB4" w:rsidP="004E3242">
            <w:pPr>
              <w:spacing w:before="40" w:after="40" w:line="240" w:lineRule="auto"/>
              <w:jc w:val="center"/>
              <w:rPr>
                <w:rFonts w:ascii="Arial" w:hAnsi="Arial" w:cs="Arial"/>
                <w:spacing w:val="4"/>
                <w:sz w:val="16"/>
                <w:szCs w:val="16"/>
              </w:rPr>
            </w:pPr>
            <w:r>
              <w:rPr>
                <w:rFonts w:ascii="Arial" w:hAnsi="Arial" w:cs="Arial"/>
                <w:spacing w:val="4"/>
                <w:sz w:val="16"/>
                <w:szCs w:val="16"/>
              </w:rPr>
              <w:t>XII.</w:t>
            </w:r>
          </w:p>
        </w:tc>
        <w:tc>
          <w:tcPr>
            <w:tcW w:w="328" w:type="pct"/>
            <w:shd w:val="clear" w:color="auto" w:fill="F2F2F2"/>
            <w:vAlign w:val="center"/>
          </w:tcPr>
          <w:p w14:paraId="6FEB8CB7" w14:textId="77777777" w:rsidR="006F0DB4" w:rsidRPr="004E3242" w:rsidRDefault="00B54C33" w:rsidP="004E3242">
            <w:pPr>
              <w:spacing w:before="40" w:after="40" w:line="240" w:lineRule="auto"/>
              <w:jc w:val="center"/>
              <w:rPr>
                <w:rFonts w:ascii="Arial" w:hAnsi="Arial" w:cs="Arial"/>
                <w:spacing w:val="4"/>
                <w:sz w:val="16"/>
                <w:szCs w:val="16"/>
              </w:rPr>
            </w:pPr>
            <w:r>
              <w:rPr>
                <w:rFonts w:ascii="Arial" w:hAnsi="Arial" w:cs="Arial"/>
                <w:spacing w:val="4"/>
                <w:sz w:val="16"/>
                <w:szCs w:val="16"/>
              </w:rPr>
              <w:t>EFRR</w:t>
            </w:r>
            <w:r w:rsidR="00CE5F21">
              <w:rPr>
                <w:rFonts w:ascii="Arial" w:hAnsi="Arial" w:cs="Arial"/>
                <w:spacing w:val="4"/>
                <w:sz w:val="16"/>
                <w:szCs w:val="16"/>
              </w:rPr>
              <w:t xml:space="preserve"> REACT-EU</w:t>
            </w:r>
          </w:p>
        </w:tc>
        <w:tc>
          <w:tcPr>
            <w:tcW w:w="469" w:type="pct"/>
            <w:shd w:val="clear" w:color="auto" w:fill="F2F2F2"/>
            <w:vAlign w:val="center"/>
          </w:tcPr>
          <w:p w14:paraId="2AC686AB" w14:textId="4DBE27BF" w:rsidR="00202E93" w:rsidRDefault="00202E93" w:rsidP="00470A12">
            <w:pPr>
              <w:spacing w:before="40" w:after="40" w:line="240" w:lineRule="auto"/>
              <w:jc w:val="center"/>
              <w:rPr>
                <w:rFonts w:ascii="Arial" w:hAnsi="Arial" w:cs="Arial"/>
                <w:spacing w:val="4"/>
                <w:sz w:val="16"/>
                <w:szCs w:val="16"/>
              </w:rPr>
            </w:pPr>
            <w:r w:rsidRPr="00202E93">
              <w:rPr>
                <w:rFonts w:ascii="Arial" w:hAnsi="Arial" w:cs="Arial"/>
                <w:spacing w:val="4"/>
                <w:sz w:val="16"/>
                <w:szCs w:val="16"/>
              </w:rPr>
              <w:t>30 715</w:t>
            </w:r>
            <w:r>
              <w:rPr>
                <w:rFonts w:ascii="Arial" w:hAnsi="Arial" w:cs="Arial"/>
                <w:spacing w:val="4"/>
                <w:sz w:val="16"/>
                <w:szCs w:val="16"/>
              </w:rPr>
              <w:t> </w:t>
            </w:r>
            <w:r w:rsidRPr="00202E93">
              <w:rPr>
                <w:rFonts w:ascii="Arial" w:hAnsi="Arial" w:cs="Arial"/>
                <w:spacing w:val="4"/>
                <w:sz w:val="16"/>
                <w:szCs w:val="16"/>
              </w:rPr>
              <w:t>624</w:t>
            </w:r>
          </w:p>
          <w:p w14:paraId="31EF0D16" w14:textId="145B76EF" w:rsidR="006F0DB4" w:rsidRPr="00470A12" w:rsidRDefault="006F0DB4" w:rsidP="00091F8D">
            <w:pPr>
              <w:spacing w:before="40" w:after="40" w:line="240" w:lineRule="auto"/>
              <w:jc w:val="center"/>
              <w:rPr>
                <w:rFonts w:ascii="Arial" w:hAnsi="Arial" w:cs="Arial"/>
                <w:spacing w:val="4"/>
                <w:sz w:val="16"/>
                <w:szCs w:val="16"/>
              </w:rPr>
            </w:pPr>
          </w:p>
        </w:tc>
        <w:tc>
          <w:tcPr>
            <w:tcW w:w="281" w:type="pct"/>
            <w:shd w:val="clear" w:color="auto" w:fill="F2F2F2"/>
            <w:vAlign w:val="center"/>
          </w:tcPr>
          <w:p w14:paraId="3AD5DD42" w14:textId="77777777" w:rsidR="00BF5BA5" w:rsidRDefault="00BF5BA5" w:rsidP="00470A12">
            <w:pPr>
              <w:spacing w:before="40" w:after="40" w:line="240" w:lineRule="auto"/>
              <w:jc w:val="center"/>
              <w:rPr>
                <w:rFonts w:ascii="Arial" w:hAnsi="Arial" w:cs="Arial"/>
                <w:spacing w:val="4"/>
                <w:sz w:val="16"/>
                <w:szCs w:val="16"/>
              </w:rPr>
            </w:pPr>
            <w:r>
              <w:rPr>
                <w:rFonts w:ascii="Arial" w:hAnsi="Arial" w:cs="Arial"/>
                <w:spacing w:val="4"/>
                <w:sz w:val="16"/>
                <w:szCs w:val="16"/>
              </w:rPr>
              <w:t>0,11</w:t>
            </w:r>
          </w:p>
          <w:p w14:paraId="399605C4" w14:textId="13EE5C4F" w:rsidR="006F0DB4" w:rsidRPr="00470A12" w:rsidRDefault="006F0DB4" w:rsidP="00470A12">
            <w:pPr>
              <w:spacing w:before="40" w:after="40" w:line="240" w:lineRule="auto"/>
              <w:jc w:val="center"/>
              <w:rPr>
                <w:rFonts w:ascii="Arial" w:hAnsi="Arial" w:cs="Arial"/>
                <w:spacing w:val="4"/>
                <w:sz w:val="16"/>
                <w:szCs w:val="16"/>
              </w:rPr>
            </w:pPr>
          </w:p>
        </w:tc>
        <w:tc>
          <w:tcPr>
            <w:tcW w:w="796" w:type="pct"/>
            <w:gridSpan w:val="2"/>
            <w:shd w:val="clear" w:color="auto" w:fill="F2F2F2"/>
            <w:vAlign w:val="center"/>
          </w:tcPr>
          <w:p w14:paraId="4B681368" w14:textId="77777777" w:rsidR="006F0DB4" w:rsidRPr="004E3242" w:rsidRDefault="00B54C33" w:rsidP="004E3242">
            <w:pPr>
              <w:spacing w:before="40" w:after="40" w:line="240" w:lineRule="auto"/>
              <w:jc w:val="center"/>
              <w:rPr>
                <w:rFonts w:ascii="Arial" w:hAnsi="Arial" w:cs="Arial"/>
                <w:spacing w:val="4"/>
                <w:sz w:val="16"/>
                <w:szCs w:val="16"/>
              </w:rPr>
            </w:pPr>
            <w:r>
              <w:rPr>
                <w:rFonts w:ascii="Arial" w:hAnsi="Arial" w:cs="Arial"/>
                <w:spacing w:val="4"/>
                <w:sz w:val="16"/>
                <w:szCs w:val="16"/>
              </w:rPr>
              <w:t>n/d</w:t>
            </w:r>
          </w:p>
        </w:tc>
        <w:tc>
          <w:tcPr>
            <w:tcW w:w="1312" w:type="pct"/>
            <w:shd w:val="clear" w:color="auto" w:fill="F2F2F2"/>
            <w:vAlign w:val="center"/>
          </w:tcPr>
          <w:p w14:paraId="72BD6980" w14:textId="77777777" w:rsidR="00DC37D7" w:rsidRPr="004E3242" w:rsidRDefault="003C0DAB" w:rsidP="004427FA">
            <w:pPr>
              <w:numPr>
                <w:ilvl w:val="0"/>
                <w:numId w:val="70"/>
              </w:numPr>
              <w:tabs>
                <w:tab w:val="left" w:pos="182"/>
              </w:tabs>
              <w:spacing w:before="40" w:after="40" w:line="240" w:lineRule="auto"/>
              <w:ind w:left="40" w:hanging="40"/>
              <w:rPr>
                <w:rFonts w:ascii="Arial" w:hAnsi="Arial" w:cs="Arial"/>
                <w:spacing w:val="4"/>
                <w:sz w:val="16"/>
                <w:szCs w:val="16"/>
              </w:rPr>
            </w:pPr>
            <w:r w:rsidRPr="003C0DAB">
              <w:rPr>
                <w:rFonts w:ascii="Arial" w:hAnsi="Arial" w:cs="Arial"/>
                <w:spacing w:val="4"/>
                <w:sz w:val="16"/>
                <w:szCs w:val="16"/>
              </w:rPr>
              <w:t xml:space="preserve">Zapewnienie niezbędnych warunków pracy oraz potencjału instytucji systemu zarządzania i kontroli </w:t>
            </w:r>
            <w:proofErr w:type="spellStart"/>
            <w:r w:rsidRPr="003C0DAB">
              <w:rPr>
                <w:rFonts w:ascii="Arial" w:hAnsi="Arial" w:cs="Arial"/>
                <w:spacing w:val="4"/>
                <w:sz w:val="16"/>
                <w:szCs w:val="16"/>
              </w:rPr>
              <w:t>POIiŚ</w:t>
            </w:r>
            <w:proofErr w:type="spellEnd"/>
            <w:r w:rsidRPr="003C0DAB">
              <w:rPr>
                <w:rFonts w:ascii="Arial" w:hAnsi="Arial" w:cs="Arial"/>
                <w:spacing w:val="4"/>
                <w:sz w:val="16"/>
                <w:szCs w:val="16"/>
              </w:rPr>
              <w:t xml:space="preserve"> realizujących REACT-EU oraz utrzymanie potencjału administracyjnego instytucji systemu wdrażania </w:t>
            </w:r>
            <w:proofErr w:type="spellStart"/>
            <w:r w:rsidRPr="003C0DAB">
              <w:rPr>
                <w:rFonts w:ascii="Arial" w:hAnsi="Arial" w:cs="Arial"/>
                <w:spacing w:val="4"/>
                <w:sz w:val="16"/>
                <w:szCs w:val="16"/>
              </w:rPr>
              <w:t>POIiŚ</w:t>
            </w:r>
            <w:proofErr w:type="spellEnd"/>
            <w:r w:rsidRPr="003C0DAB">
              <w:rPr>
                <w:rFonts w:ascii="Arial" w:hAnsi="Arial" w:cs="Arial"/>
                <w:spacing w:val="4"/>
                <w:sz w:val="16"/>
                <w:szCs w:val="16"/>
              </w:rPr>
              <w:t xml:space="preserve"> gwarantujących skuteczne wykonywanie obowiązków związanych z realizacją Programu</w:t>
            </w:r>
          </w:p>
          <w:p w14:paraId="678542D7" w14:textId="77777777" w:rsidR="00DC37D7" w:rsidRDefault="00DC37D7" w:rsidP="00DC37D7">
            <w:pPr>
              <w:numPr>
                <w:ilvl w:val="0"/>
                <w:numId w:val="70"/>
              </w:numPr>
              <w:tabs>
                <w:tab w:val="left" w:pos="182"/>
              </w:tabs>
              <w:spacing w:before="40" w:after="40" w:line="240" w:lineRule="auto"/>
              <w:ind w:left="40" w:hanging="40"/>
              <w:rPr>
                <w:rFonts w:ascii="Arial" w:hAnsi="Arial" w:cs="Arial"/>
                <w:spacing w:val="4"/>
                <w:sz w:val="16"/>
                <w:szCs w:val="16"/>
              </w:rPr>
            </w:pPr>
            <w:r w:rsidRPr="004E3242">
              <w:rPr>
                <w:rFonts w:ascii="Arial" w:hAnsi="Arial" w:cs="Arial"/>
                <w:spacing w:val="4"/>
                <w:sz w:val="16"/>
                <w:szCs w:val="16"/>
              </w:rPr>
              <w:t xml:space="preserve">Zapewnienie sprawnego systemu realizacji </w:t>
            </w:r>
            <w:r>
              <w:rPr>
                <w:rFonts w:ascii="Arial" w:hAnsi="Arial" w:cs="Arial"/>
                <w:spacing w:val="4"/>
                <w:sz w:val="16"/>
                <w:szCs w:val="16"/>
              </w:rPr>
              <w:t>REACT-EU</w:t>
            </w:r>
          </w:p>
          <w:p w14:paraId="7E622F4F" w14:textId="77777777" w:rsidR="006F0DB4" w:rsidRPr="00734EB3" w:rsidRDefault="00DC37D7" w:rsidP="00734EB3">
            <w:pPr>
              <w:numPr>
                <w:ilvl w:val="0"/>
                <w:numId w:val="70"/>
              </w:numPr>
              <w:tabs>
                <w:tab w:val="left" w:pos="182"/>
              </w:tabs>
              <w:spacing w:before="40" w:after="40" w:line="240" w:lineRule="auto"/>
              <w:ind w:left="40" w:hanging="40"/>
              <w:rPr>
                <w:rFonts w:ascii="Arial" w:hAnsi="Arial" w:cs="Arial"/>
                <w:spacing w:val="4"/>
                <w:sz w:val="16"/>
                <w:szCs w:val="16"/>
              </w:rPr>
            </w:pPr>
            <w:r w:rsidRPr="00734EB3">
              <w:rPr>
                <w:rFonts w:ascii="Arial" w:hAnsi="Arial" w:cs="Arial"/>
                <w:spacing w:val="4"/>
                <w:sz w:val="16"/>
                <w:szCs w:val="16"/>
              </w:rPr>
              <w:t>Skuteczna i efektywna informacja i promocja REACT-EU</w:t>
            </w:r>
          </w:p>
        </w:tc>
        <w:tc>
          <w:tcPr>
            <w:tcW w:w="1544" w:type="pct"/>
            <w:shd w:val="clear" w:color="auto" w:fill="F2F2F2"/>
            <w:vAlign w:val="center"/>
          </w:tcPr>
          <w:p w14:paraId="17BDD78C" w14:textId="77777777" w:rsidR="006F0DB4" w:rsidRPr="004E3242" w:rsidRDefault="00523F7C" w:rsidP="00523F7C">
            <w:pPr>
              <w:numPr>
                <w:ilvl w:val="0"/>
                <w:numId w:val="70"/>
              </w:numPr>
              <w:spacing w:before="40" w:after="40" w:line="240" w:lineRule="auto"/>
              <w:jc w:val="both"/>
              <w:rPr>
                <w:rFonts w:ascii="Arial" w:hAnsi="Arial" w:cs="Arial"/>
                <w:spacing w:val="4"/>
                <w:sz w:val="16"/>
                <w:szCs w:val="16"/>
              </w:rPr>
            </w:pPr>
            <w:r w:rsidRPr="00523F7C">
              <w:rPr>
                <w:rFonts w:ascii="Arial" w:hAnsi="Arial" w:cs="Arial"/>
                <w:spacing w:val="4"/>
                <w:sz w:val="16"/>
                <w:szCs w:val="16"/>
              </w:rPr>
              <w:t>średni czas zatwierdzenia projektu (od złożenia wniosku o dofinansowanie do podpisania umowy)</w:t>
            </w:r>
          </w:p>
        </w:tc>
      </w:tr>
    </w:tbl>
    <w:p w14:paraId="2C9C26C6" w14:textId="77777777" w:rsidR="004E3242" w:rsidRPr="004E3242" w:rsidRDefault="004E3242" w:rsidP="004E3242">
      <w:pPr>
        <w:spacing w:before="100" w:beforeAutospacing="1" w:after="120" w:line="280" w:lineRule="atLeast"/>
        <w:jc w:val="both"/>
        <w:rPr>
          <w:rFonts w:ascii="Arial" w:hAnsi="Arial" w:cs="Arial"/>
          <w:spacing w:val="4"/>
        </w:rPr>
        <w:sectPr w:rsidR="004E3242" w:rsidRPr="004E3242" w:rsidSect="00C73ABE">
          <w:pgSz w:w="16838" w:h="11906" w:orient="landscape"/>
          <w:pgMar w:top="1418" w:right="964" w:bottom="1418" w:left="964" w:header="709" w:footer="709" w:gutter="0"/>
          <w:cols w:space="708"/>
          <w:titlePg/>
          <w:docGrid w:linePitch="360"/>
        </w:sectPr>
      </w:pPr>
    </w:p>
    <w:p w14:paraId="7D885736"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hAnsi="Arial" w:cs="Arial"/>
          <w:bCs/>
          <w:smallCaps/>
          <w:color w:val="000000"/>
          <w:spacing w:val="15"/>
          <w:sz w:val="32"/>
          <w:szCs w:val="28"/>
          <w:lang w:eastAsia="pl-PL"/>
        </w:rPr>
      </w:pPr>
      <w:bookmarkStart w:id="343" w:name="_Toc402941934"/>
      <w:bookmarkStart w:id="344" w:name="_Toc402942243"/>
      <w:bookmarkStart w:id="345" w:name="_Toc83810559"/>
      <w:bookmarkEnd w:id="343"/>
      <w:bookmarkEnd w:id="344"/>
      <w:r w:rsidRPr="004E3242">
        <w:rPr>
          <w:rFonts w:ascii="Arial" w:hAnsi="Arial" w:cs="Arial"/>
          <w:bCs/>
          <w:smallCaps/>
          <w:color w:val="000000"/>
          <w:spacing w:val="15"/>
          <w:sz w:val="28"/>
          <w:szCs w:val="28"/>
          <w:lang w:eastAsia="pl-PL"/>
        </w:rPr>
        <w:lastRenderedPageBreak/>
        <w:t>Osie priorytetowe</w:t>
      </w:r>
      <w:bookmarkEnd w:id="345"/>
    </w:p>
    <w:p w14:paraId="7286B849" w14:textId="77777777" w:rsidR="004E3242" w:rsidRPr="004E3242" w:rsidRDefault="004E3242" w:rsidP="004E3242">
      <w:pPr>
        <w:numPr>
          <w:ilvl w:val="1"/>
          <w:numId w:val="3"/>
        </w:numPr>
        <w:shd w:val="clear" w:color="auto" w:fill="BFBFBF"/>
        <w:spacing w:before="360" w:after="240"/>
        <w:outlineLvl w:val="1"/>
        <w:rPr>
          <w:rFonts w:ascii="Arial" w:hAnsi="Arial"/>
          <w:smallCaps/>
          <w:color w:val="000000"/>
          <w:spacing w:val="15"/>
          <w:sz w:val="24"/>
          <w:lang w:eastAsia="pl-PL"/>
        </w:rPr>
      </w:pPr>
      <w:bookmarkStart w:id="346" w:name="_Toc83810560"/>
      <w:r w:rsidRPr="004E3242">
        <w:rPr>
          <w:rFonts w:ascii="Arial" w:hAnsi="Arial"/>
          <w:smallCaps/>
          <w:color w:val="000000"/>
          <w:spacing w:val="15"/>
          <w:sz w:val="24"/>
          <w:lang w:eastAsia="pl-PL"/>
        </w:rPr>
        <w:t>Architektura programu</w:t>
      </w:r>
      <w:bookmarkEnd w:id="346"/>
    </w:p>
    <w:tbl>
      <w:tblPr>
        <w:tblW w:w="482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2428"/>
        <w:gridCol w:w="88"/>
        <w:gridCol w:w="6382"/>
        <w:gridCol w:w="65"/>
      </w:tblGrid>
      <w:tr w:rsidR="004E3242" w:rsidRPr="004E3242" w14:paraId="7A5E885F" w14:textId="77777777" w:rsidTr="000F0788">
        <w:trPr>
          <w:trHeight w:val="183"/>
        </w:trPr>
        <w:tc>
          <w:tcPr>
            <w:tcW w:w="1355" w:type="pct"/>
            <w:shd w:val="clear" w:color="auto" w:fill="FFFFFF"/>
          </w:tcPr>
          <w:p w14:paraId="3558CA85" w14:textId="77777777" w:rsidR="004E3242" w:rsidRPr="004E3242" w:rsidRDefault="004E3242" w:rsidP="004E3242">
            <w:pPr>
              <w:spacing w:after="0" w:line="240" w:lineRule="auto"/>
              <w:jc w:val="center"/>
              <w:rPr>
                <w:rFonts w:ascii="Arial" w:hAnsi="Arial" w:cs="Arial"/>
                <w:bCs/>
                <w:smallCaps/>
                <w:color w:val="FFFFFF"/>
                <w:spacing w:val="4"/>
                <w:sz w:val="10"/>
                <w:szCs w:val="20"/>
              </w:rPr>
            </w:pPr>
          </w:p>
        </w:tc>
        <w:tc>
          <w:tcPr>
            <w:tcW w:w="3645" w:type="pct"/>
            <w:gridSpan w:val="3"/>
            <w:shd w:val="clear" w:color="auto" w:fill="FFFFFF"/>
          </w:tcPr>
          <w:p w14:paraId="2A5E2FDA" w14:textId="77777777" w:rsidR="004E3242" w:rsidRPr="004E3242" w:rsidRDefault="004E3242" w:rsidP="004E3242">
            <w:pPr>
              <w:spacing w:after="0" w:line="240" w:lineRule="auto"/>
              <w:jc w:val="center"/>
              <w:rPr>
                <w:rFonts w:ascii="Arial" w:hAnsi="Arial" w:cs="Arial"/>
                <w:bCs/>
                <w:smallCaps/>
                <w:color w:val="FFFFFF"/>
                <w:spacing w:val="4"/>
                <w:sz w:val="10"/>
                <w:szCs w:val="20"/>
              </w:rPr>
            </w:pPr>
          </w:p>
        </w:tc>
      </w:tr>
      <w:tr w:rsidR="004E3242" w:rsidRPr="004E3242" w14:paraId="2AEDA145" w14:textId="77777777" w:rsidTr="000F0788">
        <w:trPr>
          <w:trHeight w:val="156"/>
        </w:trPr>
        <w:tc>
          <w:tcPr>
            <w:tcW w:w="1355" w:type="pct"/>
            <w:shd w:val="clear" w:color="auto" w:fill="99CC00"/>
          </w:tcPr>
          <w:p w14:paraId="17A29DF9"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I. OŚ PRIORYTETOWA</w:t>
            </w:r>
          </w:p>
        </w:tc>
        <w:tc>
          <w:tcPr>
            <w:tcW w:w="3645" w:type="pct"/>
            <w:gridSpan w:val="3"/>
            <w:shd w:val="clear" w:color="auto" w:fill="99CC00"/>
          </w:tcPr>
          <w:p w14:paraId="54931DDE"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Zmniejszenie emisyjności gospodarki</w:t>
            </w:r>
          </w:p>
        </w:tc>
      </w:tr>
      <w:tr w:rsidR="004E3242" w:rsidRPr="004E3242" w14:paraId="3AA08990" w14:textId="77777777" w:rsidTr="000F0788">
        <w:trPr>
          <w:trHeight w:val="333"/>
        </w:trPr>
        <w:tc>
          <w:tcPr>
            <w:tcW w:w="1355" w:type="pct"/>
            <w:shd w:val="clear" w:color="auto" w:fill="F2F2F2"/>
            <w:vAlign w:val="center"/>
          </w:tcPr>
          <w:p w14:paraId="7950A2D0"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CT4., w tym następujące PI:</w:t>
            </w:r>
          </w:p>
          <w:p w14:paraId="25830218"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2DF4285D" w14:textId="77777777" w:rsidR="004E3242" w:rsidRPr="004E3242" w:rsidRDefault="004E3242" w:rsidP="00B345B6">
            <w:pPr>
              <w:numPr>
                <w:ilvl w:val="0"/>
                <w:numId w:val="19"/>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4.i.</w:t>
            </w:r>
            <w:r w:rsidRPr="004E3242">
              <w:rPr>
                <w:rFonts w:ascii="Arial" w:hAnsi="Arial" w:cs="Arial"/>
                <w:sz w:val="18"/>
                <w:szCs w:val="16"/>
              </w:rPr>
              <w:t>) wspieranie wytwarzania i dystrybucji energii pochodzącej ze źródeł odnawialnych;</w:t>
            </w:r>
          </w:p>
          <w:p w14:paraId="0ABD42DE" w14:textId="77777777" w:rsidR="004E3242" w:rsidRPr="004E3242" w:rsidRDefault="004E3242" w:rsidP="00B345B6">
            <w:pPr>
              <w:numPr>
                <w:ilvl w:val="0"/>
                <w:numId w:val="19"/>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4.ii</w:t>
            </w:r>
            <w:r w:rsidRPr="004E3242">
              <w:rPr>
                <w:rFonts w:ascii="Arial" w:hAnsi="Arial" w:cs="Arial"/>
                <w:sz w:val="18"/>
                <w:szCs w:val="16"/>
              </w:rPr>
              <w:t>.) promowanie efektywności energetycznej i korzystania z odnawialnych źródeł energii w przedsiębiorstwach ;</w:t>
            </w:r>
          </w:p>
          <w:p w14:paraId="19BAF247" w14:textId="77777777" w:rsidR="004E3242" w:rsidRPr="004E3242" w:rsidRDefault="004E3242" w:rsidP="00B345B6">
            <w:pPr>
              <w:numPr>
                <w:ilvl w:val="0"/>
                <w:numId w:val="19"/>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4iii.</w:t>
            </w:r>
            <w:r w:rsidRPr="004E3242">
              <w:rPr>
                <w:rFonts w:ascii="Arial" w:hAnsi="Arial" w:cs="Arial"/>
                <w:sz w:val="18"/>
                <w:szCs w:val="16"/>
              </w:rPr>
              <w:t>) wspieranie efektywności energetycznej, inteligentnego zarządzania energią i wykorzystania odnawialnych źródeł energii w infrastrukturze publicznej, w tym w budynkach publicznych, i w sektorze mieszkaniowym;</w:t>
            </w:r>
          </w:p>
          <w:p w14:paraId="33ED470A" w14:textId="77777777" w:rsidR="004E3242" w:rsidRPr="004E3242" w:rsidRDefault="004E3242" w:rsidP="00B345B6">
            <w:pPr>
              <w:numPr>
                <w:ilvl w:val="0"/>
                <w:numId w:val="19"/>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4.iv.</w:t>
            </w:r>
            <w:r w:rsidRPr="004E3242">
              <w:rPr>
                <w:rFonts w:ascii="Arial" w:hAnsi="Arial" w:cs="Arial"/>
                <w:sz w:val="18"/>
                <w:szCs w:val="16"/>
              </w:rPr>
              <w:t>) rozwijanie i wdrażanie inteligentnych systemów dystrybucji działających na niskich i średnich poziomach</w:t>
            </w:r>
            <w:r w:rsidRPr="004E3242">
              <w:rPr>
                <w:rFonts w:ascii="Arial" w:hAnsi="Arial" w:cs="Arial"/>
                <w:b/>
                <w:sz w:val="18"/>
                <w:szCs w:val="16"/>
              </w:rPr>
              <w:t xml:space="preserve"> </w:t>
            </w:r>
            <w:r w:rsidRPr="004E3242">
              <w:rPr>
                <w:rFonts w:ascii="Arial" w:hAnsi="Arial" w:cs="Arial"/>
                <w:sz w:val="18"/>
                <w:szCs w:val="16"/>
              </w:rPr>
              <w:t>napięcia;</w:t>
            </w:r>
          </w:p>
          <w:p w14:paraId="30CB1BC8" w14:textId="77777777" w:rsidR="004E3242" w:rsidRPr="004E3242" w:rsidRDefault="004E3242" w:rsidP="00B345B6">
            <w:pPr>
              <w:numPr>
                <w:ilvl w:val="0"/>
                <w:numId w:val="19"/>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4.v</w:t>
            </w:r>
            <w:r w:rsidRPr="004E3242">
              <w:rPr>
                <w:rFonts w:ascii="Arial" w:hAnsi="Arial" w:cs="Arial"/>
                <w:sz w:val="18"/>
                <w:szCs w:val="16"/>
              </w:rPr>
              <w:t>.) 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7AF596A1" w14:textId="77777777" w:rsidR="004E3242" w:rsidRPr="004E3242" w:rsidRDefault="004E3242" w:rsidP="00B345B6">
            <w:pPr>
              <w:numPr>
                <w:ilvl w:val="0"/>
                <w:numId w:val="19"/>
              </w:numPr>
              <w:spacing w:before="60" w:after="60" w:line="240" w:lineRule="auto"/>
              <w:jc w:val="both"/>
              <w:rPr>
                <w:rFonts w:ascii="Arial" w:hAnsi="Arial" w:cs="Arial"/>
                <w:spacing w:val="4"/>
                <w:sz w:val="18"/>
                <w:szCs w:val="16"/>
              </w:rPr>
            </w:pPr>
            <w:r w:rsidRPr="004E3242">
              <w:rPr>
                <w:rFonts w:ascii="Arial" w:hAnsi="Arial" w:cs="Arial"/>
                <w:sz w:val="18"/>
                <w:szCs w:val="16"/>
              </w:rPr>
              <w:t>(</w:t>
            </w:r>
            <w:r w:rsidRPr="004E3242">
              <w:rPr>
                <w:rFonts w:ascii="Arial" w:hAnsi="Arial" w:cs="Arial"/>
                <w:b/>
                <w:sz w:val="18"/>
                <w:szCs w:val="16"/>
              </w:rPr>
              <w:t>4.vi.</w:t>
            </w:r>
            <w:r w:rsidRPr="004E3242">
              <w:rPr>
                <w:rFonts w:ascii="Arial" w:hAnsi="Arial" w:cs="Arial"/>
                <w:sz w:val="18"/>
                <w:szCs w:val="16"/>
              </w:rPr>
              <w:t xml:space="preserve">) promowanie wykorzystywania wysokosprawnej kogeneracji ciepła </w:t>
            </w:r>
            <w:r w:rsidRPr="004E3242">
              <w:rPr>
                <w:rFonts w:ascii="Arial" w:hAnsi="Arial" w:cs="Arial"/>
                <w:sz w:val="18"/>
                <w:szCs w:val="16"/>
              </w:rPr>
              <w:br/>
              <w:t>i energii elektrycznej w oparciu o zapotrzebowanie na ciepło użytkowe.</w:t>
            </w:r>
          </w:p>
        </w:tc>
      </w:tr>
      <w:tr w:rsidR="004E3242" w:rsidRPr="004E3242" w14:paraId="5B63ADC4" w14:textId="77777777" w:rsidTr="000F0788">
        <w:trPr>
          <w:trHeight w:val="216"/>
        </w:trPr>
        <w:tc>
          <w:tcPr>
            <w:tcW w:w="1355" w:type="pct"/>
            <w:shd w:val="clear" w:color="auto" w:fill="FFFFFF"/>
          </w:tcPr>
          <w:p w14:paraId="3BCA2285" w14:textId="77777777" w:rsidR="004E3242" w:rsidRPr="004E3242" w:rsidRDefault="004E3242" w:rsidP="004E3242">
            <w:pPr>
              <w:spacing w:after="0" w:line="240" w:lineRule="auto"/>
              <w:jc w:val="center"/>
              <w:rPr>
                <w:rFonts w:ascii="Arial" w:hAnsi="Arial" w:cs="Arial"/>
                <w:color w:val="FFFFFF"/>
                <w:spacing w:val="4"/>
                <w:sz w:val="10"/>
                <w:szCs w:val="16"/>
              </w:rPr>
            </w:pPr>
          </w:p>
        </w:tc>
        <w:tc>
          <w:tcPr>
            <w:tcW w:w="3645" w:type="pct"/>
            <w:gridSpan w:val="3"/>
            <w:shd w:val="clear" w:color="auto" w:fill="FFFFFF"/>
          </w:tcPr>
          <w:p w14:paraId="549B0D8D" w14:textId="77777777" w:rsidR="004E3242" w:rsidRPr="004E3242" w:rsidRDefault="004E3242" w:rsidP="004E3242">
            <w:pPr>
              <w:spacing w:after="0" w:line="240" w:lineRule="auto"/>
              <w:jc w:val="center"/>
              <w:rPr>
                <w:rFonts w:ascii="Arial" w:hAnsi="Arial" w:cs="Arial"/>
                <w:color w:val="FFFFFF"/>
                <w:spacing w:val="4"/>
                <w:sz w:val="10"/>
                <w:szCs w:val="16"/>
              </w:rPr>
            </w:pPr>
          </w:p>
        </w:tc>
      </w:tr>
      <w:tr w:rsidR="004E3242" w:rsidRPr="004E3242" w14:paraId="17F1EEE2" w14:textId="77777777" w:rsidTr="000F0788">
        <w:trPr>
          <w:trHeight w:val="298"/>
        </w:trPr>
        <w:tc>
          <w:tcPr>
            <w:tcW w:w="1355" w:type="pct"/>
            <w:shd w:val="clear" w:color="auto" w:fill="99CC00"/>
          </w:tcPr>
          <w:p w14:paraId="1A0E265A"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II. OŚ PRIORYTETOWA</w:t>
            </w:r>
          </w:p>
        </w:tc>
        <w:tc>
          <w:tcPr>
            <w:tcW w:w="3645" w:type="pct"/>
            <w:gridSpan w:val="3"/>
            <w:shd w:val="clear" w:color="auto" w:fill="99CC00"/>
          </w:tcPr>
          <w:p w14:paraId="2BE1FE9F"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Ochrona środowiska, w tym adaptacja do zmian klimatu</w:t>
            </w:r>
          </w:p>
        </w:tc>
      </w:tr>
      <w:tr w:rsidR="004E3242" w:rsidRPr="004E3242" w14:paraId="48674F94" w14:textId="77777777" w:rsidTr="000F0788">
        <w:tc>
          <w:tcPr>
            <w:tcW w:w="1355" w:type="pct"/>
            <w:shd w:val="clear" w:color="auto" w:fill="F2F2F2"/>
          </w:tcPr>
          <w:p w14:paraId="376614C4"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623773AD"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CT5., w tym następujący PI:</w:t>
            </w:r>
          </w:p>
          <w:p w14:paraId="045D90D6"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148A252E"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12C11B79"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1547A88F"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791A20E1"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7A6C5B02"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29EC64EC"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6CE87BB0"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CT6., w tym następujące PI:</w:t>
            </w:r>
          </w:p>
          <w:p w14:paraId="2DDDF37E"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36D2F99F" w14:textId="77777777" w:rsidR="004E3242" w:rsidRPr="004E3242" w:rsidRDefault="004E3242" w:rsidP="00B345B6">
            <w:pPr>
              <w:numPr>
                <w:ilvl w:val="0"/>
                <w:numId w:val="20"/>
              </w:numPr>
              <w:spacing w:before="60" w:after="60" w:line="240" w:lineRule="auto"/>
              <w:jc w:val="both"/>
              <w:rPr>
                <w:rFonts w:ascii="Arial" w:hAnsi="Arial" w:cs="Arial"/>
                <w:spacing w:val="4"/>
                <w:sz w:val="18"/>
                <w:szCs w:val="16"/>
              </w:rPr>
            </w:pPr>
            <w:r w:rsidRPr="004E3242">
              <w:rPr>
                <w:rFonts w:ascii="Arial" w:hAnsi="Arial" w:cs="Arial"/>
                <w:sz w:val="18"/>
                <w:szCs w:val="16"/>
              </w:rPr>
              <w:t>(</w:t>
            </w:r>
            <w:r w:rsidRPr="004E3242">
              <w:rPr>
                <w:rFonts w:ascii="Arial" w:hAnsi="Arial" w:cs="Arial"/>
                <w:b/>
                <w:sz w:val="18"/>
                <w:szCs w:val="16"/>
              </w:rPr>
              <w:t>5.ii.</w:t>
            </w:r>
            <w:r w:rsidRPr="004E3242">
              <w:rPr>
                <w:rFonts w:ascii="Arial" w:hAnsi="Arial" w:cs="Arial"/>
                <w:sz w:val="18"/>
                <w:szCs w:val="16"/>
              </w:rPr>
              <w:t>) wspieranie inwestycji ukierunkowanych na konkretne rodzaje zagrożeń przy jednoczesnym zwiększeniu odporności na klęski i katastrofy i rozwijaniu systemów zarządzania klęskami i katastrofami.</w:t>
            </w:r>
          </w:p>
          <w:p w14:paraId="56BF223A" w14:textId="77777777" w:rsidR="004E3242" w:rsidRPr="004E3242" w:rsidRDefault="004E3242" w:rsidP="00B345B6">
            <w:pPr>
              <w:numPr>
                <w:ilvl w:val="0"/>
                <w:numId w:val="21"/>
              </w:numPr>
              <w:spacing w:before="60" w:after="60" w:line="240" w:lineRule="auto"/>
              <w:jc w:val="both"/>
              <w:rPr>
                <w:rFonts w:ascii="Arial" w:hAnsi="Arial" w:cs="Arial"/>
                <w:b/>
                <w:sz w:val="18"/>
                <w:szCs w:val="16"/>
              </w:rPr>
            </w:pPr>
            <w:r w:rsidRPr="004E3242">
              <w:rPr>
                <w:rFonts w:ascii="Arial" w:hAnsi="Arial" w:cs="Arial"/>
                <w:sz w:val="18"/>
                <w:szCs w:val="16"/>
              </w:rPr>
              <w:t>(</w:t>
            </w:r>
            <w:r w:rsidRPr="004E3242">
              <w:rPr>
                <w:rFonts w:ascii="Arial" w:hAnsi="Arial" w:cs="Arial"/>
                <w:b/>
                <w:sz w:val="18"/>
                <w:szCs w:val="16"/>
              </w:rPr>
              <w:t>6.i.</w:t>
            </w:r>
            <w:r w:rsidRPr="004E3242">
              <w:rPr>
                <w:rFonts w:ascii="Arial" w:hAnsi="Arial" w:cs="Arial"/>
                <w:sz w:val="18"/>
                <w:szCs w:val="16"/>
              </w:rPr>
              <w:t>) inwestowanie w sektor gospodarki odpadami celem wypełnienia zobowiązań określonych w dorobku prawnym Unii w zakresie środowiska oraz zaspokojenia wykraczających poza te zobowiązania potrzeb inwestycyjnych określonych przez państwa członkowskie;</w:t>
            </w:r>
          </w:p>
          <w:p w14:paraId="7D90E043" w14:textId="77777777" w:rsidR="004E3242" w:rsidRPr="004E3242" w:rsidRDefault="004E3242" w:rsidP="00B345B6">
            <w:pPr>
              <w:numPr>
                <w:ilvl w:val="0"/>
                <w:numId w:val="21"/>
              </w:numPr>
              <w:spacing w:before="60" w:after="60" w:line="240" w:lineRule="auto"/>
              <w:jc w:val="both"/>
              <w:rPr>
                <w:rFonts w:ascii="Arial" w:hAnsi="Arial" w:cs="Arial"/>
                <w:b/>
                <w:sz w:val="18"/>
                <w:szCs w:val="16"/>
              </w:rPr>
            </w:pPr>
            <w:r w:rsidRPr="004E3242">
              <w:rPr>
                <w:rFonts w:ascii="Arial" w:hAnsi="Arial" w:cs="Arial"/>
                <w:sz w:val="18"/>
                <w:szCs w:val="16"/>
              </w:rPr>
              <w:t>(</w:t>
            </w:r>
            <w:r w:rsidRPr="004E3242">
              <w:rPr>
                <w:rFonts w:ascii="Arial" w:hAnsi="Arial" w:cs="Arial"/>
                <w:b/>
                <w:sz w:val="18"/>
                <w:szCs w:val="16"/>
              </w:rPr>
              <w:t>6.ii.</w:t>
            </w:r>
            <w:r w:rsidRPr="004E3242">
              <w:rPr>
                <w:rFonts w:ascii="Arial" w:hAnsi="Arial" w:cs="Arial"/>
                <w:sz w:val="18"/>
                <w:szCs w:val="16"/>
              </w:rPr>
              <w:t>) inwestowanie w sektor gospodarki wodnej celem wypełnienia zobowiązań określonych w dorobku prawnym Unii w zakresie środowiska oraz zaspokojenia wykraczających poza te zobowiązania potrzeb inwestycyjnych, określonych przez państwa członkowskie;</w:t>
            </w:r>
          </w:p>
          <w:p w14:paraId="39F85856" w14:textId="77777777" w:rsidR="004E3242" w:rsidRPr="004E3242" w:rsidRDefault="004E3242" w:rsidP="00B345B6">
            <w:pPr>
              <w:numPr>
                <w:ilvl w:val="0"/>
                <w:numId w:val="21"/>
              </w:numPr>
              <w:spacing w:before="60" w:after="60" w:line="240" w:lineRule="auto"/>
              <w:jc w:val="both"/>
              <w:rPr>
                <w:rFonts w:ascii="Arial" w:hAnsi="Arial" w:cs="Arial"/>
                <w:b/>
                <w:sz w:val="18"/>
                <w:szCs w:val="16"/>
              </w:rPr>
            </w:pPr>
            <w:r w:rsidRPr="004E3242">
              <w:rPr>
                <w:rFonts w:ascii="Arial" w:hAnsi="Arial" w:cs="Arial"/>
                <w:sz w:val="18"/>
                <w:szCs w:val="16"/>
              </w:rPr>
              <w:t>(</w:t>
            </w:r>
            <w:r w:rsidRPr="004E3242">
              <w:rPr>
                <w:rFonts w:ascii="Arial" w:hAnsi="Arial" w:cs="Arial"/>
                <w:b/>
                <w:sz w:val="18"/>
                <w:szCs w:val="16"/>
              </w:rPr>
              <w:t>6.iii.</w:t>
            </w:r>
            <w:r w:rsidRPr="004E3242">
              <w:rPr>
                <w:rFonts w:ascii="Arial" w:hAnsi="Arial" w:cs="Arial"/>
                <w:sz w:val="18"/>
                <w:szCs w:val="16"/>
              </w:rPr>
              <w:t xml:space="preserve">) ochrona i przywrócenie różnorodności biologicznej, ochrona </w:t>
            </w:r>
            <w:r w:rsidRPr="004E3242">
              <w:rPr>
                <w:rFonts w:ascii="Arial" w:hAnsi="Arial" w:cs="Arial"/>
                <w:sz w:val="18"/>
                <w:szCs w:val="16"/>
              </w:rPr>
              <w:br/>
              <w:t>i rekultywacja gleby oraz wspieranie usług ekosystemowych, także poprzez program „Natura 2000” i zieloną infrastrukturę;</w:t>
            </w:r>
          </w:p>
          <w:p w14:paraId="0761A799" w14:textId="77777777" w:rsidR="004E3242" w:rsidRPr="004E3242" w:rsidRDefault="004E3242" w:rsidP="00B345B6">
            <w:pPr>
              <w:numPr>
                <w:ilvl w:val="0"/>
                <w:numId w:val="21"/>
              </w:numPr>
              <w:spacing w:before="60" w:after="60" w:line="240" w:lineRule="auto"/>
              <w:jc w:val="both"/>
              <w:rPr>
                <w:rFonts w:ascii="Arial" w:hAnsi="Arial" w:cs="Arial"/>
                <w:spacing w:val="4"/>
                <w:sz w:val="18"/>
                <w:szCs w:val="16"/>
              </w:rPr>
            </w:pPr>
            <w:r w:rsidRPr="004E3242">
              <w:rPr>
                <w:rFonts w:ascii="Arial" w:hAnsi="Arial" w:cs="Arial"/>
                <w:sz w:val="18"/>
                <w:szCs w:val="16"/>
              </w:rPr>
              <w:t>(</w:t>
            </w:r>
            <w:r w:rsidRPr="004E3242">
              <w:rPr>
                <w:rFonts w:ascii="Arial" w:hAnsi="Arial" w:cs="Arial"/>
                <w:b/>
                <w:sz w:val="18"/>
                <w:szCs w:val="16"/>
              </w:rPr>
              <w:t>6.iv.</w:t>
            </w:r>
            <w:r w:rsidRPr="004E3242">
              <w:rPr>
                <w:rFonts w:ascii="Arial" w:hAnsi="Arial" w:cs="Arial"/>
                <w:sz w:val="18"/>
                <w:szCs w:val="16"/>
              </w:rPr>
              <w:t>) podejmowanie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tc>
      </w:tr>
      <w:tr w:rsidR="004E3242" w:rsidRPr="004E3242" w14:paraId="72FD296C" w14:textId="77777777" w:rsidTr="000F0788">
        <w:trPr>
          <w:trHeight w:val="175"/>
        </w:trPr>
        <w:tc>
          <w:tcPr>
            <w:tcW w:w="1355" w:type="pct"/>
            <w:shd w:val="clear" w:color="auto" w:fill="FFFFFF"/>
          </w:tcPr>
          <w:p w14:paraId="3E64C70B" w14:textId="77777777" w:rsidR="004E3242" w:rsidRPr="004E3242" w:rsidRDefault="004E3242" w:rsidP="004E3242">
            <w:pPr>
              <w:spacing w:after="0" w:line="240" w:lineRule="auto"/>
              <w:rPr>
                <w:rFonts w:ascii="Arial" w:hAnsi="Arial" w:cs="Arial"/>
                <w:color w:val="FFFFFF"/>
                <w:spacing w:val="4"/>
                <w:sz w:val="10"/>
                <w:szCs w:val="16"/>
              </w:rPr>
            </w:pPr>
          </w:p>
        </w:tc>
        <w:tc>
          <w:tcPr>
            <w:tcW w:w="3645" w:type="pct"/>
            <w:gridSpan w:val="3"/>
            <w:shd w:val="clear" w:color="auto" w:fill="FFFFFF"/>
          </w:tcPr>
          <w:p w14:paraId="3B34C883" w14:textId="77777777" w:rsidR="004E3242" w:rsidRPr="004E3242" w:rsidRDefault="004E3242" w:rsidP="004E3242">
            <w:pPr>
              <w:spacing w:after="0" w:line="240" w:lineRule="auto"/>
              <w:rPr>
                <w:rFonts w:ascii="Arial" w:hAnsi="Arial" w:cs="Arial"/>
                <w:color w:val="FFFFFF"/>
                <w:spacing w:val="4"/>
                <w:sz w:val="10"/>
                <w:szCs w:val="16"/>
              </w:rPr>
            </w:pPr>
          </w:p>
        </w:tc>
      </w:tr>
      <w:tr w:rsidR="004E3242" w:rsidRPr="004E3242" w14:paraId="3C55ACC9" w14:textId="77777777" w:rsidTr="000F0788">
        <w:trPr>
          <w:trHeight w:val="161"/>
        </w:trPr>
        <w:tc>
          <w:tcPr>
            <w:tcW w:w="1355" w:type="pct"/>
            <w:shd w:val="clear" w:color="auto" w:fill="99CC00"/>
          </w:tcPr>
          <w:p w14:paraId="752AFA49"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III. OŚ PRIORYTETOWA</w:t>
            </w:r>
          </w:p>
        </w:tc>
        <w:tc>
          <w:tcPr>
            <w:tcW w:w="3645" w:type="pct"/>
            <w:gridSpan w:val="3"/>
            <w:shd w:val="clear" w:color="auto" w:fill="99CC00"/>
          </w:tcPr>
          <w:p w14:paraId="0CD0ABA6"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Rozwój sieci drogowej TEN-T i transportu multimodalnego</w:t>
            </w:r>
          </w:p>
        </w:tc>
      </w:tr>
      <w:tr w:rsidR="004E3242" w:rsidRPr="004E3242" w14:paraId="363D85F7" w14:textId="77777777" w:rsidTr="000F0788">
        <w:trPr>
          <w:trHeight w:val="902"/>
        </w:trPr>
        <w:tc>
          <w:tcPr>
            <w:tcW w:w="1355" w:type="pct"/>
            <w:shd w:val="clear" w:color="auto" w:fill="F2F2F2"/>
          </w:tcPr>
          <w:p w14:paraId="3DD27EAD"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4F527CA7"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CT7., w tym następujące PI:</w:t>
            </w:r>
          </w:p>
          <w:p w14:paraId="2A84E949"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47F66E76" w14:textId="77777777" w:rsidR="004E3242" w:rsidRPr="004E3242" w:rsidRDefault="004E3242" w:rsidP="004E3242">
            <w:pPr>
              <w:spacing w:before="60" w:after="60" w:line="240" w:lineRule="auto"/>
              <w:ind w:left="720"/>
              <w:jc w:val="both"/>
              <w:rPr>
                <w:rFonts w:ascii="Arial" w:hAnsi="Arial" w:cs="Arial"/>
                <w:sz w:val="18"/>
                <w:szCs w:val="16"/>
              </w:rPr>
            </w:pPr>
          </w:p>
          <w:p w14:paraId="53F86FA5" w14:textId="77777777" w:rsidR="004E3242" w:rsidRPr="004E3242" w:rsidRDefault="004E3242" w:rsidP="00B345B6">
            <w:pPr>
              <w:numPr>
                <w:ilvl w:val="0"/>
                <w:numId w:val="23"/>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7.i.</w:t>
            </w:r>
            <w:r w:rsidRPr="004E3242">
              <w:rPr>
                <w:rFonts w:ascii="Arial" w:hAnsi="Arial" w:cs="Arial"/>
                <w:sz w:val="18"/>
                <w:szCs w:val="16"/>
              </w:rPr>
              <w:t>) wspieranie multimodalnego jednolitego europejskiego obszaru transportu poprzez inwestycje w TEN-T;</w:t>
            </w:r>
          </w:p>
          <w:p w14:paraId="7CDFF16B" w14:textId="77777777" w:rsidR="004E3242" w:rsidRPr="004E3242" w:rsidRDefault="004E3242" w:rsidP="00B345B6">
            <w:pPr>
              <w:numPr>
                <w:ilvl w:val="0"/>
                <w:numId w:val="23"/>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7.ii.</w:t>
            </w:r>
            <w:r w:rsidRPr="004E3242">
              <w:rPr>
                <w:rFonts w:ascii="Arial" w:hAnsi="Arial" w:cs="Arial"/>
                <w:sz w:val="18"/>
                <w:szCs w:val="16"/>
              </w:rPr>
              <w:t>) rozwój i usprawnianie przyjaznych środowisku (w tym o obniżonej emisji hałasu) i niskoemisyjnych systemów transportu, w tym śródlądowych dróg wodnych i transportu morskiego, portów, połączeń multimodalnych oraz infrastruktury portów lotniczych, w celu promowania zrównoważonej mobilności regionalnej i lokalnej;</w:t>
            </w:r>
          </w:p>
        </w:tc>
      </w:tr>
      <w:tr w:rsidR="004E3242" w:rsidRPr="004E3242" w14:paraId="5331A687" w14:textId="77777777" w:rsidTr="000F0788">
        <w:trPr>
          <w:trHeight w:val="167"/>
        </w:trPr>
        <w:tc>
          <w:tcPr>
            <w:tcW w:w="1355" w:type="pct"/>
            <w:shd w:val="clear" w:color="auto" w:fill="FFFFFF"/>
          </w:tcPr>
          <w:p w14:paraId="71492460" w14:textId="77777777" w:rsidR="004E3242" w:rsidRPr="004E3242" w:rsidRDefault="004E3242" w:rsidP="004E3242">
            <w:pPr>
              <w:spacing w:after="0" w:line="240" w:lineRule="auto"/>
              <w:rPr>
                <w:rFonts w:ascii="Arial" w:hAnsi="Arial" w:cs="Arial"/>
                <w:color w:val="FFFFFF"/>
                <w:spacing w:val="4"/>
                <w:sz w:val="10"/>
                <w:szCs w:val="16"/>
              </w:rPr>
            </w:pPr>
          </w:p>
        </w:tc>
        <w:tc>
          <w:tcPr>
            <w:tcW w:w="3645" w:type="pct"/>
            <w:gridSpan w:val="3"/>
            <w:shd w:val="clear" w:color="auto" w:fill="FFFFFF"/>
          </w:tcPr>
          <w:p w14:paraId="1E057A4D" w14:textId="77777777" w:rsidR="004E3242" w:rsidRPr="004E3242" w:rsidRDefault="004E3242" w:rsidP="004E3242">
            <w:pPr>
              <w:spacing w:after="0" w:line="240" w:lineRule="auto"/>
              <w:rPr>
                <w:rFonts w:ascii="Arial" w:hAnsi="Arial" w:cs="Arial"/>
                <w:color w:val="FFFFFF"/>
                <w:spacing w:val="4"/>
                <w:sz w:val="10"/>
                <w:szCs w:val="16"/>
              </w:rPr>
            </w:pPr>
          </w:p>
        </w:tc>
      </w:tr>
      <w:tr w:rsidR="004E3242" w:rsidRPr="004E3242" w14:paraId="45D05F4C" w14:textId="77777777" w:rsidTr="000F0788">
        <w:trPr>
          <w:trHeight w:val="296"/>
        </w:trPr>
        <w:tc>
          <w:tcPr>
            <w:tcW w:w="1355" w:type="pct"/>
            <w:shd w:val="clear" w:color="auto" w:fill="99CC00"/>
          </w:tcPr>
          <w:p w14:paraId="32CE589E"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IV. OŚ PRIORYTETOWA</w:t>
            </w:r>
          </w:p>
        </w:tc>
        <w:tc>
          <w:tcPr>
            <w:tcW w:w="3645" w:type="pct"/>
            <w:gridSpan w:val="3"/>
            <w:shd w:val="clear" w:color="auto" w:fill="99CC00"/>
          </w:tcPr>
          <w:p w14:paraId="312A7B7E"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Infrastruktura drogowa dla miast</w:t>
            </w:r>
          </w:p>
        </w:tc>
      </w:tr>
      <w:tr w:rsidR="004E3242" w:rsidRPr="004E3242" w14:paraId="2CFE7D7B" w14:textId="77777777" w:rsidTr="000F0788">
        <w:tc>
          <w:tcPr>
            <w:tcW w:w="1355" w:type="pct"/>
            <w:shd w:val="clear" w:color="auto" w:fill="F2F2F2"/>
            <w:vAlign w:val="center"/>
          </w:tcPr>
          <w:p w14:paraId="65E4CE3C"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lastRenderedPageBreak/>
              <w:t>Realizuje CT7., w tym następujące PI:</w:t>
            </w:r>
          </w:p>
          <w:p w14:paraId="15C8B5A8"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4FEDAA0C" w14:textId="77777777" w:rsidR="004E3242" w:rsidRPr="004E3242" w:rsidRDefault="004E3242" w:rsidP="00B345B6">
            <w:pPr>
              <w:numPr>
                <w:ilvl w:val="0"/>
                <w:numId w:val="24"/>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7.a.</w:t>
            </w:r>
            <w:r w:rsidRPr="004E3242">
              <w:rPr>
                <w:rFonts w:ascii="Arial" w:hAnsi="Arial" w:cs="Arial"/>
                <w:sz w:val="18"/>
                <w:szCs w:val="16"/>
              </w:rPr>
              <w:t>) wspieranie multimodalnego jednolitego europejskiego obszaru transportu poprzez inwestycje w TEN-T;</w:t>
            </w:r>
          </w:p>
          <w:p w14:paraId="6BA17B27" w14:textId="77777777" w:rsidR="004E3242" w:rsidRPr="004E3242" w:rsidRDefault="004E3242" w:rsidP="00B345B6">
            <w:pPr>
              <w:numPr>
                <w:ilvl w:val="0"/>
                <w:numId w:val="24"/>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7.b.</w:t>
            </w:r>
            <w:r w:rsidRPr="004E3242">
              <w:rPr>
                <w:rFonts w:ascii="Arial" w:hAnsi="Arial" w:cs="Arial"/>
                <w:sz w:val="18"/>
                <w:szCs w:val="16"/>
              </w:rPr>
              <w:t>) zwiększanie mobilności regionalnej poprzez łączenie węzłów drugorzędnych i trzeciorzędnych z infrastrukturą TEN-T, w tym z węzłami multimodalnymi.</w:t>
            </w:r>
          </w:p>
        </w:tc>
      </w:tr>
      <w:tr w:rsidR="004E3242" w:rsidRPr="004E3242" w14:paraId="53222795" w14:textId="77777777" w:rsidTr="000F0788">
        <w:trPr>
          <w:trHeight w:val="232"/>
        </w:trPr>
        <w:tc>
          <w:tcPr>
            <w:tcW w:w="1355" w:type="pct"/>
            <w:shd w:val="clear" w:color="auto" w:fill="FFFFFF"/>
          </w:tcPr>
          <w:p w14:paraId="3A20AA55" w14:textId="77777777" w:rsidR="004E3242" w:rsidRPr="004E3242" w:rsidRDefault="004E3242" w:rsidP="004E3242">
            <w:pPr>
              <w:spacing w:after="0" w:line="240" w:lineRule="auto"/>
              <w:rPr>
                <w:rFonts w:ascii="Arial" w:hAnsi="Arial" w:cs="Arial"/>
                <w:color w:val="FFFFFF"/>
                <w:spacing w:val="4"/>
                <w:sz w:val="10"/>
                <w:szCs w:val="16"/>
              </w:rPr>
            </w:pPr>
          </w:p>
        </w:tc>
        <w:tc>
          <w:tcPr>
            <w:tcW w:w="3645" w:type="pct"/>
            <w:gridSpan w:val="3"/>
            <w:shd w:val="clear" w:color="auto" w:fill="FFFFFF"/>
          </w:tcPr>
          <w:p w14:paraId="12333FC5" w14:textId="77777777" w:rsidR="004E3242" w:rsidRPr="004E3242" w:rsidRDefault="004E3242" w:rsidP="004E3242">
            <w:pPr>
              <w:spacing w:after="0" w:line="240" w:lineRule="auto"/>
              <w:rPr>
                <w:rFonts w:ascii="Arial" w:hAnsi="Arial" w:cs="Arial"/>
                <w:color w:val="FFFFFF"/>
                <w:spacing w:val="4"/>
                <w:sz w:val="10"/>
                <w:szCs w:val="16"/>
              </w:rPr>
            </w:pPr>
          </w:p>
        </w:tc>
      </w:tr>
      <w:tr w:rsidR="004E3242" w:rsidRPr="004E3242" w14:paraId="38B99F0B" w14:textId="77777777" w:rsidTr="000F0788">
        <w:trPr>
          <w:trHeight w:val="161"/>
        </w:trPr>
        <w:tc>
          <w:tcPr>
            <w:tcW w:w="1355" w:type="pct"/>
            <w:shd w:val="clear" w:color="auto" w:fill="99CC00"/>
          </w:tcPr>
          <w:p w14:paraId="60554FC0"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V. OŚ PRIORYTETOWA</w:t>
            </w:r>
          </w:p>
        </w:tc>
        <w:tc>
          <w:tcPr>
            <w:tcW w:w="3645" w:type="pct"/>
            <w:gridSpan w:val="3"/>
            <w:shd w:val="clear" w:color="auto" w:fill="99CC00"/>
          </w:tcPr>
          <w:p w14:paraId="43E163AC"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Rozwój transportu kolejowego w Polsce</w:t>
            </w:r>
          </w:p>
        </w:tc>
      </w:tr>
      <w:tr w:rsidR="004E3242" w:rsidRPr="004E3242" w14:paraId="485E8F43" w14:textId="77777777" w:rsidTr="000F0788">
        <w:tc>
          <w:tcPr>
            <w:tcW w:w="1355" w:type="pct"/>
            <w:shd w:val="clear" w:color="auto" w:fill="F2F2F2"/>
          </w:tcPr>
          <w:p w14:paraId="44172F81" w14:textId="77777777" w:rsidR="004E3242" w:rsidRPr="004E3242" w:rsidRDefault="004E3242" w:rsidP="004E3242">
            <w:pPr>
              <w:spacing w:before="60" w:after="60" w:line="240" w:lineRule="auto"/>
              <w:jc w:val="center"/>
              <w:rPr>
                <w:rFonts w:ascii="Arial" w:hAnsi="Arial" w:cs="Arial"/>
                <w:b/>
                <w:bCs/>
                <w:smallCaps/>
                <w:spacing w:val="4"/>
                <w:sz w:val="16"/>
                <w:szCs w:val="20"/>
              </w:rPr>
            </w:pPr>
          </w:p>
          <w:p w14:paraId="48863EC8"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CT7., w tym następujące PI:</w:t>
            </w:r>
          </w:p>
          <w:p w14:paraId="61234D1B"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2251E578" w14:textId="77777777" w:rsidR="004E3242" w:rsidRPr="004E3242" w:rsidRDefault="004E3242" w:rsidP="00B345B6">
            <w:pPr>
              <w:numPr>
                <w:ilvl w:val="0"/>
                <w:numId w:val="22"/>
              </w:numPr>
              <w:spacing w:before="60" w:after="60" w:line="240" w:lineRule="auto"/>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7.i.</w:t>
            </w:r>
            <w:r w:rsidRPr="004E3242">
              <w:rPr>
                <w:rFonts w:ascii="Arial" w:hAnsi="Arial" w:cs="Arial"/>
                <w:sz w:val="18"/>
                <w:szCs w:val="16"/>
              </w:rPr>
              <w:t>) wspieranie multimodalnego jednolitego europejskiego obszaru transportu poprzez inwestycje w TEN-T;</w:t>
            </w:r>
          </w:p>
          <w:p w14:paraId="3ADCEC35" w14:textId="77777777" w:rsidR="004E3242" w:rsidRPr="004E3242" w:rsidRDefault="004E3242" w:rsidP="00B345B6">
            <w:pPr>
              <w:numPr>
                <w:ilvl w:val="0"/>
                <w:numId w:val="23"/>
              </w:numPr>
              <w:spacing w:before="60" w:after="60" w:line="240" w:lineRule="auto"/>
              <w:jc w:val="both"/>
              <w:rPr>
                <w:rFonts w:ascii="Arial" w:hAnsi="Arial" w:cs="Arial"/>
                <w:spacing w:val="4"/>
                <w:sz w:val="18"/>
                <w:szCs w:val="16"/>
              </w:rPr>
            </w:pPr>
            <w:r w:rsidRPr="004E3242">
              <w:rPr>
                <w:rFonts w:ascii="Arial" w:hAnsi="Arial" w:cs="Arial"/>
                <w:b/>
                <w:sz w:val="18"/>
                <w:szCs w:val="16"/>
              </w:rPr>
              <w:t>(7.iii.</w:t>
            </w:r>
            <w:r w:rsidRPr="004E3242">
              <w:rPr>
                <w:rFonts w:ascii="Arial" w:hAnsi="Arial" w:cs="Arial"/>
                <w:sz w:val="18"/>
                <w:szCs w:val="16"/>
              </w:rPr>
              <w:t xml:space="preserve">) rozwój i rehabilitacja kompleksowych, wysokiej jakości </w:t>
            </w:r>
            <w:r w:rsidRPr="004E3242">
              <w:rPr>
                <w:rFonts w:ascii="Arial" w:hAnsi="Arial" w:cs="Arial"/>
                <w:sz w:val="18"/>
                <w:szCs w:val="16"/>
              </w:rPr>
              <w:br/>
              <w:t xml:space="preserve">i </w:t>
            </w:r>
            <w:proofErr w:type="spellStart"/>
            <w:r w:rsidRPr="004E3242">
              <w:rPr>
                <w:rFonts w:ascii="Arial" w:hAnsi="Arial" w:cs="Arial"/>
                <w:sz w:val="18"/>
                <w:szCs w:val="16"/>
              </w:rPr>
              <w:t>interoperacyjnych</w:t>
            </w:r>
            <w:proofErr w:type="spellEnd"/>
            <w:r w:rsidRPr="004E3242">
              <w:rPr>
                <w:rFonts w:ascii="Arial" w:hAnsi="Arial" w:cs="Arial"/>
                <w:sz w:val="18"/>
                <w:szCs w:val="16"/>
              </w:rPr>
              <w:t xml:space="preserve"> systemów transportu kolejowego oraz propagowanie działań służących zmniejszaniu hałasu.</w:t>
            </w:r>
          </w:p>
        </w:tc>
      </w:tr>
      <w:tr w:rsidR="004E3242" w:rsidRPr="004E3242" w14:paraId="79D6C551" w14:textId="77777777" w:rsidTr="000F0788">
        <w:trPr>
          <w:trHeight w:val="154"/>
        </w:trPr>
        <w:tc>
          <w:tcPr>
            <w:tcW w:w="1355" w:type="pct"/>
            <w:shd w:val="clear" w:color="auto" w:fill="FFFFFF"/>
          </w:tcPr>
          <w:p w14:paraId="6EAAC74B" w14:textId="77777777" w:rsidR="004E3242" w:rsidRPr="004E3242" w:rsidRDefault="004E3242" w:rsidP="004E3242">
            <w:pPr>
              <w:spacing w:after="0" w:line="240" w:lineRule="auto"/>
              <w:rPr>
                <w:rFonts w:ascii="Arial" w:hAnsi="Arial" w:cs="Arial"/>
                <w:color w:val="FFFFFF"/>
                <w:spacing w:val="4"/>
                <w:sz w:val="10"/>
                <w:szCs w:val="16"/>
              </w:rPr>
            </w:pPr>
          </w:p>
        </w:tc>
        <w:tc>
          <w:tcPr>
            <w:tcW w:w="3645" w:type="pct"/>
            <w:gridSpan w:val="3"/>
            <w:shd w:val="clear" w:color="auto" w:fill="FFFFFF"/>
          </w:tcPr>
          <w:p w14:paraId="28AC6CCD" w14:textId="77777777" w:rsidR="004E3242" w:rsidRPr="004E3242" w:rsidRDefault="004E3242" w:rsidP="004E3242">
            <w:pPr>
              <w:spacing w:after="0" w:line="240" w:lineRule="auto"/>
              <w:rPr>
                <w:rFonts w:ascii="Arial" w:hAnsi="Arial" w:cs="Arial"/>
                <w:color w:val="FFFFFF"/>
                <w:spacing w:val="4"/>
                <w:sz w:val="10"/>
                <w:szCs w:val="16"/>
              </w:rPr>
            </w:pPr>
          </w:p>
        </w:tc>
      </w:tr>
      <w:tr w:rsidR="004E3242" w:rsidRPr="004E3242" w14:paraId="48BDEA92" w14:textId="77777777" w:rsidTr="000F0788">
        <w:trPr>
          <w:trHeight w:val="296"/>
        </w:trPr>
        <w:tc>
          <w:tcPr>
            <w:tcW w:w="1355" w:type="pct"/>
            <w:shd w:val="clear" w:color="auto" w:fill="99CC00"/>
          </w:tcPr>
          <w:p w14:paraId="3F5CB441"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VI. OŚ PRIORYTETOWA</w:t>
            </w:r>
          </w:p>
        </w:tc>
        <w:tc>
          <w:tcPr>
            <w:tcW w:w="3645" w:type="pct"/>
            <w:gridSpan w:val="3"/>
            <w:shd w:val="clear" w:color="auto" w:fill="99CC00"/>
          </w:tcPr>
          <w:p w14:paraId="627BF6F4"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Rozwój niskoemisyjnego transportu zbiorowego w miastach</w:t>
            </w:r>
          </w:p>
        </w:tc>
      </w:tr>
      <w:tr w:rsidR="004E3242" w:rsidRPr="004E3242" w14:paraId="40A3CD4E" w14:textId="77777777" w:rsidTr="000F0788">
        <w:tc>
          <w:tcPr>
            <w:tcW w:w="1355" w:type="pct"/>
            <w:shd w:val="clear" w:color="auto" w:fill="F2F2F2"/>
            <w:vAlign w:val="center"/>
          </w:tcPr>
          <w:p w14:paraId="38DCCD83" w14:textId="77777777" w:rsidR="004E3242" w:rsidRPr="004E3242" w:rsidRDefault="004E3242" w:rsidP="004E3242">
            <w:pPr>
              <w:spacing w:before="60" w:after="60" w:line="240" w:lineRule="auto"/>
              <w:rPr>
                <w:rFonts w:ascii="Arial" w:hAnsi="Arial" w:cs="Arial"/>
                <w:b/>
                <w:bCs/>
                <w:smallCaps/>
                <w:spacing w:val="4"/>
                <w:sz w:val="16"/>
                <w:szCs w:val="20"/>
              </w:rPr>
            </w:pPr>
          </w:p>
          <w:p w14:paraId="09C4F8B4"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CT4., w tym następujący PI:</w:t>
            </w:r>
          </w:p>
          <w:p w14:paraId="6485CA42"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7BAD4101" w14:textId="77777777" w:rsidR="004E3242" w:rsidRPr="004E3242" w:rsidRDefault="004E3242" w:rsidP="00B345B6">
            <w:pPr>
              <w:numPr>
                <w:ilvl w:val="0"/>
                <w:numId w:val="52"/>
              </w:numPr>
              <w:spacing w:before="60" w:after="60" w:line="240" w:lineRule="auto"/>
              <w:ind w:left="317" w:hanging="317"/>
              <w:jc w:val="both"/>
              <w:rPr>
                <w:rFonts w:ascii="Arial" w:hAnsi="Arial" w:cs="Arial"/>
                <w:sz w:val="18"/>
                <w:szCs w:val="16"/>
              </w:rPr>
            </w:pPr>
            <w:r w:rsidRPr="004E3242">
              <w:rPr>
                <w:rFonts w:ascii="Arial" w:hAnsi="Arial" w:cs="Arial"/>
                <w:sz w:val="18"/>
                <w:szCs w:val="16"/>
              </w:rPr>
              <w:t>(</w:t>
            </w:r>
            <w:r w:rsidRPr="004E3242">
              <w:rPr>
                <w:rFonts w:ascii="Arial" w:hAnsi="Arial" w:cs="Arial"/>
                <w:b/>
                <w:sz w:val="18"/>
                <w:szCs w:val="16"/>
              </w:rPr>
              <w:t>4.v.</w:t>
            </w:r>
            <w:r w:rsidRPr="004E3242">
              <w:rPr>
                <w:rFonts w:ascii="Arial" w:hAnsi="Arial" w:cs="Arial"/>
                <w:sz w:val="18"/>
                <w:szCs w:val="16"/>
              </w:rPr>
              <w:t>)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4E3242" w:rsidRPr="004E3242" w14:paraId="21B379AF" w14:textId="77777777" w:rsidTr="000F0788">
        <w:trPr>
          <w:trHeight w:val="319"/>
        </w:trPr>
        <w:tc>
          <w:tcPr>
            <w:tcW w:w="1355" w:type="pct"/>
            <w:shd w:val="clear" w:color="auto" w:fill="99CC00"/>
          </w:tcPr>
          <w:p w14:paraId="6708129C"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VII. OŚ PRIORYTETOWA</w:t>
            </w:r>
          </w:p>
        </w:tc>
        <w:tc>
          <w:tcPr>
            <w:tcW w:w="3645" w:type="pct"/>
            <w:gridSpan w:val="3"/>
            <w:shd w:val="clear" w:color="auto" w:fill="99CC00"/>
          </w:tcPr>
          <w:p w14:paraId="3BBECC61"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Poprawa bezpieczeństwa energetycznego</w:t>
            </w:r>
          </w:p>
        </w:tc>
      </w:tr>
      <w:tr w:rsidR="004E3242" w:rsidRPr="004E3242" w14:paraId="4B466754" w14:textId="77777777" w:rsidTr="000F0788">
        <w:trPr>
          <w:trHeight w:val="397"/>
        </w:trPr>
        <w:tc>
          <w:tcPr>
            <w:tcW w:w="1355" w:type="pct"/>
            <w:shd w:val="clear" w:color="auto" w:fill="F2F2F2"/>
            <w:vAlign w:val="center"/>
          </w:tcPr>
          <w:p w14:paraId="7D4FFD3F"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CT7., w tym następujący PI:</w:t>
            </w:r>
          </w:p>
          <w:p w14:paraId="00B34F74"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79FBC877" w14:textId="77777777" w:rsidR="004E3242" w:rsidRPr="004E3242" w:rsidRDefault="004E3242" w:rsidP="00B345B6">
            <w:pPr>
              <w:numPr>
                <w:ilvl w:val="0"/>
                <w:numId w:val="25"/>
              </w:numPr>
              <w:spacing w:before="60" w:after="60" w:line="240" w:lineRule="auto"/>
              <w:jc w:val="both"/>
              <w:rPr>
                <w:rFonts w:ascii="Arial" w:hAnsi="Arial" w:cs="Arial"/>
                <w:spacing w:val="4"/>
                <w:sz w:val="18"/>
                <w:szCs w:val="16"/>
              </w:rPr>
            </w:pPr>
            <w:r w:rsidRPr="004E3242">
              <w:rPr>
                <w:rFonts w:ascii="Arial" w:hAnsi="Arial" w:cs="Arial"/>
                <w:sz w:val="18"/>
                <w:szCs w:val="16"/>
              </w:rPr>
              <w:t>(</w:t>
            </w:r>
            <w:r w:rsidRPr="004E3242">
              <w:rPr>
                <w:rFonts w:ascii="Arial" w:hAnsi="Arial" w:cs="Arial"/>
                <w:b/>
                <w:sz w:val="18"/>
                <w:szCs w:val="16"/>
              </w:rPr>
              <w:t>7.e.</w:t>
            </w:r>
            <w:r w:rsidRPr="004E3242">
              <w:rPr>
                <w:rFonts w:ascii="Arial" w:hAnsi="Arial" w:cs="Arial"/>
                <w:sz w:val="18"/>
                <w:szCs w:val="16"/>
              </w:rPr>
              <w:t xml:space="preserve">) zwiększenie efektywności energetycznej i bezpieczeństwa dostaw poprzez rozwój inteligentnych systemów dystrybucji, magazynowania </w:t>
            </w:r>
            <w:r w:rsidRPr="004E3242">
              <w:rPr>
                <w:rFonts w:ascii="Arial" w:hAnsi="Arial" w:cs="Arial"/>
                <w:sz w:val="18"/>
                <w:szCs w:val="16"/>
              </w:rPr>
              <w:br/>
              <w:t xml:space="preserve">i </w:t>
            </w:r>
            <w:proofErr w:type="spellStart"/>
            <w:r w:rsidRPr="004E3242">
              <w:rPr>
                <w:rFonts w:ascii="Arial" w:hAnsi="Arial" w:cs="Arial"/>
                <w:sz w:val="18"/>
                <w:szCs w:val="16"/>
              </w:rPr>
              <w:t>przesyłu</w:t>
            </w:r>
            <w:proofErr w:type="spellEnd"/>
            <w:r w:rsidRPr="004E3242">
              <w:rPr>
                <w:rFonts w:ascii="Arial" w:hAnsi="Arial" w:cs="Arial"/>
                <w:sz w:val="18"/>
                <w:szCs w:val="16"/>
              </w:rPr>
              <w:t xml:space="preserve"> energii oraz poprzez integrację rozproszonego wytwarzania energii ze źródeł odnawialnych.</w:t>
            </w:r>
          </w:p>
        </w:tc>
      </w:tr>
      <w:tr w:rsidR="004E3242" w:rsidRPr="004E3242" w14:paraId="0074AE1E" w14:textId="77777777" w:rsidTr="000F0788">
        <w:trPr>
          <w:trHeight w:val="127"/>
        </w:trPr>
        <w:tc>
          <w:tcPr>
            <w:tcW w:w="1355" w:type="pct"/>
            <w:shd w:val="clear" w:color="auto" w:fill="FFFFFF"/>
          </w:tcPr>
          <w:p w14:paraId="66F6EEAF" w14:textId="77777777" w:rsidR="004E3242" w:rsidRPr="004E3242" w:rsidRDefault="004E3242" w:rsidP="004E3242">
            <w:pPr>
              <w:spacing w:after="0" w:line="240" w:lineRule="auto"/>
              <w:rPr>
                <w:rFonts w:ascii="Arial" w:hAnsi="Arial" w:cs="Arial"/>
                <w:color w:val="FFFFFF"/>
                <w:spacing w:val="4"/>
                <w:sz w:val="10"/>
                <w:szCs w:val="16"/>
              </w:rPr>
            </w:pPr>
          </w:p>
        </w:tc>
        <w:tc>
          <w:tcPr>
            <w:tcW w:w="3645" w:type="pct"/>
            <w:gridSpan w:val="3"/>
            <w:shd w:val="clear" w:color="auto" w:fill="FFFFFF"/>
          </w:tcPr>
          <w:p w14:paraId="2A2FA25E" w14:textId="77777777" w:rsidR="004E3242" w:rsidRPr="004E3242" w:rsidRDefault="004E3242" w:rsidP="004E3242">
            <w:pPr>
              <w:spacing w:after="0" w:line="240" w:lineRule="auto"/>
              <w:rPr>
                <w:rFonts w:ascii="Arial" w:hAnsi="Arial" w:cs="Arial"/>
                <w:color w:val="FFFFFF"/>
                <w:spacing w:val="4"/>
                <w:sz w:val="10"/>
                <w:szCs w:val="16"/>
              </w:rPr>
            </w:pPr>
          </w:p>
        </w:tc>
      </w:tr>
      <w:tr w:rsidR="004E3242" w:rsidRPr="004E3242" w14:paraId="22E5559E" w14:textId="77777777" w:rsidTr="000F0788">
        <w:trPr>
          <w:trHeight w:val="295"/>
        </w:trPr>
        <w:tc>
          <w:tcPr>
            <w:tcW w:w="1355" w:type="pct"/>
            <w:shd w:val="clear" w:color="auto" w:fill="99CC00"/>
          </w:tcPr>
          <w:p w14:paraId="174870B2"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VIII. OŚ PRIORYTETOWA</w:t>
            </w:r>
          </w:p>
        </w:tc>
        <w:tc>
          <w:tcPr>
            <w:tcW w:w="3645" w:type="pct"/>
            <w:gridSpan w:val="3"/>
            <w:shd w:val="clear" w:color="auto" w:fill="99CC00"/>
          </w:tcPr>
          <w:p w14:paraId="51180E31"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Ochrona dziedzictwa kulturowego i rozwój zasobów kultury</w:t>
            </w:r>
          </w:p>
        </w:tc>
      </w:tr>
      <w:tr w:rsidR="004E3242" w:rsidRPr="004E3242" w14:paraId="50C0FAAC" w14:textId="77777777" w:rsidTr="000F0788">
        <w:trPr>
          <w:trHeight w:val="301"/>
        </w:trPr>
        <w:tc>
          <w:tcPr>
            <w:tcW w:w="1355" w:type="pct"/>
            <w:shd w:val="clear" w:color="auto" w:fill="F2F2F2"/>
            <w:vAlign w:val="center"/>
          </w:tcPr>
          <w:p w14:paraId="53124818" w14:textId="77777777" w:rsidR="004E3242" w:rsidRPr="004E3242" w:rsidRDefault="004E3242" w:rsidP="004E3242">
            <w:pPr>
              <w:spacing w:before="60" w:after="60" w:line="240" w:lineRule="auto"/>
              <w:jc w:val="center"/>
              <w:rPr>
                <w:rFonts w:ascii="Arial" w:hAnsi="Arial" w:cs="Arial"/>
                <w:b/>
                <w:spacing w:val="4"/>
                <w:sz w:val="18"/>
                <w:szCs w:val="16"/>
              </w:rPr>
            </w:pPr>
            <w:r w:rsidRPr="004E3242">
              <w:rPr>
                <w:rFonts w:ascii="Arial" w:hAnsi="Arial" w:cs="Arial"/>
                <w:b/>
                <w:bCs/>
                <w:smallCaps/>
                <w:spacing w:val="4"/>
                <w:sz w:val="16"/>
                <w:szCs w:val="20"/>
              </w:rPr>
              <w:t>Realizuje CT6., w tym następujący PI:</w:t>
            </w:r>
          </w:p>
        </w:tc>
        <w:tc>
          <w:tcPr>
            <w:tcW w:w="3645" w:type="pct"/>
            <w:gridSpan w:val="3"/>
            <w:shd w:val="clear" w:color="auto" w:fill="F2F2F2"/>
          </w:tcPr>
          <w:p w14:paraId="7F64954F" w14:textId="77777777" w:rsidR="004E3242" w:rsidRPr="004E3242" w:rsidRDefault="004E3242" w:rsidP="00B345B6">
            <w:pPr>
              <w:numPr>
                <w:ilvl w:val="0"/>
                <w:numId w:val="26"/>
              </w:numPr>
              <w:spacing w:before="60" w:after="60" w:line="240" w:lineRule="auto"/>
              <w:jc w:val="both"/>
              <w:rPr>
                <w:rFonts w:ascii="Arial" w:hAnsi="Arial" w:cs="Arial"/>
                <w:b/>
                <w:sz w:val="18"/>
                <w:szCs w:val="16"/>
              </w:rPr>
            </w:pPr>
            <w:r w:rsidRPr="004E3242">
              <w:rPr>
                <w:rFonts w:ascii="Arial" w:hAnsi="Arial" w:cs="Arial"/>
                <w:sz w:val="18"/>
                <w:szCs w:val="16"/>
              </w:rPr>
              <w:t>(</w:t>
            </w:r>
            <w:r w:rsidRPr="004E3242">
              <w:rPr>
                <w:rFonts w:ascii="Arial" w:hAnsi="Arial" w:cs="Arial"/>
                <w:b/>
                <w:sz w:val="18"/>
                <w:szCs w:val="16"/>
              </w:rPr>
              <w:t>6.c.</w:t>
            </w:r>
            <w:r w:rsidRPr="004E3242">
              <w:rPr>
                <w:rFonts w:ascii="Arial" w:hAnsi="Arial" w:cs="Arial"/>
                <w:sz w:val="18"/>
                <w:szCs w:val="16"/>
              </w:rPr>
              <w:t xml:space="preserve">) zachowanie, ochrona, promowanie i rozwój dziedzictwa naturalnego </w:t>
            </w:r>
            <w:r w:rsidRPr="004E3242">
              <w:rPr>
                <w:rFonts w:ascii="Arial" w:hAnsi="Arial" w:cs="Arial"/>
                <w:sz w:val="18"/>
                <w:szCs w:val="16"/>
              </w:rPr>
              <w:br/>
              <w:t>i kulturowego.</w:t>
            </w:r>
          </w:p>
        </w:tc>
      </w:tr>
      <w:tr w:rsidR="004E3242" w:rsidRPr="004E3242" w14:paraId="4D0B229D" w14:textId="77777777" w:rsidTr="000F0788">
        <w:trPr>
          <w:trHeight w:val="64"/>
        </w:trPr>
        <w:tc>
          <w:tcPr>
            <w:tcW w:w="1355" w:type="pct"/>
            <w:shd w:val="clear" w:color="auto" w:fill="FFFFFF"/>
          </w:tcPr>
          <w:p w14:paraId="165D85CF" w14:textId="77777777" w:rsidR="004E3242" w:rsidRPr="004E3242" w:rsidRDefault="004E3242" w:rsidP="004E3242">
            <w:pPr>
              <w:spacing w:after="0" w:line="240" w:lineRule="auto"/>
              <w:rPr>
                <w:rFonts w:ascii="Arial" w:hAnsi="Arial" w:cs="Arial"/>
                <w:color w:val="FFFFFF"/>
                <w:spacing w:val="4"/>
                <w:sz w:val="10"/>
                <w:szCs w:val="16"/>
              </w:rPr>
            </w:pPr>
          </w:p>
        </w:tc>
        <w:tc>
          <w:tcPr>
            <w:tcW w:w="3645" w:type="pct"/>
            <w:gridSpan w:val="3"/>
            <w:shd w:val="clear" w:color="auto" w:fill="FFFFFF"/>
          </w:tcPr>
          <w:p w14:paraId="1CE30A34" w14:textId="77777777" w:rsidR="004E3242" w:rsidRPr="004E3242" w:rsidRDefault="004E3242" w:rsidP="004E3242">
            <w:pPr>
              <w:spacing w:after="0" w:line="240" w:lineRule="auto"/>
              <w:rPr>
                <w:rFonts w:ascii="Arial" w:hAnsi="Arial" w:cs="Arial"/>
                <w:color w:val="FFFFFF"/>
                <w:spacing w:val="4"/>
                <w:sz w:val="10"/>
                <w:szCs w:val="16"/>
              </w:rPr>
            </w:pPr>
          </w:p>
        </w:tc>
      </w:tr>
      <w:tr w:rsidR="004E3242" w:rsidRPr="004E3242" w14:paraId="0119B386" w14:textId="77777777" w:rsidTr="000F0788">
        <w:trPr>
          <w:trHeight w:val="200"/>
        </w:trPr>
        <w:tc>
          <w:tcPr>
            <w:tcW w:w="1355" w:type="pct"/>
            <w:shd w:val="clear" w:color="auto" w:fill="99CC00"/>
          </w:tcPr>
          <w:p w14:paraId="3F3BC3F1"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IX. OŚ PRIORYTETOWA</w:t>
            </w:r>
          </w:p>
        </w:tc>
        <w:tc>
          <w:tcPr>
            <w:tcW w:w="3645" w:type="pct"/>
            <w:gridSpan w:val="3"/>
            <w:shd w:val="clear" w:color="auto" w:fill="99CC00"/>
          </w:tcPr>
          <w:p w14:paraId="72D8C565"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Wzmocnienie strategicznej infrastruktury ochrony zdrowia</w:t>
            </w:r>
          </w:p>
        </w:tc>
      </w:tr>
      <w:tr w:rsidR="004E3242" w:rsidRPr="004E3242" w14:paraId="2BFD876E" w14:textId="77777777" w:rsidTr="000F0788">
        <w:tc>
          <w:tcPr>
            <w:tcW w:w="1355" w:type="pct"/>
            <w:shd w:val="clear" w:color="auto" w:fill="F2F2F2"/>
            <w:vAlign w:val="center"/>
          </w:tcPr>
          <w:p w14:paraId="5208CAA9" w14:textId="77777777" w:rsidR="004E3242" w:rsidRPr="004E3242" w:rsidRDefault="004E3242" w:rsidP="004E3242">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CT9., w tym następujący PI:</w:t>
            </w:r>
          </w:p>
          <w:p w14:paraId="36538AF7" w14:textId="77777777" w:rsidR="004E3242" w:rsidRPr="004E3242" w:rsidRDefault="004E3242" w:rsidP="004E3242">
            <w:pPr>
              <w:spacing w:before="60" w:after="60" w:line="240" w:lineRule="auto"/>
              <w:jc w:val="center"/>
              <w:rPr>
                <w:rFonts w:ascii="Arial" w:hAnsi="Arial" w:cs="Arial"/>
                <w:b/>
                <w:spacing w:val="4"/>
                <w:sz w:val="18"/>
                <w:szCs w:val="16"/>
              </w:rPr>
            </w:pPr>
          </w:p>
        </w:tc>
        <w:tc>
          <w:tcPr>
            <w:tcW w:w="3645" w:type="pct"/>
            <w:gridSpan w:val="3"/>
            <w:shd w:val="clear" w:color="auto" w:fill="F2F2F2"/>
          </w:tcPr>
          <w:p w14:paraId="3E06F54E" w14:textId="77777777" w:rsidR="004E3242" w:rsidRPr="004E3242" w:rsidRDefault="004E3242" w:rsidP="00B345B6">
            <w:pPr>
              <w:numPr>
                <w:ilvl w:val="0"/>
                <w:numId w:val="27"/>
              </w:numPr>
              <w:spacing w:before="60" w:after="60" w:line="240" w:lineRule="auto"/>
              <w:jc w:val="both"/>
              <w:rPr>
                <w:rFonts w:ascii="Arial" w:hAnsi="Arial" w:cs="Arial"/>
                <w:spacing w:val="4"/>
                <w:sz w:val="18"/>
                <w:szCs w:val="16"/>
              </w:rPr>
            </w:pPr>
            <w:r w:rsidRPr="004E3242">
              <w:rPr>
                <w:rFonts w:ascii="Arial" w:hAnsi="Arial" w:cs="Arial"/>
                <w:bCs/>
                <w:spacing w:val="4"/>
                <w:sz w:val="18"/>
                <w:szCs w:val="16"/>
              </w:rPr>
              <w:t>(</w:t>
            </w:r>
            <w:r w:rsidRPr="004E3242">
              <w:rPr>
                <w:rFonts w:ascii="Arial" w:hAnsi="Arial" w:cs="Arial"/>
                <w:b/>
                <w:bCs/>
                <w:spacing w:val="4"/>
                <w:sz w:val="18"/>
                <w:szCs w:val="16"/>
              </w:rPr>
              <w:t>9.a.</w:t>
            </w:r>
            <w:r w:rsidRPr="004E3242">
              <w:rPr>
                <w:rFonts w:ascii="Arial" w:hAnsi="Arial" w:cs="Arial"/>
                <w:bCs/>
                <w:spacing w:val="4"/>
                <w:sz w:val="18"/>
                <w:szCs w:val="16"/>
              </w:rPr>
              <w:t xml:space="preserve">) </w:t>
            </w:r>
            <w:r w:rsidRPr="004E3242">
              <w:rPr>
                <w:rFonts w:ascii="Arial" w:hAnsi="Arial" w:cs="Arial"/>
                <w:sz w:val="18"/>
                <w:szCs w:val="16"/>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p>
        </w:tc>
      </w:tr>
      <w:tr w:rsidR="004E3242" w:rsidRPr="004E3242" w14:paraId="740B7156" w14:textId="77777777" w:rsidTr="000F0788">
        <w:trPr>
          <w:trHeight w:val="64"/>
        </w:trPr>
        <w:tc>
          <w:tcPr>
            <w:tcW w:w="1355" w:type="pct"/>
            <w:shd w:val="clear" w:color="auto" w:fill="FFFFFF"/>
          </w:tcPr>
          <w:p w14:paraId="3841557D" w14:textId="77777777" w:rsidR="004E3242" w:rsidRPr="004E3242" w:rsidRDefault="004E3242" w:rsidP="004E3242">
            <w:pPr>
              <w:spacing w:after="0" w:line="240" w:lineRule="auto"/>
              <w:rPr>
                <w:rFonts w:ascii="Arial" w:hAnsi="Arial" w:cs="Arial"/>
                <w:color w:val="FFFFFF"/>
                <w:spacing w:val="4"/>
                <w:sz w:val="10"/>
                <w:szCs w:val="16"/>
              </w:rPr>
            </w:pPr>
          </w:p>
        </w:tc>
        <w:tc>
          <w:tcPr>
            <w:tcW w:w="3645" w:type="pct"/>
            <w:gridSpan w:val="3"/>
            <w:shd w:val="clear" w:color="auto" w:fill="FFFFFF"/>
          </w:tcPr>
          <w:p w14:paraId="3D795DAC" w14:textId="77777777" w:rsidR="004E3242" w:rsidRPr="004E3242" w:rsidRDefault="004E3242" w:rsidP="004E3242">
            <w:pPr>
              <w:spacing w:after="0" w:line="240" w:lineRule="auto"/>
              <w:rPr>
                <w:rFonts w:ascii="Arial" w:hAnsi="Arial" w:cs="Arial"/>
                <w:color w:val="FFFFFF"/>
                <w:spacing w:val="4"/>
                <w:sz w:val="10"/>
                <w:szCs w:val="16"/>
              </w:rPr>
            </w:pPr>
          </w:p>
        </w:tc>
      </w:tr>
      <w:tr w:rsidR="004E3242" w:rsidRPr="004E3242" w14:paraId="190087DE" w14:textId="77777777" w:rsidTr="000F0788">
        <w:trPr>
          <w:trHeight w:val="64"/>
        </w:trPr>
        <w:tc>
          <w:tcPr>
            <w:tcW w:w="1355" w:type="pct"/>
            <w:shd w:val="clear" w:color="auto" w:fill="99CC00"/>
          </w:tcPr>
          <w:p w14:paraId="7607F8FC"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X. OŚ PRIORYTETOWA</w:t>
            </w:r>
          </w:p>
        </w:tc>
        <w:tc>
          <w:tcPr>
            <w:tcW w:w="3645" w:type="pct"/>
            <w:gridSpan w:val="3"/>
            <w:shd w:val="clear" w:color="auto" w:fill="99CC00"/>
          </w:tcPr>
          <w:p w14:paraId="2AE7C86B" w14:textId="77777777" w:rsidR="004E3242" w:rsidRPr="004E3242" w:rsidRDefault="004E3242" w:rsidP="004E3242">
            <w:pPr>
              <w:spacing w:before="60" w:after="60" w:line="240" w:lineRule="auto"/>
              <w:rPr>
                <w:rFonts w:ascii="Arial" w:hAnsi="Arial" w:cs="Arial"/>
                <w:color w:val="FFFFFF"/>
                <w:spacing w:val="4"/>
                <w:sz w:val="18"/>
                <w:szCs w:val="16"/>
              </w:rPr>
            </w:pPr>
            <w:r w:rsidRPr="004E3242">
              <w:rPr>
                <w:rFonts w:ascii="Arial" w:hAnsi="Arial" w:cs="Arial"/>
                <w:i/>
                <w:color w:val="FFFFFF"/>
                <w:spacing w:val="4"/>
                <w:sz w:val="18"/>
                <w:szCs w:val="16"/>
              </w:rPr>
              <w:t>Pomoc techniczna</w:t>
            </w:r>
          </w:p>
        </w:tc>
      </w:tr>
      <w:tr w:rsidR="006D6537" w:rsidRPr="00CA3B6B" w14:paraId="1E3C3974" w14:textId="77777777" w:rsidTr="000F0788">
        <w:trPr>
          <w:gridAfter w:val="1"/>
          <w:wAfter w:w="37" w:type="pct"/>
          <w:trHeight w:val="64"/>
        </w:trPr>
        <w:tc>
          <w:tcPr>
            <w:tcW w:w="1404" w:type="pct"/>
            <w:gridSpan w:val="2"/>
            <w:shd w:val="clear" w:color="auto" w:fill="99CC00"/>
          </w:tcPr>
          <w:p w14:paraId="4468FEB4" w14:textId="77777777" w:rsidR="006D6537" w:rsidRPr="004E3242" w:rsidRDefault="006D6537" w:rsidP="00CA3B6B">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X</w:t>
            </w:r>
            <w:r>
              <w:rPr>
                <w:rFonts w:ascii="Arial" w:hAnsi="Arial" w:cs="Arial"/>
                <w:color w:val="FFFFFF"/>
                <w:spacing w:val="4"/>
                <w:sz w:val="18"/>
                <w:szCs w:val="16"/>
              </w:rPr>
              <w:t>I</w:t>
            </w:r>
            <w:r w:rsidRPr="004E3242">
              <w:rPr>
                <w:rFonts w:ascii="Arial" w:hAnsi="Arial" w:cs="Arial"/>
                <w:color w:val="FFFFFF"/>
                <w:spacing w:val="4"/>
                <w:sz w:val="18"/>
                <w:szCs w:val="16"/>
              </w:rPr>
              <w:t>. OŚ PRIORYTETOWA</w:t>
            </w:r>
          </w:p>
        </w:tc>
        <w:tc>
          <w:tcPr>
            <w:tcW w:w="3560" w:type="pct"/>
            <w:shd w:val="clear" w:color="auto" w:fill="99CC00"/>
          </w:tcPr>
          <w:p w14:paraId="0B001BEE" w14:textId="77777777" w:rsidR="006D6537" w:rsidRPr="00CA3B6B" w:rsidRDefault="00F04F47" w:rsidP="00F04F47">
            <w:pPr>
              <w:spacing w:before="60" w:after="60" w:line="240" w:lineRule="auto"/>
              <w:rPr>
                <w:rFonts w:ascii="Arial" w:hAnsi="Arial" w:cs="Arial"/>
                <w:color w:val="FFFFFF"/>
                <w:spacing w:val="4"/>
                <w:sz w:val="18"/>
                <w:szCs w:val="16"/>
              </w:rPr>
            </w:pPr>
            <w:r w:rsidRPr="00CA3B6B">
              <w:rPr>
                <w:rFonts w:ascii="Arial" w:hAnsi="Arial" w:cs="Arial"/>
                <w:i/>
                <w:color w:val="FFFFFF"/>
                <w:spacing w:val="4"/>
                <w:sz w:val="18"/>
                <w:szCs w:val="16"/>
              </w:rPr>
              <w:t>REACT-EU</w:t>
            </w:r>
          </w:p>
        </w:tc>
      </w:tr>
      <w:tr w:rsidR="006D6537" w:rsidRPr="000F0788" w14:paraId="610DEE26" w14:textId="77777777" w:rsidTr="000F0788">
        <w:trPr>
          <w:gridAfter w:val="1"/>
          <w:wAfter w:w="37" w:type="pct"/>
        </w:trPr>
        <w:tc>
          <w:tcPr>
            <w:tcW w:w="1404" w:type="pct"/>
            <w:gridSpan w:val="2"/>
            <w:shd w:val="clear" w:color="auto" w:fill="F2F2F2"/>
            <w:vAlign w:val="center"/>
          </w:tcPr>
          <w:p w14:paraId="0774CF44" w14:textId="77777777" w:rsidR="006D6537" w:rsidRPr="000F0788" w:rsidRDefault="006D6537" w:rsidP="00F04F47">
            <w:pPr>
              <w:spacing w:before="60" w:after="60" w:line="240" w:lineRule="auto"/>
              <w:jc w:val="center"/>
              <w:rPr>
                <w:rFonts w:ascii="Arial" w:hAnsi="Arial" w:cs="Arial"/>
                <w:b/>
                <w:bCs/>
                <w:smallCaps/>
                <w:spacing w:val="4"/>
                <w:sz w:val="16"/>
                <w:szCs w:val="20"/>
              </w:rPr>
            </w:pPr>
            <w:r w:rsidRPr="004E3242">
              <w:rPr>
                <w:rFonts w:ascii="Arial" w:hAnsi="Arial" w:cs="Arial"/>
                <w:b/>
                <w:bCs/>
                <w:smallCaps/>
                <w:spacing w:val="4"/>
                <w:sz w:val="16"/>
                <w:szCs w:val="20"/>
              </w:rPr>
              <w:t>Realizuje CT</w:t>
            </w:r>
            <w:r>
              <w:rPr>
                <w:rFonts w:ascii="Arial" w:hAnsi="Arial" w:cs="Arial"/>
                <w:b/>
                <w:bCs/>
                <w:smallCaps/>
                <w:spacing w:val="4"/>
                <w:sz w:val="16"/>
                <w:szCs w:val="20"/>
              </w:rPr>
              <w:t>10 stanowiący jednocześnie PI</w:t>
            </w:r>
          </w:p>
        </w:tc>
        <w:tc>
          <w:tcPr>
            <w:tcW w:w="3560" w:type="pct"/>
            <w:shd w:val="clear" w:color="auto" w:fill="F2F2F2"/>
          </w:tcPr>
          <w:p w14:paraId="2740190E" w14:textId="77777777" w:rsidR="006D6537" w:rsidRPr="000F0788" w:rsidRDefault="006D6537" w:rsidP="00CA3B6B">
            <w:pPr>
              <w:numPr>
                <w:ilvl w:val="0"/>
                <w:numId w:val="27"/>
              </w:numPr>
              <w:spacing w:before="60" w:after="60" w:line="240" w:lineRule="auto"/>
              <w:jc w:val="both"/>
              <w:rPr>
                <w:rFonts w:ascii="Arial" w:hAnsi="Arial" w:cs="Arial"/>
                <w:b/>
                <w:bCs/>
                <w:smallCaps/>
                <w:spacing w:val="4"/>
                <w:sz w:val="16"/>
                <w:szCs w:val="20"/>
              </w:rPr>
            </w:pPr>
            <w:r w:rsidRPr="000F0788">
              <w:rPr>
                <w:rFonts w:ascii="Arial" w:hAnsi="Arial" w:cs="Arial"/>
                <w:b/>
                <w:bCs/>
                <w:smallCaps/>
                <w:spacing w:val="4"/>
                <w:sz w:val="16"/>
                <w:szCs w:val="20"/>
              </w:rPr>
              <w:t xml:space="preserve">(10.) </w:t>
            </w:r>
            <w:r w:rsidRPr="00CA3B6B">
              <w:rPr>
                <w:rFonts w:ascii="Arial" w:hAnsi="Arial" w:cs="Arial"/>
                <w:sz w:val="18"/>
                <w:szCs w:val="16"/>
              </w:rPr>
              <w:t>Wspieranie kryzysowych działań naprawczych w kontekście pandemii COVID-19 i jej skutków społecznych oraz przygotowanie do ekologicznej i cyfrowej odbudowy gospodarki zwiększającej jej odporność.</w:t>
            </w:r>
          </w:p>
        </w:tc>
      </w:tr>
      <w:tr w:rsidR="006D6537" w:rsidRPr="00CA3B6B" w14:paraId="676FC58D" w14:textId="77777777" w:rsidTr="000F0788">
        <w:trPr>
          <w:trHeight w:val="64"/>
        </w:trPr>
        <w:tc>
          <w:tcPr>
            <w:tcW w:w="1355" w:type="pct"/>
            <w:shd w:val="clear" w:color="auto" w:fill="99CC00"/>
          </w:tcPr>
          <w:p w14:paraId="6E760D41" w14:textId="77777777" w:rsidR="006D6537" w:rsidRPr="004E3242" w:rsidRDefault="006D6537" w:rsidP="00CA3B6B">
            <w:pPr>
              <w:spacing w:before="60" w:after="60" w:line="240" w:lineRule="auto"/>
              <w:rPr>
                <w:rFonts w:ascii="Arial" w:hAnsi="Arial" w:cs="Arial"/>
                <w:color w:val="FFFFFF"/>
                <w:spacing w:val="4"/>
                <w:sz w:val="18"/>
                <w:szCs w:val="16"/>
              </w:rPr>
            </w:pPr>
            <w:r w:rsidRPr="004E3242">
              <w:rPr>
                <w:rFonts w:ascii="Arial" w:hAnsi="Arial" w:cs="Arial"/>
                <w:color w:val="FFFFFF"/>
                <w:spacing w:val="4"/>
                <w:sz w:val="18"/>
                <w:szCs w:val="16"/>
              </w:rPr>
              <w:t>X</w:t>
            </w:r>
            <w:r>
              <w:rPr>
                <w:rFonts w:ascii="Arial" w:hAnsi="Arial" w:cs="Arial"/>
                <w:color w:val="FFFFFF"/>
                <w:spacing w:val="4"/>
                <w:sz w:val="18"/>
                <w:szCs w:val="16"/>
              </w:rPr>
              <w:t>II</w:t>
            </w:r>
            <w:r w:rsidRPr="004E3242">
              <w:rPr>
                <w:rFonts w:ascii="Arial" w:hAnsi="Arial" w:cs="Arial"/>
                <w:color w:val="FFFFFF"/>
                <w:spacing w:val="4"/>
                <w:sz w:val="18"/>
                <w:szCs w:val="16"/>
              </w:rPr>
              <w:t>. OŚ PRIORYTETOWA</w:t>
            </w:r>
          </w:p>
        </w:tc>
        <w:tc>
          <w:tcPr>
            <w:tcW w:w="3645" w:type="pct"/>
            <w:gridSpan w:val="3"/>
            <w:shd w:val="clear" w:color="auto" w:fill="99CC00"/>
          </w:tcPr>
          <w:p w14:paraId="41E77491" w14:textId="77777777" w:rsidR="006D6537" w:rsidRPr="00CA3B6B" w:rsidRDefault="006D6537" w:rsidP="00CA3B6B">
            <w:pPr>
              <w:spacing w:before="60" w:after="60" w:line="240" w:lineRule="auto"/>
              <w:rPr>
                <w:rFonts w:ascii="Arial" w:hAnsi="Arial" w:cs="Arial"/>
                <w:color w:val="FFFFFF"/>
                <w:spacing w:val="4"/>
                <w:sz w:val="18"/>
                <w:szCs w:val="16"/>
              </w:rPr>
            </w:pPr>
            <w:r w:rsidRPr="00CA3B6B">
              <w:rPr>
                <w:rFonts w:ascii="Arial" w:hAnsi="Arial" w:cs="Arial"/>
                <w:i/>
                <w:color w:val="FFFFFF"/>
                <w:spacing w:val="4"/>
                <w:sz w:val="18"/>
                <w:szCs w:val="16"/>
              </w:rPr>
              <w:t>Pomoc techniczna REACT-EU</w:t>
            </w:r>
          </w:p>
        </w:tc>
      </w:tr>
    </w:tbl>
    <w:p w14:paraId="45FA9B1F" w14:textId="77777777" w:rsidR="004E3242" w:rsidRPr="004E3242" w:rsidRDefault="004E3242" w:rsidP="004E3242">
      <w:pPr>
        <w:numPr>
          <w:ilvl w:val="1"/>
          <w:numId w:val="3"/>
        </w:numPr>
        <w:shd w:val="clear" w:color="auto" w:fill="BFBFBF"/>
        <w:spacing w:before="360" w:after="240"/>
        <w:outlineLvl w:val="1"/>
        <w:rPr>
          <w:rFonts w:ascii="Arial" w:hAnsi="Arial"/>
          <w:smallCaps/>
          <w:color w:val="000000"/>
          <w:spacing w:val="15"/>
          <w:sz w:val="24"/>
          <w:lang w:eastAsia="pl-PL"/>
        </w:rPr>
      </w:pPr>
      <w:bookmarkStart w:id="347" w:name="_Toc83810561"/>
      <w:r w:rsidRPr="004E3242">
        <w:rPr>
          <w:rFonts w:ascii="Arial" w:hAnsi="Arial"/>
          <w:smallCaps/>
          <w:color w:val="000000"/>
          <w:spacing w:val="15"/>
          <w:sz w:val="24"/>
          <w:lang w:eastAsia="pl-PL"/>
        </w:rPr>
        <w:t>Opis osi priorytetowych</w:t>
      </w:r>
      <w:bookmarkEnd w:id="347"/>
    </w:p>
    <w:p w14:paraId="3A1DD97E" w14:textId="77777777" w:rsidR="004E3242" w:rsidRPr="004E3242" w:rsidRDefault="004E3242" w:rsidP="004E3242">
      <w:pPr>
        <w:numPr>
          <w:ilvl w:val="2"/>
          <w:numId w:val="3"/>
        </w:numPr>
        <w:shd w:val="clear" w:color="auto" w:fill="D6E3BC"/>
        <w:spacing w:before="240" w:after="240"/>
        <w:outlineLvl w:val="2"/>
        <w:rPr>
          <w:rFonts w:ascii="Arial" w:hAnsi="Arial"/>
          <w:caps/>
          <w:smallCaps/>
          <w:color w:val="000000"/>
          <w:spacing w:val="4"/>
          <w:sz w:val="24"/>
          <w:szCs w:val="24"/>
          <w:lang w:eastAsia="pl-PL"/>
        </w:rPr>
      </w:pPr>
      <w:bookmarkStart w:id="348" w:name="_Toc394318685"/>
      <w:bookmarkStart w:id="349" w:name="_Toc394318842"/>
      <w:bookmarkStart w:id="350" w:name="_Toc394319408"/>
      <w:bookmarkStart w:id="351" w:name="_Toc394319479"/>
      <w:bookmarkStart w:id="352" w:name="_Toc394319550"/>
      <w:bookmarkStart w:id="353" w:name="_Toc394319743"/>
      <w:bookmarkStart w:id="354" w:name="_Toc402941938"/>
      <w:bookmarkStart w:id="355" w:name="_Toc402942247"/>
      <w:bookmarkStart w:id="356" w:name="_Toc404585136"/>
      <w:bookmarkStart w:id="357" w:name="_Toc394318686"/>
      <w:bookmarkStart w:id="358" w:name="_Toc394318843"/>
      <w:bookmarkStart w:id="359" w:name="_Toc394319409"/>
      <w:bookmarkStart w:id="360" w:name="_Toc394319480"/>
      <w:bookmarkStart w:id="361" w:name="_Toc394319551"/>
      <w:bookmarkStart w:id="362" w:name="_Toc394319744"/>
      <w:bookmarkStart w:id="363" w:name="_Toc402941939"/>
      <w:bookmarkStart w:id="364" w:name="_Toc402942248"/>
      <w:bookmarkStart w:id="365" w:name="_Toc394318687"/>
      <w:bookmarkStart w:id="366" w:name="_Toc394318844"/>
      <w:bookmarkStart w:id="367" w:name="_Toc394319410"/>
      <w:bookmarkStart w:id="368" w:name="_Toc394319481"/>
      <w:bookmarkStart w:id="369" w:name="_Toc394319552"/>
      <w:bookmarkStart w:id="370" w:name="_Toc394319745"/>
      <w:bookmarkStart w:id="371" w:name="_Toc402941940"/>
      <w:bookmarkStart w:id="372" w:name="_Toc402942249"/>
      <w:bookmarkStart w:id="373" w:name="_Toc404585138"/>
      <w:bookmarkStart w:id="374" w:name="_Toc394318556"/>
      <w:bookmarkStart w:id="375" w:name="_Toc394319746"/>
      <w:bookmarkStart w:id="376" w:name="_Toc402941941"/>
      <w:bookmarkStart w:id="377" w:name="_Toc402942250"/>
      <w:bookmarkStart w:id="378" w:name="_Toc83810562"/>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4E3242">
        <w:rPr>
          <w:rFonts w:ascii="Arial" w:hAnsi="Arial"/>
          <w:smallCaps/>
          <w:color w:val="000000"/>
          <w:spacing w:val="4"/>
          <w:sz w:val="24"/>
          <w:szCs w:val="24"/>
          <w:lang w:eastAsia="pl-PL"/>
        </w:rPr>
        <w:t>Oś priorytetowa I: zmniejszenie emisyjności gospodarki</w:t>
      </w:r>
      <w:bookmarkEnd w:id="378"/>
    </w:p>
    <w:p w14:paraId="262D7976" w14:textId="77777777" w:rsidR="004E3242" w:rsidRPr="004E3242" w:rsidRDefault="004E3242" w:rsidP="004E3242">
      <w:pPr>
        <w:keepLines/>
        <w:pBdr>
          <w:bottom w:val="single" w:sz="4" w:space="1" w:color="669900"/>
        </w:pBdr>
        <w:spacing w:before="360" w:after="240" w:line="240" w:lineRule="auto"/>
        <w:jc w:val="both"/>
        <w:rPr>
          <w:rFonts w:ascii="Arial" w:hAnsi="Arial" w:cs="Arial"/>
          <w:spacing w:val="4"/>
          <w:sz w:val="20"/>
          <w:szCs w:val="20"/>
        </w:rPr>
      </w:pPr>
      <w:r w:rsidRPr="004E3242">
        <w:rPr>
          <w:rFonts w:ascii="Arial" w:hAnsi="Arial" w:cs="Arial"/>
          <w:spacing w:val="4"/>
          <w:sz w:val="20"/>
          <w:szCs w:val="20"/>
        </w:rPr>
        <w:t xml:space="preserve">Dana oś priorytetowa przeznaczona jest do finansowania wyłącznie z jednego funduszu </w:t>
      </w:r>
      <w:r w:rsidRPr="004E3242">
        <w:rPr>
          <w:rFonts w:ascii="Arial" w:hAnsi="Arial" w:cs="Arial"/>
          <w:spacing w:val="4"/>
          <w:sz w:val="20"/>
          <w:szCs w:val="20"/>
        </w:rPr>
        <w:br/>
        <w:t>(tj. Funduszu Spójności). Z tego względu nie wyodrębnia się kategorii regionów, pomimo że swoim zasięgiem obejmuje cały kraj. Jednocześnie jest ona dedykowana wyłącznie jednemu celowi tematycznemu 4.</w:t>
      </w:r>
    </w:p>
    <w:p w14:paraId="399970AB" w14:textId="77777777" w:rsidR="004E3242" w:rsidRPr="004E3242" w:rsidRDefault="004E3242" w:rsidP="004E3242"/>
    <w:p w14:paraId="4E8430EE" w14:textId="77777777" w:rsidR="004E3242" w:rsidRPr="004E3242" w:rsidRDefault="004E3242" w:rsidP="004E3242"/>
    <w:p w14:paraId="4055E803" w14:textId="77777777" w:rsidR="004E3242" w:rsidRPr="004E3242" w:rsidRDefault="004E3242" w:rsidP="004E3242"/>
    <w:p w14:paraId="3AB294DB"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4"/>
          <w:sz w:val="24"/>
          <w:szCs w:val="24"/>
          <w:lang w:eastAsia="pl-PL"/>
        </w:rPr>
      </w:pPr>
      <w:r w:rsidRPr="004E3242">
        <w:rPr>
          <w:rFonts w:ascii="Arial" w:eastAsia="Times New Roman" w:hAnsi="Arial"/>
          <w:smallCaps/>
          <w:color w:val="669900"/>
          <w:spacing w:val="4"/>
          <w:sz w:val="24"/>
          <w:szCs w:val="24"/>
          <w:lang w:eastAsia="pl-PL"/>
        </w:rPr>
        <w:t xml:space="preserve">PRIORYTET INWESTYCYJNY 4.i. </w:t>
      </w:r>
      <w:r w:rsidRPr="004E3242">
        <w:rPr>
          <w:rFonts w:ascii="Arial" w:eastAsia="Times New Roman" w:hAnsi="Arial"/>
          <w:smallCaps/>
          <w:color w:val="669900"/>
          <w:spacing w:val="10"/>
          <w:sz w:val="24"/>
          <w:szCs w:val="24"/>
          <w:lang w:eastAsia="pl-PL"/>
        </w:rPr>
        <w:t>Wspieranie wytwarzania i dystrybucji energii pochodzącej ze źródeł odnawialnych</w:t>
      </w:r>
      <w:r w:rsidRPr="004E3242" w:rsidDel="00313090">
        <w:rPr>
          <w:rFonts w:ascii="Arial" w:eastAsia="Times New Roman" w:hAnsi="Arial"/>
          <w:smallCaps/>
          <w:color w:val="669900"/>
          <w:spacing w:val="4"/>
          <w:sz w:val="24"/>
          <w:szCs w:val="24"/>
          <w:lang w:eastAsia="pl-PL"/>
        </w:rPr>
        <w:t xml:space="preserve"> </w:t>
      </w:r>
    </w:p>
    <w:p w14:paraId="70056042"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Cele szczegółowe</w:t>
      </w:r>
    </w:p>
    <w:p w14:paraId="194AC7DA" w14:textId="77777777" w:rsidR="004E3242" w:rsidRPr="004E3242" w:rsidRDefault="004E3242" w:rsidP="004E3242">
      <w:pPr>
        <w:autoSpaceDE w:val="0"/>
        <w:autoSpaceDN w:val="0"/>
        <w:adjustRightInd w:val="0"/>
        <w:spacing w:after="120"/>
        <w:jc w:val="both"/>
        <w:rPr>
          <w:rFonts w:ascii="Arial" w:hAnsi="Arial" w:cs="Arial"/>
          <w:spacing w:val="4"/>
          <w:sz w:val="20"/>
          <w:szCs w:val="20"/>
        </w:rPr>
      </w:pPr>
      <w:r w:rsidRPr="004E3242">
        <w:rPr>
          <w:rFonts w:ascii="Arial" w:hAnsi="Arial" w:cs="Arial"/>
          <w:spacing w:val="4"/>
          <w:sz w:val="20"/>
          <w:szCs w:val="20"/>
        </w:rPr>
        <w:t>Wzrost udziału energii wytwarzanej ze źródeł odnawialnych w końcowym zużyciu energii brutto.</w:t>
      </w:r>
    </w:p>
    <w:p w14:paraId="64E1C40B"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442ACFA2" w14:textId="77777777" w:rsidR="004E3242" w:rsidRPr="004E3242" w:rsidRDefault="004E3242" w:rsidP="004E3242">
      <w:pPr>
        <w:autoSpaceDE w:val="0"/>
        <w:autoSpaceDN w:val="0"/>
        <w:adjustRightInd w:val="0"/>
        <w:spacing w:after="120"/>
        <w:jc w:val="both"/>
        <w:rPr>
          <w:rFonts w:ascii="Arial" w:hAnsi="Arial" w:cs="Arial"/>
          <w:spacing w:val="4"/>
          <w:sz w:val="20"/>
          <w:szCs w:val="20"/>
        </w:rPr>
      </w:pPr>
      <w:r w:rsidRPr="004E3242">
        <w:rPr>
          <w:rFonts w:ascii="Arial" w:hAnsi="Arial" w:cs="Arial"/>
          <w:spacing w:val="4"/>
          <w:sz w:val="20"/>
          <w:szCs w:val="20"/>
        </w:rPr>
        <w:t>Realizacja priorytetu inwestycyjnego przyczyni się do zwiększenia udziału energii produkowanej ze źródeł odnawialnych, co z kolei przyczyni się do poprawy efektywności wykorzystania i oszczędzania zasobów surowców energetycznych oraz poprawy stanu środowiska poprzez redukcję zanieczyszczeń do atmosfery</w:t>
      </w:r>
    </w:p>
    <w:p w14:paraId="396C5A6F" w14:textId="77777777" w:rsidR="004E3242" w:rsidRPr="004E3242" w:rsidRDefault="004E3242" w:rsidP="004E3242">
      <w:pPr>
        <w:spacing w:after="120" w:line="280" w:lineRule="atLeast"/>
        <w:jc w:val="both"/>
      </w:pPr>
      <w:r w:rsidRPr="004E3242">
        <w:rPr>
          <w:rFonts w:ascii="Arial" w:hAnsi="Arial" w:cs="Arial"/>
          <w:bCs/>
          <w:smallCaps/>
          <w:color w:val="649600"/>
          <w:spacing w:val="4"/>
          <w:sz w:val="20"/>
          <w:szCs w:val="20"/>
        </w:rPr>
        <w:t>Wskaźniki rezultatu</w:t>
      </w:r>
    </w:p>
    <w:tbl>
      <w:tblPr>
        <w:tblW w:w="496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38"/>
        <w:gridCol w:w="1358"/>
        <w:gridCol w:w="1113"/>
        <w:gridCol w:w="1059"/>
        <w:gridCol w:w="945"/>
        <w:gridCol w:w="887"/>
        <w:gridCol w:w="1046"/>
        <w:gridCol w:w="943"/>
        <w:gridCol w:w="1336"/>
      </w:tblGrid>
      <w:tr w:rsidR="004E3242" w:rsidRPr="004E3242" w14:paraId="3DA7EBFD" w14:textId="77777777" w:rsidTr="00AA7998">
        <w:trPr>
          <w:trHeight w:val="299"/>
        </w:trPr>
        <w:tc>
          <w:tcPr>
            <w:tcW w:w="292" w:type="pct"/>
            <w:shd w:val="clear" w:color="auto" w:fill="99CC00"/>
            <w:vAlign w:val="center"/>
          </w:tcPr>
          <w:p w14:paraId="0CD6335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736" w:type="pct"/>
            <w:shd w:val="clear" w:color="auto" w:fill="99CC00"/>
            <w:vAlign w:val="center"/>
          </w:tcPr>
          <w:p w14:paraId="107C2A02"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603" w:type="pct"/>
            <w:shd w:val="clear" w:color="auto" w:fill="99CC00"/>
            <w:vAlign w:val="center"/>
          </w:tcPr>
          <w:p w14:paraId="0664584F"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74" w:type="pct"/>
            <w:shd w:val="clear" w:color="auto" w:fill="99CC00"/>
            <w:vAlign w:val="center"/>
          </w:tcPr>
          <w:p w14:paraId="529C906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12" w:type="pct"/>
            <w:shd w:val="clear" w:color="auto" w:fill="99CC00"/>
            <w:vAlign w:val="center"/>
          </w:tcPr>
          <w:p w14:paraId="5B5CF172"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81" w:type="pct"/>
            <w:shd w:val="clear" w:color="auto" w:fill="99CC00"/>
            <w:vAlign w:val="center"/>
          </w:tcPr>
          <w:p w14:paraId="17A7926F"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67" w:type="pct"/>
            <w:shd w:val="clear" w:color="auto" w:fill="99CC00"/>
            <w:vAlign w:val="center"/>
          </w:tcPr>
          <w:p w14:paraId="12A97502"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11" w:type="pct"/>
            <w:shd w:val="clear" w:color="auto" w:fill="99CC00"/>
            <w:vAlign w:val="center"/>
          </w:tcPr>
          <w:p w14:paraId="09FA888D"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24" w:type="pct"/>
            <w:shd w:val="clear" w:color="auto" w:fill="99CC00"/>
            <w:vAlign w:val="center"/>
          </w:tcPr>
          <w:p w14:paraId="6B552CE3"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269B7CA4" w14:textId="77777777" w:rsidTr="00AA7998">
        <w:tc>
          <w:tcPr>
            <w:tcW w:w="292" w:type="pct"/>
            <w:shd w:val="clear" w:color="auto" w:fill="F2F2F2"/>
            <w:vAlign w:val="center"/>
          </w:tcPr>
          <w:p w14:paraId="6E15158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736" w:type="pct"/>
            <w:shd w:val="clear" w:color="auto" w:fill="F2F2F2"/>
            <w:vAlign w:val="center"/>
          </w:tcPr>
          <w:p w14:paraId="39E9082F"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Udział energii ze źródeł odnawialnych w końcowym zużyciu energii brutto</w:t>
            </w:r>
          </w:p>
        </w:tc>
        <w:tc>
          <w:tcPr>
            <w:tcW w:w="603" w:type="pct"/>
            <w:shd w:val="clear" w:color="auto" w:fill="F2F2F2"/>
            <w:vAlign w:val="center"/>
          </w:tcPr>
          <w:p w14:paraId="3BEBC90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574" w:type="pct"/>
            <w:shd w:val="clear" w:color="auto" w:fill="F2F2F2"/>
            <w:vAlign w:val="center"/>
          </w:tcPr>
          <w:p w14:paraId="5F8B856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12" w:type="pct"/>
            <w:shd w:val="clear" w:color="auto" w:fill="F2F2F2"/>
            <w:vAlign w:val="center"/>
          </w:tcPr>
          <w:p w14:paraId="0689B04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11,0</w:t>
            </w:r>
          </w:p>
        </w:tc>
        <w:tc>
          <w:tcPr>
            <w:tcW w:w="481" w:type="pct"/>
            <w:shd w:val="clear" w:color="auto" w:fill="F2F2F2"/>
            <w:vAlign w:val="center"/>
          </w:tcPr>
          <w:p w14:paraId="6B3CC1A0"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67" w:type="pct"/>
            <w:shd w:val="clear" w:color="auto" w:fill="F2F2F2"/>
            <w:vAlign w:val="center"/>
          </w:tcPr>
          <w:p w14:paraId="14DD008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min. 15</w:t>
            </w:r>
            <w:r w:rsidRPr="004E3242">
              <w:rPr>
                <w:rFonts w:ascii="Arial" w:hAnsi="Arial" w:cs="Arial"/>
                <w:spacing w:val="4"/>
                <w:sz w:val="16"/>
                <w:szCs w:val="16"/>
                <w:vertAlign w:val="superscript"/>
              </w:rPr>
              <w:footnoteReference w:id="30"/>
            </w:r>
          </w:p>
        </w:tc>
        <w:tc>
          <w:tcPr>
            <w:tcW w:w="511" w:type="pct"/>
            <w:shd w:val="clear" w:color="auto" w:fill="F2F2F2"/>
            <w:vAlign w:val="center"/>
          </w:tcPr>
          <w:p w14:paraId="7D6AEA9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GUS</w:t>
            </w:r>
          </w:p>
        </w:tc>
        <w:tc>
          <w:tcPr>
            <w:tcW w:w="724" w:type="pct"/>
            <w:shd w:val="clear" w:color="auto" w:fill="F2F2F2"/>
            <w:vAlign w:val="center"/>
          </w:tcPr>
          <w:p w14:paraId="09B602F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3609760C" w14:textId="77777777" w:rsidR="004E3242" w:rsidRPr="004E3242" w:rsidRDefault="004E3242" w:rsidP="004E3242">
      <w:pPr>
        <w:spacing w:after="120" w:line="280" w:lineRule="atLeast"/>
        <w:jc w:val="both"/>
        <w:rPr>
          <w:rFonts w:ascii="Arial" w:hAnsi="Arial" w:cs="Arial"/>
          <w:bCs/>
          <w:color w:val="76923C"/>
          <w:spacing w:val="4"/>
          <w:szCs w:val="20"/>
        </w:rPr>
      </w:pPr>
    </w:p>
    <w:p w14:paraId="2402755D"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Zakres interwencji</w:t>
      </w:r>
    </w:p>
    <w:p w14:paraId="0D5D43CF" w14:textId="22453DAF" w:rsid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 ramach działań związanych z inwestycjami w odnawialne źródła energii planuje się skierować wsparcie na realizację projektów inwestycyjnych dotyczących wytwarzania energii z odnawialnych źródeł wraz z podłączeniem tych źródeł do sieci elektroenergetycznych umożliwiających przyłączenia jednostek wytwarzania energii elektrycznej ze źródeł odnawialnych do KSE. Podział interwencji pomiędzy poziomem krajowym a regionalnym w zakresie OZE będzie zależny od zainstalowanej mocy jednostki OZE. Wsparcie w ramach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przewiduje budowę jednostek o większej mocy</w:t>
      </w:r>
      <w:r w:rsidRPr="004E3242">
        <w:rPr>
          <w:rFonts w:ascii="Arial" w:hAnsi="Arial" w:cs="Arial"/>
          <w:spacing w:val="4"/>
          <w:sz w:val="20"/>
          <w:szCs w:val="20"/>
          <w:vertAlign w:val="superscript"/>
        </w:rPr>
        <w:footnoteReference w:id="31"/>
      </w:r>
      <w:r w:rsidRPr="004E3242">
        <w:rPr>
          <w:rFonts w:ascii="Arial" w:hAnsi="Arial" w:cs="Arial"/>
          <w:spacing w:val="4"/>
          <w:sz w:val="20"/>
          <w:szCs w:val="20"/>
        </w:rPr>
        <w:t xml:space="preserve"> wytwarzania energii wykorzystujących energię wiatru, biomasę</w:t>
      </w:r>
      <w:r w:rsidR="00EA4B27">
        <w:rPr>
          <w:rFonts w:ascii="Arial" w:hAnsi="Arial" w:cs="Arial"/>
          <w:spacing w:val="4"/>
          <w:sz w:val="20"/>
          <w:szCs w:val="20"/>
        </w:rPr>
        <w:t>,</w:t>
      </w:r>
      <w:r w:rsidRPr="004E3242">
        <w:rPr>
          <w:rFonts w:ascii="Arial" w:hAnsi="Arial" w:cs="Arial"/>
          <w:spacing w:val="4"/>
          <w:sz w:val="20"/>
          <w:szCs w:val="20"/>
        </w:rPr>
        <w:t xml:space="preserve"> biogaz</w:t>
      </w:r>
      <w:r w:rsidR="00EA4B27">
        <w:rPr>
          <w:rFonts w:ascii="Arial" w:hAnsi="Arial" w:cs="Arial"/>
          <w:spacing w:val="4"/>
          <w:sz w:val="20"/>
          <w:szCs w:val="20"/>
        </w:rPr>
        <w:t xml:space="preserve"> oraz</w:t>
      </w:r>
      <w:r w:rsidR="00EA4B27" w:rsidRPr="00EA4B27">
        <w:rPr>
          <w:rFonts w:ascii="Arial" w:hAnsi="Arial" w:cs="Arial"/>
          <w:spacing w:val="4"/>
          <w:sz w:val="20"/>
          <w:szCs w:val="20"/>
        </w:rPr>
        <w:t xml:space="preserve"> </w:t>
      </w:r>
      <w:r w:rsidR="00447DB8">
        <w:rPr>
          <w:rFonts w:ascii="Arial" w:hAnsi="Arial" w:cs="Arial"/>
          <w:spacing w:val="4"/>
          <w:sz w:val="20"/>
          <w:szCs w:val="20"/>
        </w:rPr>
        <w:t xml:space="preserve"> </w:t>
      </w:r>
      <w:r w:rsidRPr="004E3242">
        <w:rPr>
          <w:rFonts w:ascii="Arial" w:hAnsi="Arial" w:cs="Arial"/>
          <w:spacing w:val="4"/>
          <w:sz w:val="20"/>
          <w:szCs w:val="20"/>
        </w:rPr>
        <w:t xml:space="preserve">jednostek OZE wykorzystujących energię słońca, geotermii oraz wody (wyłącznie na istniejących budowlach piętrzących, wyposażonych w hydroelektrownie, przy jednoczesnym zapewnieniu pełnej drożności budowli dla przemieszczeń fauny wodnej). Ponadto w przypadku wsparcia projektów dotyczących jednostek OZE wykorzystujących wyłącznie energię wody zastosowanie mają warunki dotyczące projektów mogących mieć wpływ na stan wód, które szczegółowo zostały opisane w CT 5 i CT 7. Biomasa, która może być wykorzystywana do produkcji energii, stanowić będzie przede wszystkim produkty odpadowe z rolnictwa, leśnictwa, przemysłu drzewnego i spożywczego oraz odpady komunalne i osady ściekowe przy zachowaniu zasady zrównoważonego rozwoju oraz z uwzględnieniem potrzeby ograniczenia emisji substancji </w:t>
      </w:r>
      <w:r w:rsidRPr="004E3242">
        <w:rPr>
          <w:rFonts w:ascii="Arial" w:hAnsi="Arial" w:cs="Arial"/>
          <w:spacing w:val="4"/>
          <w:sz w:val="20"/>
          <w:szCs w:val="20"/>
        </w:rPr>
        <w:lastRenderedPageBreak/>
        <w:t>zanieczyszczających do środowiska, przede wszystkim dwutlenku węgla (CO</w:t>
      </w:r>
      <w:r w:rsidRPr="004E3242">
        <w:rPr>
          <w:rFonts w:ascii="Arial" w:hAnsi="Arial" w:cs="Arial"/>
          <w:spacing w:val="4"/>
          <w:sz w:val="20"/>
          <w:szCs w:val="20"/>
          <w:vertAlign w:val="subscript"/>
        </w:rPr>
        <w:t>2</w:t>
      </w:r>
      <w:r w:rsidRPr="004E3242">
        <w:rPr>
          <w:rFonts w:ascii="Arial" w:hAnsi="Arial" w:cs="Arial"/>
          <w:spacing w:val="4"/>
          <w:sz w:val="20"/>
          <w:szCs w:val="20"/>
        </w:rPr>
        <w:t>), dwutlenku siarki (SO</w:t>
      </w:r>
      <w:r w:rsidRPr="004E3242">
        <w:rPr>
          <w:rFonts w:ascii="Arial" w:hAnsi="Arial" w:cs="Arial"/>
          <w:spacing w:val="4"/>
          <w:sz w:val="20"/>
          <w:szCs w:val="20"/>
          <w:vertAlign w:val="subscript"/>
        </w:rPr>
        <w:t>2</w:t>
      </w:r>
      <w:r w:rsidRPr="004E3242">
        <w:rPr>
          <w:rFonts w:ascii="Arial" w:hAnsi="Arial" w:cs="Arial"/>
          <w:spacing w:val="4"/>
          <w:sz w:val="20"/>
          <w:szCs w:val="20"/>
        </w:rPr>
        <w:t xml:space="preserve">) i pyłu oraz popiołu lotnego i żużla. </w:t>
      </w:r>
    </w:p>
    <w:p w14:paraId="555C1526" w14:textId="085A69F0" w:rsidR="0012591D" w:rsidRPr="004E3242" w:rsidRDefault="0012591D" w:rsidP="004E3242">
      <w:pPr>
        <w:autoSpaceDE w:val="0"/>
        <w:autoSpaceDN w:val="0"/>
        <w:adjustRightInd w:val="0"/>
        <w:spacing w:before="120" w:after="120"/>
        <w:jc w:val="both"/>
        <w:rPr>
          <w:rFonts w:ascii="Arial" w:hAnsi="Arial" w:cs="Arial"/>
          <w:spacing w:val="4"/>
          <w:sz w:val="20"/>
          <w:szCs w:val="20"/>
        </w:rPr>
      </w:pPr>
      <w:r>
        <w:rPr>
          <w:rFonts w:ascii="Arial" w:hAnsi="Arial" w:cs="Arial"/>
          <w:spacing w:val="4"/>
          <w:sz w:val="20"/>
          <w:szCs w:val="20"/>
        </w:rPr>
        <w:t xml:space="preserve">W przypadku energii słonecznej </w:t>
      </w:r>
      <w:r w:rsidRPr="00600743">
        <w:rPr>
          <w:rFonts w:ascii="Arial" w:hAnsi="Arial" w:cs="Arial"/>
          <w:spacing w:val="4"/>
          <w:sz w:val="20"/>
          <w:szCs w:val="20"/>
        </w:rPr>
        <w:t>plan</w:t>
      </w:r>
      <w:r>
        <w:rPr>
          <w:rFonts w:ascii="Arial" w:hAnsi="Arial" w:cs="Arial"/>
          <w:spacing w:val="4"/>
          <w:sz w:val="20"/>
          <w:szCs w:val="20"/>
        </w:rPr>
        <w:t xml:space="preserve">owane jest </w:t>
      </w:r>
      <w:r w:rsidRPr="00600743">
        <w:rPr>
          <w:rFonts w:ascii="Arial" w:hAnsi="Arial" w:cs="Arial"/>
          <w:spacing w:val="4"/>
          <w:sz w:val="20"/>
          <w:szCs w:val="20"/>
        </w:rPr>
        <w:t>skierowa</w:t>
      </w:r>
      <w:r>
        <w:rPr>
          <w:rFonts w:ascii="Arial" w:hAnsi="Arial" w:cs="Arial"/>
          <w:spacing w:val="4"/>
          <w:sz w:val="20"/>
          <w:szCs w:val="20"/>
        </w:rPr>
        <w:t xml:space="preserve">nie również </w:t>
      </w:r>
      <w:r w:rsidRPr="00600743">
        <w:rPr>
          <w:rFonts w:ascii="Arial" w:hAnsi="Arial" w:cs="Arial"/>
          <w:spacing w:val="4"/>
          <w:sz w:val="20"/>
          <w:szCs w:val="20"/>
        </w:rPr>
        <w:t>wsparci</w:t>
      </w:r>
      <w:r>
        <w:rPr>
          <w:rFonts w:ascii="Arial" w:hAnsi="Arial" w:cs="Arial"/>
          <w:spacing w:val="4"/>
          <w:sz w:val="20"/>
          <w:szCs w:val="20"/>
        </w:rPr>
        <w:t>a</w:t>
      </w:r>
      <w:r w:rsidRPr="00600743">
        <w:rPr>
          <w:rFonts w:ascii="Arial" w:hAnsi="Arial" w:cs="Arial"/>
          <w:spacing w:val="4"/>
          <w:sz w:val="20"/>
          <w:szCs w:val="20"/>
        </w:rPr>
        <w:t xml:space="preserve"> na realizację projektów inwestycyjnych dotyczących instalacji OZE do produkcji energii elektrycznej przez osoby fizyczne w budynkach mieszkalnych</w:t>
      </w:r>
      <w:r>
        <w:rPr>
          <w:rFonts w:ascii="Arial" w:hAnsi="Arial" w:cs="Arial"/>
          <w:spacing w:val="4"/>
          <w:sz w:val="20"/>
          <w:szCs w:val="20"/>
        </w:rPr>
        <w:t xml:space="preserve">, w ramach projektu grantowego - jako działanie wzmacniające efekt XI osi </w:t>
      </w:r>
      <w:proofErr w:type="spellStart"/>
      <w:r>
        <w:rPr>
          <w:rFonts w:ascii="Arial" w:hAnsi="Arial" w:cs="Arial"/>
          <w:spacing w:val="4"/>
          <w:sz w:val="20"/>
          <w:szCs w:val="20"/>
        </w:rPr>
        <w:t>POIiŚ</w:t>
      </w:r>
      <w:proofErr w:type="spellEnd"/>
      <w:r>
        <w:rPr>
          <w:rFonts w:ascii="Arial" w:hAnsi="Arial" w:cs="Arial"/>
          <w:spacing w:val="4"/>
          <w:sz w:val="20"/>
          <w:szCs w:val="20"/>
        </w:rPr>
        <w:t xml:space="preserve">. </w:t>
      </w:r>
      <w:r w:rsidRPr="00600743">
        <w:rPr>
          <w:rFonts w:ascii="Arial" w:hAnsi="Arial" w:cs="Arial"/>
          <w:spacing w:val="4"/>
          <w:sz w:val="20"/>
          <w:szCs w:val="20"/>
        </w:rPr>
        <w:t>Finansowaniem w ramach projektu będzie mogła zostać objęta infrastruktura towarzysząca (m.in. magazyny energii, przydomowe punkty ładowania dla samochodów elektrycznych oraz systemy zarządzania energią w domach), która będzie zwiększała świadomość sposobu zużywania energii wyprodukowanej w instalacji PV oraz będzie promowała rozwój zeroemisyjnych środków transportu</w:t>
      </w:r>
      <w:r>
        <w:rPr>
          <w:rFonts w:ascii="Arial" w:hAnsi="Arial" w:cs="Arial"/>
          <w:spacing w:val="4"/>
          <w:sz w:val="20"/>
          <w:szCs w:val="20"/>
        </w:rPr>
        <w:t>.</w:t>
      </w:r>
    </w:p>
    <w:p w14:paraId="4DFF1991"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Wybór typów OZE wynika z zapisów </w:t>
      </w:r>
      <w:r w:rsidRPr="004E3242">
        <w:rPr>
          <w:rFonts w:ascii="Arial" w:hAnsi="Arial" w:cs="Arial"/>
          <w:i/>
          <w:spacing w:val="4"/>
          <w:sz w:val="20"/>
          <w:szCs w:val="20"/>
        </w:rPr>
        <w:t xml:space="preserve">Krajowego Planu Działania w zakresie energii ze źródeł odnawialnych. </w:t>
      </w:r>
      <w:r w:rsidRPr="004E3242">
        <w:rPr>
          <w:rFonts w:ascii="Arial" w:hAnsi="Arial" w:cs="Arial"/>
          <w:spacing w:val="4"/>
          <w:sz w:val="20"/>
          <w:szCs w:val="20"/>
        </w:rPr>
        <w:t xml:space="preserve">Struktura rodzajów OZE, które otrzymają wsparcie ze środków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wyklaruje się po rozstrzygnięciu konkursów. </w:t>
      </w:r>
    </w:p>
    <w:p w14:paraId="4E84A073" w14:textId="77777777" w:rsidR="00210B0F"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Na poziomie regionalnym (RPO – EFRR)</w:t>
      </w:r>
      <w:r w:rsidRPr="004E3242" w:rsidDel="00013873">
        <w:rPr>
          <w:rFonts w:ascii="Arial" w:hAnsi="Arial" w:cs="Arial"/>
          <w:spacing w:val="4"/>
          <w:sz w:val="20"/>
          <w:szCs w:val="20"/>
        </w:rPr>
        <w:t xml:space="preserve"> </w:t>
      </w:r>
      <w:r w:rsidRPr="004E3242">
        <w:rPr>
          <w:rFonts w:ascii="Arial" w:hAnsi="Arial" w:cs="Arial"/>
          <w:spacing w:val="4"/>
          <w:sz w:val="20"/>
          <w:szCs w:val="20"/>
        </w:rPr>
        <w:t xml:space="preserve">przewiduje się wsparcie jednostek o mniejszej mocy wytwarzania, wykorzystujących energię z biomasy, biogazu, energii wiatru i słońca oraz wody, jak również ciepło przy wykorzystaniu energii geotermalnej lub słonecznej w oparciu o moc zainstalowaną elektrowni (jednostki). </w:t>
      </w:r>
    </w:p>
    <w:p w14:paraId="510C2E4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Z uwagi na niedostateczny poziom rozwoju sieci elektroenergetycznej w Polsce, w stosunku do nagłego wzrostu potrzeb </w:t>
      </w:r>
      <w:proofErr w:type="spellStart"/>
      <w:r w:rsidRPr="004E3242">
        <w:rPr>
          <w:rFonts w:ascii="Arial" w:hAnsi="Arial" w:cs="Arial"/>
          <w:spacing w:val="4"/>
          <w:sz w:val="20"/>
          <w:szCs w:val="20"/>
        </w:rPr>
        <w:t>przesyłu</w:t>
      </w:r>
      <w:proofErr w:type="spellEnd"/>
      <w:r w:rsidRPr="004E3242">
        <w:rPr>
          <w:rFonts w:ascii="Arial" w:hAnsi="Arial" w:cs="Arial"/>
          <w:spacing w:val="4"/>
          <w:sz w:val="20"/>
          <w:szCs w:val="20"/>
        </w:rPr>
        <w:t xml:space="preserve"> mocy (wynikających z planowanych inwestycji w zakresie OZE), w ramach osi przewiduje się, że wsparcie zostanie skierowane na projekty dotyczące budowy oraz przebudowy sieci umożliwiających przyłączanie jednostek wytwarzania energii z OZE do Krajowego Systemu Elektroenergetycznego (projekty Operatora Systemu Przesyłowego) oraz sieci dystrybucyjnej </w:t>
      </w:r>
      <w:r w:rsidR="00270E85">
        <w:rPr>
          <w:rFonts w:ascii="Arial" w:hAnsi="Arial" w:cs="Arial"/>
          <w:spacing w:val="4"/>
          <w:sz w:val="20"/>
          <w:szCs w:val="20"/>
        </w:rPr>
        <w:br/>
      </w:r>
      <w:r w:rsidRPr="004E3242">
        <w:rPr>
          <w:rFonts w:ascii="Arial" w:hAnsi="Arial" w:cs="Arial"/>
          <w:spacing w:val="4"/>
          <w:sz w:val="20"/>
          <w:szCs w:val="20"/>
        </w:rPr>
        <w:t xml:space="preserve">o napięciu 110 </w:t>
      </w:r>
      <w:proofErr w:type="spellStart"/>
      <w:r w:rsidRPr="004E3242">
        <w:rPr>
          <w:rFonts w:ascii="Arial" w:hAnsi="Arial" w:cs="Arial"/>
          <w:spacing w:val="4"/>
          <w:sz w:val="20"/>
          <w:szCs w:val="20"/>
        </w:rPr>
        <w:t>kV</w:t>
      </w:r>
      <w:proofErr w:type="spellEnd"/>
      <w:r w:rsidRPr="004E3242">
        <w:rPr>
          <w:rFonts w:ascii="Arial" w:hAnsi="Arial" w:cs="Arial"/>
          <w:spacing w:val="4"/>
          <w:sz w:val="20"/>
          <w:szCs w:val="20"/>
        </w:rPr>
        <w:t xml:space="preserve"> (projekty Operatorów Systemów Dystrybucyjnych). Wsparcie przyłączania OZE do Krajowego Systemu Elektroenergetycznego (KSE) uwzględniać będzie nie tylko samo przyłączenie do sieci, ale również przebudowę sieci w zakresie niezbędnym dla właściwego funkcjonowania przyłącza, tak aby możliwe było przyłączenie zgłoszonych operatorowi mocy OZE, w ramach ubiegania się o wydanie warunków przyłączenia do sieci elektroenergetycznej. </w:t>
      </w:r>
    </w:p>
    <w:p w14:paraId="5B580CBE" w14:textId="77777777" w:rsidR="004E3242" w:rsidRPr="004E3242" w:rsidRDefault="004E3242" w:rsidP="004E3242">
      <w:pPr>
        <w:autoSpaceDE w:val="0"/>
        <w:autoSpaceDN w:val="0"/>
        <w:adjustRightInd w:val="0"/>
        <w:spacing w:before="120" w:after="120"/>
        <w:jc w:val="both"/>
        <w:rPr>
          <w:rFonts w:ascii="Arial" w:hAnsi="Arial" w:cs="Arial"/>
          <w:i/>
          <w:spacing w:val="4"/>
          <w:sz w:val="20"/>
          <w:szCs w:val="20"/>
        </w:rPr>
      </w:pPr>
      <w:r w:rsidRPr="004E3242">
        <w:rPr>
          <w:rFonts w:ascii="Arial" w:hAnsi="Arial" w:cs="Arial"/>
          <w:spacing w:val="4"/>
          <w:sz w:val="20"/>
          <w:szCs w:val="20"/>
        </w:rPr>
        <w:t xml:space="preserve">Inwestycje w zakresie produkcji energii z OZE przyczynią się do wzrostu poziomu wytwarzania energii z OZE oraz aktywizacji gospodarczej regionów bogatych w odnawialne źródła energii. Tym samym wsparcie w tym obszarze przyczyni się do przyspieszenia realizacji zobowiązań wynikających z dyrektywy 2009/28/WE z dnia 23 kwietnia 2009 r. </w:t>
      </w:r>
      <w:r w:rsidRPr="004E3242">
        <w:rPr>
          <w:rFonts w:ascii="Arial" w:hAnsi="Arial" w:cs="Arial"/>
          <w:i/>
          <w:spacing w:val="4"/>
          <w:sz w:val="20"/>
          <w:szCs w:val="20"/>
        </w:rPr>
        <w:t>w sprawie promowania stosowania energii ze źródeł odnawialnych</w:t>
      </w:r>
      <w:r w:rsidRPr="004E3242">
        <w:rPr>
          <w:rFonts w:ascii="Arial" w:hAnsi="Arial" w:cs="Arial"/>
          <w:spacing w:val="4"/>
          <w:sz w:val="20"/>
          <w:szCs w:val="20"/>
        </w:rPr>
        <w:t xml:space="preserve"> zmieniającą i w następstwie uchylającą dyrektywy 2001/77/WE oraz 2003/30/WE. </w:t>
      </w:r>
    </w:p>
    <w:p w14:paraId="5BEDC2A4"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bCs/>
          <w:spacing w:val="4"/>
          <w:sz w:val="20"/>
          <w:szCs w:val="20"/>
        </w:rPr>
        <w:t>Biorąc powyższe pod uwagę, przewiduje się wsparcie na budowę i przebudowę:</w:t>
      </w:r>
    </w:p>
    <w:p w14:paraId="4B5103D1" w14:textId="77777777" w:rsidR="004E3242" w:rsidRPr="004E3242" w:rsidRDefault="004E3242" w:rsidP="00B345B6">
      <w:pPr>
        <w:numPr>
          <w:ilvl w:val="0"/>
          <w:numId w:val="4"/>
        </w:num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lądowych farm wiatrowych;</w:t>
      </w:r>
    </w:p>
    <w:p w14:paraId="7E0C3486" w14:textId="77777777" w:rsidR="004E3242" w:rsidRPr="004E3242" w:rsidRDefault="004E3242" w:rsidP="00B345B6">
      <w:pPr>
        <w:numPr>
          <w:ilvl w:val="0"/>
          <w:numId w:val="4"/>
        </w:num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instalacji na biomasę;</w:t>
      </w:r>
    </w:p>
    <w:p w14:paraId="35480373" w14:textId="77777777" w:rsidR="004E3242" w:rsidRPr="004E3242" w:rsidRDefault="004E3242" w:rsidP="00B345B6">
      <w:pPr>
        <w:numPr>
          <w:ilvl w:val="0"/>
          <w:numId w:val="4"/>
        </w:num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instalacji na biogaz;</w:t>
      </w:r>
    </w:p>
    <w:p w14:paraId="26B9158A" w14:textId="53C8D385" w:rsidR="004E3242" w:rsidRDefault="004E3242" w:rsidP="00210B0F">
      <w:pPr>
        <w:numPr>
          <w:ilvl w:val="0"/>
          <w:numId w:val="4"/>
        </w:numPr>
        <w:jc w:val="both"/>
        <w:rPr>
          <w:rFonts w:ascii="Arial" w:hAnsi="Arial" w:cs="Arial"/>
          <w:spacing w:val="4"/>
          <w:sz w:val="20"/>
          <w:szCs w:val="20"/>
        </w:rPr>
      </w:pPr>
      <w:r w:rsidRPr="004E3242">
        <w:rPr>
          <w:rFonts w:ascii="Arial" w:hAnsi="Arial" w:cs="Arial"/>
          <w:spacing w:val="4"/>
          <w:sz w:val="20"/>
          <w:szCs w:val="20"/>
        </w:rPr>
        <w:t>jednostek wytwarzania energii wykorzystującej wodę i słońce oraz ciepła przy wykorzystaniu energii geotermalnej;</w:t>
      </w:r>
    </w:p>
    <w:p w14:paraId="5A6779A5" w14:textId="4EB29119" w:rsidR="001C3E8A" w:rsidRPr="004E3242" w:rsidRDefault="001C3E8A" w:rsidP="00210B0F">
      <w:pPr>
        <w:numPr>
          <w:ilvl w:val="0"/>
          <w:numId w:val="4"/>
        </w:numPr>
        <w:jc w:val="both"/>
        <w:rPr>
          <w:rFonts w:ascii="Arial" w:hAnsi="Arial" w:cs="Arial"/>
          <w:spacing w:val="4"/>
          <w:sz w:val="20"/>
          <w:szCs w:val="20"/>
        </w:rPr>
      </w:pPr>
      <w:r w:rsidRPr="00A32818">
        <w:rPr>
          <w:rFonts w:ascii="Arial" w:hAnsi="Arial" w:cs="Arial"/>
          <w:spacing w:val="4"/>
          <w:sz w:val="20"/>
          <w:szCs w:val="20"/>
        </w:rPr>
        <w:t>wsparcie programu grantowego na rozwój OZE w budynkach mieszkalnych</w:t>
      </w:r>
      <w:r>
        <w:rPr>
          <w:rFonts w:ascii="Arial" w:hAnsi="Arial" w:cs="Arial"/>
          <w:spacing w:val="4"/>
          <w:sz w:val="20"/>
          <w:szCs w:val="20"/>
        </w:rPr>
        <w:t>;</w:t>
      </w:r>
    </w:p>
    <w:p w14:paraId="257C22E8" w14:textId="77777777" w:rsidR="00102431" w:rsidRDefault="004E3242" w:rsidP="00102431">
      <w:pPr>
        <w:numPr>
          <w:ilvl w:val="0"/>
          <w:numId w:val="4"/>
        </w:numPr>
        <w:autoSpaceDE w:val="0"/>
        <w:autoSpaceDN w:val="0"/>
        <w:adjustRightInd w:val="0"/>
        <w:spacing w:before="120" w:after="120"/>
        <w:jc w:val="both"/>
        <w:rPr>
          <w:rFonts w:ascii="Arial" w:hAnsi="Arial" w:cs="Arial"/>
          <w:bCs/>
          <w:smallCaps/>
          <w:color w:val="649600"/>
          <w:spacing w:val="4"/>
          <w:sz w:val="20"/>
          <w:szCs w:val="20"/>
        </w:rPr>
      </w:pPr>
      <w:r w:rsidRPr="004E3242">
        <w:rPr>
          <w:rFonts w:ascii="Arial" w:hAnsi="Arial" w:cs="Arial"/>
          <w:spacing w:val="4"/>
          <w:sz w:val="20"/>
          <w:szCs w:val="20"/>
        </w:rPr>
        <w:t xml:space="preserve">sieci elektroenergetycznych umożliwiających przyłączenia jednostek wytwarzania energii elektrycznej ze źródeł odnawialnych do KSE. </w:t>
      </w:r>
    </w:p>
    <w:p w14:paraId="2653D49B" w14:textId="77777777" w:rsidR="00102431" w:rsidRPr="00102431" w:rsidRDefault="00102431" w:rsidP="00102431">
      <w:pPr>
        <w:autoSpaceDE w:val="0"/>
        <w:autoSpaceDN w:val="0"/>
        <w:adjustRightInd w:val="0"/>
        <w:spacing w:before="120" w:after="120"/>
        <w:jc w:val="both"/>
        <w:rPr>
          <w:rFonts w:ascii="Arial" w:hAnsi="Arial" w:cs="Arial"/>
          <w:bCs/>
          <w:smallCaps/>
          <w:color w:val="649600"/>
          <w:spacing w:val="4"/>
          <w:sz w:val="20"/>
          <w:szCs w:val="20"/>
        </w:rPr>
      </w:pPr>
    </w:p>
    <w:p w14:paraId="79100C3B"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Potencjalni beneficjenci oraz grupy docelowe</w:t>
      </w:r>
    </w:p>
    <w:p w14:paraId="77B23009" w14:textId="2AE00561"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lastRenderedPageBreak/>
        <w:t>W ramach priorytetu inwestycyjnego wsparcie przewidziane jest dla przedsiębiorców</w:t>
      </w:r>
      <w:r w:rsidR="003D287F" w:rsidRPr="003D287F">
        <w:rPr>
          <w:rFonts w:ascii="Arial" w:hAnsi="Arial" w:cs="Arial"/>
          <w:spacing w:val="4"/>
          <w:sz w:val="20"/>
          <w:szCs w:val="20"/>
        </w:rPr>
        <w:t xml:space="preserve"> oraz instytucji realizującej projekt grantowy dotyczący instalacji OZE w budynkach mieszkalnych.</w:t>
      </w:r>
      <w:r w:rsidRPr="004E3242">
        <w:rPr>
          <w:rFonts w:ascii="Arial" w:hAnsi="Arial" w:cs="Arial"/>
          <w:spacing w:val="4"/>
          <w:sz w:val="20"/>
          <w:szCs w:val="20"/>
        </w:rPr>
        <w:t xml:space="preserve">. </w:t>
      </w:r>
    </w:p>
    <w:p w14:paraId="09E9CC2C" w14:textId="0408C5DB"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Z uwagi na to, że interwencja będzie miała charakter horyzontalny i będzie dotyczyła całego kraju, grupami docelowymi wsparcia będą użytkownicy indywidualni i przedsiębiorcy korzystający </w:t>
      </w:r>
      <w:r w:rsidRPr="004E3242">
        <w:rPr>
          <w:rFonts w:ascii="Arial" w:hAnsi="Arial" w:cs="Arial"/>
          <w:spacing w:val="4"/>
          <w:sz w:val="20"/>
          <w:szCs w:val="20"/>
        </w:rPr>
        <w:br/>
        <w:t>z sieci elektroenergetycznych, gazowych (</w:t>
      </w:r>
      <w:r w:rsidR="003D287F">
        <w:rPr>
          <w:rFonts w:ascii="Arial" w:hAnsi="Arial" w:cs="Arial"/>
          <w:spacing w:val="4"/>
          <w:sz w:val="20"/>
          <w:szCs w:val="20"/>
        </w:rPr>
        <w:t xml:space="preserve">w tym </w:t>
      </w:r>
      <w:r w:rsidRPr="004E3242">
        <w:rPr>
          <w:rFonts w:ascii="Arial" w:hAnsi="Arial" w:cs="Arial"/>
          <w:spacing w:val="4"/>
          <w:sz w:val="20"/>
          <w:szCs w:val="20"/>
        </w:rPr>
        <w:t>w zakresie biogazu) i ciepłowniczych</w:t>
      </w:r>
      <w:r w:rsidR="003D287F" w:rsidRPr="003D287F">
        <w:rPr>
          <w:rFonts w:ascii="Arial" w:hAnsi="Arial" w:cs="Arial"/>
          <w:spacing w:val="4"/>
          <w:sz w:val="20"/>
          <w:szCs w:val="20"/>
        </w:rPr>
        <w:t xml:space="preserve"> oraz osoby fizyczne (w przypadku projektu grantowego dotyczącego instalacji OZE w budynkach mieszkalnych)</w:t>
      </w:r>
      <w:r w:rsidRPr="004E3242">
        <w:rPr>
          <w:rFonts w:ascii="Arial" w:hAnsi="Arial" w:cs="Arial"/>
          <w:spacing w:val="4"/>
          <w:sz w:val="20"/>
          <w:szCs w:val="20"/>
        </w:rPr>
        <w:t>.</w:t>
      </w:r>
    </w:p>
    <w:p w14:paraId="694A740C"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Terytorialny obszar realizacji</w:t>
      </w:r>
    </w:p>
    <w:p w14:paraId="6852D5CF"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Rozwój energetyki odnawialnej zależeć będzie od uwarunkowań terytorialnych. Wsparcie dla energii z danego źródła będzie zależało od istnienia na danym obszarze odpowiednich zasobów naturalnych. Zgodnie z zapisami </w:t>
      </w:r>
      <w:r w:rsidRPr="004E3242">
        <w:rPr>
          <w:rFonts w:ascii="Arial" w:hAnsi="Arial" w:cs="Arial"/>
          <w:i/>
          <w:spacing w:val="4"/>
          <w:sz w:val="20"/>
          <w:szCs w:val="20"/>
        </w:rPr>
        <w:t>Koncepcji Przestrzennego Zagospodarowania Kraju do roku 2030</w:t>
      </w:r>
      <w:r w:rsidRPr="004E3242">
        <w:rPr>
          <w:rFonts w:ascii="Arial" w:hAnsi="Arial" w:cs="Arial"/>
          <w:spacing w:val="4"/>
          <w:sz w:val="20"/>
          <w:szCs w:val="20"/>
        </w:rPr>
        <w:t xml:space="preserve"> dla rozwoju energetyki wiatrowej najlepsze obszary występują w północnej części Polski, najlepsze warunki do wykorzystania energii słonecznej występują w części województwa lubelskiego, południowo-zachodniej części województwa podlaskiego, wschodniej oraz zachodniej części Mazowsza, a także na Wybrzeżu Gdańskim, natomiast najlepsze warunki dla geotermii znajdują się w północno-zachodniej Polsce. Rozwój energetyki odnawialnej będzie dotyczył </w:t>
      </w:r>
      <w:r w:rsidRPr="004E3242">
        <w:rPr>
          <w:rFonts w:ascii="Arial" w:hAnsi="Arial" w:cs="Arial"/>
          <w:spacing w:val="4"/>
          <w:sz w:val="20"/>
          <w:szCs w:val="20"/>
        </w:rPr>
        <w:br/>
        <w:t xml:space="preserve">w pierwszym rzędzie obszarów i stref określonych w planach zagospodarowania przestrzennego województw. W planach tych zostaną również wyznaczone strefy zakazu wykorzystania lub ograniczonego rozwoju (wraz z określeniem rodzaju i zakresu tego ograniczenia) różnych form energetyki odnawialnej. </w:t>
      </w:r>
    </w:p>
    <w:p w14:paraId="4CE16427" w14:textId="4857F274" w:rsidR="004E3242" w:rsidRDefault="004E3242" w:rsidP="004E3242">
      <w:pPr>
        <w:autoSpaceDE w:val="0"/>
        <w:autoSpaceDN w:val="0"/>
        <w:adjustRightInd w:val="0"/>
        <w:spacing w:before="120" w:after="120"/>
        <w:jc w:val="both"/>
        <w:rPr>
          <w:rFonts w:ascii="Arial" w:hAnsi="Arial" w:cs="Arial"/>
          <w:i/>
          <w:color w:val="FF0000"/>
          <w:spacing w:val="4"/>
          <w:sz w:val="20"/>
          <w:szCs w:val="20"/>
        </w:rPr>
      </w:pPr>
      <w:r w:rsidRPr="004E3242">
        <w:rPr>
          <w:rFonts w:ascii="Arial" w:hAnsi="Arial" w:cs="Arial"/>
          <w:spacing w:val="4"/>
          <w:sz w:val="20"/>
          <w:szCs w:val="20"/>
        </w:rPr>
        <w:t xml:space="preserve">Realizacja inwestycji w zakresie energetyki odnawialnej, w tym sieci elektroenergetycznych dla odnawialnych źródeł energii jest korzystna dla obszarów wiejskich, gdzie pobudza lokalny rozwój gospodarczy. W Polsce są to zazwyczaj obszary o największym bezrobociu oraz najsłabiej działającej infrastrukturze zaopatrzenia w energię. Wykorzystanie odnawialnych źródeł energii może być szansą wyrównania warunków rozwoju, zwłaszcza na obszarach wiejskich. Zróżnicowanie zasobów obszarów wiejskich ma szerokie możliwości kreowania innowacji, rozwoju i wykorzystania odnawialnych źródeł energii, a także działalności pozarolniczej. Realizacja priorytetu inwestycyjnego będzie miała istotny wymiar makroregionalny, wpisując się bezpośrednio w cele SUE RMB przyjęte w ramach Obszaru Priorytetowego ENERGY </w:t>
      </w:r>
      <w:r w:rsidRPr="004E3242">
        <w:rPr>
          <w:rFonts w:ascii="Arial" w:hAnsi="Arial" w:cs="Arial"/>
          <w:i/>
          <w:spacing w:val="4"/>
          <w:sz w:val="20"/>
          <w:szCs w:val="20"/>
        </w:rPr>
        <w:t>Poprawa dostępu do wydajnych oraz bezpiecznych rynków energii</w:t>
      </w:r>
      <w:r w:rsidRPr="004E3242">
        <w:rPr>
          <w:rFonts w:ascii="Arial" w:hAnsi="Arial" w:cs="Arial"/>
          <w:i/>
          <w:color w:val="FF0000"/>
          <w:spacing w:val="4"/>
          <w:sz w:val="20"/>
          <w:szCs w:val="20"/>
        </w:rPr>
        <w:t>.</w:t>
      </w:r>
    </w:p>
    <w:p w14:paraId="70FD1B0A" w14:textId="366D79BE" w:rsidR="00D810B0" w:rsidRPr="00D810B0" w:rsidRDefault="00D810B0" w:rsidP="00D810B0">
      <w:pPr>
        <w:spacing w:before="120" w:after="120"/>
        <w:jc w:val="both"/>
        <w:rPr>
          <w:rFonts w:ascii="Arial" w:hAnsi="Arial" w:cs="Arial"/>
          <w:spacing w:val="4"/>
          <w:sz w:val="20"/>
          <w:szCs w:val="20"/>
        </w:rPr>
      </w:pPr>
      <w:r w:rsidRPr="00600743">
        <w:rPr>
          <w:rFonts w:ascii="Arial" w:hAnsi="Arial" w:cs="Arial"/>
          <w:spacing w:val="4"/>
          <w:sz w:val="20"/>
          <w:szCs w:val="20"/>
        </w:rPr>
        <w:t>Natomiast rozwój OZE w budynkach mieszk</w:t>
      </w:r>
      <w:r>
        <w:rPr>
          <w:rFonts w:ascii="Arial" w:hAnsi="Arial" w:cs="Arial"/>
          <w:spacing w:val="4"/>
          <w:sz w:val="20"/>
          <w:szCs w:val="20"/>
        </w:rPr>
        <w:t>alnych na obszarze całego kraju</w:t>
      </w:r>
      <w:r w:rsidRPr="00600743">
        <w:rPr>
          <w:rFonts w:ascii="Arial" w:hAnsi="Arial" w:cs="Arial"/>
          <w:spacing w:val="4"/>
          <w:sz w:val="20"/>
          <w:szCs w:val="20"/>
        </w:rPr>
        <w:t xml:space="preserve"> przyczyni się do zwiększenia udziału odnawialnych źródeł energii na poziomie gospodarstw domowych oraz do obniżenia emisji gazów cieplarnianych z sektora elektroenergetycznego.</w:t>
      </w:r>
    </w:p>
    <w:p w14:paraId="7DCC12F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19009607"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pacing w:val="4"/>
          <w:sz w:val="20"/>
          <w:szCs w:val="20"/>
        </w:rPr>
        <w:t xml:space="preserve">W ramach priorytetu inwestycyjnego </w:t>
      </w:r>
      <w:r w:rsidRPr="004E3242">
        <w:rPr>
          <w:rFonts w:ascii="Arial" w:hAnsi="Arial" w:cs="Arial"/>
          <w:sz w:val="20"/>
          <w:szCs w:val="20"/>
        </w:rPr>
        <w:t>wsparciem objęte zostaną projekty wyłaniane w trybie konkursowym oraz pozakonkursowym</w:t>
      </w:r>
      <w:r w:rsidR="00AE622C" w:rsidRPr="00AE622C">
        <w:rPr>
          <w:rFonts w:ascii="Arial" w:hAnsi="Arial" w:cs="Arial"/>
          <w:sz w:val="20"/>
          <w:szCs w:val="20"/>
        </w:rPr>
        <w:t xml:space="preserve">. </w:t>
      </w:r>
      <w:r w:rsidRPr="004E3242">
        <w:rPr>
          <w:rFonts w:ascii="Arial" w:hAnsi="Arial" w:cs="Arial"/>
          <w:sz w:val="20"/>
          <w:szCs w:val="20"/>
        </w:rPr>
        <w:t xml:space="preserve">Podstawowym trybem wyboru będzie tryb konkursowy. </w:t>
      </w:r>
    </w:p>
    <w:p w14:paraId="46884D9B" w14:textId="655C3D0A" w:rsid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Trybem pozakonkursowym w tzw. formule </w:t>
      </w:r>
      <w:proofErr w:type="spellStart"/>
      <w:r w:rsidRPr="004E3242">
        <w:rPr>
          <w:rFonts w:ascii="Arial" w:hAnsi="Arial" w:cs="Arial"/>
          <w:i/>
          <w:sz w:val="20"/>
          <w:szCs w:val="20"/>
        </w:rPr>
        <w:t>project</w:t>
      </w:r>
      <w:proofErr w:type="spellEnd"/>
      <w:r w:rsidRPr="004E3242">
        <w:rPr>
          <w:rFonts w:ascii="Arial" w:hAnsi="Arial" w:cs="Arial"/>
          <w:i/>
          <w:sz w:val="20"/>
          <w:szCs w:val="20"/>
        </w:rPr>
        <w:t xml:space="preserve"> </w:t>
      </w:r>
      <w:proofErr w:type="spellStart"/>
      <w:r w:rsidRPr="004E3242">
        <w:rPr>
          <w:rFonts w:ascii="Arial" w:hAnsi="Arial" w:cs="Arial"/>
          <w:i/>
          <w:sz w:val="20"/>
          <w:szCs w:val="20"/>
        </w:rPr>
        <w:t>pipeline</w:t>
      </w:r>
      <w:proofErr w:type="spellEnd"/>
      <w:r w:rsidR="00D810B0" w:rsidRPr="00D810B0">
        <w:rPr>
          <w:rFonts w:ascii="Arial" w:hAnsi="Arial" w:cs="Arial"/>
          <w:sz w:val="20"/>
          <w:szCs w:val="20"/>
        </w:rPr>
        <w:t xml:space="preserve"> </w:t>
      </w:r>
      <w:r w:rsidR="00D810B0" w:rsidRPr="004E3242">
        <w:rPr>
          <w:rFonts w:ascii="Arial" w:hAnsi="Arial" w:cs="Arial"/>
          <w:sz w:val="20"/>
          <w:szCs w:val="20"/>
        </w:rPr>
        <w:t xml:space="preserve">objęte zostaną projekty </w:t>
      </w:r>
      <w:r w:rsidR="00D810B0">
        <w:rPr>
          <w:rFonts w:ascii="Arial" w:hAnsi="Arial" w:cs="Arial"/>
          <w:sz w:val="20"/>
          <w:szCs w:val="20"/>
        </w:rPr>
        <w:t>w zakresie</w:t>
      </w:r>
      <w:r w:rsidRPr="004E3242">
        <w:rPr>
          <w:rFonts w:ascii="Arial" w:hAnsi="Arial" w:cs="Arial"/>
          <w:sz w:val="20"/>
          <w:szCs w:val="20"/>
        </w:rPr>
        <w:t xml:space="preserve"> </w:t>
      </w:r>
      <w:r w:rsidRPr="004E3242">
        <w:rPr>
          <w:rFonts w:ascii="Arial" w:hAnsi="Arial" w:cs="Arial"/>
          <w:iCs/>
          <w:color w:val="000000"/>
          <w:sz w:val="20"/>
          <w:szCs w:val="20"/>
        </w:rPr>
        <w:t>promowania produkcji i dystrybucji odnawialnych źródeł energii w ramach inwestycji w obszarze sieci elektroenergetycznej</w:t>
      </w:r>
      <w:r w:rsidR="004C70B0">
        <w:rPr>
          <w:rFonts w:ascii="Arial" w:hAnsi="Arial" w:cs="Arial"/>
          <w:iCs/>
          <w:color w:val="000000"/>
          <w:sz w:val="20"/>
          <w:szCs w:val="20"/>
        </w:rPr>
        <w:t>.</w:t>
      </w:r>
      <w:r w:rsidR="00E63270" w:rsidRPr="00890DD3">
        <w:rPr>
          <w:rFonts w:ascii="Arial" w:hAnsi="Arial" w:cs="Arial"/>
          <w:sz w:val="20"/>
          <w:szCs w:val="20"/>
        </w:rPr>
        <w:t xml:space="preserve"> </w:t>
      </w:r>
      <w:r w:rsidRPr="004E3242">
        <w:rPr>
          <w:rFonts w:ascii="Arial" w:hAnsi="Arial" w:cs="Arial"/>
          <w:sz w:val="20"/>
          <w:szCs w:val="20"/>
        </w:rPr>
        <w:t xml:space="preserve">Zastosowanie trybu pozakonkursowego, ze względu na specyfikę obszaru wsparcia, umożliwi precyzyjne skierowanie środków na zdiagnozowane potrzeby dotyczące sieci elektroenergetycznej (przyłączenia do Krajowego Systemu Energetycznego) oraz przyczyni się w optymalny sposób do osiągnięcia celów priorytetu inwestycyjnego. Projekty dotyczące wytwarzania energii z OZE </w:t>
      </w:r>
      <w:r w:rsidR="00D810B0">
        <w:rPr>
          <w:rFonts w:ascii="Arial" w:hAnsi="Arial" w:cs="Arial"/>
          <w:sz w:val="20"/>
          <w:szCs w:val="20"/>
        </w:rPr>
        <w:t xml:space="preserve">o większej mocy </w:t>
      </w:r>
      <w:r w:rsidRPr="004E3242">
        <w:rPr>
          <w:rFonts w:ascii="Arial" w:hAnsi="Arial" w:cs="Arial"/>
          <w:sz w:val="20"/>
          <w:szCs w:val="20"/>
        </w:rPr>
        <w:t>oceniane będą głównie poprzez pryzmat kryterium efektywności kosztowej oraz osiągniętych efektów wpisujących się w cele osi priorytetowej. Jednym z czynników branych pod uwagę przy wyborze takich inwestycji do wsparcia, będzie koncepcja opłacalności, czyli najlepszego stosunku wielkości środków unijnych przeznaczonych na uzyskanie 1 MWh energii lub 1 MW mocy zainstalowanej wynikających z budowy danej instalacji. Poza tym o wsparciu takich projektów decydować będą także inne osiągane rezultaty w stosunku do planowanych nakładów finansowych (np. wielkość redukcji CO</w:t>
      </w:r>
      <w:r w:rsidRPr="004E3242">
        <w:rPr>
          <w:rFonts w:ascii="Arial" w:hAnsi="Arial" w:cs="Arial"/>
          <w:sz w:val="20"/>
          <w:szCs w:val="20"/>
          <w:vertAlign w:val="subscript"/>
        </w:rPr>
        <w:t>2</w:t>
      </w:r>
      <w:r w:rsidRPr="004E3242">
        <w:rPr>
          <w:rFonts w:ascii="Arial" w:hAnsi="Arial" w:cs="Arial"/>
          <w:sz w:val="20"/>
          <w:szCs w:val="20"/>
        </w:rPr>
        <w:t xml:space="preserve">). </w:t>
      </w:r>
    </w:p>
    <w:p w14:paraId="26EEAAA4" w14:textId="6A3906EC" w:rsidR="00A26EF4" w:rsidRPr="00A26EF4" w:rsidRDefault="00A26EF4" w:rsidP="00A26EF4">
      <w:pPr>
        <w:spacing w:after="120"/>
        <w:jc w:val="both"/>
        <w:rPr>
          <w:rFonts w:ascii="Arial" w:hAnsi="Arial" w:cs="Arial"/>
          <w:spacing w:val="4"/>
          <w:sz w:val="20"/>
          <w:szCs w:val="20"/>
        </w:rPr>
      </w:pPr>
      <w:r w:rsidRPr="00461CC4">
        <w:rPr>
          <w:rFonts w:ascii="Arial" w:hAnsi="Arial" w:cs="Arial"/>
          <w:spacing w:val="4"/>
          <w:sz w:val="20"/>
          <w:szCs w:val="20"/>
        </w:rPr>
        <w:lastRenderedPageBreak/>
        <w:t xml:space="preserve">W przypadku projektu grantowego, </w:t>
      </w:r>
      <w:proofErr w:type="spellStart"/>
      <w:r w:rsidRPr="00461CC4">
        <w:rPr>
          <w:rFonts w:ascii="Arial" w:hAnsi="Arial" w:cs="Arial"/>
          <w:spacing w:val="4"/>
          <w:sz w:val="20"/>
          <w:szCs w:val="20"/>
        </w:rPr>
        <w:t>grantobiorcy</w:t>
      </w:r>
      <w:proofErr w:type="spellEnd"/>
      <w:r w:rsidRPr="00461CC4">
        <w:rPr>
          <w:rFonts w:ascii="Arial" w:hAnsi="Arial" w:cs="Arial"/>
          <w:spacing w:val="4"/>
          <w:sz w:val="20"/>
          <w:szCs w:val="20"/>
        </w:rPr>
        <w:t xml:space="preserve"> wybierani będą w drodze otwartego naboru, ogłoszonego przez beneficjenta projektu grantowego</w:t>
      </w:r>
      <w:r>
        <w:rPr>
          <w:rFonts w:ascii="Arial" w:hAnsi="Arial" w:cs="Arial"/>
          <w:spacing w:val="4"/>
          <w:sz w:val="20"/>
          <w:szCs w:val="20"/>
        </w:rPr>
        <w:t xml:space="preserve"> – wybieranego w trybie pozakonkursowym.</w:t>
      </w:r>
    </w:p>
    <w:p w14:paraId="7615FC9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będzie obligatoryjnego wymogu dla projektów budowy/przebudowy sieci elektroenergetycznej, dotyczącego stosowania funkcjonalności inteligentnych sieci elektroenergetycznych, tzw. (</w:t>
      </w:r>
      <w:r w:rsidRPr="004E3242">
        <w:rPr>
          <w:rFonts w:ascii="Arial" w:hAnsi="Arial" w:cs="Arial"/>
          <w:i/>
          <w:spacing w:val="4"/>
          <w:sz w:val="20"/>
          <w:szCs w:val="20"/>
        </w:rPr>
        <w:t xml:space="preserve">smart </w:t>
      </w:r>
      <w:proofErr w:type="spellStart"/>
      <w:r w:rsidRPr="004E3242">
        <w:rPr>
          <w:rFonts w:ascii="Arial" w:hAnsi="Arial" w:cs="Arial"/>
          <w:i/>
          <w:spacing w:val="4"/>
          <w:sz w:val="20"/>
          <w:szCs w:val="20"/>
        </w:rPr>
        <w:t>grid</w:t>
      </w:r>
      <w:proofErr w:type="spellEnd"/>
      <w:r w:rsidRPr="004E3242">
        <w:rPr>
          <w:rFonts w:ascii="Arial" w:hAnsi="Arial" w:cs="Arial"/>
          <w:i/>
          <w:spacing w:val="4"/>
          <w:sz w:val="20"/>
          <w:szCs w:val="20"/>
        </w:rPr>
        <w:t xml:space="preserve">), </w:t>
      </w:r>
      <w:r w:rsidRPr="004E3242">
        <w:rPr>
          <w:rFonts w:ascii="Arial" w:hAnsi="Arial" w:cs="Arial"/>
          <w:spacing w:val="4"/>
          <w:sz w:val="20"/>
          <w:szCs w:val="20"/>
        </w:rPr>
        <w:t>w zakresie</w:t>
      </w:r>
      <w:r w:rsidRPr="004E3242">
        <w:rPr>
          <w:rFonts w:ascii="Arial" w:hAnsi="Arial" w:cs="Arial"/>
          <w:i/>
          <w:spacing w:val="4"/>
          <w:sz w:val="20"/>
          <w:szCs w:val="20"/>
        </w:rPr>
        <w:t xml:space="preserve"> </w:t>
      </w:r>
      <w:r w:rsidRPr="004E3242">
        <w:rPr>
          <w:rFonts w:ascii="Arial" w:hAnsi="Arial" w:cs="Arial"/>
          <w:spacing w:val="4"/>
          <w:sz w:val="20"/>
          <w:szCs w:val="20"/>
        </w:rPr>
        <w:t xml:space="preserve">zwiększenia możliwość przyłączania odnawialnych źródeł energii, lecz na etapie oceny premiowane będą projekty zakładające osiągnięcie wybranych funkcjonalności inteligentnych sieci elektroenergetycznych. </w:t>
      </w:r>
    </w:p>
    <w:p w14:paraId="4487F90F" w14:textId="77777777" w:rsidR="00684EE4" w:rsidRDefault="004E3242" w:rsidP="00684EE4">
      <w:pPr>
        <w:autoSpaceDE w:val="0"/>
        <w:autoSpaceDN w:val="0"/>
        <w:adjustRightInd w:val="0"/>
        <w:spacing w:before="120" w:after="120"/>
        <w:jc w:val="both"/>
        <w:rPr>
          <w:rFonts w:ascii="Arial" w:hAnsi="Arial" w:cs="Arial"/>
          <w:spacing w:val="4"/>
          <w:sz w:val="20"/>
          <w:szCs w:val="20"/>
        </w:rPr>
      </w:pPr>
      <w:r w:rsidRPr="004E3242">
        <w:rPr>
          <w:rFonts w:ascii="Arial" w:hAnsi="Arial" w:cs="Arial"/>
          <w:sz w:val="20"/>
          <w:szCs w:val="20"/>
        </w:rPr>
        <w:t>Dodatkowo w przypadku realizacji projektów (zwłaszcza dużych) wdrażanych w ramach przedmiotowego priorytetu inwestycyjnego, w trakcie oceny będą brane pod uwagę aspekty dotyczące lokalizacji tych inwestycji względem obszarów Natura 2000 (w szczególności Obszarów Specjalnej Ochrony Ptaków) oraz szlaków migracyjnych zwierząt.</w:t>
      </w:r>
      <w:r w:rsidRPr="004E3242">
        <w:rPr>
          <w:rFonts w:ascii="Arial" w:hAnsi="Arial" w:cs="Arial"/>
          <w:spacing w:val="4"/>
          <w:sz w:val="20"/>
          <w:szCs w:val="20"/>
        </w:rPr>
        <w:t xml:space="preserve"> Niezależnie od zastosowanej ścieżki (konkursowej bądź pozakonkursowej), wybór projektów do dofinansowania będzie następował w wyniku oceny poszczególnych przedsięwzięć w oparciu o obiektywne kryteria zatwierdzone przez Komitet Monitorujący. Nie przewiduje się różnicowania kryteriów wyboru projektów ze względu na tryb wyboru. Kryteria będą precyzyjne, mierzalne i obiektywne. </w:t>
      </w:r>
      <w:r w:rsidRPr="004E3242">
        <w:rPr>
          <w:rFonts w:ascii="Arial" w:hAnsi="Arial" w:cs="Arial"/>
          <w:spacing w:val="4"/>
          <w:sz w:val="20"/>
        </w:rPr>
        <w:t xml:space="preserve">Dodatkowo dopuszcza się możliwość nadania </w:t>
      </w:r>
      <w:r w:rsidRPr="004E3242">
        <w:rPr>
          <w:rFonts w:ascii="Arial" w:hAnsi="Arial" w:cs="Arial"/>
          <w:spacing w:val="4"/>
          <w:sz w:val="20"/>
          <w:szCs w:val="20"/>
        </w:rPr>
        <w:t>kryteriom merytorycznym odpowiedniej punktacji oraz określonych wag punktowych.</w:t>
      </w:r>
    </w:p>
    <w:p w14:paraId="2F6A83F3" w14:textId="77777777" w:rsidR="00684EE4" w:rsidRPr="00B345B6" w:rsidRDefault="005E530E" w:rsidP="00684EE4">
      <w:pPr>
        <w:autoSpaceDE w:val="0"/>
        <w:autoSpaceDN w:val="0"/>
        <w:adjustRightInd w:val="0"/>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2454D067"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p>
    <w:p w14:paraId="64CBD21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7A46970F"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 odniesieniu do wybranych obszarów wsparcia w ramach priorytetu inwestycyjnego przewiduje się wsparcie w formie </w:t>
      </w:r>
      <w:r w:rsidR="00210B0F" w:rsidRPr="00210B0F">
        <w:rPr>
          <w:rFonts w:ascii="Arial" w:hAnsi="Arial" w:cs="Arial"/>
          <w:spacing w:val="4"/>
          <w:sz w:val="20"/>
          <w:szCs w:val="20"/>
        </w:rPr>
        <w:t>pomocy zwrotnej udzielanej na podstawie art. 66 i 67 rozporządzenia ogólnego. Z uwagi na potrzebę stosowania jak najbardziej efektywnych form wsparcia, analizowane będą możliwości stosowania w szerszym zakresie (zarówno kwotowym, jak i przedmiotowym) zwrotnych form wsparcia. W sytuacji, w której w toku wdrażania zostanie zidentyfikowane zapotrzebowanie rynkowe na inne formy finansowania o charakterze zwrotnym, nie jest wykluczone ewentualne wykorzystanie instrumentów finansowych w rozumieniu art. 37 rozporządzenia ogólnego</w:t>
      </w:r>
      <w:r w:rsidR="00210B0F">
        <w:rPr>
          <w:rFonts w:ascii="Arial" w:hAnsi="Arial" w:cs="Arial"/>
          <w:spacing w:val="4"/>
          <w:sz w:val="20"/>
          <w:szCs w:val="20"/>
        </w:rPr>
        <w:t xml:space="preserve">. </w:t>
      </w:r>
      <w:r w:rsidRPr="004E3242">
        <w:rPr>
          <w:rFonts w:ascii="Arial" w:hAnsi="Arial" w:cs="Arial"/>
          <w:spacing w:val="4"/>
          <w:sz w:val="20"/>
          <w:szCs w:val="20"/>
        </w:rPr>
        <w:t>Przewiduje się, że priorytet inwestycyjny może zostać objęty zasadami pomocy publicznej.</w:t>
      </w:r>
    </w:p>
    <w:p w14:paraId="011E2632"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7CABF67F"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(o ile właściwe) będzie zgodny z art. 102 ust. 3 rozporządzenia ogólnego. Po przygotowaniu kompletnej dokumentacji projektowej możliwe będzie precyzyjne określenie zakresu rzeczowego oraz szacowanych kosztów tych projektów.</w:t>
      </w:r>
      <w:r w:rsidR="00270E85">
        <w:rPr>
          <w:rFonts w:ascii="Arial" w:eastAsia="Cambria" w:hAnsi="Arial" w:cs="Arial"/>
          <w:spacing w:val="4"/>
          <w:sz w:val="20"/>
          <w:szCs w:val="20"/>
        </w:rPr>
        <w:t xml:space="preserve"> </w:t>
      </w:r>
      <w:r w:rsidRPr="004E3242">
        <w:rPr>
          <w:rFonts w:ascii="Arial" w:eastAsia="Cambria" w:hAnsi="Arial" w:cs="Arial"/>
          <w:spacing w:val="4"/>
          <w:sz w:val="20"/>
          <w:szCs w:val="20"/>
        </w:rPr>
        <w:t xml:space="preserve">Realizacja dużych projektów w znaczący sposób przyczyni się do osiągnięcia celu szczegółowego priorytetu, w szczególności do zwiększenia udziału odnawialnych źródeł energii, poprzez m.in. rozwój </w:t>
      </w:r>
      <w:r w:rsidRPr="004E3242">
        <w:rPr>
          <w:rFonts w:ascii="Arial" w:eastAsia="Cambria" w:hAnsi="Arial" w:cs="Arial"/>
          <w:spacing w:val="4"/>
          <w:sz w:val="20"/>
          <w:szCs w:val="20"/>
        </w:rPr>
        <w:br/>
        <w:t>i modernizację sieci elektroenergetycznych, zapewniających możliwość efektywnego wykorzystania energii produkowanej ze źródeł odnawialnych.</w:t>
      </w:r>
    </w:p>
    <w:p w14:paraId="6C1C5807"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1669ED85" w14:textId="77777777" w:rsidR="004E3242" w:rsidRPr="004E3242" w:rsidRDefault="004E3242" w:rsidP="004E3242">
      <w:pPr>
        <w:spacing w:before="120" w:after="120"/>
        <w:jc w:val="both"/>
        <w:rPr>
          <w:rFonts w:ascii="Arial" w:hAnsi="Arial" w:cs="Arial"/>
          <w:spacing w:val="4"/>
          <w:sz w:val="20"/>
          <w:szCs w:val="20"/>
        </w:rPr>
      </w:pPr>
    </w:p>
    <w:p w14:paraId="78C9CD3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64"/>
        <w:gridCol w:w="2096"/>
        <w:gridCol w:w="1133"/>
        <w:gridCol w:w="994"/>
        <w:gridCol w:w="1135"/>
        <w:gridCol w:w="992"/>
        <w:gridCol w:w="994"/>
        <w:gridCol w:w="1378"/>
      </w:tblGrid>
      <w:tr w:rsidR="004E3242" w:rsidRPr="004E3242" w14:paraId="3F0FDD96" w14:textId="77777777" w:rsidTr="00AA7998">
        <w:trPr>
          <w:trHeight w:val="446"/>
        </w:trPr>
        <w:tc>
          <w:tcPr>
            <w:tcW w:w="304" w:type="pct"/>
            <w:shd w:val="clear" w:color="auto" w:fill="99CC00"/>
            <w:vAlign w:val="center"/>
          </w:tcPr>
          <w:p w14:paraId="70D2EF9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129" w:type="pct"/>
            <w:shd w:val="clear" w:color="auto" w:fill="99CC00"/>
            <w:vAlign w:val="center"/>
          </w:tcPr>
          <w:p w14:paraId="673ED65D"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610" w:type="pct"/>
            <w:shd w:val="clear" w:color="auto" w:fill="99CC00"/>
            <w:vAlign w:val="center"/>
          </w:tcPr>
          <w:p w14:paraId="70B28B85"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5" w:type="pct"/>
            <w:shd w:val="clear" w:color="auto" w:fill="99CC00"/>
            <w:vAlign w:val="center"/>
          </w:tcPr>
          <w:p w14:paraId="0C9F5013"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611" w:type="pct"/>
            <w:shd w:val="clear" w:color="auto" w:fill="99CC00"/>
            <w:vAlign w:val="center"/>
          </w:tcPr>
          <w:p w14:paraId="56CFABF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7804EC0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5" w:type="pct"/>
            <w:shd w:val="clear" w:color="auto" w:fill="99CC00"/>
            <w:vAlign w:val="center"/>
          </w:tcPr>
          <w:p w14:paraId="6FDEFB4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2" w:type="pct"/>
            <w:shd w:val="clear" w:color="auto" w:fill="99CC00"/>
            <w:vAlign w:val="center"/>
          </w:tcPr>
          <w:p w14:paraId="585B3BBE"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16D7BD7E" w14:textId="77777777" w:rsidTr="00AA7998">
        <w:tc>
          <w:tcPr>
            <w:tcW w:w="304" w:type="pct"/>
            <w:shd w:val="clear" w:color="auto" w:fill="F2F2F2"/>
            <w:vAlign w:val="center"/>
          </w:tcPr>
          <w:p w14:paraId="5EB49D1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1.</w:t>
            </w:r>
          </w:p>
        </w:tc>
        <w:tc>
          <w:tcPr>
            <w:tcW w:w="1129" w:type="pct"/>
            <w:shd w:val="clear" w:color="auto" w:fill="F2F2F2"/>
            <w:vAlign w:val="center"/>
          </w:tcPr>
          <w:p w14:paraId="51FBF7F0"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Szacowany roczny spadek emisji gazów cieplarnianych (CI)</w:t>
            </w:r>
          </w:p>
        </w:tc>
        <w:tc>
          <w:tcPr>
            <w:tcW w:w="610" w:type="pct"/>
            <w:shd w:val="clear" w:color="auto" w:fill="F2F2F2"/>
            <w:vAlign w:val="center"/>
          </w:tcPr>
          <w:p w14:paraId="4A6397F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tony równoważnika CO</w:t>
            </w:r>
            <w:r w:rsidRPr="004E3242">
              <w:rPr>
                <w:rFonts w:ascii="Arial" w:hAnsi="Arial" w:cs="Arial"/>
                <w:spacing w:val="4"/>
                <w:sz w:val="16"/>
                <w:szCs w:val="16"/>
                <w:vertAlign w:val="subscript"/>
              </w:rPr>
              <w:t>2</w:t>
            </w:r>
          </w:p>
        </w:tc>
        <w:tc>
          <w:tcPr>
            <w:tcW w:w="535" w:type="pct"/>
            <w:shd w:val="clear" w:color="auto" w:fill="F2F2F2"/>
            <w:vAlign w:val="center"/>
          </w:tcPr>
          <w:p w14:paraId="69C8C5A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611" w:type="pct"/>
            <w:shd w:val="clear" w:color="auto" w:fill="F2F2F2"/>
            <w:vAlign w:val="center"/>
          </w:tcPr>
          <w:p w14:paraId="56536DF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59AF3FFA" w14:textId="77777777" w:rsidR="004E3242" w:rsidRPr="004E3242" w:rsidRDefault="00CB6667"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CB6667">
              <w:rPr>
                <w:rFonts w:ascii="Arial" w:hAnsi="Arial" w:cs="Arial"/>
                <w:spacing w:val="4"/>
                <w:sz w:val="16"/>
                <w:szCs w:val="16"/>
              </w:rPr>
              <w:t>292 770</w:t>
            </w:r>
          </w:p>
        </w:tc>
        <w:tc>
          <w:tcPr>
            <w:tcW w:w="535" w:type="pct"/>
            <w:shd w:val="clear" w:color="auto" w:fill="F2F2F2"/>
            <w:vAlign w:val="center"/>
          </w:tcPr>
          <w:p w14:paraId="3336351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419F499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24A3DDA" w14:textId="77777777" w:rsidTr="00AA7998">
        <w:tc>
          <w:tcPr>
            <w:tcW w:w="304" w:type="pct"/>
            <w:shd w:val="clear" w:color="auto" w:fill="F2F2F2"/>
            <w:vAlign w:val="center"/>
          </w:tcPr>
          <w:p w14:paraId="6D8D39C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129" w:type="pct"/>
            <w:shd w:val="clear" w:color="auto" w:fill="F2F2F2"/>
            <w:vAlign w:val="center"/>
          </w:tcPr>
          <w:p w14:paraId="5DED76AE"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Dodatkowa zdolność wytwarzania energii ze źródeł odnawialnych (CI)</w:t>
            </w:r>
          </w:p>
        </w:tc>
        <w:tc>
          <w:tcPr>
            <w:tcW w:w="610" w:type="pct"/>
            <w:shd w:val="clear" w:color="auto" w:fill="F2F2F2"/>
            <w:vAlign w:val="center"/>
          </w:tcPr>
          <w:p w14:paraId="79EEDBD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MW</w:t>
            </w:r>
          </w:p>
        </w:tc>
        <w:tc>
          <w:tcPr>
            <w:tcW w:w="535" w:type="pct"/>
            <w:shd w:val="clear" w:color="auto" w:fill="F2F2F2"/>
            <w:vAlign w:val="center"/>
          </w:tcPr>
          <w:p w14:paraId="5B74666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611" w:type="pct"/>
            <w:shd w:val="clear" w:color="auto" w:fill="F2F2F2"/>
            <w:vAlign w:val="center"/>
          </w:tcPr>
          <w:p w14:paraId="1B8A3AB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20FC4804" w14:textId="77777777" w:rsidR="004E3242" w:rsidRPr="004E3242" w:rsidRDefault="00CB6667"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CB6667">
              <w:rPr>
                <w:rFonts w:ascii="Arial" w:hAnsi="Arial" w:cs="Arial"/>
                <w:spacing w:val="4"/>
                <w:sz w:val="16"/>
                <w:szCs w:val="16"/>
              </w:rPr>
              <w:t>250</w:t>
            </w:r>
          </w:p>
        </w:tc>
        <w:tc>
          <w:tcPr>
            <w:tcW w:w="535" w:type="pct"/>
            <w:shd w:val="clear" w:color="auto" w:fill="F2F2F2"/>
            <w:vAlign w:val="center"/>
          </w:tcPr>
          <w:p w14:paraId="096395C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4C74A77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09CC24B7" w14:textId="77777777" w:rsidTr="00AA7998">
        <w:tc>
          <w:tcPr>
            <w:tcW w:w="304" w:type="pct"/>
            <w:shd w:val="clear" w:color="auto" w:fill="F2F2F2"/>
            <w:vAlign w:val="center"/>
          </w:tcPr>
          <w:p w14:paraId="6533AD0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1129" w:type="pct"/>
            <w:shd w:val="clear" w:color="auto" w:fill="F2F2F2"/>
            <w:vAlign w:val="center"/>
          </w:tcPr>
          <w:p w14:paraId="0A8302A0"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Długość nowo wybudowanych lub zmodernizowanych sieci elektroenergetycznych dla odnawialnych źródeł energii</w:t>
            </w:r>
          </w:p>
        </w:tc>
        <w:tc>
          <w:tcPr>
            <w:tcW w:w="610" w:type="pct"/>
            <w:shd w:val="clear" w:color="auto" w:fill="F2F2F2"/>
            <w:vAlign w:val="center"/>
          </w:tcPr>
          <w:p w14:paraId="5F08765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km</w:t>
            </w:r>
          </w:p>
        </w:tc>
        <w:tc>
          <w:tcPr>
            <w:tcW w:w="535" w:type="pct"/>
            <w:shd w:val="clear" w:color="auto" w:fill="F2F2F2"/>
            <w:vAlign w:val="center"/>
          </w:tcPr>
          <w:p w14:paraId="62B1972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611" w:type="pct"/>
            <w:shd w:val="clear" w:color="auto" w:fill="F2F2F2"/>
            <w:vAlign w:val="center"/>
          </w:tcPr>
          <w:p w14:paraId="5200133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67EF498D" w14:textId="77777777" w:rsidR="004E3242" w:rsidRPr="004E3242" w:rsidRDefault="00CB6667"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CB6667">
              <w:rPr>
                <w:rFonts w:ascii="Arial" w:hAnsi="Arial" w:cs="Arial"/>
                <w:spacing w:val="4"/>
                <w:sz w:val="16"/>
                <w:szCs w:val="16"/>
              </w:rPr>
              <w:t>860</w:t>
            </w:r>
          </w:p>
        </w:tc>
        <w:tc>
          <w:tcPr>
            <w:tcW w:w="535" w:type="pct"/>
            <w:shd w:val="clear" w:color="auto" w:fill="F2F2F2"/>
            <w:vAlign w:val="center"/>
          </w:tcPr>
          <w:p w14:paraId="61E5951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3F96732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07B07D1" w14:textId="77777777" w:rsidTr="00AA7998">
        <w:tc>
          <w:tcPr>
            <w:tcW w:w="304" w:type="pct"/>
            <w:shd w:val="clear" w:color="auto" w:fill="F2F2F2"/>
            <w:vAlign w:val="center"/>
          </w:tcPr>
          <w:p w14:paraId="77A944E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4.</w:t>
            </w:r>
          </w:p>
        </w:tc>
        <w:tc>
          <w:tcPr>
            <w:tcW w:w="1129" w:type="pct"/>
            <w:shd w:val="clear" w:color="auto" w:fill="F2F2F2"/>
            <w:vAlign w:val="center"/>
          </w:tcPr>
          <w:p w14:paraId="33C4B273"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przedsiębiorstw otrzymujących wsparcie</w:t>
            </w:r>
          </w:p>
        </w:tc>
        <w:tc>
          <w:tcPr>
            <w:tcW w:w="610" w:type="pct"/>
            <w:shd w:val="clear" w:color="auto" w:fill="F2F2F2"/>
            <w:vAlign w:val="center"/>
          </w:tcPr>
          <w:p w14:paraId="1BFEB48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535" w:type="pct"/>
            <w:shd w:val="clear" w:color="auto" w:fill="F2F2F2"/>
            <w:vAlign w:val="center"/>
          </w:tcPr>
          <w:p w14:paraId="1560753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611" w:type="pct"/>
            <w:shd w:val="clear" w:color="auto" w:fill="F2F2F2"/>
            <w:vAlign w:val="center"/>
          </w:tcPr>
          <w:p w14:paraId="307D6E1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56F60BAD" w14:textId="77777777" w:rsidR="004E3242" w:rsidRPr="004E3242" w:rsidRDefault="00CB6667"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22</w:t>
            </w:r>
          </w:p>
        </w:tc>
        <w:tc>
          <w:tcPr>
            <w:tcW w:w="535" w:type="pct"/>
            <w:shd w:val="clear" w:color="auto" w:fill="F2F2F2"/>
            <w:vAlign w:val="center"/>
          </w:tcPr>
          <w:p w14:paraId="382ACE1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5D30B42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7AE7AEBF" w14:textId="77777777" w:rsidR="004E3242" w:rsidRPr="004E3242" w:rsidRDefault="004E3242" w:rsidP="004E3242">
      <w:pPr>
        <w:autoSpaceDE w:val="0"/>
        <w:autoSpaceDN w:val="0"/>
        <w:adjustRightInd w:val="0"/>
        <w:spacing w:before="120" w:after="120" w:line="280" w:lineRule="atLeast"/>
        <w:jc w:val="both"/>
        <w:rPr>
          <w:rFonts w:ascii="Arial" w:hAnsi="Arial" w:cs="Arial"/>
          <w:b/>
          <w:spacing w:val="4"/>
          <w:sz w:val="20"/>
          <w:szCs w:val="20"/>
        </w:rPr>
      </w:pPr>
    </w:p>
    <w:p w14:paraId="2527BCB7"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4.ii. Promowanie efektywności energetycznej i korzystania z odnawialnych źródeł energii w przedsiębiorstwach</w:t>
      </w:r>
      <w:r w:rsidRPr="004E3242" w:rsidDel="00313090">
        <w:rPr>
          <w:rFonts w:ascii="Arial" w:eastAsia="Times New Roman" w:hAnsi="Arial"/>
          <w:smallCaps/>
          <w:color w:val="669900"/>
          <w:spacing w:val="10"/>
          <w:sz w:val="24"/>
          <w:szCs w:val="24"/>
          <w:lang w:eastAsia="pl-PL"/>
        </w:rPr>
        <w:t xml:space="preserve"> </w:t>
      </w:r>
    </w:p>
    <w:p w14:paraId="007F7E8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3626479B"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Zwiększona efektywność energetyczna w przedsiębiorstwach</w:t>
      </w:r>
    </w:p>
    <w:p w14:paraId="7595C61F"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0DDE7D24"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Realizacja priorytetu inwestycyjnego przyczyni się do zwiększenia efektywności energetycznej na poziomie zużycia, zwiększając przy tym udział odnawialnych źródeł energii w bilansie energetycznym poprzez racjonalne zużycie zasobów surowców energetycznych. Wpłynie to na oszczędność energii, a jej efektywne wykorzystanie przez przedsiębiorstwa obniży koszty ich funkcjonowania. Działania w ramach przedmiotowego priorytetu wpłyną również na zmniejszenie emisyjności gospodarki</w:t>
      </w:r>
    </w:p>
    <w:p w14:paraId="2B737485" w14:textId="77777777" w:rsidR="004E3242" w:rsidRPr="004E3242" w:rsidRDefault="004E3242" w:rsidP="004E3242">
      <w:pPr>
        <w:spacing w:before="120" w:after="120"/>
        <w:jc w:val="both"/>
        <w:rPr>
          <w:rFonts w:ascii="Arial" w:hAnsi="Arial" w:cs="Arial"/>
          <w:bCs/>
          <w:smallCaps/>
          <w:color w:val="669900"/>
          <w:spacing w:val="4"/>
          <w:sz w:val="20"/>
          <w:szCs w:val="20"/>
        </w:rPr>
      </w:pPr>
    </w:p>
    <w:p w14:paraId="0749CCC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5"/>
        <w:gridCol w:w="1558"/>
        <w:gridCol w:w="992"/>
        <w:gridCol w:w="1135"/>
        <w:gridCol w:w="994"/>
        <w:gridCol w:w="852"/>
        <w:gridCol w:w="995"/>
        <w:gridCol w:w="856"/>
        <w:gridCol w:w="1369"/>
      </w:tblGrid>
      <w:tr w:rsidR="004E3242" w:rsidRPr="004E3242" w14:paraId="2BD471BF" w14:textId="77777777" w:rsidTr="00AA7998">
        <w:tc>
          <w:tcPr>
            <w:tcW w:w="288" w:type="pct"/>
            <w:shd w:val="clear" w:color="auto" w:fill="99CC00"/>
            <w:vAlign w:val="center"/>
          </w:tcPr>
          <w:p w14:paraId="3541226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839" w:type="pct"/>
            <w:shd w:val="clear" w:color="auto" w:fill="99CC00"/>
            <w:vAlign w:val="center"/>
          </w:tcPr>
          <w:p w14:paraId="1ED1301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5A2ED36C"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611" w:type="pct"/>
            <w:shd w:val="clear" w:color="auto" w:fill="99CC00"/>
            <w:vAlign w:val="center"/>
          </w:tcPr>
          <w:p w14:paraId="5171B3BF"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5" w:type="pct"/>
            <w:shd w:val="clear" w:color="auto" w:fill="99CC00"/>
            <w:vAlign w:val="center"/>
          </w:tcPr>
          <w:p w14:paraId="1209743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9" w:type="pct"/>
            <w:shd w:val="clear" w:color="auto" w:fill="99CC00"/>
            <w:vAlign w:val="center"/>
          </w:tcPr>
          <w:p w14:paraId="0FBD177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6" w:type="pct"/>
            <w:shd w:val="clear" w:color="auto" w:fill="99CC00"/>
            <w:vAlign w:val="center"/>
          </w:tcPr>
          <w:p w14:paraId="6438DDE8" w14:textId="77777777" w:rsidR="004E3242" w:rsidRPr="004E3242" w:rsidDel="00597D48"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61" w:type="pct"/>
            <w:shd w:val="clear" w:color="auto" w:fill="99CC00"/>
            <w:vAlign w:val="center"/>
          </w:tcPr>
          <w:p w14:paraId="74A5EC4A"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37" w:type="pct"/>
            <w:shd w:val="clear" w:color="auto" w:fill="99CC00"/>
            <w:vAlign w:val="center"/>
          </w:tcPr>
          <w:p w14:paraId="1C66B903"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421E6621" w14:textId="77777777" w:rsidTr="00AA7998">
        <w:tc>
          <w:tcPr>
            <w:tcW w:w="288" w:type="pct"/>
            <w:shd w:val="clear" w:color="auto" w:fill="F2F2F2"/>
            <w:vAlign w:val="center"/>
          </w:tcPr>
          <w:p w14:paraId="101C751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839" w:type="pct"/>
            <w:shd w:val="clear" w:color="auto" w:fill="F2F2F2"/>
            <w:vAlign w:val="center"/>
          </w:tcPr>
          <w:p w14:paraId="2EC3EE5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tc>
        <w:tc>
          <w:tcPr>
            <w:tcW w:w="534" w:type="pct"/>
            <w:shd w:val="clear" w:color="auto" w:fill="F2F2F2"/>
            <w:vAlign w:val="center"/>
          </w:tcPr>
          <w:p w14:paraId="2D9C0974" w14:textId="77777777" w:rsidR="004E3242" w:rsidRPr="004E3242" w:rsidRDefault="004E3242" w:rsidP="004E3242">
            <w:pPr>
              <w:spacing w:before="60" w:after="60" w:line="240" w:lineRule="auto"/>
              <w:jc w:val="center"/>
              <w:rPr>
                <w:rFonts w:ascii="Arial" w:hAnsi="Arial" w:cs="Arial"/>
                <w:spacing w:val="4"/>
                <w:sz w:val="16"/>
                <w:szCs w:val="16"/>
              </w:rPr>
            </w:pPr>
            <w:proofErr w:type="spellStart"/>
            <w:r w:rsidRPr="004E3242">
              <w:rPr>
                <w:rFonts w:ascii="Arial" w:hAnsi="Arial" w:cs="Arial"/>
                <w:spacing w:val="4"/>
                <w:sz w:val="16"/>
                <w:szCs w:val="16"/>
              </w:rPr>
              <w:t>Mtoe</w:t>
            </w:r>
            <w:proofErr w:type="spellEnd"/>
          </w:p>
        </w:tc>
        <w:tc>
          <w:tcPr>
            <w:tcW w:w="611" w:type="pct"/>
            <w:shd w:val="clear" w:color="auto" w:fill="F2F2F2"/>
            <w:vAlign w:val="center"/>
          </w:tcPr>
          <w:p w14:paraId="56236C4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5" w:type="pct"/>
            <w:shd w:val="clear" w:color="auto" w:fill="F2F2F2"/>
            <w:vAlign w:val="center"/>
          </w:tcPr>
          <w:p w14:paraId="27FE928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93,3</w:t>
            </w:r>
          </w:p>
        </w:tc>
        <w:tc>
          <w:tcPr>
            <w:tcW w:w="459" w:type="pct"/>
            <w:shd w:val="clear" w:color="auto" w:fill="F2F2F2"/>
            <w:vAlign w:val="center"/>
          </w:tcPr>
          <w:p w14:paraId="6C48F71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36" w:type="pct"/>
            <w:shd w:val="clear" w:color="auto" w:fill="F2F2F2"/>
            <w:vAlign w:val="center"/>
          </w:tcPr>
          <w:p w14:paraId="463D608A" w14:textId="77777777" w:rsidR="004E3242" w:rsidRPr="004E3242" w:rsidDel="00597D48"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ok. 96 </w:t>
            </w:r>
            <w:proofErr w:type="spellStart"/>
            <w:r w:rsidRPr="004E3242">
              <w:rPr>
                <w:rFonts w:ascii="Arial" w:hAnsi="Arial" w:cs="Arial"/>
                <w:spacing w:val="4"/>
                <w:sz w:val="16"/>
                <w:szCs w:val="16"/>
              </w:rPr>
              <w:t>Mtoe</w:t>
            </w:r>
            <w:proofErr w:type="spellEnd"/>
            <w:r w:rsidRPr="004E3242">
              <w:rPr>
                <w:rFonts w:ascii="Arial" w:hAnsi="Arial" w:cs="Arial"/>
                <w:spacing w:val="4"/>
                <w:sz w:val="16"/>
                <w:szCs w:val="16"/>
                <w:vertAlign w:val="superscript"/>
              </w:rPr>
              <w:footnoteReference w:id="32"/>
            </w:r>
          </w:p>
        </w:tc>
        <w:tc>
          <w:tcPr>
            <w:tcW w:w="461" w:type="pct"/>
            <w:shd w:val="clear" w:color="auto" w:fill="F2F2F2"/>
            <w:vAlign w:val="center"/>
          </w:tcPr>
          <w:p w14:paraId="3BAD66C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Eurostat</w:t>
            </w:r>
          </w:p>
        </w:tc>
        <w:tc>
          <w:tcPr>
            <w:tcW w:w="737" w:type="pct"/>
            <w:shd w:val="clear" w:color="auto" w:fill="F2F2F2"/>
            <w:vAlign w:val="center"/>
          </w:tcPr>
          <w:p w14:paraId="064C8F34" w14:textId="77777777" w:rsidR="004E3242" w:rsidRPr="004E3242" w:rsidRDefault="004E3242" w:rsidP="004E3242">
            <w:pPr>
              <w:spacing w:before="60" w:after="60" w:line="240" w:lineRule="auto"/>
              <w:ind w:right="225"/>
              <w:jc w:val="center"/>
              <w:rPr>
                <w:rFonts w:ascii="Arial" w:hAnsi="Arial" w:cs="Arial"/>
                <w:spacing w:val="4"/>
                <w:sz w:val="16"/>
                <w:szCs w:val="16"/>
              </w:rPr>
            </w:pPr>
            <w:r w:rsidRPr="004E3242">
              <w:rPr>
                <w:rFonts w:ascii="Arial" w:hAnsi="Arial" w:cs="Arial"/>
                <w:spacing w:val="4"/>
                <w:sz w:val="16"/>
                <w:szCs w:val="16"/>
              </w:rPr>
              <w:t>Rocznie</w:t>
            </w:r>
          </w:p>
        </w:tc>
      </w:tr>
    </w:tbl>
    <w:p w14:paraId="2340C839"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p>
    <w:p w14:paraId="074DEA1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5319E405" w14:textId="77777777" w:rsidR="004E3242" w:rsidRPr="00B345B6" w:rsidRDefault="004E3242" w:rsidP="00B345B6">
      <w:pPr>
        <w:pStyle w:val="Tekstpodstawowywcity3"/>
        <w:spacing w:before="120" w:line="276" w:lineRule="auto"/>
        <w:ind w:left="0"/>
        <w:jc w:val="both"/>
        <w:rPr>
          <w:rFonts w:ascii="Arial" w:hAnsi="Arial" w:cs="Arial"/>
          <w:i/>
          <w:color w:val="000000"/>
          <w:sz w:val="20"/>
          <w:szCs w:val="20"/>
        </w:rPr>
      </w:pPr>
      <w:r w:rsidRPr="004E3242">
        <w:rPr>
          <w:rFonts w:ascii="Arial" w:hAnsi="Arial" w:cs="Arial"/>
          <w:spacing w:val="4"/>
          <w:sz w:val="20"/>
          <w:szCs w:val="20"/>
        </w:rPr>
        <w:t xml:space="preserve">W przedsiębiorstwach występuje duży potencjał w zakresie możliwości zastosowania rozwiązań przyczyniających się do zwiększenia efektywności energetycznej, w tym wykorzystania odnawialnych źródeł energii. W celu zwiększenia oszczędności energii w przedsiębiorstwach planuje się, że wsparcie inwestycyjne w ramach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skierowane będzie do dużych przedsiębiorstw w zakresie zastosowania rozwiązań przyczyniających się do zwiększenia efektywności energetycznej w tym wykorzystania odnawialnych źródeł energii. </w:t>
      </w:r>
      <w:r w:rsidRPr="004E3242">
        <w:rPr>
          <w:rFonts w:ascii="Arial" w:hAnsi="Arial" w:cs="Arial"/>
          <w:color w:val="000000"/>
          <w:sz w:val="20"/>
          <w:szCs w:val="20"/>
        </w:rPr>
        <w:t>Artykuł 8 Dyrektywy 2012/27/UE nakłada na państwo członkowskie obowiązek regularnego przeprowadzania przez duże przedsiębiorstwa audytu energetycznego.</w:t>
      </w:r>
      <w:r w:rsidR="009C3FB6">
        <w:rPr>
          <w:rFonts w:ascii="Arial" w:hAnsi="Arial" w:cs="Arial"/>
          <w:color w:val="000000"/>
          <w:sz w:val="20"/>
          <w:szCs w:val="20"/>
        </w:rPr>
        <w:t xml:space="preserve"> </w:t>
      </w:r>
      <w:r w:rsidR="00121FA5" w:rsidRPr="00121FA5">
        <w:rPr>
          <w:rFonts w:ascii="Arial" w:hAnsi="Arial" w:cs="Arial"/>
          <w:color w:val="000000"/>
          <w:sz w:val="20"/>
          <w:szCs w:val="20"/>
        </w:rPr>
        <w:t>Zasady przeprowadzenia audytu energetycznego dużego przedsiębiorstwa określa ustawa z dnia 20 maja 2016 r. o efektywności energetycznej (Dz. U. poz. 831).</w:t>
      </w:r>
      <w:r w:rsidR="00121FA5">
        <w:rPr>
          <w:rFonts w:ascii="Arial" w:hAnsi="Arial" w:cs="Arial"/>
          <w:color w:val="000000"/>
          <w:sz w:val="20"/>
          <w:szCs w:val="20"/>
        </w:rPr>
        <w:t xml:space="preserve"> </w:t>
      </w:r>
      <w:r w:rsidRPr="004E3242">
        <w:rPr>
          <w:rFonts w:ascii="Arial" w:hAnsi="Arial" w:cs="Arial"/>
          <w:color w:val="000000"/>
          <w:sz w:val="20"/>
          <w:szCs w:val="20"/>
        </w:rPr>
        <w:t xml:space="preserve">Sam audyt nie wpływa na zmniejszenie zużycia energii </w:t>
      </w:r>
      <w:r w:rsidRPr="004E3242">
        <w:rPr>
          <w:rFonts w:ascii="Arial" w:hAnsi="Arial" w:cs="Arial"/>
          <w:color w:val="000000"/>
          <w:sz w:val="20"/>
          <w:szCs w:val="20"/>
        </w:rPr>
        <w:br/>
        <w:t xml:space="preserve">w przedsiębiorstwie, dlatego też konieczne jest stworzenie instrumentu finansowego, wspierającego </w:t>
      </w:r>
      <w:r w:rsidRPr="004E3242">
        <w:rPr>
          <w:rFonts w:ascii="Arial" w:hAnsi="Arial" w:cs="Arial"/>
          <w:color w:val="000000"/>
          <w:sz w:val="20"/>
          <w:szCs w:val="20"/>
        </w:rPr>
        <w:lastRenderedPageBreak/>
        <w:t xml:space="preserve">realizację inwestycji w obszarze efektywności energetycznej dużych przedsiębiorstw, które zostały wskazane w audycie. </w:t>
      </w:r>
    </w:p>
    <w:p w14:paraId="234D7D18" w14:textId="77777777" w:rsidR="004E3242" w:rsidRPr="004E3242" w:rsidRDefault="004E3242" w:rsidP="004E3242">
      <w:pPr>
        <w:autoSpaceDE w:val="0"/>
        <w:autoSpaceDN w:val="0"/>
        <w:adjustRightInd w:val="0"/>
        <w:spacing w:before="120" w:after="120"/>
        <w:jc w:val="both"/>
        <w:rPr>
          <w:rFonts w:ascii="Arial" w:hAnsi="Arial" w:cs="Arial"/>
          <w:color w:val="000000"/>
          <w:sz w:val="20"/>
          <w:szCs w:val="20"/>
        </w:rPr>
      </w:pPr>
      <w:r w:rsidRPr="004E3242">
        <w:rPr>
          <w:rFonts w:ascii="Arial" w:hAnsi="Arial" w:cs="Arial"/>
          <w:color w:val="000000"/>
          <w:sz w:val="20"/>
          <w:szCs w:val="20"/>
        </w:rPr>
        <w:t xml:space="preserve">Interwencja ta będzie komplementarna z regionalnymi programami operacyjnymi, gdzie małe i średnie przedsiębiorstwa będą mogły otrzymać wsparcie inwestycyjne na podobne zadania. </w:t>
      </w:r>
    </w:p>
    <w:p w14:paraId="6EC4BD0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wspierane będą działania mające na celu promowanie zagadnień związanych z efektywnym wykorzystaniem energii, a także OZE z uwzględnieniem zasad zrównoważonej produkcji i konsumpcji.</w:t>
      </w:r>
      <w:r w:rsidR="00452F7E">
        <w:rPr>
          <w:rFonts w:ascii="Arial" w:hAnsi="Arial" w:cs="Arial"/>
          <w:spacing w:val="4"/>
          <w:sz w:val="20"/>
          <w:szCs w:val="20"/>
        </w:rPr>
        <w:t>.</w:t>
      </w:r>
    </w:p>
    <w:p w14:paraId="0C95E34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działań związanych z efektywnością energetyczną planuje się, że wsparcie będzie udzielane w zakresie zastosowania energooszczędnych (energia elektryczna, ciepło, chłód, woda) technologii produkcji, a także wprowadzanie systemów zarządzania energią. </w:t>
      </w:r>
    </w:p>
    <w:p w14:paraId="6D3C29B9"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Wsparciem może zostać objęta budowa własnych instalacji OZE wyłącznie wtedy, kiedy będą stanowiły integralną część systemu produkcji, czy funkcjonowania przedsiębiorstwa (o ile wynika to z wcześniej przygotowanego audytu energetycznego).</w:t>
      </w:r>
    </w:p>
    <w:p w14:paraId="38199AB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Ponadto wsparciem może zostać objęte wykorzystanie energii ciepła odpadowego </w:t>
      </w:r>
      <w:r w:rsidRPr="004E3242">
        <w:rPr>
          <w:rFonts w:ascii="Arial" w:hAnsi="Arial" w:cs="Arial"/>
          <w:spacing w:val="4"/>
          <w:sz w:val="20"/>
          <w:szCs w:val="20"/>
        </w:rPr>
        <w:br/>
        <w:t xml:space="preserve">w przedsiębiorstwach, tj. zdefiniowane i opisane w dyrektywie 2012/27/UE </w:t>
      </w:r>
      <w:r w:rsidRPr="004E3242">
        <w:rPr>
          <w:rFonts w:ascii="Arial" w:hAnsi="Arial" w:cs="Arial"/>
          <w:i/>
          <w:spacing w:val="4"/>
          <w:sz w:val="20"/>
          <w:szCs w:val="20"/>
        </w:rPr>
        <w:t>w sprawie efektywności energetycznej</w:t>
      </w:r>
      <w:r w:rsidRPr="004E3242">
        <w:rPr>
          <w:rFonts w:ascii="Arial" w:hAnsi="Arial" w:cs="Arial"/>
          <w:spacing w:val="4"/>
          <w:sz w:val="20"/>
          <w:szCs w:val="20"/>
        </w:rPr>
        <w:t>. Zgodnie z tą dyrektywą, 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p w14:paraId="49521A4E"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sz w:val="20"/>
          <w:szCs w:val="20"/>
        </w:rPr>
        <w:t xml:space="preserve">Dodatkowo wspierane projekty mogą przyczynić się do stworzenia systemu produkcji </w:t>
      </w:r>
      <w:r w:rsidRPr="004E3242">
        <w:rPr>
          <w:rFonts w:ascii="Arial" w:hAnsi="Arial" w:cs="Arial"/>
          <w:sz w:val="20"/>
          <w:szCs w:val="20"/>
        </w:rPr>
        <w:br/>
        <w:t xml:space="preserve">w przedsiębiorstwie, uwzględniającego zasady zrównoważonego wykorzystywania zasobów. </w:t>
      </w:r>
      <w:r w:rsidRPr="004E3242">
        <w:rPr>
          <w:rFonts w:ascii="Arial" w:hAnsi="Arial" w:cs="Arial"/>
          <w:bCs/>
          <w:spacing w:val="4"/>
          <w:sz w:val="20"/>
          <w:szCs w:val="20"/>
        </w:rPr>
        <w:t>Biorąc powyższe pod uwagę, przewiduje się wsparcie następujących obszarów:</w:t>
      </w:r>
    </w:p>
    <w:p w14:paraId="6DC7ED69" w14:textId="77777777" w:rsidR="004E3242" w:rsidRPr="004E3242" w:rsidRDefault="004E3242" w:rsidP="00B345B6">
      <w:pPr>
        <w:numPr>
          <w:ilvl w:val="0"/>
          <w:numId w:val="5"/>
        </w:numPr>
        <w:spacing w:before="120" w:after="120"/>
        <w:jc w:val="both"/>
        <w:rPr>
          <w:rFonts w:ascii="Arial" w:hAnsi="Arial" w:cs="Arial"/>
          <w:spacing w:val="4"/>
          <w:sz w:val="20"/>
          <w:szCs w:val="20"/>
        </w:rPr>
      </w:pPr>
      <w:r w:rsidRPr="004E3242">
        <w:rPr>
          <w:rFonts w:ascii="Arial" w:hAnsi="Arial" w:cs="Arial"/>
          <w:spacing w:val="4"/>
          <w:sz w:val="20"/>
          <w:szCs w:val="20"/>
        </w:rPr>
        <w:t>przebudowa linii produkcyjnych na bardziej efektywne energetycznie;</w:t>
      </w:r>
    </w:p>
    <w:p w14:paraId="29EBD580" w14:textId="77777777" w:rsidR="004E3242" w:rsidRPr="004E3242" w:rsidRDefault="004E3242" w:rsidP="00B345B6">
      <w:pPr>
        <w:numPr>
          <w:ilvl w:val="0"/>
          <w:numId w:val="5"/>
        </w:numPr>
        <w:spacing w:before="120" w:after="120"/>
        <w:jc w:val="both"/>
        <w:rPr>
          <w:rFonts w:ascii="Arial" w:hAnsi="Arial" w:cs="Arial"/>
          <w:spacing w:val="4"/>
          <w:sz w:val="20"/>
          <w:szCs w:val="20"/>
        </w:rPr>
      </w:pPr>
      <w:r w:rsidRPr="004E3242">
        <w:rPr>
          <w:rFonts w:ascii="Arial" w:hAnsi="Arial" w:cs="Arial"/>
          <w:spacing w:val="4"/>
          <w:sz w:val="20"/>
          <w:szCs w:val="20"/>
        </w:rPr>
        <w:t>głęboka, kompleksowa modernizacja energetyczna</w:t>
      </w:r>
      <w:r w:rsidRPr="004E3242">
        <w:rPr>
          <w:rFonts w:ascii="Arial" w:hAnsi="Arial" w:cs="Arial"/>
          <w:spacing w:val="4"/>
          <w:sz w:val="20"/>
          <w:szCs w:val="20"/>
          <w:vertAlign w:val="superscript"/>
        </w:rPr>
        <w:footnoteReference w:id="33"/>
      </w:r>
      <w:r w:rsidRPr="004E3242">
        <w:rPr>
          <w:rFonts w:ascii="Arial" w:hAnsi="Arial" w:cs="Arial"/>
          <w:spacing w:val="4"/>
          <w:sz w:val="20"/>
          <w:szCs w:val="20"/>
        </w:rPr>
        <w:t xml:space="preserve"> budynków w przedsiębiorstwach;</w:t>
      </w:r>
    </w:p>
    <w:p w14:paraId="576A48D2" w14:textId="77777777" w:rsidR="004E3242" w:rsidRPr="004E3242" w:rsidRDefault="004E3242" w:rsidP="00B345B6">
      <w:pPr>
        <w:numPr>
          <w:ilvl w:val="0"/>
          <w:numId w:val="5"/>
        </w:numPr>
        <w:spacing w:before="120" w:after="120"/>
        <w:jc w:val="both"/>
        <w:rPr>
          <w:rFonts w:ascii="Arial" w:hAnsi="Arial" w:cs="Arial"/>
          <w:spacing w:val="4"/>
          <w:sz w:val="20"/>
          <w:szCs w:val="20"/>
        </w:rPr>
      </w:pPr>
      <w:r w:rsidRPr="004E3242">
        <w:rPr>
          <w:rFonts w:ascii="Arial" w:hAnsi="Arial" w:cs="Arial"/>
          <w:spacing w:val="4"/>
          <w:sz w:val="20"/>
          <w:szCs w:val="20"/>
        </w:rPr>
        <w:t>zastosowanie technologii efektywnych energetycznie w przedsiębiorstwach;</w:t>
      </w:r>
    </w:p>
    <w:p w14:paraId="23787868" w14:textId="77777777" w:rsidR="004E3242" w:rsidRPr="004E3242" w:rsidRDefault="004E3242" w:rsidP="00B345B6">
      <w:pPr>
        <w:numPr>
          <w:ilvl w:val="0"/>
          <w:numId w:val="5"/>
        </w:numPr>
        <w:spacing w:before="120" w:after="120"/>
        <w:jc w:val="both"/>
        <w:rPr>
          <w:rFonts w:ascii="Arial" w:hAnsi="Arial" w:cs="Arial"/>
          <w:spacing w:val="4"/>
          <w:sz w:val="20"/>
          <w:szCs w:val="20"/>
        </w:rPr>
      </w:pPr>
      <w:r w:rsidRPr="004E3242">
        <w:rPr>
          <w:rFonts w:ascii="Arial" w:hAnsi="Arial" w:cs="Arial"/>
          <w:spacing w:val="4"/>
          <w:sz w:val="20"/>
          <w:szCs w:val="20"/>
        </w:rPr>
        <w:t xml:space="preserve">budowa i przebudowa instalacji OZE </w:t>
      </w:r>
      <w:r w:rsidRPr="004E3242">
        <w:rPr>
          <w:rFonts w:ascii="Arial" w:hAnsi="Arial" w:cs="Arial"/>
          <w:sz w:val="20"/>
          <w:szCs w:val="20"/>
        </w:rPr>
        <w:t>(o ile wynika to z przeprowadzonego audytu energetycznego)</w:t>
      </w:r>
      <w:r w:rsidRPr="004E3242">
        <w:rPr>
          <w:rFonts w:ascii="Arial" w:hAnsi="Arial" w:cs="Arial"/>
          <w:spacing w:val="4"/>
          <w:sz w:val="20"/>
          <w:szCs w:val="20"/>
        </w:rPr>
        <w:t>;</w:t>
      </w:r>
    </w:p>
    <w:p w14:paraId="5FAFF8A2" w14:textId="77777777" w:rsidR="004E3242" w:rsidRDefault="004E3242" w:rsidP="00B345B6">
      <w:pPr>
        <w:numPr>
          <w:ilvl w:val="0"/>
          <w:numId w:val="5"/>
        </w:numPr>
        <w:spacing w:before="120" w:after="120"/>
        <w:jc w:val="both"/>
        <w:rPr>
          <w:rFonts w:ascii="Arial" w:hAnsi="Arial" w:cs="Arial"/>
          <w:spacing w:val="4"/>
          <w:sz w:val="20"/>
          <w:szCs w:val="20"/>
        </w:rPr>
      </w:pPr>
      <w:r w:rsidRPr="004E3242">
        <w:rPr>
          <w:rFonts w:ascii="Arial" w:hAnsi="Arial" w:cs="Arial"/>
          <w:spacing w:val="4"/>
          <w:sz w:val="20"/>
          <w:szCs w:val="20"/>
        </w:rPr>
        <w:t>zastosowanie energooszczędnych (energia elektryczna, ciepło, chłód, woda) technologii produkcji i użytkowania energii;</w:t>
      </w:r>
    </w:p>
    <w:p w14:paraId="7CE24A4C" w14:textId="77777777" w:rsidR="00AC0189" w:rsidRPr="003C3C9C" w:rsidRDefault="004E3242" w:rsidP="00AC0189">
      <w:pPr>
        <w:numPr>
          <w:ilvl w:val="0"/>
          <w:numId w:val="5"/>
        </w:numPr>
        <w:spacing w:before="120" w:after="120"/>
        <w:jc w:val="both"/>
        <w:rPr>
          <w:rFonts w:ascii="Arial" w:hAnsi="Arial" w:cs="Arial"/>
          <w:spacing w:val="4"/>
          <w:sz w:val="20"/>
          <w:szCs w:val="20"/>
        </w:rPr>
      </w:pPr>
      <w:r w:rsidRPr="003C3C9C">
        <w:rPr>
          <w:rFonts w:ascii="Arial" w:hAnsi="Arial" w:cs="Arial"/>
          <w:spacing w:val="4"/>
          <w:sz w:val="20"/>
          <w:szCs w:val="20"/>
        </w:rPr>
        <w:t>zastosowanie technologii odzysku energii wraz z systemem wykorzystania energii ciepła odpadowego w ramach przedsiębiorstwa, wprowadzanie systemów zarządzania energią.</w:t>
      </w:r>
    </w:p>
    <w:p w14:paraId="1049319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62FFF13A" w14:textId="77777777" w:rsidR="004E3242" w:rsidRPr="004E3242" w:rsidRDefault="004E3242" w:rsidP="004E3242">
      <w:pPr>
        <w:spacing w:before="120" w:after="120"/>
        <w:jc w:val="both"/>
        <w:rPr>
          <w:rFonts w:ascii="Arial" w:hAnsi="Arial" w:cs="Arial"/>
          <w:b/>
          <w:bCs/>
          <w:spacing w:val="4"/>
          <w:sz w:val="20"/>
          <w:szCs w:val="20"/>
        </w:rPr>
      </w:pPr>
      <w:r w:rsidRPr="004E3242">
        <w:rPr>
          <w:rFonts w:ascii="Arial" w:hAnsi="Arial" w:cs="Arial"/>
          <w:color w:val="000000"/>
          <w:sz w:val="20"/>
          <w:szCs w:val="20"/>
        </w:rPr>
        <w:t xml:space="preserve">W ramach priorytetu inwestycyjnego, wsparcie przewidziane jest dla dużych przedsiębiorstw. </w:t>
      </w:r>
      <w:r w:rsidRPr="004E3242">
        <w:rPr>
          <w:rFonts w:ascii="Arial" w:hAnsi="Arial" w:cs="Arial"/>
          <w:spacing w:val="4"/>
          <w:sz w:val="20"/>
          <w:szCs w:val="20"/>
        </w:rPr>
        <w:t xml:space="preserve">Z uwagi na to, że interwencja będzie miała charakter horyzontalny i dotyczyła całego kraju, grupami docelowymi wsparcia będą </w:t>
      </w:r>
      <w:r w:rsidRPr="004E3242">
        <w:rPr>
          <w:rFonts w:ascii="Arial" w:hAnsi="Arial" w:cs="Arial"/>
          <w:sz w:val="20"/>
          <w:szCs w:val="20"/>
        </w:rPr>
        <w:t>odbiorcy usług/produktów wytwarzanych przez przedsiębiorstwa.</w:t>
      </w:r>
    </w:p>
    <w:p w14:paraId="0FD61E9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245FEBCF" w14:textId="77777777" w:rsidR="004E3242" w:rsidRPr="004E3242" w:rsidRDefault="004E3242" w:rsidP="004E3242">
      <w:pPr>
        <w:spacing w:before="120" w:after="120"/>
        <w:jc w:val="both"/>
        <w:rPr>
          <w:rFonts w:ascii="Arial" w:hAnsi="Arial" w:cs="Arial"/>
          <w:i/>
        </w:rPr>
      </w:pPr>
      <w:r w:rsidRPr="004E3242">
        <w:rPr>
          <w:rFonts w:ascii="Arial" w:hAnsi="Arial" w:cs="Arial"/>
          <w:sz w:val="20"/>
          <w:szCs w:val="20"/>
        </w:rPr>
        <w:t xml:space="preserve">Działania planowane do realizacji w ramach priorytetu inwestycyjnego mają istotny wpływ dla wszystkich obszarów gospodarki, przekładając się na </w:t>
      </w:r>
      <w:r w:rsidRPr="004E3242">
        <w:rPr>
          <w:rFonts w:ascii="Arial" w:hAnsi="Arial" w:cs="Arial"/>
          <w:spacing w:val="4"/>
          <w:sz w:val="20"/>
          <w:szCs w:val="20"/>
        </w:rPr>
        <w:t>popraw</w:t>
      </w:r>
      <w:r w:rsidRPr="004E3242">
        <w:rPr>
          <w:rFonts w:ascii="Arial" w:eastAsia="TTE221BA68t00" w:hAnsi="Arial" w:cs="Arial"/>
          <w:spacing w:val="4"/>
          <w:sz w:val="20"/>
          <w:szCs w:val="20"/>
        </w:rPr>
        <w:t xml:space="preserve">ę </w:t>
      </w:r>
      <w:r w:rsidRPr="004E3242">
        <w:rPr>
          <w:rFonts w:ascii="Arial" w:hAnsi="Arial" w:cs="Arial"/>
          <w:spacing w:val="4"/>
          <w:sz w:val="20"/>
          <w:szCs w:val="20"/>
        </w:rPr>
        <w:t>efektywno</w:t>
      </w:r>
      <w:r w:rsidRPr="004E3242">
        <w:rPr>
          <w:rFonts w:ascii="Arial" w:eastAsia="TTE221BA68t00" w:hAnsi="Arial" w:cs="Arial"/>
          <w:spacing w:val="4"/>
          <w:sz w:val="20"/>
          <w:szCs w:val="20"/>
        </w:rPr>
        <w:t>ś</w:t>
      </w:r>
      <w:r w:rsidRPr="004E3242">
        <w:rPr>
          <w:rFonts w:ascii="Arial" w:hAnsi="Arial" w:cs="Arial"/>
          <w:spacing w:val="4"/>
          <w:sz w:val="20"/>
          <w:szCs w:val="20"/>
        </w:rPr>
        <w:t>ci energetycznej oraz wzrost konkurencyjno</w:t>
      </w:r>
      <w:r w:rsidRPr="004E3242">
        <w:rPr>
          <w:rFonts w:ascii="Arial" w:eastAsia="TTE221BA68t00" w:hAnsi="Arial" w:cs="Arial"/>
          <w:spacing w:val="4"/>
          <w:sz w:val="20"/>
          <w:szCs w:val="20"/>
        </w:rPr>
        <w:t>ści</w:t>
      </w:r>
      <w:r w:rsidRPr="004E3242">
        <w:rPr>
          <w:rFonts w:ascii="Arial" w:hAnsi="Arial" w:cs="Arial"/>
          <w:spacing w:val="4"/>
          <w:sz w:val="20"/>
          <w:szCs w:val="20"/>
        </w:rPr>
        <w:t>. Dotyczy to w szczególności obszarów miejskich, gdzie poprawa efektywno</w:t>
      </w:r>
      <w:r w:rsidRPr="004E3242">
        <w:rPr>
          <w:rFonts w:ascii="Arial" w:eastAsia="TTE1CBD360t00" w:hAnsi="Arial" w:cs="Arial"/>
          <w:spacing w:val="4"/>
          <w:sz w:val="20"/>
          <w:szCs w:val="20"/>
        </w:rPr>
        <w:t>ś</w:t>
      </w:r>
      <w:r w:rsidRPr="004E3242">
        <w:rPr>
          <w:rFonts w:ascii="Arial" w:hAnsi="Arial" w:cs="Arial"/>
          <w:spacing w:val="4"/>
          <w:sz w:val="20"/>
          <w:szCs w:val="20"/>
        </w:rPr>
        <w:t>ci energetycznej i optymalizacja zu</w:t>
      </w:r>
      <w:r w:rsidRPr="004E3242">
        <w:rPr>
          <w:rFonts w:ascii="Arial" w:eastAsia="TTE1CBD360t00" w:hAnsi="Arial" w:cs="Arial"/>
          <w:spacing w:val="4"/>
          <w:sz w:val="20"/>
          <w:szCs w:val="20"/>
        </w:rPr>
        <w:t>ż</w:t>
      </w:r>
      <w:r w:rsidRPr="004E3242">
        <w:rPr>
          <w:rFonts w:ascii="Arial" w:hAnsi="Arial" w:cs="Arial"/>
          <w:spacing w:val="4"/>
          <w:sz w:val="20"/>
          <w:szCs w:val="20"/>
        </w:rPr>
        <w:t>ycia energii, poprawią stabilno</w:t>
      </w:r>
      <w:r w:rsidRPr="004E3242">
        <w:rPr>
          <w:rFonts w:ascii="Arial" w:eastAsia="TTE1CBD360t00" w:hAnsi="Arial" w:cs="Arial"/>
          <w:spacing w:val="4"/>
          <w:sz w:val="20"/>
          <w:szCs w:val="20"/>
        </w:rPr>
        <w:t xml:space="preserve">ść </w:t>
      </w:r>
      <w:r w:rsidRPr="004E3242">
        <w:rPr>
          <w:rFonts w:ascii="Arial" w:hAnsi="Arial" w:cs="Arial"/>
          <w:spacing w:val="4"/>
          <w:sz w:val="20"/>
          <w:szCs w:val="20"/>
        </w:rPr>
        <w:t>dostaw energii do odbiorców ko</w:t>
      </w:r>
      <w:r w:rsidRPr="004E3242">
        <w:rPr>
          <w:rFonts w:ascii="Arial" w:eastAsia="TTE1CBD360t00" w:hAnsi="Arial" w:cs="Arial"/>
          <w:spacing w:val="4"/>
          <w:sz w:val="20"/>
          <w:szCs w:val="20"/>
        </w:rPr>
        <w:t>ń</w:t>
      </w:r>
      <w:r w:rsidRPr="004E3242">
        <w:rPr>
          <w:rFonts w:ascii="Arial" w:hAnsi="Arial" w:cs="Arial"/>
          <w:spacing w:val="4"/>
          <w:sz w:val="20"/>
          <w:szCs w:val="20"/>
        </w:rPr>
        <w:t xml:space="preserve">cowych. Realizacja projektów, w powyższym zakresie, wpisuje się w cele SUE </w:t>
      </w:r>
      <w:r w:rsidRPr="004E3242">
        <w:rPr>
          <w:rFonts w:ascii="Arial" w:hAnsi="Arial" w:cs="Arial"/>
          <w:spacing w:val="4"/>
          <w:sz w:val="20"/>
          <w:szCs w:val="20"/>
        </w:rPr>
        <w:lastRenderedPageBreak/>
        <w:t>RMB przyjęte w ramach Obszaru Priorytetowego SME</w:t>
      </w:r>
      <w:bookmarkStart w:id="379" w:name="_Toc348673525"/>
      <w:r w:rsidRPr="004E3242">
        <w:rPr>
          <w:rFonts w:ascii="Arial" w:hAnsi="Arial" w:cs="Arial"/>
          <w:spacing w:val="4"/>
          <w:sz w:val="20"/>
          <w:szCs w:val="20"/>
        </w:rPr>
        <w:t xml:space="preserve"> </w:t>
      </w:r>
      <w:r w:rsidRPr="004E3242">
        <w:rPr>
          <w:rFonts w:ascii="Arial" w:hAnsi="Arial" w:cs="Arial"/>
          <w:i/>
          <w:spacing w:val="4"/>
          <w:sz w:val="20"/>
          <w:szCs w:val="20"/>
        </w:rPr>
        <w:t>Wspieranie przedsiębiorczości oraz wzmocnienie wzrostu MŚP</w:t>
      </w:r>
      <w:bookmarkEnd w:id="379"/>
      <w:r w:rsidRPr="004E3242">
        <w:rPr>
          <w:rFonts w:ascii="Arial" w:hAnsi="Arial" w:cs="Arial"/>
          <w:i/>
          <w:spacing w:val="4"/>
          <w:sz w:val="20"/>
          <w:szCs w:val="20"/>
        </w:rPr>
        <w:t xml:space="preserve"> służące poprawie efektywnego wykorzystania zasobów przez przedsiębiorstwa.</w:t>
      </w:r>
    </w:p>
    <w:p w14:paraId="0EE6281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2E9C9D33"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pacing w:val="4"/>
          <w:sz w:val="20"/>
          <w:szCs w:val="20"/>
        </w:rPr>
        <w:t xml:space="preserve">W ramach priorytetu inwestycyjnego </w:t>
      </w:r>
      <w:r w:rsidRPr="004E3242">
        <w:rPr>
          <w:rFonts w:ascii="Arial" w:hAnsi="Arial" w:cs="Arial"/>
          <w:sz w:val="20"/>
          <w:szCs w:val="20"/>
        </w:rPr>
        <w:t xml:space="preserve">wsparciem objęte zostaną projekty wyłaniane w trybie konkursowym. </w:t>
      </w:r>
    </w:p>
    <w:p w14:paraId="494772C3"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Inwestycje dotyczące efektywności energetycznej muszą wynikać z uprzednio przeprowadzonych audytów energetycznych (przemysłowych) dużych przedsiębiorstw. Zgodnie z Dyrektywą 2012/27/EU koszt przygotowania takich audytów stanowi wydatek niekwalifikowany. Projekty takie powinny wprowadzać innowacyjne rozwiązania oraz tworzyć nowe miejsca pracy przy poszanowaniu zasad obowiązującej pomocy publicznej. Do wsparcia nie będą kwalifikować się inwestycje służąc wyłącznie redukcji emisji gazów cieplarnianych w ramach działań wymienionych w załączniku I do dyrektywy 2003/87/WE</w:t>
      </w:r>
      <w:r w:rsidRPr="004E3242">
        <w:rPr>
          <w:rFonts w:ascii="Arial" w:hAnsi="Arial" w:cs="Arial"/>
          <w:sz w:val="20"/>
          <w:szCs w:val="20"/>
          <w:vertAlign w:val="superscript"/>
        </w:rPr>
        <w:footnoteReference w:id="34"/>
      </w:r>
      <w:r w:rsidRPr="004E3242">
        <w:rPr>
          <w:rFonts w:ascii="Arial" w:hAnsi="Arial" w:cs="Arial"/>
          <w:sz w:val="20"/>
          <w:szCs w:val="20"/>
        </w:rPr>
        <w:t>.</w:t>
      </w:r>
    </w:p>
    <w:p w14:paraId="550A7662"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Projekty oceniane będą głównie poprzez pryzmat kryterium efektywności kosztowej oraz osiągniętych efektów wpisujących się w cele osi priorytetowej. Jednym z czynników branych pod uwagę przy wyborze takich inwestycji do wsparcia, będzie koncepcja opłacalności. Poza tym o wsparciu takich projektów decydować będą także inne osiągane rezultaty w stosunku do planowanych nakładów finansowych (np. wielkość redukcji CO</w:t>
      </w:r>
      <w:r w:rsidRPr="004E3242">
        <w:rPr>
          <w:rFonts w:ascii="Arial" w:hAnsi="Arial" w:cs="Arial"/>
          <w:sz w:val="20"/>
          <w:szCs w:val="20"/>
          <w:vertAlign w:val="subscript"/>
        </w:rPr>
        <w:t>2</w:t>
      </w:r>
      <w:r w:rsidRPr="004E3242">
        <w:rPr>
          <w:rFonts w:ascii="Arial" w:hAnsi="Arial" w:cs="Arial"/>
          <w:sz w:val="20"/>
          <w:szCs w:val="20"/>
        </w:rPr>
        <w:t>).</w:t>
      </w:r>
    </w:p>
    <w:p w14:paraId="0D6C7BC0"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Warunkiem wsparcia </w:t>
      </w:r>
      <w:r w:rsidRPr="004E3242">
        <w:rPr>
          <w:rFonts w:ascii="Arial" w:hAnsi="Arial" w:cs="Arial"/>
          <w:color w:val="000000"/>
          <w:sz w:val="20"/>
          <w:szCs w:val="20"/>
        </w:rPr>
        <w:t>projektów dotyczących kompleksowej, głębokiej modernizacji energetycznej budynków</w:t>
      </w:r>
      <w:r w:rsidRPr="004E3242">
        <w:rPr>
          <w:rFonts w:ascii="Arial" w:hAnsi="Arial" w:cs="Arial"/>
          <w:sz w:val="20"/>
          <w:szCs w:val="20"/>
        </w:rPr>
        <w:t xml:space="preserve"> będzie również konieczność zastosowania indywidualnych liczników ciepła, ciepłej wody oraz chłodu. Dodatkowo istnieje obowiązek instalacji termostatów i zaworów </w:t>
      </w:r>
      <w:proofErr w:type="spellStart"/>
      <w:r w:rsidRPr="004E3242">
        <w:rPr>
          <w:rFonts w:ascii="Arial" w:hAnsi="Arial" w:cs="Arial"/>
          <w:sz w:val="20"/>
          <w:szCs w:val="20"/>
        </w:rPr>
        <w:t>podpionowych</w:t>
      </w:r>
      <w:proofErr w:type="spellEnd"/>
      <w:r w:rsidRPr="004E3242">
        <w:rPr>
          <w:rFonts w:ascii="Arial" w:hAnsi="Arial" w:cs="Arial"/>
          <w:sz w:val="20"/>
          <w:szCs w:val="20"/>
        </w:rPr>
        <w:t>, jeżeli będzie to wynikać z przeprowadzonego audytu energetycznego. Powyższe wydatki będą stanowić koszt kwalifikowany. Preferowane będą projekty zwiększające efektywność energetyczną powyżej 60%, natomiast projekty z zakresu głębokiej, kompleksowej modernizacji energetycznej zwiększające efektywność energetyczną poniżej 25% nie będą kwalifikowały się do dofinansowania.</w:t>
      </w:r>
    </w:p>
    <w:p w14:paraId="15D428AE" w14:textId="77777777" w:rsidR="00684EE4"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priorytetu inwestycyjnego. Kryteria będą precyzyjne, mierzalne i obiektywne. Dodatkowo dopuszcza się możliwość nadania kryteriom merytorycznym odpowiedniej punktacji oraz określonych wag punktowych.</w:t>
      </w:r>
    </w:p>
    <w:p w14:paraId="072949F8" w14:textId="77777777" w:rsidR="00684EE4" w:rsidRPr="00684EE4" w:rsidRDefault="005E530E" w:rsidP="00684EE4">
      <w:pPr>
        <w:autoSpaceDE w:val="0"/>
        <w:autoSpaceDN w:val="0"/>
        <w:adjustRightInd w:val="0"/>
        <w:spacing w:before="120" w:after="120"/>
        <w:jc w:val="both"/>
        <w:rPr>
          <w:rFonts w:ascii="Arial" w:hAnsi="Arial" w:cs="Arial"/>
          <w:b/>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56076FC1" w14:textId="77777777" w:rsidR="004E3242" w:rsidRPr="004E3242" w:rsidRDefault="004E3242" w:rsidP="004E3242">
      <w:pPr>
        <w:autoSpaceDE w:val="0"/>
        <w:autoSpaceDN w:val="0"/>
        <w:adjustRightInd w:val="0"/>
        <w:spacing w:before="120" w:after="120"/>
        <w:jc w:val="both"/>
        <w:rPr>
          <w:rFonts w:ascii="Arial" w:hAnsi="Arial" w:cs="Arial"/>
          <w:sz w:val="20"/>
          <w:szCs w:val="20"/>
        </w:rPr>
      </w:pPr>
    </w:p>
    <w:p w14:paraId="765735F2"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0ABD8844"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 odniesieniu do obszarów wsparcia w ramach priorytetu inwestycyjnego, przewiduje się wsparcie w formie </w:t>
      </w:r>
      <w:r w:rsidR="00666376" w:rsidRPr="00666376">
        <w:rPr>
          <w:rFonts w:ascii="Arial" w:hAnsi="Arial" w:cs="Arial"/>
          <w:spacing w:val="4"/>
          <w:sz w:val="20"/>
          <w:szCs w:val="20"/>
        </w:rPr>
        <w:t xml:space="preserve">pomocy zwrotnej udzielanej na podstawie art. 66 i 67 rozporządzenia ogólnego. Z uwagi na potrzebę stosowania jak najbardziej efektywnych form wsparcia, analizowane będą możliwości stosowania w szerszym zakresie (zarówno kwotowym, jak i przedmiotowym) zwrotnych form wsparcia. W sytuacji, w której w toku wdrażania zostanie zidentyfikowane zapotrzebowanie rynkowe na inne formy finansowania o charakterze zwrotnym, </w:t>
      </w:r>
      <w:r w:rsidR="00666376" w:rsidRPr="00666376">
        <w:rPr>
          <w:rFonts w:ascii="Arial" w:hAnsi="Arial" w:cs="Arial"/>
          <w:spacing w:val="4"/>
          <w:sz w:val="20"/>
          <w:szCs w:val="20"/>
        </w:rPr>
        <w:lastRenderedPageBreak/>
        <w:t xml:space="preserve">nie jest wykluczone ewentualne wykorzystanie instrumentów finansowych w rozumieniu art. 37 rozporządzenia ogólnego. </w:t>
      </w:r>
      <w:r w:rsidRPr="004E3242">
        <w:rPr>
          <w:rFonts w:ascii="Arial" w:hAnsi="Arial" w:cs="Arial"/>
          <w:spacing w:val="4"/>
          <w:sz w:val="20"/>
          <w:szCs w:val="20"/>
        </w:rPr>
        <w:t>Przewiduje się, że priorytet inwestycyjny może zostać objęty zasadami pomocy publicznej.</w:t>
      </w:r>
    </w:p>
    <w:p w14:paraId="24215C3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2EDB76B5"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Na obecnym etapie nie przewiduje się realizacji dużych projektów w priorytecie inwestycyjnym. Niemniej nie można wykluczyć, że projekty duże zostaną zidentyfikowane również na etapie wdrażania.</w:t>
      </w:r>
    </w:p>
    <w:p w14:paraId="3465D798"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p>
    <w:p w14:paraId="420CB3E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62"/>
        <w:gridCol w:w="2148"/>
        <w:gridCol w:w="1278"/>
        <w:gridCol w:w="882"/>
        <w:gridCol w:w="971"/>
        <w:gridCol w:w="1039"/>
        <w:gridCol w:w="1048"/>
        <w:gridCol w:w="1358"/>
      </w:tblGrid>
      <w:tr w:rsidR="004E3242" w:rsidRPr="004E3242" w14:paraId="304E002E" w14:textId="77777777" w:rsidTr="00AA7998">
        <w:trPr>
          <w:tblHeader/>
        </w:trPr>
        <w:tc>
          <w:tcPr>
            <w:tcW w:w="314" w:type="pct"/>
            <w:shd w:val="clear" w:color="auto" w:fill="99CC00"/>
            <w:vAlign w:val="center"/>
          </w:tcPr>
          <w:p w14:paraId="7C5E0B3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168" w:type="pct"/>
            <w:shd w:val="clear" w:color="auto" w:fill="99CC00"/>
            <w:vAlign w:val="center"/>
          </w:tcPr>
          <w:p w14:paraId="3EE1319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610" w:type="pct"/>
            <w:shd w:val="clear" w:color="auto" w:fill="99CC00"/>
            <w:vAlign w:val="center"/>
          </w:tcPr>
          <w:p w14:paraId="603779C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86" w:type="pct"/>
            <w:shd w:val="clear" w:color="auto" w:fill="99CC00"/>
            <w:vAlign w:val="center"/>
          </w:tcPr>
          <w:p w14:paraId="4B482CB9"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4" w:type="pct"/>
            <w:shd w:val="clear" w:color="auto" w:fill="99CC00"/>
            <w:vAlign w:val="center"/>
          </w:tcPr>
          <w:p w14:paraId="2AE8961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71" w:type="pct"/>
            <w:shd w:val="clear" w:color="auto" w:fill="99CC00"/>
            <w:vAlign w:val="center"/>
          </w:tcPr>
          <w:p w14:paraId="37D2C4E0"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75" w:type="pct"/>
            <w:shd w:val="clear" w:color="auto" w:fill="99CC00"/>
            <w:vAlign w:val="center"/>
          </w:tcPr>
          <w:p w14:paraId="2BD79B05"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2" w:type="pct"/>
            <w:shd w:val="clear" w:color="auto" w:fill="99CC00"/>
            <w:vAlign w:val="center"/>
          </w:tcPr>
          <w:p w14:paraId="0962D9E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188F1B6D" w14:textId="77777777" w:rsidTr="00AA7998">
        <w:tc>
          <w:tcPr>
            <w:tcW w:w="314" w:type="pct"/>
            <w:shd w:val="clear" w:color="auto" w:fill="F2F2F2"/>
            <w:vAlign w:val="center"/>
          </w:tcPr>
          <w:p w14:paraId="3B69C452"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168" w:type="pct"/>
            <w:shd w:val="clear" w:color="auto" w:fill="F2F2F2"/>
            <w:vAlign w:val="center"/>
          </w:tcPr>
          <w:p w14:paraId="639D4EEF"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Dodatkowa zdolność wytwarzania energii ze źródeł odnawialnych (CI)</w:t>
            </w:r>
          </w:p>
        </w:tc>
        <w:tc>
          <w:tcPr>
            <w:tcW w:w="610" w:type="pct"/>
            <w:shd w:val="clear" w:color="auto" w:fill="F2F2F2"/>
            <w:vAlign w:val="center"/>
          </w:tcPr>
          <w:p w14:paraId="24EA1C2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MW</w:t>
            </w:r>
          </w:p>
        </w:tc>
        <w:tc>
          <w:tcPr>
            <w:tcW w:w="486" w:type="pct"/>
            <w:shd w:val="clear" w:color="auto" w:fill="F2F2F2"/>
            <w:vAlign w:val="center"/>
          </w:tcPr>
          <w:p w14:paraId="44473BF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7BD4623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71" w:type="pct"/>
            <w:shd w:val="clear" w:color="auto" w:fill="F2F2F2"/>
            <w:vAlign w:val="center"/>
          </w:tcPr>
          <w:p w14:paraId="1DC90957" w14:textId="77777777" w:rsidR="004E3242" w:rsidRPr="004E3242" w:rsidRDefault="00552DD9"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1</w:t>
            </w:r>
          </w:p>
        </w:tc>
        <w:tc>
          <w:tcPr>
            <w:tcW w:w="575" w:type="pct"/>
            <w:shd w:val="clear" w:color="auto" w:fill="F2F2F2"/>
            <w:vAlign w:val="center"/>
          </w:tcPr>
          <w:p w14:paraId="4477FFF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4AA434E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5377A80" w14:textId="77777777" w:rsidTr="00AA7998">
        <w:tc>
          <w:tcPr>
            <w:tcW w:w="314" w:type="pct"/>
            <w:shd w:val="clear" w:color="auto" w:fill="F2F2F2"/>
            <w:vAlign w:val="center"/>
          </w:tcPr>
          <w:p w14:paraId="451BE85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168" w:type="pct"/>
            <w:shd w:val="clear" w:color="auto" w:fill="F2F2F2"/>
            <w:vAlign w:val="center"/>
          </w:tcPr>
          <w:p w14:paraId="5AACE682"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przedsiębiorstw otrzymujących wsparcie</w:t>
            </w:r>
          </w:p>
        </w:tc>
        <w:tc>
          <w:tcPr>
            <w:tcW w:w="610" w:type="pct"/>
            <w:shd w:val="clear" w:color="auto" w:fill="F2F2F2"/>
            <w:vAlign w:val="center"/>
          </w:tcPr>
          <w:p w14:paraId="3613FD1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486" w:type="pct"/>
            <w:shd w:val="clear" w:color="auto" w:fill="F2F2F2"/>
            <w:vAlign w:val="center"/>
          </w:tcPr>
          <w:p w14:paraId="37E047F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3235EA4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71" w:type="pct"/>
            <w:shd w:val="clear" w:color="auto" w:fill="F2F2F2"/>
            <w:vAlign w:val="center"/>
          </w:tcPr>
          <w:p w14:paraId="5969A94A" w14:textId="77777777" w:rsidR="004E3242" w:rsidRPr="004E3242" w:rsidRDefault="00552DD9" w:rsidP="0078324E">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0078324E">
              <w:rPr>
                <w:rFonts w:ascii="Arial" w:hAnsi="Arial" w:cs="Arial"/>
                <w:spacing w:val="4"/>
                <w:sz w:val="16"/>
                <w:szCs w:val="16"/>
              </w:rPr>
              <w:t>11</w:t>
            </w:r>
          </w:p>
        </w:tc>
        <w:tc>
          <w:tcPr>
            <w:tcW w:w="575" w:type="pct"/>
            <w:shd w:val="clear" w:color="auto" w:fill="F2F2F2"/>
            <w:vAlign w:val="center"/>
          </w:tcPr>
          <w:p w14:paraId="4590739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51B0584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15C09CF6" w14:textId="77777777" w:rsidTr="00AA7998">
        <w:tc>
          <w:tcPr>
            <w:tcW w:w="314" w:type="pct"/>
            <w:shd w:val="clear" w:color="auto" w:fill="F2F2F2"/>
            <w:vAlign w:val="center"/>
          </w:tcPr>
          <w:p w14:paraId="6C63711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1168" w:type="pct"/>
            <w:shd w:val="clear" w:color="auto" w:fill="F2F2F2"/>
            <w:vAlign w:val="center"/>
          </w:tcPr>
          <w:p w14:paraId="3DF7660A"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Szacowany roczny spadek emisji gazów cieplarnianych (CI)</w:t>
            </w:r>
          </w:p>
        </w:tc>
        <w:tc>
          <w:tcPr>
            <w:tcW w:w="610" w:type="pct"/>
            <w:shd w:val="clear" w:color="auto" w:fill="F2F2F2"/>
            <w:vAlign w:val="center"/>
          </w:tcPr>
          <w:p w14:paraId="571254E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tony równoważnika CO</w:t>
            </w:r>
            <w:r w:rsidRPr="004E3242">
              <w:rPr>
                <w:rFonts w:ascii="Arial" w:hAnsi="Arial" w:cs="Arial"/>
                <w:spacing w:val="4"/>
                <w:sz w:val="16"/>
                <w:szCs w:val="16"/>
                <w:vertAlign w:val="subscript"/>
              </w:rPr>
              <w:t>2</w:t>
            </w:r>
          </w:p>
        </w:tc>
        <w:tc>
          <w:tcPr>
            <w:tcW w:w="486" w:type="pct"/>
            <w:shd w:val="clear" w:color="auto" w:fill="F2F2F2"/>
            <w:vAlign w:val="center"/>
          </w:tcPr>
          <w:p w14:paraId="754F7EB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05BC8AF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71" w:type="pct"/>
            <w:shd w:val="clear" w:color="auto" w:fill="F2F2F2"/>
            <w:vAlign w:val="center"/>
          </w:tcPr>
          <w:p w14:paraId="2D2D16C1" w14:textId="77777777" w:rsidR="004E3242" w:rsidRPr="004E3242" w:rsidRDefault="00273704" w:rsidP="0078324E">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0078324E">
              <w:rPr>
                <w:rFonts w:ascii="Arial" w:hAnsi="Arial" w:cs="Arial"/>
                <w:spacing w:val="4"/>
                <w:sz w:val="16"/>
                <w:szCs w:val="16"/>
              </w:rPr>
              <w:t>29 300</w:t>
            </w:r>
          </w:p>
        </w:tc>
        <w:tc>
          <w:tcPr>
            <w:tcW w:w="575" w:type="pct"/>
            <w:shd w:val="clear" w:color="auto" w:fill="F2F2F2"/>
            <w:vAlign w:val="center"/>
          </w:tcPr>
          <w:p w14:paraId="35CEB3D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55D6351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2C3ED647" w14:textId="77777777" w:rsidTr="00AA7998">
        <w:tc>
          <w:tcPr>
            <w:tcW w:w="314" w:type="pct"/>
            <w:shd w:val="clear" w:color="auto" w:fill="F2F2F2"/>
            <w:vAlign w:val="center"/>
          </w:tcPr>
          <w:p w14:paraId="195253C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4.</w:t>
            </w:r>
          </w:p>
        </w:tc>
        <w:tc>
          <w:tcPr>
            <w:tcW w:w="1168" w:type="pct"/>
            <w:shd w:val="clear" w:color="auto" w:fill="F2F2F2"/>
            <w:vAlign w:val="center"/>
          </w:tcPr>
          <w:p w14:paraId="06649492"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Zmniejszenie zużycia energii końcowej</w:t>
            </w:r>
          </w:p>
        </w:tc>
        <w:tc>
          <w:tcPr>
            <w:tcW w:w="610" w:type="pct"/>
            <w:shd w:val="clear" w:color="auto" w:fill="F2F2F2"/>
            <w:vAlign w:val="center"/>
          </w:tcPr>
          <w:p w14:paraId="5BA45D02"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GJ/rok</w:t>
            </w:r>
          </w:p>
        </w:tc>
        <w:tc>
          <w:tcPr>
            <w:tcW w:w="486" w:type="pct"/>
            <w:shd w:val="clear" w:color="auto" w:fill="F2F2F2"/>
            <w:vAlign w:val="center"/>
          </w:tcPr>
          <w:p w14:paraId="4B9109D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163451F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71" w:type="pct"/>
            <w:shd w:val="clear" w:color="auto" w:fill="F2F2F2"/>
            <w:vAlign w:val="center"/>
          </w:tcPr>
          <w:p w14:paraId="7038E257" w14:textId="77777777" w:rsidR="004E3242" w:rsidRPr="004E3242" w:rsidRDefault="00273704" w:rsidP="0078324E">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0078324E">
              <w:rPr>
                <w:rFonts w:ascii="Arial" w:hAnsi="Arial" w:cs="Arial"/>
                <w:spacing w:val="4"/>
                <w:sz w:val="16"/>
                <w:szCs w:val="16"/>
              </w:rPr>
              <w:t>169 600</w:t>
            </w:r>
          </w:p>
        </w:tc>
        <w:tc>
          <w:tcPr>
            <w:tcW w:w="575" w:type="pct"/>
            <w:shd w:val="clear" w:color="auto" w:fill="F2F2F2"/>
            <w:vAlign w:val="center"/>
          </w:tcPr>
          <w:p w14:paraId="5150289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2" w:type="pct"/>
            <w:shd w:val="clear" w:color="auto" w:fill="F2F2F2"/>
            <w:vAlign w:val="center"/>
          </w:tcPr>
          <w:p w14:paraId="0B3285A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r w:rsidRPr="004E3242">
              <w:rPr>
                <w:rFonts w:ascii="Arial" w:hAnsi="Arial" w:cs="Arial"/>
                <w:spacing w:val="4"/>
                <w:sz w:val="16"/>
                <w:szCs w:val="16"/>
                <w:vertAlign w:val="superscript"/>
              </w:rPr>
              <w:footnoteReference w:id="35"/>
            </w:r>
          </w:p>
        </w:tc>
      </w:tr>
    </w:tbl>
    <w:p w14:paraId="01AF1D84" w14:textId="77777777" w:rsidR="004E3242" w:rsidRPr="004E3242" w:rsidRDefault="004E3242" w:rsidP="004E3242">
      <w:pPr>
        <w:rPr>
          <w:lang w:eastAsia="pl-PL"/>
        </w:rPr>
      </w:pPr>
    </w:p>
    <w:p w14:paraId="360BFB83"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4.iii. Wspieranie efektywności energetycznej, inteligentnego zarządzania energią i wykorzystania odnawialnych źródeł energii w infrastrukturze publicznej, w tym w budynkach publicznych, i w sektorze mieszkaniowym</w:t>
      </w:r>
    </w:p>
    <w:p w14:paraId="04BCB10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55E01B41"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Zwiększona efektywność energetyczna w budownictwie wielorodzinnym mieszkaniowym oraz w budynkach użyteczności publicznej</w:t>
      </w:r>
    </w:p>
    <w:p w14:paraId="118271EB"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54590E0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Realizacja priorytetu inwestycyjnego przyczyni się do zwiększenia efektywności energetycznej na poziomie zużycia zwiększając przy tym udział odnawialnych źródeł energii w bilansie energetycznym poprzez racjonalne zużycie zasobów surowców energetycznych. Zwiększenie poprawy efektywności energetycznej, która łączy w sobie cele gospodarcze i społeczne, przyczyni się dodatkowo do zmniejszenia emisyjności gospodarki</w:t>
      </w:r>
      <w:r w:rsidR="003F4EF4">
        <w:rPr>
          <w:rFonts w:ascii="Arial" w:hAnsi="Arial" w:cs="Arial"/>
          <w:spacing w:val="4"/>
          <w:sz w:val="20"/>
          <w:szCs w:val="20"/>
        </w:rPr>
        <w:t xml:space="preserve"> </w:t>
      </w:r>
      <w:r w:rsidR="003F4EF4" w:rsidRPr="00362897">
        <w:rPr>
          <w:rFonts w:ascii="Arial" w:hAnsi="Arial" w:cs="Arial"/>
          <w:spacing w:val="4"/>
          <w:sz w:val="20"/>
          <w:szCs w:val="20"/>
        </w:rPr>
        <w:t>oraz redukcji emisji pyłów PM 10.</w:t>
      </w:r>
    </w:p>
    <w:p w14:paraId="777BEB3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17"/>
        <w:gridCol w:w="1435"/>
        <w:gridCol w:w="992"/>
        <w:gridCol w:w="992"/>
        <w:gridCol w:w="851"/>
        <w:gridCol w:w="800"/>
        <w:gridCol w:w="1326"/>
        <w:gridCol w:w="1127"/>
        <w:gridCol w:w="1246"/>
      </w:tblGrid>
      <w:tr w:rsidR="004E3242" w:rsidRPr="004E3242" w14:paraId="0BF1AB09" w14:textId="77777777" w:rsidTr="00AA7998">
        <w:trPr>
          <w:tblHeader/>
        </w:trPr>
        <w:tc>
          <w:tcPr>
            <w:tcW w:w="278" w:type="pct"/>
            <w:shd w:val="clear" w:color="auto" w:fill="99CC00"/>
            <w:vAlign w:val="center"/>
          </w:tcPr>
          <w:p w14:paraId="67FBCAE3"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772" w:type="pct"/>
            <w:shd w:val="clear" w:color="auto" w:fill="99CC00"/>
            <w:vAlign w:val="center"/>
          </w:tcPr>
          <w:p w14:paraId="41A356EF"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324ADAF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7CBE8B1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34EB0A5C"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31" w:type="pct"/>
            <w:shd w:val="clear" w:color="auto" w:fill="99CC00"/>
            <w:vAlign w:val="center"/>
          </w:tcPr>
          <w:p w14:paraId="37F941F7"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714" w:type="pct"/>
            <w:shd w:val="clear" w:color="auto" w:fill="99CC00"/>
            <w:vAlign w:val="center"/>
          </w:tcPr>
          <w:p w14:paraId="706472B3" w14:textId="77777777" w:rsidR="004E3242" w:rsidRPr="004E3242" w:rsidDel="00597D48"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607" w:type="pct"/>
            <w:shd w:val="clear" w:color="auto" w:fill="99CC00"/>
            <w:vAlign w:val="center"/>
          </w:tcPr>
          <w:p w14:paraId="5891324A"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5543251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74ADCF4" w14:textId="77777777" w:rsidTr="00AA7998">
        <w:tc>
          <w:tcPr>
            <w:tcW w:w="278" w:type="pct"/>
            <w:shd w:val="clear" w:color="auto" w:fill="F2F2F2"/>
            <w:vAlign w:val="center"/>
          </w:tcPr>
          <w:p w14:paraId="513B320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772" w:type="pct"/>
            <w:shd w:val="clear" w:color="auto" w:fill="F2F2F2"/>
            <w:vAlign w:val="center"/>
          </w:tcPr>
          <w:p w14:paraId="66FB853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tc>
        <w:tc>
          <w:tcPr>
            <w:tcW w:w="534" w:type="pct"/>
            <w:shd w:val="clear" w:color="auto" w:fill="F2F2F2"/>
            <w:vAlign w:val="center"/>
          </w:tcPr>
          <w:p w14:paraId="5A31A7A7" w14:textId="77777777" w:rsidR="004E3242" w:rsidRPr="004E3242" w:rsidRDefault="004E3242" w:rsidP="004E3242">
            <w:pPr>
              <w:spacing w:before="60" w:after="60" w:line="240" w:lineRule="auto"/>
              <w:jc w:val="center"/>
              <w:rPr>
                <w:rFonts w:ascii="Arial" w:hAnsi="Arial" w:cs="Arial"/>
                <w:spacing w:val="4"/>
                <w:sz w:val="16"/>
                <w:szCs w:val="16"/>
              </w:rPr>
            </w:pPr>
            <w:proofErr w:type="spellStart"/>
            <w:r w:rsidRPr="004E3242">
              <w:rPr>
                <w:rFonts w:ascii="Arial" w:hAnsi="Arial" w:cs="Arial"/>
                <w:spacing w:val="4"/>
                <w:sz w:val="16"/>
                <w:szCs w:val="16"/>
              </w:rPr>
              <w:t>Mtoe</w:t>
            </w:r>
            <w:proofErr w:type="spellEnd"/>
          </w:p>
        </w:tc>
        <w:tc>
          <w:tcPr>
            <w:tcW w:w="534" w:type="pct"/>
            <w:shd w:val="clear" w:color="auto" w:fill="F2F2F2"/>
            <w:vAlign w:val="center"/>
          </w:tcPr>
          <w:p w14:paraId="3DF99F5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2C6389A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93,3</w:t>
            </w:r>
          </w:p>
        </w:tc>
        <w:tc>
          <w:tcPr>
            <w:tcW w:w="431" w:type="pct"/>
            <w:shd w:val="clear" w:color="auto" w:fill="F2F2F2"/>
            <w:vAlign w:val="center"/>
          </w:tcPr>
          <w:p w14:paraId="01A3ACF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714" w:type="pct"/>
            <w:shd w:val="clear" w:color="auto" w:fill="F2F2F2"/>
            <w:vAlign w:val="center"/>
          </w:tcPr>
          <w:p w14:paraId="7F2F8ADE" w14:textId="77777777" w:rsidR="004E3242" w:rsidRPr="004E3242" w:rsidDel="00597D48"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ok. 96 </w:t>
            </w:r>
            <w:proofErr w:type="spellStart"/>
            <w:r w:rsidRPr="004E3242">
              <w:rPr>
                <w:rFonts w:ascii="Arial" w:hAnsi="Arial" w:cs="Arial"/>
                <w:spacing w:val="4"/>
                <w:sz w:val="16"/>
                <w:szCs w:val="16"/>
              </w:rPr>
              <w:t>Mtoe</w:t>
            </w:r>
            <w:proofErr w:type="spellEnd"/>
            <w:r w:rsidRPr="004E3242">
              <w:rPr>
                <w:rFonts w:ascii="Arial" w:hAnsi="Arial" w:cs="Arial"/>
                <w:spacing w:val="4"/>
                <w:sz w:val="16"/>
                <w:szCs w:val="16"/>
                <w:vertAlign w:val="superscript"/>
              </w:rPr>
              <w:footnoteReference w:id="36"/>
            </w:r>
          </w:p>
        </w:tc>
        <w:tc>
          <w:tcPr>
            <w:tcW w:w="607" w:type="pct"/>
            <w:shd w:val="clear" w:color="auto" w:fill="F2F2F2"/>
            <w:vAlign w:val="center"/>
          </w:tcPr>
          <w:p w14:paraId="5DEF729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Eurostat</w:t>
            </w:r>
          </w:p>
        </w:tc>
        <w:tc>
          <w:tcPr>
            <w:tcW w:w="671" w:type="pct"/>
            <w:shd w:val="clear" w:color="auto" w:fill="F2F2F2"/>
            <w:vAlign w:val="center"/>
          </w:tcPr>
          <w:p w14:paraId="460CE21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221FA3E1" w14:textId="77777777" w:rsidTr="00AA7998">
        <w:tc>
          <w:tcPr>
            <w:tcW w:w="278" w:type="pct"/>
            <w:shd w:val="clear" w:color="auto" w:fill="F2F2F2"/>
            <w:vAlign w:val="center"/>
          </w:tcPr>
          <w:p w14:paraId="0E0B70D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2.</w:t>
            </w:r>
          </w:p>
        </w:tc>
        <w:tc>
          <w:tcPr>
            <w:tcW w:w="772" w:type="pct"/>
            <w:shd w:val="clear" w:color="auto" w:fill="F2F2F2"/>
            <w:vAlign w:val="center"/>
          </w:tcPr>
          <w:p w14:paraId="67F550E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Sprzedaż energii cieplnej </w:t>
            </w:r>
            <w:r w:rsidRPr="004E3242">
              <w:rPr>
                <w:rFonts w:ascii="Arial" w:hAnsi="Arial" w:cs="Arial"/>
                <w:spacing w:val="4"/>
                <w:sz w:val="16"/>
                <w:szCs w:val="16"/>
              </w:rPr>
              <w:lastRenderedPageBreak/>
              <w:t>na cele komunalno-bytowe w budynkach mieszkalnych w przeliczeniu na kubaturę budynków mieszkalnych ogrzewanych centralnie</w:t>
            </w:r>
          </w:p>
        </w:tc>
        <w:tc>
          <w:tcPr>
            <w:tcW w:w="534" w:type="pct"/>
            <w:shd w:val="clear" w:color="auto" w:fill="F2F2F2"/>
            <w:vAlign w:val="center"/>
          </w:tcPr>
          <w:p w14:paraId="492DBBD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 xml:space="preserve">GJ/1 </w:t>
            </w:r>
            <w:r w:rsidRPr="004E3242">
              <w:rPr>
                <w:rFonts w:ascii="Arial" w:hAnsi="Arial" w:cs="Arial"/>
                <w:spacing w:val="4"/>
                <w:sz w:val="16"/>
                <w:szCs w:val="16"/>
              </w:rPr>
              <w:lastRenderedPageBreak/>
              <w:t>dam3</w:t>
            </w:r>
          </w:p>
        </w:tc>
        <w:tc>
          <w:tcPr>
            <w:tcW w:w="534" w:type="pct"/>
            <w:shd w:val="clear" w:color="auto" w:fill="F2F2F2"/>
            <w:vAlign w:val="center"/>
          </w:tcPr>
          <w:p w14:paraId="7A8BB54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n/d</w:t>
            </w:r>
          </w:p>
        </w:tc>
        <w:tc>
          <w:tcPr>
            <w:tcW w:w="458" w:type="pct"/>
            <w:shd w:val="clear" w:color="auto" w:fill="F2F2F2"/>
            <w:vAlign w:val="center"/>
          </w:tcPr>
          <w:p w14:paraId="5CB5D83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137,23</w:t>
            </w:r>
          </w:p>
        </w:tc>
        <w:tc>
          <w:tcPr>
            <w:tcW w:w="431" w:type="pct"/>
            <w:shd w:val="clear" w:color="auto" w:fill="F2F2F2"/>
            <w:vAlign w:val="center"/>
          </w:tcPr>
          <w:p w14:paraId="47342F50"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714" w:type="pct"/>
            <w:shd w:val="clear" w:color="auto" w:fill="F2F2F2"/>
            <w:vAlign w:val="center"/>
          </w:tcPr>
          <w:p w14:paraId="3807E389" w14:textId="77777777" w:rsidR="004E3242" w:rsidRPr="004E3242" w:rsidDel="00597D48"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131,53</w:t>
            </w:r>
            <w:r w:rsidRPr="004E3242">
              <w:rPr>
                <w:rFonts w:ascii="Arial" w:hAnsi="Arial" w:cs="Arial"/>
                <w:spacing w:val="4"/>
                <w:sz w:val="16"/>
                <w:szCs w:val="16"/>
                <w:vertAlign w:val="superscript"/>
              </w:rPr>
              <w:footnoteReference w:id="37"/>
            </w:r>
          </w:p>
        </w:tc>
        <w:tc>
          <w:tcPr>
            <w:tcW w:w="607" w:type="pct"/>
            <w:shd w:val="clear" w:color="auto" w:fill="F2F2F2"/>
            <w:vAlign w:val="center"/>
          </w:tcPr>
          <w:p w14:paraId="21B0BF9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GUS</w:t>
            </w:r>
          </w:p>
        </w:tc>
        <w:tc>
          <w:tcPr>
            <w:tcW w:w="671" w:type="pct"/>
            <w:shd w:val="clear" w:color="auto" w:fill="F2F2F2"/>
            <w:vAlign w:val="center"/>
          </w:tcPr>
          <w:p w14:paraId="14B2958B"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32DEB2ED" w14:textId="77777777" w:rsidR="004E3242" w:rsidRPr="004E3242" w:rsidRDefault="004E3242" w:rsidP="004E3242">
      <w:pPr>
        <w:spacing w:after="120" w:line="280" w:lineRule="exact"/>
        <w:jc w:val="both"/>
        <w:rPr>
          <w:rFonts w:ascii="Arial" w:hAnsi="Arial" w:cs="Arial"/>
          <w:bCs/>
          <w:color w:val="669900"/>
          <w:spacing w:val="4"/>
          <w:szCs w:val="20"/>
        </w:rPr>
      </w:pPr>
    </w:p>
    <w:p w14:paraId="2482ECD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4DC3C2A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Rolą funduszy UE powinno być promowanie efektywności energetycznej poprzez wdrożenie najbardziej efektywnych energetycznie technologii. Jednym z kierunków takich działań może być m.in. głęboka kompleksowa modernizacja energetyczna budynków</w:t>
      </w:r>
      <w:r w:rsidRPr="004E3242">
        <w:rPr>
          <w:rFonts w:ascii="Arial" w:hAnsi="Arial" w:cs="Arial"/>
          <w:spacing w:val="4"/>
          <w:sz w:val="20"/>
          <w:szCs w:val="20"/>
          <w:vertAlign w:val="superscript"/>
        </w:rPr>
        <w:footnoteReference w:id="38"/>
      </w:r>
      <w:r w:rsidRPr="004E3242">
        <w:rPr>
          <w:rFonts w:ascii="Arial" w:hAnsi="Arial" w:cs="Arial"/>
          <w:spacing w:val="4"/>
          <w:sz w:val="20"/>
          <w:szCs w:val="20"/>
        </w:rPr>
        <w:t xml:space="preserve"> użyteczności publicznej i wielorodzinnych mieszkaniowych, skutkująca wykorzystaniem technologii odzysku ciepła i wysokimi parametrami termoizolacyjności. Istotnym elementem utrudniającym poprawę efektywności w budynkach użyteczności publicznej i wielorodzinnych mieszkaniowych jest m.in. brak środków na inwestycje. Przekłada się to na niewielkie możliwości wykonania pogłębionej modernizacji energetycznej i na niewykorzystanie potencjału redukcji zużycia energii w tych budynkach. Głęboka kompleksowa modernizacja energetyczna wraz z wykorzystaniem instalacji OZE i wymianą źródeł ciepła prowadzi do większej redukcji zużycia energii cieplnej i elektrycznej. </w:t>
      </w:r>
    </w:p>
    <w:p w14:paraId="6A103BE4"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Wsparciem będą objęte budynki mieszkalne wielorodzinne oraz budynki użyteczności publicznej </w:t>
      </w:r>
      <w:r w:rsidRPr="004E3242">
        <w:rPr>
          <w:rFonts w:ascii="Arial" w:hAnsi="Arial" w:cs="Arial"/>
          <w:sz w:val="20"/>
          <w:szCs w:val="20"/>
        </w:rPr>
        <w:br/>
        <w:t xml:space="preserve">(m. in. budynki użyteczności publicznej objęte obowiązkiem modernizacji energetycznej na podstawie art. 5 ust. 1 dyrektywy 2012/27/UE w sprawie efektywności energetycznej). </w:t>
      </w:r>
      <w:r w:rsidRPr="004E3242">
        <w:rPr>
          <w:rFonts w:ascii="Arial" w:hAnsi="Arial" w:cs="Arial"/>
          <w:spacing w:val="4"/>
          <w:sz w:val="20"/>
          <w:szCs w:val="20"/>
        </w:rPr>
        <w:t xml:space="preserve">Przewiduje się, że wsparcie dotyczyć będzie głębokiej kompleksowej modernizacji energetycznej budynków wraz </w:t>
      </w:r>
      <w:r w:rsidRPr="004E3242">
        <w:rPr>
          <w:rFonts w:ascii="Arial" w:hAnsi="Arial" w:cs="Arial"/>
          <w:spacing w:val="4"/>
          <w:sz w:val="20"/>
          <w:szCs w:val="20"/>
        </w:rPr>
        <w:br/>
        <w:t>z wymianą wyposażenia tych obiektów na</w:t>
      </w:r>
      <w:r w:rsidRPr="004E3242">
        <w:rPr>
          <w:rFonts w:ascii="Arial" w:hAnsi="Arial" w:cs="Arial"/>
          <w:b/>
          <w:spacing w:val="4"/>
          <w:sz w:val="20"/>
          <w:szCs w:val="20"/>
        </w:rPr>
        <w:t xml:space="preserve"> </w:t>
      </w:r>
      <w:r w:rsidRPr="004E3242">
        <w:rPr>
          <w:rFonts w:ascii="Arial" w:hAnsi="Arial" w:cs="Arial"/>
          <w:spacing w:val="4"/>
          <w:sz w:val="20"/>
          <w:szCs w:val="20"/>
        </w:rPr>
        <w:t>energooszczędne, w tym również w zakresie związanym m.in. z ociepleniem obiektu, wymianą okien, drzwi zewnętrznych oraz oświetlenia na energooszczędne, z przebudową systemów grzewczych</w:t>
      </w:r>
      <w:r w:rsidRPr="004E3242">
        <w:rPr>
          <w:rFonts w:ascii="Arial" w:hAnsi="Arial" w:cs="Arial"/>
          <w:spacing w:val="4"/>
          <w:sz w:val="20"/>
          <w:szCs w:val="20"/>
          <w:vertAlign w:val="superscript"/>
        </w:rPr>
        <w:footnoteReference w:id="39"/>
      </w:r>
      <w:r w:rsidRPr="004E3242">
        <w:rPr>
          <w:rFonts w:ascii="Arial" w:hAnsi="Arial" w:cs="Arial"/>
          <w:spacing w:val="4"/>
          <w:sz w:val="20"/>
          <w:szCs w:val="20"/>
        </w:rPr>
        <w:t xml:space="preserve"> (wraz z wymianą źródła ciepła oraz podłączeniem do niego lub modernizacją przyłącza), systemów wentylacji i klimatyzacji, </w:t>
      </w:r>
      <w:r w:rsidRPr="004E3242">
        <w:rPr>
          <w:rFonts w:ascii="Arial" w:hAnsi="Arial" w:cs="Arial"/>
          <w:spacing w:val="4"/>
          <w:sz w:val="20"/>
          <w:szCs w:val="20"/>
        </w:rPr>
        <w:br/>
        <w:t xml:space="preserve">z instalacją systemów chłodzących, z wprowadzeniem systemów zarzadzania energią. </w:t>
      </w:r>
      <w:r w:rsidRPr="004E3242">
        <w:rPr>
          <w:rFonts w:ascii="Arial" w:hAnsi="Arial" w:cs="Arial"/>
          <w:spacing w:val="4"/>
          <w:sz w:val="20"/>
          <w:szCs w:val="20"/>
        </w:rPr>
        <w:br/>
        <w:t xml:space="preserve">W budynkach powinny być stosowane instalacje OZE, które będą zapewniały przynajmniej częściowe pokrycie zapotrzebowania na energię w tych budynkach, pełniąc jednocześnie rolę demonstracyjną i edukacyjną (o ile wynika to z przeprowadzonego audytu energetycznego). </w:t>
      </w:r>
      <w:r w:rsidRPr="004E3242">
        <w:rPr>
          <w:rFonts w:ascii="Arial" w:hAnsi="Arial" w:cs="Arial"/>
          <w:spacing w:val="4"/>
          <w:sz w:val="20"/>
          <w:szCs w:val="20"/>
        </w:rPr>
        <w:br/>
        <w:t xml:space="preserve">W ramach opisywanego obszaru, </w:t>
      </w:r>
      <w:r w:rsidRPr="004E3242">
        <w:rPr>
          <w:rFonts w:ascii="Arial" w:eastAsia="HelveticaNeueLTPro-Roman" w:hAnsi="Arial" w:cs="Arial"/>
          <w:spacing w:val="4"/>
          <w:sz w:val="20"/>
          <w:szCs w:val="20"/>
          <w:lang w:eastAsia="ja-JP"/>
        </w:rPr>
        <w:t>instalacja OZE budowana na/przy budynkach musi być w pełni dedykowana potrzebom energetycznym obiektu, a jedynie niewykorzystana część energii elektrycznej może być oddawana do sieci dystrybucyjnej.</w:t>
      </w:r>
      <w:r w:rsidRPr="004E3242">
        <w:rPr>
          <w:rFonts w:ascii="Arial" w:hAnsi="Arial" w:cs="Arial"/>
          <w:spacing w:val="4"/>
          <w:sz w:val="20"/>
          <w:szCs w:val="20"/>
        </w:rPr>
        <w:t xml:space="preserve"> Wsparciem mogą również zostać objęte działania związane z przygotowaniem audytów energetycznych takich budynków oraz prac projektowych. Zarówno w przypadku budynków użyteczności publicznej, jak i wielorodzinnych </w:t>
      </w:r>
      <w:r w:rsidRPr="004E3242">
        <w:rPr>
          <w:rFonts w:ascii="Arial" w:hAnsi="Arial" w:cs="Arial"/>
          <w:spacing w:val="4"/>
          <w:sz w:val="20"/>
          <w:szCs w:val="20"/>
        </w:rPr>
        <w:lastRenderedPageBreak/>
        <w:t xml:space="preserve">mieszkaniowych nie wyklucza się zastosowania różnych form partnerstwa publiczno-prywatnego, biorąc pod uwagę inne dostępne mechanizmy wsparcia tego sektora. </w:t>
      </w:r>
    </w:p>
    <w:p w14:paraId="68FC7C33" w14:textId="0E14FBD8" w:rsidR="00F669F5" w:rsidRPr="00F669F5" w:rsidRDefault="00F669F5" w:rsidP="00F669F5">
      <w:pPr>
        <w:autoSpaceDE w:val="0"/>
        <w:autoSpaceDN w:val="0"/>
        <w:adjustRightInd w:val="0"/>
        <w:spacing w:before="120" w:after="120"/>
        <w:jc w:val="both"/>
        <w:rPr>
          <w:rFonts w:ascii="Arial" w:hAnsi="Arial" w:cs="Arial"/>
          <w:sz w:val="20"/>
          <w:szCs w:val="20"/>
        </w:rPr>
      </w:pPr>
      <w:r w:rsidRPr="00D870BE">
        <w:rPr>
          <w:rFonts w:ascii="Arial" w:hAnsi="Arial" w:cs="Arial"/>
          <w:spacing w:val="4"/>
          <w:sz w:val="20"/>
          <w:szCs w:val="20"/>
        </w:rPr>
        <w:t>W ramach projektu modernizacji energetycznej szkół publicznych możliwe będą również działania edukacyjne, jak i promujące aktywność fizyczną na świeżym powietrzu, podnoszące wiedzę nauczycieli, uczniów oraz lokalnych środowisk w zakresie poprawy jakości powietrza i przeciwdziałania trendom zmian klimatycznych i wykorzystania OZE.</w:t>
      </w:r>
      <w:r w:rsidRPr="004E3242">
        <w:rPr>
          <w:rFonts w:ascii="Arial" w:hAnsi="Arial" w:cs="Arial"/>
          <w:spacing w:val="4"/>
          <w:sz w:val="20"/>
          <w:szCs w:val="20"/>
        </w:rPr>
        <w:t xml:space="preserve"> </w:t>
      </w:r>
    </w:p>
    <w:p w14:paraId="0BD679E4" w14:textId="0A18803E" w:rsidR="004E3242" w:rsidRPr="004E3242" w:rsidRDefault="004E3242" w:rsidP="004E3242">
      <w:pPr>
        <w:spacing w:before="120" w:after="120"/>
        <w:jc w:val="both"/>
        <w:rPr>
          <w:rFonts w:ascii="Arial" w:hAnsi="Arial" w:cs="Arial"/>
          <w:sz w:val="20"/>
          <w:szCs w:val="20"/>
        </w:rPr>
      </w:pPr>
      <w:r w:rsidRPr="004E3242">
        <w:rPr>
          <w:rFonts w:ascii="Arial" w:hAnsi="Arial" w:cs="Arial"/>
          <w:spacing w:val="4"/>
          <w:sz w:val="20"/>
          <w:szCs w:val="20"/>
        </w:rPr>
        <w:t xml:space="preserve">Uzupełniająco, w celu podniesienia wiedzy w zakresie efektywności energetycznej, środki będą również przeznaczone na stworzenie ogólnopolskiego systemu wsparcia doradczego dla sektora publicznego i mieszkaniowego oraz przedsiębiorstw w zakresie efektywności energetycznej, OZE </w:t>
      </w:r>
      <w:r w:rsidRPr="004E3242">
        <w:rPr>
          <w:rFonts w:ascii="Arial" w:hAnsi="Arial" w:cs="Arial"/>
          <w:sz w:val="20"/>
          <w:szCs w:val="20"/>
        </w:rPr>
        <w:t xml:space="preserve">oraz gospodarki niskoemisyjnej. Pomoc doradcy dotyczyłaby zagadnień efektywności energetycznej oraz OZE i obejmowałaby prowadzenie działań szkoleniowo-doradczych, zwiększenie świadomości społeczeństwa (w tym grup, którym dedykowane jest wsparcie w ramach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w:t>
      </w:r>
      <w:r w:rsidRPr="004E3242">
        <w:rPr>
          <w:rFonts w:ascii="Arial" w:hAnsi="Arial" w:cs="Arial"/>
          <w:spacing w:val="4"/>
          <w:sz w:val="20"/>
          <w:szCs w:val="20"/>
        </w:rPr>
        <w:t>2014-2020</w:t>
      </w:r>
      <w:r w:rsidRPr="004E3242">
        <w:rPr>
          <w:rFonts w:ascii="Arial" w:hAnsi="Arial" w:cs="Arial"/>
          <w:sz w:val="20"/>
          <w:szCs w:val="20"/>
        </w:rPr>
        <w:t xml:space="preserve">) w obszarze efektywności energetycznej i OZE. Działanie doradcze skierowane będzie do instytucji publicznych, przedsiębiorców oraz osób prywatnych. </w:t>
      </w:r>
    </w:p>
    <w:p w14:paraId="3E0ECE0F"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bCs/>
          <w:spacing w:val="4"/>
          <w:sz w:val="20"/>
          <w:szCs w:val="20"/>
        </w:rPr>
        <w:t xml:space="preserve">Biorąc powyższe pod uwagę, przewiduje się wsparcie głębokiej kompleksowej modernizacji energetycznej budynków użyteczności publicznej i wielorodzinnych mieszkaniowych wraz </w:t>
      </w:r>
      <w:r w:rsidRPr="004E3242">
        <w:rPr>
          <w:rFonts w:ascii="Arial" w:hAnsi="Arial" w:cs="Arial"/>
          <w:bCs/>
          <w:spacing w:val="4"/>
          <w:sz w:val="20"/>
          <w:szCs w:val="20"/>
        </w:rPr>
        <w:br/>
        <w:t>z wymianą wyposażenia tych obiektów na energooszczędne, w zakresie związanym m.in. z:</w:t>
      </w:r>
    </w:p>
    <w:p w14:paraId="5903F20F" w14:textId="77777777" w:rsidR="004E3242" w:rsidRPr="004E3242" w:rsidRDefault="004E3242" w:rsidP="00B345B6">
      <w:pPr>
        <w:numPr>
          <w:ilvl w:val="0"/>
          <w:numId w:val="6"/>
        </w:numPr>
        <w:spacing w:before="120" w:after="120"/>
        <w:jc w:val="both"/>
        <w:rPr>
          <w:rFonts w:ascii="Arial" w:hAnsi="Arial" w:cs="Arial"/>
          <w:spacing w:val="4"/>
          <w:sz w:val="20"/>
          <w:szCs w:val="20"/>
        </w:rPr>
      </w:pPr>
      <w:r w:rsidRPr="004E3242">
        <w:rPr>
          <w:rFonts w:ascii="Arial" w:hAnsi="Arial" w:cs="Arial"/>
          <w:spacing w:val="4"/>
          <w:sz w:val="20"/>
          <w:szCs w:val="20"/>
        </w:rPr>
        <w:t xml:space="preserve">ociepleniem obiektu, wymianą okien, drzwi zewnętrznych oraz oświetlenia </w:t>
      </w:r>
      <w:r w:rsidRPr="004E3242">
        <w:rPr>
          <w:rFonts w:ascii="Arial" w:hAnsi="Arial" w:cs="Arial"/>
          <w:spacing w:val="4"/>
          <w:sz w:val="20"/>
          <w:szCs w:val="20"/>
        </w:rPr>
        <w:br/>
        <w:t>na energooszczędne;</w:t>
      </w:r>
    </w:p>
    <w:p w14:paraId="076A16C6" w14:textId="77777777" w:rsidR="004E3242" w:rsidRPr="004E3242" w:rsidRDefault="004E3242" w:rsidP="00B345B6">
      <w:pPr>
        <w:numPr>
          <w:ilvl w:val="0"/>
          <w:numId w:val="6"/>
        </w:numPr>
        <w:spacing w:before="120" w:after="120"/>
        <w:jc w:val="both"/>
        <w:rPr>
          <w:rFonts w:ascii="Arial" w:hAnsi="Arial" w:cs="Arial"/>
          <w:spacing w:val="4"/>
          <w:sz w:val="20"/>
          <w:szCs w:val="20"/>
        </w:rPr>
      </w:pPr>
      <w:r w:rsidRPr="004E3242">
        <w:rPr>
          <w:rFonts w:ascii="Arial" w:hAnsi="Arial" w:cs="Arial"/>
          <w:spacing w:val="4"/>
          <w:sz w:val="20"/>
          <w:szCs w:val="20"/>
        </w:rPr>
        <w:t>przebudową systemów grzewczych (wraz z wymianą i przyłączeniem źródła ciepła), systemów wentylacji i klimatyzacji, zastosowaniem automatyki pogodowej i systemów zarządzania budynkiem;</w:t>
      </w:r>
    </w:p>
    <w:p w14:paraId="0BF85DEF" w14:textId="77777777" w:rsidR="004E3242" w:rsidRPr="004E3242" w:rsidRDefault="004E3242" w:rsidP="00B345B6">
      <w:pPr>
        <w:numPr>
          <w:ilvl w:val="0"/>
          <w:numId w:val="6"/>
        </w:numPr>
        <w:spacing w:before="120" w:after="120"/>
        <w:jc w:val="both"/>
        <w:rPr>
          <w:rFonts w:ascii="Arial" w:hAnsi="Arial" w:cs="Arial"/>
          <w:spacing w:val="4"/>
          <w:sz w:val="20"/>
          <w:szCs w:val="20"/>
        </w:rPr>
      </w:pPr>
      <w:r w:rsidRPr="004E3242">
        <w:rPr>
          <w:rFonts w:ascii="Arial" w:hAnsi="Arial" w:cs="Arial"/>
          <w:spacing w:val="4"/>
          <w:sz w:val="20"/>
          <w:szCs w:val="20"/>
        </w:rPr>
        <w:t>budową lub modernizacją wewnętrznych instalacji odbiorczych oraz likwidacją dotychczasowych źródeł ciepła;</w:t>
      </w:r>
    </w:p>
    <w:p w14:paraId="52384F8C" w14:textId="77777777" w:rsidR="004E3242" w:rsidRPr="004E3242" w:rsidRDefault="004E3242" w:rsidP="00B345B6">
      <w:pPr>
        <w:numPr>
          <w:ilvl w:val="0"/>
          <w:numId w:val="6"/>
        </w:numPr>
        <w:spacing w:before="120" w:after="120"/>
        <w:jc w:val="both"/>
        <w:rPr>
          <w:rFonts w:ascii="Arial" w:hAnsi="Arial" w:cs="Arial"/>
          <w:spacing w:val="4"/>
          <w:sz w:val="20"/>
          <w:szCs w:val="20"/>
        </w:rPr>
      </w:pPr>
      <w:r w:rsidRPr="004E3242">
        <w:rPr>
          <w:rFonts w:ascii="Arial" w:hAnsi="Arial" w:cs="Arial"/>
          <w:spacing w:val="4"/>
          <w:sz w:val="20"/>
          <w:szCs w:val="20"/>
        </w:rPr>
        <w:t xml:space="preserve">instalacją </w:t>
      </w:r>
      <w:proofErr w:type="spellStart"/>
      <w:r w:rsidRPr="004E3242">
        <w:rPr>
          <w:rFonts w:ascii="Arial" w:hAnsi="Arial" w:cs="Arial"/>
          <w:spacing w:val="4"/>
          <w:sz w:val="20"/>
          <w:szCs w:val="20"/>
        </w:rPr>
        <w:t>mikrogeneracji</w:t>
      </w:r>
      <w:proofErr w:type="spellEnd"/>
      <w:r w:rsidRPr="004E3242">
        <w:rPr>
          <w:rFonts w:ascii="Arial" w:hAnsi="Arial" w:cs="Arial"/>
          <w:spacing w:val="4"/>
          <w:sz w:val="20"/>
          <w:szCs w:val="20"/>
        </w:rPr>
        <w:t xml:space="preserve"> lub </w:t>
      </w:r>
      <w:proofErr w:type="spellStart"/>
      <w:r w:rsidRPr="004E3242">
        <w:rPr>
          <w:rFonts w:ascii="Arial" w:hAnsi="Arial" w:cs="Arial"/>
          <w:spacing w:val="4"/>
          <w:sz w:val="20"/>
          <w:szCs w:val="20"/>
        </w:rPr>
        <w:t>mikrotrigeneracji</w:t>
      </w:r>
      <w:proofErr w:type="spellEnd"/>
      <w:r w:rsidRPr="004E3242">
        <w:rPr>
          <w:rFonts w:ascii="Arial" w:hAnsi="Arial" w:cs="Arial"/>
          <w:spacing w:val="4"/>
          <w:sz w:val="20"/>
          <w:szCs w:val="20"/>
        </w:rPr>
        <w:t xml:space="preserve"> na potrzeby własne,</w:t>
      </w:r>
    </w:p>
    <w:p w14:paraId="555090C4" w14:textId="77777777" w:rsidR="004E3242" w:rsidRPr="004E3242" w:rsidRDefault="004E3242" w:rsidP="00B345B6">
      <w:pPr>
        <w:numPr>
          <w:ilvl w:val="0"/>
          <w:numId w:val="6"/>
        </w:numPr>
        <w:spacing w:before="120" w:after="120"/>
        <w:jc w:val="both"/>
        <w:rPr>
          <w:rFonts w:ascii="Arial" w:hAnsi="Arial" w:cs="Arial"/>
          <w:spacing w:val="4"/>
          <w:sz w:val="20"/>
          <w:szCs w:val="20"/>
        </w:rPr>
      </w:pPr>
      <w:r w:rsidRPr="004E3242">
        <w:rPr>
          <w:rFonts w:ascii="Arial" w:hAnsi="Arial" w:cs="Arial"/>
          <w:spacing w:val="4"/>
          <w:sz w:val="20"/>
          <w:szCs w:val="20"/>
        </w:rPr>
        <w:t>instalacją OZE w modernizowanych energetycznie budynkach (o ile wynika to z audytu energetycznego);</w:t>
      </w:r>
    </w:p>
    <w:p w14:paraId="0ECE800E" w14:textId="77777777" w:rsidR="004E3242" w:rsidRPr="004E3242" w:rsidRDefault="004E3242" w:rsidP="00B345B6">
      <w:pPr>
        <w:numPr>
          <w:ilvl w:val="0"/>
          <w:numId w:val="6"/>
        </w:numPr>
        <w:spacing w:before="120" w:after="120"/>
        <w:jc w:val="both"/>
        <w:rPr>
          <w:rFonts w:ascii="Arial" w:hAnsi="Arial" w:cs="Arial"/>
          <w:spacing w:val="4"/>
          <w:sz w:val="20"/>
          <w:szCs w:val="20"/>
        </w:rPr>
      </w:pPr>
      <w:r w:rsidRPr="004E3242">
        <w:rPr>
          <w:rFonts w:ascii="Arial" w:hAnsi="Arial" w:cs="Arial"/>
          <w:spacing w:val="4"/>
          <w:sz w:val="20"/>
          <w:szCs w:val="20"/>
        </w:rPr>
        <w:t>instalacją systemów chłodzących, w tym również z OZE.</w:t>
      </w:r>
    </w:p>
    <w:p w14:paraId="23134C30" w14:textId="77777777" w:rsid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Działania związane z modernizacją energetyczną budynków użyteczności publicznej i mieszkalnych wielorodzinnych</w:t>
      </w:r>
      <w:r w:rsidRPr="004E3242">
        <w:rPr>
          <w:rFonts w:ascii="Arial" w:hAnsi="Arial" w:cs="Arial"/>
          <w:sz w:val="20"/>
          <w:szCs w:val="20"/>
          <w:vertAlign w:val="superscript"/>
        </w:rPr>
        <w:footnoteReference w:id="40"/>
      </w:r>
      <w:r w:rsidRPr="004E3242">
        <w:rPr>
          <w:rFonts w:ascii="Arial" w:hAnsi="Arial" w:cs="Arial"/>
          <w:sz w:val="20"/>
          <w:szCs w:val="20"/>
        </w:rPr>
        <w:t xml:space="preserve"> powinny promować kompleksowy wymiar poprzez koordynację z projektami dotyczącymi wysokosprawnych źródeł ciepła oraz modernizacji sieci dystrybucji ciepła. Koszty realizacji takich projektów powinny być adekwatne do realizowanego zakresu inwestycji </w:t>
      </w:r>
      <w:r w:rsidRPr="004E3242">
        <w:rPr>
          <w:rFonts w:ascii="Arial" w:hAnsi="Arial" w:cs="Arial"/>
          <w:sz w:val="20"/>
          <w:szCs w:val="20"/>
        </w:rPr>
        <w:br/>
        <w:t xml:space="preserve">i potencjalnych oszczędności energii. Poza tym obowiązkowym warunkiem, poprzedzającym realizacje takich projektów, jest przeprowadzenie audytów energetycznych. W audycie zostaną wybrane te prace modernizacyjne, które będą skutkowały największą oszczędnością energii. Jednakże, nawet w przypadku bardziej skomplikowanych prac nie jest planowane przeprowadzanie ich etapowo. Dlatego też podmioty publiczne i prywatne muszą sporządzać swoje plany w oparciu o oceny potrzeb obejmujące wykazy posiadanych budynków oraz związane z nimi koszty energii, w których należy priorytetowo traktować budynki o największym potencjale w zakresie oszczędności energii. </w:t>
      </w:r>
    </w:p>
    <w:p w14:paraId="365EA2A2" w14:textId="77777777" w:rsidR="001A6107" w:rsidRDefault="001A6107" w:rsidP="001A6107">
      <w:pPr>
        <w:autoSpaceDE w:val="0"/>
        <w:autoSpaceDN w:val="0"/>
        <w:adjustRightInd w:val="0"/>
        <w:spacing w:before="120" w:after="120"/>
        <w:jc w:val="both"/>
        <w:rPr>
          <w:rFonts w:ascii="Arial" w:hAnsi="Arial" w:cs="Arial"/>
          <w:sz w:val="20"/>
          <w:szCs w:val="20"/>
        </w:rPr>
      </w:pPr>
      <w:r w:rsidRPr="006E2DD7">
        <w:rPr>
          <w:rFonts w:ascii="Arial" w:hAnsi="Arial" w:cs="Arial"/>
          <w:sz w:val="20"/>
          <w:szCs w:val="20"/>
        </w:rPr>
        <w:t>W zakresie określonym przez audyt energetyczny finansowane mogą być dodatkowe elementy poprawiające dostępność dla osób z niepełnosprawnościami</w:t>
      </w:r>
      <w:r>
        <w:rPr>
          <w:rFonts w:ascii="Arial" w:hAnsi="Arial" w:cs="Arial"/>
          <w:sz w:val="20"/>
          <w:szCs w:val="20"/>
        </w:rPr>
        <w:t xml:space="preserve"> (tj.</w:t>
      </w:r>
      <w:r w:rsidRPr="00F462A2">
        <w:rPr>
          <w:rFonts w:ascii="Arial" w:hAnsi="Arial" w:cs="Arial"/>
          <w:sz w:val="20"/>
          <w:szCs w:val="20"/>
        </w:rPr>
        <w:t xml:space="preserve"> </w:t>
      </w:r>
      <w:r w:rsidRPr="00CB2037">
        <w:rPr>
          <w:rFonts w:ascii="Arial" w:hAnsi="Arial" w:cs="Arial"/>
          <w:sz w:val="20"/>
          <w:szCs w:val="20"/>
        </w:rPr>
        <w:t>poprzez zastosowanie różnego rodzaju technologii czy rozwiązań np. montaż windy, podjazdów,</w:t>
      </w:r>
      <w:r>
        <w:rPr>
          <w:rFonts w:ascii="Arial" w:hAnsi="Arial" w:cs="Arial"/>
          <w:sz w:val="20"/>
          <w:szCs w:val="20"/>
        </w:rPr>
        <w:t xml:space="preserve"> barierek lub inne udogodnienia)</w:t>
      </w:r>
      <w:r w:rsidRPr="006E2DD7">
        <w:rPr>
          <w:rFonts w:ascii="Arial" w:hAnsi="Arial" w:cs="Arial"/>
          <w:sz w:val="20"/>
          <w:szCs w:val="20"/>
        </w:rPr>
        <w:t xml:space="preserve">. Prace budowlane w zakresie poprawy dostępności budynku będą prowadzone w zakresie </w:t>
      </w:r>
      <w:r w:rsidRPr="006E2DD7">
        <w:rPr>
          <w:rFonts w:ascii="Arial" w:hAnsi="Arial" w:cs="Arial"/>
          <w:sz w:val="20"/>
          <w:szCs w:val="20"/>
        </w:rPr>
        <w:lastRenderedPageBreak/>
        <w:t>proporcjonalnym i adekwatnym do głównego celu projektu, którym pozostaje poprawa efektywności energetycznej budynku. Prace zwiększające dostępność wychodzące poza ten zakres nie będą kwalifikowalne</w:t>
      </w:r>
      <w:r>
        <w:rPr>
          <w:rFonts w:ascii="Arial" w:hAnsi="Arial" w:cs="Arial"/>
          <w:sz w:val="20"/>
          <w:szCs w:val="20"/>
        </w:rPr>
        <w:t>.</w:t>
      </w:r>
    </w:p>
    <w:p w14:paraId="6791E87B" w14:textId="77777777" w:rsidR="00B21C07" w:rsidRPr="00B21C07" w:rsidRDefault="00B21C07" w:rsidP="00B21C07">
      <w:pPr>
        <w:autoSpaceDE w:val="0"/>
        <w:autoSpaceDN w:val="0"/>
        <w:adjustRightInd w:val="0"/>
        <w:spacing w:before="120" w:after="120"/>
        <w:jc w:val="both"/>
        <w:rPr>
          <w:rFonts w:ascii="Arial" w:hAnsi="Arial" w:cs="Arial"/>
          <w:color w:val="000000"/>
          <w:sz w:val="20"/>
          <w:szCs w:val="20"/>
          <w:lang w:eastAsia="pl-PL"/>
        </w:rPr>
      </w:pPr>
      <w:r w:rsidRPr="00B21C07">
        <w:rPr>
          <w:rFonts w:ascii="Arial" w:hAnsi="Arial" w:cs="Arial"/>
          <w:color w:val="000000"/>
          <w:sz w:val="20"/>
          <w:szCs w:val="20"/>
          <w:lang w:eastAsia="pl-PL"/>
        </w:rPr>
        <w:t>Ponadto, wsparcie będą mogły uzyskać działania na rzecz przygotowania inwestycji poprzez dofinansowanie w ramach projektów przygotowawczych dokumentacji projektowej, przetargowej, planistycznej dla inwestycji infrastrukturalnych, które będą możliwe do zrealizowania ze środków tego programu lub programów operacyjnych polityki spójności realizowanych w okresie programowania następującym bezpośrednio po roku 2020 (projekty przygotowawcze).</w:t>
      </w:r>
    </w:p>
    <w:p w14:paraId="6390A966" w14:textId="77777777" w:rsidR="005E0E98" w:rsidRDefault="00B21C07" w:rsidP="00F85713">
      <w:pPr>
        <w:jc w:val="both"/>
        <w:rPr>
          <w:rFonts w:ascii="Arial" w:hAnsi="Arial" w:cs="Arial"/>
          <w:iCs/>
          <w:sz w:val="20"/>
          <w:szCs w:val="20"/>
        </w:rPr>
      </w:pPr>
      <w:r w:rsidRPr="00B21C07">
        <w:rPr>
          <w:rFonts w:ascii="Arial" w:hAnsi="Arial" w:cs="Arial"/>
          <w:color w:val="000000"/>
          <w:sz w:val="20"/>
          <w:szCs w:val="20"/>
          <w:lang w:eastAsia="pl-PL"/>
        </w:rPr>
        <w:t>Do dokumentów zamknięcia tego programu zostanie dołączona lista wszystkich dofinansowanych projektów przygotowawczych wraz z listą odpowiadających im inwestycji możliwych do zrealizowania w ramach tego programu lub programów operacyjnych polityki spójności następujących po roku 2020.</w:t>
      </w:r>
    </w:p>
    <w:p w14:paraId="3FBF8B6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325447C9" w14:textId="004149E0"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wsparcie przewidziane jest dla organów władzy publicznej, w tym państwowych jednostek budżetowych i administracji rządowej oraz podległych jej organów </w:t>
      </w:r>
      <w:r w:rsidRPr="004E3242">
        <w:rPr>
          <w:rFonts w:ascii="Arial" w:hAnsi="Arial" w:cs="Arial"/>
          <w:sz w:val="20"/>
          <w:szCs w:val="20"/>
        </w:rPr>
        <w:t>i jednostek organizacyjnych</w:t>
      </w:r>
      <w:r w:rsidR="00D4144D">
        <w:rPr>
          <w:rFonts w:ascii="Arial" w:hAnsi="Arial" w:cs="Arial"/>
          <w:spacing w:val="4"/>
          <w:sz w:val="20"/>
          <w:szCs w:val="20"/>
        </w:rPr>
        <w:t>,</w:t>
      </w:r>
      <w:r w:rsidR="001C7467" w:rsidRPr="001C7467">
        <w:rPr>
          <w:rFonts w:ascii="Arial" w:hAnsi="Arial" w:cs="Arial"/>
          <w:b/>
          <w:sz w:val="20"/>
          <w:szCs w:val="20"/>
        </w:rPr>
        <w:t xml:space="preserve"> </w:t>
      </w:r>
      <w:r w:rsidR="000F0470">
        <w:rPr>
          <w:rFonts w:ascii="Arial" w:hAnsi="Arial" w:cs="Arial"/>
          <w:spacing w:val="4"/>
          <w:sz w:val="20"/>
          <w:szCs w:val="20"/>
        </w:rPr>
        <w:t>szkół publicznych,</w:t>
      </w:r>
      <w:r w:rsidR="000F0470" w:rsidRPr="001C7467">
        <w:rPr>
          <w:rFonts w:ascii="Arial" w:hAnsi="Arial" w:cs="Arial"/>
          <w:b/>
          <w:sz w:val="20"/>
          <w:szCs w:val="20"/>
        </w:rPr>
        <w:t xml:space="preserve"> </w:t>
      </w:r>
      <w:r w:rsidR="001C7467" w:rsidRPr="00606898">
        <w:rPr>
          <w:rFonts w:ascii="Arial" w:hAnsi="Arial" w:cs="Arial"/>
          <w:sz w:val="20"/>
          <w:szCs w:val="20"/>
        </w:rPr>
        <w:t>jednostek samorządu terytorialnego na terenie województwa śląskiego,</w:t>
      </w:r>
      <w:r w:rsidR="00D4144D">
        <w:rPr>
          <w:rFonts w:ascii="Arial" w:hAnsi="Arial" w:cs="Arial"/>
          <w:spacing w:val="4"/>
          <w:sz w:val="20"/>
          <w:szCs w:val="20"/>
        </w:rPr>
        <w:t xml:space="preserve"> </w:t>
      </w:r>
      <w:r w:rsidRPr="004E3242">
        <w:rPr>
          <w:rFonts w:ascii="Arial" w:hAnsi="Arial" w:cs="Arial"/>
          <w:spacing w:val="4"/>
          <w:sz w:val="20"/>
          <w:szCs w:val="20"/>
        </w:rPr>
        <w:t xml:space="preserve">spółdzielni mieszkaniowych oraz wspólnot mieszkaniowych, państwowych osób prawnych, a także podmiotów będących dostawcami usług energetycznych w rozumieniu dyrektywy 2012/27/UE. </w:t>
      </w:r>
      <w:r w:rsidR="000F0470">
        <w:rPr>
          <w:rFonts w:ascii="Arial" w:hAnsi="Arial" w:cs="Arial"/>
          <w:spacing w:val="4"/>
          <w:sz w:val="20"/>
          <w:szCs w:val="20"/>
        </w:rPr>
        <w:t>W przypadku wsparcia szkół publicznych, beneficjentem projektu grantowego wybieranego w trybie pozakonkursowym, będzie Narodowy Fundusz Ochrony Środowiska i Gospodarki Wodnej.</w:t>
      </w:r>
    </w:p>
    <w:p w14:paraId="6652C189"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Z uwagi na to, że interwencja będzie miała charakter horyzontalny i dotyczyła całego kraju, grupami docelowymi wsparcia będą użytkownicy korzystający ze wspartej infrastruktury.</w:t>
      </w:r>
    </w:p>
    <w:p w14:paraId="0FD7849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5A06EDFF" w14:textId="77777777" w:rsidR="00AA0A73"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Wsparcie ma charakter horyzontalny i dotyczy całego kraju. Inwestycje realizowane w ramach priorytetu będą w istotnej mierze zlokalizowane na terenach miejskich, przede wszystkim wojewódzkich (i </w:t>
      </w:r>
      <w:r w:rsidR="00483746" w:rsidRPr="004E3242">
        <w:rPr>
          <w:rFonts w:ascii="Arial" w:hAnsi="Arial" w:cs="Arial"/>
          <w:sz w:val="20"/>
          <w:szCs w:val="20"/>
        </w:rPr>
        <w:t>obszar</w:t>
      </w:r>
      <w:r w:rsidR="00483746">
        <w:rPr>
          <w:rFonts w:ascii="Arial" w:hAnsi="Arial" w:cs="Arial"/>
          <w:sz w:val="20"/>
          <w:szCs w:val="20"/>
        </w:rPr>
        <w:t>ach</w:t>
      </w:r>
      <w:r w:rsidR="00483746" w:rsidRPr="004E3242">
        <w:rPr>
          <w:rFonts w:ascii="Arial" w:hAnsi="Arial" w:cs="Arial"/>
          <w:sz w:val="20"/>
          <w:szCs w:val="20"/>
        </w:rPr>
        <w:t xml:space="preserve"> </w:t>
      </w:r>
      <w:r w:rsidRPr="004E3242">
        <w:rPr>
          <w:rFonts w:ascii="Arial" w:hAnsi="Arial" w:cs="Arial"/>
          <w:sz w:val="20"/>
          <w:szCs w:val="20"/>
        </w:rPr>
        <w:t>powiązanych z nimi funkcjonalnie)</w:t>
      </w:r>
      <w:r w:rsidR="004234B7">
        <w:rPr>
          <w:rFonts w:ascii="Arial" w:hAnsi="Arial" w:cs="Arial"/>
          <w:sz w:val="20"/>
          <w:szCs w:val="20"/>
        </w:rPr>
        <w:t>.</w:t>
      </w:r>
      <w:r w:rsidRPr="004E3242">
        <w:rPr>
          <w:rFonts w:ascii="Arial" w:hAnsi="Arial" w:cs="Arial"/>
          <w:sz w:val="20"/>
          <w:szCs w:val="20"/>
        </w:rPr>
        <w:t xml:space="preserve"> Zakresem interwencji mogą być również objęte miasta regionalne oraz </w:t>
      </w:r>
      <w:proofErr w:type="spellStart"/>
      <w:r w:rsidRPr="004E3242">
        <w:rPr>
          <w:rFonts w:ascii="Arial" w:hAnsi="Arial" w:cs="Arial"/>
          <w:sz w:val="20"/>
          <w:szCs w:val="20"/>
        </w:rPr>
        <w:t>subregionalne</w:t>
      </w:r>
      <w:proofErr w:type="spellEnd"/>
      <w:r w:rsidR="00475451">
        <w:rPr>
          <w:rFonts w:ascii="Arial" w:hAnsi="Arial" w:cs="Arial"/>
          <w:sz w:val="20"/>
          <w:szCs w:val="20"/>
        </w:rPr>
        <w:t xml:space="preserve"> </w:t>
      </w:r>
      <w:r w:rsidR="00475451" w:rsidRPr="00161F62">
        <w:rPr>
          <w:rFonts w:ascii="Arial" w:hAnsi="Arial" w:cs="Arial"/>
          <w:sz w:val="20"/>
          <w:szCs w:val="20"/>
        </w:rPr>
        <w:t xml:space="preserve">(uwzględniające miasta średnie, w tym tracące funkcje społeczno-gospodarcze, o których mowa w rozdziale 3.1.2 Umowy Partnerstwa, </w:t>
      </w:r>
      <w:r w:rsidR="00DF6CFD" w:rsidRPr="00161F62">
        <w:rPr>
          <w:rFonts w:ascii="Arial" w:hAnsi="Arial" w:cs="Arial"/>
          <w:sz w:val="20"/>
          <w:szCs w:val="20"/>
        </w:rPr>
        <w:t xml:space="preserve">niemniej </w:t>
      </w:r>
      <w:r w:rsidR="00475451" w:rsidRPr="00161F62">
        <w:rPr>
          <w:rFonts w:ascii="Arial" w:hAnsi="Arial" w:cs="Arial"/>
          <w:sz w:val="20"/>
          <w:szCs w:val="20"/>
        </w:rPr>
        <w:t>biorąc pod uwagę interwencję przewidzianą w Regionalnych Programach Operacyjnych</w:t>
      </w:r>
      <w:r w:rsidR="004C1749" w:rsidRPr="00161F62">
        <w:rPr>
          <w:rFonts w:ascii="Arial" w:hAnsi="Arial" w:cs="Arial"/>
          <w:sz w:val="20"/>
          <w:szCs w:val="20"/>
        </w:rPr>
        <w:t>, zapewniając</w:t>
      </w:r>
      <w:r w:rsidR="00475451" w:rsidRPr="00161F62">
        <w:rPr>
          <w:rFonts w:ascii="Arial" w:hAnsi="Arial" w:cs="Arial"/>
          <w:sz w:val="20"/>
          <w:szCs w:val="20"/>
        </w:rPr>
        <w:t xml:space="preserve"> </w:t>
      </w:r>
      <w:r w:rsidR="004C1749" w:rsidRPr="00161F62">
        <w:rPr>
          <w:rFonts w:ascii="Arial" w:hAnsi="Arial" w:cs="Arial"/>
          <w:sz w:val="20"/>
          <w:szCs w:val="20"/>
        </w:rPr>
        <w:t>brak</w:t>
      </w:r>
      <w:r w:rsidR="00475451" w:rsidRPr="00161F62">
        <w:rPr>
          <w:rFonts w:ascii="Arial" w:hAnsi="Arial" w:cs="Arial"/>
          <w:sz w:val="20"/>
          <w:szCs w:val="20"/>
        </w:rPr>
        <w:t xml:space="preserve"> negatywnego wpływu dla absorpcji środków UE alokowanych w RPO)</w:t>
      </w:r>
      <w:r w:rsidRPr="00161F62">
        <w:rPr>
          <w:rFonts w:ascii="Arial" w:hAnsi="Arial" w:cs="Arial"/>
          <w:sz w:val="20"/>
          <w:szCs w:val="20"/>
        </w:rPr>
        <w:t>.</w:t>
      </w:r>
      <w:r w:rsidRPr="00C62F53">
        <w:rPr>
          <w:rFonts w:ascii="Arial" w:hAnsi="Arial" w:cs="Arial"/>
          <w:sz w:val="20"/>
          <w:szCs w:val="20"/>
          <w:highlight w:val="yellow"/>
        </w:rPr>
        <w:t xml:space="preserve"> </w:t>
      </w:r>
    </w:p>
    <w:p w14:paraId="56E5389C"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Realizacja inwestycji zaplanowanych w ramach priorytetu inwestycyjnego sprzyjać będzie wypełnianiu założeń Strategii UE dla Regionu Morza Bałtyckiego. Planowane do realizacji projekty będą wpisywać się w szczególności w cele przyjęte dla obszaru priorytetowego ENERGY </w:t>
      </w:r>
      <w:r w:rsidRPr="004E3242">
        <w:rPr>
          <w:rFonts w:ascii="Arial" w:hAnsi="Arial" w:cs="Arial"/>
          <w:i/>
          <w:sz w:val="20"/>
          <w:szCs w:val="20"/>
        </w:rPr>
        <w:t>Poprawa dostępu do wydajnych oraz bezpiecznych rynków energii</w:t>
      </w:r>
      <w:r w:rsidRPr="004E3242">
        <w:rPr>
          <w:rFonts w:ascii="Arial" w:hAnsi="Arial" w:cs="Arial"/>
          <w:sz w:val="20"/>
          <w:szCs w:val="20"/>
        </w:rPr>
        <w:t xml:space="preserve"> oraz służyć będą osiągnięciu celu szczegółowego SUE RMB </w:t>
      </w:r>
      <w:r w:rsidRPr="004E3242">
        <w:rPr>
          <w:rFonts w:ascii="Arial" w:hAnsi="Arial" w:cs="Arial"/>
          <w:i/>
          <w:sz w:val="20"/>
          <w:szCs w:val="20"/>
        </w:rPr>
        <w:t>Adaptacja do zmiany klimatu, zapobieganie oraz zarządzanie ryzykiem</w:t>
      </w:r>
      <w:r w:rsidRPr="004E3242">
        <w:rPr>
          <w:rFonts w:ascii="Arial" w:hAnsi="Arial" w:cs="Arial"/>
          <w:sz w:val="20"/>
          <w:szCs w:val="20"/>
        </w:rPr>
        <w:t>.</w:t>
      </w:r>
    </w:p>
    <w:p w14:paraId="32B9A4D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16F6BD94" w14:textId="77777777" w:rsid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pacing w:val="4"/>
          <w:sz w:val="20"/>
          <w:szCs w:val="20"/>
        </w:rPr>
        <w:t xml:space="preserve">W ramach priorytetu inwestycyjnego, </w:t>
      </w:r>
      <w:r w:rsidRPr="004E3242">
        <w:rPr>
          <w:rFonts w:ascii="Arial" w:hAnsi="Arial" w:cs="Arial"/>
          <w:sz w:val="20"/>
          <w:szCs w:val="20"/>
        </w:rPr>
        <w:t>wsparciem objęte zostaną projekty wyłaniane w trybie konkursowym i pozakonkursowym. Podstawowym trybem wyboru będzie tryb konkursowy.</w:t>
      </w:r>
    </w:p>
    <w:p w14:paraId="12D3A3F2" w14:textId="069E43D9" w:rsidR="004E3242" w:rsidRPr="004E3242" w:rsidRDefault="003912AF" w:rsidP="004E3242">
      <w:pPr>
        <w:autoSpaceDE w:val="0"/>
        <w:autoSpaceDN w:val="0"/>
        <w:adjustRightInd w:val="0"/>
        <w:spacing w:before="120" w:after="120"/>
        <w:jc w:val="both"/>
        <w:rPr>
          <w:rFonts w:ascii="Arial" w:hAnsi="Arial" w:cs="Arial"/>
          <w:sz w:val="20"/>
          <w:szCs w:val="20"/>
        </w:rPr>
      </w:pPr>
      <w:r w:rsidRPr="00606898">
        <w:rPr>
          <w:rFonts w:ascii="Arial" w:hAnsi="Arial" w:cs="Arial"/>
          <w:spacing w:val="4"/>
          <w:sz w:val="20"/>
          <w:szCs w:val="20"/>
        </w:rPr>
        <w:t xml:space="preserve">W przypadku projektów sektora mieszkaniowego realizowanych na terenie miast wojewódzkich </w:t>
      </w:r>
      <w:r w:rsidR="00606898">
        <w:rPr>
          <w:rFonts w:ascii="Arial" w:hAnsi="Arial" w:cs="Arial"/>
          <w:spacing w:val="4"/>
          <w:sz w:val="20"/>
          <w:szCs w:val="20"/>
        </w:rPr>
        <w:br/>
      </w:r>
      <w:r w:rsidRPr="00606898">
        <w:rPr>
          <w:rFonts w:ascii="Arial" w:hAnsi="Arial" w:cs="Arial"/>
          <w:spacing w:val="4"/>
          <w:sz w:val="20"/>
          <w:szCs w:val="20"/>
        </w:rPr>
        <w:t xml:space="preserve">i ich obszarów funkcjonalnych wymagane jest, aby miasta te posiadały strategie Zintegrowanych Inwestycji </w:t>
      </w:r>
      <w:proofErr w:type="spellStart"/>
      <w:r w:rsidRPr="00606898">
        <w:rPr>
          <w:rFonts w:ascii="Arial" w:hAnsi="Arial" w:cs="Arial"/>
          <w:spacing w:val="4"/>
          <w:sz w:val="20"/>
          <w:szCs w:val="20"/>
        </w:rPr>
        <w:t>Terytorialnych.</w:t>
      </w:r>
      <w:r w:rsidR="004E3242" w:rsidRPr="004E3242">
        <w:rPr>
          <w:rFonts w:ascii="Arial" w:hAnsi="Arial" w:cs="Arial"/>
          <w:spacing w:val="4"/>
          <w:sz w:val="20"/>
          <w:szCs w:val="20"/>
        </w:rPr>
        <w:t>Uzupełniające</w:t>
      </w:r>
      <w:proofErr w:type="spellEnd"/>
      <w:r w:rsidR="004E3242" w:rsidRPr="004E3242">
        <w:rPr>
          <w:rFonts w:ascii="Arial" w:hAnsi="Arial" w:cs="Arial"/>
          <w:spacing w:val="4"/>
          <w:sz w:val="20"/>
          <w:szCs w:val="20"/>
        </w:rPr>
        <w:t xml:space="preserve"> działania, które nie zostały wymienione w </w:t>
      </w:r>
      <w:r w:rsidR="004E3242" w:rsidRPr="004E3242">
        <w:rPr>
          <w:rFonts w:ascii="Arial" w:hAnsi="Arial" w:cs="Arial"/>
          <w:i/>
          <w:spacing w:val="4"/>
          <w:sz w:val="20"/>
          <w:szCs w:val="20"/>
        </w:rPr>
        <w:t>Zintegrowanych Inwestycji Terytorialnych</w:t>
      </w:r>
      <w:r w:rsidR="004E3242" w:rsidRPr="004E3242">
        <w:rPr>
          <w:rFonts w:ascii="Arial" w:hAnsi="Arial" w:cs="Arial"/>
          <w:spacing w:val="4"/>
          <w:sz w:val="20"/>
          <w:szCs w:val="20"/>
        </w:rPr>
        <w:t xml:space="preserve"> (ZIT) będą mogły otrzymać wsparcie w ramach regionalnych programów operacyjnych. </w:t>
      </w:r>
      <w:r w:rsidR="004E3242" w:rsidRPr="004E3242">
        <w:rPr>
          <w:rFonts w:ascii="Arial" w:hAnsi="Arial" w:cs="Arial"/>
          <w:sz w:val="20"/>
          <w:szCs w:val="20"/>
        </w:rPr>
        <w:t xml:space="preserve">Zgodnie z dokumentem </w:t>
      </w:r>
      <w:r w:rsidR="004E3242" w:rsidRPr="004E3242">
        <w:rPr>
          <w:rFonts w:ascii="Arial" w:hAnsi="Arial" w:cs="Arial"/>
          <w:i/>
          <w:sz w:val="20"/>
          <w:szCs w:val="20"/>
        </w:rPr>
        <w:t>Wspieranie Inwestycji w Modernizację Budynków,</w:t>
      </w:r>
      <w:r w:rsidR="004E3242" w:rsidRPr="004E3242">
        <w:rPr>
          <w:rFonts w:ascii="Arial" w:hAnsi="Arial" w:cs="Arial"/>
          <w:sz w:val="20"/>
          <w:szCs w:val="20"/>
        </w:rPr>
        <w:t xml:space="preserve"> czyli „długoterminową strategią wspierania inwestycji w renowację krajowych zasobów budynków mieszkaniowych i użytkowych, zarówno publicznych, jak i prywatnych” opracowaną na podstawie art. 4 dyrektywy 2012/27/UE </w:t>
      </w:r>
      <w:r w:rsidR="004E3242" w:rsidRPr="004E3242">
        <w:rPr>
          <w:rFonts w:ascii="Arial" w:hAnsi="Arial" w:cs="Arial"/>
          <w:i/>
          <w:sz w:val="20"/>
          <w:szCs w:val="20"/>
        </w:rPr>
        <w:t>w sprawie efektywności energetycznej</w:t>
      </w:r>
      <w:r w:rsidR="004E3242" w:rsidRPr="004E3242">
        <w:rPr>
          <w:rFonts w:ascii="Arial" w:hAnsi="Arial" w:cs="Arial"/>
          <w:sz w:val="20"/>
          <w:szCs w:val="20"/>
        </w:rPr>
        <w:t xml:space="preserve"> oraz </w:t>
      </w:r>
      <w:r w:rsidR="004E3242" w:rsidRPr="004E3242">
        <w:rPr>
          <w:rFonts w:ascii="Arial" w:hAnsi="Arial" w:cs="Arial"/>
          <w:i/>
          <w:sz w:val="20"/>
          <w:szCs w:val="20"/>
        </w:rPr>
        <w:t>Krajowego Planu Działań mającego na celu zwiększenie liczby budynków o niskim zużyciu energii,</w:t>
      </w:r>
      <w:r w:rsidR="004E3242" w:rsidRPr="004E3242">
        <w:rPr>
          <w:rFonts w:ascii="Arial" w:hAnsi="Arial" w:cs="Arial"/>
          <w:sz w:val="20"/>
          <w:szCs w:val="20"/>
        </w:rPr>
        <w:t xml:space="preserve"> opracowywanego na </w:t>
      </w:r>
      <w:r w:rsidR="004E3242" w:rsidRPr="004E3242">
        <w:rPr>
          <w:rFonts w:ascii="Arial" w:hAnsi="Arial" w:cs="Arial"/>
          <w:sz w:val="20"/>
          <w:szCs w:val="20"/>
        </w:rPr>
        <w:lastRenderedPageBreak/>
        <w:t>podstawie art. 9 dyrektywy 2010/31/UE, priorytetowo wspierane będą budynki rządowej administracji publicznej.</w:t>
      </w:r>
      <w:r w:rsidR="00546C5C" w:rsidRPr="00546C5C">
        <w:rPr>
          <w:rFonts w:ascii="Arial" w:hAnsi="Arial" w:cs="Arial"/>
          <w:sz w:val="20"/>
          <w:szCs w:val="20"/>
        </w:rPr>
        <w:t xml:space="preserve"> </w:t>
      </w:r>
      <w:r w:rsidR="00546C5C">
        <w:rPr>
          <w:rFonts w:ascii="Arial" w:hAnsi="Arial" w:cs="Arial"/>
          <w:sz w:val="20"/>
          <w:szCs w:val="20"/>
        </w:rPr>
        <w:t>W przypadku wsparcia szkół publicznych, zastosowany zostanie tryb pozakonkursowy a beneficjentem projektu grantowego zostanie Narodowy Fundusz Ochrony Środowiska i Gospodarki Wodnej.</w:t>
      </w:r>
    </w:p>
    <w:p w14:paraId="5C4531D6"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Wspierane inwestycje  przyczynią się do zmniejszenia emisji CO</w:t>
      </w:r>
      <w:r w:rsidRPr="00B345B6">
        <w:rPr>
          <w:rFonts w:ascii="Arial" w:hAnsi="Arial" w:cs="Arial"/>
          <w:sz w:val="20"/>
          <w:szCs w:val="20"/>
          <w:vertAlign w:val="subscript"/>
        </w:rPr>
        <w:t>2</w:t>
      </w:r>
      <w:r w:rsidRPr="004E3242">
        <w:rPr>
          <w:rFonts w:ascii="Arial" w:hAnsi="Arial" w:cs="Arial"/>
          <w:sz w:val="20"/>
          <w:szCs w:val="20"/>
        </w:rPr>
        <w:t xml:space="preserve"> oraz innych zanieczyszczeń powietrza. Wsparcie gospodarki niskoemisyjnej w tym priorytecie inwestycyjnym będzie jednym </w:t>
      </w:r>
      <w:r w:rsidRPr="004E3242">
        <w:rPr>
          <w:rFonts w:ascii="Arial" w:hAnsi="Arial" w:cs="Arial"/>
          <w:sz w:val="20"/>
          <w:szCs w:val="20"/>
        </w:rPr>
        <w:br/>
        <w:t>z elementów tzw. planów gospodarki niskoemisyjnej przygotowanych przez gminy, mogących zawierać miejskie audyty energetyczne.</w:t>
      </w:r>
    </w:p>
    <w:p w14:paraId="6595BE0D"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Kluczowe w ramach oceny projektów dotyczących głębokiej modernizacji budynków będzie kryterium efektywności kosztowej w powiązaniu z osiąganymi efektami ekologicznymi w stosunku do planowanych nakładów finansowych. O wsparciu takich projektów decydować będą także inne osiągane rezultaty w stosunku do planowanych nakładów finansowych (np. wielkość redukcji CO</w:t>
      </w:r>
      <w:r w:rsidRPr="004E3242">
        <w:rPr>
          <w:rFonts w:ascii="Arial" w:hAnsi="Arial" w:cs="Arial"/>
          <w:sz w:val="20"/>
          <w:szCs w:val="20"/>
          <w:vertAlign w:val="subscript"/>
        </w:rPr>
        <w:t>2</w:t>
      </w:r>
      <w:r w:rsidRPr="004E3242">
        <w:rPr>
          <w:rFonts w:ascii="Arial" w:hAnsi="Arial" w:cs="Arial"/>
          <w:sz w:val="20"/>
          <w:szCs w:val="20"/>
        </w:rPr>
        <w:t>).</w:t>
      </w:r>
    </w:p>
    <w:p w14:paraId="3CA8D45C"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W zakresie głębokiej kompleksowej modernizacji energetycznej budynków preferowane będą projekty charakteryzujące się najlepsza efektywnością energetyczna, to jest projekty zwiększające efektywność energetyczną powyżej 60%, natomiast projekty z zakresu głębokiej, kompleksowej modernizacji energetycznej zwiększające efektywność energetyczną poniżej 25% nie będą kwalifikowały się do dofinansowania.</w:t>
      </w:r>
    </w:p>
    <w:p w14:paraId="33E7ACE2"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Warunkiem wsparcia będzie również konieczność zastosowania indywidualnych liczników ciepła, ciepłej wody oraz chłodu. Dodatkowo istnieje obowiązek instalacji termostatów i zaworów </w:t>
      </w:r>
      <w:proofErr w:type="spellStart"/>
      <w:r w:rsidRPr="004E3242">
        <w:rPr>
          <w:rFonts w:ascii="Arial" w:hAnsi="Arial" w:cs="Arial"/>
          <w:sz w:val="20"/>
          <w:szCs w:val="20"/>
        </w:rPr>
        <w:t>podpionowych</w:t>
      </w:r>
      <w:proofErr w:type="spellEnd"/>
      <w:r w:rsidRPr="004E3242">
        <w:rPr>
          <w:rFonts w:ascii="Arial" w:hAnsi="Arial" w:cs="Arial"/>
          <w:sz w:val="20"/>
          <w:szCs w:val="20"/>
        </w:rPr>
        <w:t>, jeżeli będzie to wynikać z przeprowadzonego audytu energetycznego.</w:t>
      </w:r>
      <w:r w:rsidRPr="004E3242">
        <w:rPr>
          <w:rFonts w:ascii="Arial" w:hAnsi="Arial" w:cs="Arial"/>
          <w:color w:val="4181C0"/>
          <w:sz w:val="20"/>
          <w:szCs w:val="20"/>
        </w:rPr>
        <w:t xml:space="preserve"> </w:t>
      </w:r>
      <w:r w:rsidRPr="004E3242">
        <w:rPr>
          <w:rFonts w:ascii="Arial" w:hAnsi="Arial" w:cs="Arial"/>
          <w:sz w:val="20"/>
          <w:szCs w:val="20"/>
        </w:rPr>
        <w:t xml:space="preserve">Powyższe wydatki będą stanowić koszt kwalifikowany. </w:t>
      </w:r>
    </w:p>
    <w:p w14:paraId="59E01D50"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Wymiana źródła ciepła kwalifikuje się do wsparcia pod warunkiem zapewnienia znacznej redukcji CO</w:t>
      </w:r>
      <w:r w:rsidRPr="00B345B6">
        <w:rPr>
          <w:rFonts w:ascii="Arial" w:hAnsi="Arial" w:cs="Arial"/>
          <w:sz w:val="20"/>
          <w:szCs w:val="20"/>
          <w:vertAlign w:val="subscript"/>
        </w:rPr>
        <w:t>2</w:t>
      </w:r>
      <w:r w:rsidRPr="004E3242">
        <w:rPr>
          <w:rFonts w:ascii="Arial" w:hAnsi="Arial" w:cs="Arial"/>
          <w:sz w:val="20"/>
          <w:szCs w:val="20"/>
        </w:rPr>
        <w:t xml:space="preserve"> w odniesieniu do istniejących instalacji(o co najmniej 30% w przypadku zmiany spalanego paliwa)</w:t>
      </w:r>
      <w:r w:rsidRPr="004E3242">
        <w:rPr>
          <w:rFonts w:ascii="Arial" w:hAnsi="Arial" w:cs="Arial"/>
          <w:sz w:val="20"/>
          <w:szCs w:val="20"/>
          <w:vertAlign w:val="superscript"/>
        </w:rPr>
        <w:footnoteReference w:id="41"/>
      </w:r>
      <w:r w:rsidRPr="004E3242">
        <w:rPr>
          <w:rFonts w:ascii="Arial" w:hAnsi="Arial" w:cs="Arial"/>
          <w:sz w:val="20"/>
          <w:szCs w:val="20"/>
        </w:rPr>
        <w:t>. Priorytetowo powinny być wspierane projekty wykorzystujące odnawialne źródła energii, o ile wynika to z przeprowadzonego audytu energetycznego.</w:t>
      </w:r>
    </w:p>
    <w:p w14:paraId="05D15D48"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Wsparcie powinno być uwarunkowane wykonaniem inwestycji zwiększających efektywność energetyczną i ograniczających zapotrzebowanie na energię w budynkach, w których wykorzystywana jest energia ze wspieranych urządzeń.</w:t>
      </w:r>
    </w:p>
    <w:p w14:paraId="4BF4571E"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Wszelkie inwestycje powinny być zgodne z unijnymi standardami i przepisami w zakresie ochrony środowiska.</w:t>
      </w:r>
    </w:p>
    <w:p w14:paraId="77BEEA12" w14:textId="77777777" w:rsid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z w:val="20"/>
          <w:szCs w:val="20"/>
        </w:rPr>
        <w:t>Preferowane powinno być wsparcie udzielane poprzez przedsiębiorstwa usług energetycznych (ESCO) oraz instrumenty finansowe, o ile znajdzie to potwierdzenie w wynikach oceny ex-</w:t>
      </w:r>
      <w:proofErr w:type="spellStart"/>
      <w:r w:rsidRPr="004E3242">
        <w:rPr>
          <w:rFonts w:ascii="Arial" w:hAnsi="Arial" w:cs="Arial"/>
          <w:sz w:val="20"/>
          <w:szCs w:val="20"/>
        </w:rPr>
        <w:t>ante</w:t>
      </w:r>
      <w:proofErr w:type="spellEnd"/>
      <w:r w:rsidRPr="004E3242">
        <w:rPr>
          <w:rFonts w:ascii="Arial" w:hAnsi="Arial" w:cs="Arial"/>
          <w:sz w:val="20"/>
          <w:szCs w:val="20"/>
        </w:rPr>
        <w:t xml:space="preserve"> zgodnie z art. 37 ust.2 rozporządzenia (UE) nr 1303/2013.</w:t>
      </w:r>
      <w:r w:rsidRPr="004E3242">
        <w:rPr>
          <w:rFonts w:ascii="Arial" w:hAnsi="Arial" w:cs="Arial"/>
          <w:spacing w:val="4"/>
          <w:sz w:val="20"/>
          <w:szCs w:val="20"/>
        </w:rPr>
        <w:t xml:space="preserve">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priorytetu inwestycyjnego. Kryteria będą precyzyjne, mierzalne i obiektywne. Dodatkowo dopuszcza się możliwość nadania kryteriom merytorycznym odpowiedniej punktacji oraz określonych wag punktowych. </w:t>
      </w:r>
    </w:p>
    <w:p w14:paraId="72269C03" w14:textId="77777777" w:rsidR="005E530E" w:rsidRDefault="005E530E" w:rsidP="004E3242">
      <w:pPr>
        <w:autoSpaceDE w:val="0"/>
        <w:autoSpaceDN w:val="0"/>
        <w:adjustRightInd w:val="0"/>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4E3C1972"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72A91C14" w14:textId="77777777" w:rsid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lastRenderedPageBreak/>
        <w:t>W odniesieniu do wielorodzinnych budynków mieszkaniowych  w ramach priorytetu przewiduje się wsparcie w formie</w:t>
      </w:r>
      <w:r w:rsidR="00C62F53">
        <w:rPr>
          <w:rFonts w:ascii="Arial" w:hAnsi="Arial" w:cs="Arial"/>
          <w:spacing w:val="4"/>
          <w:sz w:val="20"/>
          <w:szCs w:val="20"/>
        </w:rPr>
        <w:t xml:space="preserve"> </w:t>
      </w:r>
      <w:r w:rsidR="00C62F53" w:rsidRPr="00C62F53">
        <w:rPr>
          <w:rFonts w:ascii="Arial" w:hAnsi="Arial" w:cs="Arial"/>
          <w:spacing w:val="4"/>
          <w:sz w:val="20"/>
          <w:szCs w:val="20"/>
        </w:rPr>
        <w:t>pomocy zwrotnej udzielanej na podstawie art. 66 i 67 rozporządzenia ogólnego</w:t>
      </w:r>
      <w:r w:rsidR="00CA0C79">
        <w:rPr>
          <w:rFonts w:ascii="Arial" w:hAnsi="Arial" w:cs="Arial"/>
          <w:spacing w:val="4"/>
          <w:sz w:val="20"/>
          <w:szCs w:val="20"/>
        </w:rPr>
        <w:t>.</w:t>
      </w:r>
      <w:r w:rsidR="00C62F53">
        <w:rPr>
          <w:rFonts w:ascii="Arial" w:hAnsi="Arial" w:cs="Arial"/>
          <w:spacing w:val="4"/>
          <w:sz w:val="20"/>
          <w:szCs w:val="20"/>
        </w:rPr>
        <w:t xml:space="preserve"> </w:t>
      </w:r>
      <w:r w:rsidR="00C62F53" w:rsidRPr="00C62F53">
        <w:rPr>
          <w:rFonts w:ascii="Arial" w:hAnsi="Arial" w:cs="Arial"/>
          <w:spacing w:val="4"/>
          <w:sz w:val="20"/>
          <w:szCs w:val="20"/>
        </w:rPr>
        <w:t>Z uwagi na potrzebę stosowania jak najbardziej efektywnych form wsparcia, analizowane będą możliwości stosowania w szerszym zakresie (zarówno kwotowym, jak i przedmiotowym) zwrotnych form wsparcia. W sytuacji, w której w toku wdrażania zostanie zidentyfikowane zapotrzebowanie rynkowe na inne formy finansowania o charakterze zwrotnym, nie jest wykluczone ewentualne wykorzystanie instrumentów finansowych w rozumieniu art. 37 rozporządzenia ogólnego</w:t>
      </w:r>
      <w:r w:rsidR="00C62F53">
        <w:rPr>
          <w:rFonts w:ascii="Arial" w:hAnsi="Arial" w:cs="Arial"/>
          <w:spacing w:val="4"/>
          <w:sz w:val="20"/>
          <w:szCs w:val="20"/>
        </w:rPr>
        <w:t xml:space="preserve">. </w:t>
      </w:r>
      <w:r w:rsidRPr="004E3242">
        <w:rPr>
          <w:rFonts w:ascii="Arial" w:hAnsi="Arial" w:cs="Arial"/>
          <w:spacing w:val="4"/>
          <w:sz w:val="20"/>
          <w:szCs w:val="20"/>
        </w:rPr>
        <w:t>Przewiduje się, że priorytet inwestycyjny może zostać objęty zasadami pomocy publicznej.</w:t>
      </w:r>
    </w:p>
    <w:p w14:paraId="5CA71A28" w14:textId="77777777" w:rsidR="00684EE4" w:rsidRPr="004E3242" w:rsidRDefault="00684EE4" w:rsidP="004E3242">
      <w:pPr>
        <w:autoSpaceDE w:val="0"/>
        <w:autoSpaceDN w:val="0"/>
        <w:adjustRightInd w:val="0"/>
        <w:spacing w:before="120" w:after="120"/>
        <w:jc w:val="both"/>
        <w:rPr>
          <w:rFonts w:ascii="Arial" w:hAnsi="Arial" w:cs="Arial"/>
          <w:spacing w:val="4"/>
          <w:sz w:val="20"/>
          <w:szCs w:val="20"/>
        </w:rPr>
      </w:pPr>
    </w:p>
    <w:p w14:paraId="11A36A2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452BB959"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(o ile właściwe), będzie zgodny z art. 102 ust. 3 rozporządzenia ogólnego. Po przygotowaniu kompletnej dokumentacji projektowej możliwe będzie precyzyjne określenie zakresu rzeczowego oraz szacowanych kosztów tych projektów.</w:t>
      </w:r>
      <w:r w:rsidR="006F652D">
        <w:rPr>
          <w:rFonts w:ascii="Arial" w:eastAsia="Cambria" w:hAnsi="Arial" w:cs="Arial"/>
          <w:spacing w:val="4"/>
          <w:sz w:val="20"/>
          <w:szCs w:val="20"/>
        </w:rPr>
        <w:t xml:space="preserve"> </w:t>
      </w:r>
      <w:r w:rsidRPr="004E3242">
        <w:rPr>
          <w:rFonts w:ascii="Arial" w:eastAsia="Cambria" w:hAnsi="Arial" w:cs="Arial"/>
          <w:spacing w:val="4"/>
          <w:sz w:val="20"/>
          <w:szCs w:val="20"/>
        </w:rPr>
        <w:t xml:space="preserve">Realizacja dużych projektów w znaczący sposób przyczyni się do osiągnięcia celu szczegółowego priorytetu </w:t>
      </w:r>
      <w:proofErr w:type="spellStart"/>
      <w:r w:rsidRPr="004E3242">
        <w:rPr>
          <w:rFonts w:ascii="Arial" w:eastAsia="Cambria" w:hAnsi="Arial" w:cs="Arial"/>
          <w:spacing w:val="4"/>
          <w:sz w:val="20"/>
          <w:szCs w:val="20"/>
        </w:rPr>
        <w:t>tj</w:t>
      </w:r>
      <w:proofErr w:type="spellEnd"/>
      <w:r w:rsidRPr="004E3242">
        <w:rPr>
          <w:rFonts w:ascii="Arial" w:eastAsia="Cambria" w:hAnsi="Arial" w:cs="Arial"/>
          <w:spacing w:val="4"/>
          <w:sz w:val="20"/>
          <w:szCs w:val="20"/>
        </w:rPr>
        <w:t xml:space="preserve"> do z</w:t>
      </w:r>
      <w:r w:rsidRPr="004E3242">
        <w:rPr>
          <w:rFonts w:ascii="Arial" w:hAnsi="Arial" w:cs="Arial"/>
          <w:spacing w:val="4"/>
          <w:sz w:val="20"/>
          <w:szCs w:val="20"/>
        </w:rPr>
        <w:t>większona efektywności energetycznej w budynkach poprzez realizację działań w budynkach, które prowadzą m.in. do redukcji rocznego zapotrzebowania na energię końcową na cele związane z ogrzewaniem i wentylacją, przygotowaniem ciepłej wody.</w:t>
      </w:r>
    </w:p>
    <w:p w14:paraId="3972761B"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7729BD6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2408"/>
        <w:gridCol w:w="994"/>
        <w:gridCol w:w="992"/>
        <w:gridCol w:w="992"/>
        <w:gridCol w:w="992"/>
        <w:gridCol w:w="994"/>
        <w:gridCol w:w="1380"/>
      </w:tblGrid>
      <w:tr w:rsidR="004E3242" w:rsidRPr="004E3242" w14:paraId="6F1BCE31" w14:textId="77777777" w:rsidTr="00AA7998">
        <w:tc>
          <w:tcPr>
            <w:tcW w:w="288" w:type="pct"/>
            <w:shd w:val="clear" w:color="auto" w:fill="99CC00"/>
            <w:vAlign w:val="center"/>
          </w:tcPr>
          <w:p w14:paraId="1754F3B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97" w:type="pct"/>
            <w:shd w:val="clear" w:color="auto" w:fill="99CC00"/>
            <w:vAlign w:val="center"/>
          </w:tcPr>
          <w:p w14:paraId="3116635C"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42EE9CE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5705697C"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4" w:type="pct"/>
            <w:shd w:val="clear" w:color="auto" w:fill="99CC00"/>
            <w:vAlign w:val="center"/>
          </w:tcPr>
          <w:p w14:paraId="05AC9CA8"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4A028E0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5" w:type="pct"/>
            <w:shd w:val="clear" w:color="auto" w:fill="99CC00"/>
            <w:vAlign w:val="center"/>
          </w:tcPr>
          <w:p w14:paraId="5F0EA64F"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3" w:type="pct"/>
            <w:shd w:val="clear" w:color="auto" w:fill="99CC00"/>
            <w:vAlign w:val="center"/>
          </w:tcPr>
          <w:p w14:paraId="500F1EC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6A7262D0" w14:textId="77777777" w:rsidTr="00AA7998">
        <w:tc>
          <w:tcPr>
            <w:tcW w:w="288" w:type="pct"/>
            <w:shd w:val="clear" w:color="auto" w:fill="F2F2F2"/>
            <w:vAlign w:val="center"/>
          </w:tcPr>
          <w:p w14:paraId="18C2263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297" w:type="pct"/>
            <w:shd w:val="clear" w:color="auto" w:fill="F2F2F2"/>
            <w:vAlign w:val="center"/>
          </w:tcPr>
          <w:p w14:paraId="6B40BB8F"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gospodarstw domowych z lepszą klasą zużycia energii (CI)</w:t>
            </w:r>
          </w:p>
        </w:tc>
        <w:tc>
          <w:tcPr>
            <w:tcW w:w="535" w:type="pct"/>
            <w:shd w:val="clear" w:color="auto" w:fill="F2F2F2"/>
            <w:vAlign w:val="center"/>
          </w:tcPr>
          <w:p w14:paraId="2D6843E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gospodarstwa domowe</w:t>
            </w:r>
          </w:p>
        </w:tc>
        <w:tc>
          <w:tcPr>
            <w:tcW w:w="534" w:type="pct"/>
            <w:shd w:val="clear" w:color="auto" w:fill="F2F2F2"/>
            <w:vAlign w:val="center"/>
          </w:tcPr>
          <w:p w14:paraId="1401BE9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21F8D61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6239C4CF"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21 200</w:t>
            </w:r>
            <w:r>
              <w:rPr>
                <w:rFonts w:ascii="Arial" w:hAnsi="Arial" w:cs="Arial"/>
                <w:spacing w:val="4"/>
                <w:sz w:val="16"/>
                <w:szCs w:val="16"/>
              </w:rPr>
              <w:t xml:space="preserve"> </w:t>
            </w:r>
          </w:p>
        </w:tc>
        <w:tc>
          <w:tcPr>
            <w:tcW w:w="535" w:type="pct"/>
            <w:shd w:val="clear" w:color="auto" w:fill="F2F2F2"/>
            <w:vAlign w:val="center"/>
          </w:tcPr>
          <w:p w14:paraId="5D40299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01887162"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FCCE787" w14:textId="77777777" w:rsidTr="00AA7998">
        <w:tc>
          <w:tcPr>
            <w:tcW w:w="288" w:type="pct"/>
            <w:shd w:val="clear" w:color="auto" w:fill="F2F2F2"/>
            <w:vAlign w:val="center"/>
          </w:tcPr>
          <w:p w14:paraId="4145B7D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297" w:type="pct"/>
            <w:shd w:val="clear" w:color="auto" w:fill="F2F2F2"/>
            <w:vAlign w:val="center"/>
          </w:tcPr>
          <w:p w14:paraId="2AAA2565"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Dodatkowa zdolność wytwarzania energii ze źródeł odnawialnych (CI)</w:t>
            </w:r>
          </w:p>
        </w:tc>
        <w:tc>
          <w:tcPr>
            <w:tcW w:w="535" w:type="pct"/>
            <w:shd w:val="clear" w:color="auto" w:fill="F2F2F2"/>
            <w:vAlign w:val="center"/>
          </w:tcPr>
          <w:p w14:paraId="5C69645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MW</w:t>
            </w:r>
          </w:p>
        </w:tc>
        <w:tc>
          <w:tcPr>
            <w:tcW w:w="534" w:type="pct"/>
            <w:shd w:val="clear" w:color="auto" w:fill="F2F2F2"/>
            <w:vAlign w:val="center"/>
          </w:tcPr>
          <w:p w14:paraId="523A3BF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1F1C141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133C1652"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15</w:t>
            </w:r>
          </w:p>
        </w:tc>
        <w:tc>
          <w:tcPr>
            <w:tcW w:w="535" w:type="pct"/>
            <w:shd w:val="clear" w:color="auto" w:fill="F2F2F2"/>
            <w:vAlign w:val="center"/>
          </w:tcPr>
          <w:p w14:paraId="0330F85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08B4166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971FD2B" w14:textId="77777777" w:rsidTr="00AA7998">
        <w:tc>
          <w:tcPr>
            <w:tcW w:w="288" w:type="pct"/>
            <w:shd w:val="clear" w:color="auto" w:fill="F2F2F2"/>
            <w:vAlign w:val="center"/>
          </w:tcPr>
          <w:p w14:paraId="72DB230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1297" w:type="pct"/>
            <w:shd w:val="clear" w:color="auto" w:fill="F2F2F2"/>
            <w:vAlign w:val="center"/>
          </w:tcPr>
          <w:p w14:paraId="5BDB1A42"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Szacowany roczny spadek emisji gazów cieplarnianych (CI)</w:t>
            </w:r>
          </w:p>
        </w:tc>
        <w:tc>
          <w:tcPr>
            <w:tcW w:w="535" w:type="pct"/>
            <w:shd w:val="clear" w:color="auto" w:fill="F2F2F2"/>
            <w:vAlign w:val="center"/>
          </w:tcPr>
          <w:p w14:paraId="7F8B2CA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tony równoważnika CO</w:t>
            </w:r>
            <w:r w:rsidRPr="004E3242">
              <w:rPr>
                <w:rFonts w:ascii="Arial" w:hAnsi="Arial" w:cs="Arial"/>
                <w:spacing w:val="4"/>
                <w:sz w:val="16"/>
                <w:szCs w:val="16"/>
                <w:vertAlign w:val="subscript"/>
              </w:rPr>
              <w:t>2</w:t>
            </w:r>
          </w:p>
        </w:tc>
        <w:tc>
          <w:tcPr>
            <w:tcW w:w="534" w:type="pct"/>
            <w:shd w:val="clear" w:color="auto" w:fill="F2F2F2"/>
            <w:vAlign w:val="center"/>
          </w:tcPr>
          <w:p w14:paraId="193D7C0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66CC059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3BFE4A2B"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129 360</w:t>
            </w:r>
            <w:r>
              <w:rPr>
                <w:rFonts w:ascii="Arial" w:hAnsi="Arial" w:cs="Arial"/>
                <w:spacing w:val="4"/>
                <w:sz w:val="16"/>
                <w:szCs w:val="16"/>
              </w:rPr>
              <w:t xml:space="preserve"> </w:t>
            </w:r>
          </w:p>
        </w:tc>
        <w:tc>
          <w:tcPr>
            <w:tcW w:w="535" w:type="pct"/>
            <w:shd w:val="clear" w:color="auto" w:fill="F2F2F2"/>
            <w:vAlign w:val="center"/>
          </w:tcPr>
          <w:p w14:paraId="257019D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589BBB6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4E830E48" w14:textId="77777777" w:rsidTr="00AA7998">
        <w:tc>
          <w:tcPr>
            <w:tcW w:w="288" w:type="pct"/>
            <w:shd w:val="clear" w:color="auto" w:fill="F2F2F2"/>
            <w:vAlign w:val="center"/>
          </w:tcPr>
          <w:p w14:paraId="550A39C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4.</w:t>
            </w:r>
          </w:p>
        </w:tc>
        <w:tc>
          <w:tcPr>
            <w:tcW w:w="1297" w:type="pct"/>
            <w:shd w:val="clear" w:color="auto" w:fill="F2F2F2"/>
            <w:vAlign w:val="center"/>
          </w:tcPr>
          <w:p w14:paraId="04577B5C"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Zmniejszenie rocznego zużycia energii pierwotnej w budynkach publicznych (CI)</w:t>
            </w:r>
          </w:p>
        </w:tc>
        <w:tc>
          <w:tcPr>
            <w:tcW w:w="535" w:type="pct"/>
            <w:shd w:val="clear" w:color="auto" w:fill="F2F2F2"/>
            <w:vAlign w:val="center"/>
          </w:tcPr>
          <w:p w14:paraId="2B2439C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kWh/rok</w:t>
            </w:r>
          </w:p>
        </w:tc>
        <w:tc>
          <w:tcPr>
            <w:tcW w:w="534" w:type="pct"/>
            <w:shd w:val="clear" w:color="auto" w:fill="F2F2F2"/>
            <w:vAlign w:val="center"/>
          </w:tcPr>
          <w:p w14:paraId="27C8B04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5920583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48E5BC9B" w14:textId="77777777" w:rsidR="004E3242" w:rsidRPr="004E3242" w:rsidRDefault="004E3242" w:rsidP="00495198">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240</w:t>
            </w:r>
            <w:r w:rsidR="0072761B">
              <w:rPr>
                <w:rFonts w:ascii="Arial" w:hAnsi="Arial" w:cs="Arial"/>
                <w:spacing w:val="4"/>
                <w:sz w:val="16"/>
                <w:szCs w:val="16"/>
              </w:rPr>
              <w:t> </w:t>
            </w:r>
            <w:r w:rsidRPr="004E3242">
              <w:rPr>
                <w:rFonts w:ascii="Arial" w:hAnsi="Arial" w:cs="Arial"/>
                <w:spacing w:val="4"/>
                <w:sz w:val="16"/>
                <w:szCs w:val="16"/>
              </w:rPr>
              <w:t>000</w:t>
            </w:r>
            <w:r w:rsidR="0072761B">
              <w:rPr>
                <w:rFonts w:ascii="Arial" w:hAnsi="Arial" w:cs="Arial"/>
                <w:spacing w:val="4"/>
                <w:sz w:val="16"/>
                <w:szCs w:val="16"/>
              </w:rPr>
              <w:t xml:space="preserve"> </w:t>
            </w:r>
            <w:r w:rsidR="00495198">
              <w:rPr>
                <w:rFonts w:ascii="Arial" w:hAnsi="Arial" w:cs="Arial"/>
                <w:spacing w:val="4"/>
                <w:sz w:val="16"/>
                <w:szCs w:val="16"/>
              </w:rPr>
              <w:t>000</w:t>
            </w:r>
          </w:p>
        </w:tc>
        <w:tc>
          <w:tcPr>
            <w:tcW w:w="535" w:type="pct"/>
            <w:shd w:val="clear" w:color="auto" w:fill="F2F2F2"/>
            <w:vAlign w:val="center"/>
          </w:tcPr>
          <w:p w14:paraId="308152B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6C4FDAA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23142E6E" w14:textId="77777777" w:rsidTr="00AA7998">
        <w:tc>
          <w:tcPr>
            <w:tcW w:w="288" w:type="pct"/>
            <w:shd w:val="clear" w:color="auto" w:fill="F2F2F2"/>
            <w:vAlign w:val="center"/>
          </w:tcPr>
          <w:p w14:paraId="14C7B83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5.</w:t>
            </w:r>
          </w:p>
        </w:tc>
        <w:tc>
          <w:tcPr>
            <w:tcW w:w="1297" w:type="pct"/>
            <w:shd w:val="clear" w:color="auto" w:fill="F2F2F2"/>
            <w:vAlign w:val="center"/>
          </w:tcPr>
          <w:p w14:paraId="4CF24069"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Zmniejszenie zużycia energii końcowej</w:t>
            </w:r>
          </w:p>
        </w:tc>
        <w:tc>
          <w:tcPr>
            <w:tcW w:w="535" w:type="pct"/>
            <w:shd w:val="clear" w:color="auto" w:fill="F2F2F2"/>
            <w:vAlign w:val="center"/>
          </w:tcPr>
          <w:p w14:paraId="049DEBB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GJ/rok</w:t>
            </w:r>
          </w:p>
        </w:tc>
        <w:tc>
          <w:tcPr>
            <w:tcW w:w="534" w:type="pct"/>
            <w:shd w:val="clear" w:color="auto" w:fill="F2F2F2"/>
            <w:vAlign w:val="center"/>
          </w:tcPr>
          <w:p w14:paraId="396890B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7B84900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2796245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1 780 000</w:t>
            </w:r>
          </w:p>
        </w:tc>
        <w:tc>
          <w:tcPr>
            <w:tcW w:w="535" w:type="pct"/>
            <w:shd w:val="clear" w:color="auto" w:fill="F2F2F2"/>
            <w:vAlign w:val="center"/>
          </w:tcPr>
          <w:p w14:paraId="45FC5E9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7DC5A9E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58460342" w14:textId="77777777" w:rsidR="004E3242" w:rsidRPr="004E3242" w:rsidRDefault="004E3242" w:rsidP="004E3242">
      <w:pPr>
        <w:spacing w:after="120" w:line="280" w:lineRule="atLeast"/>
        <w:jc w:val="both"/>
        <w:rPr>
          <w:rFonts w:ascii="Arial" w:hAnsi="Arial" w:cs="Arial"/>
          <w:b/>
          <w:color w:val="008000"/>
          <w:spacing w:val="4"/>
          <w:sz w:val="20"/>
          <w:szCs w:val="20"/>
        </w:rPr>
      </w:pPr>
    </w:p>
    <w:p w14:paraId="10F7D7E4"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4"/>
          <w:sz w:val="24"/>
          <w:szCs w:val="24"/>
          <w:lang w:eastAsia="pl-PL"/>
        </w:rPr>
      </w:pPr>
      <w:r w:rsidRPr="004E3242">
        <w:rPr>
          <w:rFonts w:ascii="Arial" w:eastAsia="Times New Roman" w:hAnsi="Arial"/>
          <w:smallCaps/>
          <w:color w:val="669900"/>
          <w:spacing w:val="4"/>
          <w:sz w:val="24"/>
          <w:szCs w:val="24"/>
          <w:lang w:eastAsia="pl-PL"/>
        </w:rPr>
        <w:t xml:space="preserve">PRIORYTET INWESTYCYJNY 4.iv. </w:t>
      </w:r>
      <w:r w:rsidRPr="004E3242">
        <w:rPr>
          <w:rFonts w:ascii="Arial" w:eastAsia="Times New Roman" w:hAnsi="Arial"/>
          <w:smallCaps/>
          <w:color w:val="669900"/>
          <w:spacing w:val="10"/>
          <w:sz w:val="24"/>
          <w:szCs w:val="24"/>
          <w:lang w:eastAsia="pl-PL"/>
        </w:rPr>
        <w:t>Rozwijanie i wdrażanie inteligentnych systemów dystrybucji działających na niskich i średnich poziomach napięcia</w:t>
      </w:r>
    </w:p>
    <w:p w14:paraId="0F22024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26BEE77E"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Wprowadzenie pilotażowych sieci inteligentnych</w:t>
      </w:r>
    </w:p>
    <w:p w14:paraId="04C38400"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5BABA274"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lastRenderedPageBreak/>
        <w:t>Realizacja priorytetu inwestycyjnego przyczyni się do zwiększenia efektywności energetycznej na poziomie zużycia poprzez wdrożenie elementów sieci inteligentnych</w:t>
      </w:r>
    </w:p>
    <w:p w14:paraId="62842DA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4941"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62"/>
        <w:gridCol w:w="994"/>
        <w:gridCol w:w="993"/>
        <w:gridCol w:w="993"/>
        <w:gridCol w:w="852"/>
        <w:gridCol w:w="850"/>
        <w:gridCol w:w="993"/>
        <w:gridCol w:w="1575"/>
        <w:gridCol w:w="1364"/>
      </w:tblGrid>
      <w:tr w:rsidR="004E3242" w:rsidRPr="004E3242" w14:paraId="03176DE1" w14:textId="77777777" w:rsidTr="00AA7998">
        <w:tc>
          <w:tcPr>
            <w:tcW w:w="307" w:type="pct"/>
            <w:shd w:val="clear" w:color="auto" w:fill="99CC00"/>
            <w:vAlign w:val="center"/>
          </w:tcPr>
          <w:p w14:paraId="03D866F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542" w:type="pct"/>
            <w:shd w:val="clear" w:color="auto" w:fill="99CC00"/>
            <w:vAlign w:val="center"/>
          </w:tcPr>
          <w:p w14:paraId="1FF3D36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41" w:type="pct"/>
            <w:shd w:val="clear" w:color="auto" w:fill="99CC00"/>
            <w:vAlign w:val="center"/>
          </w:tcPr>
          <w:p w14:paraId="6801C193"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41" w:type="pct"/>
            <w:shd w:val="clear" w:color="auto" w:fill="99CC00"/>
            <w:vAlign w:val="center"/>
          </w:tcPr>
          <w:p w14:paraId="266C163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64" w:type="pct"/>
            <w:shd w:val="clear" w:color="auto" w:fill="99CC00"/>
            <w:vAlign w:val="center"/>
          </w:tcPr>
          <w:p w14:paraId="1B9D38D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63" w:type="pct"/>
            <w:shd w:val="clear" w:color="auto" w:fill="99CC00"/>
            <w:vAlign w:val="center"/>
          </w:tcPr>
          <w:p w14:paraId="79994E9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41" w:type="pct"/>
            <w:shd w:val="clear" w:color="auto" w:fill="99CC00"/>
            <w:vAlign w:val="center"/>
          </w:tcPr>
          <w:p w14:paraId="0967E3B3" w14:textId="77777777" w:rsidR="004E3242" w:rsidRPr="004E3242" w:rsidDel="00597D48"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858" w:type="pct"/>
            <w:shd w:val="clear" w:color="auto" w:fill="99CC00"/>
            <w:vAlign w:val="center"/>
          </w:tcPr>
          <w:p w14:paraId="7197076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4A037E77"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B80A6B1" w14:textId="77777777" w:rsidTr="00AA7998">
        <w:tc>
          <w:tcPr>
            <w:tcW w:w="307" w:type="pct"/>
            <w:shd w:val="clear" w:color="auto" w:fill="F2F2F2"/>
            <w:vAlign w:val="center"/>
          </w:tcPr>
          <w:p w14:paraId="34DF11A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542" w:type="pct"/>
            <w:shd w:val="clear" w:color="auto" w:fill="F2F2F2"/>
            <w:vAlign w:val="center"/>
          </w:tcPr>
          <w:p w14:paraId="6CB40C8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Odsetek odbiorców korzystających z inteligentnych liczników</w:t>
            </w:r>
          </w:p>
        </w:tc>
        <w:tc>
          <w:tcPr>
            <w:tcW w:w="541" w:type="pct"/>
            <w:shd w:val="clear" w:color="auto" w:fill="F2F2F2"/>
            <w:vAlign w:val="center"/>
          </w:tcPr>
          <w:p w14:paraId="5250987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541" w:type="pct"/>
            <w:shd w:val="clear" w:color="auto" w:fill="F2F2F2"/>
            <w:vAlign w:val="center"/>
          </w:tcPr>
          <w:p w14:paraId="78F6D55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64" w:type="pct"/>
            <w:shd w:val="clear" w:color="auto" w:fill="F2F2F2"/>
            <w:vAlign w:val="center"/>
          </w:tcPr>
          <w:p w14:paraId="306353F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463" w:type="pct"/>
            <w:shd w:val="clear" w:color="auto" w:fill="F2F2F2"/>
            <w:vAlign w:val="center"/>
          </w:tcPr>
          <w:p w14:paraId="6D98A07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541" w:type="pct"/>
            <w:shd w:val="clear" w:color="auto" w:fill="F2F2F2"/>
            <w:vAlign w:val="center"/>
          </w:tcPr>
          <w:p w14:paraId="1350D37E" w14:textId="77777777" w:rsidR="004E3242" w:rsidRPr="004E3242" w:rsidDel="00597D48" w:rsidRDefault="00273704" w:rsidP="00825C82">
            <w:pPr>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15</w:t>
            </w:r>
          </w:p>
        </w:tc>
        <w:tc>
          <w:tcPr>
            <w:tcW w:w="858" w:type="pct"/>
            <w:shd w:val="clear" w:color="auto" w:fill="F2F2F2"/>
            <w:vAlign w:val="center"/>
          </w:tcPr>
          <w:p w14:paraId="1ECE4FB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Ministerstwo Gospodarki na podst. danych operatorów systemów dystrybucyjnych</w:t>
            </w:r>
          </w:p>
        </w:tc>
        <w:tc>
          <w:tcPr>
            <w:tcW w:w="744" w:type="pct"/>
            <w:shd w:val="clear" w:color="auto" w:fill="F2F2F2"/>
            <w:vAlign w:val="center"/>
          </w:tcPr>
          <w:p w14:paraId="6BD5934B" w14:textId="77777777" w:rsidR="004E3242" w:rsidRPr="004E3242" w:rsidRDefault="004E3242" w:rsidP="004E3242">
            <w:pPr>
              <w:spacing w:before="60" w:after="60" w:line="240" w:lineRule="auto"/>
              <w:ind w:right="225"/>
              <w:jc w:val="center"/>
              <w:rPr>
                <w:rFonts w:ascii="Arial" w:hAnsi="Arial" w:cs="Arial"/>
                <w:spacing w:val="4"/>
                <w:sz w:val="16"/>
                <w:szCs w:val="16"/>
              </w:rPr>
            </w:pPr>
            <w:r w:rsidRPr="004E3242">
              <w:rPr>
                <w:rFonts w:ascii="Arial" w:hAnsi="Arial" w:cs="Arial"/>
                <w:spacing w:val="4"/>
                <w:sz w:val="16"/>
                <w:szCs w:val="16"/>
              </w:rPr>
              <w:t>rocznie</w:t>
            </w:r>
          </w:p>
        </w:tc>
      </w:tr>
    </w:tbl>
    <w:p w14:paraId="1187DDA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244EDAD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Rozwój systemu inteligentnych sieci energetycznych w znacznym stopniu ułatwi również wzrost wykorzystania odnawialnych źródeł energii. Stan techniczny elektroenergetycznych sieci dystrybucyjnych w Polsce stanowi jedną z największych barier rozwoju energetyki odnawialnej. Istnieje zatem ogromna potrzeba wsparcia rozwoju sieci, w tym z wdrożeniem technologii </w:t>
      </w:r>
      <w:r w:rsidRPr="004E3242">
        <w:rPr>
          <w:rFonts w:ascii="Arial" w:hAnsi="Arial" w:cs="Arial"/>
          <w:i/>
          <w:spacing w:val="4"/>
          <w:sz w:val="20"/>
          <w:szCs w:val="20"/>
        </w:rPr>
        <w:t>smart</w:t>
      </w:r>
      <w:r w:rsidRPr="004E3242">
        <w:rPr>
          <w:rFonts w:ascii="Arial" w:hAnsi="Arial" w:cs="Arial"/>
          <w:spacing w:val="4"/>
          <w:sz w:val="20"/>
          <w:szCs w:val="20"/>
        </w:rPr>
        <w:t xml:space="preserve">, gdyż od ich jakości zależy również wypełnienie przez Polskę pułapów udziału energii odnawialnej w ogólnym wolumenie energii. Wsparcie inteligentnych sieci dystrybucyjnych wpłynie także </w:t>
      </w:r>
      <w:r w:rsidRPr="004E3242">
        <w:rPr>
          <w:rFonts w:ascii="Arial" w:hAnsi="Arial" w:cs="Arial"/>
          <w:spacing w:val="4"/>
          <w:sz w:val="20"/>
          <w:szCs w:val="20"/>
        </w:rPr>
        <w:br/>
        <w:t xml:space="preserve">na wzrost bezpieczeństwa energetycznego poszczególnych regionów kraju oraz jakość </w:t>
      </w:r>
      <w:r w:rsidRPr="004E3242">
        <w:rPr>
          <w:rFonts w:ascii="Arial" w:hAnsi="Arial" w:cs="Arial"/>
          <w:spacing w:val="4"/>
          <w:sz w:val="20"/>
          <w:szCs w:val="20"/>
        </w:rPr>
        <w:br/>
        <w:t xml:space="preserve">i ciągłość zasilania odbiorców, co jest niezmiernie potrzebne i ważne. Każde takie wsparcie przyczyni się do przyspieszenia poprawy standardów zasilania odbiorców i uzyskania standardów zbliżonych do poziomu krajów wysoko rozwiniętych, w tym odnoszących się do ochrony środowiska, co bezpośrednio przekłada się na rozwój gospodarczy kraju i regionów. </w:t>
      </w:r>
    </w:p>
    <w:p w14:paraId="002DF9B2"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Dla wprowadzenia inteligentnych sieci istotne jest wprowadzenie </w:t>
      </w:r>
      <w:r w:rsidRPr="004E3242">
        <w:rPr>
          <w:rFonts w:ascii="Arial" w:hAnsi="Arial" w:cs="Arial"/>
          <w:sz w:val="20"/>
          <w:szCs w:val="20"/>
        </w:rPr>
        <w:t xml:space="preserve">taryf wielostrefowych </w:t>
      </w:r>
      <w:r w:rsidRPr="004E3242">
        <w:rPr>
          <w:rFonts w:ascii="Arial" w:hAnsi="Arial" w:cs="Arial"/>
          <w:sz w:val="20"/>
          <w:szCs w:val="20"/>
        </w:rPr>
        <w:br/>
        <w:t xml:space="preserve">i dynamicznych, układów pomiarowo-rozliczeniowych wyposażonych w określone, zaawansowane funkcjonalności, w tym dwustronną komunikację z systemami informatycznymi przedsiębiorstwa energetycznego </w:t>
      </w:r>
      <w:r w:rsidRPr="004E3242">
        <w:rPr>
          <w:rFonts w:ascii="Arial" w:hAnsi="Arial" w:cs="Arial"/>
          <w:spacing w:val="4"/>
          <w:sz w:val="20"/>
          <w:szCs w:val="20"/>
        </w:rPr>
        <w:t xml:space="preserve">oraz budowanie jednolitego, ogólnokrajowego systemu gromadzenia </w:t>
      </w:r>
      <w:r w:rsidRPr="004E3242">
        <w:rPr>
          <w:rFonts w:ascii="Arial" w:hAnsi="Arial" w:cs="Arial"/>
          <w:spacing w:val="4"/>
          <w:sz w:val="20"/>
          <w:szCs w:val="20"/>
        </w:rPr>
        <w:br/>
        <w:t xml:space="preserve">i przekazywania danych. Wdrożenie rozwiązań </w:t>
      </w:r>
      <w:r w:rsidRPr="004E3242">
        <w:rPr>
          <w:rFonts w:ascii="Arial" w:hAnsi="Arial" w:cs="Arial"/>
          <w:i/>
          <w:spacing w:val="4"/>
          <w:sz w:val="20"/>
          <w:szCs w:val="20"/>
        </w:rPr>
        <w:t xml:space="preserve">smart </w:t>
      </w:r>
      <w:proofErr w:type="spellStart"/>
      <w:r w:rsidRPr="004E3242">
        <w:rPr>
          <w:rFonts w:ascii="Arial" w:hAnsi="Arial" w:cs="Arial"/>
          <w:i/>
          <w:spacing w:val="4"/>
          <w:sz w:val="20"/>
          <w:szCs w:val="20"/>
        </w:rPr>
        <w:t>grid</w:t>
      </w:r>
      <w:proofErr w:type="spellEnd"/>
      <w:r w:rsidRPr="004E3242">
        <w:rPr>
          <w:rFonts w:ascii="Arial" w:hAnsi="Arial" w:cs="Arial"/>
          <w:spacing w:val="4"/>
          <w:sz w:val="20"/>
          <w:szCs w:val="20"/>
        </w:rPr>
        <w:t xml:space="preserve"> wzmocni rolę odbiorcy końcowego, przyczyniając się do zmiany </w:t>
      </w:r>
      <w:proofErr w:type="spellStart"/>
      <w:r w:rsidRPr="004E3242">
        <w:rPr>
          <w:rFonts w:ascii="Arial" w:hAnsi="Arial" w:cs="Arial"/>
          <w:spacing w:val="4"/>
          <w:sz w:val="20"/>
          <w:szCs w:val="20"/>
        </w:rPr>
        <w:t>zachowań</w:t>
      </w:r>
      <w:proofErr w:type="spellEnd"/>
      <w:r w:rsidRPr="004E3242">
        <w:rPr>
          <w:rFonts w:ascii="Arial" w:hAnsi="Arial" w:cs="Arial"/>
          <w:spacing w:val="4"/>
          <w:sz w:val="20"/>
          <w:szCs w:val="20"/>
        </w:rPr>
        <w:t xml:space="preserve"> konsumenckich odbiorców energii na świadome zachowania </w:t>
      </w:r>
      <w:proofErr w:type="spellStart"/>
      <w:r w:rsidRPr="004E3242">
        <w:rPr>
          <w:rFonts w:ascii="Arial" w:hAnsi="Arial" w:cs="Arial"/>
          <w:spacing w:val="4"/>
          <w:sz w:val="20"/>
          <w:szCs w:val="20"/>
        </w:rPr>
        <w:t>prosumenckie</w:t>
      </w:r>
      <w:proofErr w:type="spellEnd"/>
      <w:r w:rsidRPr="004E3242">
        <w:rPr>
          <w:rFonts w:ascii="Arial" w:hAnsi="Arial" w:cs="Arial"/>
          <w:spacing w:val="4"/>
          <w:sz w:val="20"/>
          <w:szCs w:val="20"/>
        </w:rPr>
        <w:t>, gdzie odbiorca energii stanie się aktywnym uczestnikiem rynku energii elektrycznej w pełni zarządzającym poborem energii.</w:t>
      </w:r>
    </w:p>
    <w:p w14:paraId="7ED0CCBF"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Na potrzeby realizacji priorytetu inwestycyjnego przyjmuje się, że </w:t>
      </w:r>
      <w:r w:rsidRPr="004E3242">
        <w:rPr>
          <w:rFonts w:ascii="Arial" w:hAnsi="Arial" w:cs="Arial"/>
          <w:i/>
          <w:spacing w:val="4"/>
          <w:sz w:val="20"/>
          <w:szCs w:val="20"/>
        </w:rPr>
        <w:t xml:space="preserve">smart </w:t>
      </w:r>
      <w:proofErr w:type="spellStart"/>
      <w:r w:rsidRPr="004E3242">
        <w:rPr>
          <w:rFonts w:ascii="Arial" w:hAnsi="Arial" w:cs="Arial"/>
          <w:i/>
          <w:spacing w:val="4"/>
          <w:sz w:val="20"/>
          <w:szCs w:val="20"/>
        </w:rPr>
        <w:t>grid</w:t>
      </w:r>
      <w:proofErr w:type="spellEnd"/>
      <w:r w:rsidRPr="004E3242">
        <w:rPr>
          <w:rFonts w:ascii="Arial" w:hAnsi="Arial" w:cs="Arial"/>
          <w:i/>
          <w:spacing w:val="4"/>
          <w:sz w:val="20"/>
          <w:szCs w:val="20"/>
        </w:rPr>
        <w:t xml:space="preserve"> </w:t>
      </w:r>
      <w:r w:rsidRPr="004E3242">
        <w:rPr>
          <w:rFonts w:ascii="Arial" w:hAnsi="Arial" w:cs="Arial"/>
          <w:spacing w:val="4"/>
          <w:sz w:val="20"/>
          <w:szCs w:val="20"/>
        </w:rPr>
        <w:t xml:space="preserve">to sieć elektroenergetyczna, która może w sposób efektywny kosztowo i funkcjonalnie integrować zachowania i działania wszystkich przyłączonych do niej użytkowników – w tym również wytwórców, </w:t>
      </w:r>
      <w:r w:rsidR="00DE510E" w:rsidRPr="00DE510E">
        <w:rPr>
          <w:rFonts w:ascii="Arial" w:hAnsi="Arial" w:cs="Arial"/>
          <w:spacing w:val="4"/>
          <w:sz w:val="20"/>
          <w:szCs w:val="20"/>
        </w:rPr>
        <w:t>podmiotów magazynujących energię elektryczną,</w:t>
      </w:r>
      <w:r w:rsidR="00DE510E">
        <w:rPr>
          <w:rFonts w:ascii="Arial" w:hAnsi="Arial" w:cs="Arial"/>
          <w:spacing w:val="4"/>
          <w:sz w:val="20"/>
          <w:szCs w:val="20"/>
        </w:rPr>
        <w:t xml:space="preserve"> </w:t>
      </w:r>
      <w:r w:rsidRPr="004E3242">
        <w:rPr>
          <w:rFonts w:ascii="Arial" w:hAnsi="Arial" w:cs="Arial"/>
          <w:spacing w:val="4"/>
          <w:sz w:val="20"/>
          <w:szCs w:val="20"/>
        </w:rPr>
        <w:t xml:space="preserve">odbiorców oraz użytkowników będących zarazem wytwórcami i odbiorcami </w:t>
      </w:r>
      <w:r w:rsidR="005E3A9A">
        <w:rPr>
          <w:rFonts w:ascii="Arial" w:hAnsi="Arial" w:cs="Arial"/>
          <w:spacing w:val="4"/>
          <w:sz w:val="20"/>
          <w:szCs w:val="20"/>
        </w:rPr>
        <w:t xml:space="preserve">– </w:t>
      </w:r>
      <w:r w:rsidRPr="004E3242">
        <w:rPr>
          <w:rFonts w:ascii="Arial" w:hAnsi="Arial" w:cs="Arial"/>
          <w:spacing w:val="4"/>
          <w:sz w:val="20"/>
          <w:szCs w:val="20"/>
        </w:rPr>
        <w:t>w celu zapewnienia efektywnego i zrównoważonego pod względem ekonomicznym systemu energetycznego, o niskim poziomie strat oraz wysokim poziomie jakości oraz bezpieczeństwa dostaw i ochrony.</w:t>
      </w:r>
    </w:p>
    <w:p w14:paraId="2B4BA63D"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i/>
          <w:spacing w:val="4"/>
          <w:sz w:val="20"/>
          <w:szCs w:val="20"/>
        </w:rPr>
        <w:t xml:space="preserve">Smart </w:t>
      </w:r>
      <w:proofErr w:type="spellStart"/>
      <w:r w:rsidRPr="004E3242">
        <w:rPr>
          <w:rFonts w:ascii="Arial" w:hAnsi="Arial" w:cs="Arial"/>
          <w:i/>
          <w:spacing w:val="4"/>
          <w:sz w:val="20"/>
          <w:szCs w:val="20"/>
        </w:rPr>
        <w:t>grid</w:t>
      </w:r>
      <w:proofErr w:type="spellEnd"/>
      <w:r w:rsidRPr="004E3242">
        <w:rPr>
          <w:rFonts w:ascii="Arial" w:hAnsi="Arial" w:cs="Arial"/>
          <w:spacing w:val="4"/>
          <w:sz w:val="20"/>
          <w:szCs w:val="20"/>
        </w:rPr>
        <w:t xml:space="preserve"> w ramach priorytetu inwestycyjnego to linie, stacje, rozdzielnie, transformatory,</w:t>
      </w:r>
      <w:r w:rsidR="009A2F67" w:rsidRPr="009A2F67">
        <w:t xml:space="preserve"> </w:t>
      </w:r>
      <w:r w:rsidR="00DE510E" w:rsidRPr="00DE510E">
        <w:rPr>
          <w:rFonts w:ascii="Arial" w:hAnsi="Arial" w:cs="Arial"/>
          <w:spacing w:val="4"/>
          <w:sz w:val="20"/>
          <w:szCs w:val="20"/>
        </w:rPr>
        <w:t>magazyny energii elektrycznej</w:t>
      </w:r>
      <w:r w:rsidR="00C72E58">
        <w:rPr>
          <w:rStyle w:val="Odwoanieprzypisudolnego"/>
          <w:rFonts w:ascii="Arial" w:hAnsi="Arial" w:cs="Arial"/>
          <w:spacing w:val="4"/>
          <w:sz w:val="20"/>
          <w:szCs w:val="20"/>
        </w:rPr>
        <w:footnoteReference w:id="42"/>
      </w:r>
      <w:r w:rsidR="009A2F67">
        <w:rPr>
          <w:rFonts w:ascii="Arial" w:hAnsi="Arial" w:cs="Arial"/>
          <w:spacing w:val="4"/>
          <w:sz w:val="20"/>
          <w:szCs w:val="20"/>
        </w:rPr>
        <w:t>,</w:t>
      </w:r>
      <w:r w:rsidRPr="004E3242">
        <w:rPr>
          <w:rFonts w:ascii="Arial" w:hAnsi="Arial" w:cs="Arial"/>
          <w:spacing w:val="4"/>
          <w:sz w:val="20"/>
          <w:szCs w:val="20"/>
        </w:rPr>
        <w:t xml:space="preserve"> łączniki, automatyka i zabezpieczenia, systemy pomiarowe, systemy komunikacji i systemy IT. W ramach obszaru przewiduje się objęcie wsparciem budowy inteligentnych sieci </w:t>
      </w:r>
      <w:r w:rsidRPr="004E3242">
        <w:rPr>
          <w:rFonts w:ascii="Arial" w:hAnsi="Arial" w:cs="Arial"/>
          <w:spacing w:val="4"/>
          <w:sz w:val="20"/>
          <w:szCs w:val="20"/>
        </w:rPr>
        <w:br/>
        <w:t xml:space="preserve">o charakterze pilotażowym i demonstracyjnym, poprzez budowę i przebudowę systemów dystrybucyjnych niskiego i średniego napięcia, związanych z wdrożeniem funkcjonalności sieci </w:t>
      </w:r>
      <w:r w:rsidRPr="004E3242">
        <w:rPr>
          <w:rFonts w:ascii="Arial" w:hAnsi="Arial" w:cs="Arial"/>
          <w:i/>
          <w:spacing w:val="4"/>
          <w:sz w:val="20"/>
          <w:szCs w:val="20"/>
        </w:rPr>
        <w:t>smart</w:t>
      </w:r>
      <w:r w:rsidRPr="004E3242">
        <w:rPr>
          <w:rFonts w:ascii="Arial" w:hAnsi="Arial" w:cs="Arial"/>
          <w:spacing w:val="4"/>
          <w:sz w:val="20"/>
          <w:szCs w:val="20"/>
        </w:rPr>
        <w:t xml:space="preserve"> mającą na celu zwiększenie możliwości przyłączania OZE oraz ograniczenie strat sieciowych, w tym także zakup i montaż inteligentnych układów pomiarowych. Ponadto planuje </w:t>
      </w:r>
      <w:r w:rsidRPr="004E3242">
        <w:rPr>
          <w:rFonts w:ascii="Arial" w:hAnsi="Arial" w:cs="Arial"/>
          <w:spacing w:val="4"/>
          <w:sz w:val="20"/>
          <w:szCs w:val="20"/>
        </w:rPr>
        <w:lastRenderedPageBreak/>
        <w:t xml:space="preserve">się, że wsparcie skierowane będzie również na sfinansowanie pilotażowych i demonstracyjnych programów zarządzania popytem oraz aplikacji do monitorowania obciążeń poszczególnych elementów sieci dystrybucyjnej. Dodatkowo wspierane będą działania informacyjno-szkoleniowe, których celem będzie popularyzacja wiedzy na temat inteligentnych systemów </w:t>
      </w:r>
      <w:proofErr w:type="spellStart"/>
      <w:r w:rsidRPr="004E3242">
        <w:rPr>
          <w:rFonts w:ascii="Arial" w:hAnsi="Arial" w:cs="Arial"/>
          <w:spacing w:val="4"/>
          <w:sz w:val="20"/>
          <w:szCs w:val="20"/>
        </w:rPr>
        <w:t>przesyłu</w:t>
      </w:r>
      <w:proofErr w:type="spellEnd"/>
      <w:r w:rsidRPr="004E3242">
        <w:rPr>
          <w:rFonts w:ascii="Arial" w:hAnsi="Arial" w:cs="Arial"/>
          <w:spacing w:val="4"/>
          <w:sz w:val="20"/>
          <w:szCs w:val="20"/>
        </w:rPr>
        <w:t xml:space="preserve"> i dystrybucji energii, rozwiązań, standardów, najlepszych praktyk w zakresie związanym z inteligentnymi sieciami elektroenergetycznymi.</w:t>
      </w:r>
    </w:p>
    <w:p w14:paraId="103534C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Efektem wdrożenia inteligentnych technologii w dystrybucji energii elektrycznej będzie zintensyfikowanie rozwoju odnawialnych źródeł energii, zwiększenie efektywności energetycznej poprzez optymalizację i racjonalizację zużycia energii elektrycznej, a w konsekwencji wpływ na osiągnięcie</w:t>
      </w:r>
      <w:r w:rsidRPr="004E3242">
        <w:rPr>
          <w:rFonts w:ascii="Arial" w:hAnsi="Arial" w:cs="Arial"/>
          <w:bCs/>
          <w:spacing w:val="4"/>
          <w:sz w:val="20"/>
          <w:szCs w:val="20"/>
        </w:rPr>
        <w:t xml:space="preserve"> celów pakietu klimatyczno-energetycznego UE. Z uwagi na specyfikę takich projektów przewiduje się, że wsparcie będzie ograniczone do realizacji pilotażowych i demonstracyjnych projektów w tym zakresie, głównie na terenach miejskich. </w:t>
      </w:r>
      <w:r w:rsidRPr="004E3242">
        <w:rPr>
          <w:rFonts w:ascii="Arial" w:hAnsi="Arial" w:cs="Arial"/>
          <w:spacing w:val="4"/>
          <w:sz w:val="20"/>
          <w:szCs w:val="20"/>
        </w:rPr>
        <w:t xml:space="preserve">Dotacje bezzwrotne są w przypadku przedsięwzięć realizowanych przez operatorów systemu dystrybucji, instrumentem zapewniającym ograniczenie podnoszenia opłat przesyłowych uczestników rynku energii. </w:t>
      </w:r>
    </w:p>
    <w:p w14:paraId="643655C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Biorąc powyższe pod uwagę, przewiduje się wsparcie w szczególności następujących obszarów:</w:t>
      </w:r>
    </w:p>
    <w:p w14:paraId="1384FEC5" w14:textId="77777777" w:rsidR="004E3242" w:rsidRPr="004E3242" w:rsidRDefault="004E3242" w:rsidP="00B345B6">
      <w:pPr>
        <w:numPr>
          <w:ilvl w:val="0"/>
          <w:numId w:val="29"/>
        </w:num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budowa lub przebudowa w kierunku inteligentnych sieci dystrybucyjnych średniego, niskiego napięcia, dedykowanych zwiększeniu wytwarzania w OZE i/lub ograniczaniu zużycia energii, w tym wymiana transformatorów;</w:t>
      </w:r>
    </w:p>
    <w:p w14:paraId="702E98BD" w14:textId="77777777" w:rsidR="004E3242" w:rsidRPr="004E3242" w:rsidRDefault="004E3242" w:rsidP="00B345B6">
      <w:pPr>
        <w:numPr>
          <w:ilvl w:val="0"/>
          <w:numId w:val="29"/>
        </w:num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kompleksowe pilotażowe i demonstracyjne projekty wdrażające inteligentne rozwiązania na danym obszarze, mające na celu optymalizację wykorzystania energii wytworzonej </w:t>
      </w:r>
      <w:r w:rsidRPr="004E3242">
        <w:rPr>
          <w:rFonts w:ascii="Arial" w:hAnsi="Arial" w:cs="Arial"/>
          <w:spacing w:val="4"/>
          <w:sz w:val="20"/>
          <w:szCs w:val="20"/>
        </w:rPr>
        <w:br/>
        <w:t>z OZE i/lub racjonalizację zużycia energii;</w:t>
      </w:r>
    </w:p>
    <w:p w14:paraId="46A68E4F" w14:textId="77777777" w:rsidR="004E3242" w:rsidRPr="004E3242" w:rsidRDefault="004E3242" w:rsidP="00B345B6">
      <w:pPr>
        <w:numPr>
          <w:ilvl w:val="0"/>
          <w:numId w:val="30"/>
        </w:num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inteligentny system pomiarowy (wyłącznie jako element budowy lub przebudowy </w:t>
      </w:r>
      <w:r w:rsidRPr="004E3242">
        <w:rPr>
          <w:rFonts w:ascii="Arial" w:hAnsi="Arial" w:cs="Arial"/>
          <w:spacing w:val="4"/>
          <w:sz w:val="20"/>
          <w:szCs w:val="20"/>
        </w:rPr>
        <w:br/>
        <w:t>w kierunku inteligentnych sieci elektroenergetycznych dla rozwoju OZE i/lub ograniczenia zużycia energii);</w:t>
      </w:r>
    </w:p>
    <w:p w14:paraId="7EAE4C14" w14:textId="77777777" w:rsidR="004E3242" w:rsidRDefault="004E3242" w:rsidP="00B345B6">
      <w:pPr>
        <w:numPr>
          <w:ilvl w:val="0"/>
          <w:numId w:val="30"/>
        </w:num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działania w zakresie popularyzacji wiedzy na temat inteligentnych systemów </w:t>
      </w:r>
      <w:proofErr w:type="spellStart"/>
      <w:r w:rsidRPr="004E3242">
        <w:rPr>
          <w:rFonts w:ascii="Arial" w:hAnsi="Arial" w:cs="Arial"/>
          <w:spacing w:val="4"/>
          <w:sz w:val="20"/>
          <w:szCs w:val="20"/>
        </w:rPr>
        <w:t>przesyłu</w:t>
      </w:r>
      <w:proofErr w:type="spellEnd"/>
      <w:r w:rsidRPr="004E3242">
        <w:rPr>
          <w:rFonts w:ascii="Arial" w:hAnsi="Arial" w:cs="Arial"/>
          <w:spacing w:val="4"/>
          <w:sz w:val="20"/>
          <w:szCs w:val="20"/>
        </w:rPr>
        <w:t xml:space="preserve"> i dystrybucji energii, rozwiązań, standardów, najlepszych praktyk w zakresie związanym z inteligentnymi sieciami elektroenergetycznymi.</w:t>
      </w:r>
    </w:p>
    <w:p w14:paraId="7FA9A43B" w14:textId="77777777" w:rsidR="00AC0189" w:rsidRPr="004E3242" w:rsidRDefault="00AC0189" w:rsidP="00AC0189">
      <w:pPr>
        <w:autoSpaceDE w:val="0"/>
        <w:autoSpaceDN w:val="0"/>
        <w:adjustRightInd w:val="0"/>
        <w:spacing w:before="120" w:after="120"/>
        <w:jc w:val="both"/>
        <w:rPr>
          <w:rFonts w:ascii="Arial" w:hAnsi="Arial" w:cs="Arial"/>
          <w:spacing w:val="4"/>
          <w:sz w:val="20"/>
          <w:szCs w:val="20"/>
        </w:rPr>
      </w:pPr>
    </w:p>
    <w:p w14:paraId="2A0E6D2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067D9B61" w14:textId="13A06372" w:rsidR="004E3242" w:rsidRPr="004E3242" w:rsidRDefault="004E3242" w:rsidP="004E3242">
      <w:pPr>
        <w:autoSpaceDE w:val="0"/>
        <w:autoSpaceDN w:val="0"/>
        <w:adjustRightInd w:val="0"/>
        <w:spacing w:before="120" w:after="120"/>
        <w:jc w:val="both"/>
        <w:rPr>
          <w:rFonts w:ascii="Arial" w:hAnsi="Arial" w:cs="Arial"/>
          <w:b/>
          <w:spacing w:val="4"/>
          <w:sz w:val="15"/>
          <w:szCs w:val="15"/>
        </w:rPr>
      </w:pPr>
      <w:r w:rsidRPr="004E3242">
        <w:rPr>
          <w:rFonts w:ascii="Arial" w:hAnsi="Arial" w:cs="Arial"/>
          <w:spacing w:val="4"/>
          <w:sz w:val="20"/>
          <w:szCs w:val="20"/>
        </w:rPr>
        <w:t xml:space="preserve">W ramach priorytetu inwestycyjnego, wsparcie przewidziane jest dla przedsiębiorców oraz </w:t>
      </w:r>
      <w:r w:rsidR="00B91E8F">
        <w:rPr>
          <w:rFonts w:ascii="Arial" w:hAnsi="Arial" w:cs="Arial"/>
          <w:spacing w:val="4"/>
          <w:sz w:val="20"/>
          <w:szCs w:val="20"/>
        </w:rPr>
        <w:t xml:space="preserve">Ministerstwa </w:t>
      </w:r>
      <w:r w:rsidR="00F12DA2">
        <w:rPr>
          <w:rFonts w:ascii="Arial" w:hAnsi="Arial" w:cs="Arial"/>
          <w:spacing w:val="4"/>
          <w:sz w:val="20"/>
          <w:szCs w:val="20"/>
        </w:rPr>
        <w:t xml:space="preserve">Klimatu </w:t>
      </w:r>
      <w:r w:rsidR="00FF5021">
        <w:rPr>
          <w:rFonts w:ascii="Arial" w:hAnsi="Arial" w:cs="Arial"/>
          <w:spacing w:val="4"/>
          <w:sz w:val="20"/>
          <w:szCs w:val="20"/>
        </w:rPr>
        <w:t xml:space="preserve">i Środowiska </w:t>
      </w:r>
      <w:r w:rsidRPr="004E3242">
        <w:rPr>
          <w:rFonts w:ascii="Arial" w:hAnsi="Arial" w:cs="Arial"/>
          <w:spacing w:val="4"/>
          <w:sz w:val="20"/>
          <w:szCs w:val="20"/>
        </w:rPr>
        <w:t xml:space="preserve">(w zakresie popularyzacji wiedzy na temat inteligentnych systemów </w:t>
      </w:r>
      <w:proofErr w:type="spellStart"/>
      <w:r w:rsidRPr="004E3242">
        <w:rPr>
          <w:rFonts w:ascii="Arial" w:hAnsi="Arial" w:cs="Arial"/>
          <w:spacing w:val="4"/>
          <w:sz w:val="20"/>
          <w:szCs w:val="20"/>
        </w:rPr>
        <w:t>przesyłu</w:t>
      </w:r>
      <w:proofErr w:type="spellEnd"/>
      <w:r w:rsidRPr="004E3242">
        <w:rPr>
          <w:rFonts w:ascii="Arial" w:hAnsi="Arial" w:cs="Arial"/>
          <w:spacing w:val="4"/>
          <w:sz w:val="20"/>
          <w:szCs w:val="20"/>
        </w:rPr>
        <w:t xml:space="preserve"> i dystrybucji energii, rozwiązań, standardów, najlepszych praktyk w zakresie związanym z inteligentnymi sieciami elektroenergetycznymi). Z uwagi na to, że interwencja będzie miała charakter horyzontalny i dotyczyła całego kraju, grupami docelowymi wsparcia będą użytkownicy indywidualni i przedsiębiorcy korzystający z sieci elektroenergetycznych.</w:t>
      </w:r>
    </w:p>
    <w:p w14:paraId="1BBE8C8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78225BBA" w14:textId="77777777" w:rsidR="004E3242" w:rsidRPr="004E3242" w:rsidRDefault="004E3242" w:rsidP="004E3242">
      <w:pPr>
        <w:spacing w:before="120" w:after="120"/>
        <w:jc w:val="both"/>
        <w:rPr>
          <w:rFonts w:ascii="Arial" w:hAnsi="Arial" w:cs="Arial"/>
          <w:i/>
          <w:spacing w:val="4"/>
          <w:sz w:val="20"/>
          <w:szCs w:val="20"/>
        </w:rPr>
      </w:pPr>
      <w:r w:rsidRPr="004E3242">
        <w:rPr>
          <w:rFonts w:ascii="Arial" w:hAnsi="Arial" w:cs="Arial"/>
          <w:sz w:val="20"/>
          <w:szCs w:val="20"/>
        </w:rPr>
        <w:t xml:space="preserve">Działania planowane do realizacji w ramach priorytetu inwestycyjnego mają istotny wpływ dla wszystkich obszarów gospodarki, przekładając się na </w:t>
      </w:r>
      <w:r w:rsidRPr="004E3242">
        <w:rPr>
          <w:rFonts w:ascii="Arial" w:hAnsi="Arial" w:cs="Arial"/>
          <w:spacing w:val="4"/>
          <w:sz w:val="20"/>
          <w:szCs w:val="20"/>
        </w:rPr>
        <w:t>popraw</w:t>
      </w:r>
      <w:r w:rsidRPr="004E3242">
        <w:rPr>
          <w:rFonts w:ascii="Arial" w:eastAsia="TTE221BA68t00" w:hAnsi="Arial" w:cs="Arial"/>
          <w:spacing w:val="4"/>
          <w:sz w:val="20"/>
          <w:szCs w:val="20"/>
        </w:rPr>
        <w:t xml:space="preserve">ę </w:t>
      </w:r>
      <w:r w:rsidRPr="004E3242">
        <w:rPr>
          <w:rFonts w:ascii="Arial" w:hAnsi="Arial" w:cs="Arial"/>
          <w:spacing w:val="4"/>
          <w:sz w:val="20"/>
          <w:szCs w:val="20"/>
        </w:rPr>
        <w:t>efektywno</w:t>
      </w:r>
      <w:r w:rsidRPr="004E3242">
        <w:rPr>
          <w:rFonts w:ascii="Arial" w:eastAsia="TTE221BA68t00" w:hAnsi="Arial" w:cs="Arial"/>
          <w:spacing w:val="4"/>
          <w:sz w:val="20"/>
          <w:szCs w:val="20"/>
        </w:rPr>
        <w:t>ś</w:t>
      </w:r>
      <w:r w:rsidRPr="004E3242">
        <w:rPr>
          <w:rFonts w:ascii="Arial" w:hAnsi="Arial" w:cs="Arial"/>
          <w:spacing w:val="4"/>
          <w:sz w:val="20"/>
          <w:szCs w:val="20"/>
        </w:rPr>
        <w:t>ci ekonomicznej oraz wzrost konkurencyjno</w:t>
      </w:r>
      <w:r w:rsidRPr="004E3242">
        <w:rPr>
          <w:rFonts w:ascii="Arial" w:eastAsia="TTE221BA68t00" w:hAnsi="Arial" w:cs="Arial"/>
          <w:spacing w:val="4"/>
          <w:sz w:val="20"/>
          <w:szCs w:val="20"/>
        </w:rPr>
        <w:t>ści</w:t>
      </w:r>
      <w:r w:rsidRPr="004E3242">
        <w:rPr>
          <w:rFonts w:ascii="Arial" w:hAnsi="Arial" w:cs="Arial"/>
          <w:spacing w:val="4"/>
          <w:sz w:val="20"/>
          <w:szCs w:val="20"/>
        </w:rPr>
        <w:t>. Dotyczy to w szczególności obszarów miejskich, gdzie poprawa efektywno</w:t>
      </w:r>
      <w:r w:rsidRPr="004E3242">
        <w:rPr>
          <w:rFonts w:ascii="Arial" w:eastAsia="TTE1CBD360t00" w:hAnsi="Arial" w:cs="Arial"/>
          <w:spacing w:val="4"/>
          <w:sz w:val="20"/>
          <w:szCs w:val="20"/>
        </w:rPr>
        <w:t>ś</w:t>
      </w:r>
      <w:r w:rsidRPr="004E3242">
        <w:rPr>
          <w:rFonts w:ascii="Arial" w:hAnsi="Arial" w:cs="Arial"/>
          <w:spacing w:val="4"/>
          <w:sz w:val="20"/>
          <w:szCs w:val="20"/>
        </w:rPr>
        <w:t>ci energetycznej i optymalizacja zu</w:t>
      </w:r>
      <w:r w:rsidRPr="004E3242">
        <w:rPr>
          <w:rFonts w:ascii="Arial" w:eastAsia="TTE1CBD360t00" w:hAnsi="Arial" w:cs="Arial"/>
          <w:spacing w:val="4"/>
          <w:sz w:val="20"/>
          <w:szCs w:val="20"/>
        </w:rPr>
        <w:t>ż</w:t>
      </w:r>
      <w:r w:rsidRPr="004E3242">
        <w:rPr>
          <w:rFonts w:ascii="Arial" w:hAnsi="Arial" w:cs="Arial"/>
          <w:spacing w:val="4"/>
          <w:sz w:val="20"/>
          <w:szCs w:val="20"/>
        </w:rPr>
        <w:t>ycia energii poprawi stabilno</w:t>
      </w:r>
      <w:r w:rsidRPr="004E3242">
        <w:rPr>
          <w:rFonts w:ascii="Arial" w:eastAsia="TTE1CBD360t00" w:hAnsi="Arial" w:cs="Arial"/>
          <w:spacing w:val="4"/>
          <w:sz w:val="20"/>
          <w:szCs w:val="20"/>
        </w:rPr>
        <w:t xml:space="preserve">ść </w:t>
      </w:r>
      <w:r w:rsidRPr="004E3242">
        <w:rPr>
          <w:rFonts w:ascii="Arial" w:hAnsi="Arial" w:cs="Arial"/>
          <w:spacing w:val="4"/>
          <w:sz w:val="20"/>
          <w:szCs w:val="20"/>
        </w:rPr>
        <w:t>dostaw energii do odbiorców ko</w:t>
      </w:r>
      <w:r w:rsidRPr="004E3242">
        <w:rPr>
          <w:rFonts w:ascii="Arial" w:eastAsia="TTE1CBD360t00" w:hAnsi="Arial" w:cs="Arial"/>
          <w:spacing w:val="4"/>
          <w:sz w:val="20"/>
          <w:szCs w:val="20"/>
        </w:rPr>
        <w:t>ń</w:t>
      </w:r>
      <w:r w:rsidRPr="004E3242">
        <w:rPr>
          <w:rFonts w:ascii="Arial" w:hAnsi="Arial" w:cs="Arial"/>
          <w:spacing w:val="4"/>
          <w:sz w:val="20"/>
          <w:szCs w:val="20"/>
        </w:rPr>
        <w:t xml:space="preserve">cowych. Działania w ramach priorytetu inwestycyjnego korespondują z celami </w:t>
      </w:r>
      <w:r w:rsidRPr="004E3242">
        <w:rPr>
          <w:rFonts w:ascii="Arial" w:hAnsi="Arial" w:cs="Arial"/>
          <w:spacing w:val="4"/>
          <w:sz w:val="20"/>
          <w:szCs w:val="20"/>
        </w:rPr>
        <w:br/>
        <w:t xml:space="preserve">i działaniami zidentyfikowanymi na poziomie makroregionalnym w ramach SUE RMB, a w szczególności wpisują się w cele przyjęte dla OP ENERGY </w:t>
      </w:r>
      <w:r w:rsidRPr="004E3242">
        <w:rPr>
          <w:rFonts w:ascii="Arial" w:hAnsi="Arial" w:cs="Arial"/>
          <w:i/>
          <w:spacing w:val="4"/>
          <w:sz w:val="20"/>
          <w:szCs w:val="20"/>
        </w:rPr>
        <w:t>Poprawa dostępu do wydajnych oraz bezpiecznych rynków energii.</w:t>
      </w:r>
    </w:p>
    <w:p w14:paraId="5925E75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1E296068"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w:t>
      </w:r>
      <w:r w:rsidRPr="004E3242">
        <w:rPr>
          <w:rFonts w:ascii="Arial" w:hAnsi="Arial" w:cs="Arial"/>
          <w:sz w:val="20"/>
          <w:szCs w:val="20"/>
        </w:rPr>
        <w:t xml:space="preserve">wsparciem objęte zostaną projekty wyłaniane w trybie pozakonkursowym. Zastosowanie trybu pozakonkursowego, ze względu na specyfikę obszaru </w:t>
      </w:r>
      <w:r w:rsidRPr="004E3242">
        <w:rPr>
          <w:rFonts w:ascii="Arial" w:hAnsi="Arial" w:cs="Arial"/>
          <w:sz w:val="20"/>
          <w:szCs w:val="20"/>
        </w:rPr>
        <w:lastRenderedPageBreak/>
        <w:t xml:space="preserve">wsparcia, umożliwi precyzyjne skierowanie środków na zdiagnozowane potrzeby, dotyczące sieci elektroenergetycznej (przyłączenia do KSE oraz pilotażowe/demonstracyjne sieci inteligentne). </w:t>
      </w:r>
      <w:r w:rsidRPr="004E3242">
        <w:rPr>
          <w:rFonts w:ascii="Arial" w:hAnsi="Arial" w:cs="Arial"/>
          <w:spacing w:val="4"/>
          <w:sz w:val="20"/>
          <w:szCs w:val="20"/>
        </w:rPr>
        <w:t xml:space="preserve">Ze względu na specyfikę projektów sieciowych, które realizowane są przez ograniczoną liczbę podmiotów, projekty dla tego obszaru wyłaniane będą w trybie pozakonkursowym i przygotowywane w formie tzw. </w:t>
      </w:r>
      <w:proofErr w:type="spellStart"/>
      <w:r w:rsidRPr="004E3242">
        <w:rPr>
          <w:rFonts w:ascii="Arial" w:hAnsi="Arial" w:cs="Arial"/>
          <w:i/>
          <w:spacing w:val="4"/>
          <w:sz w:val="20"/>
          <w:szCs w:val="20"/>
        </w:rPr>
        <w:t>project</w:t>
      </w:r>
      <w:proofErr w:type="spellEnd"/>
      <w:r w:rsidRPr="004E3242">
        <w:rPr>
          <w:rFonts w:ascii="Arial" w:hAnsi="Arial" w:cs="Arial"/>
          <w:i/>
          <w:spacing w:val="4"/>
          <w:sz w:val="20"/>
          <w:szCs w:val="20"/>
        </w:rPr>
        <w:t xml:space="preserve"> </w:t>
      </w:r>
      <w:proofErr w:type="spellStart"/>
      <w:r w:rsidRPr="004E3242">
        <w:rPr>
          <w:rFonts w:ascii="Arial" w:hAnsi="Arial" w:cs="Arial"/>
          <w:i/>
          <w:spacing w:val="4"/>
          <w:sz w:val="20"/>
          <w:szCs w:val="20"/>
        </w:rPr>
        <w:t>pipeline</w:t>
      </w:r>
      <w:proofErr w:type="spellEnd"/>
      <w:r w:rsidRPr="004E3242">
        <w:rPr>
          <w:rFonts w:ascii="Arial" w:hAnsi="Arial" w:cs="Arial"/>
          <w:spacing w:val="4"/>
          <w:sz w:val="20"/>
          <w:szCs w:val="20"/>
        </w:rPr>
        <w:t>. Preferowane będą inteligentna sieci posiadające jak największą liczbę funkcjonalności</w:t>
      </w:r>
      <w:r w:rsidRPr="004E3242">
        <w:rPr>
          <w:rFonts w:ascii="Arial" w:hAnsi="Arial" w:cs="Arial"/>
          <w:color w:val="FF0000"/>
          <w:spacing w:val="4"/>
          <w:sz w:val="20"/>
          <w:szCs w:val="20"/>
          <w:vertAlign w:val="superscript"/>
        </w:rPr>
        <w:footnoteReference w:id="43"/>
      </w:r>
      <w:r w:rsidR="006F652D">
        <w:rPr>
          <w:rFonts w:ascii="Arial" w:hAnsi="Arial" w:cs="Arial"/>
          <w:spacing w:val="4"/>
          <w:sz w:val="20"/>
          <w:szCs w:val="20"/>
        </w:rPr>
        <w:t>.</w:t>
      </w:r>
      <w:r w:rsidRPr="004E3242">
        <w:rPr>
          <w:rFonts w:ascii="Arial" w:hAnsi="Arial" w:cs="Arial"/>
          <w:spacing w:val="4"/>
          <w:sz w:val="20"/>
          <w:szCs w:val="20"/>
        </w:rPr>
        <w:t xml:space="preserve"> W ramach priorytetu inwestycyjnego nie będzie obligatoryjnego wymogu dotyczącego zwiększenia możliwość przyłączania do inteligentnej sieci elektroenergetycznej odnawialnych źródeł energii, ale takie projekty będą preferowane na etapie oceny.</w:t>
      </w:r>
    </w:p>
    <w:p w14:paraId="34644129" w14:textId="77777777" w:rsid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priorytetu inwestycyjnego. Kryteria będą precyzyjne, mierzalne i obiektywne. Dodatkowo dopuszcza się możliwość nadania kryteriom merytorycznym odpowiedniej punktacji oraz określonych wag punktowych. </w:t>
      </w:r>
    </w:p>
    <w:p w14:paraId="05249166" w14:textId="77777777" w:rsidR="00684EE4" w:rsidRPr="004E3242" w:rsidRDefault="005E530E" w:rsidP="004E3242">
      <w:pPr>
        <w:autoSpaceDE w:val="0"/>
        <w:autoSpaceDN w:val="0"/>
        <w:adjustRightInd w:val="0"/>
        <w:spacing w:before="120" w:after="120"/>
        <w:jc w:val="both"/>
        <w:rPr>
          <w:rFonts w:ascii="Arial" w:hAnsi="Arial" w:cs="Arial"/>
          <w:sz w:val="20"/>
          <w:szCs w:val="20"/>
        </w:rPr>
      </w:pPr>
      <w:r w:rsidRPr="005E530E">
        <w:rPr>
          <w:rFonts w:ascii="Arial" w:hAnsi="Arial" w:cs="Arial"/>
          <w:sz w:val="20"/>
          <w:szCs w:val="20"/>
        </w:rPr>
        <w:t xml:space="preserve">Szczegółowe informacje nt. założeń koordynacji i podziału interwencji pomiędzy </w:t>
      </w:r>
      <w:proofErr w:type="spellStart"/>
      <w:r w:rsidRPr="005E530E">
        <w:rPr>
          <w:rFonts w:ascii="Arial" w:hAnsi="Arial" w:cs="Arial"/>
          <w:sz w:val="20"/>
          <w:szCs w:val="20"/>
        </w:rPr>
        <w:t>POIiŚ</w:t>
      </w:r>
      <w:proofErr w:type="spellEnd"/>
      <w:r w:rsidRPr="005E530E">
        <w:rPr>
          <w:rFonts w:ascii="Arial" w:hAnsi="Arial" w:cs="Arial"/>
          <w:sz w:val="20"/>
          <w:szCs w:val="20"/>
        </w:rPr>
        <w:t xml:space="preserve"> a innymi programami i instrumentami wsparcia opisane zostały w rozdziale 8 </w:t>
      </w:r>
      <w:proofErr w:type="spellStart"/>
      <w:r w:rsidRPr="005E530E">
        <w:rPr>
          <w:rFonts w:ascii="Arial" w:hAnsi="Arial" w:cs="Arial"/>
          <w:sz w:val="20"/>
          <w:szCs w:val="20"/>
        </w:rPr>
        <w:t>POIiŚ</w:t>
      </w:r>
      <w:proofErr w:type="spellEnd"/>
      <w:r w:rsidRPr="005E530E">
        <w:rPr>
          <w:rFonts w:ascii="Arial" w:hAnsi="Arial" w:cs="Arial"/>
          <w:sz w:val="20"/>
          <w:szCs w:val="20"/>
        </w:rPr>
        <w:t>.</w:t>
      </w:r>
    </w:p>
    <w:p w14:paraId="66EA9ED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51DB8A92"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W odniesieniu do obszarów wsparcia, w ramach priorytetu inwestycyjnego nie przewiduje się wsparcia w formie instrumentów finansowych. Przewiduje się, że priorytet inwestycyjny może zostać objęty zasadami pomocy publicznej.</w:t>
      </w:r>
    </w:p>
    <w:p w14:paraId="6E5FEA4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70ABFE42"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Na obecnym etapie nie przewiduje się realizacji dużych projektów w priorytecie inwestycyjnym. Niemniej nie można wykluczyć, że projekty duże zostaną zidentyfikowane również na etapie wdrażania.</w:t>
      </w:r>
    </w:p>
    <w:p w14:paraId="1146210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64"/>
        <w:gridCol w:w="2237"/>
        <w:gridCol w:w="1410"/>
        <w:gridCol w:w="858"/>
        <w:gridCol w:w="992"/>
        <w:gridCol w:w="994"/>
        <w:gridCol w:w="984"/>
        <w:gridCol w:w="1247"/>
      </w:tblGrid>
      <w:tr w:rsidR="004E3242" w:rsidRPr="004E3242" w14:paraId="7BD00122" w14:textId="77777777" w:rsidTr="00AA7998">
        <w:tc>
          <w:tcPr>
            <w:tcW w:w="304" w:type="pct"/>
            <w:shd w:val="clear" w:color="auto" w:fill="99CC00"/>
            <w:vAlign w:val="center"/>
          </w:tcPr>
          <w:p w14:paraId="4A6E483C"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05" w:type="pct"/>
            <w:shd w:val="clear" w:color="auto" w:fill="99CC00"/>
            <w:vAlign w:val="center"/>
          </w:tcPr>
          <w:p w14:paraId="03D60A34"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759" w:type="pct"/>
            <w:shd w:val="clear" w:color="auto" w:fill="99CC00"/>
            <w:vAlign w:val="center"/>
          </w:tcPr>
          <w:p w14:paraId="45522FA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62" w:type="pct"/>
            <w:shd w:val="clear" w:color="auto" w:fill="99CC00"/>
            <w:vAlign w:val="center"/>
          </w:tcPr>
          <w:p w14:paraId="7CFAED6F"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4" w:type="pct"/>
            <w:shd w:val="clear" w:color="auto" w:fill="99CC00"/>
            <w:vAlign w:val="center"/>
          </w:tcPr>
          <w:p w14:paraId="4173BE60"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5" w:type="pct"/>
            <w:shd w:val="clear" w:color="auto" w:fill="99CC00"/>
            <w:vAlign w:val="center"/>
          </w:tcPr>
          <w:p w14:paraId="105B36E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0" w:type="pct"/>
            <w:shd w:val="clear" w:color="auto" w:fill="99CC00"/>
            <w:vAlign w:val="center"/>
          </w:tcPr>
          <w:p w14:paraId="16550C9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57D0AED5"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00C29971" w14:textId="77777777" w:rsidTr="00AA7998">
        <w:tc>
          <w:tcPr>
            <w:tcW w:w="304" w:type="pct"/>
            <w:shd w:val="clear" w:color="auto" w:fill="F2F2F2"/>
            <w:vAlign w:val="center"/>
          </w:tcPr>
          <w:p w14:paraId="75C87AC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205" w:type="pct"/>
            <w:shd w:val="clear" w:color="auto" w:fill="F2F2F2"/>
            <w:vAlign w:val="center"/>
          </w:tcPr>
          <w:p w14:paraId="271BD148"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dodatkowych użytkowników energii podłączonych do inteligentnych sieci (CI)</w:t>
            </w:r>
          </w:p>
        </w:tc>
        <w:tc>
          <w:tcPr>
            <w:tcW w:w="759" w:type="pct"/>
            <w:shd w:val="clear" w:color="auto" w:fill="F2F2F2"/>
            <w:vAlign w:val="center"/>
          </w:tcPr>
          <w:p w14:paraId="713883A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użytkownicy</w:t>
            </w:r>
          </w:p>
        </w:tc>
        <w:tc>
          <w:tcPr>
            <w:tcW w:w="462" w:type="pct"/>
            <w:shd w:val="clear" w:color="auto" w:fill="F2F2F2"/>
            <w:vAlign w:val="center"/>
          </w:tcPr>
          <w:p w14:paraId="201FAF5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7A96078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5" w:type="pct"/>
            <w:shd w:val="clear" w:color="auto" w:fill="F2F2F2"/>
            <w:vAlign w:val="center"/>
          </w:tcPr>
          <w:p w14:paraId="68AC847C"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 xml:space="preserve"> 2 950 100</w:t>
            </w:r>
          </w:p>
        </w:tc>
        <w:tc>
          <w:tcPr>
            <w:tcW w:w="530" w:type="pct"/>
            <w:shd w:val="clear" w:color="auto" w:fill="F2F2F2"/>
            <w:vAlign w:val="center"/>
          </w:tcPr>
          <w:p w14:paraId="3D63885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2E72AF7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A3F202A" w14:textId="77777777" w:rsidTr="00AA7998">
        <w:tc>
          <w:tcPr>
            <w:tcW w:w="304" w:type="pct"/>
            <w:shd w:val="clear" w:color="auto" w:fill="F2F2F2"/>
            <w:vAlign w:val="center"/>
          </w:tcPr>
          <w:p w14:paraId="4485276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205" w:type="pct"/>
            <w:shd w:val="clear" w:color="auto" w:fill="F2F2F2"/>
            <w:vAlign w:val="center"/>
          </w:tcPr>
          <w:p w14:paraId="43460385"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przedsiębiorstw otrzymujących wsparcie</w:t>
            </w:r>
          </w:p>
        </w:tc>
        <w:tc>
          <w:tcPr>
            <w:tcW w:w="759" w:type="pct"/>
            <w:shd w:val="clear" w:color="auto" w:fill="F2F2F2"/>
            <w:vAlign w:val="center"/>
          </w:tcPr>
          <w:p w14:paraId="7001EDD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462" w:type="pct"/>
            <w:shd w:val="clear" w:color="auto" w:fill="F2F2F2"/>
            <w:vAlign w:val="center"/>
          </w:tcPr>
          <w:p w14:paraId="150E39D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5DCE5E0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5" w:type="pct"/>
            <w:shd w:val="clear" w:color="auto" w:fill="F2F2F2"/>
            <w:vAlign w:val="center"/>
          </w:tcPr>
          <w:p w14:paraId="50F8FEDD" w14:textId="77777777" w:rsidR="004E3242" w:rsidRPr="004E3242" w:rsidDel="007F7930"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7</w:t>
            </w:r>
          </w:p>
        </w:tc>
        <w:tc>
          <w:tcPr>
            <w:tcW w:w="530" w:type="pct"/>
            <w:shd w:val="clear" w:color="auto" w:fill="F2F2F2"/>
            <w:vAlign w:val="center"/>
          </w:tcPr>
          <w:p w14:paraId="7B564E7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390CC71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22C1BE6E" w14:textId="77777777" w:rsidR="004E3242" w:rsidRPr="004E3242" w:rsidRDefault="004E3242" w:rsidP="004E3242">
      <w:pPr>
        <w:autoSpaceDE w:val="0"/>
        <w:autoSpaceDN w:val="0"/>
        <w:adjustRightInd w:val="0"/>
        <w:spacing w:after="120" w:line="280" w:lineRule="atLeast"/>
        <w:jc w:val="both"/>
        <w:rPr>
          <w:rFonts w:ascii="Arial" w:hAnsi="Arial" w:cs="Arial"/>
          <w:spacing w:val="4"/>
          <w:sz w:val="20"/>
          <w:szCs w:val="20"/>
        </w:rPr>
      </w:pPr>
    </w:p>
    <w:p w14:paraId="7DB34D43"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4"/>
          <w:sz w:val="24"/>
          <w:szCs w:val="24"/>
          <w:lang w:eastAsia="pl-PL"/>
        </w:rPr>
        <w:lastRenderedPageBreak/>
        <w:t xml:space="preserve">PRIORYTET INWESTYCYJNY 4.v. </w:t>
      </w:r>
      <w:r w:rsidRPr="004E3242">
        <w:rPr>
          <w:rFonts w:ascii="Arial" w:eastAsia="Times New Roman" w:hAnsi="Arial"/>
          <w:smallCaps/>
          <w:color w:val="669900"/>
          <w:spacing w:val="10"/>
          <w:sz w:val="24"/>
          <w:szCs w:val="24"/>
          <w:lang w:eastAsia="pl-PL"/>
        </w:rPr>
        <w:t xml:space="preserve">Promowanie strategii niskoemisyjnych dla wszystkich rodzajów terytoriów, w szczególności dla obszarów miejskich, w tym wspieranie zrównoważonej multimodalnej mobilności miejskiej i działań adaptacyjnych mających oddziaływanie łagodzące na zmiany klimatu </w:t>
      </w:r>
    </w:p>
    <w:p w14:paraId="62A7F23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6004BB0A" w14:textId="77777777" w:rsidR="004E3242" w:rsidRPr="004E3242" w:rsidRDefault="004E3242" w:rsidP="004E3242">
      <w:pPr>
        <w:autoSpaceDE w:val="0"/>
        <w:autoSpaceDN w:val="0"/>
        <w:adjustRightInd w:val="0"/>
        <w:spacing w:before="120" w:after="120" w:line="240" w:lineRule="auto"/>
        <w:jc w:val="both"/>
        <w:rPr>
          <w:rFonts w:ascii="Arial" w:hAnsi="Arial" w:cs="Arial"/>
          <w:spacing w:val="4"/>
          <w:sz w:val="20"/>
          <w:szCs w:val="20"/>
        </w:rPr>
      </w:pPr>
      <w:r w:rsidRPr="004E3242">
        <w:rPr>
          <w:rFonts w:ascii="Arial" w:hAnsi="Arial" w:cs="Arial"/>
          <w:spacing w:val="4"/>
          <w:sz w:val="20"/>
          <w:szCs w:val="20"/>
        </w:rPr>
        <w:t xml:space="preserve">Zwiększona sprawność </w:t>
      </w:r>
      <w:proofErr w:type="spellStart"/>
      <w:r w:rsidRPr="004E3242">
        <w:rPr>
          <w:rFonts w:ascii="Arial" w:hAnsi="Arial" w:cs="Arial"/>
          <w:spacing w:val="4"/>
          <w:sz w:val="20"/>
          <w:szCs w:val="20"/>
        </w:rPr>
        <w:t>przesyłu</w:t>
      </w:r>
      <w:proofErr w:type="spellEnd"/>
      <w:r w:rsidRPr="004E3242">
        <w:rPr>
          <w:rFonts w:ascii="Arial" w:hAnsi="Arial" w:cs="Arial"/>
          <w:spacing w:val="4"/>
          <w:sz w:val="20"/>
          <w:szCs w:val="20"/>
        </w:rPr>
        <w:t xml:space="preserve"> energii termicznej </w:t>
      </w:r>
    </w:p>
    <w:p w14:paraId="30886745"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7BEE8679" w14:textId="77777777" w:rsidR="004E3242" w:rsidRPr="004E3242" w:rsidRDefault="004E3242" w:rsidP="004E3242">
      <w:pPr>
        <w:autoSpaceDE w:val="0"/>
        <w:autoSpaceDN w:val="0"/>
        <w:adjustRightInd w:val="0"/>
        <w:spacing w:before="120" w:after="120" w:line="240" w:lineRule="auto"/>
        <w:jc w:val="both"/>
        <w:rPr>
          <w:rFonts w:ascii="Arial" w:hAnsi="Arial" w:cs="Arial"/>
          <w:spacing w:val="4"/>
          <w:sz w:val="20"/>
          <w:szCs w:val="20"/>
        </w:rPr>
      </w:pPr>
      <w:r w:rsidRPr="004E3242">
        <w:rPr>
          <w:rFonts w:ascii="Arial" w:hAnsi="Arial" w:cs="Arial"/>
          <w:spacing w:val="4"/>
          <w:sz w:val="20"/>
          <w:szCs w:val="20"/>
        </w:rPr>
        <w:t xml:space="preserve">Realizacja priorytetu inwestycyjnego przyczyni się do zwiększenia efektywności energetycznej na poziomie produkcji i </w:t>
      </w:r>
      <w:proofErr w:type="spellStart"/>
      <w:r w:rsidRPr="004E3242">
        <w:rPr>
          <w:rFonts w:ascii="Arial" w:hAnsi="Arial" w:cs="Arial"/>
          <w:spacing w:val="4"/>
          <w:sz w:val="20"/>
          <w:szCs w:val="20"/>
        </w:rPr>
        <w:t>przesyłu</w:t>
      </w:r>
      <w:proofErr w:type="spellEnd"/>
      <w:r w:rsidRPr="004E3242">
        <w:rPr>
          <w:rFonts w:ascii="Arial" w:hAnsi="Arial" w:cs="Arial"/>
          <w:spacing w:val="4"/>
          <w:sz w:val="20"/>
          <w:szCs w:val="20"/>
        </w:rPr>
        <w:t>. Działania przewidziane w przedmiotowym priorytecie ukierunkowane będą na zmniejszenie emisji zanieczyszczeń, co przyczyni się do poprawy jakości powietrza na terenach miejskich</w:t>
      </w:r>
    </w:p>
    <w:p w14:paraId="08A9C9F2"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499"/>
        <w:gridCol w:w="2019"/>
        <w:gridCol w:w="708"/>
        <w:gridCol w:w="994"/>
        <w:gridCol w:w="852"/>
        <w:gridCol w:w="852"/>
        <w:gridCol w:w="992"/>
        <w:gridCol w:w="994"/>
        <w:gridCol w:w="1376"/>
      </w:tblGrid>
      <w:tr w:rsidR="004E3242" w:rsidRPr="004E3242" w14:paraId="50F87EE1" w14:textId="77777777" w:rsidTr="00AA7998">
        <w:tc>
          <w:tcPr>
            <w:tcW w:w="269" w:type="pct"/>
            <w:shd w:val="clear" w:color="auto" w:fill="99CC00"/>
            <w:vAlign w:val="center"/>
          </w:tcPr>
          <w:p w14:paraId="74B4F14C"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087" w:type="pct"/>
            <w:shd w:val="clear" w:color="auto" w:fill="99CC00"/>
            <w:vAlign w:val="center"/>
          </w:tcPr>
          <w:p w14:paraId="5C99ED24"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381" w:type="pct"/>
            <w:shd w:val="clear" w:color="auto" w:fill="99CC00"/>
            <w:vAlign w:val="center"/>
          </w:tcPr>
          <w:p w14:paraId="182B53B9"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 miary</w:t>
            </w:r>
          </w:p>
        </w:tc>
        <w:tc>
          <w:tcPr>
            <w:tcW w:w="535" w:type="pct"/>
            <w:shd w:val="clear" w:color="auto" w:fill="99CC00"/>
            <w:vAlign w:val="center"/>
          </w:tcPr>
          <w:p w14:paraId="5137AB49"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9" w:type="pct"/>
            <w:shd w:val="clear" w:color="auto" w:fill="99CC00"/>
            <w:vAlign w:val="center"/>
          </w:tcPr>
          <w:p w14:paraId="5FB2E982"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9" w:type="pct"/>
            <w:shd w:val="clear" w:color="auto" w:fill="99CC00"/>
            <w:vAlign w:val="center"/>
          </w:tcPr>
          <w:p w14:paraId="6DB4FFD5"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4" w:type="pct"/>
            <w:shd w:val="clear" w:color="auto" w:fill="99CC00"/>
            <w:vAlign w:val="center"/>
          </w:tcPr>
          <w:p w14:paraId="53C785E3" w14:textId="77777777" w:rsidR="004E3242" w:rsidRPr="004E3242" w:rsidDel="00F91005"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5" w:type="pct"/>
            <w:shd w:val="clear" w:color="auto" w:fill="99CC00"/>
            <w:vAlign w:val="center"/>
          </w:tcPr>
          <w:p w14:paraId="28684AE1"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1" w:type="pct"/>
            <w:shd w:val="clear" w:color="auto" w:fill="99CC00"/>
            <w:vAlign w:val="center"/>
          </w:tcPr>
          <w:p w14:paraId="440D656A" w14:textId="77777777" w:rsidR="004E3242" w:rsidRPr="004E3242" w:rsidRDefault="004E3242" w:rsidP="004E3242">
            <w:pPr>
              <w:spacing w:before="20" w:after="20" w:line="240" w:lineRule="auto"/>
              <w:ind w:right="225"/>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468629D3" w14:textId="77777777" w:rsidTr="00AA7998">
        <w:tc>
          <w:tcPr>
            <w:tcW w:w="269" w:type="pct"/>
            <w:shd w:val="clear" w:color="auto" w:fill="F2F2F2"/>
            <w:vAlign w:val="center"/>
          </w:tcPr>
          <w:p w14:paraId="682862BD"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1.</w:t>
            </w:r>
          </w:p>
        </w:tc>
        <w:tc>
          <w:tcPr>
            <w:tcW w:w="1087" w:type="pct"/>
            <w:shd w:val="clear" w:color="auto" w:fill="F2F2F2"/>
            <w:vAlign w:val="center"/>
          </w:tcPr>
          <w:p w14:paraId="7060E72A"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tc>
        <w:tc>
          <w:tcPr>
            <w:tcW w:w="381" w:type="pct"/>
            <w:shd w:val="clear" w:color="auto" w:fill="F2F2F2"/>
            <w:vAlign w:val="center"/>
          </w:tcPr>
          <w:p w14:paraId="509135C9" w14:textId="77777777" w:rsidR="004E3242" w:rsidRPr="004E3242" w:rsidRDefault="004E3242" w:rsidP="004E3242">
            <w:pPr>
              <w:spacing w:before="20" w:after="20" w:line="240" w:lineRule="auto"/>
              <w:jc w:val="center"/>
              <w:rPr>
                <w:rFonts w:ascii="Arial" w:hAnsi="Arial" w:cs="Arial"/>
                <w:spacing w:val="4"/>
                <w:sz w:val="16"/>
                <w:szCs w:val="16"/>
              </w:rPr>
            </w:pPr>
            <w:proofErr w:type="spellStart"/>
            <w:r w:rsidRPr="004E3242">
              <w:rPr>
                <w:rFonts w:ascii="Arial" w:hAnsi="Arial" w:cs="Arial"/>
                <w:spacing w:val="4"/>
                <w:sz w:val="16"/>
                <w:szCs w:val="16"/>
              </w:rPr>
              <w:t>Mtoe</w:t>
            </w:r>
            <w:proofErr w:type="spellEnd"/>
          </w:p>
        </w:tc>
        <w:tc>
          <w:tcPr>
            <w:tcW w:w="535" w:type="pct"/>
            <w:shd w:val="clear" w:color="auto" w:fill="F2F2F2"/>
            <w:vAlign w:val="center"/>
          </w:tcPr>
          <w:p w14:paraId="6DC93FD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9" w:type="pct"/>
            <w:shd w:val="clear" w:color="auto" w:fill="F2F2F2"/>
            <w:vAlign w:val="center"/>
          </w:tcPr>
          <w:p w14:paraId="5CA3743F"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93,3</w:t>
            </w:r>
          </w:p>
        </w:tc>
        <w:tc>
          <w:tcPr>
            <w:tcW w:w="459" w:type="pct"/>
            <w:shd w:val="clear" w:color="auto" w:fill="F2F2F2"/>
            <w:vAlign w:val="center"/>
          </w:tcPr>
          <w:p w14:paraId="05AF7E04"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34" w:type="pct"/>
            <w:shd w:val="clear" w:color="auto" w:fill="F2F2F2"/>
            <w:vAlign w:val="center"/>
          </w:tcPr>
          <w:p w14:paraId="38820CDC"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 xml:space="preserve">ok. 96 </w:t>
            </w:r>
            <w:proofErr w:type="spellStart"/>
            <w:r w:rsidRPr="004E3242">
              <w:rPr>
                <w:rFonts w:ascii="Arial" w:hAnsi="Arial" w:cs="Arial"/>
                <w:spacing w:val="4"/>
                <w:sz w:val="16"/>
                <w:szCs w:val="16"/>
              </w:rPr>
              <w:t>Mtoe</w:t>
            </w:r>
            <w:proofErr w:type="spellEnd"/>
            <w:r w:rsidRPr="004E3242">
              <w:rPr>
                <w:rFonts w:ascii="Arial" w:hAnsi="Arial" w:cs="Arial"/>
                <w:spacing w:val="4"/>
                <w:sz w:val="16"/>
                <w:szCs w:val="16"/>
                <w:vertAlign w:val="superscript"/>
              </w:rPr>
              <w:footnoteReference w:id="44"/>
            </w:r>
          </w:p>
        </w:tc>
        <w:tc>
          <w:tcPr>
            <w:tcW w:w="535" w:type="pct"/>
            <w:shd w:val="clear" w:color="auto" w:fill="F2F2F2"/>
            <w:vAlign w:val="center"/>
          </w:tcPr>
          <w:p w14:paraId="7034309B"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Eurostat</w:t>
            </w:r>
          </w:p>
        </w:tc>
        <w:tc>
          <w:tcPr>
            <w:tcW w:w="741" w:type="pct"/>
            <w:shd w:val="clear" w:color="auto" w:fill="F2F2F2"/>
            <w:vAlign w:val="center"/>
          </w:tcPr>
          <w:p w14:paraId="1D399E9A" w14:textId="77777777" w:rsidR="004E3242" w:rsidRPr="004E3242" w:rsidRDefault="004E3242" w:rsidP="004E3242">
            <w:pPr>
              <w:spacing w:before="20" w:after="20" w:line="240" w:lineRule="auto"/>
              <w:ind w:left="-159" w:right="-144"/>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A6F6BCB" w14:textId="77777777" w:rsidTr="00AA7998">
        <w:tc>
          <w:tcPr>
            <w:tcW w:w="269" w:type="pct"/>
            <w:shd w:val="clear" w:color="auto" w:fill="F2F2F2"/>
            <w:vAlign w:val="center"/>
          </w:tcPr>
          <w:p w14:paraId="23FF601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w:t>
            </w:r>
          </w:p>
        </w:tc>
        <w:tc>
          <w:tcPr>
            <w:tcW w:w="1087" w:type="pct"/>
            <w:shd w:val="clear" w:color="auto" w:fill="F2F2F2"/>
            <w:vAlign w:val="center"/>
          </w:tcPr>
          <w:p w14:paraId="171717EC"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Emisja gazów cieplarnianych</w:t>
            </w:r>
          </w:p>
        </w:tc>
        <w:tc>
          <w:tcPr>
            <w:tcW w:w="381" w:type="pct"/>
            <w:shd w:val="clear" w:color="auto" w:fill="F2F2F2"/>
            <w:vAlign w:val="center"/>
          </w:tcPr>
          <w:p w14:paraId="6BFD74F9"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1990 = 100</w:t>
            </w:r>
          </w:p>
        </w:tc>
        <w:tc>
          <w:tcPr>
            <w:tcW w:w="535" w:type="pct"/>
            <w:shd w:val="clear" w:color="auto" w:fill="F2F2F2"/>
            <w:vAlign w:val="center"/>
          </w:tcPr>
          <w:p w14:paraId="757D762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9" w:type="pct"/>
            <w:shd w:val="clear" w:color="auto" w:fill="F2F2F2"/>
            <w:vAlign w:val="center"/>
          </w:tcPr>
          <w:p w14:paraId="692AC68D"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85,85</w:t>
            </w:r>
          </w:p>
        </w:tc>
        <w:tc>
          <w:tcPr>
            <w:tcW w:w="459" w:type="pct"/>
            <w:shd w:val="clear" w:color="auto" w:fill="F2F2F2"/>
            <w:vAlign w:val="center"/>
          </w:tcPr>
          <w:p w14:paraId="29101053"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34" w:type="pct"/>
            <w:shd w:val="clear" w:color="auto" w:fill="F2F2F2"/>
            <w:vAlign w:val="center"/>
          </w:tcPr>
          <w:p w14:paraId="684F18B7" w14:textId="77777777" w:rsidR="004E3242" w:rsidRPr="004E3242" w:rsidDel="00F91005"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79,4</w:t>
            </w:r>
            <w:r w:rsidRPr="004E3242">
              <w:rPr>
                <w:rFonts w:ascii="Arial" w:hAnsi="Arial" w:cs="Arial"/>
                <w:spacing w:val="4"/>
                <w:sz w:val="16"/>
                <w:szCs w:val="16"/>
                <w:vertAlign w:val="superscript"/>
              </w:rPr>
              <w:footnoteReference w:id="45"/>
            </w:r>
          </w:p>
        </w:tc>
        <w:tc>
          <w:tcPr>
            <w:tcW w:w="535" w:type="pct"/>
            <w:shd w:val="clear" w:color="auto" w:fill="F2F2F2"/>
            <w:vAlign w:val="center"/>
          </w:tcPr>
          <w:p w14:paraId="3D741925"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Eurostat/</w:t>
            </w:r>
          </w:p>
          <w:p w14:paraId="29F5732A" w14:textId="77777777" w:rsidR="004E3242" w:rsidRPr="004E3242" w:rsidRDefault="004E3242" w:rsidP="004E3242">
            <w:pPr>
              <w:spacing w:before="20" w:after="20" w:line="240" w:lineRule="auto"/>
              <w:jc w:val="center"/>
              <w:rPr>
                <w:rFonts w:ascii="Arial" w:hAnsi="Arial" w:cs="Arial"/>
                <w:spacing w:val="4"/>
                <w:sz w:val="16"/>
                <w:szCs w:val="16"/>
              </w:rPr>
            </w:pPr>
            <w:proofErr w:type="spellStart"/>
            <w:r w:rsidRPr="004E3242">
              <w:rPr>
                <w:rFonts w:ascii="Arial" w:hAnsi="Arial" w:cs="Arial"/>
                <w:spacing w:val="4"/>
                <w:sz w:val="16"/>
                <w:szCs w:val="16"/>
              </w:rPr>
              <w:t>KOBiZE</w:t>
            </w:r>
            <w:proofErr w:type="spellEnd"/>
          </w:p>
        </w:tc>
        <w:tc>
          <w:tcPr>
            <w:tcW w:w="741" w:type="pct"/>
            <w:shd w:val="clear" w:color="auto" w:fill="F2F2F2"/>
            <w:vAlign w:val="center"/>
          </w:tcPr>
          <w:p w14:paraId="484FDA1D" w14:textId="77777777" w:rsidR="004E3242" w:rsidRPr="004E3242" w:rsidRDefault="004E3242" w:rsidP="004E3242">
            <w:pPr>
              <w:spacing w:before="20" w:after="20" w:line="240" w:lineRule="auto"/>
              <w:ind w:left="-159" w:right="-144"/>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5584819" w14:textId="77777777" w:rsidTr="00AA7998">
        <w:tc>
          <w:tcPr>
            <w:tcW w:w="269" w:type="pct"/>
            <w:shd w:val="clear" w:color="auto" w:fill="F2F2F2"/>
            <w:vAlign w:val="center"/>
          </w:tcPr>
          <w:p w14:paraId="5F871BB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3.</w:t>
            </w:r>
          </w:p>
        </w:tc>
        <w:tc>
          <w:tcPr>
            <w:tcW w:w="1087" w:type="pct"/>
            <w:shd w:val="clear" w:color="auto" w:fill="F2F2F2"/>
            <w:vAlign w:val="center"/>
          </w:tcPr>
          <w:p w14:paraId="5D402F6C"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Sprawność przesyłania energii w koncesjonowanych przedsiębiorstwach ciepłowniczych</w:t>
            </w:r>
          </w:p>
        </w:tc>
        <w:tc>
          <w:tcPr>
            <w:tcW w:w="381" w:type="pct"/>
            <w:shd w:val="clear" w:color="auto" w:fill="F2F2F2"/>
            <w:vAlign w:val="center"/>
          </w:tcPr>
          <w:p w14:paraId="0268358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t>
            </w:r>
          </w:p>
        </w:tc>
        <w:tc>
          <w:tcPr>
            <w:tcW w:w="535" w:type="pct"/>
            <w:shd w:val="clear" w:color="auto" w:fill="F2F2F2"/>
            <w:vAlign w:val="center"/>
          </w:tcPr>
          <w:p w14:paraId="72DB2A9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9" w:type="pct"/>
            <w:shd w:val="clear" w:color="auto" w:fill="F2F2F2"/>
            <w:vAlign w:val="center"/>
          </w:tcPr>
          <w:p w14:paraId="5CFE419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87,00</w:t>
            </w:r>
          </w:p>
        </w:tc>
        <w:tc>
          <w:tcPr>
            <w:tcW w:w="459" w:type="pct"/>
            <w:shd w:val="clear" w:color="auto" w:fill="F2F2F2"/>
            <w:vAlign w:val="center"/>
          </w:tcPr>
          <w:p w14:paraId="21283BEB"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1F8F60F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88,05</w:t>
            </w:r>
          </w:p>
        </w:tc>
        <w:tc>
          <w:tcPr>
            <w:tcW w:w="535" w:type="pct"/>
            <w:shd w:val="clear" w:color="auto" w:fill="F2F2F2"/>
            <w:vAlign w:val="center"/>
          </w:tcPr>
          <w:p w14:paraId="5A87BF3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URE</w:t>
            </w:r>
          </w:p>
        </w:tc>
        <w:tc>
          <w:tcPr>
            <w:tcW w:w="741" w:type="pct"/>
            <w:shd w:val="clear" w:color="auto" w:fill="F2F2F2"/>
            <w:vAlign w:val="center"/>
          </w:tcPr>
          <w:p w14:paraId="24BF98DE" w14:textId="77777777" w:rsidR="004E3242" w:rsidRPr="004E3242" w:rsidRDefault="004E3242" w:rsidP="004E3242">
            <w:pPr>
              <w:spacing w:before="20" w:after="20" w:line="240" w:lineRule="auto"/>
              <w:ind w:left="-159" w:right="-144"/>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0F4E30C7" w14:textId="77777777" w:rsidTr="00AA7998">
        <w:tc>
          <w:tcPr>
            <w:tcW w:w="269" w:type="pct"/>
            <w:shd w:val="clear" w:color="auto" w:fill="F2F2F2"/>
            <w:vAlign w:val="center"/>
          </w:tcPr>
          <w:p w14:paraId="06D2E3EB"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4.</w:t>
            </w:r>
          </w:p>
        </w:tc>
        <w:tc>
          <w:tcPr>
            <w:tcW w:w="1087" w:type="pct"/>
            <w:shd w:val="clear" w:color="auto" w:fill="F2F2F2"/>
            <w:vAlign w:val="center"/>
          </w:tcPr>
          <w:p w14:paraId="637E5302"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Ludność miast narażona na stężenie PM10 przewyższające dzienny limit (przez więcej niż 35 dni w roku) – średnia 3 letnia</w:t>
            </w:r>
          </w:p>
        </w:tc>
        <w:tc>
          <w:tcPr>
            <w:tcW w:w="381" w:type="pct"/>
            <w:shd w:val="clear" w:color="auto" w:fill="F2F2F2"/>
            <w:vAlign w:val="center"/>
          </w:tcPr>
          <w:p w14:paraId="00436D1D"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t>
            </w:r>
          </w:p>
        </w:tc>
        <w:tc>
          <w:tcPr>
            <w:tcW w:w="535" w:type="pct"/>
            <w:shd w:val="clear" w:color="auto" w:fill="F2F2F2"/>
            <w:vAlign w:val="center"/>
          </w:tcPr>
          <w:p w14:paraId="35BDAEE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9" w:type="pct"/>
            <w:shd w:val="clear" w:color="auto" w:fill="F2F2F2"/>
            <w:vAlign w:val="center"/>
          </w:tcPr>
          <w:p w14:paraId="48EBA4B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81,30</w:t>
            </w:r>
          </w:p>
        </w:tc>
        <w:tc>
          <w:tcPr>
            <w:tcW w:w="459" w:type="pct"/>
            <w:shd w:val="clear" w:color="auto" w:fill="F2F2F2"/>
            <w:vAlign w:val="center"/>
          </w:tcPr>
          <w:p w14:paraId="1319FB30"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34" w:type="pct"/>
            <w:shd w:val="clear" w:color="auto" w:fill="F2F2F2"/>
            <w:vAlign w:val="center"/>
          </w:tcPr>
          <w:p w14:paraId="66C60E9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64,95</w:t>
            </w:r>
          </w:p>
        </w:tc>
        <w:tc>
          <w:tcPr>
            <w:tcW w:w="535" w:type="pct"/>
            <w:shd w:val="clear" w:color="auto" w:fill="F2F2F2"/>
            <w:vAlign w:val="center"/>
          </w:tcPr>
          <w:p w14:paraId="572AB2DC"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Eurostat</w:t>
            </w:r>
          </w:p>
        </w:tc>
        <w:tc>
          <w:tcPr>
            <w:tcW w:w="741" w:type="pct"/>
            <w:shd w:val="clear" w:color="auto" w:fill="F2F2F2"/>
            <w:vAlign w:val="center"/>
          </w:tcPr>
          <w:p w14:paraId="1C1C935E" w14:textId="77777777" w:rsidR="004E3242" w:rsidRPr="004E3242" w:rsidRDefault="004E3242" w:rsidP="004E3242">
            <w:pPr>
              <w:spacing w:before="20" w:after="20" w:line="240" w:lineRule="auto"/>
              <w:ind w:left="-159" w:right="-144"/>
              <w:jc w:val="center"/>
              <w:rPr>
                <w:rFonts w:ascii="Arial" w:hAnsi="Arial" w:cs="Arial"/>
                <w:spacing w:val="4"/>
                <w:sz w:val="16"/>
                <w:szCs w:val="16"/>
              </w:rPr>
            </w:pPr>
            <w:r w:rsidRPr="004E3242">
              <w:rPr>
                <w:rFonts w:ascii="Arial" w:hAnsi="Arial" w:cs="Arial"/>
                <w:spacing w:val="4"/>
                <w:sz w:val="16"/>
                <w:szCs w:val="16"/>
              </w:rPr>
              <w:t>Rocznie</w:t>
            </w:r>
          </w:p>
        </w:tc>
      </w:tr>
    </w:tbl>
    <w:p w14:paraId="45B1FB8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580BAE47"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Mając na uwadze zwiększenie efektywności energetycznej oraz ograniczenie emisji dwutlenku węgla w miastach, wskazana jest poprawa efektywności dystrybucji ciepła do odbiorców </w:t>
      </w:r>
      <w:r w:rsidRPr="004E3242">
        <w:rPr>
          <w:rFonts w:ascii="Arial" w:hAnsi="Arial" w:cs="Arial"/>
          <w:spacing w:val="4"/>
          <w:sz w:val="20"/>
          <w:szCs w:val="20"/>
        </w:rPr>
        <w:br/>
        <w:t>(w szczególności poprzez modernizację oraz rozbudowę sieci ciepłowniczych) oraz poprawa sprawności wytwarzania ciepła poprzez likwidację zbiorowych i indywidualnych, w tym w budynkach mieszkalnych jednorodzinnych,</w:t>
      </w:r>
      <w:r w:rsidRPr="004E3242" w:rsidDel="00DC2D08">
        <w:rPr>
          <w:rFonts w:ascii="Arial" w:hAnsi="Arial" w:cs="Arial"/>
          <w:spacing w:val="4"/>
          <w:sz w:val="20"/>
          <w:szCs w:val="20"/>
        </w:rPr>
        <w:t xml:space="preserve"> </w:t>
      </w:r>
      <w:r w:rsidRPr="004E3242">
        <w:rPr>
          <w:rFonts w:ascii="Arial" w:hAnsi="Arial" w:cs="Arial"/>
          <w:spacing w:val="4"/>
          <w:sz w:val="20"/>
          <w:szCs w:val="20"/>
        </w:rPr>
        <w:t xml:space="preserve">źródeł niskiej emisji. </w:t>
      </w:r>
    </w:p>
    <w:p w14:paraId="5329CF2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Inwestycje w sieci ciepłownicze związane są ze zmniejszeniem strat energii powstających </w:t>
      </w:r>
      <w:r w:rsidRPr="004E3242">
        <w:rPr>
          <w:rFonts w:ascii="Arial" w:hAnsi="Arial" w:cs="Arial"/>
          <w:spacing w:val="4"/>
          <w:sz w:val="20"/>
          <w:szCs w:val="20"/>
        </w:rPr>
        <w:br/>
        <w:t xml:space="preserve">w procesie przesyłania i dystrybucji ciepła, w efekcie czego prowadzą do poprawy wydajności systemu ciepłowniczego. Korzyścią wynikającą z realizacji inwestycji, poza zwiększeniem efektywności energetycznej, jest również poprawa jakości powietrza poprzez ograniczenie emisyjności gospodarki związanej m.in. z wymianą źródła ciepła oraz zmniejszeniem awaryjności systemu, a tym samym ograniczenie strat ciepła i spadek zużycia wody, co prowadzi </w:t>
      </w:r>
      <w:r w:rsidRPr="004E3242">
        <w:rPr>
          <w:rFonts w:ascii="Arial" w:hAnsi="Arial" w:cs="Arial"/>
          <w:spacing w:val="4"/>
          <w:sz w:val="20"/>
          <w:szCs w:val="20"/>
        </w:rPr>
        <w:br/>
        <w:t xml:space="preserve">do ograniczenia poziomu kosztów eksploatacyjnych. Dodatkowo inwestycje przyczynią się </w:t>
      </w:r>
      <w:r w:rsidRPr="004E3242">
        <w:rPr>
          <w:rFonts w:ascii="Arial" w:hAnsi="Arial" w:cs="Arial"/>
          <w:spacing w:val="4"/>
          <w:sz w:val="20"/>
          <w:szCs w:val="20"/>
        </w:rPr>
        <w:br/>
        <w:t xml:space="preserve">do poprawy bezpieczeństwa dostaw ciepła oraz zmniejszenia zużycia energii pierwotnej. </w:t>
      </w:r>
    </w:p>
    <w:p w14:paraId="05FC1011"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pacing w:val="4"/>
          <w:sz w:val="20"/>
          <w:szCs w:val="20"/>
        </w:rPr>
        <w:t xml:space="preserve">W ramach inwestycji wynikających z planów gospodarki niskoemisyjnej przewiduje się, </w:t>
      </w:r>
      <w:r w:rsidRPr="004E3242">
        <w:rPr>
          <w:rFonts w:ascii="Arial" w:hAnsi="Arial" w:cs="Arial"/>
          <w:spacing w:val="4"/>
          <w:sz w:val="20"/>
          <w:szCs w:val="20"/>
        </w:rPr>
        <w:br/>
        <w:t>że wsparcie będzie ukierunkowane m.in. na projekty takie, jak:</w:t>
      </w:r>
    </w:p>
    <w:p w14:paraId="3200FEF2" w14:textId="77777777" w:rsidR="004E3242" w:rsidRPr="004E3242" w:rsidRDefault="004E3242" w:rsidP="00B345B6">
      <w:pPr>
        <w:numPr>
          <w:ilvl w:val="0"/>
          <w:numId w:val="7"/>
        </w:numPr>
        <w:spacing w:before="120" w:after="120"/>
        <w:jc w:val="both"/>
        <w:rPr>
          <w:rFonts w:ascii="Arial" w:hAnsi="Arial" w:cs="Arial"/>
          <w:sz w:val="20"/>
          <w:szCs w:val="20"/>
        </w:rPr>
      </w:pPr>
      <w:r w:rsidRPr="004E3242">
        <w:rPr>
          <w:rFonts w:ascii="Arial" w:hAnsi="Arial" w:cs="Arial"/>
          <w:sz w:val="20"/>
          <w:szCs w:val="20"/>
        </w:rPr>
        <w:t xml:space="preserve">przebudowa istniejących systemów ciepłowniczych i sieci chłodu, celem zmniejszenia straty na przesyle, </w:t>
      </w:r>
    </w:p>
    <w:p w14:paraId="6B41482D" w14:textId="77777777" w:rsidR="004E3242" w:rsidRPr="004E3242" w:rsidRDefault="004E3242" w:rsidP="00B345B6">
      <w:pPr>
        <w:numPr>
          <w:ilvl w:val="0"/>
          <w:numId w:val="7"/>
        </w:numPr>
        <w:spacing w:before="120" w:after="120"/>
        <w:jc w:val="both"/>
        <w:rPr>
          <w:rFonts w:ascii="Arial" w:hAnsi="Arial" w:cs="Arial"/>
          <w:sz w:val="20"/>
          <w:szCs w:val="20"/>
        </w:rPr>
      </w:pPr>
      <w:r w:rsidRPr="004E3242">
        <w:rPr>
          <w:rFonts w:ascii="Arial" w:hAnsi="Arial" w:cs="Arial"/>
          <w:sz w:val="20"/>
          <w:szCs w:val="20"/>
        </w:rPr>
        <w:lastRenderedPageBreak/>
        <w:t>likwidacja węzłów grupowych wraz z budową przyłączy do istniejących budynków i instalacją węzłów dwufunkcyjnych (ciepła woda użytkowa),</w:t>
      </w:r>
    </w:p>
    <w:p w14:paraId="427AE461" w14:textId="77777777" w:rsidR="004E3242" w:rsidRPr="004E3242" w:rsidRDefault="004E3242" w:rsidP="00B345B6">
      <w:pPr>
        <w:numPr>
          <w:ilvl w:val="0"/>
          <w:numId w:val="7"/>
        </w:numPr>
        <w:spacing w:before="120" w:after="120"/>
        <w:jc w:val="both"/>
        <w:rPr>
          <w:rFonts w:ascii="Arial" w:hAnsi="Arial" w:cs="Arial"/>
          <w:sz w:val="20"/>
          <w:szCs w:val="20"/>
        </w:rPr>
      </w:pPr>
      <w:r w:rsidRPr="004E3242">
        <w:rPr>
          <w:rFonts w:ascii="Arial" w:hAnsi="Arial" w:cs="Arial"/>
          <w:sz w:val="20"/>
          <w:szCs w:val="20"/>
        </w:rPr>
        <w:t>budowa nowych odcinków sieci cieplnej wraz z przyłączami i węzłami ciepłowniczymi w celu likwidacji istniejących lokalnych źródeł ciepła opalanych paliwem stałym.</w:t>
      </w:r>
    </w:p>
    <w:p w14:paraId="7F9824CB" w14:textId="77777777" w:rsidR="004E3242" w:rsidRPr="004E3242" w:rsidRDefault="004E3242" w:rsidP="00B345B6">
      <w:pPr>
        <w:numPr>
          <w:ilvl w:val="0"/>
          <w:numId w:val="7"/>
        </w:numPr>
        <w:spacing w:before="120" w:after="120"/>
        <w:jc w:val="both"/>
        <w:rPr>
          <w:rFonts w:ascii="Arial" w:hAnsi="Arial" w:cs="Arial"/>
          <w:sz w:val="20"/>
          <w:szCs w:val="20"/>
        </w:rPr>
      </w:pPr>
      <w:r w:rsidRPr="004E3242">
        <w:rPr>
          <w:rFonts w:ascii="Arial" w:hAnsi="Arial" w:cs="Arial"/>
          <w:spacing w:val="4"/>
          <w:sz w:val="20"/>
          <w:szCs w:val="20"/>
        </w:rPr>
        <w:t xml:space="preserve">likwidacja indywidualnych i zbiorowych źródeł niskiej emisji pod warunkiem podłączenia budynków do sieci ciepłowniczej. </w:t>
      </w:r>
    </w:p>
    <w:p w14:paraId="0AC86B7F" w14:textId="77777777" w:rsidR="004E3242" w:rsidRDefault="004E3242" w:rsidP="004E3242">
      <w:pPr>
        <w:spacing w:before="120" w:after="120"/>
        <w:jc w:val="both"/>
        <w:rPr>
          <w:rFonts w:ascii="Arial" w:hAnsi="Arial" w:cs="Arial"/>
          <w:sz w:val="20"/>
          <w:szCs w:val="20"/>
        </w:rPr>
      </w:pPr>
      <w:r w:rsidRPr="004E3242">
        <w:rPr>
          <w:rFonts w:ascii="Arial" w:hAnsi="Arial" w:cs="Arial"/>
          <w:sz w:val="20"/>
          <w:szCs w:val="20"/>
        </w:rPr>
        <w:t>Działania te powinny być prowadzone w koordynacji z realizacją projektów z zakresu modernizacji energetycznej budynków prowadzących do zmniejszenia zapotrzebowania na ciepło i chłód.</w:t>
      </w:r>
    </w:p>
    <w:p w14:paraId="45D0A26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6FF33D4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Wsparcie przewidziane jest dla</w:t>
      </w:r>
      <w:r w:rsidRPr="004E3242">
        <w:rPr>
          <w:rFonts w:ascii="Arial" w:hAnsi="Arial" w:cs="Arial"/>
          <w:sz w:val="20"/>
          <w:szCs w:val="20"/>
        </w:rPr>
        <w:t xml:space="preserve"> jednostek</w:t>
      </w:r>
      <w:r w:rsidRPr="004E3242">
        <w:rPr>
          <w:rFonts w:ascii="Arial" w:hAnsi="Arial" w:cs="Arial"/>
          <w:spacing w:val="4"/>
          <w:sz w:val="20"/>
          <w:szCs w:val="20"/>
        </w:rPr>
        <w:t xml:space="preserve"> samorządu terytorialnego (w tym ich związków </w:t>
      </w:r>
      <w:r w:rsidRPr="004E3242">
        <w:rPr>
          <w:rFonts w:ascii="Arial" w:hAnsi="Arial" w:cs="Arial"/>
          <w:spacing w:val="4"/>
          <w:sz w:val="20"/>
          <w:szCs w:val="20"/>
        </w:rPr>
        <w:br/>
        <w:t>i porozumień) oraz działających w ich imieniu jednostek organizacyjnych (w szczególności dla miast wojewódzkich i ich obszarów funkcjonalnych</w:t>
      </w:r>
      <w:r w:rsidR="00E8402C">
        <w:rPr>
          <w:rFonts w:ascii="Arial" w:hAnsi="Arial" w:cs="Arial"/>
          <w:spacing w:val="4"/>
          <w:sz w:val="20"/>
          <w:szCs w:val="20"/>
        </w:rPr>
        <w:t xml:space="preserve"> </w:t>
      </w:r>
      <w:r w:rsidRPr="004E3242">
        <w:rPr>
          <w:rFonts w:ascii="Arial" w:hAnsi="Arial" w:cs="Arial"/>
          <w:spacing w:val="4"/>
          <w:sz w:val="20"/>
          <w:szCs w:val="20"/>
        </w:rPr>
        <w:t>), przedsiębiorców, a także podmiotów świadczących usługi publiczne w ramach realizacji obowiązków własnych jednostek samorządu terytorialnego nie będących przedsiębiorcami.</w:t>
      </w:r>
    </w:p>
    <w:p w14:paraId="6181DFC5"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Z uwagi na to, że interwencja będzie miała charakter horyzontalny i dotyczyła całego kraju, grupami docelowymi wsparcia będą </w:t>
      </w:r>
      <w:r w:rsidRPr="004E3242">
        <w:rPr>
          <w:rFonts w:ascii="Arial" w:hAnsi="Arial" w:cs="Arial"/>
          <w:sz w:val="20"/>
          <w:szCs w:val="20"/>
        </w:rPr>
        <w:t>użytkownicy wspieranej infrastruktury.</w:t>
      </w:r>
    </w:p>
    <w:p w14:paraId="4E727DD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1952121F" w14:textId="77777777" w:rsidR="00D53373" w:rsidRPr="00D53373"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Wsparcie ma charakter horyzontalny i dotyczy całego kraju. Inwestycje realizowane w ramach priorytetu mają istotny wpływ dla wszystkich obszarów gospodarki i będą w istotnej mierze zlokalizowane na terenach miejskich, przede wszystkim wojewódzkich (i obszarów powiązanych </w:t>
      </w:r>
      <w:r w:rsidRPr="004E3242">
        <w:rPr>
          <w:rFonts w:ascii="Arial" w:hAnsi="Arial" w:cs="Arial"/>
          <w:sz w:val="20"/>
          <w:szCs w:val="20"/>
        </w:rPr>
        <w:br/>
        <w:t>z nimi funkcjonalnie). Zakresem interwencji mogą być również objęte miasta regionalne i </w:t>
      </w:r>
      <w:proofErr w:type="spellStart"/>
      <w:r w:rsidRPr="004E3242">
        <w:rPr>
          <w:rFonts w:ascii="Arial" w:hAnsi="Arial" w:cs="Arial"/>
          <w:sz w:val="20"/>
          <w:szCs w:val="20"/>
        </w:rPr>
        <w:t>subregionalne</w:t>
      </w:r>
      <w:proofErr w:type="spellEnd"/>
      <w:r w:rsidR="00D53373">
        <w:rPr>
          <w:rFonts w:ascii="Arial" w:hAnsi="Arial" w:cs="Arial"/>
          <w:sz w:val="20"/>
          <w:szCs w:val="20"/>
        </w:rPr>
        <w:t>.</w:t>
      </w:r>
      <w:r w:rsidRPr="004E3242">
        <w:rPr>
          <w:rFonts w:ascii="Arial" w:hAnsi="Arial" w:cs="Arial"/>
          <w:sz w:val="20"/>
          <w:szCs w:val="20"/>
        </w:rPr>
        <w:t xml:space="preserve"> </w:t>
      </w:r>
      <w:r w:rsidR="00F613C9" w:rsidRPr="00F613C9">
        <w:rPr>
          <w:rFonts w:ascii="Arial" w:hAnsi="Arial" w:cs="Arial"/>
          <w:sz w:val="20"/>
          <w:szCs w:val="20"/>
        </w:rPr>
        <w:t>Dodatkowo wsparcie realizowane w ramach priorytetu inwestycyjnego może zostać ukierunkowane również na wzmocnienie potencjału rozwojowego miast średnich, w tym tracących funkcje społeczno-gospodarcze, o których mowa w rozdziale 3.1.2 Umowy Partnerstwa.</w:t>
      </w:r>
    </w:p>
    <w:p w14:paraId="7C8DFC82" w14:textId="77777777" w:rsidR="004E3242" w:rsidRPr="004E3242" w:rsidRDefault="004E3242" w:rsidP="004E3242">
      <w:pPr>
        <w:spacing w:before="120" w:after="120"/>
        <w:jc w:val="both"/>
        <w:rPr>
          <w:rFonts w:ascii="Arial" w:hAnsi="Arial" w:cs="Arial"/>
          <w:i/>
          <w:sz w:val="20"/>
          <w:szCs w:val="20"/>
        </w:rPr>
      </w:pPr>
      <w:r w:rsidRPr="004E3242">
        <w:rPr>
          <w:rFonts w:ascii="Arial" w:hAnsi="Arial" w:cs="Arial"/>
          <w:spacing w:val="4"/>
          <w:sz w:val="20"/>
          <w:szCs w:val="20"/>
        </w:rPr>
        <w:t xml:space="preserve">Realizacja inwestycji zaplanowanych w ramach priorytetu inwestycyjnego sprzyjać będzie wypełnianiu założeń Strategii UE dla Regionu Morza Bałtyckiego. Planowane do realizacji projekty będą służyć osiągnięciu celu szczegółowego SUE RMB </w:t>
      </w:r>
      <w:r w:rsidRPr="004E3242">
        <w:rPr>
          <w:rFonts w:ascii="Arial" w:hAnsi="Arial" w:cs="Arial"/>
          <w:i/>
          <w:spacing w:val="4"/>
          <w:sz w:val="20"/>
          <w:szCs w:val="20"/>
        </w:rPr>
        <w:t>Adaptacja do zmiany klimatu, zapobieganie oraz zarządzanie ryzykiem</w:t>
      </w:r>
      <w:r w:rsidRPr="004E3242">
        <w:rPr>
          <w:rFonts w:ascii="Arial" w:hAnsi="Arial" w:cs="Arial"/>
          <w:spacing w:val="4"/>
          <w:sz w:val="20"/>
          <w:szCs w:val="20"/>
        </w:rPr>
        <w:t xml:space="preserve"> oraz będą wpisywać się w cele przyjęte dla OP SME służące poprawie efektywnego wykorzystania zasobów przez przedsiębiorstwa oraz OP </w:t>
      </w:r>
      <w:r w:rsidRPr="004E3242">
        <w:rPr>
          <w:rFonts w:ascii="Arial" w:hAnsi="Arial" w:cs="Arial"/>
          <w:i/>
          <w:spacing w:val="4"/>
          <w:sz w:val="20"/>
          <w:szCs w:val="20"/>
        </w:rPr>
        <w:t>ENERGY Poprawa dostępu do wydajnych oraz bezpiecznych rynków energii.</w:t>
      </w:r>
    </w:p>
    <w:p w14:paraId="6E1D11D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6C4266CE"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w:t>
      </w:r>
      <w:r w:rsidRPr="004E3242">
        <w:rPr>
          <w:rFonts w:ascii="Arial" w:hAnsi="Arial" w:cs="Arial"/>
          <w:sz w:val="20"/>
          <w:szCs w:val="20"/>
        </w:rPr>
        <w:t xml:space="preserve">wsparciem objęte zostaną projekty wyłaniane w trybie konkursowym oraz pozakonkursowym. </w:t>
      </w:r>
    </w:p>
    <w:p w14:paraId="4A6ED6DC" w14:textId="77777777" w:rsidR="00F279E8" w:rsidRDefault="004E3242" w:rsidP="004E3242">
      <w:pPr>
        <w:autoSpaceDE w:val="0"/>
        <w:autoSpaceDN w:val="0"/>
        <w:adjustRightInd w:val="0"/>
        <w:spacing w:before="120" w:after="120"/>
        <w:jc w:val="both"/>
        <w:rPr>
          <w:rFonts w:ascii="Arial" w:eastAsia="Times New Roman" w:hAnsi="Arial" w:cs="Arial"/>
          <w:bCs/>
          <w:sz w:val="20"/>
          <w:szCs w:val="20"/>
          <w:lang w:eastAsia="pl-PL"/>
        </w:rPr>
      </w:pPr>
      <w:r w:rsidRPr="004E3242">
        <w:rPr>
          <w:rFonts w:ascii="Arial" w:hAnsi="Arial" w:cs="Arial"/>
          <w:sz w:val="20"/>
          <w:szCs w:val="20"/>
        </w:rPr>
        <w:t xml:space="preserve">Tryb pozakonkursowy będzie stosowany </w:t>
      </w:r>
      <w:r w:rsidR="00F613C9" w:rsidRPr="00F613C9">
        <w:rPr>
          <w:rFonts w:ascii="Arial" w:hAnsi="Arial" w:cs="Arial"/>
          <w:sz w:val="20"/>
          <w:szCs w:val="20"/>
        </w:rPr>
        <w:t xml:space="preserve">przede wszystkim </w:t>
      </w:r>
      <w:r w:rsidRPr="004E3242">
        <w:rPr>
          <w:rFonts w:ascii="Arial" w:hAnsi="Arial" w:cs="Arial"/>
          <w:sz w:val="20"/>
          <w:szCs w:val="20"/>
        </w:rPr>
        <w:t xml:space="preserve">w przypadku miast </w:t>
      </w:r>
      <w:r w:rsidRPr="004E3242">
        <w:rPr>
          <w:rFonts w:ascii="Arial" w:hAnsi="Arial" w:cs="Arial"/>
          <w:bCs/>
          <w:sz w:val="20"/>
          <w:szCs w:val="20"/>
        </w:rPr>
        <w:t>wojewódzkich</w:t>
      </w:r>
      <w:r w:rsidRPr="004E3242">
        <w:rPr>
          <w:rFonts w:ascii="Arial" w:hAnsi="Arial" w:cs="Arial"/>
          <w:sz w:val="20"/>
          <w:szCs w:val="20"/>
        </w:rPr>
        <w:t xml:space="preserve"> </w:t>
      </w:r>
      <w:r w:rsidRPr="004E3242">
        <w:rPr>
          <w:rFonts w:ascii="Arial" w:hAnsi="Arial" w:cs="Arial"/>
          <w:bCs/>
          <w:sz w:val="20"/>
          <w:szCs w:val="20"/>
        </w:rPr>
        <w:t>i ich obszarów funkcjonalnych,</w:t>
      </w:r>
      <w:r w:rsidRPr="004E3242">
        <w:rPr>
          <w:rFonts w:ascii="Arial" w:hAnsi="Arial" w:cs="Arial"/>
          <w:spacing w:val="4"/>
          <w:sz w:val="20"/>
          <w:szCs w:val="20"/>
        </w:rPr>
        <w:t xml:space="preserve"> posiadających Strategie </w:t>
      </w:r>
      <w:r w:rsidRPr="004E3242">
        <w:rPr>
          <w:rFonts w:ascii="Arial" w:hAnsi="Arial" w:cs="Arial"/>
          <w:i/>
          <w:spacing w:val="4"/>
          <w:sz w:val="20"/>
          <w:szCs w:val="20"/>
        </w:rPr>
        <w:t>Zintegrowanych Inwestycji Terytorialnych</w:t>
      </w:r>
      <w:r w:rsidRPr="004E3242">
        <w:rPr>
          <w:rFonts w:ascii="Arial" w:hAnsi="Arial" w:cs="Arial"/>
          <w:spacing w:val="4"/>
          <w:sz w:val="20"/>
          <w:szCs w:val="20"/>
        </w:rPr>
        <w:t xml:space="preserve"> (ZIT). Wybór takich projektów będzie uzależniony od wpisania ich do ZIT</w:t>
      </w:r>
      <w:r w:rsidRPr="000D7714">
        <w:rPr>
          <w:rFonts w:ascii="Arial" w:hAnsi="Arial" w:cs="Arial"/>
          <w:spacing w:val="4"/>
          <w:sz w:val="20"/>
          <w:szCs w:val="20"/>
        </w:rPr>
        <w:t>.</w:t>
      </w:r>
      <w:r w:rsidR="000D7714" w:rsidRPr="000D7714">
        <w:rPr>
          <w:rFonts w:ascii="Arial" w:eastAsia="Times New Roman" w:hAnsi="Arial" w:cs="Arial"/>
          <w:bCs/>
          <w:sz w:val="20"/>
          <w:szCs w:val="20"/>
          <w:lang w:eastAsia="pl-PL"/>
        </w:rPr>
        <w:t xml:space="preserve"> </w:t>
      </w:r>
    </w:p>
    <w:p w14:paraId="193590AA" w14:textId="77777777" w:rsidR="00F613C9" w:rsidRDefault="00F613C9" w:rsidP="004E3242">
      <w:pPr>
        <w:autoSpaceDE w:val="0"/>
        <w:autoSpaceDN w:val="0"/>
        <w:adjustRightInd w:val="0"/>
        <w:spacing w:before="120" w:after="120"/>
        <w:jc w:val="both"/>
        <w:rPr>
          <w:rFonts w:ascii="Arial" w:eastAsia="Times New Roman" w:hAnsi="Arial" w:cs="Arial"/>
          <w:bCs/>
          <w:sz w:val="20"/>
          <w:szCs w:val="20"/>
          <w:lang w:eastAsia="pl-PL"/>
        </w:rPr>
      </w:pPr>
      <w:r w:rsidRPr="00F613C9">
        <w:rPr>
          <w:rFonts w:ascii="Arial" w:eastAsia="Times New Roman" w:hAnsi="Arial" w:cs="Arial"/>
          <w:bCs/>
          <w:sz w:val="20"/>
          <w:szCs w:val="20"/>
          <w:lang w:eastAsia="pl-PL"/>
        </w:rPr>
        <w:t>Dodatkowo wsparcie realizowane w ramach priorytetu inwestycyjnego może zostać ukierunkowane również na wzmocnienie potencjału rozwojowego miast średnich.</w:t>
      </w:r>
    </w:p>
    <w:p w14:paraId="36FB7BF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Zastosowanie konkretnego trybu będzie uzależnione od specyfiki typów projektów, które będą podlegały dofinansowaniu. Tryb pozakonkursowy będzie stosowany w pierwszej kolejności w stosunku do projektów, których realizacja w znaczny sposób wpływa na realizację celów priorytetu inwestycyjnego. </w:t>
      </w:r>
    </w:p>
    <w:p w14:paraId="68CF5AAA"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gospodarki niskoemisyjnej przewiduje się, że wsparcie skierowane będzie do obszarów (głównie miejskich) posiadających uprzednio przygotowane plany gospodarki niskoemisyjnej,</w:t>
      </w:r>
      <w:r w:rsidRPr="004E3242">
        <w:t xml:space="preserve"> </w:t>
      </w:r>
      <w:r w:rsidRPr="004E3242">
        <w:rPr>
          <w:rFonts w:ascii="Arial" w:hAnsi="Arial" w:cs="Arial"/>
          <w:spacing w:val="4"/>
          <w:sz w:val="20"/>
          <w:szCs w:val="20"/>
        </w:rPr>
        <w:t xml:space="preserve">w których uwzględniono potrzeby dotyczące ograniczenia emisji PM10 do powietrza. Dokumentem takim może być każda lokalna strategia odnosząca się do kwestii związanej </w:t>
      </w:r>
      <w:r w:rsidRPr="004E3242">
        <w:rPr>
          <w:rFonts w:ascii="Arial" w:hAnsi="Arial" w:cs="Arial"/>
          <w:spacing w:val="4"/>
          <w:sz w:val="20"/>
          <w:szCs w:val="20"/>
        </w:rPr>
        <w:lastRenderedPageBreak/>
        <w:t>z zapewnieniem lokalnego bezpieczeństwa energetycznego, a także przyczyniająca się do osiągnięcia celów pakietu energetyczno-klimatycznego 3x20 (w przypadku Polski 2x20 i 1x15% w zakresie OZE).</w:t>
      </w:r>
    </w:p>
    <w:p w14:paraId="75D624D7"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Priorytetowo wspierane będą inwestycje w strefach, gdzie występują ponadnormatywne poziomy stężenia PM10. Wsparcie UE dla projektów rozbudowy sieci ciepłowniczej uzasadnionych jednoczesną likwidacją źródeł niskiej emisji na obszarach, na których występują ponadnormatywne stężenia PM10</w:t>
      </w:r>
      <w:r w:rsidR="00764102">
        <w:rPr>
          <w:rFonts w:ascii="Arial" w:hAnsi="Arial" w:cs="Arial"/>
          <w:spacing w:val="4"/>
          <w:sz w:val="20"/>
          <w:szCs w:val="20"/>
        </w:rPr>
        <w:t xml:space="preserve"> </w:t>
      </w:r>
      <w:r w:rsidRPr="004E3242">
        <w:rPr>
          <w:rFonts w:ascii="Arial" w:hAnsi="Arial" w:cs="Arial"/>
          <w:spacing w:val="4"/>
          <w:sz w:val="20"/>
          <w:szCs w:val="20"/>
        </w:rPr>
        <w:t xml:space="preserve">wyniesie </w:t>
      </w:r>
      <w:r w:rsidR="00492B0C">
        <w:rPr>
          <w:rFonts w:ascii="Arial" w:hAnsi="Arial" w:cs="Arial"/>
          <w:spacing w:val="4"/>
          <w:sz w:val="20"/>
          <w:szCs w:val="20"/>
        </w:rPr>
        <w:t>co najmniej</w:t>
      </w:r>
      <w:r w:rsidR="00492B0C" w:rsidRPr="004E3242">
        <w:rPr>
          <w:rFonts w:ascii="Arial" w:hAnsi="Arial" w:cs="Arial"/>
          <w:spacing w:val="4"/>
          <w:sz w:val="20"/>
          <w:szCs w:val="20"/>
        </w:rPr>
        <w:t xml:space="preserve"> </w:t>
      </w:r>
      <w:r w:rsidRPr="004E3242">
        <w:rPr>
          <w:rFonts w:ascii="Arial" w:hAnsi="Arial" w:cs="Arial"/>
          <w:spacing w:val="4"/>
          <w:sz w:val="20"/>
          <w:szCs w:val="20"/>
        </w:rPr>
        <w:t>300 mln euro.</w:t>
      </w:r>
    </w:p>
    <w:p w14:paraId="33503A53" w14:textId="77777777" w:rsid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Niezależnie od zastosowanej ścieżki (konkursowej bądź pozakonkursowej), wybór projektów do dofinansowania będzie następował w wyniku oceny poszczególnych przedsięwzięć w oparciu </w:t>
      </w:r>
      <w:r w:rsidRPr="004E3242">
        <w:rPr>
          <w:rFonts w:ascii="Arial" w:hAnsi="Arial" w:cs="Arial"/>
          <w:spacing w:val="4"/>
          <w:sz w:val="20"/>
          <w:szCs w:val="20"/>
        </w:rPr>
        <w:br/>
        <w:t xml:space="preserve">o obiektywne kryteria zatwierdzone przez Komitet Monitorujący. Kryteria wyboru będą służyły zapewnieniu efektywnej i prawidłowej realizacji celów określonych dla priorytetu inwestycyjnego. Nie przewiduje się różnicowania kryteriów wyboru projektów ze względu na tryb wyboru. Kryteria będą precyzyjne, mierzalne i obiektywne. Dodatkowo dopuszcza się możliwość nadania kryteriom merytorycznym odpowiedniej punktacji oraz określonych wag punktowych. </w:t>
      </w:r>
    </w:p>
    <w:p w14:paraId="27DA637C" w14:textId="77777777" w:rsidR="00684EE4" w:rsidRPr="004E3242" w:rsidRDefault="005E530E" w:rsidP="004E3242">
      <w:pPr>
        <w:autoSpaceDE w:val="0"/>
        <w:autoSpaceDN w:val="0"/>
        <w:adjustRightInd w:val="0"/>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0027640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0234AA60"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odniesieniu ramach priorytetu inwestycyjnego nie przewiduje się wsparcia w formie instrumentów finansowych. Przewiduje się, że priorytet inwestycyjny może zostać objęty zasadami pomocy publicznej.</w:t>
      </w:r>
    </w:p>
    <w:p w14:paraId="3978CBD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6A30CA56"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(o ile właściwe), będzie zgodny z art. 102 ust. 3 rozporządzenia ogólnego. Po przygotowaniu kompletnej dokumentacji projektowej możliwe będzie precyzyjne określenie zakresu rzeczowego oraz szacowanych kosztów tych projektów.</w:t>
      </w:r>
      <w:r w:rsidR="00D272D2">
        <w:rPr>
          <w:rFonts w:ascii="Arial" w:eastAsia="Cambria" w:hAnsi="Arial" w:cs="Arial"/>
          <w:spacing w:val="4"/>
          <w:sz w:val="20"/>
          <w:szCs w:val="20"/>
        </w:rPr>
        <w:t xml:space="preserve"> </w:t>
      </w:r>
      <w:r w:rsidRPr="004E3242">
        <w:rPr>
          <w:rFonts w:ascii="Arial" w:eastAsia="Cambria" w:hAnsi="Arial" w:cs="Arial"/>
          <w:spacing w:val="4"/>
          <w:sz w:val="20"/>
          <w:szCs w:val="20"/>
        </w:rPr>
        <w:t xml:space="preserve">Realizacja dużych projektów w znaczący sposób przyczyni się do osiągnięcia celu szczegółowego priorytetu czyli do zwiększenia sprawności </w:t>
      </w:r>
      <w:proofErr w:type="spellStart"/>
      <w:r w:rsidRPr="004E3242">
        <w:rPr>
          <w:rFonts w:ascii="Arial" w:eastAsia="Cambria" w:hAnsi="Arial" w:cs="Arial"/>
          <w:spacing w:val="4"/>
          <w:sz w:val="20"/>
          <w:szCs w:val="20"/>
        </w:rPr>
        <w:t>przesyłu</w:t>
      </w:r>
      <w:proofErr w:type="spellEnd"/>
      <w:r w:rsidRPr="004E3242">
        <w:rPr>
          <w:rFonts w:ascii="Arial" w:eastAsia="Cambria" w:hAnsi="Arial" w:cs="Arial"/>
          <w:spacing w:val="4"/>
          <w:sz w:val="20"/>
          <w:szCs w:val="20"/>
        </w:rPr>
        <w:t xml:space="preserve"> ciepła i chłodu, co prowadzić będzie do redukcji zapotrzebowania na energię cieplną budynku na cele związane z ogrzewaniem, przygotowaniem ciepłej wody oraz chłodzeniem.</w:t>
      </w:r>
    </w:p>
    <w:p w14:paraId="6CCF3DF3"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6588850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40"/>
        <w:gridCol w:w="2401"/>
        <w:gridCol w:w="994"/>
        <w:gridCol w:w="992"/>
        <w:gridCol w:w="994"/>
        <w:gridCol w:w="992"/>
        <w:gridCol w:w="1127"/>
        <w:gridCol w:w="1246"/>
      </w:tblGrid>
      <w:tr w:rsidR="004E3242" w:rsidRPr="004E3242" w14:paraId="56EFE372" w14:textId="77777777" w:rsidTr="00AA7998">
        <w:tc>
          <w:tcPr>
            <w:tcW w:w="291" w:type="pct"/>
            <w:shd w:val="clear" w:color="auto" w:fill="99CC00"/>
            <w:vAlign w:val="center"/>
          </w:tcPr>
          <w:p w14:paraId="4163E07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93" w:type="pct"/>
            <w:shd w:val="clear" w:color="auto" w:fill="99CC00"/>
            <w:vAlign w:val="center"/>
          </w:tcPr>
          <w:p w14:paraId="2FA7124B"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377591A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3461754E"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5" w:type="pct"/>
            <w:shd w:val="clear" w:color="auto" w:fill="99CC00"/>
            <w:vAlign w:val="center"/>
          </w:tcPr>
          <w:p w14:paraId="19DE0FAC"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770C074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607" w:type="pct"/>
            <w:shd w:val="clear" w:color="auto" w:fill="99CC00"/>
            <w:vAlign w:val="center"/>
          </w:tcPr>
          <w:p w14:paraId="237F5DA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683867B8"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05DBF3C5" w14:textId="77777777" w:rsidTr="00AA7998">
        <w:tc>
          <w:tcPr>
            <w:tcW w:w="291" w:type="pct"/>
            <w:shd w:val="clear" w:color="auto" w:fill="F2F2F2"/>
            <w:vAlign w:val="center"/>
          </w:tcPr>
          <w:p w14:paraId="4BF571F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293" w:type="pct"/>
            <w:shd w:val="clear" w:color="auto" w:fill="F2F2F2"/>
            <w:vAlign w:val="center"/>
          </w:tcPr>
          <w:p w14:paraId="2221091D"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Długość wybudowanej lub zmodernizowanej sieci ciepłowniczej</w:t>
            </w:r>
          </w:p>
        </w:tc>
        <w:tc>
          <w:tcPr>
            <w:tcW w:w="535" w:type="pct"/>
            <w:shd w:val="clear" w:color="auto" w:fill="F2F2F2"/>
            <w:vAlign w:val="center"/>
          </w:tcPr>
          <w:p w14:paraId="686759D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km</w:t>
            </w:r>
          </w:p>
        </w:tc>
        <w:tc>
          <w:tcPr>
            <w:tcW w:w="534" w:type="pct"/>
            <w:shd w:val="clear" w:color="auto" w:fill="F2F2F2"/>
            <w:vAlign w:val="center"/>
          </w:tcPr>
          <w:p w14:paraId="5FEEE28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6A742E5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06222097"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1 060</w:t>
            </w:r>
          </w:p>
        </w:tc>
        <w:tc>
          <w:tcPr>
            <w:tcW w:w="607" w:type="pct"/>
            <w:shd w:val="clear" w:color="auto" w:fill="F2F2F2"/>
            <w:vAlign w:val="center"/>
          </w:tcPr>
          <w:p w14:paraId="6648ECB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16ACFFB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A5613A4" w14:textId="77777777" w:rsidTr="00AA7998">
        <w:tc>
          <w:tcPr>
            <w:tcW w:w="291" w:type="pct"/>
            <w:shd w:val="clear" w:color="auto" w:fill="F2F2F2"/>
            <w:vAlign w:val="center"/>
          </w:tcPr>
          <w:p w14:paraId="6223749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293" w:type="pct"/>
            <w:shd w:val="clear" w:color="auto" w:fill="F2F2F2"/>
            <w:vAlign w:val="center"/>
          </w:tcPr>
          <w:p w14:paraId="053C2B75"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Szacowany roczny spadek emisji gazów cieplarnianych (CI)</w:t>
            </w:r>
          </w:p>
        </w:tc>
        <w:tc>
          <w:tcPr>
            <w:tcW w:w="535" w:type="pct"/>
            <w:shd w:val="clear" w:color="auto" w:fill="F2F2F2"/>
            <w:vAlign w:val="center"/>
          </w:tcPr>
          <w:p w14:paraId="705BEB3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tony równoważnika CO</w:t>
            </w:r>
            <w:r w:rsidRPr="004E3242">
              <w:rPr>
                <w:rFonts w:ascii="Arial" w:hAnsi="Arial" w:cs="Arial"/>
                <w:spacing w:val="4"/>
                <w:sz w:val="16"/>
                <w:szCs w:val="16"/>
                <w:vertAlign w:val="subscript"/>
              </w:rPr>
              <w:t>2</w:t>
            </w:r>
          </w:p>
        </w:tc>
        <w:tc>
          <w:tcPr>
            <w:tcW w:w="534" w:type="pct"/>
            <w:shd w:val="clear" w:color="auto" w:fill="F2F2F2"/>
            <w:vAlign w:val="center"/>
          </w:tcPr>
          <w:p w14:paraId="115C64C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20938D4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57A0765F"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261 000</w:t>
            </w:r>
          </w:p>
        </w:tc>
        <w:tc>
          <w:tcPr>
            <w:tcW w:w="607" w:type="pct"/>
            <w:shd w:val="clear" w:color="auto" w:fill="F2F2F2"/>
            <w:vAlign w:val="center"/>
          </w:tcPr>
          <w:p w14:paraId="41EA0B9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4ACB0A4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4DAC6723" w14:textId="77777777" w:rsidTr="00AA7998">
        <w:tc>
          <w:tcPr>
            <w:tcW w:w="291" w:type="pct"/>
            <w:shd w:val="clear" w:color="auto" w:fill="F2F2F2"/>
            <w:vAlign w:val="center"/>
          </w:tcPr>
          <w:p w14:paraId="033C7038"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3.</w:t>
            </w:r>
          </w:p>
        </w:tc>
        <w:tc>
          <w:tcPr>
            <w:tcW w:w="1293" w:type="pct"/>
            <w:shd w:val="clear" w:color="auto" w:fill="F2F2F2"/>
            <w:vAlign w:val="center"/>
          </w:tcPr>
          <w:p w14:paraId="40A9CE90"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Zmniejszenie zużycia energii pierwotnej</w:t>
            </w:r>
          </w:p>
        </w:tc>
        <w:tc>
          <w:tcPr>
            <w:tcW w:w="535" w:type="pct"/>
            <w:shd w:val="clear" w:color="auto" w:fill="F2F2F2"/>
            <w:vAlign w:val="center"/>
          </w:tcPr>
          <w:p w14:paraId="4D66495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GJ/rok</w:t>
            </w:r>
          </w:p>
        </w:tc>
        <w:tc>
          <w:tcPr>
            <w:tcW w:w="534" w:type="pct"/>
            <w:shd w:val="clear" w:color="auto" w:fill="F2F2F2"/>
            <w:vAlign w:val="center"/>
          </w:tcPr>
          <w:p w14:paraId="6817CBE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73F6DD3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6092A2C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1 440 000</w:t>
            </w:r>
          </w:p>
        </w:tc>
        <w:tc>
          <w:tcPr>
            <w:tcW w:w="607" w:type="pct"/>
            <w:shd w:val="clear" w:color="auto" w:fill="F2F2F2"/>
            <w:vAlign w:val="center"/>
          </w:tcPr>
          <w:p w14:paraId="747BDE3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4F09FFF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916C252" w14:textId="77777777" w:rsidTr="00AA7998">
        <w:tc>
          <w:tcPr>
            <w:tcW w:w="291" w:type="pct"/>
            <w:shd w:val="clear" w:color="auto" w:fill="F2F2F2"/>
            <w:vAlign w:val="center"/>
          </w:tcPr>
          <w:p w14:paraId="69FD987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4.</w:t>
            </w:r>
          </w:p>
        </w:tc>
        <w:tc>
          <w:tcPr>
            <w:tcW w:w="1293" w:type="pct"/>
            <w:shd w:val="clear" w:color="auto" w:fill="F2F2F2"/>
            <w:vAlign w:val="center"/>
          </w:tcPr>
          <w:p w14:paraId="40CEAC2D"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przedsiębiorstw otrzymujących wsparcie</w:t>
            </w:r>
          </w:p>
        </w:tc>
        <w:tc>
          <w:tcPr>
            <w:tcW w:w="535" w:type="pct"/>
            <w:shd w:val="clear" w:color="auto" w:fill="F2F2F2"/>
            <w:vAlign w:val="center"/>
          </w:tcPr>
          <w:p w14:paraId="53B014D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534" w:type="pct"/>
            <w:shd w:val="clear" w:color="auto" w:fill="F2F2F2"/>
            <w:vAlign w:val="center"/>
          </w:tcPr>
          <w:p w14:paraId="251D25F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6A458F9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09A1F25E"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54</w:t>
            </w:r>
          </w:p>
        </w:tc>
        <w:tc>
          <w:tcPr>
            <w:tcW w:w="607" w:type="pct"/>
            <w:shd w:val="clear" w:color="auto" w:fill="F2F2F2"/>
            <w:vAlign w:val="center"/>
          </w:tcPr>
          <w:p w14:paraId="24DBAC3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1A6A3F9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7929B9A6" w14:textId="77777777" w:rsidR="004E3242" w:rsidRPr="004E3242" w:rsidRDefault="004E3242" w:rsidP="004E3242">
      <w:pPr>
        <w:spacing w:after="120" w:line="280" w:lineRule="atLeast"/>
        <w:jc w:val="both"/>
        <w:rPr>
          <w:rFonts w:ascii="Arial" w:hAnsi="Arial" w:cs="Arial"/>
          <w:spacing w:val="4"/>
          <w:sz w:val="20"/>
          <w:szCs w:val="20"/>
        </w:rPr>
      </w:pPr>
    </w:p>
    <w:p w14:paraId="50C40ADE" w14:textId="77777777" w:rsidR="004E3242" w:rsidRPr="004E3242" w:rsidRDefault="004E3242" w:rsidP="004E3242">
      <w:pPr>
        <w:spacing w:after="120" w:line="280" w:lineRule="atLeast"/>
        <w:jc w:val="both"/>
        <w:rPr>
          <w:rFonts w:ascii="Arial" w:hAnsi="Arial" w:cs="Arial"/>
          <w:b/>
          <w:color w:val="008000"/>
          <w:spacing w:val="4"/>
          <w:sz w:val="20"/>
          <w:szCs w:val="20"/>
        </w:rPr>
      </w:pPr>
    </w:p>
    <w:p w14:paraId="0BE1C057"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4"/>
          <w:sz w:val="24"/>
          <w:szCs w:val="24"/>
          <w:lang w:eastAsia="pl-PL"/>
        </w:rPr>
      </w:pPr>
      <w:r w:rsidRPr="004E3242">
        <w:rPr>
          <w:rFonts w:ascii="Arial" w:eastAsia="Times New Roman" w:hAnsi="Arial"/>
          <w:smallCaps/>
          <w:color w:val="669900"/>
          <w:spacing w:val="4"/>
          <w:sz w:val="24"/>
          <w:szCs w:val="24"/>
          <w:lang w:eastAsia="pl-PL"/>
        </w:rPr>
        <w:lastRenderedPageBreak/>
        <w:t xml:space="preserve">PRIORYTET INWESTYCYJNY 4.vi. </w:t>
      </w:r>
      <w:r w:rsidRPr="004E3242">
        <w:rPr>
          <w:rFonts w:ascii="Arial" w:eastAsia="Times New Roman" w:hAnsi="Arial"/>
          <w:smallCaps/>
          <w:color w:val="669900"/>
          <w:spacing w:val="10"/>
          <w:sz w:val="24"/>
          <w:szCs w:val="24"/>
          <w:lang w:eastAsia="pl-PL"/>
        </w:rPr>
        <w:t>Promowanie wykorzystywania wysokosprawnej kogeneracji ciepła i energii elektrycznej w oparciu o zapotrzebowanie na ciepło użytkowe</w:t>
      </w:r>
      <w:r w:rsidRPr="004E3242">
        <w:rPr>
          <w:rFonts w:ascii="Arial" w:eastAsia="Times New Roman" w:hAnsi="Arial"/>
          <w:smallCaps/>
          <w:color w:val="669900"/>
          <w:spacing w:val="10"/>
          <w:sz w:val="18"/>
          <w:szCs w:val="18"/>
          <w:lang w:eastAsia="pl-PL"/>
        </w:rPr>
        <w:t xml:space="preserve"> </w:t>
      </w:r>
    </w:p>
    <w:p w14:paraId="6E9C8D5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06E7243E"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Zwiększony udział energii wytwarzanej w wysokosprawnej kogeneracji</w:t>
      </w:r>
    </w:p>
    <w:p w14:paraId="6C6605B5"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20F5F0E2"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Realizacja priorytetu inwestycyjnego przyczyni się do zwiększenia efektywności energetycznej na poziomie produkcji oraz udziału odnawialnych źródeł energii w bilansie energetycznym, co pozwoli zredukować emisje zanieczyszczeń pochodzących z tzw. niskiej emisji. Interwencja przyczyni się również do poprawy jakości powietrza</w:t>
      </w:r>
    </w:p>
    <w:p w14:paraId="1626D8F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8"/>
        <w:gridCol w:w="1696"/>
        <w:gridCol w:w="992"/>
        <w:gridCol w:w="992"/>
        <w:gridCol w:w="851"/>
        <w:gridCol w:w="851"/>
        <w:gridCol w:w="992"/>
        <w:gridCol w:w="992"/>
        <w:gridCol w:w="1382"/>
      </w:tblGrid>
      <w:tr w:rsidR="004E3242" w:rsidRPr="004E3242" w14:paraId="09CC5362" w14:textId="77777777" w:rsidTr="00AA7998">
        <w:tc>
          <w:tcPr>
            <w:tcW w:w="290" w:type="pct"/>
            <w:shd w:val="clear" w:color="auto" w:fill="99CC00"/>
            <w:vAlign w:val="center"/>
          </w:tcPr>
          <w:p w14:paraId="6B5DF41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14" w:type="pct"/>
            <w:shd w:val="clear" w:color="auto" w:fill="99CC00"/>
            <w:vAlign w:val="center"/>
          </w:tcPr>
          <w:p w14:paraId="0E69DBF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0E2862D5"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3E643F8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26E5CFB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595EB017"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4" w:type="pct"/>
            <w:shd w:val="clear" w:color="auto" w:fill="99CC00"/>
            <w:vAlign w:val="center"/>
          </w:tcPr>
          <w:p w14:paraId="209651ED" w14:textId="77777777" w:rsidR="004E3242" w:rsidRPr="004E3242" w:rsidDel="00F91005"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4" w:type="pct"/>
            <w:shd w:val="clear" w:color="auto" w:fill="99CC00"/>
            <w:vAlign w:val="center"/>
          </w:tcPr>
          <w:p w14:paraId="41D1B655"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254CAE6D"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0C666E6F" w14:textId="77777777" w:rsidTr="00AA7998">
        <w:trPr>
          <w:trHeight w:val="544"/>
        </w:trPr>
        <w:tc>
          <w:tcPr>
            <w:tcW w:w="290" w:type="pct"/>
            <w:shd w:val="clear" w:color="auto" w:fill="F2F2F2"/>
            <w:vAlign w:val="center"/>
          </w:tcPr>
          <w:p w14:paraId="7EA78A8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914" w:type="pct"/>
            <w:shd w:val="clear" w:color="auto" w:fill="F2F2F2"/>
            <w:vAlign w:val="center"/>
          </w:tcPr>
          <w:p w14:paraId="7C7A322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Zużycie energii pierwotnej</w:t>
            </w:r>
          </w:p>
        </w:tc>
        <w:tc>
          <w:tcPr>
            <w:tcW w:w="534" w:type="pct"/>
            <w:shd w:val="clear" w:color="auto" w:fill="F2F2F2"/>
            <w:vAlign w:val="center"/>
          </w:tcPr>
          <w:p w14:paraId="76E335EB" w14:textId="77777777" w:rsidR="004E3242" w:rsidRPr="004E3242" w:rsidRDefault="004E3242" w:rsidP="004E3242">
            <w:pPr>
              <w:spacing w:before="60" w:after="60" w:line="240" w:lineRule="auto"/>
              <w:jc w:val="center"/>
              <w:rPr>
                <w:rFonts w:ascii="Arial" w:hAnsi="Arial" w:cs="Arial"/>
                <w:spacing w:val="4"/>
                <w:sz w:val="16"/>
                <w:szCs w:val="16"/>
              </w:rPr>
            </w:pPr>
            <w:proofErr w:type="spellStart"/>
            <w:r w:rsidRPr="004E3242">
              <w:rPr>
                <w:rFonts w:ascii="Arial" w:hAnsi="Arial" w:cs="Arial"/>
                <w:spacing w:val="4"/>
                <w:sz w:val="16"/>
                <w:szCs w:val="16"/>
              </w:rPr>
              <w:t>Mtoe</w:t>
            </w:r>
            <w:proofErr w:type="spellEnd"/>
          </w:p>
        </w:tc>
        <w:tc>
          <w:tcPr>
            <w:tcW w:w="534" w:type="pct"/>
            <w:shd w:val="clear" w:color="auto" w:fill="F2F2F2"/>
            <w:vAlign w:val="center"/>
          </w:tcPr>
          <w:p w14:paraId="05986F4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43F20130"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93,3</w:t>
            </w:r>
          </w:p>
        </w:tc>
        <w:tc>
          <w:tcPr>
            <w:tcW w:w="458" w:type="pct"/>
            <w:shd w:val="clear" w:color="auto" w:fill="F2F2F2"/>
            <w:vAlign w:val="center"/>
          </w:tcPr>
          <w:p w14:paraId="362454B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34" w:type="pct"/>
            <w:shd w:val="clear" w:color="auto" w:fill="F2F2F2"/>
            <w:vAlign w:val="center"/>
          </w:tcPr>
          <w:p w14:paraId="2AD2FF38" w14:textId="77777777" w:rsidR="004E3242" w:rsidRPr="004E3242" w:rsidDel="00F91005"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ok. 96 </w:t>
            </w:r>
            <w:proofErr w:type="spellStart"/>
            <w:r w:rsidRPr="004E3242">
              <w:rPr>
                <w:rFonts w:ascii="Arial" w:hAnsi="Arial" w:cs="Arial"/>
                <w:spacing w:val="4"/>
                <w:sz w:val="16"/>
                <w:szCs w:val="16"/>
              </w:rPr>
              <w:t>Mtoe</w:t>
            </w:r>
            <w:proofErr w:type="spellEnd"/>
            <w:r w:rsidRPr="004E3242">
              <w:rPr>
                <w:rFonts w:ascii="Arial" w:hAnsi="Arial" w:cs="Arial"/>
                <w:spacing w:val="4"/>
                <w:sz w:val="16"/>
                <w:szCs w:val="16"/>
                <w:vertAlign w:val="superscript"/>
              </w:rPr>
              <w:footnoteReference w:id="46"/>
            </w:r>
          </w:p>
        </w:tc>
        <w:tc>
          <w:tcPr>
            <w:tcW w:w="534" w:type="pct"/>
            <w:shd w:val="clear" w:color="auto" w:fill="F2F2F2"/>
            <w:vAlign w:val="center"/>
          </w:tcPr>
          <w:p w14:paraId="7B95E22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Eurostat</w:t>
            </w:r>
          </w:p>
        </w:tc>
        <w:tc>
          <w:tcPr>
            <w:tcW w:w="744" w:type="pct"/>
            <w:shd w:val="clear" w:color="auto" w:fill="F2F2F2"/>
            <w:vAlign w:val="center"/>
          </w:tcPr>
          <w:p w14:paraId="4011F811" w14:textId="77777777" w:rsidR="004E3242" w:rsidRPr="004E3242" w:rsidRDefault="004E3242" w:rsidP="004E3242">
            <w:pPr>
              <w:tabs>
                <w:tab w:val="left" w:pos="1123"/>
              </w:tabs>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143EC568" w14:textId="77777777" w:rsidTr="00AA7998">
        <w:tc>
          <w:tcPr>
            <w:tcW w:w="290" w:type="pct"/>
            <w:shd w:val="clear" w:color="auto" w:fill="F2F2F2"/>
            <w:vAlign w:val="center"/>
          </w:tcPr>
          <w:p w14:paraId="50A74C0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914" w:type="pct"/>
            <w:shd w:val="clear" w:color="auto" w:fill="F2F2F2"/>
            <w:vAlign w:val="center"/>
          </w:tcPr>
          <w:p w14:paraId="3D1C68C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Udział energii elektrycznej produkowanej w skojarzeniu w produkcji energii elektrycznej ogółem</w:t>
            </w:r>
          </w:p>
        </w:tc>
        <w:tc>
          <w:tcPr>
            <w:tcW w:w="534" w:type="pct"/>
            <w:shd w:val="clear" w:color="auto" w:fill="F2F2F2"/>
            <w:vAlign w:val="center"/>
          </w:tcPr>
          <w:p w14:paraId="05EBA78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534" w:type="pct"/>
            <w:shd w:val="clear" w:color="auto" w:fill="F2F2F2"/>
            <w:vAlign w:val="center"/>
          </w:tcPr>
          <w:p w14:paraId="3C85CF3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746B322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16,7</w:t>
            </w:r>
          </w:p>
        </w:tc>
        <w:tc>
          <w:tcPr>
            <w:tcW w:w="458" w:type="pct"/>
            <w:shd w:val="clear" w:color="auto" w:fill="F2F2F2"/>
            <w:vAlign w:val="center"/>
          </w:tcPr>
          <w:p w14:paraId="4F70768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34" w:type="pct"/>
            <w:shd w:val="clear" w:color="auto" w:fill="F2F2F2"/>
            <w:vAlign w:val="center"/>
          </w:tcPr>
          <w:p w14:paraId="287F3FCE" w14:textId="77777777" w:rsidR="004E3242" w:rsidRPr="004E3242" w:rsidDel="00F91005"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24</w:t>
            </w:r>
            <w:r w:rsidRPr="004E3242">
              <w:rPr>
                <w:rFonts w:ascii="Arial" w:hAnsi="Arial" w:cs="Arial"/>
                <w:spacing w:val="4"/>
                <w:sz w:val="16"/>
                <w:szCs w:val="16"/>
                <w:vertAlign w:val="superscript"/>
              </w:rPr>
              <w:footnoteReference w:id="47"/>
            </w:r>
          </w:p>
        </w:tc>
        <w:tc>
          <w:tcPr>
            <w:tcW w:w="534" w:type="pct"/>
            <w:shd w:val="clear" w:color="auto" w:fill="F2F2F2"/>
            <w:vAlign w:val="center"/>
          </w:tcPr>
          <w:p w14:paraId="34BF8ED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Eurostat</w:t>
            </w:r>
          </w:p>
        </w:tc>
        <w:tc>
          <w:tcPr>
            <w:tcW w:w="744" w:type="pct"/>
            <w:shd w:val="clear" w:color="auto" w:fill="F2F2F2"/>
            <w:vAlign w:val="center"/>
          </w:tcPr>
          <w:p w14:paraId="33D883A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4727DB4E"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5F1525D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Proces wytwarzania energii elektrycznej i ciepła w wysokosprawnej kogeneracji jest jednym </w:t>
      </w:r>
      <w:r w:rsidRPr="004E3242">
        <w:rPr>
          <w:rFonts w:ascii="Arial" w:hAnsi="Arial" w:cs="Arial"/>
          <w:spacing w:val="4"/>
          <w:sz w:val="20"/>
          <w:szCs w:val="20"/>
        </w:rPr>
        <w:br/>
        <w:t xml:space="preserve">z najbardziej efektywnych sposobów przetwarzania energii pierwotnej. Poprzez równoczesne wytwarzanie ciepła i energii elektrycznej lub mechanicznej, w trakcie tego samego procesu technologicznego, zapewnia się oszczędność energii pierwotnej w wysokości ponad 10% w porównaniu z wytwarzaniem energii elektrycznej i ciepła w układach rozdzielonych. Działania inwestycyjne związane z kogeneracją wynikają głównie z wymogów środowiskowych, jednocześnie skutkują zwyżką kosztów wytwarzania. Biorąc pod uwagę, że polityka taryfowa ograniczająca możliwości wzrostu cen, a przez to nie zapewnia rentowności powyższych działań, wsparcie powinno przynajmniej częściowo rekompensować wzrost kosztów ich utrzymania i obsługi. </w:t>
      </w:r>
    </w:p>
    <w:p w14:paraId="49596F2A"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działań związanych z wysokosprawnym wytwarzaniem, przewiduje się, że wsparcie skierowane będzie na budowę lub przebudowę jednostek wytwarzania energii elektrycznej i ciepła w technologii wysokosprawnej kogeneracji. Ponadto planuje się, że wsparcie zostanie skierowane na budowę wysokosprawnej, efektywnej sieci dystrybucji ciepła (oraz przyłączeń) dla jednostek wytwarzających energię elektryczną i ciepło w układach wysokosprawnej kogeneracji, w tym i z OZE, włączając je (o ile będzie to możliwe) do głównych źródeł ciepła odpadowego. </w:t>
      </w:r>
    </w:p>
    <w:p w14:paraId="070A71BB"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bCs/>
          <w:spacing w:val="4"/>
          <w:sz w:val="20"/>
          <w:szCs w:val="20"/>
        </w:rPr>
        <w:t>Biorąc to pod uwagę, przewiduje się wsparcie w szczególności następujących obszarów:</w:t>
      </w:r>
    </w:p>
    <w:p w14:paraId="36B9D3BF" w14:textId="77777777" w:rsidR="004E3242" w:rsidRPr="004E3242" w:rsidRDefault="004E3242" w:rsidP="00B345B6">
      <w:pPr>
        <w:numPr>
          <w:ilvl w:val="0"/>
          <w:numId w:val="8"/>
        </w:numPr>
        <w:spacing w:before="120" w:after="120"/>
        <w:jc w:val="both"/>
        <w:rPr>
          <w:rFonts w:ascii="Arial" w:hAnsi="Arial" w:cs="Arial"/>
          <w:spacing w:val="4"/>
          <w:sz w:val="20"/>
          <w:szCs w:val="20"/>
        </w:rPr>
      </w:pPr>
      <w:r w:rsidRPr="004E3242">
        <w:rPr>
          <w:rFonts w:ascii="Arial" w:hAnsi="Arial" w:cs="Arial"/>
          <w:spacing w:val="4"/>
          <w:sz w:val="20"/>
          <w:szCs w:val="20"/>
        </w:rPr>
        <w:t>budowa, przebudowa instalacji wysokosprawnej kogeneracji oraz przebudowa istniejących instalacji na wysokosprawną kogenerację wykorzystujących technologie w jak największym możliwym stopniu neutralne pod względem emisji CO</w:t>
      </w:r>
      <w:r w:rsidRPr="00B345B6">
        <w:rPr>
          <w:rFonts w:ascii="Arial" w:hAnsi="Arial" w:cs="Arial"/>
          <w:spacing w:val="4"/>
          <w:sz w:val="20"/>
          <w:szCs w:val="20"/>
          <w:vertAlign w:val="subscript"/>
        </w:rPr>
        <w:t>2</w:t>
      </w:r>
      <w:r w:rsidRPr="004E3242">
        <w:rPr>
          <w:rFonts w:ascii="Arial" w:hAnsi="Arial" w:cs="Arial"/>
          <w:spacing w:val="4"/>
          <w:sz w:val="20"/>
          <w:szCs w:val="20"/>
        </w:rPr>
        <w:t xml:space="preserve"> i innych zanieczyszczeń powietrza oraz uzasadnione pod względem ekonomicznym;</w:t>
      </w:r>
    </w:p>
    <w:p w14:paraId="11FD24CD" w14:textId="77777777" w:rsidR="004E3242" w:rsidRPr="004E3242" w:rsidRDefault="004E3242" w:rsidP="00B345B6">
      <w:pPr>
        <w:numPr>
          <w:ilvl w:val="0"/>
          <w:numId w:val="8"/>
        </w:numPr>
        <w:spacing w:before="120" w:after="120"/>
        <w:jc w:val="both"/>
        <w:rPr>
          <w:rFonts w:ascii="Arial" w:hAnsi="Arial" w:cs="Arial"/>
          <w:spacing w:val="4"/>
          <w:sz w:val="20"/>
          <w:szCs w:val="20"/>
        </w:rPr>
      </w:pPr>
      <w:r w:rsidRPr="004E3242">
        <w:rPr>
          <w:rFonts w:ascii="Arial" w:hAnsi="Arial" w:cs="Arial"/>
          <w:spacing w:val="4"/>
          <w:sz w:val="20"/>
          <w:szCs w:val="20"/>
        </w:rPr>
        <w:lastRenderedPageBreak/>
        <w:t xml:space="preserve">w przypadku instalacji wysokosprawnej kogeneracji poniżej 20 </w:t>
      </w:r>
      <w:proofErr w:type="spellStart"/>
      <w:r w:rsidRPr="004E3242">
        <w:rPr>
          <w:rFonts w:ascii="Arial" w:hAnsi="Arial" w:cs="Arial"/>
          <w:spacing w:val="4"/>
          <w:sz w:val="20"/>
          <w:szCs w:val="20"/>
        </w:rPr>
        <w:t>MWt</w:t>
      </w:r>
      <w:proofErr w:type="spellEnd"/>
      <w:r w:rsidRPr="004E3242">
        <w:rPr>
          <w:rFonts w:ascii="Arial" w:hAnsi="Arial" w:cs="Arial"/>
          <w:spacing w:val="4"/>
          <w:sz w:val="20"/>
          <w:szCs w:val="20"/>
        </w:rPr>
        <w:t xml:space="preserve"> wsparcie otrzyma budowa, uzasadnionych pod względem ekonomicznym, nowych instalacji wysokosprawnej kogeneracji o jak najmniejszej z możliwych emisji CO</w:t>
      </w:r>
      <w:r w:rsidRPr="00B345B6">
        <w:rPr>
          <w:rFonts w:ascii="Arial" w:hAnsi="Arial" w:cs="Arial"/>
          <w:spacing w:val="4"/>
          <w:sz w:val="20"/>
          <w:szCs w:val="20"/>
          <w:vertAlign w:val="subscript"/>
        </w:rPr>
        <w:t>2</w:t>
      </w:r>
      <w:r w:rsidRPr="004E3242">
        <w:rPr>
          <w:rFonts w:ascii="Arial" w:hAnsi="Arial" w:cs="Arial"/>
          <w:spacing w:val="4"/>
          <w:sz w:val="20"/>
          <w:szCs w:val="20"/>
        </w:rPr>
        <w:t xml:space="preserve"> oraz innych zanieczyszczeń powietrza. 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kogenerację musi skutkować redukcją CO</w:t>
      </w:r>
      <w:r w:rsidRPr="00B345B6">
        <w:rPr>
          <w:rFonts w:ascii="Arial" w:hAnsi="Arial" w:cs="Arial"/>
          <w:spacing w:val="4"/>
          <w:sz w:val="20"/>
          <w:szCs w:val="20"/>
          <w:vertAlign w:val="subscript"/>
        </w:rPr>
        <w:t>2</w:t>
      </w:r>
      <w:r w:rsidRPr="004E3242">
        <w:rPr>
          <w:rFonts w:ascii="Arial" w:hAnsi="Arial" w:cs="Arial"/>
          <w:spacing w:val="4"/>
          <w:sz w:val="20"/>
          <w:szCs w:val="20"/>
        </w:rPr>
        <w:t xml:space="preserve"> o co najmniej 30% w porównaniu do istniejących instalacji. Dopuszczona jest pomoc inwestycyjna dla wysokosprawnych instalacji spalających paliwa kopalne pod warunkiem, że te instalacje nie zastępują urządzeń o niskiej emisji, a inne alternatywne rozwiązania byłyby mniej efektywne i bardziej emisyjne;</w:t>
      </w:r>
    </w:p>
    <w:p w14:paraId="37797ADB" w14:textId="77777777" w:rsidR="004E3242" w:rsidRPr="004E3242" w:rsidRDefault="004E3242" w:rsidP="00B345B6">
      <w:pPr>
        <w:numPr>
          <w:ilvl w:val="0"/>
          <w:numId w:val="8"/>
        </w:numPr>
        <w:spacing w:before="120" w:after="120"/>
        <w:jc w:val="both"/>
        <w:rPr>
          <w:rFonts w:ascii="Arial" w:hAnsi="Arial" w:cs="Arial"/>
          <w:spacing w:val="4"/>
          <w:sz w:val="20"/>
          <w:szCs w:val="20"/>
        </w:rPr>
      </w:pPr>
      <w:r w:rsidRPr="004E3242">
        <w:rPr>
          <w:rFonts w:ascii="Arial" w:hAnsi="Arial" w:cs="Arial"/>
          <w:spacing w:val="4"/>
          <w:sz w:val="20"/>
          <w:szCs w:val="20"/>
        </w:rPr>
        <w:t>budowa przyłączeń do sieci ciepłowniczych do wykorzystania ciepła użytkowego wyprodukowanego w jednostkach wytwarzania energii elektrycznej i ciepła w układach wysokosprawnej kogeneracji wraz z budową przyłączy wyprowadzających energię do krajowego systemu przesyłowego;</w:t>
      </w:r>
    </w:p>
    <w:p w14:paraId="4A6AE7BE" w14:textId="77777777" w:rsidR="004E3242" w:rsidRPr="004E3242" w:rsidRDefault="004E3242" w:rsidP="00B345B6">
      <w:pPr>
        <w:numPr>
          <w:ilvl w:val="0"/>
          <w:numId w:val="8"/>
        </w:numPr>
        <w:spacing w:before="120" w:after="120"/>
        <w:jc w:val="both"/>
        <w:rPr>
          <w:rFonts w:ascii="Arial" w:hAnsi="Arial" w:cs="Arial"/>
          <w:spacing w:val="4"/>
          <w:sz w:val="20"/>
          <w:szCs w:val="20"/>
        </w:rPr>
      </w:pPr>
      <w:r w:rsidRPr="004E3242">
        <w:rPr>
          <w:rFonts w:ascii="Arial" w:hAnsi="Arial" w:cs="Arial"/>
          <w:spacing w:val="4"/>
          <w:sz w:val="20"/>
          <w:szCs w:val="20"/>
        </w:rPr>
        <w:t>wykorzystania energii ciepła odpadowego w ramach projektów rozbudowy/budowy sieci ciepłowniczych;</w:t>
      </w:r>
    </w:p>
    <w:p w14:paraId="0249491B" w14:textId="77777777" w:rsidR="004E3242" w:rsidRDefault="004E3242" w:rsidP="00B345B6">
      <w:pPr>
        <w:numPr>
          <w:ilvl w:val="0"/>
          <w:numId w:val="8"/>
        </w:numPr>
        <w:spacing w:before="120" w:after="120"/>
        <w:jc w:val="both"/>
        <w:rPr>
          <w:rFonts w:ascii="Arial" w:hAnsi="Arial" w:cs="Arial"/>
          <w:spacing w:val="4"/>
          <w:sz w:val="20"/>
          <w:szCs w:val="20"/>
        </w:rPr>
      </w:pPr>
      <w:r w:rsidRPr="004E3242">
        <w:rPr>
          <w:rFonts w:ascii="Arial" w:hAnsi="Arial" w:cs="Arial"/>
          <w:spacing w:val="4"/>
          <w:sz w:val="20"/>
          <w:szCs w:val="20"/>
        </w:rPr>
        <w:t>budowa sieci cieplnych lub sieci chłodu umożliwiająca wykorzystanie energii cieplnej wytworzonej w warunkach wysokosprawnej kogeneracji, energii odpadowej, instalacji z wykorzystaniem OZE, a także powodującej zwiększenie wykorzystania energii wyprodukowanej w takich instalacjach.</w:t>
      </w:r>
    </w:p>
    <w:p w14:paraId="5086458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4A2753F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wsparcie przewidziane jest dla jednostek samorządu terytorialnego oraz działających w ich imieniu jednostek organizacyjnych, przedsiębiorców, a także podmiotów świadczących usługi publiczne w ramach realizacji obowiązków własnych jednostek samorządu terytorialnego a także podmiotów będących dostawcami usług energetycznych w rozumieniu dyrektywy 2012/27/UE.Z uwagi na to, że interwencja będzie miała charakter horyzontalny i dotyczyła całego kraju, grupami docelowymi wsparcia będą użytkownicy wspartej infrastruktury.</w:t>
      </w:r>
    </w:p>
    <w:p w14:paraId="61CE2E5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3DD464C5" w14:textId="77777777" w:rsidR="00390C33"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ma charakter horyzontalny i dotyczy całego kraju. Inwestycje realizowane w ramach priorytetu mają istotny wpływ dla wszystkich obszarów gospodarki i będą w istotnej mierze zlokalizowane na terenach miejskich. </w:t>
      </w:r>
      <w:r w:rsidR="00F613C9" w:rsidRPr="00F613C9">
        <w:rPr>
          <w:rFonts w:ascii="Arial" w:hAnsi="Arial" w:cs="Arial"/>
          <w:spacing w:val="4"/>
          <w:sz w:val="20"/>
          <w:szCs w:val="20"/>
        </w:rPr>
        <w:t>Dodatkowo wsparcie realizowane w ramach priorytetu inwestycyjnego może zostać ukierunkowane  również na wzmocnienie potencjału rozwojowego miast średnich, w tym tracących funkcje społeczno-gospodarcze, o których mowa w rozdziale 3.1.2 Umowy Partnerstwa.</w:t>
      </w:r>
    </w:p>
    <w:p w14:paraId="182AB701" w14:textId="77777777" w:rsidR="004E3242" w:rsidRPr="004E3242" w:rsidRDefault="004E3242" w:rsidP="004E3242">
      <w:pPr>
        <w:spacing w:before="120" w:after="120"/>
        <w:jc w:val="both"/>
        <w:rPr>
          <w:rFonts w:ascii="Arial" w:hAnsi="Arial" w:cs="Arial"/>
          <w:b/>
          <w:bCs/>
          <w:spacing w:val="4"/>
          <w:sz w:val="20"/>
          <w:szCs w:val="20"/>
        </w:rPr>
      </w:pPr>
      <w:r w:rsidRPr="004E3242">
        <w:rPr>
          <w:rFonts w:ascii="Arial" w:hAnsi="Arial" w:cs="Arial"/>
          <w:spacing w:val="4"/>
          <w:sz w:val="20"/>
          <w:szCs w:val="20"/>
        </w:rPr>
        <w:t xml:space="preserve">Realizacja inwestycji zaplanowanych w ramach priorytetu inwestycyjnego sprzyjać będzie wypełnianiu założeń Strategii UE dla Regionu Morza Bałtyckiego. Planowane do realizacji projekty będą w szczególności służyć osiągnięciu celu szczegółowego SUE RMB </w:t>
      </w:r>
      <w:r w:rsidRPr="004E3242">
        <w:rPr>
          <w:rFonts w:ascii="Arial" w:hAnsi="Arial" w:cs="Arial"/>
          <w:i/>
          <w:spacing w:val="4"/>
          <w:sz w:val="20"/>
          <w:szCs w:val="20"/>
        </w:rPr>
        <w:t>Adaptacja do zmiany klimatu, zapobieganie oraz zarządzanie ryzykiem</w:t>
      </w:r>
      <w:r w:rsidRPr="004E3242">
        <w:rPr>
          <w:rFonts w:ascii="Arial" w:hAnsi="Arial" w:cs="Arial"/>
          <w:spacing w:val="4"/>
          <w:sz w:val="20"/>
          <w:szCs w:val="20"/>
        </w:rPr>
        <w:t xml:space="preserve"> oraz będą wpisywać się w cele przyjęte dla OP SME służące poprawie efektywnego wykorzystania zasobów przez przedsiębiorstwa oraz OP ENERGY </w:t>
      </w:r>
      <w:r w:rsidRPr="004E3242">
        <w:rPr>
          <w:rFonts w:ascii="Arial" w:hAnsi="Arial" w:cs="Arial"/>
          <w:i/>
          <w:spacing w:val="4"/>
          <w:sz w:val="20"/>
          <w:szCs w:val="20"/>
        </w:rPr>
        <w:t>Poprawa dostępu do wydajnych oraz bezpiecznych rynków energii</w:t>
      </w:r>
      <w:r w:rsidRPr="004E3242">
        <w:rPr>
          <w:rFonts w:ascii="Arial" w:hAnsi="Arial" w:cs="Arial"/>
          <w:spacing w:val="4"/>
          <w:sz w:val="20"/>
          <w:szCs w:val="20"/>
        </w:rPr>
        <w:t xml:space="preserve">. </w:t>
      </w:r>
    </w:p>
    <w:p w14:paraId="39BB683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659B0C4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wsparciem objęte zostaną projekty wyłaniane w trybie konkursowym oraz pozakonkursowym. Podstawowym trybem wyboru będzie tryb konkursowy. </w:t>
      </w:r>
    </w:p>
    <w:p w14:paraId="0833065E" w14:textId="77777777" w:rsidR="00F279E8" w:rsidRDefault="004E3242" w:rsidP="004E3242">
      <w:pPr>
        <w:spacing w:before="120" w:after="120"/>
        <w:jc w:val="both"/>
        <w:rPr>
          <w:rFonts w:ascii="Arial" w:hAnsi="Arial" w:cs="Arial"/>
          <w:bCs/>
          <w:spacing w:val="4"/>
          <w:sz w:val="20"/>
          <w:szCs w:val="20"/>
        </w:rPr>
      </w:pPr>
      <w:r w:rsidRPr="004E3242">
        <w:rPr>
          <w:rFonts w:ascii="Arial" w:hAnsi="Arial" w:cs="Arial"/>
          <w:spacing w:val="4"/>
          <w:sz w:val="20"/>
          <w:szCs w:val="20"/>
        </w:rPr>
        <w:t xml:space="preserve">W przypadku projektów dotyczycących sieci dystrybucji ciepła i/lub chodu, tryb pozakonkursowy stosowany będzie w odniesieniu do miast wojewódzkich i ich obszarów funkcjonalnych, </w:t>
      </w:r>
      <w:r w:rsidRPr="004E3242">
        <w:rPr>
          <w:rFonts w:ascii="Arial" w:hAnsi="Arial" w:cs="Arial"/>
          <w:spacing w:val="4"/>
          <w:sz w:val="20"/>
          <w:szCs w:val="20"/>
        </w:rPr>
        <w:lastRenderedPageBreak/>
        <w:t>posiadających Strategie Zintegrowanych Inwestycji Terytorialnych (ZIT). Wybór takich projektów będzie uzależniony od wpisania ich do ZIT.</w:t>
      </w:r>
      <w:r w:rsidR="000D7714" w:rsidRPr="000D7714">
        <w:rPr>
          <w:rFonts w:ascii="Arial" w:hAnsi="Arial" w:cs="Arial"/>
          <w:bCs/>
          <w:spacing w:val="4"/>
          <w:sz w:val="20"/>
          <w:szCs w:val="20"/>
        </w:rPr>
        <w:t xml:space="preserve"> </w:t>
      </w:r>
    </w:p>
    <w:p w14:paraId="28880051" w14:textId="77777777" w:rsidR="00F613C9" w:rsidRDefault="00F613C9" w:rsidP="004E3242">
      <w:pPr>
        <w:spacing w:before="120" w:after="120"/>
        <w:jc w:val="both"/>
        <w:rPr>
          <w:rFonts w:ascii="Arial" w:hAnsi="Arial" w:cs="Arial"/>
          <w:spacing w:val="4"/>
          <w:sz w:val="20"/>
          <w:szCs w:val="20"/>
        </w:rPr>
      </w:pPr>
      <w:r w:rsidRPr="00F613C9">
        <w:rPr>
          <w:rFonts w:ascii="Arial" w:hAnsi="Arial" w:cs="Arial"/>
          <w:spacing w:val="4"/>
          <w:sz w:val="20"/>
          <w:szCs w:val="20"/>
        </w:rPr>
        <w:t>Dodatkowo wsparcie realizowane w ramach priorytetu inwestycyjnego może zostać ukierunkowane również na wzmocnienie potencjału rozwojowego miast średnich.</w:t>
      </w:r>
    </w:p>
    <w:p w14:paraId="0480F7C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Programu wsparte mogą zostać projekty zapewniające najniższy poziom emisji CO</w:t>
      </w:r>
      <w:r w:rsidRPr="00B345B6">
        <w:rPr>
          <w:rFonts w:ascii="Arial" w:hAnsi="Arial" w:cs="Arial"/>
          <w:spacing w:val="4"/>
          <w:sz w:val="20"/>
          <w:szCs w:val="20"/>
          <w:vertAlign w:val="subscript"/>
        </w:rPr>
        <w:t>2</w:t>
      </w:r>
      <w:r w:rsidRPr="004E3242">
        <w:rPr>
          <w:rFonts w:ascii="Arial" w:hAnsi="Arial" w:cs="Arial"/>
          <w:spacing w:val="4"/>
          <w:sz w:val="20"/>
          <w:szCs w:val="20"/>
        </w:rPr>
        <w:t xml:space="preserve"> oraz innych zanieczyszczeń powietrza, a w szczególności PM10. Projekty powinny być uzasadnione ekonomicznie oraz, w stosownych przypadkach, przeciwdziałać ubóstwu energetycznemu. Priorytetowo powinny być wspierane projekty wykorzystujące odnawialne źródła energii.</w:t>
      </w:r>
    </w:p>
    <w:p w14:paraId="62AF14D0"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Projekty powinny być uwarunkowane wykonaniem inwestycji zwiększających efektywność energetyczną i ograniczających zapotrzebowanie na energię w budynkach, do których doprowadzona jest energia ze wspieranych instalacji zapewniając, że inwestycje są oparte na zapotrzebowaniu na ciepło użytkowe.</w:t>
      </w:r>
    </w:p>
    <w:p w14:paraId="71BE693E"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Do wsparcia ze środków POIŚ nie kwalifikują się inwestycje na rzecz redukcji emisji gazów cieplarnianych pochodzących z listy działań wymienionych w załączniku I do dyrektywy 2003/87/WE, w tym instalacji energetycznego spalania o nominalnej mocy cieplnej  przekraczającej 20 MW. Jednakże wsparcie mogą otrzymać instalacje wykorzystujące wyłącznie biomasę, które nie są objęte dyrektywą 2003/87/WE.</w:t>
      </w:r>
    </w:p>
    <w:p w14:paraId="30D86F2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celu zwiększenia efektywności kosztowej projektów wytworzenie energii powinno być dostosowane do wymogów wysokosprawnej kogeneracji, używając (o ile będzie to możliwe) dostępnego ciepła odpadowego w przedsiębiorstwach, tj. zdefiniowanego i opisanego w dyrektywie 2012/27/UE w sprawie efektywności energetycznej. Zgodnie z tą dyrektywą, nowe instalacje wytwórcze energii elektrycznej oraz istniejące instalacje poddawane znacznej modernizacji lub takie, których zezwolenie lub koncesja są aktualizowane, powinny być wyposażone w wysokosprawne jednostki kogeneracji w celu odzyskiwania ciepła odpadowego powstałego przy wytwarzaniu energii elektrycznej.</w:t>
      </w:r>
    </w:p>
    <w:p w14:paraId="7A2C0559"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Preferowane powinno być wsparcie udzielane poprzez przedsiębiorstwa usług energetycznych (ESCO) oraz instrumenty finansowe, o ile znajdzie to potwierdzenie w wynikach oceny ex-</w:t>
      </w:r>
      <w:proofErr w:type="spellStart"/>
      <w:r w:rsidRPr="004E3242">
        <w:rPr>
          <w:rFonts w:ascii="Arial" w:hAnsi="Arial" w:cs="Arial"/>
          <w:spacing w:val="4"/>
          <w:sz w:val="20"/>
          <w:szCs w:val="20"/>
        </w:rPr>
        <w:t>ante</w:t>
      </w:r>
      <w:proofErr w:type="spellEnd"/>
      <w:r w:rsidRPr="004E3242">
        <w:rPr>
          <w:rFonts w:ascii="Arial" w:hAnsi="Arial" w:cs="Arial"/>
          <w:spacing w:val="4"/>
          <w:sz w:val="20"/>
          <w:szCs w:val="20"/>
        </w:rPr>
        <w:t xml:space="preserve"> zgodnie z art. 37 ust. 2 rozporządzenia (UE) nr 1303/2013.</w:t>
      </w:r>
    </w:p>
    <w:p w14:paraId="05D628AA" w14:textId="77777777" w:rsid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Mając na uwadze uzyskanie efektu synergii, projekty z zakresu wysokosprawnej kogeneracji powinny być realizowane w połączeniu z głęboką kompleksową modernizacją energetyczną budynków oraz budową/rozbudową sieci dystrybucji ciepła/chłodu.</w:t>
      </w:r>
    </w:p>
    <w:p w14:paraId="03E2A2A8" w14:textId="77777777" w:rsidR="00492B0C" w:rsidRPr="004E3242" w:rsidRDefault="00492B0C" w:rsidP="004E3242">
      <w:pPr>
        <w:spacing w:before="120" w:after="120"/>
        <w:jc w:val="both"/>
        <w:rPr>
          <w:rFonts w:ascii="Arial" w:hAnsi="Arial" w:cs="Arial"/>
          <w:spacing w:val="4"/>
          <w:sz w:val="20"/>
          <w:szCs w:val="20"/>
        </w:rPr>
      </w:pPr>
    </w:p>
    <w:p w14:paraId="2886B08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priorytetu inwestycyjnego. Kryteria będą precyzyjne, mierzalne i obiektywne. Dodatkowo dopuszcza się możliwość nadania kryteriom merytorycznym odpowiedniej punktacji oraz określonych wag punktowych.</w:t>
      </w:r>
    </w:p>
    <w:p w14:paraId="522F9019" w14:textId="77777777" w:rsid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Wszelkie inwestycje powinny być zgodne z unijnymi standardami i przepisami w zakresie ochrony środowiska.</w:t>
      </w:r>
    </w:p>
    <w:p w14:paraId="05B7F37D" w14:textId="77777777" w:rsidR="00684EE4" w:rsidRPr="004E3242" w:rsidRDefault="005E530E" w:rsidP="004E3242">
      <w:pPr>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7D04C52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3B0CFCC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przewiduje się wsparcia w formie instrumentów finansowych. Przewiduje się, że priorytet inwestycyjny może zostać objęty zasadami pomocy publicznej.</w:t>
      </w:r>
    </w:p>
    <w:p w14:paraId="7C4954F2"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Zakres wykorzystania dużych projektów</w:t>
      </w:r>
    </w:p>
    <w:p w14:paraId="244CCA24"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12.Termin zawarcia pierwszej umowy na wykonanie prac lub podpisania umowy PPP (o ile właściwe), będzie zgodny z art. 102 ust. 3 rozporządzenia ogólnego. Po przygotowaniu kompletnej dokumentacji projektowej możliwe będzie precyzyjne określenie zakresu rzeczowego oraz szacowanych kosztów tych projektów.</w:t>
      </w:r>
    </w:p>
    <w:p w14:paraId="30F3953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Realizacja dużych projektów w znaczący sposób przyczyni się do osiągnięcia celu służącego zwiększeniu udziału energii wytwarzanej w wysokosprawnej kogeneracji, poprzez racjonalne jej wykorzystanie i ograniczanie strat, dokonując modernizacji i wprowadzając w tym celu nowe energooszczędne materiały, urządzenia i systemy instalacyjne.</w:t>
      </w:r>
    </w:p>
    <w:p w14:paraId="0BB0BD39"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Jednocześnie nie można wykluczyć, że projekty duże zostaną zidentyfikowane również na etapie wdrażania.</w:t>
      </w:r>
    </w:p>
    <w:p w14:paraId="1657DD72"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spacing w:val="4"/>
          <w:sz w:val="20"/>
          <w:szCs w:val="20"/>
        </w:rPr>
        <w:t xml:space="preserve"> </w:t>
      </w: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2408"/>
        <w:gridCol w:w="994"/>
        <w:gridCol w:w="992"/>
        <w:gridCol w:w="992"/>
        <w:gridCol w:w="992"/>
        <w:gridCol w:w="994"/>
        <w:gridCol w:w="1380"/>
      </w:tblGrid>
      <w:tr w:rsidR="004E3242" w:rsidRPr="004E3242" w14:paraId="5BF548D2" w14:textId="77777777" w:rsidTr="00AA7998">
        <w:tc>
          <w:tcPr>
            <w:tcW w:w="288" w:type="pct"/>
            <w:shd w:val="clear" w:color="auto" w:fill="99CC00"/>
            <w:vAlign w:val="center"/>
          </w:tcPr>
          <w:p w14:paraId="43D7188F"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97" w:type="pct"/>
            <w:shd w:val="clear" w:color="auto" w:fill="99CC00"/>
            <w:vAlign w:val="center"/>
          </w:tcPr>
          <w:p w14:paraId="2DD5FDFE"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057DBD2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43CE9719"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4" w:type="pct"/>
            <w:shd w:val="clear" w:color="auto" w:fill="99CC00"/>
            <w:vAlign w:val="center"/>
          </w:tcPr>
          <w:p w14:paraId="678785AD"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552037C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5" w:type="pct"/>
            <w:shd w:val="clear" w:color="auto" w:fill="99CC00"/>
            <w:vAlign w:val="center"/>
          </w:tcPr>
          <w:p w14:paraId="5007D54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3" w:type="pct"/>
            <w:shd w:val="clear" w:color="auto" w:fill="99CC00"/>
            <w:vAlign w:val="center"/>
          </w:tcPr>
          <w:p w14:paraId="578D1F44"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4E3AE7E8" w14:textId="77777777" w:rsidTr="00AA7998">
        <w:tc>
          <w:tcPr>
            <w:tcW w:w="288" w:type="pct"/>
            <w:shd w:val="clear" w:color="auto" w:fill="F2F2F2"/>
            <w:vAlign w:val="center"/>
          </w:tcPr>
          <w:p w14:paraId="6BF7875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297" w:type="pct"/>
            <w:shd w:val="clear" w:color="auto" w:fill="F2F2F2"/>
            <w:vAlign w:val="center"/>
          </w:tcPr>
          <w:p w14:paraId="120EFEE7"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Liczba wybudowanych lub zmodernizowanych jednostek wytwarzania energii elektrycznej </w:t>
            </w:r>
            <w:r w:rsidRPr="004E3242">
              <w:rPr>
                <w:rFonts w:ascii="Arial" w:hAnsi="Arial" w:cs="Arial"/>
                <w:spacing w:val="4"/>
                <w:sz w:val="16"/>
                <w:szCs w:val="16"/>
              </w:rPr>
              <w:br/>
              <w:t>i cieplnej w ramach wysokosprawnej kogeneracji</w:t>
            </w:r>
          </w:p>
        </w:tc>
        <w:tc>
          <w:tcPr>
            <w:tcW w:w="535" w:type="pct"/>
            <w:shd w:val="clear" w:color="auto" w:fill="F2F2F2"/>
            <w:vAlign w:val="center"/>
          </w:tcPr>
          <w:p w14:paraId="64559AB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534" w:type="pct"/>
            <w:shd w:val="clear" w:color="auto" w:fill="F2F2F2"/>
            <w:vAlign w:val="center"/>
          </w:tcPr>
          <w:p w14:paraId="431C49A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2F432F5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3F7CE17F" w14:textId="77777777" w:rsidR="004E3242" w:rsidRPr="004E3242" w:rsidRDefault="0027370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73704">
              <w:rPr>
                <w:rFonts w:ascii="Arial" w:hAnsi="Arial" w:cs="Arial"/>
                <w:spacing w:val="4"/>
                <w:sz w:val="16"/>
                <w:szCs w:val="16"/>
              </w:rPr>
              <w:t>93</w:t>
            </w:r>
          </w:p>
        </w:tc>
        <w:tc>
          <w:tcPr>
            <w:tcW w:w="535" w:type="pct"/>
            <w:shd w:val="clear" w:color="auto" w:fill="F2F2F2"/>
            <w:vAlign w:val="center"/>
          </w:tcPr>
          <w:p w14:paraId="34E38F6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1900C96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F54F340" w14:textId="77777777" w:rsidTr="00AA7998">
        <w:tc>
          <w:tcPr>
            <w:tcW w:w="288" w:type="pct"/>
            <w:shd w:val="clear" w:color="auto" w:fill="F2F2F2"/>
            <w:vAlign w:val="center"/>
          </w:tcPr>
          <w:p w14:paraId="44DF7C4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297" w:type="pct"/>
            <w:shd w:val="clear" w:color="auto" w:fill="F2F2F2"/>
            <w:vAlign w:val="center"/>
          </w:tcPr>
          <w:p w14:paraId="4CB0B20C"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Liczba wybudowanych lub zmodernizowanych jednostek wytwarzania energii elektrycznej </w:t>
            </w:r>
            <w:r w:rsidRPr="004E3242">
              <w:rPr>
                <w:rFonts w:ascii="Arial" w:hAnsi="Arial" w:cs="Arial"/>
                <w:spacing w:val="4"/>
                <w:sz w:val="16"/>
                <w:szCs w:val="16"/>
              </w:rPr>
              <w:br/>
              <w:t>i cieplnej w ramach wysokosprawnej kogeneracji z OZE</w:t>
            </w:r>
          </w:p>
        </w:tc>
        <w:tc>
          <w:tcPr>
            <w:tcW w:w="535" w:type="pct"/>
            <w:shd w:val="clear" w:color="auto" w:fill="F2F2F2"/>
            <w:vAlign w:val="center"/>
          </w:tcPr>
          <w:p w14:paraId="31AB5DE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534" w:type="pct"/>
            <w:shd w:val="clear" w:color="auto" w:fill="F2F2F2"/>
            <w:vAlign w:val="center"/>
          </w:tcPr>
          <w:p w14:paraId="163E8E8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78EEDDE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7EC3F9B3" w14:textId="77777777" w:rsidR="004E3242" w:rsidRPr="004E3242" w:rsidRDefault="005E7A41"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10</w:t>
            </w:r>
          </w:p>
        </w:tc>
        <w:tc>
          <w:tcPr>
            <w:tcW w:w="535" w:type="pct"/>
            <w:shd w:val="clear" w:color="auto" w:fill="F2F2F2"/>
            <w:vAlign w:val="center"/>
          </w:tcPr>
          <w:p w14:paraId="3F4F41F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5EA15C0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6A4B60C" w14:textId="77777777" w:rsidTr="00AA7998">
        <w:tc>
          <w:tcPr>
            <w:tcW w:w="288" w:type="pct"/>
            <w:shd w:val="clear" w:color="auto" w:fill="F2F2F2"/>
            <w:vAlign w:val="center"/>
          </w:tcPr>
          <w:p w14:paraId="2904D59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1297" w:type="pct"/>
            <w:shd w:val="clear" w:color="auto" w:fill="F2F2F2"/>
            <w:vAlign w:val="center"/>
          </w:tcPr>
          <w:p w14:paraId="3983A926"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Szacowany roczny spadek emisji gazów cieplarnianych (CI)</w:t>
            </w:r>
          </w:p>
        </w:tc>
        <w:tc>
          <w:tcPr>
            <w:tcW w:w="535" w:type="pct"/>
            <w:shd w:val="clear" w:color="auto" w:fill="F2F2F2"/>
            <w:vAlign w:val="center"/>
          </w:tcPr>
          <w:p w14:paraId="0AFCEAB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tony równoważnika CO</w:t>
            </w:r>
            <w:r w:rsidRPr="004E3242">
              <w:rPr>
                <w:rFonts w:ascii="Arial" w:hAnsi="Arial" w:cs="Arial"/>
                <w:spacing w:val="4"/>
                <w:sz w:val="16"/>
                <w:szCs w:val="16"/>
                <w:vertAlign w:val="subscript"/>
              </w:rPr>
              <w:t>2</w:t>
            </w:r>
          </w:p>
        </w:tc>
        <w:tc>
          <w:tcPr>
            <w:tcW w:w="534" w:type="pct"/>
            <w:shd w:val="clear" w:color="auto" w:fill="F2F2F2"/>
            <w:vAlign w:val="center"/>
          </w:tcPr>
          <w:p w14:paraId="23C5A5D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7077A20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389116CE" w14:textId="77777777" w:rsidR="004E3242" w:rsidRPr="004E3242" w:rsidRDefault="002954F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954F4">
              <w:rPr>
                <w:rFonts w:ascii="Arial" w:hAnsi="Arial" w:cs="Arial"/>
                <w:spacing w:val="4"/>
                <w:sz w:val="16"/>
                <w:szCs w:val="16"/>
              </w:rPr>
              <w:t>1 242 500</w:t>
            </w:r>
          </w:p>
        </w:tc>
        <w:tc>
          <w:tcPr>
            <w:tcW w:w="535" w:type="pct"/>
            <w:shd w:val="clear" w:color="auto" w:fill="F2F2F2"/>
            <w:vAlign w:val="center"/>
          </w:tcPr>
          <w:p w14:paraId="3124B25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67DA240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4888333" w14:textId="77777777" w:rsidTr="00AA7998">
        <w:tc>
          <w:tcPr>
            <w:tcW w:w="288" w:type="pct"/>
            <w:shd w:val="clear" w:color="auto" w:fill="F2F2F2"/>
            <w:vAlign w:val="center"/>
          </w:tcPr>
          <w:p w14:paraId="67E8C93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4.</w:t>
            </w:r>
          </w:p>
        </w:tc>
        <w:tc>
          <w:tcPr>
            <w:tcW w:w="1297" w:type="pct"/>
            <w:shd w:val="clear" w:color="auto" w:fill="F2F2F2"/>
            <w:vAlign w:val="center"/>
          </w:tcPr>
          <w:p w14:paraId="687C4188"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Dodatkowa zdolność wytwarzania energii ze źródeł odnawialnych (CI)</w:t>
            </w:r>
          </w:p>
        </w:tc>
        <w:tc>
          <w:tcPr>
            <w:tcW w:w="535" w:type="pct"/>
            <w:shd w:val="clear" w:color="auto" w:fill="F2F2F2"/>
            <w:vAlign w:val="center"/>
          </w:tcPr>
          <w:p w14:paraId="01EAF69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MW</w:t>
            </w:r>
          </w:p>
        </w:tc>
        <w:tc>
          <w:tcPr>
            <w:tcW w:w="534" w:type="pct"/>
            <w:shd w:val="clear" w:color="auto" w:fill="F2F2F2"/>
            <w:vAlign w:val="center"/>
          </w:tcPr>
          <w:p w14:paraId="2E02E62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40455F0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405CA5F4" w14:textId="77777777" w:rsidR="004E3242" w:rsidRPr="004E3242" w:rsidRDefault="002954F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954F4">
              <w:rPr>
                <w:rFonts w:ascii="Arial" w:hAnsi="Arial" w:cs="Arial"/>
                <w:spacing w:val="4"/>
                <w:sz w:val="16"/>
                <w:szCs w:val="16"/>
              </w:rPr>
              <w:t>67</w:t>
            </w:r>
          </w:p>
        </w:tc>
        <w:tc>
          <w:tcPr>
            <w:tcW w:w="535" w:type="pct"/>
            <w:shd w:val="clear" w:color="auto" w:fill="F2F2F2"/>
            <w:vAlign w:val="center"/>
          </w:tcPr>
          <w:p w14:paraId="3D5763D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5C9F40D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26F967A" w14:textId="77777777" w:rsidTr="00AA7998">
        <w:tc>
          <w:tcPr>
            <w:tcW w:w="288" w:type="pct"/>
            <w:shd w:val="clear" w:color="auto" w:fill="F2F2F2"/>
            <w:vAlign w:val="center"/>
          </w:tcPr>
          <w:p w14:paraId="641E33B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5.</w:t>
            </w:r>
          </w:p>
        </w:tc>
        <w:tc>
          <w:tcPr>
            <w:tcW w:w="1297" w:type="pct"/>
            <w:shd w:val="clear" w:color="auto" w:fill="F2F2F2"/>
            <w:vAlign w:val="center"/>
          </w:tcPr>
          <w:p w14:paraId="75B2B471"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Dodatkowa zdolność wytwarzania energii elektrycznej i cieplnej </w:t>
            </w:r>
            <w:r w:rsidRPr="004E3242">
              <w:rPr>
                <w:rFonts w:ascii="Arial" w:hAnsi="Arial" w:cs="Arial"/>
                <w:spacing w:val="4"/>
                <w:sz w:val="16"/>
                <w:szCs w:val="16"/>
              </w:rPr>
              <w:br/>
              <w:t>w warunkach wysokosprawnej kogeneracji</w:t>
            </w:r>
          </w:p>
        </w:tc>
        <w:tc>
          <w:tcPr>
            <w:tcW w:w="535" w:type="pct"/>
            <w:shd w:val="clear" w:color="auto" w:fill="F2F2F2"/>
            <w:vAlign w:val="center"/>
          </w:tcPr>
          <w:p w14:paraId="63C13F6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MW</w:t>
            </w:r>
          </w:p>
        </w:tc>
        <w:tc>
          <w:tcPr>
            <w:tcW w:w="534" w:type="pct"/>
            <w:shd w:val="clear" w:color="auto" w:fill="F2F2F2"/>
            <w:vAlign w:val="center"/>
          </w:tcPr>
          <w:p w14:paraId="07A9F8B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1EB70AA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6F1F71EA" w14:textId="77777777" w:rsidR="004E3242" w:rsidRPr="004E3242" w:rsidRDefault="002954F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954F4">
              <w:rPr>
                <w:rFonts w:ascii="Arial" w:hAnsi="Arial" w:cs="Arial"/>
                <w:spacing w:val="4"/>
                <w:sz w:val="16"/>
                <w:szCs w:val="16"/>
              </w:rPr>
              <w:t>496</w:t>
            </w:r>
          </w:p>
        </w:tc>
        <w:tc>
          <w:tcPr>
            <w:tcW w:w="535" w:type="pct"/>
            <w:shd w:val="clear" w:color="auto" w:fill="F2F2F2"/>
            <w:vAlign w:val="center"/>
          </w:tcPr>
          <w:p w14:paraId="24621D6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630E30B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r w:rsidRPr="004E3242">
              <w:rPr>
                <w:rFonts w:ascii="Arial" w:hAnsi="Arial" w:cs="Arial"/>
                <w:spacing w:val="4"/>
                <w:sz w:val="16"/>
                <w:szCs w:val="16"/>
                <w:vertAlign w:val="superscript"/>
              </w:rPr>
              <w:footnoteReference w:id="48"/>
            </w:r>
          </w:p>
        </w:tc>
      </w:tr>
      <w:tr w:rsidR="004E3242" w:rsidRPr="004E3242" w14:paraId="3870D793" w14:textId="77777777" w:rsidTr="00AA7998">
        <w:tc>
          <w:tcPr>
            <w:tcW w:w="288" w:type="pct"/>
            <w:shd w:val="clear" w:color="auto" w:fill="F2F2F2"/>
            <w:vAlign w:val="center"/>
          </w:tcPr>
          <w:p w14:paraId="7DEC906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6.</w:t>
            </w:r>
          </w:p>
        </w:tc>
        <w:tc>
          <w:tcPr>
            <w:tcW w:w="1297" w:type="pct"/>
            <w:shd w:val="clear" w:color="auto" w:fill="F2F2F2"/>
            <w:vAlign w:val="center"/>
          </w:tcPr>
          <w:p w14:paraId="776D71B9"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przedsiębiorstw otrzymujących wsparcie</w:t>
            </w:r>
          </w:p>
        </w:tc>
        <w:tc>
          <w:tcPr>
            <w:tcW w:w="535" w:type="pct"/>
            <w:shd w:val="clear" w:color="auto" w:fill="F2F2F2"/>
            <w:vAlign w:val="center"/>
          </w:tcPr>
          <w:p w14:paraId="3CB0B50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534" w:type="pct"/>
            <w:shd w:val="clear" w:color="auto" w:fill="F2F2F2"/>
            <w:vAlign w:val="center"/>
          </w:tcPr>
          <w:p w14:paraId="621D99E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24A5C38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064BDE81" w14:textId="77777777" w:rsidR="004E3242" w:rsidRPr="004E3242" w:rsidDel="004D46B8" w:rsidRDefault="002954F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954F4">
              <w:rPr>
                <w:rFonts w:ascii="Arial" w:hAnsi="Arial" w:cs="Arial"/>
                <w:spacing w:val="4"/>
                <w:sz w:val="16"/>
                <w:szCs w:val="16"/>
              </w:rPr>
              <w:t>50</w:t>
            </w:r>
          </w:p>
        </w:tc>
        <w:tc>
          <w:tcPr>
            <w:tcW w:w="535" w:type="pct"/>
            <w:shd w:val="clear" w:color="auto" w:fill="F2F2F2"/>
            <w:vAlign w:val="center"/>
          </w:tcPr>
          <w:p w14:paraId="27A3AC0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4D0AF54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48D7723D" w14:textId="77777777" w:rsidTr="00AA7998">
        <w:tc>
          <w:tcPr>
            <w:tcW w:w="288" w:type="pct"/>
            <w:shd w:val="clear" w:color="auto" w:fill="F2F2F2"/>
            <w:vAlign w:val="center"/>
          </w:tcPr>
          <w:p w14:paraId="5C0AE50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7.</w:t>
            </w:r>
          </w:p>
        </w:tc>
        <w:tc>
          <w:tcPr>
            <w:tcW w:w="1297" w:type="pct"/>
            <w:shd w:val="clear" w:color="auto" w:fill="F2F2F2"/>
            <w:vAlign w:val="center"/>
          </w:tcPr>
          <w:p w14:paraId="2900904A"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Długość wybudowanej lub zmodernizowanej sieci ciepłowniczej</w:t>
            </w:r>
          </w:p>
        </w:tc>
        <w:tc>
          <w:tcPr>
            <w:tcW w:w="535" w:type="pct"/>
            <w:shd w:val="clear" w:color="auto" w:fill="F2F2F2"/>
            <w:vAlign w:val="center"/>
          </w:tcPr>
          <w:p w14:paraId="15AC257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km</w:t>
            </w:r>
          </w:p>
        </w:tc>
        <w:tc>
          <w:tcPr>
            <w:tcW w:w="534" w:type="pct"/>
            <w:shd w:val="clear" w:color="auto" w:fill="F2F2F2"/>
            <w:vAlign w:val="center"/>
          </w:tcPr>
          <w:p w14:paraId="082579F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20C462E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2913FD68" w14:textId="77777777" w:rsidR="004E3242" w:rsidRPr="004E3242" w:rsidRDefault="002954F4"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2954F4">
              <w:rPr>
                <w:rFonts w:ascii="Arial" w:hAnsi="Arial" w:cs="Arial"/>
                <w:spacing w:val="4"/>
                <w:sz w:val="16"/>
                <w:szCs w:val="16"/>
              </w:rPr>
              <w:t>160</w:t>
            </w:r>
          </w:p>
        </w:tc>
        <w:tc>
          <w:tcPr>
            <w:tcW w:w="535" w:type="pct"/>
            <w:shd w:val="clear" w:color="auto" w:fill="F2F2F2"/>
            <w:vAlign w:val="center"/>
          </w:tcPr>
          <w:p w14:paraId="7EED5A6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3" w:type="pct"/>
            <w:shd w:val="clear" w:color="auto" w:fill="F2F2F2"/>
            <w:vAlign w:val="center"/>
          </w:tcPr>
          <w:p w14:paraId="72B29A5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0C467364" w14:textId="77777777" w:rsidR="004E3242" w:rsidRPr="004E3242" w:rsidRDefault="004E3242" w:rsidP="004E3242">
      <w:pPr>
        <w:spacing w:after="240" w:line="280" w:lineRule="atLeast"/>
        <w:jc w:val="both"/>
        <w:rPr>
          <w:rFonts w:ascii="Arial" w:hAnsi="Arial" w:cs="Arial"/>
          <w:spacing w:val="4"/>
          <w:sz w:val="20"/>
          <w:szCs w:val="20"/>
        </w:rPr>
      </w:pPr>
    </w:p>
    <w:p w14:paraId="05C58605" w14:textId="77777777" w:rsidR="004E3242" w:rsidRPr="004E3242" w:rsidRDefault="004E3242" w:rsidP="004E3242">
      <w:pPr>
        <w:spacing w:after="240" w:line="280" w:lineRule="atLeast"/>
        <w:jc w:val="both"/>
        <w:rPr>
          <w:rFonts w:ascii="Arial" w:hAnsi="Arial" w:cs="Arial"/>
          <w:spacing w:val="4"/>
          <w:sz w:val="20"/>
          <w:szCs w:val="20"/>
        </w:rPr>
        <w:sectPr w:rsidR="004E3242" w:rsidRPr="004E3242" w:rsidSect="00C73ABE">
          <w:pgSz w:w="11906" w:h="16838"/>
          <w:pgMar w:top="1418" w:right="1418" w:bottom="1418" w:left="1418" w:header="709" w:footer="709" w:gutter="0"/>
          <w:cols w:space="708"/>
          <w:titlePg/>
          <w:docGrid w:linePitch="360"/>
        </w:sectPr>
      </w:pPr>
    </w:p>
    <w:p w14:paraId="05B31442"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Ramy wykonania</w:t>
      </w:r>
    </w:p>
    <w:tbl>
      <w:tblPr>
        <w:tblW w:w="495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58"/>
        <w:gridCol w:w="1678"/>
        <w:gridCol w:w="1985"/>
        <w:gridCol w:w="1044"/>
        <w:gridCol w:w="940"/>
        <w:gridCol w:w="992"/>
        <w:gridCol w:w="1275"/>
        <w:gridCol w:w="1391"/>
        <w:gridCol w:w="1160"/>
        <w:gridCol w:w="4194"/>
      </w:tblGrid>
      <w:tr w:rsidR="004E3242" w:rsidRPr="004E3242" w14:paraId="554FBEFC" w14:textId="77777777" w:rsidTr="00AA7998">
        <w:tc>
          <w:tcPr>
            <w:tcW w:w="183" w:type="pct"/>
            <w:shd w:val="clear" w:color="auto" w:fill="99CC00"/>
            <w:vAlign w:val="center"/>
          </w:tcPr>
          <w:p w14:paraId="421CE26C"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551" w:type="pct"/>
            <w:shd w:val="clear" w:color="auto" w:fill="99CC00"/>
            <w:vAlign w:val="center"/>
          </w:tcPr>
          <w:p w14:paraId="692716C8"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652" w:type="pct"/>
            <w:shd w:val="clear" w:color="auto" w:fill="99CC00"/>
            <w:vAlign w:val="center"/>
          </w:tcPr>
          <w:p w14:paraId="1BA1F6C9"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343" w:type="pct"/>
            <w:shd w:val="clear" w:color="auto" w:fill="99CC00"/>
            <w:vAlign w:val="center"/>
          </w:tcPr>
          <w:p w14:paraId="2F8547B9"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309" w:type="pct"/>
            <w:shd w:val="clear" w:color="auto" w:fill="99CC00"/>
            <w:vAlign w:val="center"/>
          </w:tcPr>
          <w:p w14:paraId="271D61B8"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326" w:type="pct"/>
            <w:shd w:val="clear" w:color="auto" w:fill="99CC00"/>
            <w:vAlign w:val="center"/>
          </w:tcPr>
          <w:p w14:paraId="2D3A9DB2"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19" w:type="pct"/>
            <w:shd w:val="clear" w:color="auto" w:fill="99CC00"/>
            <w:vAlign w:val="center"/>
          </w:tcPr>
          <w:p w14:paraId="3CC084F0"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457" w:type="pct"/>
            <w:shd w:val="clear" w:color="auto" w:fill="99CC00"/>
            <w:vAlign w:val="center"/>
          </w:tcPr>
          <w:p w14:paraId="40B8CBC5"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381" w:type="pct"/>
            <w:shd w:val="clear" w:color="auto" w:fill="99CC00"/>
            <w:vAlign w:val="center"/>
          </w:tcPr>
          <w:p w14:paraId="0C6E2394"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378" w:type="pct"/>
            <w:shd w:val="clear" w:color="auto" w:fill="99CC00"/>
            <w:vAlign w:val="center"/>
          </w:tcPr>
          <w:p w14:paraId="7857A487"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41DC246B" w14:textId="77777777" w:rsidTr="00AA7998">
        <w:tc>
          <w:tcPr>
            <w:tcW w:w="183" w:type="pct"/>
            <w:shd w:val="clear" w:color="auto" w:fill="F2F2F2"/>
            <w:vAlign w:val="center"/>
          </w:tcPr>
          <w:p w14:paraId="6F5EB1C5"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1.</w:t>
            </w:r>
          </w:p>
        </w:tc>
        <w:tc>
          <w:tcPr>
            <w:tcW w:w="551" w:type="pct"/>
            <w:shd w:val="clear" w:color="auto" w:fill="F2F2F2"/>
            <w:vAlign w:val="center"/>
          </w:tcPr>
          <w:p w14:paraId="1ED6C5CF"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Wskaźnik finansowy</w:t>
            </w:r>
          </w:p>
        </w:tc>
        <w:tc>
          <w:tcPr>
            <w:tcW w:w="652" w:type="pct"/>
            <w:shd w:val="clear" w:color="auto" w:fill="F2F2F2"/>
            <w:vAlign w:val="center"/>
          </w:tcPr>
          <w:p w14:paraId="306F57C3"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z w:val="16"/>
                <w:szCs w:val="16"/>
              </w:rPr>
              <w:t>Całkowita kwota certyfikowanych wydatków kwalifikowalnych</w:t>
            </w:r>
          </w:p>
        </w:tc>
        <w:tc>
          <w:tcPr>
            <w:tcW w:w="343" w:type="pct"/>
            <w:shd w:val="clear" w:color="auto" w:fill="F2F2F2"/>
            <w:vAlign w:val="center"/>
          </w:tcPr>
          <w:p w14:paraId="3A86AB3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EUR</w:t>
            </w:r>
          </w:p>
        </w:tc>
        <w:tc>
          <w:tcPr>
            <w:tcW w:w="309" w:type="pct"/>
            <w:shd w:val="clear" w:color="auto" w:fill="F2F2F2"/>
            <w:vAlign w:val="center"/>
          </w:tcPr>
          <w:p w14:paraId="5B62E226"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326" w:type="pct"/>
            <w:shd w:val="clear" w:color="auto" w:fill="F2F2F2"/>
            <w:vAlign w:val="center"/>
          </w:tcPr>
          <w:p w14:paraId="7B8ABA1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19" w:type="pct"/>
            <w:shd w:val="clear" w:color="auto" w:fill="F2F2F2"/>
            <w:vAlign w:val="center"/>
          </w:tcPr>
          <w:p w14:paraId="1412394F"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215 109 527</w:t>
            </w:r>
          </w:p>
        </w:tc>
        <w:tc>
          <w:tcPr>
            <w:tcW w:w="457" w:type="pct"/>
            <w:shd w:val="clear" w:color="auto" w:fill="F2F2F2"/>
            <w:vAlign w:val="center"/>
          </w:tcPr>
          <w:p w14:paraId="1A2D58A7"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2 151 095 269</w:t>
            </w:r>
          </w:p>
        </w:tc>
        <w:tc>
          <w:tcPr>
            <w:tcW w:w="381" w:type="pct"/>
            <w:shd w:val="clear" w:color="auto" w:fill="F2F2F2"/>
            <w:vAlign w:val="center"/>
          </w:tcPr>
          <w:p w14:paraId="58AEC70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378" w:type="pct"/>
            <w:shd w:val="clear" w:color="auto" w:fill="F2F2F2"/>
            <w:vAlign w:val="center"/>
          </w:tcPr>
          <w:p w14:paraId="44170308"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19B599B8" w14:textId="77777777" w:rsidTr="00AA7998">
        <w:tc>
          <w:tcPr>
            <w:tcW w:w="183" w:type="pct"/>
            <w:shd w:val="clear" w:color="auto" w:fill="F2F2F2"/>
            <w:vAlign w:val="center"/>
          </w:tcPr>
          <w:p w14:paraId="356E06E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2.</w:t>
            </w:r>
          </w:p>
        </w:tc>
        <w:tc>
          <w:tcPr>
            <w:tcW w:w="551" w:type="pct"/>
            <w:shd w:val="clear" w:color="auto" w:fill="F2F2F2"/>
            <w:vAlign w:val="center"/>
          </w:tcPr>
          <w:p w14:paraId="590B59DA"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Wskaźnik produktu</w:t>
            </w:r>
          </w:p>
        </w:tc>
        <w:tc>
          <w:tcPr>
            <w:tcW w:w="652" w:type="pct"/>
            <w:shd w:val="clear" w:color="auto" w:fill="F2F2F2"/>
            <w:vAlign w:val="center"/>
          </w:tcPr>
          <w:p w14:paraId="2382F828" w14:textId="77777777" w:rsidR="004E3242" w:rsidRPr="004E3242" w:rsidRDefault="004E3242" w:rsidP="004E3242">
            <w:pPr>
              <w:spacing w:before="40" w:after="40" w:line="240" w:lineRule="auto"/>
              <w:jc w:val="both"/>
              <w:rPr>
                <w:rFonts w:ascii="Arial" w:hAnsi="Arial" w:cs="Arial"/>
                <w:strike/>
                <w:spacing w:val="4"/>
                <w:sz w:val="16"/>
                <w:szCs w:val="16"/>
              </w:rPr>
            </w:pPr>
            <w:r w:rsidRPr="004E3242">
              <w:rPr>
                <w:rFonts w:ascii="Arial" w:hAnsi="Arial" w:cs="Arial"/>
                <w:spacing w:val="4"/>
                <w:sz w:val="16"/>
                <w:szCs w:val="16"/>
              </w:rPr>
              <w:t>Liczba przedsiębiorstw otrzymujących wsparcie</w:t>
            </w:r>
          </w:p>
        </w:tc>
        <w:tc>
          <w:tcPr>
            <w:tcW w:w="343" w:type="pct"/>
            <w:shd w:val="clear" w:color="auto" w:fill="F2F2F2"/>
            <w:vAlign w:val="center"/>
          </w:tcPr>
          <w:p w14:paraId="7276E8F3"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309" w:type="pct"/>
            <w:shd w:val="clear" w:color="auto" w:fill="F2F2F2"/>
            <w:vAlign w:val="center"/>
          </w:tcPr>
          <w:p w14:paraId="56D3AAF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326" w:type="pct"/>
            <w:shd w:val="clear" w:color="auto" w:fill="F2F2F2"/>
            <w:vAlign w:val="center"/>
          </w:tcPr>
          <w:p w14:paraId="1153775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19" w:type="pct"/>
            <w:shd w:val="clear" w:color="auto" w:fill="F2F2F2"/>
            <w:vAlign w:val="center"/>
          </w:tcPr>
          <w:p w14:paraId="4A170141" w14:textId="77777777" w:rsidR="004E3242" w:rsidRPr="004E3242" w:rsidRDefault="004E3242" w:rsidP="004E3242">
            <w:pPr>
              <w:spacing w:before="40" w:after="40" w:line="240" w:lineRule="auto"/>
              <w:jc w:val="center"/>
              <w:rPr>
                <w:rFonts w:ascii="Arial" w:hAnsi="Arial" w:cs="Arial"/>
                <w:strike/>
                <w:spacing w:val="4"/>
                <w:sz w:val="16"/>
                <w:szCs w:val="16"/>
              </w:rPr>
            </w:pPr>
            <w:r w:rsidRPr="004E3242">
              <w:rPr>
                <w:rFonts w:ascii="Arial" w:hAnsi="Arial" w:cs="Arial"/>
                <w:strike/>
                <w:spacing w:val="4"/>
                <w:sz w:val="16"/>
                <w:szCs w:val="16"/>
              </w:rPr>
              <w:t>-</w:t>
            </w:r>
          </w:p>
        </w:tc>
        <w:tc>
          <w:tcPr>
            <w:tcW w:w="457" w:type="pct"/>
            <w:shd w:val="clear" w:color="auto" w:fill="F2F2F2"/>
            <w:vAlign w:val="center"/>
          </w:tcPr>
          <w:p w14:paraId="6F97E59D" w14:textId="77777777" w:rsidR="004E3242" w:rsidRPr="004E3242" w:rsidRDefault="005E7A41" w:rsidP="004D179B">
            <w:pPr>
              <w:spacing w:before="40" w:after="40" w:line="240" w:lineRule="auto"/>
              <w:jc w:val="center"/>
              <w:rPr>
                <w:rFonts w:ascii="Arial" w:hAnsi="Arial" w:cs="Arial"/>
                <w:spacing w:val="4"/>
                <w:sz w:val="16"/>
                <w:szCs w:val="16"/>
                <w:highlight w:val="yellow"/>
              </w:rPr>
            </w:pPr>
            <w:r>
              <w:rPr>
                <w:rFonts w:ascii="Arial" w:hAnsi="Arial" w:cs="Arial"/>
                <w:spacing w:val="4"/>
                <w:sz w:val="16"/>
                <w:szCs w:val="16"/>
              </w:rPr>
              <w:t xml:space="preserve"> </w:t>
            </w:r>
            <w:r w:rsidR="004D179B">
              <w:rPr>
                <w:rFonts w:ascii="Arial" w:hAnsi="Arial" w:cs="Arial"/>
                <w:spacing w:val="4"/>
                <w:sz w:val="16"/>
                <w:szCs w:val="16"/>
              </w:rPr>
              <w:t>122</w:t>
            </w:r>
          </w:p>
        </w:tc>
        <w:tc>
          <w:tcPr>
            <w:tcW w:w="381" w:type="pct"/>
            <w:shd w:val="clear" w:color="auto" w:fill="F2F2F2"/>
            <w:vAlign w:val="center"/>
          </w:tcPr>
          <w:p w14:paraId="3150B16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378" w:type="pct"/>
            <w:shd w:val="clear" w:color="auto" w:fill="F2F2F2"/>
            <w:vAlign w:val="center"/>
          </w:tcPr>
          <w:p w14:paraId="7FB33999" w14:textId="77777777" w:rsidR="004E3242" w:rsidRPr="004E3242" w:rsidRDefault="004E3242" w:rsidP="004E3242">
            <w:pPr>
              <w:spacing w:before="40" w:after="40" w:line="240" w:lineRule="auto"/>
              <w:jc w:val="both"/>
              <w:rPr>
                <w:rFonts w:ascii="Arial" w:hAnsi="Arial" w:cs="Arial"/>
                <w:spacing w:val="4"/>
                <w:sz w:val="16"/>
                <w:szCs w:val="16"/>
                <w:highlight w:val="yellow"/>
              </w:rPr>
            </w:pPr>
            <w:r w:rsidRPr="004E3242">
              <w:rPr>
                <w:rFonts w:ascii="Arial" w:hAnsi="Arial" w:cs="Arial"/>
                <w:spacing w:val="4"/>
                <w:sz w:val="16"/>
                <w:szCs w:val="16"/>
              </w:rPr>
              <w:t>Dany wskaźnik jest najbardziej reprezentatywnym wskaźnikiem dla osi, należy do grupy tzw. wskaźników wspólnych (</w:t>
            </w:r>
            <w:proofErr w:type="spellStart"/>
            <w:r w:rsidRPr="004E3242">
              <w:rPr>
                <w:rFonts w:ascii="Arial" w:hAnsi="Arial" w:cs="Arial"/>
                <w:i/>
                <w:spacing w:val="4"/>
                <w:sz w:val="16"/>
                <w:szCs w:val="16"/>
              </w:rPr>
              <w:t>common</w:t>
            </w:r>
            <w:proofErr w:type="spellEnd"/>
            <w:r w:rsidRPr="004E3242">
              <w:rPr>
                <w:rFonts w:ascii="Arial" w:hAnsi="Arial" w:cs="Arial"/>
                <w:i/>
                <w:spacing w:val="4"/>
                <w:sz w:val="16"/>
                <w:szCs w:val="16"/>
              </w:rPr>
              <w:t xml:space="preserve"> </w:t>
            </w:r>
            <w:proofErr w:type="spellStart"/>
            <w:r w:rsidRPr="004E3242">
              <w:rPr>
                <w:rFonts w:ascii="Arial" w:hAnsi="Arial" w:cs="Arial"/>
                <w:i/>
                <w:spacing w:val="4"/>
                <w:sz w:val="16"/>
                <w:szCs w:val="16"/>
              </w:rPr>
              <w:t>indicators</w:t>
            </w:r>
            <w:proofErr w:type="spellEnd"/>
            <w:r w:rsidRPr="004E3242">
              <w:rPr>
                <w:rFonts w:ascii="Arial" w:hAnsi="Arial" w:cs="Arial"/>
                <w:spacing w:val="4"/>
                <w:sz w:val="16"/>
                <w:szCs w:val="16"/>
              </w:rPr>
              <w:t>) i dotyczy priorytetów inwestycyjnych 4.ii., 4.iv., 4.v. i 4.vi. reprezentujących większość alokacji osi.</w:t>
            </w:r>
          </w:p>
        </w:tc>
      </w:tr>
      <w:tr w:rsidR="004E3242" w:rsidRPr="004E3242" w14:paraId="0712B807" w14:textId="77777777" w:rsidTr="00AA7998">
        <w:tc>
          <w:tcPr>
            <w:tcW w:w="183" w:type="pct"/>
            <w:shd w:val="clear" w:color="auto" w:fill="F2F2F2"/>
            <w:vAlign w:val="center"/>
          </w:tcPr>
          <w:p w14:paraId="66D6FA7D"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3.</w:t>
            </w:r>
          </w:p>
        </w:tc>
        <w:tc>
          <w:tcPr>
            <w:tcW w:w="551" w:type="pct"/>
            <w:shd w:val="clear" w:color="auto" w:fill="F2F2F2"/>
            <w:vAlign w:val="center"/>
          </w:tcPr>
          <w:p w14:paraId="605474A9"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Kluczowy etap wdrożeniowy</w:t>
            </w:r>
          </w:p>
        </w:tc>
        <w:tc>
          <w:tcPr>
            <w:tcW w:w="652" w:type="pct"/>
            <w:shd w:val="clear" w:color="auto" w:fill="F2F2F2"/>
            <w:vAlign w:val="center"/>
          </w:tcPr>
          <w:p w14:paraId="230C5CC6"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Liczba przedsiębiorstw otrzymujących wsparcie wg zawartych umów o dofinansowanie</w:t>
            </w:r>
          </w:p>
        </w:tc>
        <w:tc>
          <w:tcPr>
            <w:tcW w:w="343" w:type="pct"/>
            <w:shd w:val="clear" w:color="auto" w:fill="F2F2F2"/>
            <w:vAlign w:val="center"/>
          </w:tcPr>
          <w:p w14:paraId="2C4FE88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309" w:type="pct"/>
            <w:shd w:val="clear" w:color="auto" w:fill="F2F2F2"/>
            <w:vAlign w:val="center"/>
          </w:tcPr>
          <w:p w14:paraId="10995426"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FS</w:t>
            </w:r>
          </w:p>
        </w:tc>
        <w:tc>
          <w:tcPr>
            <w:tcW w:w="326" w:type="pct"/>
            <w:shd w:val="clear" w:color="auto" w:fill="F2F2F2"/>
            <w:vAlign w:val="center"/>
          </w:tcPr>
          <w:p w14:paraId="653DF0FF"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19" w:type="pct"/>
            <w:shd w:val="clear" w:color="auto" w:fill="F2F2F2"/>
            <w:vAlign w:val="center"/>
          </w:tcPr>
          <w:p w14:paraId="14535383"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30</w:t>
            </w:r>
          </w:p>
        </w:tc>
        <w:tc>
          <w:tcPr>
            <w:tcW w:w="457" w:type="pct"/>
            <w:shd w:val="clear" w:color="auto" w:fill="F2F2F2"/>
            <w:vAlign w:val="center"/>
          </w:tcPr>
          <w:p w14:paraId="5BB77924"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w:t>
            </w:r>
          </w:p>
        </w:tc>
        <w:tc>
          <w:tcPr>
            <w:tcW w:w="381" w:type="pct"/>
            <w:shd w:val="clear" w:color="auto" w:fill="F2F2F2"/>
            <w:vAlign w:val="center"/>
          </w:tcPr>
          <w:p w14:paraId="28AF4EE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378" w:type="pct"/>
            <w:shd w:val="clear" w:color="auto" w:fill="F2F2F2"/>
            <w:vAlign w:val="center"/>
          </w:tcPr>
          <w:p w14:paraId="6872617C"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Zawarcie umów o dofinansowanie z częścią beneficjentów stanowi istotny etap realizacji zobowiązań osi.</w:t>
            </w:r>
          </w:p>
        </w:tc>
      </w:tr>
    </w:tbl>
    <w:p w14:paraId="742AA02F" w14:textId="77777777" w:rsidR="004E3242" w:rsidRPr="004E3242" w:rsidRDefault="004E3242" w:rsidP="004E3242">
      <w:pPr>
        <w:spacing w:after="120" w:line="280" w:lineRule="atLeast"/>
        <w:jc w:val="both"/>
        <w:rPr>
          <w:rFonts w:ascii="Arial" w:hAnsi="Arial" w:cs="Arial"/>
          <w:spacing w:val="4"/>
          <w:sz w:val="20"/>
          <w:szCs w:val="20"/>
        </w:rPr>
      </w:pPr>
    </w:p>
    <w:p w14:paraId="22501B65"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Kategorie Interwencji (EUR)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957"/>
        <w:gridCol w:w="2836"/>
        <w:gridCol w:w="528"/>
        <w:gridCol w:w="236"/>
        <w:gridCol w:w="1081"/>
        <w:gridCol w:w="1637"/>
        <w:gridCol w:w="467"/>
        <w:gridCol w:w="556"/>
        <w:gridCol w:w="1115"/>
        <w:gridCol w:w="1517"/>
        <w:gridCol w:w="553"/>
        <w:gridCol w:w="2094"/>
        <w:gridCol w:w="1557"/>
        <w:gridCol w:w="218"/>
      </w:tblGrid>
      <w:tr w:rsidR="004E3242" w:rsidRPr="004E3242" w14:paraId="7A96C9AB" w14:textId="77777777" w:rsidTr="00922D2B">
        <w:trPr>
          <w:gridAfter w:val="1"/>
          <w:wAfter w:w="71" w:type="pct"/>
          <w:trHeight w:val="209"/>
        </w:trPr>
        <w:tc>
          <w:tcPr>
            <w:tcW w:w="1235" w:type="pct"/>
            <w:gridSpan w:val="2"/>
            <w:shd w:val="clear" w:color="auto" w:fill="99CC00"/>
          </w:tcPr>
          <w:p w14:paraId="7637AFF4"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Obszar interwencji</w:t>
            </w:r>
          </w:p>
        </w:tc>
        <w:tc>
          <w:tcPr>
            <w:tcW w:w="172" w:type="pct"/>
            <w:shd w:val="clear" w:color="auto" w:fill="FFFFFF"/>
          </w:tcPr>
          <w:p w14:paraId="516621AB"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1114" w:type="pct"/>
            <w:gridSpan w:val="4"/>
            <w:shd w:val="clear" w:color="auto" w:fill="99CC00"/>
          </w:tcPr>
          <w:p w14:paraId="56268B0A"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Forma finansowania</w:t>
            </w:r>
          </w:p>
        </w:tc>
        <w:tc>
          <w:tcPr>
            <w:tcW w:w="181" w:type="pct"/>
            <w:shd w:val="clear" w:color="auto" w:fill="FFFFFF"/>
          </w:tcPr>
          <w:p w14:paraId="1FB0EA62"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857" w:type="pct"/>
            <w:gridSpan w:val="2"/>
            <w:shd w:val="clear" w:color="auto" w:fill="99CC00"/>
          </w:tcPr>
          <w:p w14:paraId="611C6CB8"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Terytorium</w:t>
            </w:r>
          </w:p>
        </w:tc>
        <w:tc>
          <w:tcPr>
            <w:tcW w:w="180" w:type="pct"/>
            <w:shd w:val="clear" w:color="auto" w:fill="FFFFFF"/>
          </w:tcPr>
          <w:p w14:paraId="1A83B4C0"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1189" w:type="pct"/>
            <w:gridSpan w:val="2"/>
            <w:shd w:val="clear" w:color="auto" w:fill="99CC00"/>
          </w:tcPr>
          <w:p w14:paraId="49B9DE6D"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Mechanizmy realizacji wymiaru terytorialnego</w:t>
            </w:r>
          </w:p>
        </w:tc>
      </w:tr>
      <w:tr w:rsidR="004E3242" w:rsidRPr="004E3242" w14:paraId="5C0B6022" w14:textId="77777777" w:rsidTr="00AA7998">
        <w:trPr>
          <w:gridAfter w:val="1"/>
          <w:wAfter w:w="71" w:type="pct"/>
          <w:trHeight w:val="186"/>
        </w:trPr>
        <w:tc>
          <w:tcPr>
            <w:tcW w:w="312" w:type="pct"/>
            <w:shd w:val="clear" w:color="auto" w:fill="99CC00"/>
          </w:tcPr>
          <w:p w14:paraId="05C3AFAB"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924" w:type="pct"/>
            <w:shd w:val="clear" w:color="auto" w:fill="99CC00"/>
          </w:tcPr>
          <w:p w14:paraId="3F36E10D"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72" w:type="pct"/>
            <w:shd w:val="clear" w:color="auto" w:fill="FFFFFF"/>
          </w:tcPr>
          <w:p w14:paraId="376496D3"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429" w:type="pct"/>
            <w:gridSpan w:val="2"/>
            <w:shd w:val="clear" w:color="auto" w:fill="99CC00"/>
          </w:tcPr>
          <w:p w14:paraId="28FAF418"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685" w:type="pct"/>
            <w:gridSpan w:val="2"/>
            <w:shd w:val="clear" w:color="auto" w:fill="99CC00"/>
          </w:tcPr>
          <w:p w14:paraId="3E731596"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81" w:type="pct"/>
            <w:shd w:val="clear" w:color="auto" w:fill="FFFFFF"/>
          </w:tcPr>
          <w:p w14:paraId="600FDF4D"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363" w:type="pct"/>
            <w:shd w:val="clear" w:color="auto" w:fill="99CC00"/>
          </w:tcPr>
          <w:p w14:paraId="5BF67592"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494" w:type="pct"/>
            <w:shd w:val="clear" w:color="auto" w:fill="99CC00"/>
          </w:tcPr>
          <w:p w14:paraId="190951C3"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80" w:type="pct"/>
            <w:shd w:val="clear" w:color="auto" w:fill="FFFFFF"/>
          </w:tcPr>
          <w:p w14:paraId="159252A6"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682" w:type="pct"/>
            <w:shd w:val="clear" w:color="auto" w:fill="99CC00"/>
          </w:tcPr>
          <w:p w14:paraId="2979759C"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507" w:type="pct"/>
            <w:shd w:val="clear" w:color="auto" w:fill="99CC00"/>
          </w:tcPr>
          <w:p w14:paraId="33A1AA34"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r>
      <w:tr w:rsidR="00922D2B" w:rsidRPr="004E3242" w14:paraId="23F40E27" w14:textId="77777777" w:rsidTr="00AA7998">
        <w:trPr>
          <w:gridAfter w:val="1"/>
          <w:wAfter w:w="71" w:type="pct"/>
          <w:trHeight w:val="147"/>
        </w:trPr>
        <w:tc>
          <w:tcPr>
            <w:tcW w:w="312" w:type="pct"/>
            <w:shd w:val="clear" w:color="auto" w:fill="F2F2F2"/>
          </w:tcPr>
          <w:p w14:paraId="3B73F0FD"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005</w:t>
            </w:r>
          </w:p>
        </w:tc>
        <w:tc>
          <w:tcPr>
            <w:tcW w:w="924" w:type="pct"/>
            <w:shd w:val="clear" w:color="auto" w:fill="F2F2F2"/>
          </w:tcPr>
          <w:p w14:paraId="69F0DE51"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105 000 000</w:t>
            </w:r>
          </w:p>
        </w:tc>
        <w:tc>
          <w:tcPr>
            <w:tcW w:w="172" w:type="pct"/>
            <w:shd w:val="clear" w:color="auto" w:fill="FFFFFF"/>
          </w:tcPr>
          <w:p w14:paraId="588DC368" w14:textId="77777777" w:rsidR="00922D2B" w:rsidRPr="004E3242" w:rsidRDefault="00922D2B" w:rsidP="00922D2B">
            <w:pPr>
              <w:suppressAutoHyphens/>
              <w:spacing w:before="40" w:after="40" w:line="240" w:lineRule="auto"/>
              <w:jc w:val="center"/>
              <w:rPr>
                <w:rFonts w:ascii="Arial" w:hAnsi="Arial" w:cs="Arial"/>
                <w:sz w:val="16"/>
                <w:szCs w:val="16"/>
              </w:rPr>
            </w:pPr>
          </w:p>
        </w:tc>
        <w:tc>
          <w:tcPr>
            <w:tcW w:w="429" w:type="pct"/>
            <w:gridSpan w:val="2"/>
            <w:shd w:val="clear" w:color="auto" w:fill="F2F2F2"/>
          </w:tcPr>
          <w:p w14:paraId="518E61E5" w14:textId="77777777" w:rsidR="00922D2B" w:rsidRPr="004E3242" w:rsidRDefault="00922D2B" w:rsidP="00922D2B">
            <w:pPr>
              <w:suppressAutoHyphens/>
              <w:spacing w:before="40" w:after="40" w:line="240" w:lineRule="auto"/>
              <w:jc w:val="center"/>
              <w:rPr>
                <w:rFonts w:ascii="Arial" w:hAnsi="Arial" w:cs="Arial"/>
                <w:sz w:val="16"/>
                <w:szCs w:val="16"/>
              </w:rPr>
            </w:pPr>
            <w:r w:rsidRPr="004E3242">
              <w:rPr>
                <w:rFonts w:ascii="Arial" w:hAnsi="Arial" w:cs="Arial"/>
                <w:sz w:val="16"/>
                <w:szCs w:val="16"/>
              </w:rPr>
              <w:t>01</w:t>
            </w:r>
          </w:p>
        </w:tc>
        <w:tc>
          <w:tcPr>
            <w:tcW w:w="685" w:type="pct"/>
            <w:gridSpan w:val="2"/>
            <w:shd w:val="clear" w:color="auto" w:fill="F2F2F2"/>
          </w:tcPr>
          <w:p w14:paraId="5E4E645B"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sz w:val="16"/>
                <w:szCs w:val="16"/>
              </w:rPr>
              <w:t xml:space="preserve">1 257 087 014    </w:t>
            </w:r>
          </w:p>
        </w:tc>
        <w:tc>
          <w:tcPr>
            <w:tcW w:w="181" w:type="pct"/>
            <w:shd w:val="clear" w:color="auto" w:fill="FFFFFF"/>
          </w:tcPr>
          <w:p w14:paraId="006CF2EB" w14:textId="77777777" w:rsidR="00922D2B" w:rsidRPr="004E3242" w:rsidRDefault="00922D2B" w:rsidP="00922D2B">
            <w:pPr>
              <w:suppressAutoHyphens/>
              <w:spacing w:before="40" w:after="40" w:line="240" w:lineRule="auto"/>
              <w:jc w:val="center"/>
              <w:rPr>
                <w:rFonts w:ascii="Arial" w:hAnsi="Arial" w:cs="Arial"/>
                <w:sz w:val="16"/>
                <w:szCs w:val="16"/>
              </w:rPr>
            </w:pPr>
          </w:p>
        </w:tc>
        <w:tc>
          <w:tcPr>
            <w:tcW w:w="363" w:type="pct"/>
            <w:shd w:val="clear" w:color="auto" w:fill="F2F2F2"/>
          </w:tcPr>
          <w:p w14:paraId="6EAFDE83" w14:textId="77777777" w:rsidR="00922D2B" w:rsidRPr="004E3242" w:rsidRDefault="00922D2B" w:rsidP="00922D2B">
            <w:pPr>
              <w:suppressAutoHyphens/>
              <w:spacing w:before="40" w:after="40" w:line="240" w:lineRule="auto"/>
              <w:jc w:val="center"/>
              <w:rPr>
                <w:rFonts w:ascii="Arial" w:hAnsi="Arial" w:cs="Arial"/>
                <w:sz w:val="16"/>
                <w:szCs w:val="16"/>
              </w:rPr>
            </w:pPr>
            <w:r w:rsidRPr="004E3242">
              <w:rPr>
                <w:rFonts w:ascii="Arial" w:hAnsi="Arial" w:cs="Arial"/>
                <w:sz w:val="16"/>
                <w:szCs w:val="16"/>
              </w:rPr>
              <w:t>07</w:t>
            </w:r>
          </w:p>
        </w:tc>
        <w:tc>
          <w:tcPr>
            <w:tcW w:w="494" w:type="pct"/>
            <w:shd w:val="clear" w:color="auto" w:fill="F2F2F2"/>
          </w:tcPr>
          <w:p w14:paraId="6BF829D2"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color w:val="000000"/>
                <w:sz w:val="16"/>
                <w:szCs w:val="16"/>
              </w:rPr>
              <w:t xml:space="preserve">1 828 430 978    </w:t>
            </w:r>
          </w:p>
        </w:tc>
        <w:tc>
          <w:tcPr>
            <w:tcW w:w="180" w:type="pct"/>
            <w:shd w:val="clear" w:color="auto" w:fill="FFFFFF"/>
          </w:tcPr>
          <w:p w14:paraId="2A6947C4" w14:textId="77777777" w:rsidR="00922D2B" w:rsidRPr="004E3242" w:rsidRDefault="00922D2B" w:rsidP="00922D2B">
            <w:pPr>
              <w:suppressAutoHyphens/>
              <w:spacing w:before="40" w:after="40" w:line="240" w:lineRule="auto"/>
              <w:jc w:val="center"/>
              <w:rPr>
                <w:rFonts w:ascii="Arial" w:hAnsi="Arial" w:cs="Arial"/>
                <w:sz w:val="16"/>
                <w:szCs w:val="16"/>
              </w:rPr>
            </w:pPr>
          </w:p>
        </w:tc>
        <w:tc>
          <w:tcPr>
            <w:tcW w:w="682" w:type="pct"/>
            <w:shd w:val="clear" w:color="auto" w:fill="F2F2F2"/>
          </w:tcPr>
          <w:p w14:paraId="23F2E207" w14:textId="77777777" w:rsidR="00922D2B" w:rsidRPr="004E3242" w:rsidRDefault="00922D2B" w:rsidP="00922D2B">
            <w:pPr>
              <w:suppressAutoHyphens/>
              <w:spacing w:before="40" w:after="40" w:line="240" w:lineRule="auto"/>
              <w:jc w:val="center"/>
              <w:rPr>
                <w:rFonts w:ascii="Arial" w:hAnsi="Arial" w:cs="Arial"/>
                <w:sz w:val="16"/>
                <w:szCs w:val="16"/>
              </w:rPr>
            </w:pPr>
            <w:r w:rsidRPr="004E3242">
              <w:rPr>
                <w:rFonts w:ascii="Arial" w:hAnsi="Arial" w:cs="Arial"/>
                <w:sz w:val="16"/>
                <w:szCs w:val="16"/>
              </w:rPr>
              <w:t>07</w:t>
            </w:r>
          </w:p>
        </w:tc>
        <w:tc>
          <w:tcPr>
            <w:tcW w:w="507" w:type="pct"/>
            <w:shd w:val="clear" w:color="auto" w:fill="F2F2F2"/>
          </w:tcPr>
          <w:p w14:paraId="37D5E662"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color w:val="000000"/>
                <w:sz w:val="16"/>
                <w:szCs w:val="16"/>
              </w:rPr>
              <w:t xml:space="preserve">1 828 430 978    </w:t>
            </w:r>
          </w:p>
        </w:tc>
      </w:tr>
      <w:tr w:rsidR="00922D2B" w:rsidRPr="004E3242" w14:paraId="645FC3AD" w14:textId="77777777" w:rsidTr="00AA7998">
        <w:trPr>
          <w:gridAfter w:val="1"/>
          <w:wAfter w:w="71" w:type="pct"/>
          <w:trHeight w:val="110"/>
        </w:trPr>
        <w:tc>
          <w:tcPr>
            <w:tcW w:w="312" w:type="pct"/>
            <w:shd w:val="clear" w:color="auto" w:fill="F2F2F2"/>
          </w:tcPr>
          <w:p w14:paraId="64CFABC2"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006</w:t>
            </w:r>
          </w:p>
        </w:tc>
        <w:tc>
          <w:tcPr>
            <w:tcW w:w="924" w:type="pct"/>
            <w:shd w:val="clear" w:color="auto" w:fill="F2F2F2"/>
          </w:tcPr>
          <w:p w14:paraId="0DFD1728"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45 000 000</w:t>
            </w:r>
          </w:p>
        </w:tc>
        <w:tc>
          <w:tcPr>
            <w:tcW w:w="172" w:type="pct"/>
            <w:shd w:val="clear" w:color="auto" w:fill="FFFFFF"/>
          </w:tcPr>
          <w:p w14:paraId="416E1FAA" w14:textId="77777777" w:rsidR="00922D2B" w:rsidRPr="004E3242" w:rsidRDefault="00922D2B" w:rsidP="00922D2B">
            <w:pPr>
              <w:suppressAutoHyphens/>
              <w:spacing w:before="40" w:after="40" w:line="240" w:lineRule="auto"/>
              <w:jc w:val="center"/>
              <w:rPr>
                <w:rFonts w:ascii="Arial" w:hAnsi="Arial" w:cs="Arial"/>
                <w:sz w:val="16"/>
                <w:szCs w:val="16"/>
              </w:rPr>
            </w:pPr>
          </w:p>
        </w:tc>
        <w:tc>
          <w:tcPr>
            <w:tcW w:w="429" w:type="pct"/>
            <w:gridSpan w:val="2"/>
            <w:shd w:val="clear" w:color="auto" w:fill="F2F2F2"/>
          </w:tcPr>
          <w:p w14:paraId="38C19732" w14:textId="77777777" w:rsidR="00922D2B" w:rsidRPr="004E3242" w:rsidRDefault="00922D2B" w:rsidP="00922D2B">
            <w:pPr>
              <w:suppressAutoHyphens/>
              <w:spacing w:before="40" w:after="40" w:line="240" w:lineRule="auto"/>
              <w:jc w:val="center"/>
              <w:rPr>
                <w:rFonts w:ascii="Arial" w:hAnsi="Arial" w:cs="Arial"/>
                <w:sz w:val="16"/>
                <w:szCs w:val="16"/>
              </w:rPr>
            </w:pPr>
            <w:r>
              <w:rPr>
                <w:rFonts w:ascii="Arial" w:hAnsi="Arial" w:cs="Arial"/>
                <w:sz w:val="16"/>
                <w:szCs w:val="16"/>
              </w:rPr>
              <w:t>02</w:t>
            </w:r>
          </w:p>
        </w:tc>
        <w:tc>
          <w:tcPr>
            <w:tcW w:w="685" w:type="pct"/>
            <w:gridSpan w:val="2"/>
            <w:shd w:val="clear" w:color="auto" w:fill="F2F2F2"/>
          </w:tcPr>
          <w:p w14:paraId="75D23C37"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sz w:val="16"/>
                <w:szCs w:val="16"/>
              </w:rPr>
              <w:t>571 343</w:t>
            </w:r>
            <w:r>
              <w:rPr>
                <w:rFonts w:ascii="Arial" w:hAnsi="Arial" w:cs="Arial"/>
                <w:sz w:val="16"/>
                <w:szCs w:val="16"/>
              </w:rPr>
              <w:t> </w:t>
            </w:r>
            <w:r w:rsidRPr="004E3242">
              <w:rPr>
                <w:rFonts w:ascii="Arial" w:hAnsi="Arial" w:cs="Arial"/>
                <w:sz w:val="16"/>
                <w:szCs w:val="16"/>
              </w:rPr>
              <w:t xml:space="preserve">964    </w:t>
            </w:r>
          </w:p>
        </w:tc>
        <w:tc>
          <w:tcPr>
            <w:tcW w:w="181" w:type="pct"/>
            <w:shd w:val="clear" w:color="auto" w:fill="FFFFFF"/>
          </w:tcPr>
          <w:p w14:paraId="1D5D0F21" w14:textId="77777777" w:rsidR="00922D2B" w:rsidRPr="004E3242" w:rsidRDefault="00922D2B" w:rsidP="00922D2B">
            <w:pPr>
              <w:suppressAutoHyphens/>
              <w:spacing w:before="40" w:after="40" w:line="240" w:lineRule="auto"/>
              <w:jc w:val="center"/>
              <w:rPr>
                <w:rFonts w:ascii="Arial" w:hAnsi="Arial" w:cs="Arial"/>
                <w:b/>
                <w:color w:val="FFFFFF"/>
                <w:sz w:val="16"/>
                <w:szCs w:val="16"/>
              </w:rPr>
            </w:pPr>
          </w:p>
        </w:tc>
        <w:tc>
          <w:tcPr>
            <w:tcW w:w="363" w:type="pct"/>
            <w:shd w:val="clear" w:color="auto" w:fill="D6E3BC"/>
          </w:tcPr>
          <w:p w14:paraId="161A364A" w14:textId="77777777" w:rsidR="00922D2B" w:rsidRPr="004E3242" w:rsidRDefault="00922D2B" w:rsidP="00922D2B">
            <w:pPr>
              <w:suppressAutoHyphens/>
              <w:spacing w:before="40" w:after="40" w:line="240" w:lineRule="auto"/>
              <w:jc w:val="center"/>
              <w:rPr>
                <w:rFonts w:ascii="Arial" w:hAnsi="Arial" w:cs="Arial"/>
                <w:sz w:val="16"/>
                <w:szCs w:val="16"/>
              </w:rPr>
            </w:pPr>
            <w:r w:rsidRPr="004E3242">
              <w:rPr>
                <w:rFonts w:ascii="Arial" w:hAnsi="Arial" w:cs="Arial"/>
                <w:sz w:val="16"/>
                <w:szCs w:val="16"/>
              </w:rPr>
              <w:t>Razem</w:t>
            </w:r>
          </w:p>
        </w:tc>
        <w:tc>
          <w:tcPr>
            <w:tcW w:w="494" w:type="pct"/>
            <w:shd w:val="clear" w:color="auto" w:fill="D6E3BC"/>
          </w:tcPr>
          <w:p w14:paraId="06A16B6F"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sz w:val="16"/>
                <w:szCs w:val="16"/>
              </w:rPr>
              <w:t xml:space="preserve">1 828 430 978    </w:t>
            </w:r>
          </w:p>
        </w:tc>
        <w:tc>
          <w:tcPr>
            <w:tcW w:w="180" w:type="pct"/>
            <w:shd w:val="clear" w:color="auto" w:fill="FFFFFF"/>
          </w:tcPr>
          <w:p w14:paraId="79A33DCA" w14:textId="77777777" w:rsidR="00922D2B" w:rsidRPr="004E3242" w:rsidRDefault="00922D2B" w:rsidP="00922D2B">
            <w:pPr>
              <w:suppressAutoHyphens/>
              <w:spacing w:before="40" w:after="40" w:line="240" w:lineRule="auto"/>
              <w:jc w:val="center"/>
              <w:rPr>
                <w:rFonts w:ascii="Arial" w:hAnsi="Arial" w:cs="Arial"/>
                <w:b/>
                <w:color w:val="FFFFFF"/>
                <w:sz w:val="16"/>
                <w:szCs w:val="16"/>
              </w:rPr>
            </w:pPr>
          </w:p>
        </w:tc>
        <w:tc>
          <w:tcPr>
            <w:tcW w:w="682" w:type="pct"/>
            <w:shd w:val="clear" w:color="auto" w:fill="D6E3BC"/>
          </w:tcPr>
          <w:p w14:paraId="06865EA1" w14:textId="77777777" w:rsidR="00922D2B" w:rsidRPr="004E3242" w:rsidRDefault="00922D2B" w:rsidP="00922D2B">
            <w:pPr>
              <w:suppressAutoHyphens/>
              <w:spacing w:before="40" w:after="40" w:line="240" w:lineRule="auto"/>
              <w:jc w:val="center"/>
              <w:rPr>
                <w:rFonts w:ascii="Arial" w:hAnsi="Arial" w:cs="Arial"/>
                <w:sz w:val="16"/>
                <w:szCs w:val="16"/>
              </w:rPr>
            </w:pPr>
            <w:r w:rsidRPr="004E3242">
              <w:rPr>
                <w:rFonts w:ascii="Arial" w:hAnsi="Arial" w:cs="Arial"/>
                <w:sz w:val="16"/>
                <w:szCs w:val="16"/>
              </w:rPr>
              <w:t>Razem</w:t>
            </w:r>
          </w:p>
        </w:tc>
        <w:tc>
          <w:tcPr>
            <w:tcW w:w="507" w:type="pct"/>
            <w:shd w:val="clear" w:color="auto" w:fill="D6E3BC"/>
          </w:tcPr>
          <w:p w14:paraId="6BE8FDDC"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color w:val="000000"/>
                <w:sz w:val="16"/>
                <w:szCs w:val="16"/>
              </w:rPr>
              <w:t xml:space="preserve">1 828 430 978    </w:t>
            </w:r>
          </w:p>
        </w:tc>
      </w:tr>
      <w:tr w:rsidR="00922D2B" w:rsidRPr="004E3242" w14:paraId="6F1B9725" w14:textId="77777777" w:rsidTr="00AA7998">
        <w:trPr>
          <w:gridAfter w:val="1"/>
          <w:wAfter w:w="71" w:type="pct"/>
          <w:trHeight w:val="228"/>
        </w:trPr>
        <w:tc>
          <w:tcPr>
            <w:tcW w:w="312" w:type="pct"/>
            <w:shd w:val="clear" w:color="auto" w:fill="F2F2F2"/>
          </w:tcPr>
          <w:p w14:paraId="48E2AD46"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009</w:t>
            </w:r>
          </w:p>
        </w:tc>
        <w:tc>
          <w:tcPr>
            <w:tcW w:w="924" w:type="pct"/>
            <w:shd w:val="clear" w:color="auto" w:fill="F2F2F2"/>
          </w:tcPr>
          <w:p w14:paraId="3B1E1FB6"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60 000 000</w:t>
            </w:r>
          </w:p>
        </w:tc>
        <w:tc>
          <w:tcPr>
            <w:tcW w:w="172" w:type="pct"/>
            <w:shd w:val="clear" w:color="auto" w:fill="FFFFFF"/>
          </w:tcPr>
          <w:p w14:paraId="0DB35553" w14:textId="77777777" w:rsidR="00922D2B" w:rsidRPr="004E3242" w:rsidRDefault="00922D2B" w:rsidP="00922D2B">
            <w:pPr>
              <w:spacing w:before="40" w:after="40" w:line="240" w:lineRule="auto"/>
              <w:jc w:val="center"/>
              <w:rPr>
                <w:rFonts w:ascii="Arial" w:hAnsi="Arial" w:cs="Arial"/>
                <w:b/>
                <w:color w:val="FFFFFF"/>
                <w:sz w:val="16"/>
                <w:szCs w:val="16"/>
              </w:rPr>
            </w:pPr>
          </w:p>
        </w:tc>
        <w:tc>
          <w:tcPr>
            <w:tcW w:w="429" w:type="pct"/>
            <w:gridSpan w:val="2"/>
            <w:shd w:val="clear" w:color="auto" w:fill="D6E3BC"/>
          </w:tcPr>
          <w:p w14:paraId="33DCFA37"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sz w:val="16"/>
                <w:szCs w:val="16"/>
              </w:rPr>
              <w:t>Razem</w:t>
            </w:r>
          </w:p>
        </w:tc>
        <w:tc>
          <w:tcPr>
            <w:tcW w:w="685" w:type="pct"/>
            <w:gridSpan w:val="2"/>
            <w:shd w:val="clear" w:color="auto" w:fill="D6E3BC"/>
          </w:tcPr>
          <w:p w14:paraId="3F77D823" w14:textId="77777777" w:rsidR="00922D2B" w:rsidRPr="004E3242" w:rsidRDefault="00922D2B" w:rsidP="00922D2B">
            <w:pPr>
              <w:spacing w:before="40" w:after="40" w:line="240" w:lineRule="auto"/>
              <w:jc w:val="center"/>
              <w:rPr>
                <w:rFonts w:ascii="Arial" w:hAnsi="Arial" w:cs="Arial"/>
                <w:sz w:val="16"/>
                <w:szCs w:val="16"/>
              </w:rPr>
            </w:pPr>
            <w:r w:rsidRPr="004E3242">
              <w:rPr>
                <w:rFonts w:ascii="Arial" w:hAnsi="Arial" w:cs="Arial"/>
                <w:sz w:val="16"/>
                <w:szCs w:val="16"/>
              </w:rPr>
              <w:t xml:space="preserve">1 828 430 978    </w:t>
            </w:r>
          </w:p>
        </w:tc>
        <w:tc>
          <w:tcPr>
            <w:tcW w:w="181" w:type="pct"/>
            <w:shd w:val="clear" w:color="auto" w:fill="FFFFFF"/>
          </w:tcPr>
          <w:p w14:paraId="73AB8D7B" w14:textId="77777777" w:rsidR="00922D2B" w:rsidRPr="004E3242" w:rsidRDefault="00922D2B" w:rsidP="00922D2B">
            <w:pPr>
              <w:spacing w:before="40" w:after="40" w:line="240" w:lineRule="auto"/>
              <w:jc w:val="center"/>
              <w:rPr>
                <w:rFonts w:ascii="Arial" w:hAnsi="Arial" w:cs="Arial"/>
                <w:b/>
                <w:sz w:val="16"/>
                <w:szCs w:val="16"/>
              </w:rPr>
            </w:pPr>
          </w:p>
        </w:tc>
        <w:tc>
          <w:tcPr>
            <w:tcW w:w="363" w:type="pct"/>
            <w:shd w:val="clear" w:color="auto" w:fill="FFFFFF"/>
          </w:tcPr>
          <w:p w14:paraId="175F8E90" w14:textId="77777777" w:rsidR="00922D2B" w:rsidRPr="004E3242" w:rsidRDefault="00922D2B" w:rsidP="00922D2B">
            <w:pPr>
              <w:spacing w:before="40" w:after="40" w:line="240" w:lineRule="auto"/>
              <w:jc w:val="center"/>
              <w:rPr>
                <w:rFonts w:ascii="Arial" w:hAnsi="Arial" w:cs="Arial"/>
                <w:b/>
                <w:sz w:val="16"/>
                <w:szCs w:val="16"/>
              </w:rPr>
            </w:pPr>
          </w:p>
        </w:tc>
        <w:tc>
          <w:tcPr>
            <w:tcW w:w="494" w:type="pct"/>
            <w:shd w:val="clear" w:color="auto" w:fill="FFFFFF"/>
          </w:tcPr>
          <w:p w14:paraId="47ECECEC" w14:textId="77777777" w:rsidR="00922D2B" w:rsidRPr="004E3242" w:rsidRDefault="00922D2B" w:rsidP="00922D2B">
            <w:pPr>
              <w:spacing w:before="40" w:after="40" w:line="240" w:lineRule="auto"/>
              <w:jc w:val="center"/>
              <w:rPr>
                <w:rFonts w:ascii="Arial" w:hAnsi="Arial" w:cs="Arial"/>
                <w:b/>
                <w:sz w:val="16"/>
                <w:szCs w:val="16"/>
              </w:rPr>
            </w:pPr>
          </w:p>
        </w:tc>
        <w:tc>
          <w:tcPr>
            <w:tcW w:w="180" w:type="pct"/>
            <w:shd w:val="clear" w:color="auto" w:fill="FFFFFF"/>
          </w:tcPr>
          <w:p w14:paraId="674A05EE" w14:textId="77777777" w:rsidR="00922D2B" w:rsidRPr="004E3242" w:rsidRDefault="00922D2B" w:rsidP="00922D2B">
            <w:pPr>
              <w:spacing w:before="40" w:after="40" w:line="240" w:lineRule="auto"/>
              <w:jc w:val="center"/>
              <w:rPr>
                <w:rFonts w:ascii="Arial" w:hAnsi="Arial" w:cs="Arial"/>
                <w:b/>
                <w:sz w:val="16"/>
                <w:szCs w:val="16"/>
              </w:rPr>
            </w:pPr>
          </w:p>
        </w:tc>
        <w:tc>
          <w:tcPr>
            <w:tcW w:w="682" w:type="pct"/>
            <w:shd w:val="clear" w:color="auto" w:fill="FFFFFF"/>
          </w:tcPr>
          <w:p w14:paraId="1DD26064" w14:textId="77777777" w:rsidR="00922D2B" w:rsidRPr="004E3242" w:rsidRDefault="00922D2B" w:rsidP="00922D2B">
            <w:pPr>
              <w:spacing w:before="40" w:after="40" w:line="240" w:lineRule="auto"/>
              <w:jc w:val="center"/>
              <w:rPr>
                <w:rFonts w:ascii="Arial" w:hAnsi="Arial" w:cs="Arial"/>
                <w:b/>
                <w:sz w:val="16"/>
                <w:szCs w:val="16"/>
              </w:rPr>
            </w:pPr>
          </w:p>
        </w:tc>
        <w:tc>
          <w:tcPr>
            <w:tcW w:w="507" w:type="pct"/>
            <w:shd w:val="clear" w:color="auto" w:fill="FFFFFF"/>
          </w:tcPr>
          <w:p w14:paraId="2AC8A982" w14:textId="77777777" w:rsidR="00922D2B" w:rsidRPr="004E3242" w:rsidRDefault="00922D2B" w:rsidP="00922D2B">
            <w:pPr>
              <w:spacing w:before="40" w:after="40" w:line="240" w:lineRule="auto"/>
              <w:jc w:val="center"/>
              <w:rPr>
                <w:rFonts w:ascii="Arial" w:hAnsi="Arial" w:cs="Arial"/>
                <w:b/>
                <w:sz w:val="16"/>
                <w:szCs w:val="16"/>
              </w:rPr>
            </w:pPr>
          </w:p>
        </w:tc>
      </w:tr>
      <w:tr w:rsidR="00922D2B" w:rsidRPr="004E3242" w14:paraId="2B318A0B" w14:textId="77777777" w:rsidTr="00922D2B">
        <w:trPr>
          <w:trHeight w:val="189"/>
        </w:trPr>
        <w:tc>
          <w:tcPr>
            <w:tcW w:w="312" w:type="pct"/>
            <w:shd w:val="clear" w:color="auto" w:fill="F2F2F2"/>
          </w:tcPr>
          <w:p w14:paraId="10826C1E"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010</w:t>
            </w:r>
          </w:p>
        </w:tc>
        <w:tc>
          <w:tcPr>
            <w:tcW w:w="924" w:type="pct"/>
            <w:shd w:val="clear" w:color="auto" w:fill="F2F2F2"/>
          </w:tcPr>
          <w:p w14:paraId="767A702B"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6 000 000</w:t>
            </w:r>
          </w:p>
        </w:tc>
        <w:tc>
          <w:tcPr>
            <w:tcW w:w="172" w:type="pct"/>
            <w:shd w:val="clear" w:color="auto" w:fill="FFFFFF"/>
          </w:tcPr>
          <w:p w14:paraId="522E2771"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4FAC03C6"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1519A816"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val="restart"/>
            <w:shd w:val="clear" w:color="auto" w:fill="FFFFFF"/>
          </w:tcPr>
          <w:p w14:paraId="14520FB7"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049174A8" w14:textId="77777777" w:rsidTr="00922D2B">
        <w:trPr>
          <w:trHeight w:val="166"/>
        </w:trPr>
        <w:tc>
          <w:tcPr>
            <w:tcW w:w="312" w:type="pct"/>
            <w:shd w:val="clear" w:color="auto" w:fill="F2F2F2"/>
          </w:tcPr>
          <w:p w14:paraId="26898211"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011</w:t>
            </w:r>
          </w:p>
        </w:tc>
        <w:tc>
          <w:tcPr>
            <w:tcW w:w="924" w:type="pct"/>
            <w:shd w:val="clear" w:color="auto" w:fill="F2F2F2"/>
          </w:tcPr>
          <w:p w14:paraId="044F9741"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75 000 000</w:t>
            </w:r>
          </w:p>
        </w:tc>
        <w:tc>
          <w:tcPr>
            <w:tcW w:w="172" w:type="pct"/>
            <w:shd w:val="clear" w:color="auto" w:fill="FFFFFF"/>
          </w:tcPr>
          <w:p w14:paraId="7C6A3A41"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1249BECF"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3229D3F5"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09B51FCB"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75BCFE29" w14:textId="77777777" w:rsidTr="00922D2B">
        <w:trPr>
          <w:trHeight w:val="127"/>
        </w:trPr>
        <w:tc>
          <w:tcPr>
            <w:tcW w:w="312" w:type="pct"/>
            <w:shd w:val="clear" w:color="auto" w:fill="F2F2F2"/>
          </w:tcPr>
          <w:p w14:paraId="5B351690"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012</w:t>
            </w:r>
          </w:p>
        </w:tc>
        <w:tc>
          <w:tcPr>
            <w:tcW w:w="924" w:type="pct"/>
            <w:shd w:val="clear" w:color="auto" w:fill="F2F2F2"/>
          </w:tcPr>
          <w:p w14:paraId="1EAF81BC"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9 000 000</w:t>
            </w:r>
          </w:p>
        </w:tc>
        <w:tc>
          <w:tcPr>
            <w:tcW w:w="172" w:type="pct"/>
            <w:shd w:val="clear" w:color="auto" w:fill="FFFFFF"/>
          </w:tcPr>
          <w:p w14:paraId="4E10C098"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73B96301"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2A180AC3"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776195CE"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651CFBBB" w14:textId="77777777" w:rsidTr="00922D2B">
        <w:trPr>
          <w:trHeight w:val="104"/>
        </w:trPr>
        <w:tc>
          <w:tcPr>
            <w:tcW w:w="312" w:type="pct"/>
            <w:shd w:val="clear" w:color="auto" w:fill="F2F2F2"/>
          </w:tcPr>
          <w:p w14:paraId="6E6F74AF"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013</w:t>
            </w:r>
          </w:p>
        </w:tc>
        <w:tc>
          <w:tcPr>
            <w:tcW w:w="924" w:type="pct"/>
            <w:shd w:val="clear" w:color="auto" w:fill="F2F2F2"/>
          </w:tcPr>
          <w:p w14:paraId="44DC5F46"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180 700 000</w:t>
            </w:r>
          </w:p>
        </w:tc>
        <w:tc>
          <w:tcPr>
            <w:tcW w:w="172" w:type="pct"/>
            <w:shd w:val="clear" w:color="auto" w:fill="FFFFFF"/>
          </w:tcPr>
          <w:p w14:paraId="553FEA74"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10123ECF"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2700366F"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4E3512BF"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2E30CAEE" w14:textId="77777777" w:rsidTr="00922D2B">
        <w:trPr>
          <w:trHeight w:val="80"/>
        </w:trPr>
        <w:tc>
          <w:tcPr>
            <w:tcW w:w="312" w:type="pct"/>
            <w:shd w:val="clear" w:color="auto" w:fill="F2F2F2"/>
          </w:tcPr>
          <w:p w14:paraId="23F226AD"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014</w:t>
            </w:r>
          </w:p>
        </w:tc>
        <w:tc>
          <w:tcPr>
            <w:tcW w:w="924" w:type="pct"/>
            <w:shd w:val="clear" w:color="auto" w:fill="F2F2F2"/>
          </w:tcPr>
          <w:p w14:paraId="1BC28A59"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271 021 043</w:t>
            </w:r>
          </w:p>
        </w:tc>
        <w:tc>
          <w:tcPr>
            <w:tcW w:w="172" w:type="pct"/>
            <w:shd w:val="clear" w:color="auto" w:fill="FFFFFF"/>
          </w:tcPr>
          <w:p w14:paraId="11424776"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36BC2627"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6B10670E"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6F4E6976"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55FF786B" w14:textId="77777777" w:rsidTr="00922D2B">
        <w:trPr>
          <w:trHeight w:val="184"/>
        </w:trPr>
        <w:tc>
          <w:tcPr>
            <w:tcW w:w="312" w:type="pct"/>
            <w:shd w:val="clear" w:color="auto" w:fill="F2F2F2"/>
          </w:tcPr>
          <w:p w14:paraId="20E5D811"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015</w:t>
            </w:r>
          </w:p>
        </w:tc>
        <w:tc>
          <w:tcPr>
            <w:tcW w:w="924" w:type="pct"/>
            <w:shd w:val="clear" w:color="auto" w:fill="F2F2F2"/>
          </w:tcPr>
          <w:p w14:paraId="2C9EC238"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102 044 334</w:t>
            </w:r>
          </w:p>
        </w:tc>
        <w:tc>
          <w:tcPr>
            <w:tcW w:w="172" w:type="pct"/>
            <w:shd w:val="clear" w:color="auto" w:fill="FFFFFF"/>
          </w:tcPr>
          <w:p w14:paraId="618DA11A"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116A5C95"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386E7674"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00C30E12"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1758261D" w14:textId="77777777" w:rsidTr="00922D2B">
        <w:trPr>
          <w:trHeight w:val="159"/>
        </w:trPr>
        <w:tc>
          <w:tcPr>
            <w:tcW w:w="312" w:type="pct"/>
            <w:shd w:val="clear" w:color="auto" w:fill="F2F2F2"/>
          </w:tcPr>
          <w:p w14:paraId="44BB7D55"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016</w:t>
            </w:r>
          </w:p>
        </w:tc>
        <w:tc>
          <w:tcPr>
            <w:tcW w:w="924" w:type="pct"/>
            <w:shd w:val="clear" w:color="auto" w:fill="F2F2F2"/>
          </w:tcPr>
          <w:p w14:paraId="67C410B9"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524 342 680</w:t>
            </w:r>
          </w:p>
        </w:tc>
        <w:tc>
          <w:tcPr>
            <w:tcW w:w="172" w:type="pct"/>
            <w:shd w:val="clear" w:color="auto" w:fill="FFFFFF"/>
          </w:tcPr>
          <w:p w14:paraId="67C28A28"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2D3B1186"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4E1C1839"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26DA14AE"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47DE97B3" w14:textId="77777777" w:rsidTr="00922D2B">
        <w:trPr>
          <w:trHeight w:val="189"/>
        </w:trPr>
        <w:tc>
          <w:tcPr>
            <w:tcW w:w="312" w:type="pct"/>
            <w:shd w:val="clear" w:color="auto" w:fill="F2F2F2"/>
          </w:tcPr>
          <w:p w14:paraId="2BBAE447"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070</w:t>
            </w:r>
          </w:p>
        </w:tc>
        <w:tc>
          <w:tcPr>
            <w:tcW w:w="924" w:type="pct"/>
            <w:shd w:val="clear" w:color="auto" w:fill="F2F2F2"/>
          </w:tcPr>
          <w:p w14:paraId="3BD4450B"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150 322 921</w:t>
            </w:r>
          </w:p>
        </w:tc>
        <w:tc>
          <w:tcPr>
            <w:tcW w:w="172" w:type="pct"/>
            <w:shd w:val="clear" w:color="auto" w:fill="FFFFFF"/>
          </w:tcPr>
          <w:p w14:paraId="59699B40"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4375C170"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178AC1B4"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4135CBF7" w14:textId="77777777" w:rsidR="00922D2B" w:rsidRPr="004E3242" w:rsidRDefault="00922D2B" w:rsidP="00922D2B">
            <w:pPr>
              <w:spacing w:before="40" w:after="40" w:line="240" w:lineRule="auto"/>
              <w:jc w:val="center"/>
              <w:rPr>
                <w:rFonts w:ascii="Arial" w:hAnsi="Arial" w:cs="Arial"/>
                <w:sz w:val="16"/>
                <w:szCs w:val="16"/>
              </w:rPr>
            </w:pPr>
          </w:p>
        </w:tc>
      </w:tr>
      <w:tr w:rsidR="00922D2B" w:rsidRPr="004E3242" w14:paraId="0D892B62" w14:textId="77777777" w:rsidTr="00922D2B">
        <w:trPr>
          <w:trHeight w:val="189"/>
        </w:trPr>
        <w:tc>
          <w:tcPr>
            <w:tcW w:w="312" w:type="pct"/>
            <w:shd w:val="clear" w:color="auto" w:fill="F2F2F2"/>
          </w:tcPr>
          <w:p w14:paraId="416E871E" w14:textId="77777777" w:rsidR="00922D2B" w:rsidRPr="004E3242" w:rsidRDefault="00922D2B" w:rsidP="00922D2B">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083</w:t>
            </w:r>
          </w:p>
        </w:tc>
        <w:tc>
          <w:tcPr>
            <w:tcW w:w="924" w:type="pct"/>
            <w:shd w:val="clear" w:color="auto" w:fill="F2F2F2"/>
          </w:tcPr>
          <w:p w14:paraId="4842629D" w14:textId="77777777" w:rsidR="00922D2B" w:rsidRPr="00922D2B" w:rsidRDefault="00922D2B" w:rsidP="00922D2B">
            <w:pPr>
              <w:spacing w:before="40" w:after="40" w:line="240" w:lineRule="auto"/>
              <w:jc w:val="center"/>
              <w:rPr>
                <w:rFonts w:ascii="Arial" w:hAnsi="Arial" w:cs="Arial"/>
                <w:color w:val="000000"/>
                <w:sz w:val="16"/>
                <w:szCs w:val="16"/>
              </w:rPr>
            </w:pPr>
            <w:r w:rsidRPr="00922D2B">
              <w:rPr>
                <w:rFonts w:ascii="Arial" w:hAnsi="Arial" w:cs="Arial"/>
                <w:color w:val="000000"/>
                <w:sz w:val="16"/>
                <w:szCs w:val="16"/>
              </w:rPr>
              <w:t xml:space="preserve">300 000 000   </w:t>
            </w:r>
          </w:p>
        </w:tc>
        <w:tc>
          <w:tcPr>
            <w:tcW w:w="172" w:type="pct"/>
            <w:shd w:val="clear" w:color="auto" w:fill="FFFFFF"/>
          </w:tcPr>
          <w:p w14:paraId="35CDFD46" w14:textId="77777777" w:rsidR="00922D2B" w:rsidRPr="004E3242" w:rsidRDefault="00922D2B" w:rsidP="00922D2B">
            <w:pPr>
              <w:spacing w:before="40" w:after="40" w:line="240" w:lineRule="auto"/>
              <w:jc w:val="center"/>
              <w:rPr>
                <w:rFonts w:ascii="Arial" w:hAnsi="Arial" w:cs="Arial"/>
                <w:sz w:val="16"/>
                <w:szCs w:val="16"/>
              </w:rPr>
            </w:pPr>
          </w:p>
        </w:tc>
        <w:tc>
          <w:tcPr>
            <w:tcW w:w="77" w:type="pct"/>
            <w:shd w:val="clear" w:color="auto" w:fill="FFFFFF"/>
          </w:tcPr>
          <w:p w14:paraId="3A7A30E9" w14:textId="77777777" w:rsidR="00922D2B" w:rsidRPr="004E3242" w:rsidRDefault="00922D2B" w:rsidP="00922D2B">
            <w:pPr>
              <w:spacing w:before="40" w:after="40" w:line="240" w:lineRule="auto"/>
              <w:jc w:val="center"/>
              <w:rPr>
                <w:rFonts w:ascii="Arial" w:hAnsi="Arial" w:cs="Arial"/>
                <w:sz w:val="16"/>
                <w:szCs w:val="16"/>
              </w:rPr>
            </w:pPr>
          </w:p>
        </w:tc>
        <w:tc>
          <w:tcPr>
            <w:tcW w:w="885" w:type="pct"/>
            <w:gridSpan w:val="2"/>
            <w:shd w:val="clear" w:color="auto" w:fill="FFFFFF"/>
          </w:tcPr>
          <w:p w14:paraId="7CB3233F" w14:textId="77777777" w:rsidR="00922D2B" w:rsidRPr="004E3242" w:rsidRDefault="00922D2B" w:rsidP="00922D2B">
            <w:pPr>
              <w:spacing w:before="40" w:after="40" w:line="240" w:lineRule="auto"/>
              <w:jc w:val="center"/>
              <w:rPr>
                <w:rFonts w:ascii="Arial" w:hAnsi="Arial" w:cs="Arial"/>
                <w:sz w:val="16"/>
                <w:szCs w:val="16"/>
              </w:rPr>
            </w:pPr>
          </w:p>
        </w:tc>
        <w:tc>
          <w:tcPr>
            <w:tcW w:w="2631" w:type="pct"/>
            <w:gridSpan w:val="8"/>
            <w:vMerge/>
            <w:shd w:val="clear" w:color="auto" w:fill="FFFFFF"/>
          </w:tcPr>
          <w:p w14:paraId="7F5C2876" w14:textId="77777777" w:rsidR="00922D2B" w:rsidRPr="004E3242" w:rsidRDefault="00922D2B" w:rsidP="00922D2B">
            <w:pPr>
              <w:spacing w:before="40" w:after="40" w:line="240" w:lineRule="auto"/>
              <w:jc w:val="center"/>
              <w:rPr>
                <w:rFonts w:ascii="Arial" w:hAnsi="Arial" w:cs="Arial"/>
                <w:sz w:val="16"/>
                <w:szCs w:val="16"/>
              </w:rPr>
            </w:pPr>
          </w:p>
        </w:tc>
      </w:tr>
      <w:tr w:rsidR="004E3242" w:rsidRPr="004E3242" w14:paraId="2371E63B" w14:textId="77777777" w:rsidTr="00922D2B">
        <w:trPr>
          <w:trHeight w:val="60"/>
        </w:trPr>
        <w:tc>
          <w:tcPr>
            <w:tcW w:w="312" w:type="pct"/>
            <w:shd w:val="clear" w:color="auto" w:fill="D6E3BC"/>
          </w:tcPr>
          <w:p w14:paraId="62521375"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Razem</w:t>
            </w:r>
          </w:p>
        </w:tc>
        <w:tc>
          <w:tcPr>
            <w:tcW w:w="924" w:type="pct"/>
            <w:shd w:val="clear" w:color="auto" w:fill="D6E3BC"/>
          </w:tcPr>
          <w:p w14:paraId="01C16CF0" w14:textId="77777777" w:rsidR="004E3242" w:rsidRPr="00922D2B" w:rsidRDefault="004E3242" w:rsidP="004E3242">
            <w:pPr>
              <w:spacing w:before="40" w:after="40" w:line="240" w:lineRule="auto"/>
              <w:jc w:val="center"/>
              <w:rPr>
                <w:rFonts w:ascii="Arial" w:hAnsi="Arial" w:cs="Arial"/>
                <w:sz w:val="16"/>
                <w:szCs w:val="16"/>
              </w:rPr>
            </w:pPr>
            <w:r w:rsidRPr="00922D2B">
              <w:rPr>
                <w:rFonts w:ascii="Arial" w:hAnsi="Arial" w:cs="Arial"/>
                <w:sz w:val="16"/>
                <w:szCs w:val="16"/>
              </w:rPr>
              <w:t xml:space="preserve">1 828 430 978    </w:t>
            </w:r>
          </w:p>
        </w:tc>
        <w:tc>
          <w:tcPr>
            <w:tcW w:w="172" w:type="pct"/>
            <w:shd w:val="clear" w:color="auto" w:fill="FFFFFF"/>
          </w:tcPr>
          <w:p w14:paraId="747CE935" w14:textId="77777777" w:rsidR="004E3242" w:rsidRPr="004E3242" w:rsidRDefault="004E3242" w:rsidP="004E3242">
            <w:pPr>
              <w:spacing w:before="40" w:after="40" w:line="240" w:lineRule="auto"/>
              <w:jc w:val="center"/>
              <w:rPr>
                <w:rFonts w:ascii="Arial" w:hAnsi="Arial" w:cs="Arial"/>
                <w:sz w:val="16"/>
                <w:szCs w:val="16"/>
              </w:rPr>
            </w:pPr>
          </w:p>
        </w:tc>
        <w:tc>
          <w:tcPr>
            <w:tcW w:w="77" w:type="pct"/>
            <w:shd w:val="clear" w:color="auto" w:fill="FFFFFF"/>
          </w:tcPr>
          <w:p w14:paraId="770B9508" w14:textId="77777777" w:rsidR="004E3242" w:rsidRPr="004E3242" w:rsidRDefault="004E3242" w:rsidP="004E3242">
            <w:pPr>
              <w:spacing w:before="40" w:after="40" w:line="240" w:lineRule="auto"/>
              <w:jc w:val="center"/>
              <w:rPr>
                <w:rFonts w:ascii="Arial" w:hAnsi="Arial" w:cs="Arial"/>
                <w:sz w:val="16"/>
                <w:szCs w:val="16"/>
              </w:rPr>
            </w:pPr>
          </w:p>
        </w:tc>
        <w:tc>
          <w:tcPr>
            <w:tcW w:w="885" w:type="pct"/>
            <w:gridSpan w:val="2"/>
            <w:shd w:val="clear" w:color="auto" w:fill="FFFFFF"/>
          </w:tcPr>
          <w:p w14:paraId="126151B7" w14:textId="77777777" w:rsidR="004E3242" w:rsidRPr="004E3242" w:rsidRDefault="004E3242" w:rsidP="004E3242">
            <w:pPr>
              <w:spacing w:before="40" w:after="40" w:line="240" w:lineRule="auto"/>
              <w:jc w:val="center"/>
              <w:rPr>
                <w:rFonts w:ascii="Arial" w:hAnsi="Arial" w:cs="Arial"/>
                <w:sz w:val="16"/>
                <w:szCs w:val="16"/>
              </w:rPr>
            </w:pPr>
          </w:p>
        </w:tc>
        <w:tc>
          <w:tcPr>
            <w:tcW w:w="2631" w:type="pct"/>
            <w:gridSpan w:val="8"/>
            <w:vMerge/>
            <w:shd w:val="clear" w:color="auto" w:fill="FFFFFF"/>
          </w:tcPr>
          <w:p w14:paraId="3A888C0F" w14:textId="77777777" w:rsidR="004E3242" w:rsidRPr="004E3242" w:rsidRDefault="004E3242" w:rsidP="004E3242">
            <w:pPr>
              <w:spacing w:before="40" w:after="40" w:line="240" w:lineRule="auto"/>
              <w:jc w:val="center"/>
              <w:rPr>
                <w:rFonts w:ascii="Arial" w:hAnsi="Arial" w:cs="Arial"/>
                <w:sz w:val="16"/>
                <w:szCs w:val="16"/>
              </w:rPr>
            </w:pPr>
          </w:p>
        </w:tc>
      </w:tr>
    </w:tbl>
    <w:p w14:paraId="639A238C" w14:textId="77777777" w:rsidR="004E3242" w:rsidRPr="004E3242" w:rsidRDefault="004E3242" w:rsidP="004E3242">
      <w:pPr>
        <w:spacing w:before="40" w:after="40" w:line="240" w:lineRule="auto"/>
        <w:jc w:val="both"/>
        <w:rPr>
          <w:rFonts w:ascii="Arial" w:hAnsi="Arial" w:cs="Arial"/>
          <w:b/>
          <w:spacing w:val="4"/>
          <w:sz w:val="20"/>
          <w:szCs w:val="20"/>
        </w:rPr>
        <w:sectPr w:rsidR="004E3242" w:rsidRPr="004E3242" w:rsidSect="00C73ABE">
          <w:pgSz w:w="16838" w:h="11906" w:orient="landscape"/>
          <w:pgMar w:top="1134" w:right="851" w:bottom="1134" w:left="851" w:header="709" w:footer="709" w:gutter="0"/>
          <w:cols w:space="708"/>
          <w:titlePg/>
          <w:docGrid w:linePitch="360"/>
        </w:sectPr>
      </w:pPr>
    </w:p>
    <w:p w14:paraId="2B52A1F4" w14:textId="77777777" w:rsidR="004E3242" w:rsidRPr="004E3242" w:rsidRDefault="004E3242" w:rsidP="004E3242">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380" w:name="_Toc375208273"/>
      <w:bookmarkStart w:id="381" w:name="_Toc375299827"/>
      <w:bookmarkStart w:id="382" w:name="_Toc375308881"/>
      <w:bookmarkStart w:id="383" w:name="_Toc375208274"/>
      <w:bookmarkStart w:id="384" w:name="_Toc375299828"/>
      <w:bookmarkStart w:id="385" w:name="_Toc375308882"/>
      <w:bookmarkStart w:id="386" w:name="_Toc369696160"/>
      <w:bookmarkStart w:id="387" w:name="_Toc83810563"/>
      <w:bookmarkEnd w:id="380"/>
      <w:bookmarkEnd w:id="381"/>
      <w:bookmarkEnd w:id="382"/>
      <w:bookmarkEnd w:id="383"/>
      <w:bookmarkEnd w:id="384"/>
      <w:bookmarkEnd w:id="385"/>
      <w:r w:rsidRPr="004E3242">
        <w:rPr>
          <w:rFonts w:ascii="Arial" w:hAnsi="Arial"/>
          <w:smallCaps/>
          <w:color w:val="000000"/>
          <w:spacing w:val="15"/>
          <w:sz w:val="24"/>
          <w:szCs w:val="24"/>
          <w:u w:color="A8C743"/>
          <w:lang w:eastAsia="pl-PL"/>
        </w:rPr>
        <w:lastRenderedPageBreak/>
        <w:t>Oś priorytetowa ii: ochrona środowiska, w tym adaptacja do zmian klimatu</w:t>
      </w:r>
      <w:bookmarkEnd w:id="386"/>
      <w:bookmarkEnd w:id="387"/>
    </w:p>
    <w:p w14:paraId="1C1BDD4B"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pacing w:val="4"/>
          <w:sz w:val="20"/>
          <w:szCs w:val="20"/>
        </w:rPr>
        <w:t xml:space="preserve">W ramach osi II. połączono priorytety inwestycyjne z dwóch celów tematycznych 5. i 6., </w:t>
      </w:r>
      <w:r w:rsidRPr="004E3242">
        <w:rPr>
          <w:rFonts w:ascii="Arial" w:hAnsi="Arial" w:cs="Arial"/>
          <w:spacing w:val="4"/>
          <w:sz w:val="20"/>
          <w:szCs w:val="20"/>
        </w:rPr>
        <w:br/>
        <w:t xml:space="preserve">tj. </w:t>
      </w:r>
      <w:r w:rsidRPr="004E3242">
        <w:rPr>
          <w:rFonts w:ascii="Arial" w:hAnsi="Arial" w:cs="Arial"/>
          <w:i/>
          <w:iCs/>
          <w:spacing w:val="4"/>
          <w:sz w:val="20"/>
          <w:szCs w:val="20"/>
        </w:rPr>
        <w:t>Promowanie dostosowania do zmian klimatu, zapobiegania ryzyku i zarządzania ryzykiem</w:t>
      </w:r>
      <w:r w:rsidRPr="004E3242">
        <w:rPr>
          <w:rFonts w:ascii="Arial" w:hAnsi="Arial" w:cs="Arial"/>
          <w:spacing w:val="4"/>
          <w:sz w:val="20"/>
          <w:szCs w:val="20"/>
        </w:rPr>
        <w:t xml:space="preserve"> oraz </w:t>
      </w:r>
      <w:r w:rsidRPr="004E3242">
        <w:rPr>
          <w:rFonts w:ascii="Arial" w:hAnsi="Arial" w:cs="Arial"/>
          <w:i/>
          <w:iCs/>
          <w:color w:val="000000"/>
          <w:sz w:val="20"/>
          <w:szCs w:val="20"/>
        </w:rPr>
        <w:t>Zachowanie i ochrona środowiska oraz promowanie efektywnego gospodarowania zasobami</w:t>
      </w:r>
      <w:r w:rsidRPr="004E3242">
        <w:rPr>
          <w:rFonts w:ascii="Arial" w:hAnsi="Arial" w:cs="Arial"/>
          <w:spacing w:val="4"/>
          <w:sz w:val="20"/>
          <w:szCs w:val="20"/>
        </w:rPr>
        <w:t xml:space="preserve">. Integracja w jednej osi działań infrastrukturalnych i innych działań </w:t>
      </w:r>
      <w:proofErr w:type="spellStart"/>
      <w:r w:rsidRPr="004E3242">
        <w:rPr>
          <w:rFonts w:ascii="Arial" w:hAnsi="Arial" w:cs="Arial"/>
          <w:spacing w:val="4"/>
          <w:sz w:val="20"/>
          <w:szCs w:val="20"/>
        </w:rPr>
        <w:t>prośrodowiskowych</w:t>
      </w:r>
      <w:proofErr w:type="spellEnd"/>
      <w:r w:rsidRPr="004E3242">
        <w:rPr>
          <w:rFonts w:ascii="Arial" w:hAnsi="Arial" w:cs="Arial"/>
          <w:spacing w:val="4"/>
          <w:sz w:val="20"/>
          <w:szCs w:val="20"/>
        </w:rPr>
        <w:t xml:space="preserve">, w tym związanych z adaptacją do zmian klimatu, zapewni spójność planowania i wdrażania projektów, </w:t>
      </w:r>
      <w:r w:rsidRPr="004E3242">
        <w:rPr>
          <w:rFonts w:ascii="Arial" w:hAnsi="Arial" w:cs="Arial"/>
          <w:spacing w:val="4"/>
          <w:sz w:val="20"/>
          <w:szCs w:val="20"/>
        </w:rPr>
        <w:br/>
        <w:t xml:space="preserve">oraz przyczyni się do lepszego osiągania założonych celów niż miałoby to miejsce w przypadku odrębnych osi priorytetowych. </w:t>
      </w:r>
      <w:r w:rsidRPr="004E3242">
        <w:rPr>
          <w:rFonts w:ascii="Arial" w:hAnsi="Arial" w:cs="Arial"/>
          <w:sz w:val="20"/>
          <w:szCs w:val="20"/>
        </w:rPr>
        <w:t xml:space="preserve">W szczególny sposób do realizacji założeń obu celów tematycznych predestynowane są projekty z zakresu gospodarki wodnej. Uzależnienie realizacji projektów od ich uwzględnienia w planie gospodarowania wodami na poziomie dorzeczy umożliwi koordynację planowania przestrzennego i spójną politykę przeciwdziałania skutkom zagrożeń. Z kolei konieczność zapewnienia zgodności projektów z Ramową Dyrektywą Wodną efektywnie ograniczy negatywny wpływ inwestycji na środowisko, uwzględniając potrzeby wszystkich ekosystemów objętych konkretną jednolitą częścią wód. </w:t>
      </w:r>
    </w:p>
    <w:p w14:paraId="74053CF1"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Realizacja  w jednej osi priorytetów inwestycyjnych z celów tematycznych 5 i 6 pozwoli uzyskać synergiczne efekty projektów realizowanych w ww. celach tematycznych. Np. planowane do realizacji w ramach PI 6.iii projekty mające na celu zahamowanie spadku różnorodności biologicznej oprócz swojego podstawowego celu w wielu przypadkach będą jednocześnie wzmacniać efekty działań związanych z adaptacją do zmian klimatu (i odwrotnie – np. w wyniku planowanych do realizacji w ramach PI 5.ii działań na rzecz </w:t>
      </w:r>
      <w:proofErr w:type="spellStart"/>
      <w:r w:rsidRPr="004E3242">
        <w:rPr>
          <w:rFonts w:ascii="Arial" w:hAnsi="Arial" w:cs="Arial"/>
          <w:spacing w:val="4"/>
          <w:sz w:val="20"/>
          <w:szCs w:val="20"/>
        </w:rPr>
        <w:t>renaturyzacji</w:t>
      </w:r>
      <w:proofErr w:type="spellEnd"/>
      <w:r w:rsidRPr="004E3242">
        <w:rPr>
          <w:rFonts w:ascii="Arial" w:hAnsi="Arial" w:cs="Arial"/>
          <w:spacing w:val="4"/>
          <w:sz w:val="20"/>
          <w:szCs w:val="20"/>
        </w:rPr>
        <w:t xml:space="preserve"> cieków wodnych oraz odtwarzania naturalnych terenów zalewowych czy też ochrony brzegów morskich </w:t>
      </w:r>
      <w:r w:rsidRPr="004E3242">
        <w:rPr>
          <w:rFonts w:ascii="Arial" w:hAnsi="Arial" w:cs="Arial"/>
          <w:spacing w:val="4"/>
          <w:sz w:val="20"/>
          <w:szCs w:val="20"/>
        </w:rPr>
        <w:br/>
        <w:t xml:space="preserve">z wykorzystaniem metod przyrodniczych następować będzie odbudowa ekosystemów związana </w:t>
      </w:r>
      <w:r w:rsidRPr="004E3242">
        <w:rPr>
          <w:rFonts w:ascii="Arial" w:hAnsi="Arial" w:cs="Arial"/>
          <w:spacing w:val="4"/>
          <w:sz w:val="20"/>
          <w:szCs w:val="20"/>
        </w:rPr>
        <w:br/>
        <w:t>z przywróceniem właściwych stosunków wodnych).</w:t>
      </w:r>
    </w:p>
    <w:p w14:paraId="07FFDA52"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Koncentracja interwencji w ramach jednej osi finansowanej z Funduszu Spójności zapewni ponadto elastyczność w realizacji powiązanych ze sobą działań zmierzających do osiągnięcia celów określonych dla ww. celów tematycznych. </w:t>
      </w:r>
    </w:p>
    <w:p w14:paraId="7D673D7F"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Działania w ramach osi będą koncentrować się na rozwoju infrastruktury w zakresie gospodarki odpadami i wodno-ściekowej, przeciwdziałaniu spadku różnorodności biologicznej, zwiększeniu możliwości zapobiegania zagrożeniom naturalnym oraz wzmocnieniu odporności na zagrożenia związane z negatywnymi efektami zmian klimatu. Motywacją do podejmowania działań na rzecz lepszego wykorzystania zasobów jest z jednej strony ich efekt gospodarczy, z drugiej strony zaś poprawa jakości życia ludzi dzięki zapewnieniu lepszego stanu środowiska.</w:t>
      </w:r>
    </w:p>
    <w:p w14:paraId="7CAF3CCD"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Ochrona środowiska i adaptacja do zmian klimatu są zagadnieniami horyzontalnymi i nie powinny być rozpatrywane w oderwaniu od pozostałych obszarów interwencji Programu. Niezwykle istotny wpływ na poprawę stanu środowiska będą miały również działania realizowane w ramach innych osi Programu, np. dla poprawy jakości powietrza kluczowe znaczenie będą miały działania związane z ograniczeniem niskiej emisji (podejmowane w ramach I. osi priorytetowej) oraz wsparcie dla transportu przyjaznego środowisku (podejmowane w VI. oraz częściowo V. osi). </w:t>
      </w:r>
    </w:p>
    <w:p w14:paraId="69BC747D"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7DCDCE86"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5B78F931"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lastRenderedPageBreak/>
        <w:t>PRIORYTET INWESTYCYJNY 5.ii Wspieranie inwestycji ukierunkowanych na konkretne rodzaje zagrożeń przy jednoczesnym zwiększeniu odporności na klęski i katastrofy i rozwijaniu systemów zarządzania klęskami i katastrofami</w:t>
      </w:r>
    </w:p>
    <w:p w14:paraId="4AFCB93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5C5A932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Większa ilość retencjonowanej wody oraz wyższa sprawność przeprowadzania rozpoznania i reagowania w sytuacji wystąpienia zagrożeń naturalnych i poważnych awarii</w:t>
      </w:r>
    </w:p>
    <w:p w14:paraId="19CD0C87"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6A664F1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Realizacja priorytetu inwestycyjnego przyczyni się osiągnięcia celu dotyczącego zwiększenia ilości retencjonowanej wody oraz zwiększenia sprawności przeprowadzania rozpoznania </w:t>
      </w:r>
      <w:r w:rsidRPr="004E3242">
        <w:rPr>
          <w:rFonts w:ascii="Arial" w:hAnsi="Arial" w:cs="Arial"/>
          <w:spacing w:val="4"/>
          <w:sz w:val="20"/>
          <w:szCs w:val="20"/>
        </w:rPr>
        <w:br/>
        <w:t>i reagowania w sytuacji wystąpienia zagrożeń naturalnych i poważnych awarii</w:t>
      </w:r>
    </w:p>
    <w:p w14:paraId="71F4FA1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52"/>
        <w:gridCol w:w="1541"/>
        <w:gridCol w:w="994"/>
        <w:gridCol w:w="1135"/>
        <w:gridCol w:w="851"/>
        <w:gridCol w:w="851"/>
        <w:gridCol w:w="1137"/>
        <w:gridCol w:w="992"/>
        <w:gridCol w:w="1233"/>
      </w:tblGrid>
      <w:tr w:rsidR="004E3242" w:rsidRPr="004E3242" w14:paraId="33229386" w14:textId="77777777" w:rsidTr="00AA7998">
        <w:tc>
          <w:tcPr>
            <w:tcW w:w="297" w:type="pct"/>
            <w:shd w:val="clear" w:color="auto" w:fill="99CC00"/>
            <w:vAlign w:val="center"/>
          </w:tcPr>
          <w:p w14:paraId="5E2B7BA1"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830" w:type="pct"/>
            <w:shd w:val="clear" w:color="auto" w:fill="99CC00"/>
            <w:vAlign w:val="center"/>
          </w:tcPr>
          <w:p w14:paraId="4532B4B7"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454BB98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611" w:type="pct"/>
            <w:shd w:val="clear" w:color="auto" w:fill="99CC00"/>
            <w:vAlign w:val="center"/>
          </w:tcPr>
          <w:p w14:paraId="0519633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39FFC91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24D1385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612" w:type="pct"/>
            <w:shd w:val="clear" w:color="auto" w:fill="99CC00"/>
            <w:vAlign w:val="center"/>
          </w:tcPr>
          <w:p w14:paraId="096C218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4" w:type="pct"/>
            <w:shd w:val="clear" w:color="auto" w:fill="99CC00"/>
            <w:vAlign w:val="center"/>
          </w:tcPr>
          <w:p w14:paraId="144FE8E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64" w:type="pct"/>
            <w:shd w:val="clear" w:color="auto" w:fill="99CC00"/>
            <w:vAlign w:val="center"/>
          </w:tcPr>
          <w:p w14:paraId="58A7A99B"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5656B27D" w14:textId="77777777" w:rsidTr="00AA7998">
        <w:tc>
          <w:tcPr>
            <w:tcW w:w="297" w:type="pct"/>
            <w:shd w:val="clear" w:color="auto" w:fill="F2F2F2"/>
            <w:vAlign w:val="center"/>
          </w:tcPr>
          <w:p w14:paraId="50824AF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830" w:type="pct"/>
            <w:shd w:val="clear" w:color="auto" w:fill="F2F2F2"/>
            <w:vAlign w:val="center"/>
          </w:tcPr>
          <w:p w14:paraId="3182533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Pojemność obiektów małej retencji wodnej</w:t>
            </w:r>
          </w:p>
        </w:tc>
        <w:tc>
          <w:tcPr>
            <w:tcW w:w="535" w:type="pct"/>
            <w:shd w:val="clear" w:color="auto" w:fill="F2F2F2"/>
            <w:vAlign w:val="center"/>
          </w:tcPr>
          <w:p w14:paraId="6FBF90B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dam</w:t>
            </w:r>
            <w:r w:rsidRPr="004E3242">
              <w:rPr>
                <w:rFonts w:ascii="Arial" w:hAnsi="Arial" w:cs="Arial"/>
                <w:spacing w:val="4"/>
                <w:sz w:val="16"/>
                <w:szCs w:val="16"/>
                <w:vertAlign w:val="superscript"/>
              </w:rPr>
              <w:t>3</w:t>
            </w:r>
          </w:p>
        </w:tc>
        <w:tc>
          <w:tcPr>
            <w:tcW w:w="611" w:type="pct"/>
            <w:shd w:val="clear" w:color="auto" w:fill="F2F2F2"/>
            <w:vAlign w:val="center"/>
          </w:tcPr>
          <w:p w14:paraId="231FA29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0FAE045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753 624</w:t>
            </w:r>
          </w:p>
        </w:tc>
        <w:tc>
          <w:tcPr>
            <w:tcW w:w="458" w:type="pct"/>
            <w:shd w:val="clear" w:color="auto" w:fill="F2F2F2"/>
            <w:vAlign w:val="center"/>
          </w:tcPr>
          <w:p w14:paraId="21E8D33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612" w:type="pct"/>
            <w:shd w:val="clear" w:color="auto" w:fill="F2F2F2"/>
            <w:vAlign w:val="center"/>
          </w:tcPr>
          <w:p w14:paraId="7BFB0658"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844 836</w:t>
            </w:r>
          </w:p>
        </w:tc>
        <w:tc>
          <w:tcPr>
            <w:tcW w:w="534" w:type="pct"/>
            <w:shd w:val="clear" w:color="auto" w:fill="F2F2F2"/>
            <w:vAlign w:val="center"/>
          </w:tcPr>
          <w:p w14:paraId="682F4E5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GUS</w:t>
            </w:r>
          </w:p>
        </w:tc>
        <w:tc>
          <w:tcPr>
            <w:tcW w:w="664" w:type="pct"/>
            <w:shd w:val="clear" w:color="auto" w:fill="F2F2F2"/>
            <w:vAlign w:val="center"/>
          </w:tcPr>
          <w:p w14:paraId="79DE0AF1" w14:textId="77777777" w:rsidR="004E3242" w:rsidRPr="004E3242" w:rsidRDefault="004E3242" w:rsidP="004E3242">
            <w:pPr>
              <w:spacing w:before="60" w:after="60" w:line="240" w:lineRule="auto"/>
              <w:ind w:right="335"/>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54F7564E" w14:textId="77777777" w:rsidTr="00AA7998">
        <w:tc>
          <w:tcPr>
            <w:tcW w:w="297"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70A57D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83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2D82181" w14:textId="77777777" w:rsidR="004E3242" w:rsidRDefault="00C81676" w:rsidP="004E3242">
            <w:pPr>
              <w:spacing w:before="60" w:after="60" w:line="240" w:lineRule="auto"/>
              <w:jc w:val="both"/>
              <w:rPr>
                <w:rFonts w:ascii="Arial" w:hAnsi="Arial" w:cs="Arial"/>
                <w:spacing w:val="4"/>
                <w:sz w:val="16"/>
                <w:szCs w:val="16"/>
              </w:rPr>
            </w:pPr>
            <w:r>
              <w:rPr>
                <w:rFonts w:ascii="Arial" w:hAnsi="Arial" w:cs="Arial"/>
                <w:spacing w:val="4"/>
                <w:sz w:val="16"/>
                <w:szCs w:val="16"/>
              </w:rPr>
              <w:t xml:space="preserve"> </w:t>
            </w:r>
          </w:p>
          <w:p w14:paraId="788A2242" w14:textId="77777777" w:rsidR="00C81676" w:rsidRPr="004E3242" w:rsidRDefault="00C81676" w:rsidP="004E3242">
            <w:pPr>
              <w:spacing w:before="60" w:after="60" w:line="240" w:lineRule="auto"/>
              <w:jc w:val="both"/>
              <w:rPr>
                <w:rFonts w:ascii="Arial" w:hAnsi="Arial" w:cs="Arial"/>
                <w:spacing w:val="4"/>
                <w:sz w:val="16"/>
                <w:szCs w:val="16"/>
              </w:rPr>
            </w:pPr>
            <w:r w:rsidRPr="00C81676">
              <w:rPr>
                <w:rFonts w:ascii="Arial" w:hAnsi="Arial" w:cs="Arial"/>
                <w:spacing w:val="4"/>
                <w:sz w:val="16"/>
                <w:szCs w:val="16"/>
              </w:rPr>
              <w:t>Odsetek interwencji ratowniczych, w których jednostka Krajowego Systemu Ratowniczo-Gaśniczego dotarła na miejsce zdarzenia w czasie krótszym niż 15 min</w:t>
            </w:r>
            <w:r>
              <w:rPr>
                <w:rFonts w:ascii="Arial" w:hAnsi="Arial" w:cs="Arial"/>
                <w:spacing w:val="4"/>
                <w:sz w:val="16"/>
                <w:szCs w:val="16"/>
              </w:rPr>
              <w:t>.</w:t>
            </w:r>
          </w:p>
        </w:tc>
        <w:tc>
          <w:tcPr>
            <w:tcW w:w="535"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66513A5B"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61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538A2F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8D13C90"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85,7 %</w:t>
            </w:r>
          </w:p>
        </w:tc>
        <w:tc>
          <w:tcPr>
            <w:tcW w:w="458"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E0D682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61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361AC8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88</w:t>
            </w:r>
          </w:p>
        </w:tc>
        <w:tc>
          <w:tcPr>
            <w:tcW w:w="534"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523D93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Dane Systemu Wspomagania Decyzji - ST</w:t>
            </w:r>
          </w:p>
        </w:tc>
        <w:tc>
          <w:tcPr>
            <w:tcW w:w="664"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B519CC1" w14:textId="77777777" w:rsidR="004E3242" w:rsidRPr="004E3242" w:rsidRDefault="004E3242" w:rsidP="004E3242">
            <w:pPr>
              <w:spacing w:before="60" w:after="60" w:line="240" w:lineRule="auto"/>
              <w:ind w:right="335"/>
              <w:jc w:val="center"/>
              <w:rPr>
                <w:rFonts w:ascii="Arial" w:hAnsi="Arial" w:cs="Arial"/>
                <w:spacing w:val="4"/>
                <w:sz w:val="16"/>
                <w:szCs w:val="16"/>
              </w:rPr>
            </w:pPr>
            <w:r w:rsidRPr="004E3242">
              <w:rPr>
                <w:rFonts w:ascii="Arial" w:hAnsi="Arial" w:cs="Arial"/>
                <w:spacing w:val="4"/>
                <w:sz w:val="16"/>
                <w:szCs w:val="16"/>
              </w:rPr>
              <w:t>Rocznie</w:t>
            </w:r>
          </w:p>
        </w:tc>
      </w:tr>
    </w:tbl>
    <w:p w14:paraId="2FB6BF0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10CB87C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będą realizowane działania nakierowane na zwiększenie możliwości zapobiegania zagrożeniom naturalnym, na które Polska jest szczególnie narażona, </w:t>
      </w:r>
      <w:r w:rsidRPr="004E3242">
        <w:rPr>
          <w:rFonts w:ascii="Arial" w:hAnsi="Arial" w:cs="Arial"/>
          <w:spacing w:val="4"/>
          <w:sz w:val="20"/>
          <w:szCs w:val="20"/>
        </w:rPr>
        <w:br/>
        <w:t xml:space="preserve">tj. powodzi i suszy oraz reagowania na nie. W związku z widocznymi brakami w obszarze właściwego planowania strategicznego w obszarze gospodarki wodnej w pierwszej kolejności wsparcie zostanie skierowane na opracowanie (lub aktualizację) dokumentów strategicznych </w:t>
      </w:r>
      <w:r w:rsidRPr="004E3242">
        <w:rPr>
          <w:rFonts w:ascii="Arial" w:hAnsi="Arial" w:cs="Arial"/>
          <w:spacing w:val="4"/>
          <w:sz w:val="20"/>
          <w:szCs w:val="20"/>
        </w:rPr>
        <w:br/>
        <w:t>i planistycznych wymaganych prawem unijnym lub krajowym. Dodatkowo</w:t>
      </w:r>
      <w:r w:rsidRPr="004E3242">
        <w:rPr>
          <w:rFonts w:ascii="Arial" w:hAnsi="Arial" w:cs="Arial"/>
        </w:rPr>
        <w:t xml:space="preserve"> </w:t>
      </w:r>
      <w:r w:rsidRPr="004E3242">
        <w:rPr>
          <w:rFonts w:ascii="Arial" w:hAnsi="Arial" w:cs="Arial"/>
          <w:spacing w:val="4"/>
          <w:sz w:val="20"/>
          <w:szCs w:val="20"/>
        </w:rPr>
        <w:t xml:space="preserve">będzie możliwe wsparcie opracowania dokumentów wskazanych w </w:t>
      </w:r>
      <w:r w:rsidRPr="004E3242">
        <w:rPr>
          <w:rFonts w:ascii="Arial" w:hAnsi="Arial" w:cs="Arial"/>
          <w:i/>
          <w:iCs/>
          <w:spacing w:val="4"/>
          <w:sz w:val="20"/>
          <w:szCs w:val="20"/>
        </w:rPr>
        <w:t xml:space="preserve">Strategicznym planie adaptacji dla sektorów </w:t>
      </w:r>
      <w:r w:rsidRPr="004E3242">
        <w:rPr>
          <w:rFonts w:ascii="Arial" w:hAnsi="Arial" w:cs="Arial"/>
          <w:i/>
          <w:iCs/>
          <w:spacing w:val="4"/>
          <w:sz w:val="20"/>
          <w:szCs w:val="20"/>
        </w:rPr>
        <w:br/>
        <w:t>i obszarów wrażliwych na zmiany klimatu</w:t>
      </w:r>
      <w:r w:rsidRPr="004E3242">
        <w:rPr>
          <w:rFonts w:ascii="Arial" w:hAnsi="Arial" w:cs="Arial"/>
          <w:i/>
          <w:spacing w:val="4"/>
          <w:sz w:val="20"/>
          <w:szCs w:val="20"/>
        </w:rPr>
        <w:t xml:space="preserve"> </w:t>
      </w:r>
      <w:r w:rsidRPr="004E3242">
        <w:rPr>
          <w:rFonts w:ascii="Arial" w:hAnsi="Arial" w:cs="Arial"/>
          <w:i/>
          <w:iCs/>
          <w:spacing w:val="4"/>
          <w:sz w:val="20"/>
          <w:szCs w:val="20"/>
        </w:rPr>
        <w:t>do roku 2020</w:t>
      </w:r>
      <w:r w:rsidRPr="004E3242">
        <w:rPr>
          <w:rFonts w:ascii="Arial" w:hAnsi="Arial" w:cs="Arial"/>
          <w:spacing w:val="4"/>
          <w:sz w:val="20"/>
          <w:szCs w:val="20"/>
        </w:rPr>
        <w:t>. Czynnikiem decydującym o skutecznej realizacji działań infrastrukturalnych będzie zintegrowane planowanie inwestycji, które będzie zapewnione poprzez właściwe dokumenty strategiczne.</w:t>
      </w:r>
    </w:p>
    <w:p w14:paraId="6B257A8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Projekty dotyczące zarządzania ryzykiem powodziowym będą realizowane zgodnie z planami zarządzania ryzykiem powodziowym. W ramach priorytetu inwestycyjnego preferowane będą projekty, w których wykorzystywane będą, w jak największym stopniu, naturalne metody ochrony przeciwpowodziowej. Działania techniczne koncentrowały się więc będą przede wszystkim na projektach mających na celu zwiększenie naturalnej retencji oraz z zakresu małej retencji. Realizacja projektów związanych z budową lub modernizacją urządzeń wodnych będzie dopuszczona pod warunkiem uwzględnienia ich w dokumentach strategicznych spełniających wymogi Ramowej Dyrektywy wodnej (RDW) i tzw. Dyrektywy powodziowej.</w:t>
      </w:r>
    </w:p>
    <w:p w14:paraId="17DB13B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lastRenderedPageBreak/>
        <w:t xml:space="preserve">W ramach priorytetu inwestycyjnego realizowane będą również działania infrastrukturalne nakierowane na wzmocnienie odporności na zagrożenia związane z negatywnymi efektami zmian klimatu na obszarach, które są szczególnie narażone (w szczególności na obszarach miejskich oraz na wybrzeżu Morza Bałtyckiego). Odporność miast na ekstremalne zjawiska meteorologiczne i ich następstwa jest relatywnie niewielka z powodu m.in.: ograniczenia powierzchni biologicznie czynnych, wielkopowierzchniowego uszczelnienia gruntów, dużej gęstości zabudowy i zaludnienia. Istotnym problemem jest również brak lub istnienie nieefektywnych systemów zagospodarowania wód opadowych, których prawidłowe funkcjonowanie pozwoliłoby na przeciwdziałanie podtopieniom i </w:t>
      </w:r>
      <w:proofErr w:type="spellStart"/>
      <w:r w:rsidRPr="004E3242">
        <w:rPr>
          <w:rFonts w:ascii="Arial" w:hAnsi="Arial" w:cs="Arial"/>
          <w:spacing w:val="4"/>
          <w:sz w:val="20"/>
          <w:szCs w:val="20"/>
        </w:rPr>
        <w:t>zalaniom</w:t>
      </w:r>
      <w:proofErr w:type="spellEnd"/>
      <w:r w:rsidRPr="004E3242">
        <w:rPr>
          <w:rFonts w:ascii="Arial" w:hAnsi="Arial" w:cs="Arial"/>
          <w:spacing w:val="4"/>
          <w:sz w:val="20"/>
          <w:szCs w:val="20"/>
        </w:rPr>
        <w:t xml:space="preserve"> oraz umożliwiłoby retencjonowanie wody i wykorzystywanie jej w okresach suchych. </w:t>
      </w:r>
      <w:r w:rsidRPr="004E3242">
        <w:rPr>
          <w:rFonts w:ascii="Arial" w:eastAsia="Dutch801RmPL-Roman" w:hAnsi="Arial" w:cs="Arial"/>
          <w:spacing w:val="4"/>
          <w:sz w:val="20"/>
          <w:szCs w:val="20"/>
        </w:rPr>
        <w:t xml:space="preserve">Wybrzeże Bałtyku jest natomiast obszarem występowania coraz silniejszych sztormów zimowych, które w połączeniu </w:t>
      </w:r>
      <w:r w:rsidRPr="004E3242">
        <w:rPr>
          <w:rFonts w:ascii="Arial" w:eastAsia="Dutch801RmPL-Roman" w:hAnsi="Arial" w:cs="Arial"/>
          <w:spacing w:val="4"/>
          <w:sz w:val="20"/>
          <w:szCs w:val="20"/>
        </w:rPr>
        <w:br/>
        <w:t>z coraz słabszym rozwojem morskiej pokrywy lodowej (wynikającej z ocieplania się klimatu), wzmagają procesy erozyjne i skutkują niszczeniem brzegów klifowych i akumulacyjnych. Zasadne jest więc podejmowanie działań zmierzających do przeciwdziałania bądź spowalniania powyższych procesów, z zastrzeżeniem potrzeby zachowania naturalnych procesów dynamiki brzegowej. W pierwszej kolejności powinny być realizowane prace z zakresu ochrony biotechnicznej (ochrona lekka)</w:t>
      </w:r>
      <w:r w:rsidRPr="004E3242">
        <w:rPr>
          <w:rFonts w:ascii="Arial" w:hAnsi="Arial" w:cs="Arial"/>
          <w:spacing w:val="4"/>
          <w:sz w:val="20"/>
          <w:szCs w:val="20"/>
        </w:rPr>
        <w:t xml:space="preserve"> </w:t>
      </w:r>
      <w:r w:rsidRPr="004E3242">
        <w:rPr>
          <w:rFonts w:ascii="Arial" w:eastAsia="Dutch801RmPL-Roman" w:hAnsi="Arial" w:cs="Arial"/>
          <w:spacing w:val="4"/>
          <w:sz w:val="20"/>
          <w:szCs w:val="20"/>
        </w:rPr>
        <w:t xml:space="preserve">oraz inwestycje zintegrowane, w których wykonywane </w:t>
      </w:r>
      <w:r w:rsidRPr="004E3242">
        <w:rPr>
          <w:rFonts w:ascii="Arial" w:eastAsia="Dutch801RmPL-Roman" w:hAnsi="Arial" w:cs="Arial"/>
          <w:spacing w:val="4"/>
          <w:sz w:val="20"/>
          <w:szCs w:val="20"/>
        </w:rPr>
        <w:br/>
        <w:t>z materiałów pochodzenia naturalnego budowle hydrotechniczne (ochrona ciężka)</w:t>
      </w:r>
      <w:r w:rsidRPr="004E3242">
        <w:rPr>
          <w:rFonts w:ascii="Arial" w:hAnsi="Arial" w:cs="Arial"/>
          <w:spacing w:val="4"/>
          <w:sz w:val="20"/>
          <w:szCs w:val="20"/>
        </w:rPr>
        <w:t xml:space="preserve"> </w:t>
      </w:r>
      <w:r w:rsidRPr="004E3242">
        <w:rPr>
          <w:rFonts w:ascii="Arial" w:eastAsia="Dutch801RmPL-Roman" w:hAnsi="Arial" w:cs="Arial"/>
          <w:spacing w:val="4"/>
          <w:sz w:val="20"/>
          <w:szCs w:val="20"/>
        </w:rPr>
        <w:t>wspierane będą działaniami wykorzystującymi metody biotechniczne.</w:t>
      </w:r>
      <w:r w:rsidRPr="004E3242">
        <w:rPr>
          <w:rFonts w:ascii="Arial" w:hAnsi="Arial" w:cs="Arial"/>
          <w:spacing w:val="4"/>
          <w:sz w:val="20"/>
          <w:szCs w:val="20"/>
        </w:rPr>
        <w:t xml:space="preserve"> </w:t>
      </w:r>
    </w:p>
    <w:p w14:paraId="4A91339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Dopełnieniem powyższych interwencji będą działania w obszarze zapobiegania ryzyku </w:t>
      </w:r>
      <w:r w:rsidRPr="004E3242">
        <w:rPr>
          <w:rFonts w:ascii="Arial" w:hAnsi="Arial" w:cs="Arial"/>
          <w:spacing w:val="4"/>
          <w:sz w:val="20"/>
          <w:szCs w:val="20"/>
        </w:rPr>
        <w:br/>
        <w:t xml:space="preserve">i zarządzania ryzykiem związane z tworzeniem i wdrażaniem efektywnych systemów zarządzania ryzykiem oraz w zakresie wsparcia systemu ratowniczego. Uzupełniająco wspierany będzie również system monitoringu środowiska. </w:t>
      </w:r>
    </w:p>
    <w:p w14:paraId="3F742FD2"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spacing w:val="4"/>
          <w:sz w:val="20"/>
          <w:szCs w:val="20"/>
        </w:rPr>
        <w:t xml:space="preserve">Wsparcie zostanie również skierowane na realizację działań miękkich, promujących zbudowanie odpowiedniej bazy wiedzy w zakresie skutków zmian klimatu i adaptacji do nich, a także reagowania na zagrożenia z nimi związane oraz prowadzenie działań szkoleniowych i kampanii edukacyjnych w tym zakresie. </w:t>
      </w:r>
      <w:r w:rsidRPr="004E3242">
        <w:rPr>
          <w:rFonts w:ascii="Arial" w:hAnsi="Arial" w:cs="Arial"/>
          <w:bCs/>
          <w:spacing w:val="4"/>
          <w:sz w:val="20"/>
          <w:szCs w:val="20"/>
        </w:rPr>
        <w:t>Przewiduje się wsparcie następujących obszarów:</w:t>
      </w:r>
    </w:p>
    <w:p w14:paraId="675B6593" w14:textId="77777777" w:rsidR="004E3242" w:rsidRPr="004E3242" w:rsidRDefault="004E3242" w:rsidP="009B4CB9">
      <w:pPr>
        <w:numPr>
          <w:ilvl w:val="0"/>
          <w:numId w:val="9"/>
        </w:numPr>
        <w:spacing w:before="120" w:after="120"/>
        <w:jc w:val="both"/>
        <w:rPr>
          <w:rFonts w:ascii="Arial" w:hAnsi="Arial" w:cs="Arial"/>
          <w:spacing w:val="4"/>
          <w:sz w:val="20"/>
          <w:szCs w:val="20"/>
        </w:rPr>
      </w:pPr>
      <w:r w:rsidRPr="004E3242">
        <w:rPr>
          <w:rFonts w:ascii="Arial" w:hAnsi="Arial" w:cs="Arial"/>
          <w:spacing w:val="4"/>
          <w:sz w:val="20"/>
          <w:szCs w:val="20"/>
        </w:rPr>
        <w:t xml:space="preserve">opracowanie lub aktualizacja dokumentów strategicznych wymaganych prawem unijnym lub krajowym lub przewidzianych w </w:t>
      </w:r>
      <w:r w:rsidRPr="004E3242">
        <w:rPr>
          <w:rFonts w:ascii="Arial" w:hAnsi="Arial" w:cs="Arial"/>
          <w:i/>
          <w:spacing w:val="4"/>
          <w:sz w:val="20"/>
          <w:szCs w:val="20"/>
        </w:rPr>
        <w:t xml:space="preserve">Strategicznym planie adaptacji dla obszarów </w:t>
      </w:r>
      <w:r w:rsidRPr="004E3242">
        <w:rPr>
          <w:rFonts w:ascii="Arial" w:hAnsi="Arial" w:cs="Arial"/>
          <w:i/>
          <w:spacing w:val="4"/>
          <w:sz w:val="20"/>
          <w:szCs w:val="20"/>
        </w:rPr>
        <w:br/>
        <w:t>i sektorów wrażliwych na zmiany klimatu</w:t>
      </w:r>
      <w:r w:rsidRPr="004E3242">
        <w:rPr>
          <w:rFonts w:ascii="Arial" w:hAnsi="Arial" w:cs="Arial"/>
          <w:i/>
          <w:sz w:val="16"/>
          <w:szCs w:val="16"/>
        </w:rPr>
        <w:t xml:space="preserve"> </w:t>
      </w:r>
      <w:r w:rsidRPr="004E3242">
        <w:rPr>
          <w:rFonts w:ascii="Arial" w:hAnsi="Arial" w:cs="Arial"/>
          <w:i/>
          <w:spacing w:val="4"/>
          <w:sz w:val="20"/>
          <w:szCs w:val="20"/>
        </w:rPr>
        <w:t xml:space="preserve">do roku 2020, </w:t>
      </w:r>
      <w:r w:rsidRPr="004E3242">
        <w:rPr>
          <w:rFonts w:ascii="Arial" w:hAnsi="Arial" w:cs="Arial"/>
          <w:spacing w:val="4"/>
          <w:sz w:val="20"/>
          <w:szCs w:val="20"/>
        </w:rPr>
        <w:t>w tym opracowanie planów adaptacji do zmian klimatu w miastach powyżej 100 tys. mieszkańców;</w:t>
      </w:r>
      <w:r w:rsidRPr="004E3242">
        <w:rPr>
          <w:rFonts w:ascii="Arial" w:hAnsi="Arial" w:cs="Arial"/>
          <w:sz w:val="16"/>
          <w:szCs w:val="16"/>
        </w:rPr>
        <w:t xml:space="preserve"> </w:t>
      </w:r>
    </w:p>
    <w:p w14:paraId="3854B3E3" w14:textId="77777777" w:rsidR="004E3242" w:rsidRPr="004E3242" w:rsidRDefault="004E3242" w:rsidP="009B4CB9">
      <w:pPr>
        <w:numPr>
          <w:ilvl w:val="0"/>
          <w:numId w:val="9"/>
        </w:numPr>
        <w:spacing w:before="120" w:after="120"/>
        <w:jc w:val="both"/>
        <w:rPr>
          <w:rFonts w:ascii="Arial" w:hAnsi="Arial" w:cs="Arial"/>
          <w:spacing w:val="4"/>
          <w:sz w:val="20"/>
          <w:szCs w:val="20"/>
        </w:rPr>
      </w:pPr>
      <w:r w:rsidRPr="004E3242">
        <w:rPr>
          <w:rFonts w:ascii="Arial" w:hAnsi="Arial" w:cs="Arial"/>
          <w:spacing w:val="4"/>
          <w:sz w:val="20"/>
          <w:szCs w:val="20"/>
        </w:rPr>
        <w:t>poprawa bezpieczeństwa powodziowego i przeciwdziałanie suszy:</w:t>
      </w:r>
    </w:p>
    <w:p w14:paraId="2485CC21" w14:textId="77777777" w:rsidR="004E3242" w:rsidRPr="004E3242" w:rsidRDefault="004E3242" w:rsidP="009B4CB9">
      <w:pPr>
        <w:numPr>
          <w:ilvl w:val="0"/>
          <w:numId w:val="32"/>
        </w:numPr>
        <w:spacing w:before="120" w:after="120"/>
        <w:jc w:val="both"/>
        <w:rPr>
          <w:rFonts w:ascii="Arial" w:hAnsi="Arial" w:cs="Arial"/>
          <w:sz w:val="20"/>
          <w:szCs w:val="20"/>
        </w:rPr>
      </w:pPr>
      <w:r w:rsidRPr="004E3242">
        <w:rPr>
          <w:rFonts w:ascii="Arial" w:hAnsi="Arial" w:cs="Arial"/>
          <w:spacing w:val="4"/>
          <w:sz w:val="20"/>
          <w:szCs w:val="20"/>
        </w:rPr>
        <w:t>projekty mające na celu zwiększenie naturalnej retencji (</w:t>
      </w:r>
      <w:proofErr w:type="spellStart"/>
      <w:r w:rsidRPr="004E3242">
        <w:rPr>
          <w:rFonts w:ascii="Arial" w:hAnsi="Arial" w:cs="Arial"/>
          <w:spacing w:val="4"/>
          <w:sz w:val="20"/>
          <w:szCs w:val="20"/>
        </w:rPr>
        <w:t>np</w:t>
      </w:r>
      <w:proofErr w:type="spellEnd"/>
      <w:r w:rsidRPr="004E3242">
        <w:rPr>
          <w:rFonts w:ascii="Arial" w:hAnsi="Arial" w:cs="Arial"/>
          <w:spacing w:val="4"/>
          <w:sz w:val="20"/>
          <w:szCs w:val="20"/>
        </w:rPr>
        <w:t xml:space="preserve">: </w:t>
      </w:r>
      <w:proofErr w:type="spellStart"/>
      <w:r w:rsidRPr="004E3242">
        <w:rPr>
          <w:rFonts w:ascii="Arial" w:hAnsi="Arial" w:cs="Arial"/>
          <w:sz w:val="20"/>
          <w:szCs w:val="20"/>
        </w:rPr>
        <w:t>renaturyzacja</w:t>
      </w:r>
      <w:proofErr w:type="spellEnd"/>
      <w:r w:rsidRPr="004E3242">
        <w:rPr>
          <w:rFonts w:ascii="Arial" w:hAnsi="Arial" w:cs="Arial"/>
          <w:sz w:val="20"/>
          <w:szCs w:val="20"/>
        </w:rPr>
        <w:t xml:space="preserve"> przekształconych cieków wodnych, obszarów zalewowych oraz obszarów wodno-błotnych);</w:t>
      </w:r>
    </w:p>
    <w:p w14:paraId="3BF4DE76" w14:textId="77777777" w:rsidR="004E3242" w:rsidRPr="004E3242" w:rsidRDefault="004E3242" w:rsidP="009B4CB9">
      <w:pPr>
        <w:numPr>
          <w:ilvl w:val="0"/>
          <w:numId w:val="32"/>
        </w:numPr>
        <w:spacing w:before="120" w:after="120"/>
        <w:jc w:val="both"/>
        <w:rPr>
          <w:rFonts w:ascii="Arial" w:hAnsi="Arial" w:cs="Arial"/>
          <w:sz w:val="20"/>
          <w:szCs w:val="20"/>
        </w:rPr>
      </w:pPr>
      <w:r w:rsidRPr="004E3242">
        <w:rPr>
          <w:rFonts w:ascii="Arial" w:hAnsi="Arial" w:cs="Arial"/>
          <w:sz w:val="20"/>
          <w:szCs w:val="20"/>
        </w:rPr>
        <w:t xml:space="preserve">kontynuacja wsparcia dla projektów </w:t>
      </w:r>
      <w:r w:rsidRPr="004E3242">
        <w:rPr>
          <w:rFonts w:ascii="Arial" w:hAnsi="Arial" w:cs="Arial"/>
          <w:spacing w:val="4"/>
          <w:sz w:val="20"/>
          <w:szCs w:val="20"/>
        </w:rPr>
        <w:t>z zakresu małej retencji</w:t>
      </w:r>
      <w:r w:rsidRPr="004E3242">
        <w:rPr>
          <w:rFonts w:ascii="Arial" w:hAnsi="Arial" w:cs="Arial"/>
          <w:spacing w:val="4"/>
          <w:sz w:val="20"/>
          <w:szCs w:val="20"/>
          <w:vertAlign w:val="superscript"/>
        </w:rPr>
        <w:footnoteReference w:id="49"/>
      </w:r>
      <w:r w:rsidRPr="004E3242">
        <w:rPr>
          <w:rFonts w:ascii="Arial" w:hAnsi="Arial" w:cs="Arial"/>
          <w:spacing w:val="4"/>
          <w:sz w:val="20"/>
          <w:szCs w:val="20"/>
        </w:rPr>
        <w:t xml:space="preserve"> realizowanych w perspektywie finansowej 2007-2013 (realizowanych na obszarze więcej niż jednego województwa);</w:t>
      </w:r>
    </w:p>
    <w:p w14:paraId="3C0731DB" w14:textId="77777777" w:rsidR="004E3242" w:rsidRPr="004E3242" w:rsidRDefault="004E3242" w:rsidP="009B4CB9">
      <w:pPr>
        <w:numPr>
          <w:ilvl w:val="0"/>
          <w:numId w:val="32"/>
        </w:numPr>
        <w:spacing w:before="120" w:after="120"/>
        <w:jc w:val="both"/>
        <w:rPr>
          <w:rFonts w:ascii="Arial" w:hAnsi="Arial" w:cs="Arial"/>
          <w:spacing w:val="4"/>
          <w:sz w:val="20"/>
          <w:szCs w:val="20"/>
        </w:rPr>
      </w:pPr>
      <w:r w:rsidRPr="004E3242">
        <w:rPr>
          <w:rFonts w:ascii="Arial" w:hAnsi="Arial" w:cs="Arial"/>
          <w:spacing w:val="4"/>
          <w:sz w:val="20"/>
          <w:szCs w:val="20"/>
        </w:rPr>
        <w:t xml:space="preserve">budowa lub modernizacja urządzeń wodnych – pod warunkiem zapewnienia pełnej zgodności inwestycji z wymogami prawa UE, w tym uwzględnieniem ich </w:t>
      </w:r>
      <w:r w:rsidRPr="004E3242">
        <w:rPr>
          <w:rFonts w:ascii="Arial" w:hAnsi="Arial" w:cs="Arial"/>
          <w:spacing w:val="4"/>
          <w:sz w:val="20"/>
          <w:szCs w:val="20"/>
        </w:rPr>
        <w:br/>
        <w:t>w dokumentach strategicznych spełniających wymogi Ramowej Dyrektywy wodnej (RDW) i tzw. Dyrektywy powodziowej;</w:t>
      </w:r>
    </w:p>
    <w:p w14:paraId="7B1061FE" w14:textId="77777777" w:rsidR="004E3242" w:rsidRPr="004E3242" w:rsidRDefault="004E3242" w:rsidP="009B4CB9">
      <w:pPr>
        <w:numPr>
          <w:ilvl w:val="0"/>
          <w:numId w:val="9"/>
        </w:numPr>
        <w:spacing w:before="120" w:after="120"/>
        <w:jc w:val="both"/>
        <w:rPr>
          <w:rFonts w:ascii="Arial" w:hAnsi="Arial" w:cs="Arial"/>
          <w:spacing w:val="4"/>
          <w:sz w:val="20"/>
          <w:szCs w:val="20"/>
        </w:rPr>
      </w:pPr>
      <w:r w:rsidRPr="004E3242">
        <w:rPr>
          <w:rFonts w:ascii="Arial" w:hAnsi="Arial" w:cs="Arial"/>
          <w:spacing w:val="4"/>
          <w:sz w:val="20"/>
          <w:szCs w:val="20"/>
        </w:rPr>
        <w:t>zabezpieczenie przed skutkami zmian klimatu obszarów szczególnie wrażliwych:</w:t>
      </w:r>
    </w:p>
    <w:p w14:paraId="3E8C3965" w14:textId="77777777" w:rsidR="004E3242" w:rsidRPr="004E3242" w:rsidRDefault="004E3242" w:rsidP="009B4CB9">
      <w:pPr>
        <w:numPr>
          <w:ilvl w:val="0"/>
          <w:numId w:val="32"/>
        </w:numPr>
        <w:spacing w:before="120" w:after="120"/>
        <w:jc w:val="both"/>
        <w:rPr>
          <w:rFonts w:ascii="Arial" w:hAnsi="Arial" w:cs="Arial"/>
          <w:spacing w:val="4"/>
          <w:sz w:val="20"/>
          <w:szCs w:val="20"/>
        </w:rPr>
      </w:pPr>
      <w:r w:rsidRPr="004E3242">
        <w:rPr>
          <w:rFonts w:ascii="Arial" w:hAnsi="Arial" w:cs="Arial"/>
          <w:spacing w:val="4"/>
          <w:sz w:val="20"/>
          <w:szCs w:val="20"/>
        </w:rPr>
        <w:lastRenderedPageBreak/>
        <w:t xml:space="preserve">zagospodarowanie wód opadowych (w tym: systemy zbierania i retencjonowania wody opadowej, budowa/modernizacja sieci kanalizacji deszczowej wraz z infrastrukturą towarzyszącą), w szczególności na obszarach miejskich; </w:t>
      </w:r>
    </w:p>
    <w:p w14:paraId="2482B5BA" w14:textId="77777777" w:rsidR="004E3242" w:rsidRPr="004E3242" w:rsidRDefault="004E3242" w:rsidP="009B4CB9">
      <w:pPr>
        <w:numPr>
          <w:ilvl w:val="0"/>
          <w:numId w:val="32"/>
        </w:numPr>
        <w:spacing w:before="120" w:after="120"/>
        <w:jc w:val="both"/>
        <w:rPr>
          <w:rFonts w:ascii="Arial" w:hAnsi="Arial" w:cs="Arial"/>
          <w:spacing w:val="4"/>
          <w:sz w:val="20"/>
          <w:szCs w:val="20"/>
        </w:rPr>
      </w:pPr>
      <w:r w:rsidRPr="004E3242">
        <w:rPr>
          <w:rFonts w:ascii="Arial" w:hAnsi="Arial" w:cs="Arial"/>
          <w:spacing w:val="4"/>
          <w:sz w:val="20"/>
          <w:szCs w:val="20"/>
        </w:rPr>
        <w:t xml:space="preserve">ochrona brzegów morskich w szczególności przy zastosowaniu metod przyrodniczych lub metod hydrotechnicznych wspartych metodami przyrodniczymi opartymi na ochronie biotechnicznej, z uwzględnieniem potrzeby zachowania naturalnych procesów dynamiki brzegowej. </w:t>
      </w:r>
    </w:p>
    <w:p w14:paraId="458278D6" w14:textId="77777777" w:rsidR="004E3242" w:rsidRPr="004E3242" w:rsidRDefault="004E3242" w:rsidP="009B4CB9">
      <w:pPr>
        <w:numPr>
          <w:ilvl w:val="0"/>
          <w:numId w:val="9"/>
        </w:numPr>
        <w:spacing w:before="120" w:after="120"/>
        <w:jc w:val="both"/>
        <w:rPr>
          <w:rFonts w:ascii="Arial" w:hAnsi="Arial" w:cs="Arial"/>
          <w:spacing w:val="4"/>
          <w:sz w:val="20"/>
          <w:szCs w:val="20"/>
        </w:rPr>
      </w:pPr>
      <w:r w:rsidRPr="004E3242">
        <w:rPr>
          <w:rFonts w:ascii="Arial" w:hAnsi="Arial" w:cs="Arial"/>
          <w:spacing w:val="4"/>
          <w:sz w:val="20"/>
          <w:szCs w:val="20"/>
        </w:rPr>
        <w:t>działania wspierające:</w:t>
      </w:r>
    </w:p>
    <w:p w14:paraId="39628288" w14:textId="77777777" w:rsidR="004E3242" w:rsidRPr="004E3242" w:rsidRDefault="004E3242" w:rsidP="009B4CB9">
      <w:pPr>
        <w:numPr>
          <w:ilvl w:val="0"/>
          <w:numId w:val="32"/>
        </w:numPr>
        <w:spacing w:before="120" w:after="120"/>
        <w:jc w:val="both"/>
        <w:rPr>
          <w:rFonts w:ascii="Arial" w:hAnsi="Arial" w:cs="Arial"/>
          <w:spacing w:val="4"/>
          <w:sz w:val="20"/>
          <w:szCs w:val="20"/>
        </w:rPr>
      </w:pPr>
      <w:r w:rsidRPr="004E3242">
        <w:rPr>
          <w:rFonts w:ascii="Arial" w:hAnsi="Arial" w:cs="Arial"/>
          <w:spacing w:val="4"/>
          <w:sz w:val="20"/>
          <w:szCs w:val="20"/>
        </w:rPr>
        <w:t>rozwój systemów wczesnego ostrzegania i prognozowania zagrożeń oraz wsparcie systemu ratownictwa chemiczno-ekologicznego i służb ratowniczych na wypadek wystąpienia zjawisk katastrofalnych lub poważnych awarii, w celu zwiększenia zdolności reagowania na poszczególne rodzaje zagrożeń, uwzględnionych m.in. w </w:t>
      </w:r>
      <w:r w:rsidRPr="004E3242">
        <w:rPr>
          <w:rFonts w:ascii="Arial" w:hAnsi="Arial" w:cs="Arial"/>
          <w:i/>
          <w:spacing w:val="4"/>
          <w:sz w:val="20"/>
          <w:szCs w:val="20"/>
        </w:rPr>
        <w:t>Raporcie o zagrożeniach bezpieczeństwa narodowego</w:t>
      </w:r>
      <w:r w:rsidRPr="004E3242">
        <w:rPr>
          <w:rFonts w:ascii="Arial" w:hAnsi="Arial" w:cs="Arial"/>
          <w:spacing w:val="4"/>
          <w:sz w:val="20"/>
          <w:szCs w:val="20"/>
        </w:rPr>
        <w:t>;</w:t>
      </w:r>
    </w:p>
    <w:p w14:paraId="13367E9D" w14:textId="77777777" w:rsidR="004E3242" w:rsidRPr="004E3242" w:rsidRDefault="004E3242" w:rsidP="009B4CB9">
      <w:pPr>
        <w:numPr>
          <w:ilvl w:val="0"/>
          <w:numId w:val="32"/>
        </w:numPr>
        <w:spacing w:before="120" w:after="120"/>
        <w:jc w:val="both"/>
        <w:rPr>
          <w:rFonts w:ascii="Arial" w:hAnsi="Arial" w:cs="Arial"/>
          <w:spacing w:val="4"/>
          <w:sz w:val="20"/>
          <w:szCs w:val="20"/>
        </w:rPr>
      </w:pPr>
      <w:r w:rsidRPr="004E3242">
        <w:rPr>
          <w:rFonts w:ascii="Arial" w:hAnsi="Arial" w:cs="Arial"/>
          <w:spacing w:val="4"/>
          <w:sz w:val="20"/>
          <w:szCs w:val="20"/>
        </w:rPr>
        <w:t>wsparcie systemu monitorowania środowiska;</w:t>
      </w:r>
    </w:p>
    <w:p w14:paraId="2CA41365" w14:textId="77777777" w:rsidR="004E3242" w:rsidRPr="004E3242" w:rsidRDefault="004E3242" w:rsidP="009B4CB9">
      <w:pPr>
        <w:numPr>
          <w:ilvl w:val="0"/>
          <w:numId w:val="32"/>
        </w:numPr>
        <w:spacing w:before="120" w:after="120"/>
        <w:jc w:val="both"/>
        <w:rPr>
          <w:rFonts w:ascii="Arial" w:hAnsi="Arial" w:cs="Arial"/>
          <w:spacing w:val="4"/>
          <w:sz w:val="20"/>
          <w:szCs w:val="20"/>
        </w:rPr>
      </w:pPr>
      <w:r w:rsidRPr="004E3242">
        <w:rPr>
          <w:rFonts w:ascii="Arial" w:hAnsi="Arial" w:cs="Arial"/>
          <w:spacing w:val="4"/>
          <w:sz w:val="20"/>
          <w:szCs w:val="20"/>
        </w:rPr>
        <w:t>działania informacyjno-edukacyjne na temat zmian klimatu i adaptacji do nich skierowane do ludności terenów objętych zagrożeniami zmian klimatu i poważnych awarii, a także do instytucji i samorządów odpowiedzialnych za realizację założeń CT5 w zakresie wymaganym prawem;</w:t>
      </w:r>
    </w:p>
    <w:p w14:paraId="2D88D2AC" w14:textId="77777777" w:rsidR="004E3242" w:rsidRDefault="004E3242" w:rsidP="009B4CB9">
      <w:pPr>
        <w:numPr>
          <w:ilvl w:val="0"/>
          <w:numId w:val="32"/>
        </w:numPr>
        <w:spacing w:before="120" w:after="120"/>
        <w:jc w:val="both"/>
        <w:rPr>
          <w:rFonts w:ascii="Arial" w:hAnsi="Arial" w:cs="Arial"/>
          <w:spacing w:val="4"/>
          <w:sz w:val="20"/>
          <w:szCs w:val="20"/>
        </w:rPr>
      </w:pPr>
      <w:r w:rsidRPr="004E3242">
        <w:rPr>
          <w:rFonts w:ascii="Arial" w:hAnsi="Arial" w:cs="Arial"/>
          <w:spacing w:val="4"/>
          <w:sz w:val="20"/>
          <w:szCs w:val="20"/>
        </w:rPr>
        <w:t>tworzenie bazy wiedzy w zakresie zmian klimatu i adaptacji do nich.</w:t>
      </w:r>
    </w:p>
    <w:p w14:paraId="7506E72C" w14:textId="77777777" w:rsidR="00B21C07" w:rsidRPr="00B21C07" w:rsidRDefault="00B21C07" w:rsidP="00B21C07">
      <w:pPr>
        <w:spacing w:before="120" w:after="120"/>
        <w:jc w:val="both"/>
        <w:rPr>
          <w:rFonts w:ascii="Arial" w:hAnsi="Arial" w:cs="Arial"/>
          <w:color w:val="000000"/>
          <w:sz w:val="20"/>
          <w:szCs w:val="20"/>
          <w:lang w:eastAsia="pl-PL"/>
        </w:rPr>
      </w:pPr>
      <w:r w:rsidRPr="00B21C07">
        <w:rPr>
          <w:rFonts w:ascii="Arial" w:hAnsi="Arial" w:cs="Arial"/>
          <w:color w:val="000000"/>
          <w:sz w:val="20"/>
          <w:szCs w:val="20"/>
          <w:lang w:eastAsia="pl-PL"/>
        </w:rPr>
        <w:t>Ponadto, wsparcie będą mogły uzyskać działania na rzecz przygotowania inwestycji poprzez dofinansowanie w ramach projektów przygotowawczych dokumentacji projektowej, przetargowej, planistycznej dla inwestycji infrastrukturalnych, które będą możliwe do zrealizowania ze środków tego programu lub programów operacyjnych polityki spójności realizowanych w okresie programowania następującym bezpośrednio po roku 2020 (projekty przygotowawcze).</w:t>
      </w:r>
    </w:p>
    <w:p w14:paraId="24DF8942" w14:textId="77777777" w:rsidR="00D427B4" w:rsidRDefault="00B21C07" w:rsidP="005A4B22">
      <w:pPr>
        <w:jc w:val="both"/>
        <w:rPr>
          <w:rFonts w:ascii="Arial" w:hAnsi="Arial" w:cs="Arial"/>
          <w:iCs/>
          <w:sz w:val="20"/>
          <w:szCs w:val="20"/>
        </w:rPr>
      </w:pPr>
      <w:r w:rsidRPr="00B21C07">
        <w:rPr>
          <w:rFonts w:ascii="Arial" w:hAnsi="Arial" w:cs="Arial"/>
          <w:color w:val="000000"/>
          <w:sz w:val="20"/>
          <w:szCs w:val="20"/>
          <w:lang w:eastAsia="pl-PL"/>
        </w:rPr>
        <w:t>Do dokumentów zamknięcia tego programu zostanie dołączona lista wszystkich dofinansowanych projektów przygotowawczych wraz z listą odpowiadających im inwestycji możliwych do zrealizowania w ramach tego programu lub programów operacyjnych polityki spójności następujących po roku 2020.</w:t>
      </w:r>
    </w:p>
    <w:p w14:paraId="2EA16FA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02447EB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wsparcie przewidziane jest dla administracji rządowej oraz nadzorowanych lub podległych jej organów</w:t>
      </w:r>
      <w:r w:rsidRPr="004E3242">
        <w:rPr>
          <w:rFonts w:ascii="Arial" w:hAnsi="Arial" w:cs="Arial"/>
          <w:b/>
          <w:sz w:val="16"/>
          <w:szCs w:val="16"/>
          <w:lang w:eastAsia="ar-SA"/>
        </w:rPr>
        <w:t xml:space="preserve"> </w:t>
      </w:r>
      <w:r w:rsidRPr="004E3242">
        <w:rPr>
          <w:rFonts w:ascii="Arial" w:hAnsi="Arial" w:cs="Arial"/>
          <w:spacing w:val="4"/>
          <w:sz w:val="20"/>
          <w:szCs w:val="20"/>
        </w:rPr>
        <w:t>i jednostek organizacyjnych, jednostek samorządu terytorialnego i ich związków oraz działających w ich imieniu jednostek organizacyjnych, jednostek naukowych, a także podmiotów świadczących usługi publiczne w ramach realizacji obowiązków własnych jednostek samorządu terytorialnego. Główną grupą docelową są indywidualni użytkownicy korzystający z zasobów środowiska.</w:t>
      </w:r>
    </w:p>
    <w:p w14:paraId="18BDABF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3F7ADDC7" w14:textId="77777777" w:rsid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zakresie działań dotyczących budowy lub modernizacji urządzeń wodnych współfinansowane będą mogły być tylko projekty wskazane w załącznikach do Master Planów dla obszarów dorzeczy Odry i Wisły, które nie wpływają negatywnie na osiągnięcie dobrego stanu wód lub nie pogarszają stanu wód</w:t>
      </w:r>
      <w:r w:rsidRPr="004E3242">
        <w:rPr>
          <w:rFonts w:ascii="Arial" w:hAnsi="Arial" w:cs="Arial"/>
          <w:spacing w:val="4"/>
          <w:sz w:val="20"/>
          <w:szCs w:val="20"/>
          <w:vertAlign w:val="superscript"/>
        </w:rPr>
        <w:footnoteReference w:id="50"/>
      </w:r>
      <w:r w:rsidR="00F42BD1">
        <w:rPr>
          <w:rFonts w:ascii="Arial" w:hAnsi="Arial" w:cs="Arial"/>
          <w:spacing w:val="4"/>
          <w:sz w:val="20"/>
          <w:szCs w:val="20"/>
        </w:rPr>
        <w:t>.</w:t>
      </w:r>
      <w:r w:rsidR="00372901">
        <w:rPr>
          <w:rFonts w:ascii="Arial" w:hAnsi="Arial" w:cs="Arial"/>
          <w:spacing w:val="4"/>
          <w:sz w:val="20"/>
          <w:szCs w:val="20"/>
        </w:rPr>
        <w:t xml:space="preserve"> </w:t>
      </w:r>
      <w:r w:rsidRPr="004E3242">
        <w:rPr>
          <w:rFonts w:ascii="Arial" w:hAnsi="Arial" w:cs="Arial"/>
          <w:spacing w:val="4"/>
          <w:sz w:val="20"/>
          <w:szCs w:val="20"/>
        </w:rPr>
        <w:t>Współfinansowanie projektów, wskazanych w załącznikach do Master Planów, jako mogące spowodować nieosiągnięcie dobrego stanu wód lub pogorszenie stanu/potencjału jednolitych części wód</w:t>
      </w:r>
      <w:r w:rsidRPr="004E3242">
        <w:rPr>
          <w:rFonts w:ascii="Arial" w:hAnsi="Arial" w:cs="Arial"/>
          <w:spacing w:val="4"/>
          <w:sz w:val="20"/>
          <w:szCs w:val="20"/>
          <w:vertAlign w:val="superscript"/>
        </w:rPr>
        <w:footnoteReference w:id="51"/>
      </w:r>
      <w:r w:rsidRPr="004E3242">
        <w:rPr>
          <w:rFonts w:ascii="Arial" w:hAnsi="Arial" w:cs="Arial"/>
          <w:spacing w:val="4"/>
          <w:sz w:val="20"/>
          <w:szCs w:val="20"/>
        </w:rPr>
        <w:t xml:space="preserve">, nie będzie dozwolone do czasu przedstawienia wystarczających dowodów na spełnienie warunków określonych w art. 4.7 Ramowej Dyrektywy Wodnej w aktualizacji Planów Gospodarowania Wodami na Obszarach Dorzeczy. Wypełnienie </w:t>
      </w:r>
      <w:r w:rsidRPr="004E3242">
        <w:rPr>
          <w:rFonts w:ascii="Arial" w:hAnsi="Arial" w:cs="Arial"/>
          <w:spacing w:val="4"/>
          <w:sz w:val="20"/>
          <w:szCs w:val="20"/>
        </w:rPr>
        <w:lastRenderedPageBreak/>
        <w:t xml:space="preserve">warunku będzie uzależnione od potwierdzenia przez Komisję Europejską zgodności przygotowanych aktualizacji Planów Gospodarowania Wodami w Dorzeczach z wymogami Ramowej Dyrektywy Wodnej. W wyborze projektów dotyczących poprawy bezpieczeństwa powodziowego uwzględnione zostaną również plany zarządzania ryzykiem powodziowym. W ramach priorytetu inwestycyjnego przewiduje się wybór projektów w procedurze konkursowej oraz pozakonkursowej. Zastosowanie konkretnego trybu będzie uzależnione od specyfiki typów projektów, które będą mogły być współfinansowane. Szczególna uwaga na etapie selekcji zostanie skierowana na badanie stopnia osiągnięcia efektu ekologicznego. Niezależnie od zastosowanej ścieżki (konkursowej bądź pozakonkursowej), wybór projektów do dofinansowania będzie następował w wyniku oceny poszczególnych przedsięwzięć w oparciu o obiektywne kryteria zatwierdzone przez Komitet Monitorujący. Kryteria wyboru projektów będą służyły zapewnieniu efektywnej i prawidłowej realizacji celów określonych w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 </w:t>
      </w:r>
    </w:p>
    <w:p w14:paraId="679AEADD" w14:textId="77777777" w:rsidR="005E530E" w:rsidRDefault="005E530E" w:rsidP="004E3242">
      <w:pPr>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3D311CBE"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instrumentów finansowych</w:t>
      </w:r>
    </w:p>
    <w:p w14:paraId="2028738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odniesieniu do obszarów wsparcia w ramach priorytetu inwestycyjnego nie przewiduje się wsparcia w formie instrumentów finansowych. </w:t>
      </w:r>
    </w:p>
    <w:p w14:paraId="4AE5A97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dużych projektów</w:t>
      </w:r>
    </w:p>
    <w:p w14:paraId="67A3DBE7" w14:textId="77777777" w:rsidR="001B5078" w:rsidRDefault="001B5078" w:rsidP="004E3242">
      <w:pPr>
        <w:spacing w:before="120" w:after="120"/>
        <w:jc w:val="both"/>
        <w:rPr>
          <w:rFonts w:ascii="Arial" w:hAnsi="Arial" w:cs="Arial"/>
          <w:iCs/>
          <w:spacing w:val="4"/>
          <w:sz w:val="20"/>
          <w:szCs w:val="20"/>
        </w:rPr>
      </w:pPr>
      <w:r w:rsidRPr="001B5078">
        <w:rPr>
          <w:rFonts w:ascii="Arial" w:hAnsi="Arial" w:cs="Arial"/>
          <w:iCs/>
          <w:spacing w:val="4"/>
          <w:sz w:val="20"/>
          <w:szCs w:val="20"/>
        </w:rPr>
        <w:t xml:space="preserve">Duże projekty, które w znaczący sposób przyczynią się do osiągnięcia celów szczegółowych tego priorytetu, są identyfikowane na bieżąco i uwzględniane w ramach cyklicznej aktualizacji Wykazu Dużych Projektów, stanowiącego załącznik do Programu.  </w:t>
      </w:r>
    </w:p>
    <w:p w14:paraId="14380F4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45AFC368" w14:textId="77777777" w:rsidR="00575295" w:rsidRPr="00575295" w:rsidRDefault="004E3242" w:rsidP="00F42BD1">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ma charakter horyzontalny i dotyczy całego kraju. Interwencje będą lokalizowane zgodnie ze wskazaniem wynikającym z określonych dokumentów o charakterze strategicznym, </w:t>
      </w:r>
      <w:r w:rsidRPr="004E3242">
        <w:rPr>
          <w:rFonts w:ascii="Arial" w:hAnsi="Arial" w:cs="Arial"/>
          <w:spacing w:val="4"/>
          <w:sz w:val="20"/>
          <w:szCs w:val="20"/>
        </w:rPr>
        <w:br/>
        <w:t xml:space="preserve">w szczególności </w:t>
      </w:r>
      <w:r w:rsidRPr="004E3242">
        <w:rPr>
          <w:rFonts w:ascii="Arial" w:hAnsi="Arial" w:cs="Arial"/>
          <w:i/>
          <w:spacing w:val="4"/>
          <w:sz w:val="20"/>
          <w:szCs w:val="20"/>
        </w:rPr>
        <w:t>Strategicznym planem adaptacji dla sektorów i obszarów wrażliwych na zmiany klimatu do roku 2020, z perspektywą do roku 2030</w:t>
      </w:r>
      <w:r w:rsidRPr="004E3242">
        <w:rPr>
          <w:rFonts w:ascii="Arial" w:hAnsi="Arial" w:cs="Arial"/>
          <w:spacing w:val="4"/>
          <w:sz w:val="20"/>
          <w:szCs w:val="20"/>
        </w:rPr>
        <w:t xml:space="preserve"> (SPA 2020). Uwzględniona zostanie również przygotowana wstępna ocena ryzyka powodziowego dla Polski, określająca obszary, dla których istnieje duże ryzyko powodziowe oraz sporządzone dla tych obszarów mapy zagrożenia powodziowego i mapy ryzyka powodziowego. Ww. mapy </w:t>
      </w:r>
      <w:r w:rsidR="009924BB" w:rsidRPr="009924BB">
        <w:rPr>
          <w:rFonts w:ascii="Arial" w:hAnsi="Arial" w:cs="Arial"/>
          <w:spacing w:val="4"/>
          <w:sz w:val="20"/>
          <w:szCs w:val="20"/>
        </w:rPr>
        <w:t xml:space="preserve">były </w:t>
      </w:r>
      <w:r w:rsidRPr="004E3242">
        <w:rPr>
          <w:rFonts w:ascii="Arial" w:hAnsi="Arial" w:cs="Arial"/>
          <w:spacing w:val="4"/>
          <w:sz w:val="20"/>
          <w:szCs w:val="20"/>
        </w:rPr>
        <w:t xml:space="preserve">podstawą do opracowania planów zarządzania ryzykiem powodziowym dla obszarów dorzeczy i regionów wodnych. Ponadto </w:t>
      </w:r>
      <w:r w:rsidR="00F42BD1" w:rsidRPr="00F42BD1">
        <w:rPr>
          <w:rFonts w:ascii="Arial" w:hAnsi="Arial" w:cs="Arial"/>
          <w:spacing w:val="4"/>
          <w:sz w:val="20"/>
          <w:szCs w:val="20"/>
        </w:rPr>
        <w:t xml:space="preserve">zostały </w:t>
      </w:r>
      <w:r w:rsidRPr="004E3242">
        <w:rPr>
          <w:rFonts w:ascii="Arial" w:hAnsi="Arial" w:cs="Arial"/>
          <w:spacing w:val="4"/>
          <w:sz w:val="20"/>
          <w:szCs w:val="20"/>
        </w:rPr>
        <w:t>wyznaczone obszary narażone na zalanie w przypadku zniszczenia lub uszkodzenia wałów przeciwpowodziowych.</w:t>
      </w:r>
      <w:r w:rsidR="00575295" w:rsidRPr="00575295">
        <w:rPr>
          <w:rFonts w:ascii="Arial" w:hAnsi="Arial" w:cs="Arial"/>
          <w:spacing w:val="4"/>
          <w:sz w:val="20"/>
          <w:szCs w:val="20"/>
        </w:rPr>
        <w:t xml:space="preserve">  </w:t>
      </w:r>
      <w:r w:rsidR="00F42BD1" w:rsidRPr="00F42BD1">
        <w:rPr>
          <w:rFonts w:ascii="Arial" w:hAnsi="Arial" w:cs="Arial"/>
          <w:spacing w:val="4"/>
          <w:sz w:val="20"/>
          <w:szCs w:val="20"/>
        </w:rPr>
        <w:t>Dodatkowo wsparcie realizowane w ramach priorytetu inwestycyjnego może zostać ukierunkowane również na wzmocnienie potencja</w:t>
      </w:r>
      <w:r w:rsidR="00F42BD1">
        <w:rPr>
          <w:rFonts w:ascii="Arial" w:hAnsi="Arial" w:cs="Arial"/>
          <w:spacing w:val="4"/>
          <w:sz w:val="20"/>
          <w:szCs w:val="20"/>
        </w:rPr>
        <w:t xml:space="preserve">łu rozwojowego miast średnich, </w:t>
      </w:r>
      <w:r w:rsidR="00F42BD1" w:rsidRPr="00F42BD1">
        <w:rPr>
          <w:rFonts w:ascii="Arial" w:hAnsi="Arial" w:cs="Arial"/>
          <w:spacing w:val="4"/>
          <w:sz w:val="20"/>
          <w:szCs w:val="20"/>
        </w:rPr>
        <w:t>w tym tracących funkcje społeczno-gospodarcze, o których mowa w rozdziale 3.1.2 Umowy Partnerstwa.</w:t>
      </w:r>
    </w:p>
    <w:p w14:paraId="02E83CBC"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podejmowane w ramach osi priorytetowej będzie miało charakter komplementarny </w:t>
      </w:r>
      <w:r w:rsidRPr="004E3242">
        <w:rPr>
          <w:rFonts w:ascii="Arial" w:hAnsi="Arial" w:cs="Arial"/>
          <w:spacing w:val="4"/>
          <w:sz w:val="20"/>
          <w:szCs w:val="20"/>
        </w:rPr>
        <w:br/>
        <w:t xml:space="preserve">do inwestycji realizowanych na obszarach wiejskich i zasadniczo nie będzie wprost nakierowane na interwencję na obszarach wiejskich. Niemniej przewiduje się, że inwestycje objęte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będą istotnie oddziaływać na obszary wiejskie. Będą one również oddziaływały na różnorodność biologiczną, gatunki, siedliska i obszary chronione.</w:t>
      </w:r>
    </w:p>
    <w:p w14:paraId="226EA482"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Oprócz zabezpieczenia istotnych potrzeb lokalnych w zakresie zapobiegania i przeciwdziałania ryzykom związanym z wystąpieniem sytuacji nadzwyczajnych, powyższe działania będą miały istotne znaczenie ponadnarodowe, wpływając na podniesienie bezpieczeństwa całego makroregionu Morza Bałtyckiego. Działania przewidziane do realizacji wpisują się w cele SUE </w:t>
      </w:r>
      <w:r w:rsidRPr="004E3242">
        <w:rPr>
          <w:rFonts w:ascii="Arial" w:hAnsi="Arial" w:cs="Arial"/>
          <w:spacing w:val="4"/>
          <w:sz w:val="20"/>
          <w:szCs w:val="20"/>
        </w:rPr>
        <w:lastRenderedPageBreak/>
        <w:t xml:space="preserve">RMB przyjęte w ramach OP SECURE, dotyczący ochrony przed sytuacjami nadzwyczajnymi oraz zapobiegania wypadkom na lądzie. </w:t>
      </w:r>
    </w:p>
    <w:p w14:paraId="09A9C927" w14:textId="77777777" w:rsidR="004E3242" w:rsidRPr="004E3242" w:rsidRDefault="004E3242" w:rsidP="004E3242">
      <w:pPr>
        <w:spacing w:before="120" w:after="120"/>
        <w:jc w:val="both"/>
        <w:rPr>
          <w:rFonts w:ascii="Arial" w:hAnsi="Arial" w:cs="Arial"/>
          <w:i/>
          <w:spacing w:val="4"/>
          <w:sz w:val="20"/>
          <w:szCs w:val="20"/>
        </w:rPr>
      </w:pPr>
      <w:r w:rsidRPr="004E3242">
        <w:rPr>
          <w:rFonts w:ascii="Arial" w:hAnsi="Arial" w:cs="Arial"/>
          <w:spacing w:val="4"/>
          <w:sz w:val="20"/>
          <w:szCs w:val="20"/>
        </w:rPr>
        <w:t xml:space="preserve">Realizacja priorytetu inwestycyjnego będzie ściśle związana z wymiarem bałtyckim programu poprzez działania nakierowane na wzmocnienie makroregionu Morza Bałtyckiego w zakresie odporności i przeciwdziałania na zmiany klimatu, a tym samym przyczyniające się do osiągnięcia celu szczegółowego SUE RMB </w:t>
      </w:r>
      <w:r w:rsidRPr="004E3242">
        <w:rPr>
          <w:rFonts w:ascii="Arial" w:hAnsi="Arial" w:cs="Arial"/>
          <w:i/>
          <w:spacing w:val="4"/>
          <w:sz w:val="20"/>
          <w:szCs w:val="20"/>
        </w:rPr>
        <w:t>Adaptacja do zmiany klimatu, zapobieganie oraz zarządzanie ryzykiem.</w:t>
      </w:r>
    </w:p>
    <w:p w14:paraId="519690F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12"/>
        <w:gridCol w:w="2472"/>
        <w:gridCol w:w="982"/>
        <w:gridCol w:w="903"/>
        <w:gridCol w:w="942"/>
        <w:gridCol w:w="945"/>
        <w:gridCol w:w="1283"/>
        <w:gridCol w:w="1247"/>
      </w:tblGrid>
      <w:tr w:rsidR="004E3242" w:rsidRPr="004E3242" w14:paraId="69CB1F37" w14:textId="77777777" w:rsidTr="00AA7998">
        <w:tc>
          <w:tcPr>
            <w:tcW w:w="276" w:type="pct"/>
            <w:shd w:val="clear" w:color="auto" w:fill="99CC00"/>
            <w:vAlign w:val="center"/>
          </w:tcPr>
          <w:p w14:paraId="18435B19"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331" w:type="pct"/>
            <w:shd w:val="clear" w:color="auto" w:fill="99CC00"/>
            <w:vAlign w:val="center"/>
          </w:tcPr>
          <w:p w14:paraId="6B0A96FC"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9" w:type="pct"/>
            <w:shd w:val="clear" w:color="auto" w:fill="99CC00"/>
            <w:vAlign w:val="center"/>
          </w:tcPr>
          <w:p w14:paraId="104F37A3"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86" w:type="pct"/>
            <w:shd w:val="clear" w:color="auto" w:fill="99CC00"/>
            <w:vAlign w:val="center"/>
          </w:tcPr>
          <w:p w14:paraId="4A1625E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07" w:type="pct"/>
            <w:shd w:val="clear" w:color="auto" w:fill="99CC00"/>
            <w:vAlign w:val="center"/>
          </w:tcPr>
          <w:p w14:paraId="4EB8156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09" w:type="pct"/>
            <w:shd w:val="clear" w:color="auto" w:fill="99CC00"/>
            <w:vAlign w:val="center"/>
          </w:tcPr>
          <w:p w14:paraId="071938FB"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691" w:type="pct"/>
            <w:shd w:val="clear" w:color="auto" w:fill="99CC00"/>
            <w:vAlign w:val="center"/>
          </w:tcPr>
          <w:p w14:paraId="6DABA9A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6D978B6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6E8B9260" w14:textId="77777777" w:rsidTr="00AA7998">
        <w:tc>
          <w:tcPr>
            <w:tcW w:w="276" w:type="pct"/>
            <w:shd w:val="clear" w:color="auto" w:fill="F2F2F2"/>
            <w:vAlign w:val="center"/>
          </w:tcPr>
          <w:p w14:paraId="3079817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331" w:type="pct"/>
            <w:shd w:val="clear" w:color="auto" w:fill="F2F2F2"/>
            <w:vAlign w:val="center"/>
          </w:tcPr>
          <w:p w14:paraId="4069393B"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t>Objętość retencjonowanej wody</w:t>
            </w:r>
          </w:p>
        </w:tc>
        <w:tc>
          <w:tcPr>
            <w:tcW w:w="529" w:type="pct"/>
            <w:shd w:val="clear" w:color="auto" w:fill="F2F2F2"/>
            <w:vAlign w:val="center"/>
          </w:tcPr>
          <w:p w14:paraId="1FC5555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m</w:t>
            </w:r>
            <w:r w:rsidRPr="004E3242">
              <w:rPr>
                <w:rFonts w:ascii="Arial" w:hAnsi="Arial" w:cs="Arial"/>
                <w:sz w:val="16"/>
                <w:szCs w:val="16"/>
                <w:vertAlign w:val="superscript"/>
              </w:rPr>
              <w:t>3</w:t>
            </w:r>
          </w:p>
        </w:tc>
        <w:tc>
          <w:tcPr>
            <w:tcW w:w="486" w:type="pct"/>
            <w:shd w:val="clear" w:color="auto" w:fill="F2F2F2"/>
            <w:vAlign w:val="center"/>
          </w:tcPr>
          <w:p w14:paraId="7067BA5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07" w:type="pct"/>
            <w:shd w:val="clear" w:color="auto" w:fill="F2F2F2"/>
            <w:vAlign w:val="center"/>
          </w:tcPr>
          <w:p w14:paraId="56640C8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09" w:type="pct"/>
            <w:shd w:val="clear" w:color="auto" w:fill="F2F2F2"/>
            <w:vAlign w:val="center"/>
          </w:tcPr>
          <w:p w14:paraId="57421D3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2 500 000</w:t>
            </w:r>
          </w:p>
        </w:tc>
        <w:tc>
          <w:tcPr>
            <w:tcW w:w="691" w:type="pct"/>
            <w:shd w:val="clear" w:color="auto" w:fill="F2F2F2"/>
            <w:vAlign w:val="center"/>
          </w:tcPr>
          <w:p w14:paraId="1E67B65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0BCA64D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5A699B" w:rsidRPr="004E3242" w14:paraId="7BE5DED5" w14:textId="77777777" w:rsidTr="00AA7998">
        <w:tc>
          <w:tcPr>
            <w:tcW w:w="276" w:type="pct"/>
            <w:shd w:val="clear" w:color="auto" w:fill="F2F2F2"/>
            <w:vAlign w:val="center"/>
          </w:tcPr>
          <w:p w14:paraId="7B7B59E4"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2.</w:t>
            </w:r>
          </w:p>
        </w:tc>
        <w:tc>
          <w:tcPr>
            <w:tcW w:w="1331" w:type="pct"/>
            <w:shd w:val="clear" w:color="auto" w:fill="F2F2F2"/>
            <w:vAlign w:val="center"/>
          </w:tcPr>
          <w:p w14:paraId="46348B1F" w14:textId="77777777" w:rsidR="005A699B" w:rsidRPr="004E3242" w:rsidRDefault="00F42BD1" w:rsidP="004E3242">
            <w:pPr>
              <w:autoSpaceDE w:val="0"/>
              <w:autoSpaceDN w:val="0"/>
              <w:adjustRightInd w:val="0"/>
              <w:spacing w:before="60" w:after="60" w:line="240" w:lineRule="auto"/>
              <w:jc w:val="both"/>
              <w:rPr>
                <w:rFonts w:ascii="Arial" w:hAnsi="Arial" w:cs="Arial"/>
                <w:spacing w:val="4"/>
                <w:sz w:val="16"/>
                <w:szCs w:val="16"/>
              </w:rPr>
            </w:pPr>
            <w:r w:rsidRPr="00F42BD1">
              <w:rPr>
                <w:rFonts w:ascii="Arial" w:hAnsi="Arial" w:cs="Arial"/>
                <w:spacing w:val="4"/>
                <w:sz w:val="16"/>
                <w:szCs w:val="16"/>
              </w:rPr>
              <w:t>Pojemność obiektów dużej retencji</w:t>
            </w:r>
          </w:p>
        </w:tc>
        <w:tc>
          <w:tcPr>
            <w:tcW w:w="529" w:type="pct"/>
            <w:shd w:val="clear" w:color="auto" w:fill="F2F2F2"/>
            <w:vAlign w:val="center"/>
          </w:tcPr>
          <w:p w14:paraId="68C9F183"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m</w:t>
            </w:r>
            <w:r w:rsidRPr="004E3242">
              <w:rPr>
                <w:rFonts w:ascii="Arial" w:hAnsi="Arial" w:cs="Arial"/>
                <w:sz w:val="16"/>
                <w:szCs w:val="16"/>
                <w:vertAlign w:val="superscript"/>
              </w:rPr>
              <w:t>3</w:t>
            </w:r>
          </w:p>
        </w:tc>
        <w:tc>
          <w:tcPr>
            <w:tcW w:w="486" w:type="pct"/>
            <w:shd w:val="clear" w:color="auto" w:fill="F2F2F2"/>
            <w:vAlign w:val="center"/>
          </w:tcPr>
          <w:p w14:paraId="264312D9"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FS</w:t>
            </w:r>
          </w:p>
        </w:tc>
        <w:tc>
          <w:tcPr>
            <w:tcW w:w="507" w:type="pct"/>
            <w:shd w:val="clear" w:color="auto" w:fill="F2F2F2"/>
            <w:vAlign w:val="center"/>
          </w:tcPr>
          <w:p w14:paraId="7636C3A7"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n/d</w:t>
            </w:r>
          </w:p>
        </w:tc>
        <w:tc>
          <w:tcPr>
            <w:tcW w:w="509" w:type="pct"/>
            <w:shd w:val="clear" w:color="auto" w:fill="F2F2F2"/>
            <w:vAlign w:val="center"/>
          </w:tcPr>
          <w:p w14:paraId="2DFCE00B" w14:textId="77777777" w:rsidR="005A699B" w:rsidRPr="00D47867" w:rsidRDefault="00F42BD1" w:rsidP="00A77DCB">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185 000 000</w:t>
            </w:r>
          </w:p>
        </w:tc>
        <w:tc>
          <w:tcPr>
            <w:tcW w:w="691" w:type="pct"/>
            <w:shd w:val="clear" w:color="auto" w:fill="F2F2F2"/>
            <w:vAlign w:val="center"/>
          </w:tcPr>
          <w:p w14:paraId="592BE1EF"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SL 2014</w:t>
            </w:r>
          </w:p>
        </w:tc>
        <w:tc>
          <w:tcPr>
            <w:tcW w:w="671" w:type="pct"/>
            <w:shd w:val="clear" w:color="auto" w:fill="F2F2F2"/>
            <w:vAlign w:val="center"/>
          </w:tcPr>
          <w:p w14:paraId="038762CC"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Rocznie</w:t>
            </w:r>
          </w:p>
        </w:tc>
      </w:tr>
      <w:tr w:rsidR="005A699B" w:rsidRPr="004E3242" w14:paraId="757F53E7" w14:textId="77777777" w:rsidTr="00AA7998">
        <w:tc>
          <w:tcPr>
            <w:tcW w:w="276" w:type="pct"/>
            <w:shd w:val="clear" w:color="auto" w:fill="F2F2F2"/>
            <w:vAlign w:val="center"/>
          </w:tcPr>
          <w:p w14:paraId="3CA29075"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3.</w:t>
            </w:r>
          </w:p>
        </w:tc>
        <w:tc>
          <w:tcPr>
            <w:tcW w:w="1331" w:type="pct"/>
            <w:shd w:val="clear" w:color="auto" w:fill="F2F2F2"/>
            <w:vAlign w:val="center"/>
          </w:tcPr>
          <w:p w14:paraId="438CB4BE" w14:textId="77777777" w:rsidR="005A699B" w:rsidRPr="004E3242" w:rsidRDefault="00F42BD1" w:rsidP="004E3242">
            <w:pPr>
              <w:autoSpaceDE w:val="0"/>
              <w:autoSpaceDN w:val="0"/>
              <w:adjustRightInd w:val="0"/>
              <w:spacing w:before="60" w:after="60" w:line="240" w:lineRule="auto"/>
              <w:jc w:val="both"/>
              <w:rPr>
                <w:rFonts w:ascii="Arial" w:hAnsi="Arial" w:cs="Arial"/>
                <w:spacing w:val="4"/>
                <w:sz w:val="16"/>
                <w:szCs w:val="16"/>
              </w:rPr>
            </w:pPr>
            <w:r w:rsidRPr="00F42BD1">
              <w:rPr>
                <w:rFonts w:ascii="Arial" w:hAnsi="Arial" w:cs="Arial"/>
                <w:spacing w:val="4"/>
                <w:sz w:val="16"/>
                <w:szCs w:val="16"/>
              </w:rPr>
              <w:t>Liczba ludności odnoszących korzyści ze środków ochrony przeciwpowodziowej (CI)</w:t>
            </w:r>
          </w:p>
        </w:tc>
        <w:tc>
          <w:tcPr>
            <w:tcW w:w="529" w:type="pct"/>
            <w:shd w:val="clear" w:color="auto" w:fill="F2F2F2"/>
            <w:vAlign w:val="center"/>
          </w:tcPr>
          <w:p w14:paraId="07FEA782"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osoby</w:t>
            </w:r>
          </w:p>
        </w:tc>
        <w:tc>
          <w:tcPr>
            <w:tcW w:w="486" w:type="pct"/>
            <w:shd w:val="clear" w:color="auto" w:fill="F2F2F2"/>
            <w:vAlign w:val="center"/>
          </w:tcPr>
          <w:p w14:paraId="4F6CC878"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FS</w:t>
            </w:r>
          </w:p>
        </w:tc>
        <w:tc>
          <w:tcPr>
            <w:tcW w:w="507" w:type="pct"/>
            <w:shd w:val="clear" w:color="auto" w:fill="F2F2F2"/>
            <w:vAlign w:val="center"/>
          </w:tcPr>
          <w:p w14:paraId="1B537DCF"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n/d</w:t>
            </w:r>
          </w:p>
        </w:tc>
        <w:tc>
          <w:tcPr>
            <w:tcW w:w="509" w:type="pct"/>
            <w:shd w:val="clear" w:color="auto" w:fill="F2F2F2"/>
            <w:vAlign w:val="center"/>
          </w:tcPr>
          <w:p w14:paraId="6D0E3C59" w14:textId="77777777" w:rsidR="005A699B" w:rsidRPr="005A699B" w:rsidRDefault="008314B8" w:rsidP="00A77DCB">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8314B8">
              <w:rPr>
                <w:rFonts w:ascii="Arial" w:hAnsi="Arial" w:cs="Arial"/>
                <w:spacing w:val="4"/>
                <w:sz w:val="16"/>
                <w:szCs w:val="16"/>
              </w:rPr>
              <w:t>1 300 000</w:t>
            </w:r>
          </w:p>
        </w:tc>
        <w:tc>
          <w:tcPr>
            <w:tcW w:w="691" w:type="pct"/>
            <w:shd w:val="clear" w:color="auto" w:fill="F2F2F2"/>
            <w:vAlign w:val="center"/>
          </w:tcPr>
          <w:p w14:paraId="562E0D7A"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SL 2014</w:t>
            </w:r>
          </w:p>
        </w:tc>
        <w:tc>
          <w:tcPr>
            <w:tcW w:w="671" w:type="pct"/>
            <w:shd w:val="clear" w:color="auto" w:fill="F2F2F2"/>
            <w:vAlign w:val="center"/>
          </w:tcPr>
          <w:p w14:paraId="3FC7F7EF" w14:textId="77777777" w:rsidR="005A699B" w:rsidRPr="004E3242" w:rsidRDefault="00F42BD1" w:rsidP="004E3242">
            <w:pPr>
              <w:autoSpaceDE w:val="0"/>
              <w:autoSpaceDN w:val="0"/>
              <w:adjustRightInd w:val="0"/>
              <w:spacing w:before="60" w:after="60" w:line="240" w:lineRule="auto"/>
              <w:jc w:val="center"/>
              <w:rPr>
                <w:rFonts w:ascii="Arial" w:hAnsi="Arial" w:cs="Arial"/>
                <w:spacing w:val="4"/>
                <w:sz w:val="16"/>
                <w:szCs w:val="16"/>
              </w:rPr>
            </w:pPr>
            <w:r w:rsidRPr="00F42BD1">
              <w:rPr>
                <w:rFonts w:ascii="Arial" w:hAnsi="Arial" w:cs="Arial"/>
                <w:spacing w:val="4"/>
                <w:sz w:val="16"/>
                <w:szCs w:val="16"/>
              </w:rPr>
              <w:t>Rocznie</w:t>
            </w:r>
          </w:p>
        </w:tc>
      </w:tr>
      <w:tr w:rsidR="005A699B" w:rsidRPr="004E3242" w14:paraId="3057B2D4" w14:textId="77777777" w:rsidTr="00AA7998">
        <w:tc>
          <w:tcPr>
            <w:tcW w:w="276" w:type="pct"/>
            <w:shd w:val="clear" w:color="auto" w:fill="F2F2F2"/>
            <w:vAlign w:val="center"/>
          </w:tcPr>
          <w:p w14:paraId="30C2BB15" w14:textId="77777777" w:rsidR="005A699B" w:rsidRPr="004E3242" w:rsidRDefault="005A699B"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4</w:t>
            </w:r>
            <w:r w:rsidRPr="004E3242">
              <w:rPr>
                <w:rFonts w:ascii="Arial" w:hAnsi="Arial" w:cs="Arial"/>
                <w:spacing w:val="4"/>
                <w:sz w:val="16"/>
                <w:szCs w:val="16"/>
              </w:rPr>
              <w:t>.</w:t>
            </w:r>
          </w:p>
        </w:tc>
        <w:tc>
          <w:tcPr>
            <w:tcW w:w="1331" w:type="pct"/>
            <w:shd w:val="clear" w:color="auto" w:fill="F2F2F2"/>
            <w:vAlign w:val="center"/>
          </w:tcPr>
          <w:p w14:paraId="398FD957" w14:textId="77777777" w:rsidR="005A699B" w:rsidRPr="004E3242" w:rsidRDefault="005A699B"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jednostek służb ratowniczych wspartych do prowadzenia akcji ratowniczych i usuwania skutków awarii i katastrof</w:t>
            </w:r>
          </w:p>
        </w:tc>
        <w:tc>
          <w:tcPr>
            <w:tcW w:w="529" w:type="pct"/>
            <w:shd w:val="clear" w:color="auto" w:fill="F2F2F2"/>
            <w:vAlign w:val="center"/>
          </w:tcPr>
          <w:p w14:paraId="5E91A7BC" w14:textId="77777777" w:rsidR="005A699B" w:rsidRPr="004E3242" w:rsidRDefault="005A699B"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486" w:type="pct"/>
            <w:shd w:val="clear" w:color="auto" w:fill="F2F2F2"/>
            <w:vAlign w:val="center"/>
          </w:tcPr>
          <w:p w14:paraId="14DCBBEE" w14:textId="77777777" w:rsidR="005A699B" w:rsidRPr="004E3242" w:rsidRDefault="005A699B"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07" w:type="pct"/>
            <w:shd w:val="clear" w:color="auto" w:fill="F2F2F2"/>
            <w:vAlign w:val="center"/>
          </w:tcPr>
          <w:p w14:paraId="73224AC3" w14:textId="77777777" w:rsidR="005A699B" w:rsidRPr="004E3242" w:rsidRDefault="005A699B"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09" w:type="pct"/>
            <w:shd w:val="clear" w:color="auto" w:fill="F2F2F2"/>
            <w:vAlign w:val="center"/>
          </w:tcPr>
          <w:p w14:paraId="059B089D" w14:textId="77777777" w:rsidR="005A699B" w:rsidRPr="004E3242" w:rsidRDefault="008314B8"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8314B8">
              <w:rPr>
                <w:rFonts w:ascii="Arial" w:hAnsi="Arial" w:cs="Arial"/>
                <w:spacing w:val="4"/>
                <w:sz w:val="16"/>
                <w:szCs w:val="16"/>
              </w:rPr>
              <w:t>17</w:t>
            </w:r>
          </w:p>
        </w:tc>
        <w:tc>
          <w:tcPr>
            <w:tcW w:w="691" w:type="pct"/>
            <w:shd w:val="clear" w:color="auto" w:fill="F2F2F2"/>
            <w:vAlign w:val="center"/>
          </w:tcPr>
          <w:p w14:paraId="27A6268F" w14:textId="77777777" w:rsidR="005A699B" w:rsidRPr="004E3242" w:rsidRDefault="005A699B"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2C220648" w14:textId="77777777" w:rsidR="005A699B" w:rsidRPr="004E3242" w:rsidRDefault="005A699B"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2F742B1C" w14:textId="77777777" w:rsidR="0038281A" w:rsidRPr="004E3242" w:rsidRDefault="0038281A"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16A69E93"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6.i Inwestowanie w sektor gospodarki odpadami celem wypełnienia zobowiązań określonych w dorobku prawnym Unii w zakresie środowiska oraz zaspokojenia wykraczających poza te zobowiązania potrzeb inwestycyjnych określonych przez państwa członkowskie</w:t>
      </w:r>
    </w:p>
    <w:p w14:paraId="111E393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4F865F61"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Mniejsza ilość odpadów komunalnych podlegających składowaniu</w:t>
      </w:r>
    </w:p>
    <w:p w14:paraId="7105E8FF"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0AC879E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Realizacja priorytetu inwestycyjnego przyczyni się do osiągnięcia celu dotyczącego zmniejszenia ilości odpadów komunalnych podlegających składowaniu. Zostanie to osiągnięte dzięki racjonalizacji systemu gospodarki odpadami (w tym m.in. dzięki zapewnieniu właściwej infrastruktury do zagospodarowywania odpadów)</w:t>
      </w:r>
    </w:p>
    <w:p w14:paraId="47F9186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52"/>
        <w:gridCol w:w="1824"/>
        <w:gridCol w:w="992"/>
        <w:gridCol w:w="992"/>
        <w:gridCol w:w="851"/>
        <w:gridCol w:w="851"/>
        <w:gridCol w:w="962"/>
        <w:gridCol w:w="880"/>
        <w:gridCol w:w="1382"/>
      </w:tblGrid>
      <w:tr w:rsidR="004E3242" w:rsidRPr="004E3242" w14:paraId="79838F7D" w14:textId="77777777" w:rsidTr="00AA7998">
        <w:tc>
          <w:tcPr>
            <w:tcW w:w="298" w:type="pct"/>
            <w:shd w:val="clear" w:color="auto" w:fill="99CC00"/>
            <w:vAlign w:val="center"/>
          </w:tcPr>
          <w:p w14:paraId="3A2971C5"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82" w:type="pct"/>
            <w:shd w:val="clear" w:color="auto" w:fill="99CC00"/>
            <w:vAlign w:val="center"/>
          </w:tcPr>
          <w:p w14:paraId="62FE6A4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55412713"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3F84DD9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6735D3F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1711194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18" w:type="pct"/>
            <w:shd w:val="clear" w:color="auto" w:fill="99CC00"/>
            <w:vAlign w:val="center"/>
          </w:tcPr>
          <w:p w14:paraId="06035FE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74" w:type="pct"/>
            <w:shd w:val="clear" w:color="auto" w:fill="99CC00"/>
            <w:vAlign w:val="center"/>
          </w:tcPr>
          <w:p w14:paraId="4A831A1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228C401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434E9C1E" w14:textId="77777777" w:rsidTr="00AA7998">
        <w:tc>
          <w:tcPr>
            <w:tcW w:w="298" w:type="pct"/>
            <w:shd w:val="clear" w:color="auto" w:fill="F2F2F2"/>
            <w:vAlign w:val="center"/>
          </w:tcPr>
          <w:p w14:paraId="4724A62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982" w:type="pct"/>
            <w:shd w:val="clear" w:color="auto" w:fill="F2F2F2"/>
            <w:vAlign w:val="center"/>
          </w:tcPr>
          <w:p w14:paraId="6406BD78" w14:textId="77777777" w:rsidR="004E3242" w:rsidRPr="004E3242" w:rsidDel="00DC6A16"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Udział odpadów komunalnych niepodlegających składowaniu </w:t>
            </w:r>
            <w:r w:rsidRPr="004E3242">
              <w:rPr>
                <w:rFonts w:ascii="Arial" w:hAnsi="Arial" w:cs="Arial"/>
                <w:spacing w:val="4"/>
                <w:sz w:val="16"/>
                <w:szCs w:val="16"/>
              </w:rPr>
              <w:br/>
              <w:t>w ogólnej masie odpadów komunalnych</w:t>
            </w:r>
          </w:p>
        </w:tc>
        <w:tc>
          <w:tcPr>
            <w:tcW w:w="534" w:type="pct"/>
            <w:shd w:val="clear" w:color="auto" w:fill="F2F2F2"/>
            <w:vAlign w:val="center"/>
          </w:tcPr>
          <w:p w14:paraId="719F913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534" w:type="pct"/>
            <w:shd w:val="clear" w:color="auto" w:fill="F2F2F2"/>
            <w:vAlign w:val="center"/>
          </w:tcPr>
          <w:p w14:paraId="1193B98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6B4197A8"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24</w:t>
            </w:r>
          </w:p>
        </w:tc>
        <w:tc>
          <w:tcPr>
            <w:tcW w:w="458" w:type="pct"/>
            <w:shd w:val="clear" w:color="auto" w:fill="F2F2F2"/>
            <w:vAlign w:val="center"/>
          </w:tcPr>
          <w:p w14:paraId="4E63EE88"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2011</w:t>
            </w:r>
          </w:p>
        </w:tc>
        <w:tc>
          <w:tcPr>
            <w:tcW w:w="518" w:type="pct"/>
            <w:shd w:val="clear" w:color="auto" w:fill="F2F2F2"/>
            <w:vAlign w:val="center"/>
          </w:tcPr>
          <w:p w14:paraId="6AC2C3D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60</w:t>
            </w:r>
          </w:p>
        </w:tc>
        <w:tc>
          <w:tcPr>
            <w:tcW w:w="474" w:type="pct"/>
            <w:shd w:val="clear" w:color="auto" w:fill="F2F2F2"/>
            <w:vAlign w:val="center"/>
          </w:tcPr>
          <w:p w14:paraId="4CDF6F7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dane Eurostat dla Polski</w:t>
            </w:r>
            <w:r w:rsidRPr="004E3242">
              <w:rPr>
                <w:rFonts w:ascii="Arial" w:hAnsi="Arial" w:cs="Arial"/>
                <w:spacing w:val="4"/>
                <w:sz w:val="16"/>
                <w:szCs w:val="16"/>
                <w:vertAlign w:val="superscript"/>
              </w:rPr>
              <w:footnoteReference w:id="52"/>
            </w:r>
          </w:p>
        </w:tc>
        <w:tc>
          <w:tcPr>
            <w:tcW w:w="744" w:type="pct"/>
            <w:shd w:val="clear" w:color="auto" w:fill="F2F2F2"/>
            <w:vAlign w:val="center"/>
          </w:tcPr>
          <w:p w14:paraId="32C4CF3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8158CA1" w14:textId="77777777" w:rsidTr="00AA7998">
        <w:tc>
          <w:tcPr>
            <w:tcW w:w="298" w:type="pct"/>
            <w:shd w:val="clear" w:color="auto" w:fill="F2F2F2"/>
            <w:vAlign w:val="center"/>
          </w:tcPr>
          <w:p w14:paraId="39C7FFA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2.</w:t>
            </w:r>
          </w:p>
        </w:tc>
        <w:tc>
          <w:tcPr>
            <w:tcW w:w="982" w:type="pct"/>
            <w:shd w:val="clear" w:color="auto" w:fill="F2F2F2"/>
            <w:vAlign w:val="center"/>
          </w:tcPr>
          <w:p w14:paraId="48A72120"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Udział odpadów komunalnych zbieranych selektywnie </w:t>
            </w:r>
            <w:r w:rsidRPr="004E3242">
              <w:rPr>
                <w:rFonts w:ascii="Arial" w:hAnsi="Arial" w:cs="Arial"/>
                <w:spacing w:val="4"/>
                <w:sz w:val="16"/>
                <w:szCs w:val="16"/>
              </w:rPr>
              <w:br/>
              <w:t xml:space="preserve">w masie wszystkich zebranych odpadów komunalnych </w:t>
            </w:r>
            <w:r w:rsidRPr="004E3242">
              <w:rPr>
                <w:rFonts w:ascii="Arial" w:hAnsi="Arial" w:cs="Arial"/>
                <w:spacing w:val="4"/>
                <w:sz w:val="16"/>
                <w:szCs w:val="16"/>
              </w:rPr>
              <w:br/>
              <w:t>w skali kraju</w:t>
            </w:r>
          </w:p>
        </w:tc>
        <w:tc>
          <w:tcPr>
            <w:tcW w:w="534" w:type="pct"/>
            <w:shd w:val="clear" w:color="auto" w:fill="F2F2F2"/>
            <w:vAlign w:val="center"/>
          </w:tcPr>
          <w:p w14:paraId="4EAEADB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534" w:type="pct"/>
            <w:shd w:val="clear" w:color="auto" w:fill="F2F2F2"/>
            <w:vAlign w:val="center"/>
          </w:tcPr>
          <w:p w14:paraId="1E4AAD8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31EF02E8"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10</w:t>
            </w:r>
          </w:p>
        </w:tc>
        <w:tc>
          <w:tcPr>
            <w:tcW w:w="458" w:type="pct"/>
            <w:shd w:val="clear" w:color="auto" w:fill="F2F2F2"/>
            <w:vAlign w:val="center"/>
          </w:tcPr>
          <w:p w14:paraId="394F5E5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2011</w:t>
            </w:r>
          </w:p>
        </w:tc>
        <w:tc>
          <w:tcPr>
            <w:tcW w:w="518" w:type="pct"/>
            <w:shd w:val="clear" w:color="auto" w:fill="F2F2F2"/>
            <w:vAlign w:val="center"/>
          </w:tcPr>
          <w:p w14:paraId="34E3043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50</w:t>
            </w:r>
            <w:r w:rsidRPr="004E3242">
              <w:rPr>
                <w:rFonts w:ascii="Arial" w:hAnsi="Arial" w:cs="Arial"/>
                <w:spacing w:val="4"/>
                <w:sz w:val="16"/>
                <w:szCs w:val="16"/>
                <w:vertAlign w:val="superscript"/>
              </w:rPr>
              <w:footnoteReference w:id="53"/>
            </w:r>
          </w:p>
        </w:tc>
        <w:tc>
          <w:tcPr>
            <w:tcW w:w="474" w:type="pct"/>
            <w:shd w:val="clear" w:color="auto" w:fill="F2F2F2"/>
            <w:vAlign w:val="center"/>
          </w:tcPr>
          <w:p w14:paraId="0424F52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GUS</w:t>
            </w:r>
          </w:p>
        </w:tc>
        <w:tc>
          <w:tcPr>
            <w:tcW w:w="744" w:type="pct"/>
            <w:shd w:val="clear" w:color="auto" w:fill="F2F2F2"/>
            <w:vAlign w:val="center"/>
          </w:tcPr>
          <w:p w14:paraId="18DD2D0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6DC0FEF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2001202C" w14:textId="77777777" w:rsid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Pomimo postępu, jaki został dokonany w ostatnich latach w obszarze gospodarki odpadami konieczny jest wzmożony rozwój infrastruktury umożliwiającej prowadzenie gospodarki odpadami w zgodzie z hierarchią sposobów postępowania z odpadami,</w:t>
      </w:r>
      <w:r w:rsidRPr="004E3242">
        <w:rPr>
          <w:rFonts w:ascii="Arial" w:hAnsi="Arial" w:cs="Arial"/>
        </w:rPr>
        <w:t xml:space="preserve"> </w:t>
      </w:r>
      <w:r w:rsidRPr="004E3242">
        <w:rPr>
          <w:rFonts w:ascii="Arial" w:hAnsi="Arial" w:cs="Arial"/>
          <w:spacing w:val="4"/>
          <w:sz w:val="20"/>
          <w:szCs w:val="20"/>
        </w:rPr>
        <w:t xml:space="preserve">wskazaną w dyrektywie 2008/98/WE w sprawie odpadów (tzw. ramowa dyrektywa o odpadach), która nadaje priorytet zapobieganiu powstawaniu odpadów, przygotowaniu do ponownego użycia i recyklingowi. Ponadto dyrektywa 1999/31/WE w sprawie składowania odpadów (tzw. dyrektywa </w:t>
      </w:r>
      <w:proofErr w:type="spellStart"/>
      <w:r w:rsidRPr="004E3242">
        <w:rPr>
          <w:rFonts w:ascii="Arial" w:hAnsi="Arial" w:cs="Arial"/>
          <w:spacing w:val="4"/>
          <w:sz w:val="20"/>
          <w:szCs w:val="20"/>
        </w:rPr>
        <w:t>składowiskowa</w:t>
      </w:r>
      <w:proofErr w:type="spellEnd"/>
      <w:r w:rsidRPr="004E3242">
        <w:rPr>
          <w:rFonts w:ascii="Arial" w:hAnsi="Arial" w:cs="Arial"/>
          <w:spacing w:val="4"/>
          <w:sz w:val="20"/>
          <w:szCs w:val="20"/>
        </w:rPr>
        <w:t xml:space="preserve">) nakłada obowiązek redukcji masy odpadów komunalnych ulegających biodegradacji kierowanych do składowania. Wdrożenie nowoczesnej gospodarki odpadami, zgodnie z ww. hierarchią, przyniesie zarówno pozytywny efekt gospodarczy (ponowne wykorzystanie surowców i odzysk energii </w:t>
      </w:r>
      <w:r w:rsidRPr="004E3242">
        <w:rPr>
          <w:rFonts w:ascii="Arial" w:hAnsi="Arial" w:cs="Arial"/>
          <w:spacing w:val="4"/>
          <w:sz w:val="20"/>
          <w:szCs w:val="20"/>
        </w:rPr>
        <w:br/>
        <w:t xml:space="preserve">z odpadów), jak i polepszy jakość życia (zmniejszenie uciążliwości związanych z nadmiernym składowaniem odpadów). </w:t>
      </w:r>
    </w:p>
    <w:p w14:paraId="663BE983" w14:textId="77777777" w:rsidR="004E3242" w:rsidRPr="00C20C54" w:rsidRDefault="001B5078" w:rsidP="004E3242">
      <w:pPr>
        <w:autoSpaceDE w:val="0"/>
        <w:autoSpaceDN w:val="0"/>
        <w:adjustRightInd w:val="0"/>
        <w:spacing w:before="120" w:after="120"/>
        <w:jc w:val="both"/>
        <w:rPr>
          <w:rFonts w:ascii="Arial" w:hAnsi="Arial" w:cs="Arial"/>
          <w:sz w:val="20"/>
          <w:szCs w:val="20"/>
        </w:rPr>
      </w:pPr>
      <w:r w:rsidRPr="001B5078">
        <w:rPr>
          <w:rFonts w:ascii="Arial" w:hAnsi="Arial" w:cs="Arial"/>
          <w:sz w:val="20"/>
          <w:szCs w:val="20"/>
        </w:rPr>
        <w:t>W przypadku projektów dotyczących PSZOK, linia demarkacyjna będzie przebiegała  w oparciu o próg kwotowy, ustalony w poszczególnych dokumentach wdrożeniowych dla programów operacyjnych i liczbę obsługiwanych mieszkańców. W przypadku pozostałych inwestycji podział interwencji pomiędzy poziom krajowy a regionalny będzie przebiegał w oparciu o kwotę</w:t>
      </w:r>
      <w:r>
        <w:rPr>
          <w:rFonts w:ascii="Arial" w:hAnsi="Arial" w:cs="Arial"/>
          <w:sz w:val="20"/>
          <w:szCs w:val="20"/>
        </w:rPr>
        <w:t xml:space="preserve"> lub tryb realizacji inwestycji</w:t>
      </w:r>
      <w:r>
        <w:rPr>
          <w:rStyle w:val="Odwoanieprzypisudolnego"/>
          <w:rFonts w:ascii="Arial" w:hAnsi="Arial" w:cs="Arial"/>
          <w:sz w:val="20"/>
          <w:szCs w:val="20"/>
        </w:rPr>
        <w:footnoteReference w:id="54"/>
      </w:r>
      <w:r w:rsidRPr="001B5078">
        <w:rPr>
          <w:rFonts w:ascii="Arial" w:hAnsi="Arial" w:cs="Arial"/>
          <w:sz w:val="20"/>
          <w:szCs w:val="20"/>
        </w:rPr>
        <w:t>.</w:t>
      </w:r>
      <w:r w:rsidR="00805350">
        <w:rPr>
          <w:rFonts w:ascii="Arial" w:hAnsi="Arial" w:cs="Arial"/>
          <w:sz w:val="20"/>
          <w:szCs w:val="20"/>
        </w:rPr>
        <w:br/>
      </w:r>
      <w:r w:rsidR="004E3242" w:rsidRPr="00C20C54">
        <w:rPr>
          <w:rFonts w:ascii="Arial" w:hAnsi="Arial" w:cs="Arial"/>
          <w:sz w:val="20"/>
          <w:szCs w:val="20"/>
        </w:rPr>
        <w:t xml:space="preserve">W celu wypełnienia warunkowości ex </w:t>
      </w:r>
      <w:proofErr w:type="spellStart"/>
      <w:r w:rsidR="004E3242" w:rsidRPr="00C20C54">
        <w:rPr>
          <w:rFonts w:ascii="Arial" w:hAnsi="Arial" w:cs="Arial"/>
          <w:sz w:val="20"/>
          <w:szCs w:val="20"/>
        </w:rPr>
        <w:t>ante</w:t>
      </w:r>
      <w:proofErr w:type="spellEnd"/>
      <w:r w:rsidR="004E3242" w:rsidRPr="00C20C54">
        <w:rPr>
          <w:rFonts w:ascii="Arial" w:hAnsi="Arial" w:cs="Arial"/>
          <w:sz w:val="20"/>
          <w:szCs w:val="20"/>
        </w:rPr>
        <w:t xml:space="preserve"> (szczegółowo opisanej w rozdziale 9) zaktualizowany zostanie Krajowy plan gospodarki odpadami oraz wojewódzkie plany gospodarki odpadami, których załącznikami będą plany inwestycyjne (</w:t>
      </w:r>
      <w:r w:rsidR="005D6DE2">
        <w:rPr>
          <w:rFonts w:ascii="Arial" w:hAnsi="Arial" w:cs="Arial"/>
          <w:sz w:val="20"/>
          <w:szCs w:val="20"/>
        </w:rPr>
        <w:t>uzgodnione z Ministrem Środowiska</w:t>
      </w:r>
      <w:r w:rsidR="004E3242" w:rsidRPr="00C20C54">
        <w:rPr>
          <w:rFonts w:ascii="Arial" w:hAnsi="Arial" w:cs="Arial"/>
          <w:sz w:val="20"/>
          <w:szCs w:val="20"/>
        </w:rPr>
        <w:t>).</w:t>
      </w:r>
    </w:p>
    <w:p w14:paraId="237A22E7" w14:textId="77777777" w:rsidR="004E3242" w:rsidRPr="00C20C54" w:rsidRDefault="004E3242" w:rsidP="004E3242">
      <w:pPr>
        <w:autoSpaceDE w:val="0"/>
        <w:autoSpaceDN w:val="0"/>
        <w:adjustRightInd w:val="0"/>
        <w:spacing w:before="120" w:after="120"/>
        <w:jc w:val="both"/>
        <w:rPr>
          <w:rFonts w:ascii="Arial" w:hAnsi="Arial" w:cs="Arial"/>
          <w:sz w:val="20"/>
          <w:szCs w:val="20"/>
        </w:rPr>
      </w:pPr>
      <w:r w:rsidRPr="00C20C54">
        <w:rPr>
          <w:rFonts w:ascii="Arial" w:hAnsi="Arial" w:cs="Arial"/>
          <w:sz w:val="20"/>
          <w:szCs w:val="20"/>
        </w:rPr>
        <w:t xml:space="preserve">W zależności od zidentyfikowanych potrzeb w danym regionie gospodarki odpadami realizowane będą zarówno projekty kompleksowe obejmujące swoim zakresem wszystkie niezbędne elementy hierarchii jak i projekty obejmujące zakresem tylko wybrane elementy. Promowane będą projekty, </w:t>
      </w:r>
      <w:r w:rsidR="005D6DE2" w:rsidRPr="005D6DE2">
        <w:rPr>
          <w:rFonts w:ascii="Arial" w:hAnsi="Arial" w:cs="Arial"/>
          <w:sz w:val="20"/>
          <w:szCs w:val="20"/>
        </w:rPr>
        <w:t>spełniające cele stojące najwyżej w hierarchii sposobów postępowania z odpadami oraz projekty,</w:t>
      </w:r>
      <w:r w:rsidR="005D6DE2">
        <w:rPr>
          <w:rFonts w:ascii="Arial" w:hAnsi="Arial" w:cs="Arial"/>
          <w:sz w:val="20"/>
          <w:szCs w:val="20"/>
        </w:rPr>
        <w:t xml:space="preserve"> </w:t>
      </w:r>
      <w:r w:rsidRPr="00C20C54">
        <w:rPr>
          <w:rFonts w:ascii="Arial" w:hAnsi="Arial" w:cs="Arial"/>
          <w:sz w:val="20"/>
          <w:szCs w:val="20"/>
        </w:rPr>
        <w:t>które domykają system gospodarki odpadami w danym regionie.</w:t>
      </w:r>
    </w:p>
    <w:p w14:paraId="1F99C95E"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Do kompleksowych projektów zalicza się projekty zaplanowane zgodnie z hierarchią sposobów postępowania z odpadami i umożliwiające osiągnięcie celów dyrektywy 2008/98/WE</w:t>
      </w:r>
      <w:r w:rsidRPr="004E3242">
        <w:t xml:space="preserve"> </w:t>
      </w:r>
      <w:r w:rsidRPr="004E3242">
        <w:rPr>
          <w:rFonts w:ascii="Arial" w:hAnsi="Arial" w:cs="Arial"/>
          <w:sz w:val="20"/>
          <w:szCs w:val="20"/>
        </w:rPr>
        <w:t xml:space="preserve">i dyrektywy 1999/31/WE. Projekty takie powinny uwzględniać następujące komponenty, mogące stanowić część lub całość zakresu rzeczowego inwestycji: selektywna zbiórka odpadów komunalnych (w tym: papier, metal, plastik, szkło oraz odpady biodegradowalne), instalacje do odzysku i recyklingu odpadów </w:t>
      </w:r>
      <w:r w:rsidRPr="004E3242">
        <w:rPr>
          <w:rFonts w:ascii="Arial" w:hAnsi="Arial" w:cs="Arial"/>
          <w:sz w:val="20"/>
          <w:szCs w:val="20"/>
        </w:rPr>
        <w:br/>
        <w:t xml:space="preserve">(w tym kompostowanie odpadów organicznych) oraz instalacje do końcowego przetwarzania odpadów (w tym mechanicznego, biologicznego i termicznego z odzyskiem energii). </w:t>
      </w:r>
    </w:p>
    <w:p w14:paraId="69CEDFA1" w14:textId="77777777" w:rsidR="004E3242" w:rsidRPr="008D4738" w:rsidRDefault="004E3242" w:rsidP="008D4738">
      <w:pPr>
        <w:spacing w:before="120" w:after="120" w:line="240" w:lineRule="auto"/>
        <w:jc w:val="both"/>
        <w:rPr>
          <w:rFonts w:ascii="Arial" w:hAnsi="Arial" w:cs="Arial"/>
          <w:spacing w:val="4"/>
          <w:sz w:val="20"/>
          <w:szCs w:val="20"/>
        </w:rPr>
      </w:pPr>
      <w:r w:rsidRPr="004E3242">
        <w:rPr>
          <w:rFonts w:ascii="Arial" w:hAnsi="Arial" w:cs="Arial"/>
          <w:bCs/>
          <w:spacing w:val="4"/>
          <w:sz w:val="20"/>
          <w:szCs w:val="20"/>
        </w:rPr>
        <w:t>Przewiduje się wsparcie w szczególności następujących obszarów:</w:t>
      </w:r>
    </w:p>
    <w:p w14:paraId="40662471" w14:textId="77777777" w:rsidR="005D6DE2" w:rsidRPr="005D6DE2" w:rsidRDefault="005D6DE2" w:rsidP="005D6DE2">
      <w:pPr>
        <w:numPr>
          <w:ilvl w:val="0"/>
          <w:numId w:val="10"/>
        </w:numPr>
        <w:rPr>
          <w:rFonts w:ascii="Arial" w:hAnsi="Arial" w:cs="Arial"/>
          <w:spacing w:val="4"/>
          <w:sz w:val="20"/>
          <w:szCs w:val="20"/>
        </w:rPr>
      </w:pPr>
      <w:r w:rsidRPr="005D6DE2">
        <w:rPr>
          <w:rFonts w:ascii="Arial" w:hAnsi="Arial" w:cs="Arial"/>
          <w:spacing w:val="4"/>
          <w:sz w:val="20"/>
          <w:szCs w:val="20"/>
        </w:rPr>
        <w:t>infrastruktura związana z zapobieganiem powstawania odpadów;</w:t>
      </w:r>
    </w:p>
    <w:p w14:paraId="2990CDAE" w14:textId="77777777" w:rsidR="004E3242" w:rsidRPr="004E3242" w:rsidRDefault="004E3242" w:rsidP="008D4738">
      <w:pPr>
        <w:numPr>
          <w:ilvl w:val="0"/>
          <w:numId w:val="10"/>
        </w:numPr>
        <w:spacing w:before="120" w:after="120" w:line="240" w:lineRule="auto"/>
        <w:jc w:val="both"/>
        <w:rPr>
          <w:rFonts w:ascii="Arial" w:hAnsi="Arial" w:cs="Arial"/>
          <w:spacing w:val="4"/>
          <w:sz w:val="20"/>
          <w:szCs w:val="20"/>
        </w:rPr>
      </w:pPr>
      <w:r w:rsidRPr="008D4738">
        <w:rPr>
          <w:rFonts w:ascii="Arial" w:hAnsi="Arial" w:cs="Arial"/>
          <w:spacing w:val="4"/>
          <w:sz w:val="20"/>
          <w:szCs w:val="20"/>
        </w:rPr>
        <w:t xml:space="preserve">infrastruktura w zakresie systemów selektywnego zbierania odpadów; </w:t>
      </w:r>
    </w:p>
    <w:p w14:paraId="332F62C1" w14:textId="77777777" w:rsidR="004E3242" w:rsidRPr="00A77DCB" w:rsidRDefault="004E3242" w:rsidP="008D4738">
      <w:pPr>
        <w:numPr>
          <w:ilvl w:val="0"/>
          <w:numId w:val="10"/>
        </w:numPr>
        <w:spacing w:before="120" w:after="120" w:line="240" w:lineRule="auto"/>
        <w:jc w:val="both"/>
        <w:rPr>
          <w:rFonts w:ascii="Arial" w:hAnsi="Arial" w:cs="Arial"/>
          <w:i/>
          <w:sz w:val="20"/>
          <w:szCs w:val="20"/>
        </w:rPr>
      </w:pPr>
      <w:r w:rsidRPr="008D4738">
        <w:rPr>
          <w:rFonts w:ascii="Arial" w:hAnsi="Arial" w:cs="Arial"/>
          <w:spacing w:val="4"/>
          <w:sz w:val="20"/>
          <w:szCs w:val="20"/>
        </w:rPr>
        <w:t>instalacje do recyklingu i odzysku poszczególnych frakcji materiałowych</w:t>
      </w:r>
      <w:r w:rsidRPr="00A77DCB">
        <w:rPr>
          <w:rFonts w:ascii="Arial" w:hAnsi="Arial" w:cs="Arial"/>
          <w:sz w:val="20"/>
          <w:szCs w:val="20"/>
        </w:rPr>
        <w:t xml:space="preserve"> odpadów;</w:t>
      </w:r>
    </w:p>
    <w:p w14:paraId="3BEC5816" w14:textId="77777777" w:rsidR="004E3242" w:rsidRPr="004E3242" w:rsidRDefault="004E3242" w:rsidP="001C350B">
      <w:pPr>
        <w:numPr>
          <w:ilvl w:val="0"/>
          <w:numId w:val="10"/>
        </w:numPr>
        <w:spacing w:before="120" w:after="120" w:line="240" w:lineRule="auto"/>
        <w:jc w:val="both"/>
        <w:rPr>
          <w:rFonts w:ascii="Arial" w:hAnsi="Arial" w:cs="Arial"/>
          <w:spacing w:val="4"/>
          <w:sz w:val="20"/>
          <w:szCs w:val="20"/>
        </w:rPr>
      </w:pPr>
      <w:r w:rsidRPr="004E3242">
        <w:rPr>
          <w:rFonts w:ascii="Arial" w:hAnsi="Arial" w:cs="Arial"/>
          <w:sz w:val="20"/>
          <w:szCs w:val="20"/>
        </w:rPr>
        <w:t xml:space="preserve">instalacje do </w:t>
      </w:r>
      <w:r w:rsidRPr="004E3242">
        <w:rPr>
          <w:rFonts w:ascii="Arial" w:hAnsi="Arial" w:cs="Arial"/>
          <w:spacing w:val="4"/>
          <w:sz w:val="20"/>
          <w:szCs w:val="20"/>
        </w:rPr>
        <w:t>mechanicznego i biologicznego przetwarzania odpadów;</w:t>
      </w:r>
    </w:p>
    <w:p w14:paraId="74FC12E4" w14:textId="77777777" w:rsidR="004E3242" w:rsidRDefault="004E3242" w:rsidP="001C350B">
      <w:pPr>
        <w:numPr>
          <w:ilvl w:val="0"/>
          <w:numId w:val="10"/>
        </w:numPr>
        <w:spacing w:before="120" w:after="120"/>
        <w:jc w:val="both"/>
        <w:rPr>
          <w:rFonts w:ascii="Arial" w:hAnsi="Arial" w:cs="Arial"/>
          <w:spacing w:val="4"/>
          <w:sz w:val="20"/>
          <w:szCs w:val="20"/>
        </w:rPr>
      </w:pPr>
      <w:r w:rsidRPr="004E3242">
        <w:rPr>
          <w:rFonts w:ascii="Arial" w:hAnsi="Arial" w:cs="Arial"/>
          <w:spacing w:val="4"/>
          <w:sz w:val="20"/>
          <w:szCs w:val="20"/>
        </w:rPr>
        <w:lastRenderedPageBreak/>
        <w:t xml:space="preserve">instalacje do termicznego przekształcania odpadów komunalnych </w:t>
      </w:r>
      <w:r w:rsidRPr="004E3242">
        <w:rPr>
          <w:rFonts w:ascii="Arial" w:hAnsi="Arial" w:cs="Arial"/>
          <w:sz w:val="20"/>
          <w:szCs w:val="20"/>
        </w:rPr>
        <w:t xml:space="preserve">wraz </w:t>
      </w:r>
      <w:r w:rsidRPr="004E3242">
        <w:rPr>
          <w:rFonts w:ascii="Arial" w:hAnsi="Arial" w:cs="Arial"/>
          <w:spacing w:val="4"/>
          <w:sz w:val="20"/>
          <w:szCs w:val="20"/>
        </w:rPr>
        <w:t>z odzyskiem energii.</w:t>
      </w:r>
    </w:p>
    <w:p w14:paraId="056D98F0" w14:textId="77777777" w:rsidR="00AC0189" w:rsidRPr="004E3242" w:rsidRDefault="00AC0189" w:rsidP="00AC0189">
      <w:pPr>
        <w:spacing w:before="120" w:after="120"/>
        <w:jc w:val="both"/>
        <w:rPr>
          <w:rFonts w:ascii="Arial" w:hAnsi="Arial" w:cs="Arial"/>
          <w:spacing w:val="4"/>
          <w:sz w:val="20"/>
          <w:szCs w:val="20"/>
        </w:rPr>
      </w:pPr>
    </w:p>
    <w:p w14:paraId="5890D61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47717B2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wsparcie przewidziane jest dla jednostek samorządu terytorialnego i ich związków oraz działających w ich imieniu jednostek organizacyjnych, a także podmiotów świadczących usługi publiczne w ramach realizacji obowiązków własnych jednostek samorządu terytorialnego</w:t>
      </w:r>
      <w:r w:rsidR="005D6DE2" w:rsidRPr="005D6DE2">
        <w:t xml:space="preserve"> </w:t>
      </w:r>
      <w:r w:rsidR="005D6DE2" w:rsidRPr="005D6DE2">
        <w:rPr>
          <w:rFonts w:ascii="Arial" w:hAnsi="Arial" w:cs="Arial"/>
          <w:spacing w:val="4"/>
          <w:sz w:val="20"/>
          <w:szCs w:val="20"/>
        </w:rPr>
        <w:t>oraz przedsiębiorcy</w:t>
      </w:r>
      <w:r w:rsidRPr="004E3242">
        <w:rPr>
          <w:rFonts w:ascii="Arial" w:hAnsi="Arial" w:cs="Arial"/>
          <w:spacing w:val="4"/>
          <w:sz w:val="20"/>
          <w:szCs w:val="20"/>
        </w:rPr>
        <w:t xml:space="preserve">. </w:t>
      </w:r>
    </w:p>
    <w:p w14:paraId="678E88B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Główną grupą docelową są indywidualni użytkownicy korzystający z zasobów środowiska, w tym przede wszystkim mieszkańcy miast wojewódzkich (i obszarów powiązanych z nimi funkcjonalnie) oraz miast regionalnych i </w:t>
      </w:r>
      <w:proofErr w:type="spellStart"/>
      <w:r w:rsidRPr="004E3242">
        <w:rPr>
          <w:rFonts w:ascii="Arial" w:hAnsi="Arial" w:cs="Arial"/>
          <w:spacing w:val="4"/>
          <w:sz w:val="20"/>
          <w:szCs w:val="20"/>
        </w:rPr>
        <w:t>subregionalnych</w:t>
      </w:r>
      <w:proofErr w:type="spellEnd"/>
      <w:r w:rsidRPr="004E3242">
        <w:rPr>
          <w:rFonts w:ascii="Arial" w:hAnsi="Arial" w:cs="Arial"/>
          <w:spacing w:val="4"/>
          <w:sz w:val="20"/>
          <w:szCs w:val="20"/>
        </w:rPr>
        <w:t>.</w:t>
      </w:r>
    </w:p>
    <w:p w14:paraId="621FD6D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7A826B7E" w14:textId="77777777" w:rsid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Warunkiem wsparcia inwestycji</w:t>
      </w:r>
      <w:r w:rsidR="007740B6">
        <w:rPr>
          <w:rFonts w:ascii="Arial" w:hAnsi="Arial" w:cs="Arial"/>
          <w:spacing w:val="4"/>
          <w:sz w:val="20"/>
          <w:szCs w:val="20"/>
        </w:rPr>
        <w:t xml:space="preserve"> w zakresie instalacji przetwarzania odpadów (z wyjątkiem instalacji do recyklingu)</w:t>
      </w:r>
      <w:r w:rsidRPr="004E3242">
        <w:rPr>
          <w:rFonts w:ascii="Arial" w:hAnsi="Arial" w:cs="Arial"/>
          <w:spacing w:val="4"/>
          <w:sz w:val="20"/>
          <w:szCs w:val="20"/>
        </w:rPr>
        <w:t xml:space="preserve"> będzie ich uwzględnienie w planach inwestycyjnych w zakresie gospodarki odpadami komunalnymi (zatwierdzonych przez Ministra Środowiska). W ramach priorytetu inwestycyjnego przewiduje się wybór projektów w procedurze konkursowej</w:t>
      </w:r>
      <w:r w:rsidR="00862D4E" w:rsidRPr="00862D4E">
        <w:t xml:space="preserve"> </w:t>
      </w:r>
      <w:r w:rsidR="00862D4E" w:rsidRPr="00862D4E">
        <w:rPr>
          <w:rFonts w:ascii="Arial" w:hAnsi="Arial" w:cs="Arial"/>
          <w:spacing w:val="4"/>
          <w:sz w:val="20"/>
          <w:szCs w:val="20"/>
        </w:rPr>
        <w:t>oraz pozakonkursowej (projekty o strategicznym znaczeniu dla społeczno-gospodarczego rozwoju kraju)</w:t>
      </w:r>
      <w:r w:rsidR="007C4235">
        <w:rPr>
          <w:rFonts w:ascii="Arial" w:hAnsi="Arial" w:cs="Arial"/>
          <w:spacing w:val="4"/>
          <w:sz w:val="20"/>
          <w:szCs w:val="20"/>
        </w:rPr>
        <w:t>.</w:t>
      </w:r>
      <w:r w:rsidRPr="004E3242">
        <w:rPr>
          <w:rFonts w:ascii="Arial" w:hAnsi="Arial" w:cs="Arial"/>
          <w:spacing w:val="4"/>
          <w:sz w:val="20"/>
          <w:szCs w:val="20"/>
        </w:rPr>
        <w:t xml:space="preserve"> Szczególna uwaga na etapie selekcji zostanie skierowana na badanie stopnia osiągnięcia efektu ekologicznego wynikającego z celów dyrektywy. Wybór projektów do dofinansowania będzie następował w wyniku oceny poszczególnych przedsięwzięć w oparciu o obiektywne kryteria zatwierdzone przez Komitet Monitorujący. Kryteria wyboru projektów będą służyły zapewnieniu efektywnej i prawidłowej realizacji celów określonych w osi priorytetowej. Kryteria będą precyzyjne, mierzalne i obiektywne. Dodatkowo dopuszcza się możliwość nadania kryteriom merytorycznym odpowiedniej punktacji oraz określonych wag punktowych.</w:t>
      </w:r>
    </w:p>
    <w:p w14:paraId="7862BC1A" w14:textId="77777777" w:rsidR="005E530E" w:rsidRDefault="005E530E" w:rsidP="004E3242">
      <w:pPr>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7ED7310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instrumentów finansowych</w:t>
      </w:r>
    </w:p>
    <w:p w14:paraId="20818017" w14:textId="77777777" w:rsidR="00862D4E"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odniesieniu do wybranych obszarów wsparcia w ramach priorytetu</w:t>
      </w:r>
      <w:r w:rsidR="00905EE6">
        <w:rPr>
          <w:rFonts w:ascii="Arial" w:hAnsi="Arial" w:cs="Arial"/>
          <w:spacing w:val="4"/>
          <w:sz w:val="20"/>
          <w:szCs w:val="20"/>
        </w:rPr>
        <w:t xml:space="preserve"> </w:t>
      </w:r>
      <w:r w:rsidR="005D6DE2" w:rsidRPr="005D6DE2">
        <w:rPr>
          <w:rFonts w:ascii="Arial" w:hAnsi="Arial" w:cs="Arial"/>
          <w:spacing w:val="4"/>
          <w:sz w:val="20"/>
          <w:szCs w:val="20"/>
        </w:rPr>
        <w:t xml:space="preserve">– co do zasady - nie </w:t>
      </w:r>
      <w:r w:rsidRPr="004E3242">
        <w:rPr>
          <w:rFonts w:ascii="Arial" w:hAnsi="Arial" w:cs="Arial"/>
          <w:spacing w:val="4"/>
          <w:sz w:val="20"/>
          <w:szCs w:val="20"/>
        </w:rPr>
        <w:t>przewiduje się wsparci</w:t>
      </w:r>
      <w:r w:rsidR="005D6DE2">
        <w:rPr>
          <w:rFonts w:ascii="Arial" w:hAnsi="Arial" w:cs="Arial"/>
          <w:spacing w:val="4"/>
          <w:sz w:val="20"/>
          <w:szCs w:val="20"/>
        </w:rPr>
        <w:t>a</w:t>
      </w:r>
      <w:r w:rsidRPr="004E3242">
        <w:rPr>
          <w:rFonts w:ascii="Arial" w:hAnsi="Arial" w:cs="Arial"/>
          <w:spacing w:val="4"/>
          <w:sz w:val="20"/>
          <w:szCs w:val="20"/>
        </w:rPr>
        <w:t xml:space="preserve"> w formie instrumentów finansowych</w:t>
      </w:r>
      <w:r w:rsidR="009B6248">
        <w:rPr>
          <w:rFonts w:ascii="Arial" w:hAnsi="Arial" w:cs="Arial"/>
          <w:spacing w:val="4"/>
          <w:sz w:val="20"/>
          <w:szCs w:val="20"/>
        </w:rPr>
        <w:t xml:space="preserve">. </w:t>
      </w:r>
      <w:r w:rsidR="005D6DE2" w:rsidRPr="005D6DE2">
        <w:rPr>
          <w:rFonts w:ascii="Arial" w:hAnsi="Arial" w:cs="Arial"/>
          <w:spacing w:val="4"/>
          <w:sz w:val="20"/>
          <w:szCs w:val="20"/>
        </w:rPr>
        <w:t>Z uwagi na potrzebę stosowania jak najbardziej efektywnych form wsparcia, analizowane będą możliwości stosowania w szerszym zakresie (zarówno kwotowym, jak i przedmiotowym) zwrotnych form wsparcia. W sytuacji, w której w toku wdrażania zostanie zidentyfikowane zapotrzebowanie rynkowe na inne formy finansowania o charakterze zwrotnym, nie jest wykluczone ewentualne wykorzystanie instrumentów finansowych w rozumieniu art. 37 rozporządzenia ogólnego lub pomocy zwrotnej udzielanej na podstawie art. 66 i 67 rozporządzenia ogólnego.</w:t>
      </w:r>
      <w:r w:rsidR="00862D4E">
        <w:rPr>
          <w:rFonts w:ascii="Arial" w:hAnsi="Arial" w:cs="Arial"/>
          <w:spacing w:val="4"/>
          <w:sz w:val="20"/>
          <w:szCs w:val="20"/>
        </w:rPr>
        <w:t xml:space="preserve"> </w:t>
      </w:r>
    </w:p>
    <w:p w14:paraId="231BA70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dużych projektów</w:t>
      </w:r>
    </w:p>
    <w:p w14:paraId="76E3ABFA" w14:textId="77777777" w:rsidR="00862D4E" w:rsidRDefault="00862D4E" w:rsidP="004E3242">
      <w:pPr>
        <w:spacing w:before="120" w:after="120"/>
        <w:jc w:val="both"/>
        <w:rPr>
          <w:rFonts w:ascii="Arial" w:hAnsi="Arial" w:cs="Arial"/>
          <w:iCs/>
          <w:spacing w:val="4"/>
          <w:sz w:val="20"/>
          <w:szCs w:val="20"/>
        </w:rPr>
      </w:pPr>
      <w:r w:rsidRPr="00862D4E">
        <w:rPr>
          <w:rFonts w:ascii="Arial" w:hAnsi="Arial" w:cs="Arial"/>
          <w:iCs/>
          <w:spacing w:val="4"/>
          <w:sz w:val="20"/>
          <w:szCs w:val="20"/>
        </w:rPr>
        <w:t>Duże projekty, które w znaczący sposób przyczynią się do osiągnięcia celów szczegółowych tego priorytetu, są wyłaniane na bieżąco i uwzględniane w ramach cyklicznej aktualizacji Wykazu Dużych Projektów, stanowiącego załącznik do Programu.</w:t>
      </w:r>
    </w:p>
    <w:p w14:paraId="1749A05E"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7E99E41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ma charakter horyzontalny i dotyczy całego kraju. Interwencje będą lokalizowane zgodnie ze wskazaniem wynikającym z określonych dokumentów o charakterze strategicznym, </w:t>
      </w:r>
      <w:r w:rsidRPr="004E3242">
        <w:rPr>
          <w:rFonts w:ascii="Arial" w:hAnsi="Arial" w:cs="Arial"/>
          <w:spacing w:val="4"/>
          <w:sz w:val="20"/>
          <w:szCs w:val="20"/>
        </w:rPr>
        <w:br/>
        <w:t xml:space="preserve">w tym w szczególności krajowym planem gospodarki odpadami i wojewódzkimi planami gospodarki odpadami (których załącznikami będą plany inwestycyjne). Wsparcie podejmowane </w:t>
      </w:r>
      <w:r w:rsidRPr="004E3242">
        <w:rPr>
          <w:rFonts w:ascii="Arial" w:hAnsi="Arial" w:cs="Arial"/>
          <w:spacing w:val="4"/>
          <w:sz w:val="20"/>
          <w:szCs w:val="20"/>
        </w:rPr>
        <w:br/>
        <w:t xml:space="preserve">w ramach osi priorytetowej zasadniczo nie będzie wprost nakierowane na interwencję na obszarach wiejskich, niemniej przewiduje się, że inwestycje objęte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będą istotnie oddziaływać na obszary wiejskie. Realizowane inwestycje będą w dużej mierze zlokalizowane na </w:t>
      </w:r>
      <w:r w:rsidRPr="004E3242">
        <w:rPr>
          <w:rFonts w:ascii="Arial" w:hAnsi="Arial" w:cs="Arial"/>
          <w:spacing w:val="4"/>
          <w:sz w:val="20"/>
          <w:szCs w:val="20"/>
        </w:rPr>
        <w:lastRenderedPageBreak/>
        <w:t xml:space="preserve">terenach miejskich i obejmować będą docelowo grupę miast wojewódzkich (i obszarów powiązanych z nimi funkcjonalnie) oraz w sposób pośredni miasta regionalne i </w:t>
      </w:r>
      <w:proofErr w:type="spellStart"/>
      <w:r w:rsidRPr="004E3242">
        <w:rPr>
          <w:rFonts w:ascii="Arial" w:hAnsi="Arial" w:cs="Arial"/>
          <w:spacing w:val="4"/>
          <w:sz w:val="20"/>
          <w:szCs w:val="20"/>
        </w:rPr>
        <w:t>subregionalne</w:t>
      </w:r>
      <w:proofErr w:type="spellEnd"/>
      <w:r w:rsidRPr="004E3242">
        <w:rPr>
          <w:rFonts w:ascii="Arial" w:hAnsi="Arial" w:cs="Arial"/>
          <w:spacing w:val="4"/>
          <w:sz w:val="20"/>
          <w:szCs w:val="20"/>
        </w:rPr>
        <w:t xml:space="preserve">, </w:t>
      </w:r>
      <w:r w:rsidR="000F324C">
        <w:rPr>
          <w:rFonts w:ascii="Arial" w:hAnsi="Arial" w:cs="Arial"/>
          <w:spacing w:val="4"/>
          <w:sz w:val="20"/>
          <w:szCs w:val="20"/>
        </w:rPr>
        <w:t> </w:t>
      </w:r>
      <w:r w:rsidRPr="004E3242">
        <w:rPr>
          <w:rFonts w:ascii="Arial" w:hAnsi="Arial" w:cs="Arial"/>
          <w:spacing w:val="4"/>
          <w:sz w:val="20"/>
          <w:szCs w:val="20"/>
        </w:rPr>
        <w:t>w zakresie wynikającym</w:t>
      </w:r>
      <w:r w:rsidR="001C1E2B">
        <w:rPr>
          <w:rFonts w:ascii="Arial" w:hAnsi="Arial" w:cs="Arial"/>
          <w:spacing w:val="4"/>
          <w:sz w:val="20"/>
          <w:szCs w:val="20"/>
        </w:rPr>
        <w:t xml:space="preserve"> (tam, gdzie wymagane)</w:t>
      </w:r>
      <w:r w:rsidRPr="004E3242">
        <w:rPr>
          <w:rFonts w:ascii="Arial" w:hAnsi="Arial" w:cs="Arial"/>
          <w:spacing w:val="4"/>
          <w:sz w:val="20"/>
          <w:szCs w:val="20"/>
        </w:rPr>
        <w:t xml:space="preserve"> z wojewódzkich planów gospodarki odpadami oraz wojewódzkich planów inwestycyjnych</w:t>
      </w:r>
      <w:r w:rsidR="006B36B9">
        <w:rPr>
          <w:rFonts w:ascii="Arial" w:hAnsi="Arial" w:cs="Arial"/>
          <w:spacing w:val="4"/>
          <w:sz w:val="20"/>
          <w:szCs w:val="20"/>
        </w:rPr>
        <w:t xml:space="preserve"> </w:t>
      </w:r>
      <w:r w:rsidRPr="004E3242">
        <w:rPr>
          <w:rFonts w:ascii="Arial" w:hAnsi="Arial" w:cs="Arial"/>
          <w:spacing w:val="4"/>
          <w:sz w:val="20"/>
          <w:szCs w:val="20"/>
        </w:rPr>
        <w:t xml:space="preserve">. </w:t>
      </w:r>
    </w:p>
    <w:p w14:paraId="70CFBA5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66"/>
        <w:gridCol w:w="2804"/>
        <w:gridCol w:w="982"/>
        <w:gridCol w:w="858"/>
        <w:gridCol w:w="994"/>
        <w:gridCol w:w="992"/>
        <w:gridCol w:w="843"/>
        <w:gridCol w:w="1247"/>
      </w:tblGrid>
      <w:tr w:rsidR="004E3242" w:rsidRPr="004E3242" w14:paraId="6594039A" w14:textId="77777777" w:rsidTr="00AA7998">
        <w:tc>
          <w:tcPr>
            <w:tcW w:w="305" w:type="pct"/>
            <w:shd w:val="clear" w:color="auto" w:fill="99CC00"/>
            <w:vAlign w:val="center"/>
          </w:tcPr>
          <w:p w14:paraId="6C2D7F9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510" w:type="pct"/>
            <w:shd w:val="clear" w:color="auto" w:fill="99CC00"/>
            <w:vAlign w:val="center"/>
          </w:tcPr>
          <w:p w14:paraId="28849CCC"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9" w:type="pct"/>
            <w:shd w:val="clear" w:color="auto" w:fill="99CC00"/>
            <w:vAlign w:val="center"/>
          </w:tcPr>
          <w:p w14:paraId="028008F8"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62" w:type="pct"/>
            <w:shd w:val="clear" w:color="auto" w:fill="99CC00"/>
            <w:vAlign w:val="center"/>
          </w:tcPr>
          <w:p w14:paraId="04E4B0D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5" w:type="pct"/>
            <w:shd w:val="clear" w:color="auto" w:fill="99CC00"/>
            <w:vAlign w:val="center"/>
          </w:tcPr>
          <w:p w14:paraId="54600789"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030DF9C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4" w:type="pct"/>
            <w:shd w:val="clear" w:color="auto" w:fill="99CC00"/>
            <w:vAlign w:val="center"/>
          </w:tcPr>
          <w:p w14:paraId="4A347B9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5A756AEE"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3F5E1F50" w14:textId="77777777" w:rsidTr="00AA7998">
        <w:tc>
          <w:tcPr>
            <w:tcW w:w="305" w:type="pct"/>
            <w:shd w:val="clear" w:color="auto" w:fill="F2F2F2"/>
            <w:vAlign w:val="center"/>
          </w:tcPr>
          <w:p w14:paraId="7A5B0E4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510" w:type="pct"/>
            <w:shd w:val="clear" w:color="auto" w:fill="F2F2F2"/>
            <w:vAlign w:val="center"/>
          </w:tcPr>
          <w:p w14:paraId="12407445" w14:textId="77777777" w:rsidR="004E3242" w:rsidRPr="004E3242" w:rsidRDefault="00862D4E"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w:t>
            </w:r>
            <w:r>
              <w:rPr>
                <w:rFonts w:ascii="Arial" w:hAnsi="Arial" w:cs="Arial"/>
                <w:spacing w:val="4"/>
                <w:sz w:val="16"/>
                <w:szCs w:val="16"/>
              </w:rPr>
              <w:t xml:space="preserve"> wspartych</w:t>
            </w:r>
            <w:r w:rsidRPr="004E3242">
              <w:rPr>
                <w:rFonts w:ascii="Arial" w:hAnsi="Arial" w:cs="Arial"/>
                <w:spacing w:val="4"/>
                <w:sz w:val="16"/>
                <w:szCs w:val="16"/>
              </w:rPr>
              <w:t xml:space="preserve"> zakładów zagospodarowywania odpadów</w:t>
            </w:r>
            <w:r>
              <w:rPr>
                <w:rStyle w:val="Odwoanieprzypisudolnego"/>
                <w:rFonts w:ascii="Arial" w:hAnsi="Arial" w:cs="Arial"/>
                <w:spacing w:val="4"/>
                <w:sz w:val="16"/>
                <w:szCs w:val="16"/>
              </w:rPr>
              <w:footnoteReference w:id="55"/>
            </w:r>
          </w:p>
        </w:tc>
        <w:tc>
          <w:tcPr>
            <w:tcW w:w="529" w:type="pct"/>
            <w:shd w:val="clear" w:color="auto" w:fill="F2F2F2"/>
            <w:vAlign w:val="center"/>
          </w:tcPr>
          <w:p w14:paraId="4DB93BE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462" w:type="pct"/>
            <w:shd w:val="clear" w:color="auto" w:fill="F2F2F2"/>
            <w:vAlign w:val="center"/>
          </w:tcPr>
          <w:p w14:paraId="563B052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3141578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32C88069" w14:textId="77777777" w:rsidR="004E3242" w:rsidRPr="004E3242" w:rsidRDefault="00862D4E" w:rsidP="00862D4E">
            <w:pPr>
              <w:autoSpaceDE w:val="0"/>
              <w:autoSpaceDN w:val="0"/>
              <w:adjustRightInd w:val="0"/>
              <w:spacing w:before="60" w:after="60" w:line="240" w:lineRule="auto"/>
              <w:rPr>
                <w:rFonts w:ascii="Arial" w:hAnsi="Arial" w:cs="Arial"/>
                <w:spacing w:val="4"/>
                <w:sz w:val="16"/>
                <w:szCs w:val="16"/>
              </w:rPr>
            </w:pPr>
            <w:r>
              <w:rPr>
                <w:rFonts w:ascii="Arial" w:hAnsi="Arial" w:cs="Arial"/>
                <w:spacing w:val="4"/>
                <w:sz w:val="16"/>
                <w:szCs w:val="16"/>
              </w:rPr>
              <w:t xml:space="preserve">      15</w:t>
            </w:r>
          </w:p>
        </w:tc>
        <w:tc>
          <w:tcPr>
            <w:tcW w:w="454" w:type="pct"/>
            <w:shd w:val="clear" w:color="auto" w:fill="F2F2F2"/>
            <w:vAlign w:val="center"/>
          </w:tcPr>
          <w:p w14:paraId="50F2FAD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148EA50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5EA9BE34" w14:textId="77777777" w:rsidTr="00AA7998">
        <w:tc>
          <w:tcPr>
            <w:tcW w:w="305"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8E4202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eastAsia="Times New Roman" w:hAnsi="Arial" w:cs="Arial"/>
                <w:spacing w:val="4"/>
                <w:sz w:val="16"/>
                <w:szCs w:val="16"/>
                <w:lang w:eastAsia="pl-PL"/>
              </w:rPr>
              <w:t>2.</w:t>
            </w:r>
          </w:p>
        </w:tc>
        <w:tc>
          <w:tcPr>
            <w:tcW w:w="151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2B119DC"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eastAsia="Times New Roman" w:hAnsi="Arial" w:cs="Arial"/>
                <w:spacing w:val="4"/>
                <w:sz w:val="16"/>
                <w:szCs w:val="16"/>
                <w:lang w:eastAsia="pl-PL"/>
              </w:rPr>
              <w:t>Dodatkowe możliwości przerobowe w zakresie recyklingu odpadów (CI)</w:t>
            </w:r>
          </w:p>
        </w:tc>
        <w:tc>
          <w:tcPr>
            <w:tcW w:w="52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F39C32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eastAsia="Times New Roman" w:hAnsi="Arial" w:cs="Arial"/>
                <w:spacing w:val="4"/>
                <w:sz w:val="16"/>
                <w:szCs w:val="16"/>
                <w:lang w:eastAsia="pl-PL"/>
              </w:rPr>
              <w:t>Mg/rok</w:t>
            </w:r>
          </w:p>
        </w:tc>
        <w:tc>
          <w:tcPr>
            <w:tcW w:w="46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60135F2"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eastAsia="Times New Roman" w:hAnsi="Arial" w:cs="Arial"/>
                <w:spacing w:val="4"/>
                <w:sz w:val="16"/>
                <w:szCs w:val="16"/>
                <w:lang w:eastAsia="pl-PL"/>
              </w:rPr>
              <w:t>FS</w:t>
            </w:r>
          </w:p>
        </w:tc>
        <w:tc>
          <w:tcPr>
            <w:tcW w:w="535"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377F4FE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eastAsia="Times New Roman" w:hAnsi="Arial" w:cs="Arial"/>
                <w:spacing w:val="4"/>
                <w:sz w:val="16"/>
                <w:szCs w:val="16"/>
                <w:lang w:eastAsia="pl-PL"/>
              </w:rPr>
              <w:t>n/d</w:t>
            </w:r>
          </w:p>
        </w:tc>
        <w:tc>
          <w:tcPr>
            <w:tcW w:w="534"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A29BD65" w14:textId="77777777" w:rsidR="004E3242" w:rsidRPr="004E3242" w:rsidRDefault="009D7690" w:rsidP="009D7690">
            <w:pPr>
              <w:autoSpaceDE w:val="0"/>
              <w:autoSpaceDN w:val="0"/>
              <w:adjustRightInd w:val="0"/>
              <w:spacing w:before="60" w:after="60" w:line="240" w:lineRule="auto"/>
              <w:jc w:val="center"/>
              <w:rPr>
                <w:rFonts w:ascii="Arial" w:hAnsi="Arial" w:cs="Arial"/>
                <w:spacing w:val="4"/>
                <w:sz w:val="16"/>
                <w:szCs w:val="16"/>
              </w:rPr>
            </w:pPr>
            <w:r w:rsidRPr="009D7690">
              <w:rPr>
                <w:rFonts w:ascii="Arial" w:eastAsia="Times New Roman" w:hAnsi="Arial" w:cs="Arial"/>
                <w:spacing w:val="4"/>
                <w:sz w:val="16"/>
                <w:szCs w:val="16"/>
                <w:lang w:eastAsia="pl-PL"/>
              </w:rPr>
              <w:t>80 000</w:t>
            </w:r>
          </w:p>
        </w:tc>
        <w:tc>
          <w:tcPr>
            <w:tcW w:w="454"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E53890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eastAsia="Times New Roman" w:hAnsi="Arial" w:cs="Arial"/>
                <w:spacing w:val="4"/>
                <w:sz w:val="16"/>
                <w:szCs w:val="16"/>
                <w:lang w:eastAsia="pl-PL"/>
              </w:rPr>
              <w:t>SL 2014</w:t>
            </w:r>
          </w:p>
        </w:tc>
        <w:tc>
          <w:tcPr>
            <w:tcW w:w="6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5BDD53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eastAsia="Times New Roman" w:hAnsi="Arial" w:cs="Arial"/>
                <w:spacing w:val="4"/>
                <w:sz w:val="16"/>
                <w:szCs w:val="16"/>
                <w:lang w:eastAsia="pl-PL"/>
              </w:rPr>
              <w:t>Rocznie</w:t>
            </w:r>
          </w:p>
        </w:tc>
      </w:tr>
    </w:tbl>
    <w:p w14:paraId="30F2AA35" w14:textId="77777777" w:rsidR="004E3242" w:rsidRDefault="004E3242" w:rsidP="004E3242">
      <w:pPr>
        <w:rPr>
          <w:lang w:eastAsia="pl-PL"/>
        </w:rPr>
      </w:pPr>
    </w:p>
    <w:p w14:paraId="68787A82"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u w:val="single"/>
          <w:lang w:eastAsia="pl-PL"/>
        </w:rPr>
      </w:pPr>
      <w:r w:rsidRPr="004E3242">
        <w:rPr>
          <w:rFonts w:ascii="Arial" w:eastAsia="Times New Roman" w:hAnsi="Arial"/>
          <w:smallCaps/>
          <w:color w:val="669900"/>
          <w:spacing w:val="10"/>
          <w:sz w:val="24"/>
          <w:szCs w:val="24"/>
          <w:lang w:eastAsia="pl-PL"/>
        </w:rPr>
        <w:t>PRIORYTET INWESTYCYJNY 6.ii. Inwestowanie w sektor gospodarki wodnej celem wypełnienia zobowiązań określonych w dorobku prawnym Unii w zakresie środowiska oraz zaspokojenia wykraczających poza te zobowiązania potrzeb inwestycyjnych, określonych przez państwa członkowskie</w:t>
      </w:r>
    </w:p>
    <w:p w14:paraId="7100C37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455777D5"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Większa liczba ludności korzystająca z ulepszonego systemu oczyszczania ścieków komunalnych zapewniającego podwyższone usuwanie biogenów</w:t>
      </w:r>
    </w:p>
    <w:p w14:paraId="479D0ADC"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6EB663A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Realizacja priorytetu inwestycyjnego przyczyni się do osiągnięcia celu dotyczącego zwiększenia liczby ludności korzystającej z ulepszonego systemu oczyszczania ścieków komunalnych (zapewniającego podwyższone usuwanie biogenów). Zostanie to osiągnięte dzięki dokończeniu budowy systemów gospodarki wodno-ściekowej w aglomeracjach</w:t>
      </w:r>
    </w:p>
    <w:p w14:paraId="6619CD5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64"/>
        <w:gridCol w:w="1812"/>
        <w:gridCol w:w="993"/>
        <w:gridCol w:w="992"/>
        <w:gridCol w:w="992"/>
        <w:gridCol w:w="851"/>
        <w:gridCol w:w="992"/>
        <w:gridCol w:w="843"/>
        <w:gridCol w:w="1247"/>
      </w:tblGrid>
      <w:tr w:rsidR="004E3242" w:rsidRPr="004E3242" w14:paraId="789198DE" w14:textId="77777777" w:rsidTr="00AA7998">
        <w:tc>
          <w:tcPr>
            <w:tcW w:w="304" w:type="pct"/>
            <w:shd w:val="clear" w:color="auto" w:fill="99CC00"/>
            <w:vAlign w:val="center"/>
          </w:tcPr>
          <w:p w14:paraId="06E67991"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76" w:type="pct"/>
            <w:shd w:val="clear" w:color="auto" w:fill="99CC00"/>
            <w:vAlign w:val="center"/>
          </w:tcPr>
          <w:p w14:paraId="52D25AAF"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6AEDCF7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403C73DA"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6A353C72"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175CE1D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4" w:type="pct"/>
            <w:shd w:val="clear" w:color="auto" w:fill="99CC00"/>
            <w:vAlign w:val="center"/>
          </w:tcPr>
          <w:p w14:paraId="6150DBA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4" w:type="pct"/>
            <w:shd w:val="clear" w:color="auto" w:fill="99CC00"/>
            <w:vAlign w:val="center"/>
          </w:tcPr>
          <w:p w14:paraId="7608959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4260044B"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6E2C7CA3" w14:textId="77777777" w:rsidTr="00AA7998">
        <w:tc>
          <w:tcPr>
            <w:tcW w:w="304" w:type="pct"/>
            <w:shd w:val="clear" w:color="auto" w:fill="F2F2F2"/>
            <w:vAlign w:val="center"/>
          </w:tcPr>
          <w:p w14:paraId="04A284DF" w14:textId="77777777" w:rsidR="004E3242" w:rsidRPr="004E3242" w:rsidDel="00DC6A16"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976" w:type="pct"/>
            <w:shd w:val="clear" w:color="auto" w:fill="F2F2F2"/>
            <w:vAlign w:val="center"/>
          </w:tcPr>
          <w:p w14:paraId="69D01B2D"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Odsetek ludności korzystającej z oczyszczalni ścieków</w:t>
            </w:r>
          </w:p>
        </w:tc>
        <w:tc>
          <w:tcPr>
            <w:tcW w:w="535" w:type="pct"/>
            <w:shd w:val="clear" w:color="auto" w:fill="F2F2F2"/>
            <w:vAlign w:val="center"/>
          </w:tcPr>
          <w:p w14:paraId="6FAF881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534" w:type="pct"/>
            <w:shd w:val="clear" w:color="auto" w:fill="F2F2F2"/>
            <w:vAlign w:val="center"/>
          </w:tcPr>
          <w:p w14:paraId="3C04555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0D4A97A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68,6</w:t>
            </w:r>
          </w:p>
        </w:tc>
        <w:tc>
          <w:tcPr>
            <w:tcW w:w="458" w:type="pct"/>
            <w:shd w:val="clear" w:color="auto" w:fill="F2F2F2"/>
            <w:vAlign w:val="center"/>
          </w:tcPr>
          <w:p w14:paraId="01A8286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34" w:type="pct"/>
            <w:shd w:val="clear" w:color="auto" w:fill="F2F2F2"/>
            <w:vAlign w:val="center"/>
          </w:tcPr>
          <w:p w14:paraId="2B2399C4" w14:textId="77777777" w:rsidR="004E3242" w:rsidRPr="004E3242" w:rsidRDefault="00C81676" w:rsidP="004E3242">
            <w:pPr>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C81676">
              <w:rPr>
                <w:rFonts w:ascii="Arial" w:hAnsi="Arial" w:cs="Arial"/>
                <w:spacing w:val="4"/>
                <w:sz w:val="16"/>
                <w:szCs w:val="16"/>
              </w:rPr>
              <w:t>75</w:t>
            </w:r>
            <w:r w:rsidR="004E3242" w:rsidRPr="004E3242">
              <w:rPr>
                <w:rFonts w:ascii="Arial" w:hAnsi="Arial" w:cs="Arial"/>
                <w:spacing w:val="4"/>
                <w:sz w:val="16"/>
                <w:szCs w:val="16"/>
                <w:vertAlign w:val="superscript"/>
              </w:rPr>
              <w:footnoteReference w:id="56"/>
            </w:r>
          </w:p>
        </w:tc>
        <w:tc>
          <w:tcPr>
            <w:tcW w:w="454" w:type="pct"/>
            <w:shd w:val="clear" w:color="auto" w:fill="F2F2F2"/>
            <w:vAlign w:val="center"/>
          </w:tcPr>
          <w:p w14:paraId="0FCEC89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GUS</w:t>
            </w:r>
          </w:p>
        </w:tc>
        <w:tc>
          <w:tcPr>
            <w:tcW w:w="671" w:type="pct"/>
            <w:shd w:val="clear" w:color="auto" w:fill="F2F2F2"/>
            <w:vAlign w:val="center"/>
          </w:tcPr>
          <w:p w14:paraId="0AF1829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3BB6793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62559FFA"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Pomimo zauważalnego w ostatnich latach postępu w zakresie budowy infrastruktury komunalnej zapewniającej odprowadzanie i efektywne oczyszczanie ścieków, nadal istnieją duże potrzeby inwestycyjne w tym zakresie, również w odniesieniu do właściwego zagospodarowania osadów ściekowych. W zakresie poprawy stanu i ilości zasobów wodnych oraz ochrony Morza Bałtyckiego w Polsce kluczowe działania, jakie będą podejmowane dotyczą więc ograniczania ładunku zanieczyszczeń z sektora komunalnego. W ramach priorytetu inwestycyjnego wspierane będą projekty, które przyczynią się do wypełniania przez Polskę zobowiązań unijnych (w szczególności Dyrektywy 91/271/EWG </w:t>
      </w:r>
      <w:r w:rsidRPr="004E3242">
        <w:rPr>
          <w:rFonts w:ascii="Arial" w:hAnsi="Arial" w:cs="Arial"/>
          <w:i/>
          <w:spacing w:val="4"/>
          <w:sz w:val="20"/>
          <w:szCs w:val="20"/>
        </w:rPr>
        <w:t>dotyczącej oczyszczania ścieków komunalnych</w:t>
      </w:r>
      <w:r w:rsidRPr="004E3242">
        <w:rPr>
          <w:rFonts w:ascii="Arial" w:hAnsi="Arial" w:cs="Arial"/>
          <w:spacing w:val="4"/>
          <w:sz w:val="20"/>
          <w:szCs w:val="20"/>
        </w:rPr>
        <w:t xml:space="preserve"> – tzw. dyrektywy </w:t>
      </w:r>
      <w:r w:rsidRPr="004E3242">
        <w:rPr>
          <w:rFonts w:ascii="Arial" w:hAnsi="Arial" w:cs="Arial"/>
          <w:spacing w:val="4"/>
          <w:sz w:val="20"/>
          <w:szCs w:val="20"/>
        </w:rPr>
        <w:lastRenderedPageBreak/>
        <w:t xml:space="preserve">ściekowej). Podstawowym instrumentem wdrożenia postanowień ww. dyrektywy jest Krajowy program oczyszczania ścieków komunalnych (KPOŚK) </w:t>
      </w:r>
      <w:r w:rsidRPr="004E3242">
        <w:rPr>
          <w:rFonts w:ascii="Arial" w:hAnsi="Arial" w:cs="Arial"/>
          <w:sz w:val="20"/>
          <w:szCs w:val="20"/>
          <w:lang w:eastAsia="en-GB"/>
        </w:rPr>
        <w:t>wraz z Master Planem dla wdrażania dyrektywy 91/271/EWG.</w:t>
      </w:r>
      <w:r w:rsidRPr="004E3242">
        <w:rPr>
          <w:rFonts w:ascii="Arial" w:hAnsi="Arial" w:cs="Arial"/>
          <w:spacing w:val="4"/>
          <w:sz w:val="20"/>
          <w:szCs w:val="20"/>
        </w:rPr>
        <w:t xml:space="preserve"> </w:t>
      </w:r>
    </w:p>
    <w:p w14:paraId="09E727F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Znajdująca się w KPOŚK szczegółowa </w:t>
      </w:r>
      <w:proofErr w:type="spellStart"/>
      <w:r w:rsidRPr="004E3242">
        <w:rPr>
          <w:rFonts w:ascii="Arial" w:hAnsi="Arial" w:cs="Arial"/>
          <w:spacing w:val="4"/>
          <w:sz w:val="20"/>
          <w:szCs w:val="20"/>
        </w:rPr>
        <w:t>priorytetyzacja</w:t>
      </w:r>
      <w:proofErr w:type="spellEnd"/>
      <w:r w:rsidRPr="004E3242">
        <w:rPr>
          <w:rFonts w:ascii="Arial" w:hAnsi="Arial" w:cs="Arial"/>
          <w:spacing w:val="4"/>
          <w:sz w:val="20"/>
          <w:szCs w:val="20"/>
        </w:rPr>
        <w:t xml:space="preserve"> potrzeb inwestycyjnych w obszarze gospodarki ściekowej (dla aglomeracji o wielkości powyżej 2 tys. RLM) jest obecnie przedmiotem aktualizacji. Punktem wyjściowym dla aktualizacji jest weryfikacja obszarów i granic aglomeracji zgodnie ze znowelizowaną ustawą </w:t>
      </w:r>
      <w:r w:rsidRPr="004E3242">
        <w:rPr>
          <w:rFonts w:ascii="Arial" w:hAnsi="Arial" w:cs="Arial"/>
          <w:i/>
          <w:iCs/>
          <w:spacing w:val="4"/>
          <w:sz w:val="20"/>
          <w:szCs w:val="20"/>
        </w:rPr>
        <w:t>Prawo wodne</w:t>
      </w:r>
      <w:r w:rsidRPr="004E3242">
        <w:rPr>
          <w:rFonts w:ascii="Arial" w:hAnsi="Arial" w:cs="Arial"/>
          <w:spacing w:val="4"/>
          <w:sz w:val="20"/>
          <w:szCs w:val="20"/>
        </w:rPr>
        <w:t xml:space="preserve">. W procesie aktualizacji KPOŚK zostanie opracowany Master Plan dla wdrażania dyrektywy 91/271/EWG, który będzie zawierał ocenę obecnego stanu wdrażania dyrektywy ściekowej oraz wskaże inwestycje niezbędne do osiągnięcia celów ww. dyrektywy. </w:t>
      </w:r>
    </w:p>
    <w:p w14:paraId="03F5090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Finansowana będzie zarówno budowa nowej infrastruktury, jak i modernizacja istniejących już obiektów m.in. poprzez zastosowanie nowoczesnych technologii, podwyższonego stopnia usuwania biogenów lub zwiększenia przepustowości systemu. W związku z intensywną rozbudową infrastruktury związanej ze zbieraniem i oczyszczaniem ścieków komunalnych obszarem wspieranym będzie także gospodarka osadami ściekowymi, w celu innego niż składowanie ich zagospodarowania. </w:t>
      </w:r>
    </w:p>
    <w:p w14:paraId="6A67D9E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bCs/>
          <w:spacing w:val="4"/>
          <w:sz w:val="20"/>
          <w:szCs w:val="20"/>
        </w:rPr>
        <w:t xml:space="preserve">Przewiduje się wsparcie </w:t>
      </w:r>
      <w:r w:rsidRPr="004E3242">
        <w:rPr>
          <w:rFonts w:ascii="Arial" w:hAnsi="Arial" w:cs="Arial"/>
          <w:spacing w:val="4"/>
          <w:sz w:val="20"/>
          <w:szCs w:val="20"/>
        </w:rPr>
        <w:t>kompleksowej gospodarki ściekowej w aglomeracjach co najmniej 10 000 RLM (próg RLM nie dotyczy regionów lepiej rozwiniętych), w tym wyposażenie ich w:</w:t>
      </w:r>
    </w:p>
    <w:p w14:paraId="2D208CDA" w14:textId="77777777" w:rsidR="004E3242" w:rsidRPr="004E3242" w:rsidRDefault="004E3242" w:rsidP="00025FBB">
      <w:pPr>
        <w:numPr>
          <w:ilvl w:val="0"/>
          <w:numId w:val="62"/>
        </w:numPr>
        <w:spacing w:before="120" w:after="120"/>
        <w:jc w:val="both"/>
        <w:rPr>
          <w:rFonts w:ascii="Arial" w:hAnsi="Arial" w:cs="Arial"/>
          <w:spacing w:val="4"/>
          <w:sz w:val="20"/>
          <w:szCs w:val="20"/>
        </w:rPr>
      </w:pPr>
      <w:r w:rsidRPr="004E3242">
        <w:rPr>
          <w:rFonts w:ascii="Arial" w:hAnsi="Arial" w:cs="Arial"/>
          <w:spacing w:val="4"/>
          <w:sz w:val="20"/>
          <w:szCs w:val="20"/>
        </w:rPr>
        <w:t>infrastrukturę zagospodarowania ścieków komunalnych (systemy odbioru, oczyszczalnie ścieków);</w:t>
      </w:r>
    </w:p>
    <w:p w14:paraId="54C857AB" w14:textId="77777777" w:rsidR="004E3242" w:rsidRPr="004E3242" w:rsidRDefault="004E3242" w:rsidP="00025FBB">
      <w:pPr>
        <w:numPr>
          <w:ilvl w:val="0"/>
          <w:numId w:val="62"/>
        </w:numPr>
        <w:spacing w:before="120" w:after="120"/>
        <w:jc w:val="both"/>
        <w:rPr>
          <w:rFonts w:ascii="Arial" w:hAnsi="Arial" w:cs="Arial"/>
          <w:spacing w:val="4"/>
          <w:sz w:val="20"/>
          <w:szCs w:val="20"/>
        </w:rPr>
      </w:pPr>
      <w:r w:rsidRPr="004E3242">
        <w:rPr>
          <w:rFonts w:ascii="Arial" w:hAnsi="Arial" w:cs="Arial"/>
          <w:spacing w:val="4"/>
          <w:sz w:val="20"/>
          <w:szCs w:val="20"/>
        </w:rPr>
        <w:t>infrastrukturę zagospodarowania komunalnych osadów ściekowych.</w:t>
      </w:r>
    </w:p>
    <w:p w14:paraId="24D8181C" w14:textId="77777777" w:rsid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uzasadnionych przypadkach i wyłącznie w ramach realizacji kompleksowych projektów, dopuszczalne będzie włączenie do zakresu projektu także działań związanych z poprawą jakości systemów zaopatrzenia ludności w wodę (w tym systemy zarządzania dystrybucją oraz likwidowanie strat wody). Inwestycje takie będą miały charakter uzupełniający i będą dopuszczalne wyłącznie na tych obszarach, gdzie równocześnie zostanie zapewniona gospodarka ściekowa zgodna z wymaganiami dyrektywy 91/271/EWG.</w:t>
      </w:r>
    </w:p>
    <w:p w14:paraId="1121AD9C" w14:textId="77777777" w:rsidR="00B21C07" w:rsidRPr="00B21C07" w:rsidRDefault="00B21C07" w:rsidP="00B21C07">
      <w:pPr>
        <w:spacing w:before="120" w:after="120"/>
        <w:jc w:val="both"/>
        <w:rPr>
          <w:rFonts w:ascii="Arial" w:hAnsi="Arial" w:cs="Arial"/>
          <w:color w:val="000000"/>
          <w:sz w:val="20"/>
          <w:szCs w:val="20"/>
          <w:lang w:eastAsia="pl-PL"/>
        </w:rPr>
      </w:pPr>
      <w:r w:rsidRPr="00B21C07">
        <w:rPr>
          <w:rFonts w:ascii="Arial" w:hAnsi="Arial" w:cs="Arial"/>
          <w:color w:val="000000"/>
          <w:sz w:val="20"/>
          <w:szCs w:val="20"/>
          <w:lang w:eastAsia="pl-PL"/>
        </w:rPr>
        <w:t>Ponadto, wsparcie będą mogły uzyskać działania na rzecz przygotowania inwestycji poprzez dofinansowanie w ramach projektów przygotowawczych dokumentacji projektowej, przetargowej, planistycznej dla inwestycji infrastrukturalnych, które będą możliwe do zrealizowania ze środków tego programu lub programów operacyjnych polityki spójności realizowanych w okresie programowania następującym bezpośrednio po roku 2020 (projekty przygotowawcze).</w:t>
      </w:r>
    </w:p>
    <w:p w14:paraId="540DFF6E" w14:textId="77777777" w:rsidR="00EB269F" w:rsidRDefault="00B21C07" w:rsidP="002A2125">
      <w:pPr>
        <w:jc w:val="both"/>
        <w:rPr>
          <w:rFonts w:ascii="Arial" w:hAnsi="Arial" w:cs="Arial"/>
          <w:iCs/>
          <w:sz w:val="20"/>
          <w:szCs w:val="20"/>
        </w:rPr>
      </w:pPr>
      <w:r w:rsidRPr="00B21C07">
        <w:rPr>
          <w:rFonts w:ascii="Arial" w:hAnsi="Arial" w:cs="Arial"/>
          <w:color w:val="000000"/>
          <w:sz w:val="20"/>
          <w:szCs w:val="20"/>
          <w:lang w:eastAsia="pl-PL"/>
        </w:rPr>
        <w:t>Do dokumentów zamknięcia tego programu zostanie dołączona lista wszystkich dofinansowanych projektów przygotowawczych wraz z listą odpowiadających im inwestycji możliwych do zrealizowania w ramach tego programu lub programów operacyjnych polityki spójności następujących po roku 2020.</w:t>
      </w:r>
    </w:p>
    <w:p w14:paraId="380CFCE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654FBB08" w14:textId="77777777" w:rsidR="004E3242" w:rsidRPr="0095412E"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wsparcie przewidziane jest dla jednostek samorządu terytorialnego i ich związków oraz działających w ich imieniu jednostek organizacyjnych, a także podmiotów świadczących usługi publiczne w ramach realizacji obowiązków własnych jednostek </w:t>
      </w:r>
      <w:r w:rsidRPr="0095412E">
        <w:rPr>
          <w:rFonts w:ascii="Arial" w:hAnsi="Arial" w:cs="Arial"/>
          <w:spacing w:val="4"/>
          <w:sz w:val="20"/>
          <w:szCs w:val="20"/>
        </w:rPr>
        <w:t xml:space="preserve">samorządu terytorialnego. </w:t>
      </w:r>
    </w:p>
    <w:p w14:paraId="3EC6FED1" w14:textId="77777777" w:rsidR="004E3242" w:rsidRPr="004E3242" w:rsidRDefault="004E3242" w:rsidP="004E3242">
      <w:pPr>
        <w:spacing w:before="120" w:after="120"/>
        <w:jc w:val="both"/>
        <w:rPr>
          <w:rFonts w:ascii="Arial" w:hAnsi="Arial" w:cs="Arial"/>
          <w:spacing w:val="4"/>
          <w:sz w:val="20"/>
          <w:szCs w:val="20"/>
        </w:rPr>
      </w:pPr>
      <w:r w:rsidRPr="0095412E">
        <w:rPr>
          <w:rFonts w:ascii="Arial" w:hAnsi="Arial" w:cs="Arial"/>
          <w:spacing w:val="4"/>
          <w:sz w:val="20"/>
          <w:szCs w:val="20"/>
        </w:rPr>
        <w:t xml:space="preserve">Główną grupą docelową są indywidualni użytkownicy korzystający z zasobów środowiska, w tym przede wszystkim mieszkańcy miast wojewódzkich (i obszarów powiązanych z nimi funkcjonalnie) oraz regionalnych i </w:t>
      </w:r>
      <w:proofErr w:type="spellStart"/>
      <w:r w:rsidRPr="0095412E">
        <w:rPr>
          <w:rFonts w:ascii="Arial" w:hAnsi="Arial" w:cs="Arial"/>
          <w:spacing w:val="4"/>
          <w:sz w:val="20"/>
          <w:szCs w:val="20"/>
        </w:rPr>
        <w:t>subregionalnych</w:t>
      </w:r>
      <w:proofErr w:type="spellEnd"/>
      <w:r w:rsidRPr="0095412E">
        <w:rPr>
          <w:rFonts w:ascii="Arial" w:hAnsi="Arial" w:cs="Arial"/>
          <w:spacing w:val="4"/>
          <w:sz w:val="20"/>
          <w:szCs w:val="20"/>
        </w:rPr>
        <w:t>.</w:t>
      </w:r>
    </w:p>
    <w:p w14:paraId="732A7AC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3FB42E5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Głównymi dokumentami stanowiącymi podstawę do wyboru projektu będą: Krajowy program oczyszczania ścieków komunalnych (KPOŚK)</w:t>
      </w:r>
      <w:r w:rsidRPr="004E3242">
        <w:rPr>
          <w:rFonts w:ascii="Arial" w:hAnsi="Arial" w:cs="Arial"/>
          <w:sz w:val="20"/>
          <w:szCs w:val="20"/>
          <w:lang w:eastAsia="en-GB"/>
        </w:rPr>
        <w:t xml:space="preserve"> wraz z opracowanym w toku aktualizacji KPOŚK </w:t>
      </w:r>
      <w:r w:rsidRPr="004E3242">
        <w:rPr>
          <w:rFonts w:ascii="Arial" w:hAnsi="Arial" w:cs="Arial"/>
          <w:sz w:val="20"/>
          <w:szCs w:val="20"/>
          <w:lang w:eastAsia="en-GB"/>
        </w:rPr>
        <w:lastRenderedPageBreak/>
        <w:t xml:space="preserve">Master Planem dla wdrażania dyrektywy 91/271/EWG </w:t>
      </w:r>
      <w:r w:rsidRPr="004E3242">
        <w:rPr>
          <w:rFonts w:ascii="Arial" w:hAnsi="Arial" w:cs="Arial"/>
          <w:spacing w:val="4"/>
          <w:sz w:val="20"/>
          <w:szCs w:val="20"/>
        </w:rPr>
        <w:t xml:space="preserve">zawierającym listę potrzeb inwestycyjnych </w:t>
      </w:r>
      <w:r w:rsidRPr="004E3242">
        <w:rPr>
          <w:rFonts w:ascii="Arial" w:hAnsi="Arial" w:cs="Arial"/>
          <w:spacing w:val="4"/>
          <w:sz w:val="20"/>
          <w:szCs w:val="20"/>
        </w:rPr>
        <w:br/>
        <w:t xml:space="preserve">w poszczególnych aglomeracjach). Priorytetowo będą traktowane inwestycje w aglomeracjach co najmniej 10 000 RLM, co przyczyni się do wypełniania przez Polskę zobowiązań unijnych </w:t>
      </w:r>
      <w:r w:rsidRPr="004E3242">
        <w:rPr>
          <w:rFonts w:ascii="Arial" w:hAnsi="Arial" w:cs="Arial"/>
          <w:spacing w:val="4"/>
          <w:sz w:val="20"/>
          <w:szCs w:val="20"/>
        </w:rPr>
        <w:br/>
        <w:t xml:space="preserve">w zakresie tzw. dyrektywy ściekowej. Równocześnie realizacja projektów mających na celu ograniczenie zrzutów ładunków zanieczyszczeń z sektora komunalnego przyczyni się do ograniczenia dopływu związków biogennych do Morza Bałtyckiego i tym samym będzie miała bezpośredni wpływ na ograniczenie procesu eutrofizacji Bałtyku. </w:t>
      </w:r>
    </w:p>
    <w:p w14:paraId="7E6336CA"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przypadku projektów obejmujących swoim zakresem działania związanych z poprawą jakości systemów zaopatrzenia ludności w wodę preferowane będą inwestycje wdrażające rozwiązania mające na celu zapewnienie oszczędności wody, w tym poprzez monitorowanie przecieków </w:t>
      </w:r>
      <w:r w:rsidRPr="004E3242">
        <w:rPr>
          <w:rFonts w:ascii="Arial" w:hAnsi="Arial" w:cs="Arial"/>
          <w:spacing w:val="4"/>
          <w:sz w:val="20"/>
          <w:szCs w:val="20"/>
        </w:rPr>
        <w:br/>
        <w:t>i zapobieganie stratom wody z sieci wodociągowych.</w:t>
      </w:r>
    </w:p>
    <w:p w14:paraId="3F39EC81" w14:textId="77777777" w:rsidR="00684EE4"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przewiduje się wybór projektów w procedurze konkursowej</w:t>
      </w:r>
      <w:r w:rsidR="00705F39" w:rsidRPr="00705F39">
        <w:t xml:space="preserve"> </w:t>
      </w:r>
      <w:r w:rsidR="009D7690" w:rsidRPr="009D7690">
        <w:rPr>
          <w:rFonts w:ascii="Arial" w:hAnsi="Arial" w:cs="Arial"/>
          <w:spacing w:val="4"/>
          <w:sz w:val="20"/>
          <w:szCs w:val="20"/>
        </w:rPr>
        <w:t xml:space="preserve">oraz pozakonkursowej. Zastosowanie konkretnego trybu będzie uzależnione od specyfiki typów projektów, które będą mogły być współfinansowane. </w:t>
      </w:r>
      <w:r w:rsidRPr="004E3242">
        <w:rPr>
          <w:rFonts w:ascii="Arial" w:hAnsi="Arial" w:cs="Arial"/>
          <w:spacing w:val="4"/>
          <w:sz w:val="20"/>
          <w:szCs w:val="20"/>
        </w:rPr>
        <w:t xml:space="preserve">Szczególna uwaga na etapie selekcji zostanie skierowana na badanie stopnia osiągnięcia efektu ekologicznego. </w:t>
      </w:r>
      <w:r w:rsidR="009D7690" w:rsidRPr="009D7690">
        <w:rPr>
          <w:rFonts w:ascii="Arial" w:hAnsi="Arial" w:cs="Arial"/>
          <w:spacing w:val="4"/>
          <w:sz w:val="20"/>
          <w:szCs w:val="20"/>
        </w:rPr>
        <w:t xml:space="preserve">Niezależnie od zastosowanej ścieżki (konkursowej bądź pozakonkursowej), </w:t>
      </w:r>
      <w:r w:rsidR="00705F39" w:rsidRPr="00705F39">
        <w:rPr>
          <w:rFonts w:ascii="Arial" w:hAnsi="Arial" w:cs="Arial"/>
          <w:spacing w:val="4"/>
          <w:sz w:val="20"/>
          <w:szCs w:val="20"/>
        </w:rPr>
        <w:t>w</w:t>
      </w:r>
      <w:r w:rsidRPr="004E3242">
        <w:rPr>
          <w:rFonts w:ascii="Arial" w:hAnsi="Arial" w:cs="Arial"/>
          <w:spacing w:val="4"/>
          <w:sz w:val="20"/>
          <w:szCs w:val="20"/>
        </w:rPr>
        <w:t xml:space="preserve">ybór projektów do dofinansowania będzie następował w wyniku oceny poszczególnych przedsięwzięć w oparciu o obiektywne kryteria, zatwierdzone przez Komitet Monitorujący. Kryteria wyboru projektów będą służyły zapewnieniu efektywnej i prawidłowej realizacji celów określonych w osi priorytetowej. </w:t>
      </w:r>
      <w:r w:rsidR="009D7690" w:rsidRPr="009D7690">
        <w:rPr>
          <w:rFonts w:ascii="Arial" w:hAnsi="Arial" w:cs="Arial"/>
          <w:spacing w:val="4"/>
          <w:sz w:val="20"/>
          <w:szCs w:val="20"/>
        </w:rPr>
        <w:t>Nie przewiduje się różnicowania kryteriów wyboru projektów ze względu na tryb wyboru.</w:t>
      </w:r>
      <w:r w:rsidR="00705F39">
        <w:rPr>
          <w:rFonts w:ascii="Arial" w:hAnsi="Arial" w:cs="Arial"/>
          <w:spacing w:val="4"/>
          <w:sz w:val="20"/>
          <w:szCs w:val="20"/>
        </w:rPr>
        <w:t xml:space="preserve"> </w:t>
      </w:r>
      <w:r w:rsidRPr="004E3242">
        <w:rPr>
          <w:rFonts w:ascii="Arial" w:hAnsi="Arial" w:cs="Arial"/>
          <w:spacing w:val="4"/>
          <w:sz w:val="20"/>
          <w:szCs w:val="20"/>
        </w:rPr>
        <w:t>Kryteria będą precyzyjne, mierzalne i obiektywne. Dodatkowo dopuszcza się możliwość nadania kryteriom merytorycznym odpowiedniej punktacji oraz określonych wag punktowych.</w:t>
      </w:r>
    </w:p>
    <w:p w14:paraId="2C32D3ED" w14:textId="77777777" w:rsidR="004E3242" w:rsidRPr="005E530E" w:rsidRDefault="005E530E" w:rsidP="004E3242">
      <w:pPr>
        <w:spacing w:before="120" w:after="120"/>
        <w:jc w:val="both"/>
        <w:rPr>
          <w:rFonts w:ascii="Arial" w:hAnsi="Arial" w:cs="Arial"/>
          <w:color w:val="808000"/>
          <w:spacing w:val="4"/>
          <w:sz w:val="20"/>
          <w:szCs w:val="20"/>
        </w:rPr>
      </w:pPr>
      <w:r w:rsidRPr="005E530E">
        <w:rPr>
          <w:rFonts w:ascii="Arial" w:hAnsi="Arial" w:cs="Arial"/>
          <w:color w:val="808000"/>
          <w:spacing w:val="4"/>
          <w:sz w:val="20"/>
          <w:szCs w:val="20"/>
        </w:rPr>
        <w:t xml:space="preserve">Szczegółowe informacje nt. założeń koordynacji i podziału interwencji pomiędzy </w:t>
      </w:r>
      <w:proofErr w:type="spellStart"/>
      <w:r w:rsidRPr="005E530E">
        <w:rPr>
          <w:rFonts w:ascii="Arial" w:hAnsi="Arial" w:cs="Arial"/>
          <w:color w:val="808000"/>
          <w:spacing w:val="4"/>
          <w:sz w:val="20"/>
          <w:szCs w:val="20"/>
        </w:rPr>
        <w:t>POIiŚ</w:t>
      </w:r>
      <w:proofErr w:type="spellEnd"/>
      <w:r w:rsidRPr="005E530E">
        <w:rPr>
          <w:rFonts w:ascii="Arial" w:hAnsi="Arial" w:cs="Arial"/>
          <w:color w:val="808000"/>
          <w:spacing w:val="4"/>
          <w:sz w:val="20"/>
          <w:szCs w:val="20"/>
        </w:rPr>
        <w:t xml:space="preserve"> a innymi programami i instrumentami wsparcia opisane zostały w rozdziale 8 </w:t>
      </w:r>
      <w:proofErr w:type="spellStart"/>
      <w:r w:rsidRPr="005E530E">
        <w:rPr>
          <w:rFonts w:ascii="Arial" w:hAnsi="Arial" w:cs="Arial"/>
          <w:color w:val="808000"/>
          <w:spacing w:val="4"/>
          <w:sz w:val="20"/>
          <w:szCs w:val="20"/>
        </w:rPr>
        <w:t>POIiŚ</w:t>
      </w:r>
      <w:proofErr w:type="spellEnd"/>
      <w:r w:rsidRPr="005E530E">
        <w:rPr>
          <w:rFonts w:ascii="Arial" w:hAnsi="Arial" w:cs="Arial"/>
          <w:color w:val="808000"/>
          <w:spacing w:val="4"/>
          <w:sz w:val="20"/>
          <w:szCs w:val="20"/>
        </w:rPr>
        <w:t>.</w:t>
      </w:r>
    </w:p>
    <w:p w14:paraId="34F8F46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instrumentów finansowych</w:t>
      </w:r>
    </w:p>
    <w:p w14:paraId="4DC3F971" w14:textId="77777777" w:rsidR="004E3242" w:rsidRPr="004E3242" w:rsidRDefault="004E3242" w:rsidP="004E3242">
      <w:pPr>
        <w:spacing w:before="120" w:after="120"/>
        <w:jc w:val="both"/>
        <w:rPr>
          <w:rFonts w:ascii="Arial" w:hAnsi="Arial" w:cs="Arial"/>
          <w:b/>
          <w:spacing w:val="4"/>
          <w:sz w:val="20"/>
          <w:szCs w:val="20"/>
        </w:rPr>
      </w:pPr>
      <w:r w:rsidRPr="004E3242">
        <w:rPr>
          <w:rFonts w:ascii="Arial" w:hAnsi="Arial" w:cs="Arial"/>
          <w:spacing w:val="4"/>
          <w:sz w:val="20"/>
          <w:szCs w:val="20"/>
        </w:rPr>
        <w:t xml:space="preserve">W odniesieniu do obszarów wsparcia w ramach priorytetu inwestycyjnego nie przewiduje się wsparcia w formie instrumentów finansowych. </w:t>
      </w:r>
    </w:p>
    <w:p w14:paraId="7245337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dużych projektów</w:t>
      </w:r>
    </w:p>
    <w:p w14:paraId="63D49779" w14:textId="77777777" w:rsidR="004E3242" w:rsidRPr="00992EBD" w:rsidRDefault="00862D4E" w:rsidP="004E3242">
      <w:pPr>
        <w:spacing w:before="120" w:after="120"/>
        <w:jc w:val="both"/>
        <w:rPr>
          <w:rFonts w:ascii="Arial" w:hAnsi="Arial" w:cs="Arial"/>
          <w:iCs/>
          <w:spacing w:val="4"/>
          <w:sz w:val="20"/>
          <w:szCs w:val="20"/>
        </w:rPr>
      </w:pPr>
      <w:r w:rsidRPr="00862D4E">
        <w:rPr>
          <w:rFonts w:ascii="Arial" w:hAnsi="Arial" w:cs="Arial"/>
          <w:iCs/>
          <w:spacing w:val="4"/>
          <w:sz w:val="20"/>
          <w:szCs w:val="20"/>
        </w:rPr>
        <w:t>Duże projekty, które w znaczący sposób przyczynią się do osiągnięcia celów szczegółowych tego priorytetu, są wyłaniane na bieżąco i uwzględniane w ramach cyklicznej aktualizacji Wykazu Dużych Projektów, stanowiącego załącznik do Programu.</w:t>
      </w:r>
    </w:p>
    <w:p w14:paraId="6DC3FA2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1260E4BE"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ma charakter horyzontalny i dotyczy całego kraju. Interwencje będą lokalizowane zgodnie ze wskazaniem wynikającym z określonych dokumentów o charakterze strategicznym, </w:t>
      </w:r>
      <w:r w:rsidRPr="004E3242">
        <w:rPr>
          <w:rFonts w:ascii="Arial" w:hAnsi="Arial" w:cs="Arial"/>
          <w:spacing w:val="4"/>
          <w:sz w:val="20"/>
          <w:szCs w:val="20"/>
        </w:rPr>
        <w:br/>
        <w:t xml:space="preserve">w tym w szczególności KPOŚK, krajowym planem gospodarki odpadami i wojewódzkimi planami gospodarki odpadami lub planem zagospodarowania komunalnych osadów ściekowych. Wsparcie podejmowane w ramach priorytetu inwestycyjnego zasadniczo nie będzie wprost nakierowane na interwencję na obszarach wiejskich niemniej przewiduje się, że inwestycje objęte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będą istotnie oddziaływać na obszary wiejskie. Realizowane inwestycje będą w dużej mierze zlokalizowane na terenach miejskich, w tym wojewódzkich (i obszarów powiązanych z nimi funkcjonalnie), miast regionalnych i </w:t>
      </w:r>
      <w:proofErr w:type="spellStart"/>
      <w:r w:rsidRPr="004E3242">
        <w:rPr>
          <w:rFonts w:ascii="Arial" w:hAnsi="Arial" w:cs="Arial"/>
          <w:spacing w:val="4"/>
          <w:sz w:val="20"/>
          <w:szCs w:val="20"/>
        </w:rPr>
        <w:t>subregionalnych</w:t>
      </w:r>
      <w:proofErr w:type="spellEnd"/>
      <w:r w:rsidRPr="004E3242">
        <w:rPr>
          <w:rFonts w:ascii="Arial" w:hAnsi="Arial" w:cs="Arial"/>
          <w:spacing w:val="4"/>
          <w:sz w:val="20"/>
          <w:szCs w:val="20"/>
        </w:rPr>
        <w:t xml:space="preserve">. </w:t>
      </w:r>
    </w:p>
    <w:p w14:paraId="2A340B97" w14:textId="77777777" w:rsidR="004E3242" w:rsidRPr="004E3242" w:rsidRDefault="004E3242" w:rsidP="004E3242">
      <w:pPr>
        <w:spacing w:before="120" w:after="120"/>
        <w:jc w:val="both"/>
        <w:rPr>
          <w:rFonts w:ascii="Arial" w:hAnsi="Arial" w:cs="Arial"/>
          <w:b/>
          <w:spacing w:val="4"/>
          <w:sz w:val="20"/>
          <w:szCs w:val="20"/>
        </w:rPr>
      </w:pPr>
      <w:r w:rsidRPr="004E3242">
        <w:rPr>
          <w:rFonts w:ascii="Arial" w:hAnsi="Arial" w:cs="Arial"/>
          <w:spacing w:val="4"/>
          <w:sz w:val="20"/>
          <w:szCs w:val="20"/>
        </w:rPr>
        <w:t xml:space="preserve">Działania w powyższym obszarze będą przyczyniać się do osiągania celów SUE RMB w ramach Obszaru Priorytetowego NUTRI </w:t>
      </w:r>
      <w:bookmarkStart w:id="388" w:name="_Toc348673521"/>
      <w:r w:rsidRPr="004E3242">
        <w:rPr>
          <w:rFonts w:ascii="Arial" w:hAnsi="Arial" w:cs="Arial"/>
          <w:i/>
          <w:spacing w:val="4"/>
          <w:sz w:val="20"/>
          <w:szCs w:val="20"/>
        </w:rPr>
        <w:t>Zmniejszenie odprowadzania substancji odżywczych do morza do akceptowalnych poziomów</w:t>
      </w:r>
      <w:bookmarkEnd w:id="388"/>
      <w:r w:rsidRPr="004E3242">
        <w:rPr>
          <w:rFonts w:ascii="Arial" w:hAnsi="Arial" w:cs="Arial"/>
          <w:i/>
          <w:spacing w:val="4"/>
          <w:sz w:val="20"/>
          <w:szCs w:val="20"/>
        </w:rPr>
        <w:t xml:space="preserve"> </w:t>
      </w:r>
      <w:r w:rsidRPr="004E3242">
        <w:rPr>
          <w:rFonts w:ascii="Arial" w:hAnsi="Arial" w:cs="Arial"/>
          <w:spacing w:val="4"/>
          <w:sz w:val="20"/>
          <w:szCs w:val="20"/>
        </w:rPr>
        <w:t xml:space="preserve">i będą miały podstawowe znaczenie dla ochrony i zapobieżenia degradacji środowiska morskiego Bałtyku. </w:t>
      </w:r>
    </w:p>
    <w:p w14:paraId="29AD6D0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41"/>
        <w:gridCol w:w="2638"/>
        <w:gridCol w:w="983"/>
        <w:gridCol w:w="858"/>
        <w:gridCol w:w="943"/>
        <w:gridCol w:w="1116"/>
        <w:gridCol w:w="960"/>
        <w:gridCol w:w="1247"/>
      </w:tblGrid>
      <w:tr w:rsidR="004E3242" w:rsidRPr="004E3242" w14:paraId="7E207FBE" w14:textId="77777777" w:rsidTr="00AA7998">
        <w:tc>
          <w:tcPr>
            <w:tcW w:w="291" w:type="pct"/>
            <w:shd w:val="clear" w:color="auto" w:fill="99CC00"/>
            <w:vAlign w:val="center"/>
          </w:tcPr>
          <w:p w14:paraId="7D3CA930"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420" w:type="pct"/>
            <w:shd w:val="clear" w:color="auto" w:fill="99CC00"/>
            <w:vAlign w:val="center"/>
          </w:tcPr>
          <w:p w14:paraId="1B339C1D"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9" w:type="pct"/>
            <w:shd w:val="clear" w:color="auto" w:fill="99CC00"/>
            <w:vAlign w:val="center"/>
          </w:tcPr>
          <w:p w14:paraId="25F8B9D0"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 xml:space="preserve">Jednostka </w:t>
            </w:r>
            <w:r w:rsidRPr="004E3242">
              <w:rPr>
                <w:rFonts w:ascii="Arial" w:hAnsi="Arial" w:cs="Arial"/>
                <w:color w:val="FFFFFF"/>
                <w:spacing w:val="4"/>
                <w:sz w:val="16"/>
                <w:szCs w:val="16"/>
              </w:rPr>
              <w:lastRenderedPageBreak/>
              <w:t>miary</w:t>
            </w:r>
          </w:p>
        </w:tc>
        <w:tc>
          <w:tcPr>
            <w:tcW w:w="462" w:type="pct"/>
            <w:shd w:val="clear" w:color="auto" w:fill="99CC00"/>
            <w:vAlign w:val="center"/>
          </w:tcPr>
          <w:p w14:paraId="51FD19A8"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lastRenderedPageBreak/>
              <w:t>Fundusz</w:t>
            </w:r>
          </w:p>
        </w:tc>
        <w:tc>
          <w:tcPr>
            <w:tcW w:w="508" w:type="pct"/>
            <w:shd w:val="clear" w:color="auto" w:fill="99CC00"/>
            <w:vAlign w:val="center"/>
          </w:tcPr>
          <w:p w14:paraId="75CE2B9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 xml:space="preserve">Kategoria </w:t>
            </w:r>
            <w:r w:rsidRPr="004E3242">
              <w:rPr>
                <w:rFonts w:ascii="Arial" w:hAnsi="Arial" w:cs="Arial"/>
                <w:color w:val="FFFFFF"/>
                <w:spacing w:val="4"/>
                <w:sz w:val="16"/>
                <w:szCs w:val="16"/>
              </w:rPr>
              <w:lastRenderedPageBreak/>
              <w:t>regionu</w:t>
            </w:r>
          </w:p>
        </w:tc>
        <w:tc>
          <w:tcPr>
            <w:tcW w:w="601" w:type="pct"/>
            <w:shd w:val="clear" w:color="auto" w:fill="99CC00"/>
            <w:vAlign w:val="center"/>
          </w:tcPr>
          <w:p w14:paraId="016BB08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lastRenderedPageBreak/>
              <w:t xml:space="preserve">Wartość </w:t>
            </w:r>
            <w:r w:rsidRPr="004E3242">
              <w:rPr>
                <w:rFonts w:ascii="Arial" w:hAnsi="Arial" w:cs="Arial"/>
                <w:color w:val="FFFFFF"/>
                <w:spacing w:val="4"/>
                <w:sz w:val="16"/>
                <w:szCs w:val="16"/>
              </w:rPr>
              <w:lastRenderedPageBreak/>
              <w:t>docelowa</w:t>
            </w:r>
          </w:p>
        </w:tc>
        <w:tc>
          <w:tcPr>
            <w:tcW w:w="517" w:type="pct"/>
            <w:shd w:val="clear" w:color="auto" w:fill="99CC00"/>
            <w:vAlign w:val="center"/>
          </w:tcPr>
          <w:p w14:paraId="1B5FEF0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lastRenderedPageBreak/>
              <w:t xml:space="preserve">Źródło </w:t>
            </w:r>
            <w:r w:rsidRPr="004E3242">
              <w:rPr>
                <w:rFonts w:ascii="Arial" w:hAnsi="Arial" w:cs="Arial"/>
                <w:color w:val="FFFFFF"/>
                <w:spacing w:val="4"/>
                <w:sz w:val="16"/>
                <w:szCs w:val="16"/>
              </w:rPr>
              <w:lastRenderedPageBreak/>
              <w:t>danych</w:t>
            </w:r>
          </w:p>
        </w:tc>
        <w:tc>
          <w:tcPr>
            <w:tcW w:w="671" w:type="pct"/>
            <w:shd w:val="clear" w:color="auto" w:fill="99CC00"/>
            <w:vAlign w:val="center"/>
          </w:tcPr>
          <w:p w14:paraId="4A60C98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lastRenderedPageBreak/>
              <w:t xml:space="preserve">Częstotliwość </w:t>
            </w:r>
            <w:r w:rsidRPr="004E3242">
              <w:rPr>
                <w:rFonts w:ascii="Arial" w:hAnsi="Arial" w:cs="Arial"/>
                <w:color w:val="FFFFFF"/>
                <w:spacing w:val="4"/>
                <w:sz w:val="16"/>
                <w:szCs w:val="16"/>
              </w:rPr>
              <w:lastRenderedPageBreak/>
              <w:t>pomiaru</w:t>
            </w:r>
          </w:p>
        </w:tc>
      </w:tr>
      <w:tr w:rsidR="004E3242" w:rsidRPr="004E3242" w14:paraId="654DFB3F" w14:textId="77777777" w:rsidTr="00AA7998">
        <w:tc>
          <w:tcPr>
            <w:tcW w:w="291" w:type="pct"/>
            <w:shd w:val="clear" w:color="auto" w:fill="F2F2F2"/>
            <w:vAlign w:val="center"/>
          </w:tcPr>
          <w:p w14:paraId="3FD1A4F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1.</w:t>
            </w:r>
          </w:p>
        </w:tc>
        <w:tc>
          <w:tcPr>
            <w:tcW w:w="1420" w:type="pct"/>
            <w:shd w:val="clear" w:color="auto" w:fill="F2F2F2"/>
            <w:vAlign w:val="center"/>
          </w:tcPr>
          <w:p w14:paraId="68B37F9C"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Liczba dodatkowych osób korzystających z ulepszonego oczyszczania ścieków (CI)</w:t>
            </w:r>
          </w:p>
        </w:tc>
        <w:tc>
          <w:tcPr>
            <w:tcW w:w="529" w:type="pct"/>
            <w:shd w:val="clear" w:color="auto" w:fill="F2F2F2"/>
            <w:vAlign w:val="center"/>
          </w:tcPr>
          <w:p w14:paraId="49336D9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RLM</w:t>
            </w:r>
          </w:p>
        </w:tc>
        <w:tc>
          <w:tcPr>
            <w:tcW w:w="462" w:type="pct"/>
            <w:shd w:val="clear" w:color="auto" w:fill="F2F2F2"/>
            <w:vAlign w:val="center"/>
          </w:tcPr>
          <w:p w14:paraId="5501407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08" w:type="pct"/>
            <w:shd w:val="clear" w:color="auto" w:fill="F2F2F2"/>
            <w:vAlign w:val="center"/>
          </w:tcPr>
          <w:p w14:paraId="2C129E3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601" w:type="pct"/>
            <w:shd w:val="clear" w:color="auto" w:fill="F2F2F2"/>
            <w:vAlign w:val="center"/>
          </w:tcPr>
          <w:p w14:paraId="614CC2C0" w14:textId="77777777" w:rsidR="004E3242" w:rsidRPr="004E3242" w:rsidRDefault="008314B8"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8314B8">
              <w:rPr>
                <w:rFonts w:ascii="Arial" w:hAnsi="Arial" w:cs="Arial"/>
                <w:spacing w:val="4"/>
                <w:sz w:val="16"/>
                <w:szCs w:val="16"/>
              </w:rPr>
              <w:t>2 800 000</w:t>
            </w:r>
          </w:p>
        </w:tc>
        <w:tc>
          <w:tcPr>
            <w:tcW w:w="517" w:type="pct"/>
            <w:shd w:val="clear" w:color="auto" w:fill="F2F2F2"/>
            <w:vAlign w:val="center"/>
          </w:tcPr>
          <w:p w14:paraId="58D83BF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7A81EC2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4B6E581C" w14:textId="77777777" w:rsidTr="00AA7998">
        <w:tc>
          <w:tcPr>
            <w:tcW w:w="291" w:type="pct"/>
            <w:shd w:val="clear" w:color="auto" w:fill="F2F2F2"/>
            <w:vAlign w:val="center"/>
          </w:tcPr>
          <w:p w14:paraId="7BAC809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420" w:type="pct"/>
            <w:shd w:val="clear" w:color="auto" w:fill="F2F2F2"/>
            <w:vAlign w:val="center"/>
          </w:tcPr>
          <w:p w14:paraId="23CF1A59"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t>Liczba wybudowanych lub zmodernizowanych oczyszczalni ścieków komunalnych</w:t>
            </w:r>
          </w:p>
        </w:tc>
        <w:tc>
          <w:tcPr>
            <w:tcW w:w="529" w:type="pct"/>
            <w:shd w:val="clear" w:color="auto" w:fill="F2F2F2"/>
            <w:vAlign w:val="center"/>
          </w:tcPr>
          <w:p w14:paraId="5B32800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szt.</w:t>
            </w:r>
          </w:p>
        </w:tc>
        <w:tc>
          <w:tcPr>
            <w:tcW w:w="462" w:type="pct"/>
            <w:shd w:val="clear" w:color="auto" w:fill="F2F2F2"/>
            <w:vAlign w:val="center"/>
          </w:tcPr>
          <w:p w14:paraId="3B657EA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08" w:type="pct"/>
            <w:shd w:val="clear" w:color="auto" w:fill="F2F2F2"/>
            <w:vAlign w:val="center"/>
          </w:tcPr>
          <w:p w14:paraId="3FB7BF4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601" w:type="pct"/>
            <w:shd w:val="clear" w:color="auto" w:fill="F2F2F2"/>
            <w:vAlign w:val="center"/>
          </w:tcPr>
          <w:p w14:paraId="0731EA00" w14:textId="77777777" w:rsidR="004E3242" w:rsidRPr="004E3242" w:rsidRDefault="008314B8" w:rsidP="00D84D47">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8314B8">
              <w:rPr>
                <w:rFonts w:ascii="Arial" w:hAnsi="Arial" w:cs="Arial"/>
                <w:spacing w:val="4"/>
                <w:sz w:val="16"/>
                <w:szCs w:val="16"/>
              </w:rPr>
              <w:t>205</w:t>
            </w:r>
          </w:p>
        </w:tc>
        <w:tc>
          <w:tcPr>
            <w:tcW w:w="517" w:type="pct"/>
            <w:shd w:val="clear" w:color="auto" w:fill="F2F2F2"/>
            <w:vAlign w:val="center"/>
          </w:tcPr>
          <w:p w14:paraId="20EAC85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SL 2014</w:t>
            </w:r>
          </w:p>
        </w:tc>
        <w:tc>
          <w:tcPr>
            <w:tcW w:w="671" w:type="pct"/>
            <w:shd w:val="clear" w:color="auto" w:fill="F2F2F2"/>
            <w:vAlign w:val="center"/>
          </w:tcPr>
          <w:p w14:paraId="6A153A6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C4CA484" w14:textId="77777777" w:rsidTr="00AA7998">
        <w:tc>
          <w:tcPr>
            <w:tcW w:w="291" w:type="pct"/>
            <w:shd w:val="clear" w:color="auto" w:fill="F2F2F2"/>
            <w:vAlign w:val="center"/>
          </w:tcPr>
          <w:p w14:paraId="63370A1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1420" w:type="pct"/>
            <w:shd w:val="clear" w:color="auto" w:fill="F2F2F2"/>
            <w:vAlign w:val="center"/>
          </w:tcPr>
          <w:p w14:paraId="518A8E49" w14:textId="77777777" w:rsidR="004E3242" w:rsidRPr="004E3242" w:rsidRDefault="004E3242" w:rsidP="00992EBD">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t>Długość wybudowanej</w:t>
            </w:r>
            <w:r w:rsidR="00992EBD">
              <w:rPr>
                <w:rFonts w:ascii="Arial" w:hAnsi="Arial" w:cs="Arial"/>
                <w:sz w:val="16"/>
                <w:szCs w:val="16"/>
              </w:rPr>
              <w:t xml:space="preserve"> </w:t>
            </w:r>
            <w:r w:rsidRPr="004E3242">
              <w:rPr>
                <w:rFonts w:ascii="Arial" w:hAnsi="Arial" w:cs="Arial"/>
                <w:sz w:val="16"/>
                <w:szCs w:val="16"/>
              </w:rPr>
              <w:t>lub zmodernizowanej kanalizacji sanitarnej</w:t>
            </w:r>
          </w:p>
        </w:tc>
        <w:tc>
          <w:tcPr>
            <w:tcW w:w="529" w:type="pct"/>
            <w:shd w:val="clear" w:color="auto" w:fill="F2F2F2"/>
            <w:vAlign w:val="center"/>
          </w:tcPr>
          <w:p w14:paraId="4B816B5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km</w:t>
            </w:r>
          </w:p>
        </w:tc>
        <w:tc>
          <w:tcPr>
            <w:tcW w:w="462" w:type="pct"/>
            <w:shd w:val="clear" w:color="auto" w:fill="F2F2F2"/>
            <w:vAlign w:val="center"/>
          </w:tcPr>
          <w:p w14:paraId="3F01081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08" w:type="pct"/>
            <w:shd w:val="clear" w:color="auto" w:fill="F2F2F2"/>
            <w:vAlign w:val="center"/>
          </w:tcPr>
          <w:p w14:paraId="259FEF0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601" w:type="pct"/>
            <w:shd w:val="clear" w:color="auto" w:fill="F2F2F2"/>
            <w:vAlign w:val="center"/>
          </w:tcPr>
          <w:p w14:paraId="03A20B35" w14:textId="77777777" w:rsidR="008314B8" w:rsidRDefault="008314B8"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p>
          <w:p w14:paraId="7A94A90C" w14:textId="77777777" w:rsidR="004E3242" w:rsidRPr="004E3242" w:rsidRDefault="008314B8" w:rsidP="004E3242">
            <w:pPr>
              <w:autoSpaceDE w:val="0"/>
              <w:autoSpaceDN w:val="0"/>
              <w:adjustRightInd w:val="0"/>
              <w:spacing w:before="60" w:after="60" w:line="240" w:lineRule="auto"/>
              <w:jc w:val="center"/>
              <w:rPr>
                <w:rFonts w:ascii="Arial" w:hAnsi="Arial" w:cs="Arial"/>
                <w:spacing w:val="4"/>
                <w:sz w:val="16"/>
                <w:szCs w:val="16"/>
              </w:rPr>
            </w:pPr>
            <w:r w:rsidRPr="008314B8">
              <w:rPr>
                <w:rFonts w:ascii="Arial" w:hAnsi="Arial" w:cs="Arial"/>
                <w:spacing w:val="4"/>
                <w:sz w:val="16"/>
                <w:szCs w:val="16"/>
              </w:rPr>
              <w:t>5 000</w:t>
            </w:r>
          </w:p>
        </w:tc>
        <w:tc>
          <w:tcPr>
            <w:tcW w:w="517" w:type="pct"/>
            <w:shd w:val="clear" w:color="auto" w:fill="F2F2F2"/>
            <w:vAlign w:val="center"/>
          </w:tcPr>
          <w:p w14:paraId="3426256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SL 2014</w:t>
            </w:r>
          </w:p>
        </w:tc>
        <w:tc>
          <w:tcPr>
            <w:tcW w:w="671" w:type="pct"/>
            <w:shd w:val="clear" w:color="auto" w:fill="F2F2F2"/>
            <w:vAlign w:val="center"/>
          </w:tcPr>
          <w:p w14:paraId="3676880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46972BE8" w14:textId="77777777" w:rsidTr="00AA7998">
        <w:tc>
          <w:tcPr>
            <w:tcW w:w="29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3505C7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4.</w:t>
            </w:r>
          </w:p>
        </w:tc>
        <w:tc>
          <w:tcPr>
            <w:tcW w:w="1420"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5CF7BBC2" w14:textId="77777777" w:rsidR="004E3242" w:rsidRPr="004E3242" w:rsidRDefault="004E3242" w:rsidP="004E3242">
            <w:pPr>
              <w:autoSpaceDE w:val="0"/>
              <w:autoSpaceDN w:val="0"/>
              <w:adjustRightInd w:val="0"/>
              <w:spacing w:before="60" w:after="60" w:line="240" w:lineRule="auto"/>
              <w:jc w:val="both"/>
              <w:rPr>
                <w:rFonts w:ascii="Arial" w:hAnsi="Arial" w:cs="Arial"/>
                <w:sz w:val="16"/>
                <w:szCs w:val="16"/>
              </w:rPr>
            </w:pPr>
            <w:r w:rsidRPr="004E3242">
              <w:rPr>
                <w:rFonts w:ascii="Arial" w:hAnsi="Arial" w:cs="Arial"/>
                <w:sz w:val="16"/>
                <w:szCs w:val="16"/>
              </w:rPr>
              <w:t>Liczba dodatkowych osób korzystających z ulepszonego zaopatrzenia w wodę (CI)</w:t>
            </w:r>
          </w:p>
        </w:tc>
        <w:tc>
          <w:tcPr>
            <w:tcW w:w="529"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6EAF7B7"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osoby</w:t>
            </w:r>
          </w:p>
        </w:tc>
        <w:tc>
          <w:tcPr>
            <w:tcW w:w="462"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1F2DF31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08"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0D3510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60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05D88909" w14:textId="77777777" w:rsidR="008314B8" w:rsidRDefault="008314B8"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p>
          <w:p w14:paraId="5F0DCBAD" w14:textId="77777777" w:rsidR="004E3242" w:rsidRPr="004E3242" w:rsidRDefault="008314B8" w:rsidP="004E3242">
            <w:pPr>
              <w:autoSpaceDE w:val="0"/>
              <w:autoSpaceDN w:val="0"/>
              <w:adjustRightInd w:val="0"/>
              <w:spacing w:before="60" w:after="60" w:line="240" w:lineRule="auto"/>
              <w:jc w:val="center"/>
              <w:rPr>
                <w:rFonts w:ascii="Arial" w:hAnsi="Arial" w:cs="Arial"/>
                <w:spacing w:val="4"/>
                <w:sz w:val="16"/>
                <w:szCs w:val="16"/>
              </w:rPr>
            </w:pPr>
            <w:r w:rsidRPr="008314B8">
              <w:rPr>
                <w:rFonts w:ascii="Arial" w:hAnsi="Arial" w:cs="Arial"/>
                <w:spacing w:val="4"/>
                <w:sz w:val="16"/>
                <w:szCs w:val="16"/>
              </w:rPr>
              <w:t>50 000</w:t>
            </w:r>
          </w:p>
        </w:tc>
        <w:tc>
          <w:tcPr>
            <w:tcW w:w="517"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2F4B8889"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SL 2014</w:t>
            </w:r>
          </w:p>
        </w:tc>
        <w:tc>
          <w:tcPr>
            <w:tcW w:w="671"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7FC1BDB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307C3FD2"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29A91B48"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6.iii. Ochrona i przywrócenie różnorodności biologicznej, ochrona i rekultywacja gleby oraz wspieranie usług ekosystemowych, także poprzez program „Natura 2000” i zieloną infrastrukturę</w:t>
      </w:r>
    </w:p>
    <w:p w14:paraId="5788514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23A2EC82"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Wzmocnione mechanizmy służące ochronie przyrody</w:t>
      </w:r>
    </w:p>
    <w:p w14:paraId="3C57F74A"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15B6B757"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Realizacja priorytetu inwestycyjnego przyczyni się do osiągnięcia celu dotyczącego wzmocnienia mechanizmów służących ochronie przyrody. Zostanie to osiągnięte m.in. poprzez zwiększenie odsetka obszarów Natura 2000 objętych planami zarządzania oraz zwiększenie powierzchni siedlisk wspartych w zakresie uzyskania lepszego statusu ochrony</w:t>
      </w:r>
    </w:p>
    <w:p w14:paraId="1DA435D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65"/>
        <w:gridCol w:w="1811"/>
        <w:gridCol w:w="992"/>
        <w:gridCol w:w="992"/>
        <w:gridCol w:w="851"/>
        <w:gridCol w:w="852"/>
        <w:gridCol w:w="992"/>
        <w:gridCol w:w="851"/>
        <w:gridCol w:w="1380"/>
      </w:tblGrid>
      <w:tr w:rsidR="004E3242" w:rsidRPr="004E3242" w14:paraId="7A3AA00B" w14:textId="77777777" w:rsidTr="00AA7998">
        <w:tc>
          <w:tcPr>
            <w:tcW w:w="304" w:type="pct"/>
            <w:shd w:val="clear" w:color="auto" w:fill="99CC00"/>
            <w:vAlign w:val="center"/>
          </w:tcPr>
          <w:p w14:paraId="3FB2132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75" w:type="pct"/>
            <w:shd w:val="clear" w:color="auto" w:fill="99CC00"/>
            <w:vAlign w:val="center"/>
          </w:tcPr>
          <w:p w14:paraId="2D96ADA5"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089055E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243D4DC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5EDD754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9" w:type="pct"/>
            <w:shd w:val="clear" w:color="auto" w:fill="99CC00"/>
            <w:vAlign w:val="center"/>
          </w:tcPr>
          <w:p w14:paraId="70E80DA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4" w:type="pct"/>
            <w:shd w:val="clear" w:color="auto" w:fill="99CC00"/>
            <w:vAlign w:val="center"/>
          </w:tcPr>
          <w:p w14:paraId="1160FE7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8" w:type="pct"/>
            <w:shd w:val="clear" w:color="auto" w:fill="99CC00"/>
            <w:vAlign w:val="center"/>
          </w:tcPr>
          <w:p w14:paraId="510DD3D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3" w:type="pct"/>
            <w:shd w:val="clear" w:color="auto" w:fill="99CC00"/>
            <w:vAlign w:val="center"/>
          </w:tcPr>
          <w:p w14:paraId="1A84F86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282C300E" w14:textId="77777777" w:rsidTr="00AA7998">
        <w:tc>
          <w:tcPr>
            <w:tcW w:w="304" w:type="pct"/>
            <w:shd w:val="clear" w:color="auto" w:fill="F2F2F2"/>
            <w:vAlign w:val="center"/>
          </w:tcPr>
          <w:p w14:paraId="361AC646" w14:textId="77777777" w:rsidR="004E3242" w:rsidRPr="004E3242" w:rsidDel="00DC6A16"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975" w:type="pct"/>
            <w:shd w:val="clear" w:color="auto" w:fill="F2F2F2"/>
            <w:vAlign w:val="center"/>
          </w:tcPr>
          <w:p w14:paraId="3C354412"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Odsetek obszarów Natura 2000 objętych planami zarządzania</w:t>
            </w:r>
          </w:p>
        </w:tc>
        <w:tc>
          <w:tcPr>
            <w:tcW w:w="534" w:type="pct"/>
            <w:shd w:val="clear" w:color="auto" w:fill="F2F2F2"/>
            <w:vAlign w:val="center"/>
          </w:tcPr>
          <w:p w14:paraId="62813BCE"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534" w:type="pct"/>
            <w:shd w:val="clear" w:color="auto" w:fill="F2F2F2"/>
            <w:vAlign w:val="center"/>
          </w:tcPr>
          <w:p w14:paraId="12E042C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406F7AB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3,97</w:t>
            </w:r>
          </w:p>
        </w:tc>
        <w:tc>
          <w:tcPr>
            <w:tcW w:w="459" w:type="pct"/>
            <w:shd w:val="clear" w:color="auto" w:fill="F2F2F2"/>
            <w:vAlign w:val="center"/>
          </w:tcPr>
          <w:p w14:paraId="0FC3292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4D0D936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100</w:t>
            </w:r>
          </w:p>
        </w:tc>
        <w:tc>
          <w:tcPr>
            <w:tcW w:w="458" w:type="pct"/>
            <w:shd w:val="clear" w:color="auto" w:fill="F2F2F2"/>
            <w:vAlign w:val="center"/>
          </w:tcPr>
          <w:p w14:paraId="1CDBD98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GDOŚ</w:t>
            </w:r>
          </w:p>
        </w:tc>
        <w:tc>
          <w:tcPr>
            <w:tcW w:w="743" w:type="pct"/>
            <w:shd w:val="clear" w:color="auto" w:fill="F2F2F2"/>
            <w:vAlign w:val="center"/>
          </w:tcPr>
          <w:p w14:paraId="3934584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423C57C3" w14:textId="77777777" w:rsidR="004E3242" w:rsidRPr="004E3242" w:rsidRDefault="004E3242" w:rsidP="004E3242">
      <w:pPr>
        <w:spacing w:after="120" w:line="280" w:lineRule="atLeast"/>
        <w:jc w:val="both"/>
        <w:rPr>
          <w:rFonts w:ascii="Arial" w:hAnsi="Arial" w:cs="Arial"/>
          <w:spacing w:val="4"/>
          <w:sz w:val="20"/>
          <w:szCs w:val="20"/>
        </w:rPr>
      </w:pPr>
    </w:p>
    <w:p w14:paraId="1FFFA30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2D1E9040"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Pomimo stosunkowo bogatych zasobów przyrodniczych w Polsce, konieczne jest podejmowanie dalszych wysiłków w celu przeciwdziałania czynnikom i zjawiskom powodującym spadek różnorodności biologicznej. W ramach priorytetu inwestycyjnego podejmowane będą działania w różnych obszarach związanych z ochroną wybranych gatunków i siedlisk na terenach Parków Narodowych oraz obszarów Natura 2000 jak również poza obszarami chronionymi np. w korytarzach ekologicznych oraz w miejscach występowania gatunków zagrożonych. Wspierany będzie również rozwój narzędzi zarządzania obszarami cennymi przyrodniczo. Realizowane będą także nowoczesne programy edukacyjne, stanowiące uzupełnienie powyższych działań, skierowane do szerokiego grona odbiorców,</w:t>
      </w:r>
      <w:r w:rsidRPr="004E3242">
        <w:t xml:space="preserve"> </w:t>
      </w:r>
      <w:r w:rsidRPr="004E3242">
        <w:rPr>
          <w:rFonts w:ascii="Arial" w:hAnsi="Arial" w:cs="Arial"/>
          <w:spacing w:val="4"/>
          <w:sz w:val="20"/>
          <w:szCs w:val="20"/>
        </w:rPr>
        <w:t>mające na celu zwiększenie świadomości społecznej i zaangażowania obywateli w aktywną ochronę środowiska oraz kształtowanie postaw proekologicznych. Przewiduje się wsparcie następujących obszarów:</w:t>
      </w:r>
    </w:p>
    <w:p w14:paraId="0890A405" w14:textId="77777777" w:rsidR="004E3242" w:rsidRPr="004E3242" w:rsidRDefault="004E3242" w:rsidP="000E4188">
      <w:pPr>
        <w:numPr>
          <w:ilvl w:val="0"/>
          <w:numId w:val="11"/>
        </w:numPr>
        <w:spacing w:before="120" w:after="120"/>
        <w:jc w:val="both"/>
        <w:rPr>
          <w:rFonts w:ascii="Arial" w:hAnsi="Arial" w:cs="Arial"/>
          <w:spacing w:val="4"/>
          <w:sz w:val="20"/>
          <w:szCs w:val="20"/>
        </w:rPr>
      </w:pPr>
      <w:r w:rsidRPr="004E3242">
        <w:rPr>
          <w:rFonts w:ascii="Arial" w:hAnsi="Arial" w:cs="Arial"/>
          <w:spacing w:val="4"/>
          <w:sz w:val="20"/>
          <w:szCs w:val="20"/>
        </w:rPr>
        <w:t>ochrona in-situ i ex-situ zagrożonych gatunków i siedlisk przyrodniczych, w tym w ramach kompleksowych projektów ponadregionalnych;</w:t>
      </w:r>
    </w:p>
    <w:p w14:paraId="2FF11335" w14:textId="77777777" w:rsidR="004E3242" w:rsidRPr="004E3242" w:rsidRDefault="004E3242" w:rsidP="000E4188">
      <w:pPr>
        <w:numPr>
          <w:ilvl w:val="0"/>
          <w:numId w:val="11"/>
        </w:numPr>
        <w:spacing w:before="120" w:after="120"/>
        <w:jc w:val="both"/>
        <w:rPr>
          <w:rFonts w:ascii="Arial" w:hAnsi="Arial" w:cs="Arial"/>
          <w:spacing w:val="4"/>
          <w:sz w:val="20"/>
          <w:szCs w:val="20"/>
        </w:rPr>
      </w:pPr>
      <w:r w:rsidRPr="004E3242">
        <w:rPr>
          <w:rFonts w:ascii="Arial" w:hAnsi="Arial" w:cs="Arial"/>
          <w:spacing w:val="4"/>
          <w:sz w:val="20"/>
          <w:szCs w:val="20"/>
        </w:rPr>
        <w:lastRenderedPageBreak/>
        <w:t xml:space="preserve">rozwój zielonej infrastruktury, w tym zwiększanie drożności korytarzy ekologicznych lądowych i wodnych; </w:t>
      </w:r>
    </w:p>
    <w:p w14:paraId="4E7AA55B" w14:textId="77777777" w:rsidR="004E3242" w:rsidRPr="004E3242" w:rsidRDefault="004E3242" w:rsidP="000E4188">
      <w:pPr>
        <w:numPr>
          <w:ilvl w:val="0"/>
          <w:numId w:val="11"/>
        </w:numPr>
        <w:spacing w:before="120" w:after="120"/>
        <w:jc w:val="both"/>
        <w:rPr>
          <w:rFonts w:ascii="Arial" w:hAnsi="Arial" w:cs="Arial"/>
          <w:spacing w:val="4"/>
          <w:sz w:val="20"/>
          <w:szCs w:val="20"/>
        </w:rPr>
      </w:pPr>
      <w:r w:rsidRPr="004E3242">
        <w:rPr>
          <w:rFonts w:ascii="Arial" w:hAnsi="Arial" w:cs="Arial"/>
          <w:spacing w:val="4"/>
          <w:sz w:val="20"/>
          <w:szCs w:val="20"/>
        </w:rPr>
        <w:t xml:space="preserve">opracowanie dokumentów planistycznych zgodnie z kierunkami określonymi </w:t>
      </w:r>
      <w:r w:rsidRPr="004E3242">
        <w:rPr>
          <w:rFonts w:ascii="Arial" w:hAnsi="Arial" w:cs="Arial"/>
          <w:spacing w:val="4"/>
          <w:sz w:val="20"/>
          <w:szCs w:val="20"/>
        </w:rPr>
        <w:br/>
        <w:t>w dokumentach strategicznych</w:t>
      </w:r>
      <w:r w:rsidRPr="004E3242">
        <w:rPr>
          <w:rFonts w:ascii="Arial" w:hAnsi="Arial" w:cs="Arial"/>
          <w:spacing w:val="4"/>
          <w:sz w:val="20"/>
          <w:szCs w:val="20"/>
          <w:vertAlign w:val="superscript"/>
        </w:rPr>
        <w:footnoteReference w:id="57"/>
      </w:r>
      <w:r w:rsidRPr="004E3242">
        <w:rPr>
          <w:rFonts w:ascii="Arial" w:hAnsi="Arial" w:cs="Arial"/>
          <w:spacing w:val="4"/>
          <w:sz w:val="20"/>
          <w:szCs w:val="20"/>
        </w:rPr>
        <w:t xml:space="preserve"> m.in. plany zadań ochronnych i plany ochrony</w:t>
      </w:r>
      <w:r w:rsidRPr="004E3242">
        <w:rPr>
          <w:rFonts w:ascii="Arial" w:hAnsi="Arial" w:cs="Arial"/>
          <w:i/>
          <w:spacing w:val="4"/>
          <w:sz w:val="20"/>
          <w:szCs w:val="20"/>
        </w:rPr>
        <w:t>;</w:t>
      </w:r>
    </w:p>
    <w:p w14:paraId="52266A60" w14:textId="77777777" w:rsidR="004E3242" w:rsidRPr="004E3242" w:rsidRDefault="004E3242" w:rsidP="000E4188">
      <w:pPr>
        <w:numPr>
          <w:ilvl w:val="0"/>
          <w:numId w:val="11"/>
        </w:numPr>
        <w:spacing w:before="120" w:after="120"/>
        <w:jc w:val="both"/>
        <w:rPr>
          <w:rFonts w:ascii="Arial" w:hAnsi="Arial" w:cs="Arial"/>
          <w:spacing w:val="4"/>
          <w:sz w:val="20"/>
          <w:szCs w:val="20"/>
        </w:rPr>
      </w:pPr>
      <w:r w:rsidRPr="004E3242">
        <w:rPr>
          <w:rFonts w:ascii="Arial" w:hAnsi="Arial" w:cs="Arial"/>
          <w:spacing w:val="4"/>
          <w:sz w:val="20"/>
          <w:szCs w:val="20"/>
        </w:rPr>
        <w:t>wdrażanie instrumentów zarządczych w ochronie przyrody w tym opracowanie zasad kontroli i zwalczania gatunków obcych oraz wykonywanie wielkoobszarowych inwentaryzacji przyrodniczych;</w:t>
      </w:r>
    </w:p>
    <w:p w14:paraId="26CBC84F" w14:textId="77777777" w:rsidR="004E3242" w:rsidRPr="004E3242" w:rsidRDefault="004E3242" w:rsidP="000E4188">
      <w:pPr>
        <w:numPr>
          <w:ilvl w:val="0"/>
          <w:numId w:val="11"/>
        </w:numPr>
        <w:spacing w:before="120" w:after="120"/>
        <w:jc w:val="both"/>
        <w:rPr>
          <w:rFonts w:ascii="Arial" w:hAnsi="Arial" w:cs="Arial"/>
          <w:spacing w:val="4"/>
          <w:sz w:val="20"/>
          <w:szCs w:val="20"/>
        </w:rPr>
      </w:pPr>
      <w:r w:rsidRPr="004E3242">
        <w:rPr>
          <w:rFonts w:ascii="Arial" w:hAnsi="Arial" w:cs="Arial"/>
          <w:spacing w:val="4"/>
          <w:sz w:val="20"/>
          <w:szCs w:val="20"/>
        </w:rPr>
        <w:t>doposażenie ośrodków edukacji ekologicznej (podlegających Parkom Narodowym);</w:t>
      </w:r>
    </w:p>
    <w:p w14:paraId="72D03399" w14:textId="77777777" w:rsidR="00AC0189" w:rsidRDefault="004E3242" w:rsidP="00AC0189">
      <w:pPr>
        <w:numPr>
          <w:ilvl w:val="0"/>
          <w:numId w:val="11"/>
        </w:numPr>
        <w:spacing w:before="120" w:after="120"/>
        <w:jc w:val="both"/>
        <w:rPr>
          <w:rFonts w:ascii="Arial" w:hAnsi="Arial" w:cs="Arial"/>
          <w:spacing w:val="4"/>
          <w:sz w:val="20"/>
          <w:szCs w:val="20"/>
        </w:rPr>
      </w:pPr>
      <w:r w:rsidRPr="004E3242">
        <w:rPr>
          <w:rFonts w:ascii="Arial" w:hAnsi="Arial" w:cs="Arial"/>
          <w:spacing w:val="4"/>
          <w:sz w:val="20"/>
          <w:szCs w:val="20"/>
        </w:rPr>
        <w:t>prowadzenie działań informacyjno-edukacyjnych</w:t>
      </w:r>
      <w:r w:rsidRPr="004E3242">
        <w:rPr>
          <w:rFonts w:ascii="Arial" w:hAnsi="Arial" w:cs="Arial"/>
          <w:spacing w:val="4"/>
          <w:sz w:val="20"/>
          <w:szCs w:val="20"/>
          <w:vertAlign w:val="superscript"/>
        </w:rPr>
        <w:footnoteReference w:id="58"/>
      </w:r>
      <w:r w:rsidRPr="004E3242">
        <w:rPr>
          <w:rFonts w:ascii="Arial" w:hAnsi="Arial" w:cs="Arial"/>
          <w:spacing w:val="4"/>
          <w:sz w:val="20"/>
          <w:szCs w:val="20"/>
        </w:rPr>
        <w:t xml:space="preserve"> w zakresie ochrony środowiska.</w:t>
      </w:r>
    </w:p>
    <w:p w14:paraId="38585790" w14:textId="77777777" w:rsidR="004E3242" w:rsidRPr="00AC0189" w:rsidRDefault="004E3242" w:rsidP="00AC0189">
      <w:pPr>
        <w:spacing w:before="120" w:after="120"/>
        <w:ind w:left="360"/>
        <w:jc w:val="both"/>
        <w:rPr>
          <w:rFonts w:ascii="Arial" w:hAnsi="Arial" w:cs="Arial"/>
          <w:spacing w:val="4"/>
          <w:sz w:val="20"/>
          <w:szCs w:val="20"/>
        </w:rPr>
      </w:pPr>
      <w:r w:rsidRPr="00AC0189">
        <w:rPr>
          <w:rFonts w:ascii="Arial" w:hAnsi="Arial" w:cs="Arial"/>
          <w:spacing w:val="4"/>
          <w:sz w:val="20"/>
          <w:szCs w:val="20"/>
        </w:rPr>
        <w:t xml:space="preserve"> </w:t>
      </w:r>
    </w:p>
    <w:p w14:paraId="3024073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7135323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wsparcie przewidziane jest dla administracji rządowej oraz nadzorowanych lub podległych jej organów</w:t>
      </w:r>
      <w:r w:rsidRPr="004E3242">
        <w:rPr>
          <w:rFonts w:ascii="Arial" w:hAnsi="Arial" w:cs="Arial"/>
          <w:b/>
          <w:sz w:val="16"/>
          <w:szCs w:val="16"/>
          <w:lang w:eastAsia="ar-SA"/>
        </w:rPr>
        <w:t xml:space="preserve"> </w:t>
      </w:r>
      <w:r w:rsidRPr="004E3242">
        <w:rPr>
          <w:rFonts w:ascii="Arial" w:hAnsi="Arial" w:cs="Arial"/>
          <w:spacing w:val="4"/>
          <w:sz w:val="20"/>
          <w:szCs w:val="20"/>
        </w:rPr>
        <w:t>i jednostek organizacyjnych, jednostek samorządu terytorialnego i ich związków oraz działających w ich imieniu jednostek organizacyjnych, organizacji pozarządowych, jednostek naukowych, a także podmiotów świadczących usługi publiczne w ramach realizacji obowiązków własnych jednostek samorządu terytorialnego.</w:t>
      </w:r>
    </w:p>
    <w:p w14:paraId="20D3C657" w14:textId="77777777" w:rsidR="004E3242" w:rsidRPr="004E3242" w:rsidRDefault="004E3242" w:rsidP="004E3242">
      <w:pPr>
        <w:spacing w:before="120" w:after="120"/>
        <w:jc w:val="both"/>
        <w:rPr>
          <w:rFonts w:ascii="Arial" w:hAnsi="Arial" w:cs="Arial"/>
          <w:b/>
          <w:color w:val="808000"/>
          <w:spacing w:val="4"/>
          <w:sz w:val="20"/>
          <w:szCs w:val="20"/>
        </w:rPr>
      </w:pPr>
      <w:r w:rsidRPr="004E3242">
        <w:rPr>
          <w:rFonts w:ascii="Arial" w:hAnsi="Arial" w:cs="Arial"/>
          <w:spacing w:val="4"/>
          <w:sz w:val="20"/>
          <w:szCs w:val="20"/>
        </w:rPr>
        <w:t>Główną grupą docelową są indywidualni użytkownicy korzystający z zasobów środowiska.</w:t>
      </w:r>
      <w:r w:rsidRPr="004E3242">
        <w:rPr>
          <w:rFonts w:ascii="Arial" w:hAnsi="Arial" w:cs="Arial"/>
          <w:sz w:val="16"/>
          <w:szCs w:val="16"/>
        </w:rPr>
        <w:t xml:space="preserve"> </w:t>
      </w:r>
    </w:p>
    <w:p w14:paraId="776CBC2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217B78D1" w14:textId="77777777" w:rsidR="00684EE4"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przewiduje się wybór projektów w procedurze konkursowej oraz pozakonkursowej. Zastosowanie konkretnego trybu będzie uzależnione od specyfiki typów projektów, które będą mogły być współfinansowane. Szczególna uwaga na etapie selekcji zostanie skierowana na badanie stopnia osiągnięcia efektu ekologicznego. Niezależnie od zastosowanej ścieżki (konkursowej bądź pozakonkursowej), wybór projektów do dofinansowania będzie następował w wyniku oceny poszczególnych przedsięwzięć w oparciu o obiektywne kryteria zatwierdzone przez Komitet Monitorujący. Kryteria wyboru projektów będą służyły zapewnieniu efektywnej i prawidłowej realizacji celów określonych w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w:t>
      </w:r>
    </w:p>
    <w:p w14:paraId="18D6B096" w14:textId="77777777" w:rsidR="004E3242" w:rsidRPr="004E3242" w:rsidRDefault="005E530E" w:rsidP="004E3242">
      <w:pPr>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7F4128F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instrumentów finansowych</w:t>
      </w:r>
    </w:p>
    <w:p w14:paraId="01CE11C2"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odniesieniu do obszarów wsparcia w ramach priorytetu inwestycyjnego nie przewiduje się wsparcia w formie instrumentów finansowych. </w:t>
      </w:r>
    </w:p>
    <w:p w14:paraId="598BFA9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dużych projektów</w:t>
      </w:r>
    </w:p>
    <w:p w14:paraId="6A197F1F" w14:textId="77777777" w:rsidR="004E3242" w:rsidRPr="004E3242" w:rsidRDefault="004E3242" w:rsidP="004E3242">
      <w:pPr>
        <w:spacing w:before="120" w:after="120"/>
        <w:jc w:val="both"/>
        <w:rPr>
          <w:rFonts w:ascii="Arial" w:hAnsi="Arial" w:cs="Arial"/>
          <w:iCs/>
          <w:spacing w:val="4"/>
          <w:sz w:val="20"/>
          <w:szCs w:val="20"/>
        </w:rPr>
      </w:pPr>
      <w:r w:rsidRPr="004E3242">
        <w:rPr>
          <w:rFonts w:ascii="Arial" w:hAnsi="Arial" w:cs="Arial"/>
          <w:iCs/>
          <w:spacing w:val="4"/>
          <w:sz w:val="20"/>
          <w:szCs w:val="20"/>
        </w:rPr>
        <w:t>Na obecnym etapie nie identyfikuje się dużych projektów.</w:t>
      </w:r>
    </w:p>
    <w:p w14:paraId="6F2EBA4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6EAE075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ma charakter horyzontalny i dotyczy całego kraju, </w:t>
      </w:r>
      <w:r w:rsidRPr="004E3242">
        <w:rPr>
          <w:rFonts w:ascii="Arial" w:hAnsi="Arial" w:cs="Arial"/>
          <w:sz w:val="20"/>
          <w:szCs w:val="20"/>
        </w:rPr>
        <w:t>jednakże ze szczególną koncentracją działań na obszarach chronionych, w tym zwłaszcza na obszarach Natura 2000 oraz na terenach tworzących zieloną infrastrukturę</w:t>
      </w:r>
      <w:r w:rsidRPr="004E3242">
        <w:rPr>
          <w:rFonts w:ascii="Arial" w:hAnsi="Arial" w:cs="Arial"/>
          <w:spacing w:val="4"/>
          <w:sz w:val="20"/>
          <w:szCs w:val="20"/>
        </w:rPr>
        <w:t xml:space="preserve">. Interwencje będą lokalizowane zgodnie ze wskazaniem </w:t>
      </w:r>
      <w:r w:rsidRPr="004E3242">
        <w:rPr>
          <w:rFonts w:ascii="Arial" w:hAnsi="Arial" w:cs="Arial"/>
          <w:spacing w:val="4"/>
          <w:sz w:val="20"/>
          <w:szCs w:val="20"/>
        </w:rPr>
        <w:lastRenderedPageBreak/>
        <w:t xml:space="preserve">wynikającym z określonych dokumentów o charakterze strategicznym, w tym w szczególności: </w:t>
      </w:r>
      <w:r w:rsidRPr="004E3242">
        <w:rPr>
          <w:rFonts w:ascii="Arial" w:hAnsi="Arial" w:cs="Arial"/>
          <w:i/>
          <w:spacing w:val="4"/>
          <w:sz w:val="20"/>
          <w:szCs w:val="20"/>
        </w:rPr>
        <w:t>Strategią Bezpieczeństwo Energetyczne i Środowisko</w:t>
      </w:r>
      <w:r w:rsidRPr="004E3242">
        <w:rPr>
          <w:rFonts w:ascii="Arial" w:hAnsi="Arial" w:cs="Arial"/>
          <w:spacing w:val="4"/>
          <w:sz w:val="20"/>
          <w:szCs w:val="20"/>
        </w:rPr>
        <w:t xml:space="preserve">, </w:t>
      </w:r>
      <w:r w:rsidRPr="004E3242">
        <w:rPr>
          <w:rFonts w:ascii="Arial" w:hAnsi="Arial" w:cs="Arial"/>
          <w:i/>
          <w:spacing w:val="4"/>
          <w:sz w:val="20"/>
          <w:szCs w:val="20"/>
        </w:rPr>
        <w:t>Programem ochrony i zrównoważonego użytkowania różnorodności biologicznej wraz z planem działań na lata 2014-2020</w:t>
      </w:r>
      <w:r w:rsidRPr="004E3242">
        <w:rPr>
          <w:rFonts w:ascii="Arial" w:hAnsi="Arial" w:cs="Arial"/>
          <w:spacing w:val="4"/>
          <w:sz w:val="20"/>
          <w:szCs w:val="20"/>
        </w:rPr>
        <w:t xml:space="preserve">, </w:t>
      </w:r>
      <w:r w:rsidRPr="004E3242">
        <w:rPr>
          <w:rFonts w:ascii="Arial" w:hAnsi="Arial" w:cs="Arial"/>
          <w:i/>
          <w:spacing w:val="4"/>
          <w:sz w:val="20"/>
          <w:szCs w:val="20"/>
        </w:rPr>
        <w:t>Priorytetowymi Ramami Działań dla sieci Natura 2000 na Wieloletni Program Finansowania UE w latach 2014-2020 (PAF).</w:t>
      </w:r>
    </w:p>
    <w:p w14:paraId="255CA00D" w14:textId="77777777" w:rsidR="004E3242" w:rsidRPr="004E3242" w:rsidRDefault="004E3242" w:rsidP="004E3242">
      <w:pPr>
        <w:spacing w:before="120" w:after="120"/>
        <w:jc w:val="both"/>
        <w:rPr>
          <w:rFonts w:ascii="Arial" w:hAnsi="Arial" w:cs="Arial"/>
          <w:i/>
          <w:spacing w:val="4"/>
          <w:sz w:val="20"/>
          <w:szCs w:val="20"/>
        </w:rPr>
      </w:pPr>
      <w:r w:rsidRPr="004E3242">
        <w:rPr>
          <w:rFonts w:ascii="Arial" w:hAnsi="Arial" w:cs="Arial"/>
          <w:spacing w:val="4"/>
          <w:sz w:val="20"/>
          <w:szCs w:val="20"/>
        </w:rPr>
        <w:t xml:space="preserve">Przewiduje się, że inwestycje objęte </w:t>
      </w:r>
      <w:proofErr w:type="spellStart"/>
      <w:r w:rsidRPr="004E3242">
        <w:rPr>
          <w:rFonts w:ascii="Arial" w:hAnsi="Arial" w:cs="Arial"/>
          <w:spacing w:val="4"/>
          <w:sz w:val="20"/>
          <w:szCs w:val="20"/>
        </w:rPr>
        <w:t>POIiŚ</w:t>
      </w:r>
      <w:proofErr w:type="spellEnd"/>
      <w:r w:rsidRPr="004E3242">
        <w:rPr>
          <w:rFonts w:ascii="Arial" w:hAnsi="Arial" w:cs="Arial"/>
          <w:spacing w:val="4"/>
          <w:sz w:val="20"/>
          <w:szCs w:val="20"/>
        </w:rPr>
        <w:t xml:space="preserve"> 2014-2020 będą w istotnej mierze zlokalizowane na terenach pozamiejskich i będą mogły istotnie oddziaływać na obszary wiejskie. Będą one również oddziaływały na różnorodność biologiczną, gatunki, siedliska i obszary chronione. </w:t>
      </w:r>
    </w:p>
    <w:p w14:paraId="6D74C78B"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spacing w:val="4"/>
          <w:sz w:val="20"/>
          <w:szCs w:val="20"/>
        </w:rPr>
        <w:t xml:space="preserve">Poprawa środowiska naturalnego przyczyni się do podniesienia walorów przyrodniczych poszczególnych regionów kraju, jak również będzie miała znaczący wymiar makroregionalny, podnosząc atrakcyjność całego obszaru Morza Bałtyckiego. Prowadzona interwencja będzie tym samym spójna z celami SUE RMB, przyjętymi w ramach Obszaru Priorytetowego BIO </w:t>
      </w:r>
      <w:r w:rsidRPr="004E3242">
        <w:rPr>
          <w:rFonts w:ascii="Arial" w:hAnsi="Arial" w:cs="Arial"/>
          <w:i/>
          <w:spacing w:val="4"/>
          <w:sz w:val="20"/>
          <w:szCs w:val="20"/>
        </w:rPr>
        <w:t xml:space="preserve">Zachowanie obszarów naturalnych oraz bioróżnorodności, w tym rybołówstwa. </w:t>
      </w:r>
    </w:p>
    <w:p w14:paraId="341821D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2551"/>
        <w:gridCol w:w="992"/>
        <w:gridCol w:w="992"/>
        <w:gridCol w:w="992"/>
        <w:gridCol w:w="992"/>
        <w:gridCol w:w="851"/>
        <w:gridCol w:w="1382"/>
      </w:tblGrid>
      <w:tr w:rsidR="004E3242" w:rsidRPr="004E3242" w14:paraId="00470D15" w14:textId="77777777" w:rsidTr="00AA7998">
        <w:tc>
          <w:tcPr>
            <w:tcW w:w="288" w:type="pct"/>
            <w:shd w:val="clear" w:color="auto" w:fill="99CC00"/>
            <w:vAlign w:val="center"/>
          </w:tcPr>
          <w:p w14:paraId="1CD843F4"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374" w:type="pct"/>
            <w:shd w:val="clear" w:color="auto" w:fill="99CC00"/>
            <w:vAlign w:val="center"/>
          </w:tcPr>
          <w:p w14:paraId="2FB3963F"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1797C7FB"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34DF9A89"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4" w:type="pct"/>
            <w:shd w:val="clear" w:color="auto" w:fill="99CC00"/>
            <w:vAlign w:val="center"/>
          </w:tcPr>
          <w:p w14:paraId="01385603"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69485534"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8" w:type="pct"/>
            <w:shd w:val="clear" w:color="auto" w:fill="99CC00"/>
            <w:vAlign w:val="center"/>
          </w:tcPr>
          <w:p w14:paraId="16F99ADD"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00B6CF9B"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27281B62" w14:textId="77777777" w:rsidTr="00AA7998">
        <w:tc>
          <w:tcPr>
            <w:tcW w:w="288" w:type="pct"/>
            <w:shd w:val="clear" w:color="auto" w:fill="F2F2F2"/>
            <w:vAlign w:val="center"/>
          </w:tcPr>
          <w:p w14:paraId="40CD92B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374" w:type="pct"/>
            <w:shd w:val="clear" w:color="auto" w:fill="F2F2F2"/>
            <w:vAlign w:val="center"/>
          </w:tcPr>
          <w:p w14:paraId="2981F1F2"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Powierzchnia siedlisk wspieranych w zakresie uzyskania lepszego statusu ochrony (CI)</w:t>
            </w:r>
          </w:p>
        </w:tc>
        <w:tc>
          <w:tcPr>
            <w:tcW w:w="534" w:type="pct"/>
            <w:shd w:val="clear" w:color="auto" w:fill="F2F2F2"/>
            <w:vAlign w:val="center"/>
          </w:tcPr>
          <w:p w14:paraId="792BAA3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ha</w:t>
            </w:r>
          </w:p>
        </w:tc>
        <w:tc>
          <w:tcPr>
            <w:tcW w:w="534" w:type="pct"/>
            <w:shd w:val="clear" w:color="auto" w:fill="F2F2F2"/>
            <w:vAlign w:val="center"/>
          </w:tcPr>
          <w:p w14:paraId="1B2E60B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5D40363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036E07D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73 000</w:t>
            </w:r>
          </w:p>
        </w:tc>
        <w:tc>
          <w:tcPr>
            <w:tcW w:w="458" w:type="pct"/>
            <w:shd w:val="clear" w:color="auto" w:fill="F2F2F2"/>
            <w:vAlign w:val="center"/>
          </w:tcPr>
          <w:p w14:paraId="2F2EE39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744" w:type="pct"/>
            <w:shd w:val="clear" w:color="auto" w:fill="F2F2F2"/>
            <w:vAlign w:val="center"/>
          </w:tcPr>
          <w:p w14:paraId="34DD418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DD9D4C5" w14:textId="77777777" w:rsidTr="00AA7998">
        <w:tc>
          <w:tcPr>
            <w:tcW w:w="288" w:type="pct"/>
            <w:tcBorders>
              <w:top w:val="single" w:sz="4" w:space="0" w:color="FFFFFF"/>
              <w:left w:val="single" w:sz="4" w:space="0" w:color="FFFFFF"/>
              <w:bottom w:val="single" w:sz="4" w:space="0" w:color="FFFFFF"/>
              <w:right w:val="single" w:sz="4" w:space="0" w:color="FFFFFF"/>
            </w:tcBorders>
            <w:shd w:val="clear" w:color="auto" w:fill="F2F2F2"/>
            <w:vAlign w:val="center"/>
          </w:tcPr>
          <w:p w14:paraId="48AF46A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374" w:type="pct"/>
            <w:tcBorders>
              <w:top w:val="single" w:sz="4" w:space="0" w:color="FFFFFF"/>
              <w:left w:val="single" w:sz="4" w:space="0" w:color="FFFFFF"/>
              <w:bottom w:val="single" w:sz="4" w:space="0" w:color="FFFFFF"/>
              <w:right w:val="single" w:sz="4" w:space="0" w:color="FFFFFF"/>
            </w:tcBorders>
            <w:shd w:val="clear" w:color="auto" w:fill="F2F2F2"/>
          </w:tcPr>
          <w:p w14:paraId="07377760"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t>Liczba parków narodowych, w których wsparto ośrodki edukacji ekologicznej</w:t>
            </w:r>
          </w:p>
        </w:tc>
        <w:tc>
          <w:tcPr>
            <w:tcW w:w="534" w:type="pct"/>
            <w:tcBorders>
              <w:top w:val="single" w:sz="4" w:space="0" w:color="FFFFFF"/>
              <w:left w:val="single" w:sz="4" w:space="0" w:color="FFFFFF"/>
              <w:bottom w:val="single" w:sz="4" w:space="0" w:color="FFFFFF"/>
              <w:right w:val="single" w:sz="4" w:space="0" w:color="FFFFFF"/>
            </w:tcBorders>
            <w:shd w:val="clear" w:color="auto" w:fill="F2F2F2"/>
          </w:tcPr>
          <w:p w14:paraId="75EB6282"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szt.</w:t>
            </w:r>
          </w:p>
        </w:tc>
        <w:tc>
          <w:tcPr>
            <w:tcW w:w="534" w:type="pct"/>
            <w:tcBorders>
              <w:top w:val="single" w:sz="4" w:space="0" w:color="FFFFFF"/>
              <w:left w:val="single" w:sz="4" w:space="0" w:color="FFFFFF"/>
              <w:bottom w:val="single" w:sz="4" w:space="0" w:color="FFFFFF"/>
              <w:right w:val="single" w:sz="4" w:space="0" w:color="FFFFFF"/>
            </w:tcBorders>
            <w:shd w:val="clear" w:color="auto" w:fill="F2F2F2"/>
          </w:tcPr>
          <w:p w14:paraId="622EFDC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FS</w:t>
            </w:r>
          </w:p>
        </w:tc>
        <w:tc>
          <w:tcPr>
            <w:tcW w:w="534" w:type="pct"/>
            <w:tcBorders>
              <w:top w:val="single" w:sz="4" w:space="0" w:color="FFFFFF"/>
              <w:left w:val="single" w:sz="4" w:space="0" w:color="FFFFFF"/>
              <w:bottom w:val="single" w:sz="4" w:space="0" w:color="FFFFFF"/>
              <w:right w:val="single" w:sz="4" w:space="0" w:color="FFFFFF"/>
            </w:tcBorders>
            <w:shd w:val="clear" w:color="auto" w:fill="F2F2F2"/>
          </w:tcPr>
          <w:p w14:paraId="3FC9979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n/d</w:t>
            </w:r>
          </w:p>
        </w:tc>
        <w:tc>
          <w:tcPr>
            <w:tcW w:w="534" w:type="pct"/>
            <w:tcBorders>
              <w:top w:val="single" w:sz="4" w:space="0" w:color="FFFFFF"/>
              <w:left w:val="single" w:sz="4" w:space="0" w:color="FFFFFF"/>
              <w:bottom w:val="single" w:sz="4" w:space="0" w:color="FFFFFF"/>
              <w:right w:val="single" w:sz="4" w:space="0" w:color="FFFFFF"/>
            </w:tcBorders>
            <w:shd w:val="clear" w:color="auto" w:fill="F2F2F2"/>
          </w:tcPr>
          <w:p w14:paraId="33C8C0AA" w14:textId="77777777" w:rsidR="004E3242" w:rsidRPr="004E3242" w:rsidRDefault="008314B8"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z w:val="16"/>
                <w:szCs w:val="16"/>
              </w:rPr>
              <w:t xml:space="preserve"> </w:t>
            </w:r>
            <w:r w:rsidRPr="008314B8">
              <w:rPr>
                <w:rFonts w:ascii="Arial" w:hAnsi="Arial" w:cs="Arial"/>
                <w:sz w:val="16"/>
                <w:szCs w:val="16"/>
              </w:rPr>
              <w:t>13</w:t>
            </w:r>
          </w:p>
        </w:tc>
        <w:tc>
          <w:tcPr>
            <w:tcW w:w="458" w:type="pct"/>
            <w:tcBorders>
              <w:top w:val="single" w:sz="4" w:space="0" w:color="FFFFFF"/>
              <w:left w:val="single" w:sz="4" w:space="0" w:color="FFFFFF"/>
              <w:bottom w:val="single" w:sz="4" w:space="0" w:color="FFFFFF"/>
              <w:right w:val="single" w:sz="4" w:space="0" w:color="FFFFFF"/>
            </w:tcBorders>
            <w:shd w:val="clear" w:color="auto" w:fill="F2F2F2"/>
          </w:tcPr>
          <w:p w14:paraId="3794009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SL 2014</w:t>
            </w:r>
          </w:p>
        </w:tc>
        <w:tc>
          <w:tcPr>
            <w:tcW w:w="744" w:type="pct"/>
            <w:tcBorders>
              <w:top w:val="single" w:sz="4" w:space="0" w:color="FFFFFF"/>
              <w:left w:val="single" w:sz="4" w:space="0" w:color="FFFFFF"/>
              <w:bottom w:val="single" w:sz="4" w:space="0" w:color="FFFFFF"/>
              <w:right w:val="single" w:sz="4" w:space="0" w:color="FFFFFF"/>
            </w:tcBorders>
            <w:shd w:val="clear" w:color="auto" w:fill="F2F2F2"/>
          </w:tcPr>
          <w:p w14:paraId="43E6871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Rocznie</w:t>
            </w:r>
          </w:p>
        </w:tc>
      </w:tr>
    </w:tbl>
    <w:p w14:paraId="28C49216"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18252E09"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val="x-none" w:eastAsia="pl-PL"/>
        </w:rPr>
        <w:t>PRIORYTET INWESTYCYJNY 6.</w:t>
      </w:r>
      <w:r w:rsidRPr="004E3242">
        <w:rPr>
          <w:rFonts w:ascii="Arial" w:eastAsia="Times New Roman" w:hAnsi="Arial"/>
          <w:smallCaps/>
          <w:color w:val="669900"/>
          <w:spacing w:val="10"/>
          <w:sz w:val="24"/>
          <w:szCs w:val="24"/>
          <w:lang w:eastAsia="pl-PL"/>
        </w:rPr>
        <w:t>iv Podejmowanie przedsięwzięć mających na celu poprawę stanu jakości środowiska miejskiego, rewitalizację miast, rekultywację i dekontaminację terenów poprzemysłowych (w tym terenów powojskowych), zmniejszenie zanieczyszczenia powietrza i propagowanie działań służących zmniejszeniu hałasu</w:t>
      </w:r>
    </w:p>
    <w:p w14:paraId="6563D327" w14:textId="77777777" w:rsidR="004E3242" w:rsidRPr="004E3242" w:rsidRDefault="004E3242" w:rsidP="004E3242">
      <w:pPr>
        <w:spacing w:before="120" w:after="120"/>
        <w:jc w:val="both"/>
        <w:rPr>
          <w:rFonts w:ascii="Arial" w:hAnsi="Arial" w:cs="Arial"/>
          <w:spacing w:val="4"/>
          <w:sz w:val="20"/>
          <w:szCs w:val="20"/>
          <w:lang w:eastAsia="ar-SA"/>
        </w:rPr>
      </w:pPr>
      <w:r w:rsidRPr="004E3242">
        <w:rPr>
          <w:rFonts w:ascii="Arial" w:hAnsi="Arial" w:cs="Arial"/>
          <w:bCs/>
          <w:smallCaps/>
          <w:color w:val="669900"/>
          <w:spacing w:val="4"/>
          <w:sz w:val="20"/>
          <w:szCs w:val="20"/>
        </w:rPr>
        <w:t>Cele szczegółowe</w:t>
      </w:r>
    </w:p>
    <w:p w14:paraId="41A86EBD" w14:textId="77777777" w:rsidR="004E3242" w:rsidRPr="004E3242" w:rsidRDefault="004E3242" w:rsidP="004E3242">
      <w:pPr>
        <w:spacing w:before="120" w:after="120"/>
        <w:jc w:val="both"/>
        <w:rPr>
          <w:rFonts w:ascii="Arial" w:hAnsi="Arial" w:cs="Arial"/>
          <w:spacing w:val="4"/>
          <w:sz w:val="20"/>
          <w:szCs w:val="20"/>
          <w:lang w:eastAsia="ar-SA"/>
        </w:rPr>
      </w:pPr>
      <w:r w:rsidRPr="004E3242">
        <w:rPr>
          <w:rFonts w:ascii="Arial" w:hAnsi="Arial" w:cs="Arial"/>
          <w:spacing w:val="4"/>
          <w:sz w:val="20"/>
          <w:szCs w:val="20"/>
          <w:lang w:eastAsia="ar-SA"/>
        </w:rPr>
        <w:t>Zahamowanie spadku powierzchni terenów zieleni w miastach</w:t>
      </w:r>
    </w:p>
    <w:p w14:paraId="75AD0DE4"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0AFADDBD" w14:textId="77777777" w:rsidR="004E3242" w:rsidRPr="004E3242" w:rsidRDefault="004E3242" w:rsidP="004E3242">
      <w:pPr>
        <w:spacing w:before="120" w:after="120"/>
        <w:jc w:val="both"/>
        <w:rPr>
          <w:rFonts w:ascii="Arial" w:hAnsi="Arial" w:cs="Arial"/>
          <w:spacing w:val="4"/>
          <w:sz w:val="20"/>
          <w:szCs w:val="20"/>
          <w:lang w:eastAsia="ar-SA"/>
        </w:rPr>
      </w:pPr>
      <w:r w:rsidRPr="004E3242">
        <w:rPr>
          <w:rFonts w:ascii="Arial" w:hAnsi="Arial" w:cs="Arial"/>
          <w:spacing w:val="4"/>
          <w:sz w:val="20"/>
          <w:szCs w:val="20"/>
          <w:lang w:eastAsia="ar-SA"/>
        </w:rPr>
        <w:t>Realizacja priorytetu inwestycyjnego przyczyni się do osiągnięcia celu dotyczącego zahamowania spadku powierzchni terenów zieleni w miastach. Zostanie to osiągnięte dzięki zwiększeniu powierzchni terenów zieleni w miastach (parków, zieleńców i terenów zieleni osiedlowej), powstałych głównie dzięki rekultywacji terenów zanieczyszczonych/zdegradowanych</w:t>
      </w:r>
    </w:p>
    <w:p w14:paraId="5519638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8"/>
        <w:gridCol w:w="1842"/>
        <w:gridCol w:w="849"/>
        <w:gridCol w:w="852"/>
        <w:gridCol w:w="1138"/>
        <w:gridCol w:w="860"/>
        <w:gridCol w:w="982"/>
        <w:gridCol w:w="849"/>
        <w:gridCol w:w="1376"/>
      </w:tblGrid>
      <w:tr w:rsidR="004E3242" w:rsidRPr="004E3242" w14:paraId="72798B02" w14:textId="77777777" w:rsidTr="00AA7998">
        <w:tc>
          <w:tcPr>
            <w:tcW w:w="289" w:type="pct"/>
            <w:shd w:val="clear" w:color="auto" w:fill="99CC00"/>
            <w:vAlign w:val="center"/>
          </w:tcPr>
          <w:p w14:paraId="4A0BA03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92" w:type="pct"/>
            <w:shd w:val="clear" w:color="auto" w:fill="99CC00"/>
            <w:vAlign w:val="center"/>
          </w:tcPr>
          <w:p w14:paraId="3B0E089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457" w:type="pct"/>
            <w:shd w:val="clear" w:color="auto" w:fill="99CC00"/>
            <w:vAlign w:val="center"/>
          </w:tcPr>
          <w:p w14:paraId="246D5670"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59" w:type="pct"/>
            <w:shd w:val="clear" w:color="auto" w:fill="99CC00"/>
            <w:vAlign w:val="center"/>
          </w:tcPr>
          <w:p w14:paraId="1199D3A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613" w:type="pct"/>
            <w:shd w:val="clear" w:color="auto" w:fill="99CC00"/>
            <w:vAlign w:val="center"/>
          </w:tcPr>
          <w:p w14:paraId="555902F5"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63" w:type="pct"/>
            <w:shd w:val="clear" w:color="auto" w:fill="99CC00"/>
            <w:vAlign w:val="center"/>
          </w:tcPr>
          <w:p w14:paraId="52D35CAD"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29" w:type="pct"/>
            <w:shd w:val="clear" w:color="auto" w:fill="99CC00"/>
            <w:vAlign w:val="center"/>
          </w:tcPr>
          <w:p w14:paraId="1197335D"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7" w:type="pct"/>
            <w:shd w:val="clear" w:color="auto" w:fill="99CC00"/>
            <w:vAlign w:val="center"/>
          </w:tcPr>
          <w:p w14:paraId="709A3A71"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2" w:type="pct"/>
            <w:shd w:val="clear" w:color="auto" w:fill="99CC00"/>
            <w:vAlign w:val="center"/>
          </w:tcPr>
          <w:p w14:paraId="67C10213"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0687D10D" w14:textId="77777777" w:rsidTr="00AA7998">
        <w:tc>
          <w:tcPr>
            <w:tcW w:w="289" w:type="pct"/>
            <w:shd w:val="clear" w:color="auto" w:fill="F2F2F2"/>
            <w:vAlign w:val="center"/>
          </w:tcPr>
          <w:p w14:paraId="3BD6D27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992" w:type="pct"/>
            <w:shd w:val="clear" w:color="auto" w:fill="F2F2F2"/>
            <w:vAlign w:val="center"/>
          </w:tcPr>
          <w:p w14:paraId="3B54500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Powierzchnia parków, zieleńców </w:t>
            </w:r>
            <w:r w:rsidRPr="004E3242">
              <w:rPr>
                <w:rFonts w:ascii="Arial" w:hAnsi="Arial" w:cs="Arial"/>
                <w:spacing w:val="4"/>
                <w:sz w:val="16"/>
                <w:szCs w:val="16"/>
              </w:rPr>
              <w:br/>
              <w:t>i terenów zieleni osiedlowej w miastach</w:t>
            </w:r>
          </w:p>
        </w:tc>
        <w:tc>
          <w:tcPr>
            <w:tcW w:w="457" w:type="pct"/>
            <w:shd w:val="clear" w:color="auto" w:fill="F2F2F2"/>
            <w:vAlign w:val="center"/>
          </w:tcPr>
          <w:p w14:paraId="2C8F1CF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ha</w:t>
            </w:r>
          </w:p>
        </w:tc>
        <w:tc>
          <w:tcPr>
            <w:tcW w:w="459" w:type="pct"/>
            <w:shd w:val="clear" w:color="auto" w:fill="F2F2F2"/>
            <w:vAlign w:val="center"/>
          </w:tcPr>
          <w:p w14:paraId="09573CA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613" w:type="pct"/>
            <w:shd w:val="clear" w:color="auto" w:fill="F2F2F2"/>
            <w:vAlign w:val="center"/>
          </w:tcPr>
          <w:p w14:paraId="72BF5F82" w14:textId="77777777" w:rsidR="004E3242" w:rsidRPr="004E3242" w:rsidRDefault="004E3242" w:rsidP="00DA4A0D">
            <w:pPr>
              <w:spacing w:before="60" w:after="60" w:line="240" w:lineRule="auto"/>
              <w:jc w:val="center"/>
              <w:rPr>
                <w:rFonts w:ascii="Arial" w:hAnsi="Arial" w:cs="Arial"/>
                <w:spacing w:val="4"/>
                <w:sz w:val="16"/>
                <w:szCs w:val="16"/>
              </w:rPr>
            </w:pPr>
            <w:r w:rsidRPr="004E3242">
              <w:t xml:space="preserve"> </w:t>
            </w:r>
            <w:r w:rsidRPr="004E3242">
              <w:rPr>
                <w:rFonts w:ascii="Arial" w:hAnsi="Arial" w:cs="Arial"/>
                <w:spacing w:val="4"/>
                <w:sz w:val="16"/>
                <w:szCs w:val="16"/>
              </w:rPr>
              <w:t>47 380,89</w:t>
            </w:r>
          </w:p>
        </w:tc>
        <w:tc>
          <w:tcPr>
            <w:tcW w:w="463" w:type="pct"/>
            <w:shd w:val="clear" w:color="auto" w:fill="F2F2F2"/>
            <w:vAlign w:val="center"/>
          </w:tcPr>
          <w:p w14:paraId="32BFF3F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529" w:type="pct"/>
            <w:shd w:val="clear" w:color="auto" w:fill="F2F2F2"/>
            <w:vAlign w:val="center"/>
          </w:tcPr>
          <w:p w14:paraId="08FE25D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zmniejszenie dynamiki spadku</w:t>
            </w:r>
          </w:p>
        </w:tc>
        <w:tc>
          <w:tcPr>
            <w:tcW w:w="457" w:type="pct"/>
            <w:shd w:val="clear" w:color="auto" w:fill="F2F2F2"/>
            <w:vAlign w:val="center"/>
          </w:tcPr>
          <w:p w14:paraId="18FD7E6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GUS</w:t>
            </w:r>
          </w:p>
        </w:tc>
        <w:tc>
          <w:tcPr>
            <w:tcW w:w="742" w:type="pct"/>
            <w:shd w:val="clear" w:color="auto" w:fill="F2F2F2"/>
            <w:vAlign w:val="center"/>
          </w:tcPr>
          <w:p w14:paraId="4FE7B140" w14:textId="77777777" w:rsidR="004E3242" w:rsidRPr="004E3242" w:rsidRDefault="004E3242" w:rsidP="004E3242">
            <w:pPr>
              <w:spacing w:before="60" w:after="60" w:line="240" w:lineRule="auto"/>
              <w:ind w:right="5"/>
              <w:jc w:val="center"/>
              <w:rPr>
                <w:rFonts w:ascii="Arial" w:hAnsi="Arial" w:cs="Arial"/>
                <w:spacing w:val="4"/>
                <w:sz w:val="16"/>
                <w:szCs w:val="16"/>
              </w:rPr>
            </w:pPr>
            <w:r w:rsidRPr="004E3242">
              <w:rPr>
                <w:rFonts w:ascii="Arial" w:hAnsi="Arial" w:cs="Arial"/>
                <w:spacing w:val="4"/>
                <w:sz w:val="16"/>
                <w:szCs w:val="16"/>
              </w:rPr>
              <w:t>rocznie</w:t>
            </w:r>
          </w:p>
        </w:tc>
      </w:tr>
    </w:tbl>
    <w:p w14:paraId="236B894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6F7F6E45"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ar-SA"/>
        </w:rPr>
      </w:pPr>
      <w:r w:rsidRPr="004E3242">
        <w:rPr>
          <w:rFonts w:ascii="Arial" w:hAnsi="Arial" w:cs="Arial"/>
          <w:sz w:val="20"/>
          <w:szCs w:val="20"/>
        </w:rPr>
        <w:lastRenderedPageBreak/>
        <w:t>Koncentracja ludności na obszarach miejskich sprawia, że kwestie ochrony środowiska są w ich przypadku szczególnie ważne, tym bardziej, że mają kluczowe znaczenie także dla zdrowia ludzkiego. Do zagrożeń z jakimi borykają się mieszkańcy obszarów zurbanizowanych zalicza się występowanie obszarów zdegradowanych</w:t>
      </w:r>
      <w:r w:rsidR="00705F39">
        <w:rPr>
          <w:rFonts w:ascii="Arial" w:hAnsi="Arial" w:cs="Arial"/>
          <w:sz w:val="20"/>
          <w:szCs w:val="20"/>
        </w:rPr>
        <w:t xml:space="preserve"> </w:t>
      </w:r>
      <w:r w:rsidR="009D7690" w:rsidRPr="009D7690">
        <w:rPr>
          <w:rFonts w:ascii="Arial" w:hAnsi="Arial" w:cs="Arial"/>
          <w:sz w:val="20"/>
          <w:szCs w:val="20"/>
        </w:rPr>
        <w:t>(w tym również w następstwie niewłaściwego składowania lub magazynowania odpadów)</w:t>
      </w:r>
      <w:r w:rsidR="009D7690">
        <w:rPr>
          <w:rFonts w:ascii="Arial" w:hAnsi="Arial" w:cs="Arial"/>
          <w:sz w:val="20"/>
          <w:szCs w:val="20"/>
        </w:rPr>
        <w:t xml:space="preserve"> </w:t>
      </w:r>
      <w:r w:rsidRPr="004E3242">
        <w:rPr>
          <w:rFonts w:ascii="Arial" w:hAnsi="Arial" w:cs="Arial"/>
          <w:sz w:val="20"/>
          <w:szCs w:val="20"/>
        </w:rPr>
        <w:t>oraz niewystarczającą powierzchnię terenów zieleni.</w:t>
      </w:r>
      <w:r w:rsidRPr="004E3242">
        <w:rPr>
          <w:rFonts w:ascii="Arial" w:hAnsi="Arial" w:cs="Arial"/>
          <w:spacing w:val="4"/>
          <w:sz w:val="20"/>
          <w:szCs w:val="20"/>
        </w:rPr>
        <w:t xml:space="preserve"> W związku </w:t>
      </w:r>
      <w:r w:rsidRPr="004E3242">
        <w:rPr>
          <w:rFonts w:ascii="Arial" w:hAnsi="Arial" w:cs="Arial"/>
          <w:spacing w:val="4"/>
          <w:sz w:val="20"/>
          <w:szCs w:val="20"/>
        </w:rPr>
        <w:br/>
        <w:t xml:space="preserve">z powyższym wsparcie w ramach priorytetu inwestycyjnego zostanie skoncentrowane na działaniach </w:t>
      </w:r>
      <w:r w:rsidRPr="004E3242">
        <w:rPr>
          <w:rFonts w:ascii="Arial" w:hAnsi="Arial" w:cs="Arial"/>
          <w:spacing w:val="4"/>
          <w:sz w:val="20"/>
          <w:szCs w:val="20"/>
          <w:lang w:eastAsia="ar-SA"/>
        </w:rPr>
        <w:t>związanych ze zwiększeniem powierzchni terenów zieleni</w:t>
      </w:r>
      <w:r w:rsidRPr="004E3242">
        <w:t xml:space="preserve"> </w:t>
      </w:r>
      <w:r w:rsidRPr="004E3242">
        <w:rPr>
          <w:rFonts w:ascii="Arial" w:hAnsi="Arial" w:cs="Arial"/>
          <w:spacing w:val="4"/>
          <w:sz w:val="20"/>
          <w:szCs w:val="20"/>
          <w:lang w:eastAsia="ar-SA"/>
        </w:rPr>
        <w:t>w miastach (powstałych głównie dzięki rekultywacji terenów zanieczyszczonych/zdegradowanych)</w:t>
      </w:r>
      <w:r w:rsidR="00705F39" w:rsidRPr="00705F39">
        <w:t xml:space="preserve"> </w:t>
      </w:r>
      <w:r w:rsidR="009D7690" w:rsidRPr="009D7690">
        <w:rPr>
          <w:rFonts w:ascii="Arial" w:hAnsi="Arial" w:cs="Arial"/>
          <w:spacing w:val="4"/>
          <w:sz w:val="20"/>
          <w:szCs w:val="20"/>
          <w:lang w:eastAsia="ar-SA"/>
        </w:rPr>
        <w:t>oraz związanych z usunięciem zagrożenia dla zdrowia ludzi i środowiska spowodowanych niewłaściwym składowaniem lub magazynowaniem odpadów.</w:t>
      </w:r>
    </w:p>
    <w:p w14:paraId="06B62D5A"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pacing w:val="4"/>
          <w:sz w:val="20"/>
          <w:szCs w:val="20"/>
          <w:lang w:eastAsia="ar-SA"/>
        </w:rPr>
        <w:t>Wsparcie zostanie przeznaczone przede wszystkim na rekultywację na cele środowiskowe</w:t>
      </w:r>
      <w:r w:rsidRPr="004E3242">
        <w:rPr>
          <w:rFonts w:ascii="Arial" w:hAnsi="Arial" w:cs="Arial"/>
          <w:b/>
          <w:spacing w:val="4"/>
          <w:sz w:val="20"/>
          <w:szCs w:val="20"/>
          <w:lang w:eastAsia="ar-SA"/>
        </w:rPr>
        <w:t xml:space="preserve"> </w:t>
      </w:r>
      <w:r w:rsidRPr="004E3242">
        <w:rPr>
          <w:rFonts w:ascii="Arial" w:hAnsi="Arial" w:cs="Arial"/>
          <w:spacing w:val="4"/>
          <w:sz w:val="20"/>
          <w:szCs w:val="20"/>
          <w:lang w:eastAsia="ar-SA"/>
        </w:rPr>
        <w:t>obszarów zanieczyszczonych/zdegradowanych (</w:t>
      </w:r>
      <w:r w:rsidRPr="004E3242">
        <w:rPr>
          <w:rFonts w:ascii="Arial" w:hAnsi="Arial" w:cs="Arial"/>
          <w:spacing w:val="4"/>
          <w:sz w:val="20"/>
          <w:szCs w:val="20"/>
        </w:rPr>
        <w:t>zlokalizowanych na terenach miast i w ich obszarach funkcjonalnych)</w:t>
      </w:r>
      <w:r w:rsidR="00152CCD">
        <w:rPr>
          <w:rFonts w:ascii="Arial" w:hAnsi="Arial" w:cs="Arial"/>
          <w:spacing w:val="4"/>
          <w:sz w:val="20"/>
          <w:szCs w:val="20"/>
        </w:rPr>
        <w:t xml:space="preserve">, </w:t>
      </w:r>
      <w:r w:rsidR="009D7690" w:rsidRPr="009D7690">
        <w:rPr>
          <w:rFonts w:ascii="Arial" w:hAnsi="Arial" w:cs="Arial"/>
          <w:spacing w:val="4"/>
          <w:sz w:val="20"/>
          <w:szCs w:val="20"/>
        </w:rPr>
        <w:t xml:space="preserve">w tym usuwanie zagrożenia ze strony niewłaściwie składowanych lub magazynowanych odpadów wraz z </w:t>
      </w:r>
      <w:proofErr w:type="spellStart"/>
      <w:r w:rsidR="009D7690" w:rsidRPr="009D7690">
        <w:rPr>
          <w:rFonts w:ascii="Arial" w:hAnsi="Arial" w:cs="Arial"/>
          <w:spacing w:val="4"/>
          <w:sz w:val="20"/>
          <w:szCs w:val="20"/>
        </w:rPr>
        <w:t>remediacją</w:t>
      </w:r>
      <w:proofErr w:type="spellEnd"/>
      <w:r w:rsidR="009D7690" w:rsidRPr="009D7690">
        <w:rPr>
          <w:rFonts w:ascii="Arial" w:hAnsi="Arial" w:cs="Arial"/>
          <w:spacing w:val="4"/>
          <w:sz w:val="20"/>
          <w:szCs w:val="20"/>
        </w:rPr>
        <w:t xml:space="preserve"> zanieczyszczonych przez nie gruntów, przy zapewnieniu zagospodarowania usuwanych odpadów zgodnie z obowiązującymi przepisami</w:t>
      </w:r>
      <w:r w:rsidRPr="004E3242">
        <w:rPr>
          <w:rFonts w:ascii="Arial" w:hAnsi="Arial" w:cs="Arial"/>
          <w:spacing w:val="4"/>
          <w:sz w:val="20"/>
          <w:szCs w:val="20"/>
          <w:lang w:eastAsia="ar-SA"/>
        </w:rPr>
        <w:t>, co pozwoli na usunięcie zagrożenia dla zdrowia ludzi i środowiska.</w:t>
      </w:r>
      <w:r w:rsidRPr="004E3242">
        <w:rPr>
          <w:rFonts w:ascii="Arial" w:hAnsi="Arial" w:cs="Arial"/>
          <w:sz w:val="20"/>
          <w:szCs w:val="20"/>
        </w:rPr>
        <w:t xml:space="preserve"> Współfinansowane będą mogły być działania zarówno związane z rekultywacją terenu jak i docelowym zagospodarowaniem terenu na cele środowiskowe tj. pozwalającym na przekształcenie większości zrekultywowanego terenu w powierzchnie biologicznie czynne. Potrzeba podjęcia takich działań została podkreślona m.in. w: </w:t>
      </w:r>
      <w:r w:rsidRPr="004E3242">
        <w:rPr>
          <w:rFonts w:ascii="Arial" w:hAnsi="Arial" w:cs="Arial"/>
          <w:i/>
          <w:sz w:val="20"/>
          <w:szCs w:val="20"/>
        </w:rPr>
        <w:t>Koncepcji Przestrzennego Zagospodarowania Kraju 2030</w:t>
      </w:r>
      <w:r w:rsidRPr="004E3242">
        <w:rPr>
          <w:rFonts w:ascii="Arial" w:hAnsi="Arial" w:cs="Arial"/>
          <w:sz w:val="20"/>
          <w:szCs w:val="20"/>
        </w:rPr>
        <w:t xml:space="preserve"> oraz </w:t>
      </w:r>
      <w:r w:rsidRPr="004E3242">
        <w:rPr>
          <w:rFonts w:ascii="Arial" w:hAnsi="Arial" w:cs="Arial"/>
          <w:i/>
          <w:sz w:val="20"/>
          <w:szCs w:val="20"/>
        </w:rPr>
        <w:t xml:space="preserve">Założeniach krajowej polityki miejskiej. </w:t>
      </w:r>
    </w:p>
    <w:p w14:paraId="15F698E9"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ar-SA"/>
        </w:rPr>
      </w:pPr>
      <w:r w:rsidRPr="004E3242">
        <w:rPr>
          <w:rFonts w:ascii="Arial" w:hAnsi="Arial" w:cs="Arial"/>
          <w:spacing w:val="4"/>
          <w:sz w:val="20"/>
          <w:szCs w:val="20"/>
          <w:lang w:eastAsia="ar-SA"/>
        </w:rPr>
        <w:t xml:space="preserve">Realizowane będą także działania związane z rozwojem terenów zieleni (w tym również tzw. </w:t>
      </w:r>
      <w:proofErr w:type="spellStart"/>
      <w:r w:rsidRPr="004E3242">
        <w:rPr>
          <w:rFonts w:ascii="Arial" w:hAnsi="Arial" w:cs="Arial"/>
          <w:i/>
          <w:spacing w:val="4"/>
          <w:sz w:val="20"/>
          <w:szCs w:val="20"/>
          <w:lang w:eastAsia="ar-SA"/>
        </w:rPr>
        <w:t>green</w:t>
      </w:r>
      <w:proofErr w:type="spellEnd"/>
      <w:r w:rsidRPr="004E3242">
        <w:rPr>
          <w:rFonts w:ascii="Arial" w:hAnsi="Arial" w:cs="Arial"/>
          <w:i/>
          <w:spacing w:val="4"/>
          <w:sz w:val="20"/>
          <w:szCs w:val="20"/>
          <w:lang w:eastAsia="ar-SA"/>
        </w:rPr>
        <w:t xml:space="preserve"> </w:t>
      </w:r>
      <w:proofErr w:type="spellStart"/>
      <w:r w:rsidRPr="004E3242">
        <w:rPr>
          <w:rFonts w:ascii="Arial" w:hAnsi="Arial" w:cs="Arial"/>
          <w:i/>
          <w:spacing w:val="4"/>
          <w:sz w:val="20"/>
          <w:szCs w:val="20"/>
          <w:lang w:eastAsia="ar-SA"/>
        </w:rPr>
        <w:t>infrastructure</w:t>
      </w:r>
      <w:proofErr w:type="spellEnd"/>
      <w:r w:rsidRPr="004E3242">
        <w:rPr>
          <w:rFonts w:ascii="Arial" w:hAnsi="Arial" w:cs="Arial"/>
          <w:spacing w:val="4"/>
          <w:sz w:val="20"/>
          <w:szCs w:val="20"/>
          <w:lang w:eastAsia="ar-SA"/>
        </w:rPr>
        <w:t xml:space="preserve">), przyczyniających się do promowania miejskich systemów regeneracji </w:t>
      </w:r>
      <w:r w:rsidRPr="004E3242">
        <w:rPr>
          <w:rFonts w:ascii="Arial" w:hAnsi="Arial" w:cs="Arial"/>
          <w:spacing w:val="4"/>
          <w:sz w:val="20"/>
          <w:szCs w:val="20"/>
          <w:lang w:eastAsia="ar-SA"/>
        </w:rPr>
        <w:br/>
        <w:t xml:space="preserve">i wymiany powietrza. Tereny zieleni pełnią ważne dla ekosystemów miejskich funkcje biologiczne </w:t>
      </w:r>
      <w:r w:rsidRPr="004E3242">
        <w:rPr>
          <w:rFonts w:ascii="Arial" w:hAnsi="Arial" w:cs="Arial"/>
          <w:spacing w:val="4"/>
          <w:sz w:val="20"/>
          <w:szCs w:val="20"/>
          <w:lang w:eastAsia="ar-SA"/>
        </w:rPr>
        <w:br/>
        <w:t xml:space="preserve">i wspomagają procesy napowietrzania miast. Ponadto działania te przyczynią się do powstrzymania fragmentacji przestrzeni miast i będą miały zdecydowanie pozytywne skutki dla poprawy jakości życia mieszkańców (pełnią istotne dla mieszkańców funkcje zdrowotne </w:t>
      </w:r>
      <w:r w:rsidRPr="004E3242">
        <w:rPr>
          <w:rFonts w:ascii="Arial" w:hAnsi="Arial" w:cs="Arial"/>
          <w:spacing w:val="4"/>
          <w:sz w:val="20"/>
          <w:szCs w:val="20"/>
          <w:lang w:eastAsia="ar-SA"/>
        </w:rPr>
        <w:br/>
        <w:t>i rekreacyjne).</w:t>
      </w:r>
    </w:p>
    <w:p w14:paraId="3054D380"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ar-SA"/>
        </w:rPr>
      </w:pPr>
      <w:r w:rsidRPr="004E3242">
        <w:rPr>
          <w:rFonts w:ascii="Arial" w:hAnsi="Arial" w:cs="Arial"/>
          <w:spacing w:val="4"/>
          <w:sz w:val="20"/>
          <w:szCs w:val="20"/>
          <w:lang w:eastAsia="ar-SA"/>
        </w:rPr>
        <w:t>Prowadzenie ww. działań na obszarach miejskich przyczyni się również do zachowania równowagi przyrodniczej oraz wyrównywania szkód w środowisku, wynikających z procesów urbanizacji oraz realizacji inwestycji niezbędnych ze względów społeczno-gospodarczych, nie mających alternatywy neutralnej przyrodniczo.</w:t>
      </w:r>
    </w:p>
    <w:p w14:paraId="41429976" w14:textId="77777777" w:rsidR="004E3242" w:rsidRPr="004E3242" w:rsidRDefault="004E3242" w:rsidP="004E3242">
      <w:pPr>
        <w:spacing w:before="120" w:after="120"/>
        <w:jc w:val="both"/>
      </w:pPr>
      <w:r w:rsidRPr="004E3242">
        <w:rPr>
          <w:rFonts w:ascii="Arial" w:hAnsi="Arial" w:cs="Arial"/>
          <w:bCs/>
          <w:spacing w:val="4"/>
          <w:sz w:val="20"/>
          <w:szCs w:val="20"/>
        </w:rPr>
        <w:t>Przewiduje się wsparcie następujących obszarów:</w:t>
      </w:r>
    </w:p>
    <w:p w14:paraId="3306140B" w14:textId="77777777" w:rsidR="004E3242" w:rsidRPr="004E3242" w:rsidRDefault="004E3242" w:rsidP="00A77DCB">
      <w:pPr>
        <w:numPr>
          <w:ilvl w:val="0"/>
          <w:numId w:val="12"/>
        </w:numPr>
        <w:spacing w:before="120" w:after="120"/>
        <w:jc w:val="both"/>
      </w:pPr>
      <w:r w:rsidRPr="004E3242">
        <w:rPr>
          <w:rFonts w:ascii="Arial" w:hAnsi="Arial" w:cs="Arial"/>
          <w:spacing w:val="4"/>
          <w:sz w:val="20"/>
          <w:szCs w:val="20"/>
        </w:rPr>
        <w:t>rekultywacja na cele środowiskowe zanieczyszczonych/zdegradowanych terenów;</w:t>
      </w:r>
    </w:p>
    <w:p w14:paraId="0B3BAB1D" w14:textId="77777777" w:rsidR="00E74CAB" w:rsidRPr="001F407D" w:rsidRDefault="004E3242" w:rsidP="001F407D">
      <w:pPr>
        <w:numPr>
          <w:ilvl w:val="0"/>
          <w:numId w:val="12"/>
        </w:numPr>
        <w:spacing w:before="120" w:after="120"/>
        <w:jc w:val="both"/>
        <w:rPr>
          <w:rFonts w:ascii="Arial" w:hAnsi="Arial" w:cs="Arial"/>
          <w:spacing w:val="4"/>
          <w:sz w:val="20"/>
          <w:szCs w:val="20"/>
          <w:lang w:eastAsia="ar-SA"/>
        </w:rPr>
      </w:pPr>
      <w:r w:rsidRPr="001F407D">
        <w:rPr>
          <w:rFonts w:ascii="Arial" w:hAnsi="Arial" w:cs="Arial"/>
          <w:spacing w:val="4"/>
          <w:sz w:val="20"/>
          <w:szCs w:val="20"/>
          <w:lang w:eastAsia="ar-SA"/>
        </w:rPr>
        <w:t>rozwój miejskich terenów zieleni</w:t>
      </w:r>
      <w:r w:rsidR="00594B22" w:rsidRPr="001F407D">
        <w:rPr>
          <w:rFonts w:ascii="Arial" w:hAnsi="Arial" w:cs="Arial"/>
          <w:spacing w:val="4"/>
          <w:sz w:val="20"/>
          <w:szCs w:val="20"/>
          <w:lang w:eastAsia="ar-SA"/>
        </w:rPr>
        <w:t>;</w:t>
      </w:r>
      <w:r w:rsidRPr="001F407D">
        <w:rPr>
          <w:rFonts w:ascii="Arial" w:hAnsi="Arial" w:cs="Arial"/>
          <w:spacing w:val="4"/>
          <w:sz w:val="20"/>
          <w:szCs w:val="20"/>
          <w:lang w:eastAsia="ar-SA"/>
        </w:rPr>
        <w:t xml:space="preserve"> </w:t>
      </w:r>
    </w:p>
    <w:p w14:paraId="0B202518" w14:textId="77777777" w:rsidR="00AC0189" w:rsidRDefault="009D7690" w:rsidP="009D7690">
      <w:pPr>
        <w:numPr>
          <w:ilvl w:val="0"/>
          <w:numId w:val="12"/>
        </w:numPr>
        <w:rPr>
          <w:rFonts w:ascii="Arial" w:hAnsi="Arial" w:cs="Arial"/>
          <w:spacing w:val="4"/>
          <w:sz w:val="20"/>
          <w:szCs w:val="20"/>
          <w:lang w:eastAsia="ar-SA"/>
        </w:rPr>
      </w:pPr>
      <w:r w:rsidRPr="009D7690">
        <w:rPr>
          <w:rFonts w:ascii="Arial" w:hAnsi="Arial" w:cs="Arial"/>
          <w:spacing w:val="4"/>
          <w:sz w:val="20"/>
          <w:szCs w:val="20"/>
          <w:lang w:eastAsia="ar-SA"/>
        </w:rPr>
        <w:t xml:space="preserve">usuwanie zagrożenia ze strony niewłaściwie składowanych lub magazynowanych odpadów wraz z </w:t>
      </w:r>
      <w:proofErr w:type="spellStart"/>
      <w:r w:rsidRPr="009D7690">
        <w:rPr>
          <w:rFonts w:ascii="Arial" w:hAnsi="Arial" w:cs="Arial"/>
          <w:spacing w:val="4"/>
          <w:sz w:val="20"/>
          <w:szCs w:val="20"/>
          <w:lang w:eastAsia="ar-SA"/>
        </w:rPr>
        <w:t>remediacją</w:t>
      </w:r>
      <w:proofErr w:type="spellEnd"/>
      <w:r w:rsidRPr="009D7690">
        <w:rPr>
          <w:rFonts w:ascii="Arial" w:hAnsi="Arial" w:cs="Arial"/>
          <w:spacing w:val="4"/>
          <w:sz w:val="20"/>
          <w:szCs w:val="20"/>
          <w:lang w:eastAsia="ar-SA"/>
        </w:rPr>
        <w:t xml:space="preserve"> zanieczyszczonych przez nie gruntów.</w:t>
      </w:r>
    </w:p>
    <w:p w14:paraId="6B3BCDFA" w14:textId="77777777" w:rsidR="00B21C07" w:rsidRPr="00B21C07" w:rsidRDefault="00B21C07" w:rsidP="00B21C07">
      <w:pPr>
        <w:jc w:val="both"/>
        <w:rPr>
          <w:rFonts w:ascii="Arial" w:hAnsi="Arial" w:cs="Arial"/>
          <w:spacing w:val="4"/>
          <w:sz w:val="20"/>
          <w:szCs w:val="20"/>
          <w:lang w:eastAsia="ar-SA"/>
        </w:rPr>
      </w:pPr>
      <w:r w:rsidRPr="00B21C07">
        <w:rPr>
          <w:rFonts w:ascii="Arial" w:hAnsi="Arial" w:cs="Arial"/>
          <w:spacing w:val="4"/>
          <w:sz w:val="20"/>
          <w:szCs w:val="20"/>
          <w:lang w:eastAsia="ar-SA"/>
        </w:rPr>
        <w:t>Ponadto, wsparcie będą mogły uzyskać działania na rzecz przygotowania inwestycji poprzez dofinansowanie w ramach projektów przygotowawczych dokumentacji projektowej, przetargowej, planistycznej dla inwestycji infrastrukturalnych, które będą możliwe do zrealizowania ze środków tego programu lub programów operacyjnych polityki spójności realizowanych w okresie programowania następującym bezpośrednio po roku 2020 (projekty przygotowawcze).</w:t>
      </w:r>
    </w:p>
    <w:p w14:paraId="7059DBDD" w14:textId="77777777" w:rsidR="002A2125" w:rsidRDefault="00B21C07" w:rsidP="002A2125">
      <w:pPr>
        <w:jc w:val="both"/>
        <w:rPr>
          <w:rFonts w:ascii="Arial" w:hAnsi="Arial" w:cs="Arial"/>
          <w:iCs/>
          <w:sz w:val="20"/>
          <w:szCs w:val="20"/>
        </w:rPr>
      </w:pPr>
      <w:r w:rsidRPr="00B21C07">
        <w:rPr>
          <w:rFonts w:ascii="Arial" w:hAnsi="Arial" w:cs="Arial"/>
          <w:spacing w:val="4"/>
          <w:sz w:val="20"/>
          <w:szCs w:val="20"/>
          <w:lang w:eastAsia="ar-SA"/>
        </w:rPr>
        <w:t>Do dokumentów zamknięcia tego programu zostanie dołączona lista wszystkich dofinansowanych projektów przygotowawczych wraz z listą odpowiadających im inwestycji możliwych do zrealizowania w ramach tego programu lub programów operacyjnych polityki spójności następujących po roku 2020.</w:t>
      </w:r>
    </w:p>
    <w:p w14:paraId="4254AACA" w14:textId="77777777" w:rsidR="00327CCC" w:rsidRPr="009D7690" w:rsidRDefault="00327CCC" w:rsidP="002A2125">
      <w:pPr>
        <w:rPr>
          <w:rFonts w:ascii="Arial" w:hAnsi="Arial" w:cs="Arial"/>
          <w:spacing w:val="4"/>
          <w:sz w:val="20"/>
          <w:szCs w:val="20"/>
          <w:lang w:eastAsia="ar-SA"/>
        </w:rPr>
      </w:pPr>
    </w:p>
    <w:p w14:paraId="4528EAD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Potencjalni beneficjenci oraz grupy docelowe</w:t>
      </w:r>
    </w:p>
    <w:p w14:paraId="4DC508D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wsparcie przewidziane jest dla administracji rządowej oraz podległych jej organów</w:t>
      </w:r>
      <w:r w:rsidRPr="004E3242">
        <w:rPr>
          <w:rFonts w:ascii="Arial" w:hAnsi="Arial" w:cs="Arial"/>
          <w:b/>
          <w:sz w:val="16"/>
          <w:szCs w:val="16"/>
          <w:lang w:eastAsia="ar-SA"/>
        </w:rPr>
        <w:t xml:space="preserve"> </w:t>
      </w:r>
      <w:r w:rsidRPr="004E3242">
        <w:rPr>
          <w:rFonts w:ascii="Arial" w:hAnsi="Arial" w:cs="Arial"/>
          <w:spacing w:val="4"/>
          <w:sz w:val="20"/>
          <w:szCs w:val="20"/>
        </w:rPr>
        <w:t xml:space="preserve">i jednostek organizacyjnych, jednostek samorządu terytorialnego i ich związków oraz działających w ich imieniu jednostek organizacyjnych, a także podmiotów świadczących usługi publiczne w ramach realizacji obowiązków własnych jednostek samorządu terytorialnego. </w:t>
      </w:r>
    </w:p>
    <w:p w14:paraId="1AF069A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Główną grupą docelową są indywidualni użytkownicy korzystający z zasobów środowiska, w tym przede wszystkim mieszkańcy miast</w:t>
      </w:r>
      <w:r w:rsidR="009353F1" w:rsidRPr="009353F1">
        <w:t xml:space="preserve"> </w:t>
      </w:r>
      <w:r w:rsidR="005D51A6">
        <w:rPr>
          <w:rFonts w:ascii="Arial" w:hAnsi="Arial" w:cs="Arial"/>
          <w:spacing w:val="4"/>
          <w:sz w:val="20"/>
          <w:szCs w:val="20"/>
        </w:rPr>
        <w:t xml:space="preserve"> </w:t>
      </w:r>
      <w:r w:rsidR="005D51A6" w:rsidRPr="005D51A6">
        <w:rPr>
          <w:rFonts w:ascii="Arial" w:hAnsi="Arial" w:cs="Arial"/>
          <w:spacing w:val="4"/>
          <w:sz w:val="20"/>
          <w:szCs w:val="20"/>
        </w:rPr>
        <w:t>i ich obszarów funkcjonalnych</w:t>
      </w:r>
      <w:r w:rsidRPr="004E3242">
        <w:rPr>
          <w:rFonts w:ascii="Arial" w:hAnsi="Arial" w:cs="Arial"/>
          <w:spacing w:val="4"/>
          <w:sz w:val="20"/>
          <w:szCs w:val="20"/>
        </w:rPr>
        <w:t>.</w:t>
      </w:r>
    </w:p>
    <w:p w14:paraId="141143A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755DCC76" w14:textId="77777777" w:rsidR="00684EE4"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przewiduje się wybór projektów w procedurze konkursowej oraz pozakonkursowej. Zastosowanie konkretnego trybu będzie uzależnione od specyfiki typów projektów, które będą mogły być współfinansowane. Szczególna uwaga na etapie selekcji zostanie skierowana na badanie stopnia osiągnięcia efektu ekologicznego. Niezależnie od zastosowanej ścieżki (konkursowej bądź pozakonkursowej), wybór projektów do dofinansowania będzie następował w wyniku oceny poszczególnych przedsięwzięć, w oparciu o obiektywne kryteria zatwierdzone przez Komitet Monitorujący. Kryteria wyboru projektów będą służyły zapewnieniu efektywnej i prawidłowej realizacji celów określonych w osi priorytetowej. Nie przewiduje się różnicowania kryteriów wyboru projektów ze względu na tryb wyboru. Kryteria będą precyzyjne, mierzalne i obiektywne. </w:t>
      </w:r>
      <w:r w:rsidRPr="004E3242">
        <w:rPr>
          <w:rFonts w:ascii="Arial" w:hAnsi="Arial" w:cs="Arial"/>
          <w:spacing w:val="4"/>
          <w:sz w:val="20"/>
        </w:rPr>
        <w:t xml:space="preserve">Dodatkowo dopuszcza się możliwość nadania </w:t>
      </w:r>
      <w:r w:rsidRPr="004E3242">
        <w:rPr>
          <w:rFonts w:ascii="Arial" w:hAnsi="Arial" w:cs="Arial"/>
          <w:spacing w:val="4"/>
          <w:sz w:val="20"/>
          <w:szCs w:val="20"/>
        </w:rPr>
        <w:t>kryteriom merytorycznym odpowiedniej punktacji oraz określonych wag punktowych.</w:t>
      </w:r>
    </w:p>
    <w:p w14:paraId="2A79C6CD" w14:textId="77777777" w:rsidR="005E530E" w:rsidRDefault="005E530E" w:rsidP="004E3242">
      <w:pPr>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1CCC6AB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instrumentów finansowych</w:t>
      </w:r>
    </w:p>
    <w:p w14:paraId="692773FA"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odniesieniu do obszarów wsparcia w ramach priorytetu inwestycyjnego nie przewiduje się wsparcia w formie instrumentów finansowych. </w:t>
      </w:r>
    </w:p>
    <w:p w14:paraId="29993B2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Planowane wykorzystanie dużych projektów</w:t>
      </w:r>
    </w:p>
    <w:p w14:paraId="768002C3" w14:textId="77777777" w:rsidR="004E3242" w:rsidRPr="004E3242" w:rsidRDefault="004E3242" w:rsidP="004E3242">
      <w:pPr>
        <w:spacing w:before="120" w:after="120"/>
        <w:jc w:val="both"/>
        <w:rPr>
          <w:rFonts w:ascii="Arial" w:hAnsi="Arial" w:cs="Arial"/>
          <w:iCs/>
          <w:spacing w:val="4"/>
          <w:sz w:val="20"/>
          <w:szCs w:val="20"/>
        </w:rPr>
      </w:pPr>
      <w:r w:rsidRPr="004E3242">
        <w:rPr>
          <w:rFonts w:ascii="Arial" w:hAnsi="Arial" w:cs="Arial"/>
          <w:iCs/>
          <w:spacing w:val="4"/>
          <w:sz w:val="20"/>
          <w:szCs w:val="20"/>
        </w:rPr>
        <w:t>Na obecnym etapie nie identyfikuje się dużych projektów.</w:t>
      </w:r>
    </w:p>
    <w:p w14:paraId="27F6F5BE"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483E3A1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Wsparcie ma charakter horyzontalny i dotyczy całego kraju. Interwencje będą lokalizowane zgodnie ze wskazaniem wynikającym z określonych dokumentów o charakterze strategicznym.</w:t>
      </w:r>
    </w:p>
    <w:p w14:paraId="16474373" w14:textId="77777777" w:rsidR="009353F1"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Inwestycje realizowane w ramach osi będą w istotnej mierze zlokalizowane na terenach zurbanizowanych, przede wszystkim miast</w:t>
      </w:r>
      <w:r w:rsidR="007931F0">
        <w:rPr>
          <w:rFonts w:ascii="Arial" w:hAnsi="Arial" w:cs="Arial"/>
          <w:spacing w:val="4"/>
          <w:sz w:val="20"/>
          <w:szCs w:val="20"/>
        </w:rPr>
        <w:t xml:space="preserve">. </w:t>
      </w:r>
      <w:r w:rsidR="009353F1" w:rsidRPr="009353F1">
        <w:rPr>
          <w:rFonts w:ascii="Arial" w:hAnsi="Arial" w:cs="Arial"/>
          <w:spacing w:val="4"/>
          <w:sz w:val="20"/>
          <w:szCs w:val="20"/>
        </w:rPr>
        <w:t>Dodatkowo wsparcie realizowane w ramach priorytetu inwestycyjnego może zostać ukierunkowane również na wzmocnienie potencjału rozwojowego miast średnich, w tym tracących funkcje społeczno-gospodarcze, o których mowa w rozdziale 3.1.2 Umowy Partnerstwa.</w:t>
      </w:r>
    </w:p>
    <w:p w14:paraId="46F3440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64"/>
        <w:gridCol w:w="2663"/>
        <w:gridCol w:w="984"/>
        <w:gridCol w:w="858"/>
        <w:gridCol w:w="992"/>
        <w:gridCol w:w="994"/>
        <w:gridCol w:w="984"/>
        <w:gridCol w:w="1247"/>
      </w:tblGrid>
      <w:tr w:rsidR="004E3242" w:rsidRPr="004E3242" w14:paraId="3A7C044F" w14:textId="77777777" w:rsidTr="00AA7998">
        <w:tc>
          <w:tcPr>
            <w:tcW w:w="304" w:type="pct"/>
            <w:shd w:val="clear" w:color="auto" w:fill="99CC00"/>
            <w:vAlign w:val="center"/>
          </w:tcPr>
          <w:p w14:paraId="7D84C129"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434" w:type="pct"/>
            <w:shd w:val="clear" w:color="auto" w:fill="99CC00"/>
            <w:vAlign w:val="center"/>
          </w:tcPr>
          <w:p w14:paraId="68F34A30"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0" w:type="pct"/>
            <w:shd w:val="clear" w:color="auto" w:fill="99CC00"/>
            <w:vAlign w:val="center"/>
          </w:tcPr>
          <w:p w14:paraId="5871FCDC"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62" w:type="pct"/>
            <w:shd w:val="clear" w:color="auto" w:fill="99CC00"/>
            <w:vAlign w:val="center"/>
          </w:tcPr>
          <w:p w14:paraId="27FE739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4" w:type="pct"/>
            <w:shd w:val="clear" w:color="auto" w:fill="99CC00"/>
            <w:vAlign w:val="center"/>
          </w:tcPr>
          <w:p w14:paraId="67A44DE0"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5" w:type="pct"/>
            <w:shd w:val="clear" w:color="auto" w:fill="99CC00"/>
            <w:vAlign w:val="center"/>
          </w:tcPr>
          <w:p w14:paraId="254C802A"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0" w:type="pct"/>
            <w:shd w:val="clear" w:color="auto" w:fill="99CC00"/>
            <w:vAlign w:val="center"/>
          </w:tcPr>
          <w:p w14:paraId="02DD936B"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096D204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2C55EE62" w14:textId="77777777" w:rsidTr="00AA7998">
        <w:tc>
          <w:tcPr>
            <w:tcW w:w="304" w:type="pct"/>
            <w:shd w:val="clear" w:color="auto" w:fill="F2F2F2"/>
            <w:vAlign w:val="center"/>
          </w:tcPr>
          <w:p w14:paraId="42BE243B"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434" w:type="pct"/>
            <w:shd w:val="clear" w:color="auto" w:fill="F2F2F2"/>
            <w:vAlign w:val="center"/>
          </w:tcPr>
          <w:p w14:paraId="1380B850"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t>Łączna powierzchnia zrekultywowanych gruntów (CI)</w:t>
            </w:r>
          </w:p>
        </w:tc>
        <w:tc>
          <w:tcPr>
            <w:tcW w:w="530" w:type="pct"/>
            <w:shd w:val="clear" w:color="auto" w:fill="F2F2F2"/>
            <w:vAlign w:val="center"/>
          </w:tcPr>
          <w:p w14:paraId="4C2B967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ha</w:t>
            </w:r>
          </w:p>
        </w:tc>
        <w:tc>
          <w:tcPr>
            <w:tcW w:w="462" w:type="pct"/>
            <w:shd w:val="clear" w:color="auto" w:fill="F2F2F2"/>
            <w:vAlign w:val="center"/>
          </w:tcPr>
          <w:p w14:paraId="3F388FC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FS</w:t>
            </w:r>
          </w:p>
        </w:tc>
        <w:tc>
          <w:tcPr>
            <w:tcW w:w="534" w:type="pct"/>
            <w:shd w:val="clear" w:color="auto" w:fill="F2F2F2"/>
            <w:vAlign w:val="center"/>
          </w:tcPr>
          <w:p w14:paraId="77EF92E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n/d</w:t>
            </w:r>
          </w:p>
        </w:tc>
        <w:tc>
          <w:tcPr>
            <w:tcW w:w="535" w:type="pct"/>
            <w:shd w:val="clear" w:color="auto" w:fill="F2F2F2"/>
            <w:vAlign w:val="center"/>
          </w:tcPr>
          <w:p w14:paraId="3CE2FC03" w14:textId="77777777" w:rsidR="009353F1" w:rsidRPr="004E3242" w:rsidRDefault="009353F1" w:rsidP="009353F1">
            <w:pPr>
              <w:autoSpaceDE w:val="0"/>
              <w:autoSpaceDN w:val="0"/>
              <w:adjustRightInd w:val="0"/>
              <w:spacing w:before="60" w:after="60" w:line="240" w:lineRule="auto"/>
              <w:rPr>
                <w:rFonts w:ascii="Arial" w:hAnsi="Arial" w:cs="Arial"/>
                <w:spacing w:val="4"/>
                <w:sz w:val="16"/>
                <w:szCs w:val="16"/>
              </w:rPr>
            </w:pPr>
            <w:r>
              <w:rPr>
                <w:rFonts w:ascii="Arial" w:hAnsi="Arial" w:cs="Arial"/>
                <w:spacing w:val="4"/>
                <w:sz w:val="16"/>
                <w:szCs w:val="16"/>
              </w:rPr>
              <w:t xml:space="preserve">     </w:t>
            </w:r>
            <w:r w:rsidR="008314B8">
              <w:rPr>
                <w:rFonts w:ascii="Arial" w:hAnsi="Arial" w:cs="Arial"/>
                <w:spacing w:val="4"/>
                <w:sz w:val="16"/>
                <w:szCs w:val="16"/>
              </w:rPr>
              <w:t xml:space="preserve"> </w:t>
            </w:r>
            <w:r w:rsidR="008314B8" w:rsidRPr="008314B8">
              <w:rPr>
                <w:rFonts w:ascii="Arial" w:hAnsi="Arial" w:cs="Arial"/>
                <w:spacing w:val="4"/>
                <w:sz w:val="16"/>
                <w:szCs w:val="16"/>
              </w:rPr>
              <w:t>200</w:t>
            </w:r>
          </w:p>
        </w:tc>
        <w:tc>
          <w:tcPr>
            <w:tcW w:w="530" w:type="pct"/>
            <w:shd w:val="clear" w:color="auto" w:fill="F2F2F2"/>
            <w:vAlign w:val="center"/>
          </w:tcPr>
          <w:p w14:paraId="6AEAC82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4C0D111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77A6FA91" w14:textId="77777777" w:rsidR="004E3242" w:rsidRPr="004E3242" w:rsidRDefault="004E3242" w:rsidP="004E3242">
      <w:pPr>
        <w:spacing w:after="120" w:line="280" w:lineRule="atLeast"/>
        <w:jc w:val="both"/>
        <w:rPr>
          <w:rFonts w:ascii="Arial" w:hAnsi="Arial" w:cs="Arial"/>
          <w:b/>
          <w:spacing w:val="4"/>
          <w:sz w:val="20"/>
          <w:szCs w:val="20"/>
        </w:rPr>
      </w:pPr>
    </w:p>
    <w:p w14:paraId="5BE78C21" w14:textId="77777777" w:rsidR="004E3242" w:rsidRPr="004E3242" w:rsidRDefault="004E3242" w:rsidP="004E3242">
      <w:pPr>
        <w:spacing w:after="120" w:line="280" w:lineRule="atLeast"/>
        <w:jc w:val="both"/>
        <w:rPr>
          <w:rFonts w:ascii="Arial" w:hAnsi="Arial" w:cs="Arial"/>
          <w:b/>
          <w:spacing w:val="4"/>
          <w:sz w:val="20"/>
          <w:szCs w:val="20"/>
        </w:rPr>
        <w:sectPr w:rsidR="004E3242" w:rsidRPr="004E3242" w:rsidSect="00C73ABE">
          <w:pgSz w:w="11906" w:h="16838"/>
          <w:pgMar w:top="1418" w:right="1418" w:bottom="1418" w:left="1418" w:header="709" w:footer="709" w:gutter="0"/>
          <w:cols w:space="708"/>
          <w:titlePg/>
          <w:docGrid w:linePitch="360"/>
        </w:sectPr>
      </w:pPr>
    </w:p>
    <w:p w14:paraId="5CF7A6C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Ramy wykonania</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1274"/>
        <w:gridCol w:w="2552"/>
        <w:gridCol w:w="712"/>
        <w:gridCol w:w="992"/>
        <w:gridCol w:w="992"/>
        <w:gridCol w:w="992"/>
        <w:gridCol w:w="1415"/>
        <w:gridCol w:w="995"/>
        <w:gridCol w:w="4894"/>
      </w:tblGrid>
      <w:tr w:rsidR="004E3242" w:rsidRPr="004E3242" w14:paraId="01A6F867" w14:textId="77777777" w:rsidTr="00AA7998">
        <w:tc>
          <w:tcPr>
            <w:tcW w:w="174" w:type="pct"/>
            <w:tcBorders>
              <w:bottom w:val="nil"/>
            </w:tcBorders>
            <w:shd w:val="clear" w:color="auto" w:fill="99CC00"/>
            <w:vAlign w:val="center"/>
          </w:tcPr>
          <w:p w14:paraId="23C60380"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415" w:type="pct"/>
            <w:tcBorders>
              <w:bottom w:val="nil"/>
            </w:tcBorders>
            <w:shd w:val="clear" w:color="auto" w:fill="99CC00"/>
            <w:vAlign w:val="center"/>
          </w:tcPr>
          <w:p w14:paraId="7E810BDB"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831" w:type="pct"/>
            <w:tcBorders>
              <w:bottom w:val="nil"/>
            </w:tcBorders>
            <w:shd w:val="clear" w:color="auto" w:fill="99CC00"/>
            <w:vAlign w:val="center"/>
          </w:tcPr>
          <w:p w14:paraId="37B0BFE7"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232" w:type="pct"/>
            <w:tcBorders>
              <w:bottom w:val="nil"/>
            </w:tcBorders>
            <w:shd w:val="clear" w:color="auto" w:fill="99CC00"/>
            <w:vAlign w:val="center"/>
          </w:tcPr>
          <w:p w14:paraId="12BED7C3"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 miary</w:t>
            </w:r>
          </w:p>
        </w:tc>
        <w:tc>
          <w:tcPr>
            <w:tcW w:w="323" w:type="pct"/>
            <w:tcBorders>
              <w:bottom w:val="nil"/>
            </w:tcBorders>
            <w:shd w:val="clear" w:color="auto" w:fill="99CC00"/>
            <w:vAlign w:val="center"/>
          </w:tcPr>
          <w:p w14:paraId="3E681B52"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323" w:type="pct"/>
            <w:tcBorders>
              <w:bottom w:val="nil"/>
            </w:tcBorders>
            <w:shd w:val="clear" w:color="auto" w:fill="99CC00"/>
            <w:vAlign w:val="center"/>
          </w:tcPr>
          <w:p w14:paraId="3AECFD91"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323" w:type="pct"/>
            <w:tcBorders>
              <w:bottom w:val="nil"/>
            </w:tcBorders>
            <w:shd w:val="clear" w:color="auto" w:fill="99CC00"/>
            <w:vAlign w:val="center"/>
          </w:tcPr>
          <w:p w14:paraId="30C88948"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461" w:type="pct"/>
            <w:tcBorders>
              <w:bottom w:val="nil"/>
            </w:tcBorders>
            <w:shd w:val="clear" w:color="auto" w:fill="99CC00"/>
            <w:vAlign w:val="center"/>
          </w:tcPr>
          <w:p w14:paraId="18474E53"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324" w:type="pct"/>
            <w:tcBorders>
              <w:bottom w:val="nil"/>
            </w:tcBorders>
            <w:shd w:val="clear" w:color="auto" w:fill="99CC00"/>
            <w:vAlign w:val="center"/>
          </w:tcPr>
          <w:p w14:paraId="02947E5A"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594" w:type="pct"/>
            <w:tcBorders>
              <w:bottom w:val="nil"/>
            </w:tcBorders>
            <w:shd w:val="clear" w:color="auto" w:fill="99CC00"/>
            <w:vAlign w:val="center"/>
          </w:tcPr>
          <w:p w14:paraId="15BFFF04"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1CD39F6E" w14:textId="77777777" w:rsidTr="00AA7998">
        <w:tc>
          <w:tcPr>
            <w:tcW w:w="174" w:type="pct"/>
            <w:tcBorders>
              <w:top w:val="nil"/>
            </w:tcBorders>
            <w:shd w:val="clear" w:color="auto" w:fill="F2F2F2"/>
            <w:vAlign w:val="center"/>
          </w:tcPr>
          <w:p w14:paraId="7D943785"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1.</w:t>
            </w:r>
          </w:p>
        </w:tc>
        <w:tc>
          <w:tcPr>
            <w:tcW w:w="415" w:type="pct"/>
            <w:tcBorders>
              <w:top w:val="nil"/>
            </w:tcBorders>
            <w:shd w:val="clear" w:color="auto" w:fill="F2F2F2"/>
            <w:vAlign w:val="center"/>
          </w:tcPr>
          <w:p w14:paraId="3A22DAAF"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Wskaźnik finansowy</w:t>
            </w:r>
          </w:p>
        </w:tc>
        <w:tc>
          <w:tcPr>
            <w:tcW w:w="831" w:type="pct"/>
            <w:tcBorders>
              <w:top w:val="nil"/>
            </w:tcBorders>
            <w:shd w:val="clear" w:color="auto" w:fill="F2F2F2"/>
            <w:vAlign w:val="center"/>
          </w:tcPr>
          <w:p w14:paraId="662C4A35"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z w:val="16"/>
                <w:szCs w:val="16"/>
              </w:rPr>
              <w:t>Całkowita kwota certyfikowanych wydatków kwalifikowalnych</w:t>
            </w:r>
          </w:p>
        </w:tc>
        <w:tc>
          <w:tcPr>
            <w:tcW w:w="232" w:type="pct"/>
            <w:tcBorders>
              <w:top w:val="nil"/>
            </w:tcBorders>
            <w:shd w:val="clear" w:color="auto" w:fill="F2F2F2"/>
            <w:vAlign w:val="center"/>
          </w:tcPr>
          <w:p w14:paraId="4C27BCE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EUR</w:t>
            </w:r>
          </w:p>
        </w:tc>
        <w:tc>
          <w:tcPr>
            <w:tcW w:w="323" w:type="pct"/>
            <w:tcBorders>
              <w:top w:val="nil"/>
            </w:tcBorders>
            <w:shd w:val="clear" w:color="auto" w:fill="F2F2F2"/>
            <w:vAlign w:val="center"/>
          </w:tcPr>
          <w:p w14:paraId="2B86C81B"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FS</w:t>
            </w:r>
          </w:p>
        </w:tc>
        <w:tc>
          <w:tcPr>
            <w:tcW w:w="323" w:type="pct"/>
            <w:tcBorders>
              <w:top w:val="nil"/>
            </w:tcBorders>
            <w:shd w:val="clear" w:color="auto" w:fill="F2F2F2"/>
            <w:vAlign w:val="center"/>
          </w:tcPr>
          <w:p w14:paraId="6CB773A5"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323" w:type="pct"/>
            <w:tcBorders>
              <w:top w:val="nil"/>
            </w:tcBorders>
            <w:shd w:val="clear" w:color="auto" w:fill="F2F2F2"/>
            <w:vAlign w:val="center"/>
          </w:tcPr>
          <w:p w14:paraId="54DC77D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758 574 667</w:t>
            </w:r>
          </w:p>
        </w:tc>
        <w:tc>
          <w:tcPr>
            <w:tcW w:w="461" w:type="pct"/>
            <w:tcBorders>
              <w:top w:val="nil"/>
            </w:tcBorders>
            <w:shd w:val="clear" w:color="auto" w:fill="F2F2F2"/>
            <w:vAlign w:val="center"/>
          </w:tcPr>
          <w:p w14:paraId="28EECA3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4 127 263 725</w:t>
            </w:r>
          </w:p>
        </w:tc>
        <w:tc>
          <w:tcPr>
            <w:tcW w:w="324" w:type="pct"/>
            <w:tcBorders>
              <w:top w:val="nil"/>
            </w:tcBorders>
            <w:shd w:val="clear" w:color="auto" w:fill="F2F2F2"/>
            <w:vAlign w:val="center"/>
          </w:tcPr>
          <w:p w14:paraId="6BD0D95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1594" w:type="pct"/>
            <w:tcBorders>
              <w:top w:val="nil"/>
            </w:tcBorders>
            <w:shd w:val="clear" w:color="auto" w:fill="F2F2F2"/>
            <w:vAlign w:val="center"/>
          </w:tcPr>
          <w:p w14:paraId="462F3A12"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2868428E" w14:textId="77777777" w:rsidTr="00AA7998">
        <w:tc>
          <w:tcPr>
            <w:tcW w:w="174" w:type="pct"/>
            <w:shd w:val="clear" w:color="auto" w:fill="F2F2F2"/>
            <w:vAlign w:val="center"/>
          </w:tcPr>
          <w:p w14:paraId="7D97FF19"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2.</w:t>
            </w:r>
          </w:p>
        </w:tc>
        <w:tc>
          <w:tcPr>
            <w:tcW w:w="415" w:type="pct"/>
            <w:shd w:val="clear" w:color="auto" w:fill="F2F2F2"/>
            <w:vAlign w:val="center"/>
          </w:tcPr>
          <w:p w14:paraId="4B224E81"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Wskaźnik produktu</w:t>
            </w:r>
          </w:p>
        </w:tc>
        <w:tc>
          <w:tcPr>
            <w:tcW w:w="831" w:type="pct"/>
            <w:shd w:val="clear" w:color="auto" w:fill="F2F2F2"/>
            <w:vAlign w:val="center"/>
          </w:tcPr>
          <w:p w14:paraId="7E2A7E68" w14:textId="77777777" w:rsidR="004E3242" w:rsidRPr="003C58F3" w:rsidRDefault="00B1312B" w:rsidP="004E3242">
            <w:pPr>
              <w:spacing w:before="20" w:after="20" w:line="240" w:lineRule="auto"/>
              <w:jc w:val="both"/>
              <w:rPr>
                <w:rFonts w:ascii="Arial" w:hAnsi="Arial" w:cs="Arial"/>
                <w:spacing w:val="4"/>
                <w:sz w:val="16"/>
                <w:szCs w:val="16"/>
              </w:rPr>
            </w:pPr>
            <w:r w:rsidRPr="00B1312B">
              <w:rPr>
                <w:rFonts w:ascii="Arial" w:hAnsi="Arial" w:cs="Arial"/>
                <w:spacing w:val="4"/>
                <w:sz w:val="16"/>
                <w:szCs w:val="16"/>
              </w:rPr>
              <w:t>Liczba wspartych zakładów zagospodarowania odpadów</w:t>
            </w:r>
          </w:p>
        </w:tc>
        <w:tc>
          <w:tcPr>
            <w:tcW w:w="232" w:type="pct"/>
            <w:shd w:val="clear" w:color="auto" w:fill="F2F2F2"/>
            <w:vAlign w:val="center"/>
          </w:tcPr>
          <w:p w14:paraId="3F4049ED"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323" w:type="pct"/>
            <w:shd w:val="clear" w:color="auto" w:fill="F2F2F2"/>
            <w:vAlign w:val="center"/>
          </w:tcPr>
          <w:p w14:paraId="2060E38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FS</w:t>
            </w:r>
          </w:p>
        </w:tc>
        <w:tc>
          <w:tcPr>
            <w:tcW w:w="323" w:type="pct"/>
            <w:shd w:val="clear" w:color="auto" w:fill="F2F2F2"/>
            <w:vAlign w:val="center"/>
          </w:tcPr>
          <w:p w14:paraId="4005E1D3"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323" w:type="pct"/>
            <w:shd w:val="clear" w:color="auto" w:fill="F2F2F2"/>
            <w:vAlign w:val="center"/>
          </w:tcPr>
          <w:p w14:paraId="3CB53A70"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0</w:t>
            </w:r>
          </w:p>
        </w:tc>
        <w:tc>
          <w:tcPr>
            <w:tcW w:w="461" w:type="pct"/>
            <w:shd w:val="clear" w:color="auto" w:fill="F2F2F2"/>
            <w:vAlign w:val="center"/>
          </w:tcPr>
          <w:p w14:paraId="0F8FABEA" w14:textId="77777777" w:rsidR="00B1312B" w:rsidRDefault="00B1312B" w:rsidP="004E3242">
            <w:pPr>
              <w:spacing w:before="20" w:after="20" w:line="240" w:lineRule="auto"/>
              <w:jc w:val="center"/>
              <w:rPr>
                <w:rFonts w:ascii="Arial" w:hAnsi="Arial" w:cs="Arial"/>
                <w:spacing w:val="4"/>
                <w:sz w:val="16"/>
                <w:szCs w:val="16"/>
              </w:rPr>
            </w:pPr>
          </w:p>
          <w:p w14:paraId="15C2DF97" w14:textId="77777777" w:rsidR="004E3242" w:rsidRPr="004E3242" w:rsidRDefault="00B1312B" w:rsidP="004E3242">
            <w:pPr>
              <w:spacing w:before="20" w:after="20" w:line="240" w:lineRule="auto"/>
              <w:jc w:val="center"/>
              <w:rPr>
                <w:rFonts w:ascii="Arial" w:hAnsi="Arial" w:cs="Arial"/>
                <w:spacing w:val="4"/>
                <w:sz w:val="16"/>
                <w:szCs w:val="16"/>
              </w:rPr>
            </w:pPr>
            <w:r w:rsidRPr="00B1312B">
              <w:rPr>
                <w:rFonts w:ascii="Arial" w:hAnsi="Arial" w:cs="Arial"/>
                <w:spacing w:val="4"/>
                <w:sz w:val="16"/>
                <w:szCs w:val="16"/>
              </w:rPr>
              <w:t>15</w:t>
            </w:r>
          </w:p>
        </w:tc>
        <w:tc>
          <w:tcPr>
            <w:tcW w:w="324" w:type="pct"/>
            <w:shd w:val="clear" w:color="auto" w:fill="F2F2F2"/>
            <w:vAlign w:val="center"/>
          </w:tcPr>
          <w:p w14:paraId="7008647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1594" w:type="pct"/>
            <w:shd w:val="clear" w:color="auto" w:fill="F2F2F2"/>
            <w:vAlign w:val="center"/>
          </w:tcPr>
          <w:p w14:paraId="0D0232EC"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Wskaźniki dotyczące oczyszczalni ścieków oraz zakładów zagospodarowania odpadów są najbardziej reprezentatywne dla osi priorytetowej II, gdyż z jednej strony ich realizacja wymaga zaangażowania znacznych części alokacji (ok.51%), z drugiej reprezentują najważniejsze interwencje planowane do podjęcia w latach 2014-2020, w szczególności w celu wypełnienia zobowiązań wynikających z dyrektyw unijnych.</w:t>
            </w:r>
          </w:p>
        </w:tc>
      </w:tr>
      <w:tr w:rsidR="004E3242" w:rsidRPr="004E3242" w14:paraId="18EBF8CF" w14:textId="77777777" w:rsidTr="00AA7998">
        <w:tc>
          <w:tcPr>
            <w:tcW w:w="174" w:type="pct"/>
            <w:shd w:val="clear" w:color="auto" w:fill="F2F2F2"/>
            <w:vAlign w:val="center"/>
          </w:tcPr>
          <w:p w14:paraId="42CE0B9E"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3.</w:t>
            </w:r>
          </w:p>
        </w:tc>
        <w:tc>
          <w:tcPr>
            <w:tcW w:w="415" w:type="pct"/>
            <w:shd w:val="clear" w:color="auto" w:fill="F2F2F2"/>
            <w:vAlign w:val="center"/>
          </w:tcPr>
          <w:p w14:paraId="75A0718E"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Kluczowy etap wdrożeniowy</w:t>
            </w:r>
          </w:p>
        </w:tc>
        <w:tc>
          <w:tcPr>
            <w:tcW w:w="831" w:type="pct"/>
            <w:shd w:val="clear" w:color="auto" w:fill="F2F2F2"/>
            <w:vAlign w:val="center"/>
          </w:tcPr>
          <w:p w14:paraId="27314787" w14:textId="77777777" w:rsidR="00B1312B" w:rsidRDefault="00B1312B" w:rsidP="004E3242">
            <w:pPr>
              <w:spacing w:before="20" w:after="20" w:line="240" w:lineRule="auto"/>
              <w:jc w:val="both"/>
              <w:rPr>
                <w:rFonts w:ascii="Arial" w:hAnsi="Arial" w:cs="Arial"/>
                <w:bCs/>
                <w:iCs/>
                <w:sz w:val="16"/>
                <w:szCs w:val="16"/>
              </w:rPr>
            </w:pPr>
          </w:p>
          <w:p w14:paraId="2891D219" w14:textId="77777777" w:rsidR="004E3242" w:rsidRPr="004E3242" w:rsidDel="00390F89" w:rsidRDefault="00B1312B" w:rsidP="004E3242">
            <w:pPr>
              <w:spacing w:before="20" w:after="20" w:line="240" w:lineRule="auto"/>
              <w:jc w:val="both"/>
              <w:rPr>
                <w:rFonts w:ascii="Arial" w:hAnsi="Arial" w:cs="Arial"/>
                <w:sz w:val="16"/>
                <w:szCs w:val="16"/>
              </w:rPr>
            </w:pPr>
            <w:r w:rsidRPr="00B1312B">
              <w:rPr>
                <w:rFonts w:ascii="Arial" w:hAnsi="Arial" w:cs="Arial"/>
                <w:sz w:val="16"/>
                <w:szCs w:val="16"/>
              </w:rPr>
              <w:t>Liczba wspieranych zakładów zagospodarowania odpadów wg  zawartych umów o dofinansowanie</w:t>
            </w:r>
          </w:p>
        </w:tc>
        <w:tc>
          <w:tcPr>
            <w:tcW w:w="232" w:type="pct"/>
            <w:shd w:val="clear" w:color="auto" w:fill="F2F2F2"/>
            <w:vAlign w:val="center"/>
          </w:tcPr>
          <w:p w14:paraId="7D35CA9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323" w:type="pct"/>
            <w:shd w:val="clear" w:color="auto" w:fill="F2F2F2"/>
            <w:vAlign w:val="center"/>
          </w:tcPr>
          <w:p w14:paraId="13A9137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FS</w:t>
            </w:r>
          </w:p>
        </w:tc>
        <w:tc>
          <w:tcPr>
            <w:tcW w:w="323" w:type="pct"/>
            <w:shd w:val="clear" w:color="auto" w:fill="F2F2F2"/>
            <w:vAlign w:val="center"/>
          </w:tcPr>
          <w:p w14:paraId="585B85C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323" w:type="pct"/>
            <w:shd w:val="clear" w:color="auto" w:fill="F2F2F2"/>
            <w:vAlign w:val="center"/>
          </w:tcPr>
          <w:p w14:paraId="4A28182E" w14:textId="77777777" w:rsidR="00B1312B" w:rsidRDefault="00B1312B" w:rsidP="004E3242">
            <w:pPr>
              <w:spacing w:before="20" w:after="20" w:line="240" w:lineRule="auto"/>
              <w:jc w:val="center"/>
              <w:rPr>
                <w:rFonts w:ascii="Arial" w:hAnsi="Arial" w:cs="Arial"/>
                <w:spacing w:val="4"/>
                <w:sz w:val="16"/>
                <w:szCs w:val="16"/>
              </w:rPr>
            </w:pPr>
          </w:p>
          <w:p w14:paraId="7F348455" w14:textId="77777777" w:rsidR="004E3242" w:rsidRPr="004E3242" w:rsidRDefault="00B1312B" w:rsidP="004E3242">
            <w:pPr>
              <w:spacing w:before="20" w:after="20" w:line="240" w:lineRule="auto"/>
              <w:jc w:val="center"/>
              <w:rPr>
                <w:rFonts w:ascii="Arial" w:hAnsi="Arial" w:cs="Arial"/>
                <w:spacing w:val="4"/>
                <w:sz w:val="16"/>
                <w:szCs w:val="16"/>
              </w:rPr>
            </w:pPr>
            <w:r w:rsidRPr="00B1312B">
              <w:rPr>
                <w:rFonts w:ascii="Arial" w:hAnsi="Arial" w:cs="Arial"/>
                <w:spacing w:val="4"/>
                <w:sz w:val="16"/>
                <w:szCs w:val="16"/>
              </w:rPr>
              <w:t>5</w:t>
            </w:r>
          </w:p>
        </w:tc>
        <w:tc>
          <w:tcPr>
            <w:tcW w:w="461" w:type="pct"/>
            <w:shd w:val="clear" w:color="auto" w:fill="F2F2F2"/>
            <w:vAlign w:val="center"/>
          </w:tcPr>
          <w:p w14:paraId="1CC5B91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t>
            </w:r>
          </w:p>
        </w:tc>
        <w:tc>
          <w:tcPr>
            <w:tcW w:w="324" w:type="pct"/>
            <w:shd w:val="clear" w:color="auto" w:fill="F2F2F2"/>
            <w:vAlign w:val="center"/>
          </w:tcPr>
          <w:p w14:paraId="685AD69C"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 xml:space="preserve">dane instytucji na podstawie SL </w:t>
            </w:r>
          </w:p>
          <w:p w14:paraId="7FE8196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2014</w:t>
            </w:r>
          </w:p>
        </w:tc>
        <w:tc>
          <w:tcPr>
            <w:tcW w:w="1594" w:type="pct"/>
            <w:shd w:val="clear" w:color="auto" w:fill="F2F2F2"/>
            <w:vAlign w:val="center"/>
          </w:tcPr>
          <w:p w14:paraId="0623727E" w14:textId="77777777" w:rsidR="004E3242" w:rsidRPr="004E3242" w:rsidDel="00390F89"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Posiadanie umów o dofinansowanie dla projektów zasilających wskaźnik stanowi kluczowy etap procesu realizacji tych inwestycji w ramach programu 2014-2020 oraz zobowiązuje do ich zakończenia w terminie wskazanym w umowie.</w:t>
            </w:r>
          </w:p>
        </w:tc>
      </w:tr>
      <w:tr w:rsidR="004E3242" w:rsidRPr="004E3242" w14:paraId="20BA6679" w14:textId="77777777" w:rsidTr="00AA7998">
        <w:tc>
          <w:tcPr>
            <w:tcW w:w="174" w:type="pct"/>
            <w:shd w:val="clear" w:color="auto" w:fill="F2F2F2"/>
            <w:vAlign w:val="center"/>
          </w:tcPr>
          <w:p w14:paraId="2FB4D70C"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4.</w:t>
            </w:r>
          </w:p>
        </w:tc>
        <w:tc>
          <w:tcPr>
            <w:tcW w:w="415" w:type="pct"/>
            <w:shd w:val="clear" w:color="auto" w:fill="F2F2F2"/>
            <w:vAlign w:val="center"/>
          </w:tcPr>
          <w:p w14:paraId="47AAA38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Wskaźnik produktu</w:t>
            </w:r>
          </w:p>
        </w:tc>
        <w:tc>
          <w:tcPr>
            <w:tcW w:w="831" w:type="pct"/>
            <w:shd w:val="clear" w:color="auto" w:fill="F2F2F2"/>
            <w:vAlign w:val="center"/>
          </w:tcPr>
          <w:p w14:paraId="78504669"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 xml:space="preserve">Liczba wybudowanych lub zmodernizowanych oczyszczalni ścieków </w:t>
            </w:r>
            <w:r w:rsidRPr="004E3242">
              <w:rPr>
                <w:rFonts w:ascii="Arial" w:hAnsi="Arial" w:cs="Arial"/>
                <w:sz w:val="16"/>
                <w:szCs w:val="16"/>
              </w:rPr>
              <w:t>komunalnych</w:t>
            </w:r>
          </w:p>
        </w:tc>
        <w:tc>
          <w:tcPr>
            <w:tcW w:w="232" w:type="pct"/>
            <w:shd w:val="clear" w:color="auto" w:fill="F2F2F2"/>
            <w:vAlign w:val="center"/>
          </w:tcPr>
          <w:p w14:paraId="3AAA183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323" w:type="pct"/>
            <w:shd w:val="clear" w:color="auto" w:fill="F2F2F2"/>
            <w:vAlign w:val="center"/>
          </w:tcPr>
          <w:p w14:paraId="2A6FC96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FS</w:t>
            </w:r>
          </w:p>
        </w:tc>
        <w:tc>
          <w:tcPr>
            <w:tcW w:w="323" w:type="pct"/>
            <w:shd w:val="clear" w:color="auto" w:fill="F2F2F2"/>
            <w:vAlign w:val="center"/>
          </w:tcPr>
          <w:p w14:paraId="1D8D4816"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n/d</w:t>
            </w:r>
          </w:p>
        </w:tc>
        <w:tc>
          <w:tcPr>
            <w:tcW w:w="323" w:type="pct"/>
            <w:shd w:val="clear" w:color="auto" w:fill="F2F2F2"/>
            <w:vAlign w:val="center"/>
          </w:tcPr>
          <w:p w14:paraId="50133029"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0</w:t>
            </w:r>
          </w:p>
        </w:tc>
        <w:tc>
          <w:tcPr>
            <w:tcW w:w="461" w:type="pct"/>
            <w:shd w:val="clear" w:color="auto" w:fill="F2F2F2"/>
            <w:vAlign w:val="center"/>
          </w:tcPr>
          <w:p w14:paraId="0B2B6944" w14:textId="77777777" w:rsidR="004E3242" w:rsidRPr="004E3242" w:rsidRDefault="00463DDF" w:rsidP="00D84D47">
            <w:pPr>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463DDF">
              <w:rPr>
                <w:rFonts w:ascii="Arial" w:hAnsi="Arial" w:cs="Arial"/>
                <w:spacing w:val="4"/>
                <w:sz w:val="16"/>
                <w:szCs w:val="16"/>
              </w:rPr>
              <w:t>205</w:t>
            </w:r>
          </w:p>
        </w:tc>
        <w:tc>
          <w:tcPr>
            <w:tcW w:w="324" w:type="pct"/>
            <w:shd w:val="clear" w:color="auto" w:fill="F2F2F2"/>
            <w:vAlign w:val="center"/>
          </w:tcPr>
          <w:p w14:paraId="1B721D69"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1594" w:type="pct"/>
            <w:shd w:val="clear" w:color="auto" w:fill="F2F2F2"/>
            <w:vAlign w:val="center"/>
          </w:tcPr>
          <w:p w14:paraId="03DF1878"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Wskaźniki dotyczące oczyszczalni ścieków oraz zakładów zagospodarowania odpadów są najbardziej reprezentatywne dla osi priorytetowej II, gdyż z jednej strony ich realizacja wymaga zaangażowania znacznych części alokacji (ok.51%), z drugiej reprezentują najważniejsze interwencje planowane do podjęcia w latach 2014-2020, w szczególności w celu wypełnienia zobowiązań wynikających z dyrektyw unijnych.</w:t>
            </w:r>
          </w:p>
        </w:tc>
      </w:tr>
      <w:tr w:rsidR="004E3242" w:rsidRPr="004E3242" w14:paraId="5938647D" w14:textId="77777777" w:rsidTr="00AA7998">
        <w:tc>
          <w:tcPr>
            <w:tcW w:w="174" w:type="pct"/>
            <w:shd w:val="clear" w:color="auto" w:fill="F2F2F2"/>
            <w:vAlign w:val="center"/>
          </w:tcPr>
          <w:p w14:paraId="29F9F03F"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5.</w:t>
            </w:r>
          </w:p>
        </w:tc>
        <w:tc>
          <w:tcPr>
            <w:tcW w:w="415" w:type="pct"/>
            <w:shd w:val="clear" w:color="auto" w:fill="F2F2F2"/>
            <w:vAlign w:val="center"/>
          </w:tcPr>
          <w:p w14:paraId="748274E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Kluczowy etap wdrożeniowy</w:t>
            </w:r>
          </w:p>
        </w:tc>
        <w:tc>
          <w:tcPr>
            <w:tcW w:w="831" w:type="pct"/>
            <w:shd w:val="clear" w:color="auto" w:fill="F2F2F2"/>
            <w:vAlign w:val="center"/>
          </w:tcPr>
          <w:p w14:paraId="4BCACD54" w14:textId="77777777" w:rsidR="004E3242" w:rsidRPr="004E3242" w:rsidDel="00E40DE5" w:rsidRDefault="004E3242" w:rsidP="004E3242">
            <w:pPr>
              <w:spacing w:before="20" w:after="20" w:line="240" w:lineRule="auto"/>
              <w:rPr>
                <w:rFonts w:ascii="Arial" w:hAnsi="Arial" w:cs="Arial"/>
                <w:spacing w:val="4"/>
                <w:sz w:val="16"/>
                <w:szCs w:val="16"/>
              </w:rPr>
            </w:pPr>
            <w:r w:rsidRPr="004E3242">
              <w:rPr>
                <w:rFonts w:ascii="Arial" w:hAnsi="Arial" w:cs="Arial"/>
                <w:sz w:val="16"/>
                <w:szCs w:val="16"/>
                <w:lang w:eastAsia="pl-PL"/>
              </w:rPr>
              <w:t>Liczba budowanych lub modernizowanych oczyszczalni  ścieków komunalnych wg  zawartych umów o dofinansowanie</w:t>
            </w:r>
          </w:p>
        </w:tc>
        <w:tc>
          <w:tcPr>
            <w:tcW w:w="232" w:type="pct"/>
            <w:shd w:val="clear" w:color="auto" w:fill="F2F2F2"/>
            <w:vAlign w:val="center"/>
          </w:tcPr>
          <w:p w14:paraId="3E33F77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szt.</w:t>
            </w:r>
          </w:p>
        </w:tc>
        <w:tc>
          <w:tcPr>
            <w:tcW w:w="323" w:type="pct"/>
            <w:shd w:val="clear" w:color="auto" w:fill="F2F2F2"/>
            <w:vAlign w:val="center"/>
          </w:tcPr>
          <w:p w14:paraId="6AA8816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FS</w:t>
            </w:r>
          </w:p>
        </w:tc>
        <w:tc>
          <w:tcPr>
            <w:tcW w:w="323" w:type="pct"/>
            <w:shd w:val="clear" w:color="auto" w:fill="F2F2F2"/>
            <w:vAlign w:val="center"/>
          </w:tcPr>
          <w:p w14:paraId="5D79B7C4"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n/d</w:t>
            </w:r>
          </w:p>
        </w:tc>
        <w:tc>
          <w:tcPr>
            <w:tcW w:w="323" w:type="pct"/>
            <w:shd w:val="clear" w:color="auto" w:fill="F2F2F2"/>
            <w:vAlign w:val="center"/>
          </w:tcPr>
          <w:p w14:paraId="218BC880" w14:textId="77777777" w:rsidR="004E3242" w:rsidRPr="004E3242" w:rsidRDefault="00D84D47" w:rsidP="004E3242">
            <w:pPr>
              <w:spacing w:before="20" w:after="20" w:line="240" w:lineRule="auto"/>
              <w:jc w:val="center"/>
              <w:rPr>
                <w:rFonts w:ascii="Arial" w:hAnsi="Arial" w:cs="Arial"/>
                <w:spacing w:val="4"/>
                <w:sz w:val="16"/>
                <w:szCs w:val="16"/>
              </w:rPr>
            </w:pPr>
            <w:r>
              <w:rPr>
                <w:rFonts w:ascii="Arial" w:hAnsi="Arial" w:cs="Arial"/>
                <w:spacing w:val="4"/>
                <w:sz w:val="16"/>
                <w:szCs w:val="16"/>
              </w:rPr>
              <w:t>120</w:t>
            </w:r>
          </w:p>
        </w:tc>
        <w:tc>
          <w:tcPr>
            <w:tcW w:w="461" w:type="pct"/>
            <w:shd w:val="clear" w:color="auto" w:fill="F2F2F2"/>
            <w:vAlign w:val="center"/>
          </w:tcPr>
          <w:p w14:paraId="0A97985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w:t>
            </w:r>
          </w:p>
        </w:tc>
        <w:tc>
          <w:tcPr>
            <w:tcW w:w="324" w:type="pct"/>
            <w:shd w:val="clear" w:color="auto" w:fill="F2F2F2"/>
            <w:vAlign w:val="center"/>
          </w:tcPr>
          <w:p w14:paraId="74BCF4A9"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 xml:space="preserve">dane instytucji na podstawie SL </w:t>
            </w:r>
            <w:r w:rsidRPr="004E3242">
              <w:rPr>
                <w:rFonts w:ascii="Arial" w:hAnsi="Arial" w:cs="Arial"/>
                <w:spacing w:val="4"/>
                <w:sz w:val="16"/>
                <w:szCs w:val="16"/>
              </w:rPr>
              <w:br/>
              <w:t>2014</w:t>
            </w:r>
          </w:p>
        </w:tc>
        <w:tc>
          <w:tcPr>
            <w:tcW w:w="1594" w:type="pct"/>
            <w:shd w:val="clear" w:color="auto" w:fill="F2F2F2"/>
            <w:vAlign w:val="center"/>
          </w:tcPr>
          <w:p w14:paraId="1002DF2C" w14:textId="77777777" w:rsidR="004E3242" w:rsidRPr="004E3242" w:rsidDel="00C01529"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Posiadanie umów o dofinansowanie dla projektów zasilających wskaźnik stanowi kluczowy etap procesu realizacji tych inwestycji w ramach programu 2014-2020 oraz zobowiązuje do ich zakończenia w terminie wskazanym w umowie.</w:t>
            </w:r>
          </w:p>
        </w:tc>
      </w:tr>
    </w:tbl>
    <w:p w14:paraId="6373F08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Kategorie Interwencji (EUR)</w:t>
      </w:r>
    </w:p>
    <w:tbl>
      <w:tblPr>
        <w:tblW w:w="498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1237"/>
        <w:gridCol w:w="2539"/>
        <w:gridCol w:w="426"/>
        <w:gridCol w:w="1265"/>
        <w:gridCol w:w="2297"/>
        <w:gridCol w:w="236"/>
        <w:gridCol w:w="282"/>
        <w:gridCol w:w="1130"/>
        <w:gridCol w:w="1694"/>
        <w:gridCol w:w="429"/>
        <w:gridCol w:w="1133"/>
        <w:gridCol w:w="2604"/>
        <w:gridCol w:w="43"/>
      </w:tblGrid>
      <w:tr w:rsidR="004E3242" w:rsidRPr="004E3242" w14:paraId="69FE0DE0" w14:textId="77777777" w:rsidTr="00AA7998">
        <w:trPr>
          <w:gridAfter w:val="1"/>
          <w:wAfter w:w="14" w:type="pct"/>
          <w:trHeight w:val="149"/>
        </w:trPr>
        <w:tc>
          <w:tcPr>
            <w:tcW w:w="1233" w:type="pct"/>
            <w:gridSpan w:val="2"/>
            <w:shd w:val="clear" w:color="auto" w:fill="99CC00"/>
          </w:tcPr>
          <w:p w14:paraId="71DEE160"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Obszar interwencji</w:t>
            </w:r>
          </w:p>
        </w:tc>
        <w:tc>
          <w:tcPr>
            <w:tcW w:w="139" w:type="pct"/>
            <w:shd w:val="clear" w:color="auto" w:fill="FFFFFF"/>
          </w:tcPr>
          <w:p w14:paraId="0E790F86"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1163" w:type="pct"/>
            <w:gridSpan w:val="2"/>
            <w:shd w:val="clear" w:color="auto" w:fill="99CC00"/>
          </w:tcPr>
          <w:p w14:paraId="55552DAB"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Forma finansowania</w:t>
            </w:r>
          </w:p>
        </w:tc>
        <w:tc>
          <w:tcPr>
            <w:tcW w:w="169" w:type="pct"/>
            <w:gridSpan w:val="2"/>
            <w:shd w:val="clear" w:color="auto" w:fill="FFFFFF"/>
          </w:tcPr>
          <w:p w14:paraId="3FC5D67B"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922" w:type="pct"/>
            <w:gridSpan w:val="2"/>
            <w:shd w:val="clear" w:color="auto" w:fill="99CC00"/>
          </w:tcPr>
          <w:p w14:paraId="23C212F6"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Terytorium</w:t>
            </w:r>
          </w:p>
        </w:tc>
        <w:tc>
          <w:tcPr>
            <w:tcW w:w="140" w:type="pct"/>
            <w:shd w:val="clear" w:color="auto" w:fill="FFFFFF"/>
          </w:tcPr>
          <w:p w14:paraId="675E3EE2"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1220" w:type="pct"/>
            <w:gridSpan w:val="2"/>
            <w:shd w:val="clear" w:color="auto" w:fill="99CC00"/>
          </w:tcPr>
          <w:p w14:paraId="259F43F0"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Mechanizmy realizacji wymiaru terytorialnego</w:t>
            </w:r>
          </w:p>
        </w:tc>
      </w:tr>
      <w:tr w:rsidR="004E3242" w:rsidRPr="004E3242" w14:paraId="7CE25E62" w14:textId="77777777" w:rsidTr="00AA7998">
        <w:trPr>
          <w:gridAfter w:val="1"/>
          <w:wAfter w:w="14" w:type="pct"/>
          <w:trHeight w:val="126"/>
        </w:trPr>
        <w:tc>
          <w:tcPr>
            <w:tcW w:w="404" w:type="pct"/>
            <w:shd w:val="clear" w:color="auto" w:fill="99CC00"/>
            <w:vAlign w:val="center"/>
          </w:tcPr>
          <w:p w14:paraId="52673359"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Kod</w:t>
            </w:r>
          </w:p>
        </w:tc>
        <w:tc>
          <w:tcPr>
            <w:tcW w:w="829" w:type="pct"/>
            <w:shd w:val="clear" w:color="auto" w:fill="99CC00"/>
            <w:vAlign w:val="center"/>
          </w:tcPr>
          <w:p w14:paraId="5C29C987"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Kwota</w:t>
            </w:r>
          </w:p>
        </w:tc>
        <w:tc>
          <w:tcPr>
            <w:tcW w:w="139" w:type="pct"/>
            <w:shd w:val="clear" w:color="auto" w:fill="FFFFFF"/>
          </w:tcPr>
          <w:p w14:paraId="4A2524F9"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413" w:type="pct"/>
            <w:shd w:val="clear" w:color="auto" w:fill="99CC00"/>
            <w:vAlign w:val="center"/>
          </w:tcPr>
          <w:p w14:paraId="0E0831A3"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Kod</w:t>
            </w:r>
          </w:p>
        </w:tc>
        <w:tc>
          <w:tcPr>
            <w:tcW w:w="750" w:type="pct"/>
            <w:shd w:val="clear" w:color="auto" w:fill="99CC00"/>
            <w:vAlign w:val="center"/>
          </w:tcPr>
          <w:p w14:paraId="6B64F123"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Kwota</w:t>
            </w:r>
          </w:p>
        </w:tc>
        <w:tc>
          <w:tcPr>
            <w:tcW w:w="169" w:type="pct"/>
            <w:gridSpan w:val="2"/>
            <w:shd w:val="clear" w:color="auto" w:fill="FFFFFF"/>
          </w:tcPr>
          <w:p w14:paraId="1A83AB07"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369" w:type="pct"/>
            <w:shd w:val="clear" w:color="auto" w:fill="99CC00"/>
            <w:vAlign w:val="center"/>
          </w:tcPr>
          <w:p w14:paraId="4844E0D1"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Kod</w:t>
            </w:r>
          </w:p>
        </w:tc>
        <w:tc>
          <w:tcPr>
            <w:tcW w:w="553" w:type="pct"/>
            <w:shd w:val="clear" w:color="auto" w:fill="99CC00"/>
            <w:vAlign w:val="center"/>
          </w:tcPr>
          <w:p w14:paraId="15719163"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Kwota</w:t>
            </w:r>
          </w:p>
        </w:tc>
        <w:tc>
          <w:tcPr>
            <w:tcW w:w="140" w:type="pct"/>
            <w:shd w:val="clear" w:color="auto" w:fill="FFFFFF"/>
          </w:tcPr>
          <w:p w14:paraId="40E3462D"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370" w:type="pct"/>
            <w:shd w:val="clear" w:color="auto" w:fill="99CC00"/>
            <w:vAlign w:val="center"/>
          </w:tcPr>
          <w:p w14:paraId="6A080390"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Kod</w:t>
            </w:r>
          </w:p>
        </w:tc>
        <w:tc>
          <w:tcPr>
            <w:tcW w:w="850" w:type="pct"/>
            <w:shd w:val="clear" w:color="auto" w:fill="99CC00"/>
            <w:vAlign w:val="center"/>
          </w:tcPr>
          <w:p w14:paraId="507D95A3" w14:textId="77777777" w:rsidR="004E3242" w:rsidRPr="004E3242" w:rsidRDefault="004E3242" w:rsidP="004E3242">
            <w:pPr>
              <w:spacing w:before="20" w:after="20" w:line="240" w:lineRule="auto"/>
              <w:jc w:val="center"/>
              <w:rPr>
                <w:rFonts w:ascii="Arial" w:hAnsi="Arial" w:cs="Arial"/>
                <w:b/>
                <w:color w:val="FFFFFF"/>
                <w:sz w:val="16"/>
                <w:szCs w:val="16"/>
              </w:rPr>
            </w:pPr>
            <w:r w:rsidRPr="004E3242">
              <w:rPr>
                <w:rFonts w:ascii="Arial" w:hAnsi="Arial" w:cs="Arial"/>
                <w:b/>
                <w:color w:val="FFFFFF"/>
                <w:sz w:val="16"/>
                <w:szCs w:val="16"/>
              </w:rPr>
              <w:t>Kwota</w:t>
            </w:r>
          </w:p>
        </w:tc>
      </w:tr>
      <w:tr w:rsidR="00B1312B" w:rsidRPr="004E3242" w14:paraId="16E9ACBF" w14:textId="77777777" w:rsidTr="00B1312B">
        <w:trPr>
          <w:gridAfter w:val="1"/>
          <w:wAfter w:w="14" w:type="pct"/>
          <w:trHeight w:val="184"/>
        </w:trPr>
        <w:tc>
          <w:tcPr>
            <w:tcW w:w="404" w:type="pct"/>
            <w:vMerge w:val="restart"/>
            <w:shd w:val="clear" w:color="auto" w:fill="F2F2F2"/>
          </w:tcPr>
          <w:p w14:paraId="134BE372" w14:textId="77777777" w:rsidR="00B1312B" w:rsidRPr="004E3242" w:rsidRDefault="00B1312B"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017</w:t>
            </w:r>
          </w:p>
        </w:tc>
        <w:tc>
          <w:tcPr>
            <w:tcW w:w="829" w:type="pct"/>
            <w:vMerge w:val="restart"/>
            <w:shd w:val="clear" w:color="auto" w:fill="F2F2F2"/>
          </w:tcPr>
          <w:p w14:paraId="61613A0B" w14:textId="77777777" w:rsidR="00B1312B" w:rsidRPr="004E3242" w:rsidRDefault="001F407D" w:rsidP="001F407D">
            <w:pPr>
              <w:jc w:val="center"/>
              <w:rPr>
                <w:rFonts w:ascii="Arial" w:hAnsi="Arial" w:cs="Arial"/>
                <w:color w:val="000000"/>
                <w:sz w:val="16"/>
                <w:szCs w:val="16"/>
              </w:rPr>
            </w:pPr>
            <w:r w:rsidRPr="001F407D">
              <w:rPr>
                <w:rFonts w:ascii="Arial" w:hAnsi="Arial" w:cs="Arial"/>
                <w:color w:val="000000"/>
                <w:sz w:val="16"/>
                <w:szCs w:val="16"/>
              </w:rPr>
              <w:t>253 639 552</w:t>
            </w:r>
          </w:p>
        </w:tc>
        <w:tc>
          <w:tcPr>
            <w:tcW w:w="139" w:type="pct"/>
            <w:vMerge w:val="restart"/>
            <w:shd w:val="clear" w:color="auto" w:fill="FFFFFF"/>
          </w:tcPr>
          <w:p w14:paraId="69FCA996"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413" w:type="pct"/>
            <w:tcBorders>
              <w:bottom w:val="single" w:sz="4" w:space="0" w:color="FFFFFF"/>
            </w:tcBorders>
            <w:shd w:val="clear" w:color="auto" w:fill="F2F2F2"/>
          </w:tcPr>
          <w:p w14:paraId="1D02C76C" w14:textId="77777777" w:rsidR="00B1312B" w:rsidRPr="004E3242" w:rsidRDefault="00B1312B"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01</w:t>
            </w:r>
          </w:p>
        </w:tc>
        <w:tc>
          <w:tcPr>
            <w:tcW w:w="750" w:type="pct"/>
            <w:shd w:val="clear" w:color="auto" w:fill="F2F2F2"/>
          </w:tcPr>
          <w:p w14:paraId="0EA92B3E" w14:textId="77777777" w:rsidR="00B1312B" w:rsidRPr="004E3242" w:rsidRDefault="00120F35" w:rsidP="00B1312B">
            <w:pPr>
              <w:spacing w:before="20" w:after="20" w:line="240" w:lineRule="auto"/>
              <w:ind w:right="460"/>
              <w:jc w:val="right"/>
              <w:rPr>
                <w:rFonts w:ascii="Arial" w:hAnsi="Arial" w:cs="Arial"/>
                <w:sz w:val="16"/>
                <w:szCs w:val="16"/>
              </w:rPr>
            </w:pPr>
            <w:r>
              <w:rPr>
                <w:rFonts w:ascii="Arial" w:hAnsi="Arial" w:cs="Arial"/>
                <w:sz w:val="16"/>
                <w:szCs w:val="16"/>
              </w:rPr>
              <w:t xml:space="preserve">  </w:t>
            </w:r>
            <w:r>
              <w:rPr>
                <w:rFonts w:ascii="Arial" w:hAnsi="Arial" w:cs="Arial"/>
                <w:sz w:val="16"/>
                <w:szCs w:val="16"/>
              </w:rPr>
              <w:br/>
            </w:r>
            <w:r w:rsidRPr="00120F35">
              <w:rPr>
                <w:rFonts w:ascii="Arial" w:hAnsi="Arial" w:cs="Arial"/>
                <w:sz w:val="16"/>
                <w:szCs w:val="16"/>
              </w:rPr>
              <w:t xml:space="preserve">3 508 174 166    </w:t>
            </w:r>
          </w:p>
        </w:tc>
        <w:tc>
          <w:tcPr>
            <w:tcW w:w="169" w:type="pct"/>
            <w:gridSpan w:val="2"/>
            <w:vMerge w:val="restart"/>
            <w:shd w:val="clear" w:color="auto" w:fill="FFFFFF"/>
          </w:tcPr>
          <w:p w14:paraId="0AEC950F"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369" w:type="pct"/>
            <w:vMerge w:val="restart"/>
            <w:shd w:val="clear" w:color="auto" w:fill="F2F2F2"/>
          </w:tcPr>
          <w:p w14:paraId="311F2862" w14:textId="77777777" w:rsidR="00B1312B" w:rsidRPr="004E3242" w:rsidRDefault="00B1312B"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553" w:type="pct"/>
            <w:vMerge w:val="restart"/>
            <w:shd w:val="clear" w:color="auto" w:fill="F2F2F2"/>
          </w:tcPr>
          <w:p w14:paraId="135CF977" w14:textId="77777777" w:rsidR="00B1312B" w:rsidRPr="004E3242" w:rsidRDefault="00B1312B" w:rsidP="004E3242">
            <w:pPr>
              <w:spacing w:before="20" w:after="20" w:line="240" w:lineRule="auto"/>
              <w:jc w:val="center"/>
              <w:rPr>
                <w:rFonts w:ascii="Arial" w:hAnsi="Arial" w:cs="Arial"/>
                <w:sz w:val="16"/>
                <w:szCs w:val="16"/>
              </w:rPr>
            </w:pPr>
            <w:r w:rsidRPr="004E3242">
              <w:rPr>
                <w:rFonts w:ascii="Arial" w:hAnsi="Arial" w:cs="Arial"/>
                <w:color w:val="000000"/>
                <w:sz w:val="16"/>
                <w:szCs w:val="16"/>
              </w:rPr>
              <w:t xml:space="preserve">3 508 174 166    </w:t>
            </w:r>
          </w:p>
        </w:tc>
        <w:tc>
          <w:tcPr>
            <w:tcW w:w="140" w:type="pct"/>
            <w:vMerge w:val="restart"/>
            <w:shd w:val="clear" w:color="auto" w:fill="FFFFFF"/>
          </w:tcPr>
          <w:p w14:paraId="70DB171B"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370" w:type="pct"/>
            <w:vMerge w:val="restart"/>
            <w:shd w:val="clear" w:color="auto" w:fill="F2F2F2"/>
          </w:tcPr>
          <w:p w14:paraId="20124E96" w14:textId="77777777" w:rsidR="00B1312B" w:rsidRPr="004E3242" w:rsidRDefault="00B1312B"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850" w:type="pct"/>
            <w:vMerge w:val="restart"/>
            <w:shd w:val="clear" w:color="auto" w:fill="F2F2F2"/>
          </w:tcPr>
          <w:p w14:paraId="795D99FE" w14:textId="77777777" w:rsidR="00B1312B" w:rsidRPr="004E3242" w:rsidRDefault="00B1312B" w:rsidP="004E3242">
            <w:pPr>
              <w:spacing w:before="20" w:after="20" w:line="240" w:lineRule="auto"/>
              <w:jc w:val="center"/>
              <w:rPr>
                <w:rFonts w:ascii="Arial" w:hAnsi="Arial" w:cs="Arial"/>
                <w:sz w:val="16"/>
                <w:szCs w:val="16"/>
              </w:rPr>
            </w:pPr>
            <w:r w:rsidRPr="004E3242">
              <w:rPr>
                <w:rFonts w:ascii="Arial" w:hAnsi="Arial" w:cs="Arial"/>
                <w:color w:val="000000"/>
                <w:sz w:val="16"/>
                <w:szCs w:val="16"/>
              </w:rPr>
              <w:t xml:space="preserve">3 508 174 166    </w:t>
            </w:r>
          </w:p>
        </w:tc>
      </w:tr>
      <w:tr w:rsidR="00B1312B" w:rsidRPr="004E3242" w14:paraId="2EB9CF25" w14:textId="77777777" w:rsidTr="00313673">
        <w:trPr>
          <w:gridAfter w:val="1"/>
          <w:wAfter w:w="14" w:type="pct"/>
          <w:trHeight w:val="64"/>
        </w:trPr>
        <w:tc>
          <w:tcPr>
            <w:tcW w:w="404" w:type="pct"/>
            <w:vMerge/>
            <w:shd w:val="clear" w:color="auto" w:fill="F2F2F2"/>
          </w:tcPr>
          <w:p w14:paraId="1D94DE73" w14:textId="77777777" w:rsidR="00B1312B" w:rsidRPr="004E3242" w:rsidRDefault="00B1312B" w:rsidP="004E3242">
            <w:pPr>
              <w:spacing w:before="20" w:after="20" w:line="240" w:lineRule="auto"/>
              <w:jc w:val="center"/>
              <w:rPr>
                <w:rFonts w:ascii="Arial" w:hAnsi="Arial" w:cs="Arial"/>
                <w:color w:val="000000"/>
                <w:sz w:val="16"/>
                <w:szCs w:val="16"/>
              </w:rPr>
            </w:pPr>
          </w:p>
        </w:tc>
        <w:tc>
          <w:tcPr>
            <w:tcW w:w="829" w:type="pct"/>
            <w:vMerge/>
            <w:shd w:val="clear" w:color="auto" w:fill="F2F2F2"/>
          </w:tcPr>
          <w:p w14:paraId="7326AB0E" w14:textId="77777777" w:rsidR="00B1312B" w:rsidRPr="004E3242" w:rsidRDefault="00B1312B" w:rsidP="004E3242">
            <w:pPr>
              <w:jc w:val="center"/>
              <w:rPr>
                <w:rFonts w:ascii="Arial" w:hAnsi="Arial" w:cs="Arial"/>
                <w:color w:val="000000"/>
                <w:sz w:val="16"/>
                <w:szCs w:val="16"/>
              </w:rPr>
            </w:pPr>
          </w:p>
        </w:tc>
        <w:tc>
          <w:tcPr>
            <w:tcW w:w="139" w:type="pct"/>
            <w:vMerge/>
            <w:shd w:val="clear" w:color="auto" w:fill="FFFFFF"/>
          </w:tcPr>
          <w:p w14:paraId="2D7D2AA7"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413" w:type="pct"/>
            <w:tcBorders>
              <w:bottom w:val="single" w:sz="4" w:space="0" w:color="FFFFFF"/>
            </w:tcBorders>
            <w:shd w:val="clear" w:color="auto" w:fill="F2F2F2"/>
          </w:tcPr>
          <w:p w14:paraId="35DA182B"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750" w:type="pct"/>
            <w:tcBorders>
              <w:bottom w:val="single" w:sz="4" w:space="0" w:color="FFFFFF"/>
            </w:tcBorders>
            <w:shd w:val="clear" w:color="auto" w:fill="F2F2F2"/>
          </w:tcPr>
          <w:p w14:paraId="0ADDF8C0" w14:textId="77777777" w:rsidR="00B1312B" w:rsidRPr="00FB122F" w:rsidRDefault="00B1312B" w:rsidP="00B1312B">
            <w:pPr>
              <w:spacing w:before="20" w:after="20" w:line="240" w:lineRule="auto"/>
              <w:ind w:right="460"/>
              <w:jc w:val="right"/>
              <w:rPr>
                <w:rFonts w:ascii="Arial" w:hAnsi="Arial" w:cs="Arial"/>
                <w:sz w:val="16"/>
                <w:szCs w:val="16"/>
              </w:rPr>
            </w:pPr>
          </w:p>
        </w:tc>
        <w:tc>
          <w:tcPr>
            <w:tcW w:w="169" w:type="pct"/>
            <w:gridSpan w:val="2"/>
            <w:vMerge/>
            <w:shd w:val="clear" w:color="auto" w:fill="FFFFFF"/>
          </w:tcPr>
          <w:p w14:paraId="009C8A09"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369" w:type="pct"/>
            <w:vMerge/>
            <w:shd w:val="clear" w:color="auto" w:fill="F2F2F2"/>
          </w:tcPr>
          <w:p w14:paraId="10683C29"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553" w:type="pct"/>
            <w:vMerge/>
            <w:shd w:val="clear" w:color="auto" w:fill="F2F2F2"/>
          </w:tcPr>
          <w:p w14:paraId="09D8AFEA" w14:textId="77777777" w:rsidR="00B1312B" w:rsidRPr="004E3242" w:rsidRDefault="00B1312B" w:rsidP="004E3242">
            <w:pPr>
              <w:spacing w:before="20" w:after="20" w:line="240" w:lineRule="auto"/>
              <w:jc w:val="center"/>
              <w:rPr>
                <w:rFonts w:ascii="Arial" w:hAnsi="Arial" w:cs="Arial"/>
                <w:color w:val="000000"/>
                <w:sz w:val="16"/>
                <w:szCs w:val="16"/>
              </w:rPr>
            </w:pPr>
          </w:p>
        </w:tc>
        <w:tc>
          <w:tcPr>
            <w:tcW w:w="140" w:type="pct"/>
            <w:vMerge/>
            <w:shd w:val="clear" w:color="auto" w:fill="FFFFFF"/>
          </w:tcPr>
          <w:p w14:paraId="58E159C5"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370" w:type="pct"/>
            <w:vMerge/>
            <w:shd w:val="clear" w:color="auto" w:fill="F2F2F2"/>
          </w:tcPr>
          <w:p w14:paraId="583DADC6" w14:textId="77777777" w:rsidR="00B1312B" w:rsidRPr="004E3242" w:rsidRDefault="00B1312B" w:rsidP="004E3242">
            <w:pPr>
              <w:suppressAutoHyphens/>
              <w:spacing w:before="20" w:after="20" w:line="240" w:lineRule="auto"/>
              <w:jc w:val="center"/>
              <w:rPr>
                <w:rFonts w:ascii="Arial" w:hAnsi="Arial" w:cs="Arial"/>
                <w:sz w:val="16"/>
                <w:szCs w:val="16"/>
              </w:rPr>
            </w:pPr>
          </w:p>
        </w:tc>
        <w:tc>
          <w:tcPr>
            <w:tcW w:w="850" w:type="pct"/>
            <w:vMerge/>
            <w:shd w:val="clear" w:color="auto" w:fill="F2F2F2"/>
          </w:tcPr>
          <w:p w14:paraId="514066EF" w14:textId="77777777" w:rsidR="00B1312B" w:rsidRPr="004E3242" w:rsidRDefault="00B1312B" w:rsidP="004E3242">
            <w:pPr>
              <w:spacing w:before="20" w:after="20" w:line="240" w:lineRule="auto"/>
              <w:jc w:val="center"/>
              <w:rPr>
                <w:rFonts w:ascii="Arial" w:hAnsi="Arial" w:cs="Arial"/>
                <w:color w:val="000000"/>
                <w:sz w:val="16"/>
                <w:szCs w:val="16"/>
              </w:rPr>
            </w:pPr>
          </w:p>
        </w:tc>
      </w:tr>
      <w:tr w:rsidR="004C7DBA" w:rsidRPr="004E3242" w14:paraId="140737B0" w14:textId="77777777" w:rsidTr="00B345B6">
        <w:trPr>
          <w:gridAfter w:val="1"/>
          <w:wAfter w:w="14" w:type="pct"/>
          <w:trHeight w:val="77"/>
        </w:trPr>
        <w:tc>
          <w:tcPr>
            <w:tcW w:w="404" w:type="pct"/>
            <w:shd w:val="clear" w:color="auto" w:fill="F2F2F2"/>
          </w:tcPr>
          <w:p w14:paraId="294C7CA2"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018</w:t>
            </w:r>
          </w:p>
        </w:tc>
        <w:tc>
          <w:tcPr>
            <w:tcW w:w="829" w:type="pct"/>
            <w:shd w:val="clear" w:color="auto" w:fill="F2F2F2"/>
          </w:tcPr>
          <w:p w14:paraId="7656238C" w14:textId="77777777" w:rsidR="004C7DBA" w:rsidRPr="004E3242" w:rsidRDefault="00126892" w:rsidP="00126892">
            <w:pPr>
              <w:spacing w:before="20" w:after="20" w:line="240" w:lineRule="auto"/>
              <w:jc w:val="center"/>
              <w:rPr>
                <w:rFonts w:ascii="Arial" w:hAnsi="Arial" w:cs="Arial"/>
                <w:color w:val="000000"/>
                <w:sz w:val="16"/>
                <w:szCs w:val="16"/>
              </w:rPr>
            </w:pPr>
            <w:r w:rsidRPr="00126892">
              <w:rPr>
                <w:rFonts w:ascii="Arial" w:hAnsi="Arial" w:cs="Arial"/>
                <w:color w:val="000000"/>
                <w:sz w:val="16"/>
                <w:szCs w:val="16"/>
              </w:rPr>
              <w:t>47 585 685</w:t>
            </w:r>
          </w:p>
        </w:tc>
        <w:tc>
          <w:tcPr>
            <w:tcW w:w="139" w:type="pct"/>
            <w:shd w:val="clear" w:color="auto" w:fill="FFFFFF"/>
          </w:tcPr>
          <w:p w14:paraId="619EA3C0" w14:textId="77777777" w:rsidR="004C7DBA" w:rsidRPr="004E3242" w:rsidRDefault="004C7DBA" w:rsidP="004E3242">
            <w:pPr>
              <w:suppressAutoHyphens/>
              <w:spacing w:before="20" w:after="20" w:line="240" w:lineRule="auto"/>
              <w:jc w:val="center"/>
              <w:rPr>
                <w:rFonts w:ascii="Arial" w:hAnsi="Arial" w:cs="Arial"/>
                <w:sz w:val="16"/>
                <w:szCs w:val="16"/>
              </w:rPr>
            </w:pPr>
          </w:p>
        </w:tc>
        <w:tc>
          <w:tcPr>
            <w:tcW w:w="413" w:type="pct"/>
            <w:tcBorders>
              <w:bottom w:val="single" w:sz="4" w:space="0" w:color="FFFFFF"/>
            </w:tcBorders>
            <w:shd w:val="clear" w:color="auto" w:fill="D6E3BC"/>
            <w:vAlign w:val="center"/>
          </w:tcPr>
          <w:p w14:paraId="1DFCDA30" w14:textId="77777777" w:rsidR="004C7DBA" w:rsidRPr="004E3242" w:rsidRDefault="004C7DBA" w:rsidP="00B345B6">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750" w:type="pct"/>
            <w:tcBorders>
              <w:bottom w:val="single" w:sz="4" w:space="0" w:color="FFFFFF"/>
            </w:tcBorders>
            <w:shd w:val="clear" w:color="auto" w:fill="D6E3BC"/>
            <w:vAlign w:val="center"/>
          </w:tcPr>
          <w:p w14:paraId="084B2A53" w14:textId="77777777" w:rsidR="004C7DBA" w:rsidRPr="004E3242" w:rsidRDefault="004C7DBA" w:rsidP="00CA1670">
            <w:pPr>
              <w:spacing w:before="20" w:after="20" w:line="240" w:lineRule="auto"/>
              <w:jc w:val="center"/>
              <w:rPr>
                <w:rFonts w:ascii="Arial" w:hAnsi="Arial" w:cs="Arial"/>
                <w:sz w:val="16"/>
                <w:szCs w:val="16"/>
              </w:rPr>
            </w:pPr>
            <w:r w:rsidRPr="004E3242">
              <w:rPr>
                <w:rFonts w:ascii="Arial" w:hAnsi="Arial" w:cs="Arial"/>
                <w:sz w:val="16"/>
                <w:szCs w:val="16"/>
              </w:rPr>
              <w:t xml:space="preserve">3 508 174 166    </w:t>
            </w:r>
          </w:p>
        </w:tc>
        <w:tc>
          <w:tcPr>
            <w:tcW w:w="169" w:type="pct"/>
            <w:gridSpan w:val="2"/>
            <w:shd w:val="clear" w:color="auto" w:fill="FFFFFF"/>
          </w:tcPr>
          <w:p w14:paraId="46A35F2F" w14:textId="77777777" w:rsidR="004C7DBA" w:rsidRPr="004E3242" w:rsidRDefault="004C7DBA" w:rsidP="004E3242">
            <w:pPr>
              <w:suppressAutoHyphens/>
              <w:spacing w:before="20" w:after="20" w:line="240" w:lineRule="auto"/>
              <w:jc w:val="center"/>
              <w:rPr>
                <w:rFonts w:ascii="Arial" w:hAnsi="Arial" w:cs="Arial"/>
                <w:b/>
                <w:color w:val="FFFFFF"/>
                <w:sz w:val="16"/>
                <w:szCs w:val="16"/>
              </w:rPr>
            </w:pPr>
          </w:p>
        </w:tc>
        <w:tc>
          <w:tcPr>
            <w:tcW w:w="369" w:type="pct"/>
            <w:shd w:val="clear" w:color="auto" w:fill="D6E3BC"/>
          </w:tcPr>
          <w:p w14:paraId="04876E49" w14:textId="77777777" w:rsidR="004C7DBA" w:rsidRPr="004E3242" w:rsidRDefault="004C7DBA"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Razem</w:t>
            </w:r>
          </w:p>
        </w:tc>
        <w:tc>
          <w:tcPr>
            <w:tcW w:w="553" w:type="pct"/>
            <w:shd w:val="clear" w:color="auto" w:fill="D6E3BC"/>
          </w:tcPr>
          <w:p w14:paraId="5A9EA2B0" w14:textId="77777777" w:rsidR="004C7DBA" w:rsidRPr="004E3242" w:rsidRDefault="004C7DBA" w:rsidP="004E3242">
            <w:pPr>
              <w:spacing w:before="20" w:after="20" w:line="240" w:lineRule="auto"/>
              <w:jc w:val="center"/>
              <w:rPr>
                <w:rFonts w:ascii="Arial" w:hAnsi="Arial" w:cs="Arial"/>
                <w:sz w:val="16"/>
                <w:szCs w:val="16"/>
              </w:rPr>
            </w:pPr>
            <w:r w:rsidRPr="004E3242">
              <w:rPr>
                <w:rFonts w:ascii="Arial" w:hAnsi="Arial" w:cs="Arial"/>
                <w:sz w:val="16"/>
                <w:szCs w:val="16"/>
              </w:rPr>
              <w:t xml:space="preserve">3 508 174 166    </w:t>
            </w:r>
          </w:p>
        </w:tc>
        <w:tc>
          <w:tcPr>
            <w:tcW w:w="140" w:type="pct"/>
            <w:shd w:val="clear" w:color="auto" w:fill="FFFFFF"/>
          </w:tcPr>
          <w:p w14:paraId="12D40E4F" w14:textId="77777777" w:rsidR="004C7DBA" w:rsidRPr="004E3242" w:rsidRDefault="004C7DBA" w:rsidP="004E3242">
            <w:pPr>
              <w:suppressAutoHyphens/>
              <w:spacing w:before="20" w:after="20" w:line="240" w:lineRule="auto"/>
              <w:jc w:val="center"/>
              <w:rPr>
                <w:rFonts w:ascii="Arial" w:hAnsi="Arial" w:cs="Arial"/>
                <w:b/>
                <w:color w:val="FFFFFF"/>
                <w:sz w:val="16"/>
                <w:szCs w:val="16"/>
              </w:rPr>
            </w:pPr>
          </w:p>
        </w:tc>
        <w:tc>
          <w:tcPr>
            <w:tcW w:w="370" w:type="pct"/>
            <w:shd w:val="clear" w:color="auto" w:fill="D6E3BC"/>
          </w:tcPr>
          <w:p w14:paraId="6C35B467" w14:textId="77777777" w:rsidR="004C7DBA" w:rsidRPr="004E3242" w:rsidRDefault="004C7DBA"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Razem</w:t>
            </w:r>
          </w:p>
        </w:tc>
        <w:tc>
          <w:tcPr>
            <w:tcW w:w="850" w:type="pct"/>
            <w:shd w:val="clear" w:color="auto" w:fill="D6E3BC"/>
          </w:tcPr>
          <w:p w14:paraId="6356CD1A" w14:textId="77777777" w:rsidR="004C7DBA" w:rsidRPr="004E3242" w:rsidRDefault="004C7DBA" w:rsidP="004E3242">
            <w:pPr>
              <w:spacing w:before="20" w:after="20" w:line="240" w:lineRule="auto"/>
              <w:jc w:val="center"/>
              <w:rPr>
                <w:rFonts w:ascii="Arial" w:hAnsi="Arial" w:cs="Arial"/>
                <w:sz w:val="16"/>
                <w:szCs w:val="16"/>
              </w:rPr>
            </w:pPr>
            <w:r w:rsidRPr="004E3242">
              <w:rPr>
                <w:rFonts w:ascii="Arial" w:hAnsi="Arial" w:cs="Arial"/>
                <w:sz w:val="16"/>
                <w:szCs w:val="16"/>
              </w:rPr>
              <w:t xml:space="preserve">3 508 174 166    </w:t>
            </w:r>
          </w:p>
        </w:tc>
      </w:tr>
      <w:tr w:rsidR="004C7DBA" w:rsidRPr="004E3242" w14:paraId="7EEDC423" w14:textId="77777777" w:rsidTr="00B345B6">
        <w:trPr>
          <w:gridAfter w:val="1"/>
          <w:wAfter w:w="14" w:type="pct"/>
          <w:trHeight w:val="136"/>
        </w:trPr>
        <w:tc>
          <w:tcPr>
            <w:tcW w:w="404" w:type="pct"/>
            <w:shd w:val="clear" w:color="auto" w:fill="F2F2F2"/>
            <w:vAlign w:val="center"/>
          </w:tcPr>
          <w:p w14:paraId="73F01B39"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020</w:t>
            </w:r>
          </w:p>
        </w:tc>
        <w:tc>
          <w:tcPr>
            <w:tcW w:w="829" w:type="pct"/>
            <w:shd w:val="clear" w:color="auto" w:fill="F2F2F2"/>
            <w:vAlign w:val="center"/>
          </w:tcPr>
          <w:p w14:paraId="5D515410"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 xml:space="preserve">150 000 000    </w:t>
            </w:r>
          </w:p>
        </w:tc>
        <w:tc>
          <w:tcPr>
            <w:tcW w:w="139" w:type="pct"/>
            <w:shd w:val="clear" w:color="auto" w:fill="FFFFFF"/>
          </w:tcPr>
          <w:p w14:paraId="1412DB7B" w14:textId="77777777" w:rsidR="004C7DBA" w:rsidRPr="004E3242" w:rsidRDefault="004C7DBA" w:rsidP="004E3242">
            <w:pPr>
              <w:spacing w:before="20" w:after="20" w:line="240" w:lineRule="auto"/>
              <w:jc w:val="center"/>
              <w:rPr>
                <w:rFonts w:ascii="Arial" w:hAnsi="Arial" w:cs="Arial"/>
                <w:b/>
                <w:color w:val="FFFFFF"/>
                <w:sz w:val="16"/>
                <w:szCs w:val="16"/>
              </w:rPr>
            </w:pPr>
          </w:p>
        </w:tc>
        <w:tc>
          <w:tcPr>
            <w:tcW w:w="413" w:type="pct"/>
            <w:shd w:val="clear" w:color="auto" w:fill="FFFFFF"/>
            <w:vAlign w:val="center"/>
          </w:tcPr>
          <w:p w14:paraId="327AC637" w14:textId="77777777" w:rsidR="004C7DBA" w:rsidRPr="004E3242" w:rsidRDefault="004C7DBA" w:rsidP="004E3242">
            <w:pPr>
              <w:spacing w:before="20" w:after="20" w:line="240" w:lineRule="auto"/>
              <w:jc w:val="center"/>
              <w:rPr>
                <w:rFonts w:ascii="Arial" w:hAnsi="Arial" w:cs="Arial"/>
                <w:sz w:val="16"/>
                <w:szCs w:val="16"/>
              </w:rPr>
            </w:pPr>
          </w:p>
        </w:tc>
        <w:tc>
          <w:tcPr>
            <w:tcW w:w="750" w:type="pct"/>
            <w:shd w:val="clear" w:color="auto" w:fill="FFFFFF"/>
            <w:vAlign w:val="center"/>
          </w:tcPr>
          <w:p w14:paraId="2B12FF3A" w14:textId="77777777" w:rsidR="004C7DBA" w:rsidRPr="004E3242" w:rsidRDefault="004C7DBA" w:rsidP="004E3242">
            <w:pPr>
              <w:spacing w:before="20" w:after="20" w:line="240" w:lineRule="auto"/>
              <w:jc w:val="center"/>
              <w:rPr>
                <w:rFonts w:ascii="Arial" w:hAnsi="Arial" w:cs="Arial"/>
                <w:sz w:val="16"/>
                <w:szCs w:val="16"/>
              </w:rPr>
            </w:pPr>
          </w:p>
        </w:tc>
        <w:tc>
          <w:tcPr>
            <w:tcW w:w="169" w:type="pct"/>
            <w:gridSpan w:val="2"/>
            <w:shd w:val="clear" w:color="auto" w:fill="FFFFFF"/>
          </w:tcPr>
          <w:p w14:paraId="12D62658" w14:textId="77777777" w:rsidR="004C7DBA" w:rsidRPr="004E3242" w:rsidRDefault="004C7DBA" w:rsidP="004E3242">
            <w:pPr>
              <w:spacing w:before="20" w:after="20" w:line="240" w:lineRule="auto"/>
              <w:jc w:val="center"/>
              <w:rPr>
                <w:rFonts w:ascii="Arial" w:hAnsi="Arial" w:cs="Arial"/>
                <w:b/>
                <w:sz w:val="16"/>
                <w:szCs w:val="16"/>
              </w:rPr>
            </w:pPr>
          </w:p>
        </w:tc>
        <w:tc>
          <w:tcPr>
            <w:tcW w:w="369" w:type="pct"/>
            <w:shd w:val="clear" w:color="auto" w:fill="FFFFFF"/>
            <w:vAlign w:val="center"/>
          </w:tcPr>
          <w:p w14:paraId="3C89C261" w14:textId="77777777" w:rsidR="004C7DBA" w:rsidRPr="004E3242" w:rsidRDefault="004C7DBA" w:rsidP="004E3242">
            <w:pPr>
              <w:spacing w:before="20" w:after="20" w:line="240" w:lineRule="auto"/>
              <w:jc w:val="center"/>
              <w:rPr>
                <w:rFonts w:ascii="Arial" w:hAnsi="Arial" w:cs="Arial"/>
                <w:b/>
                <w:sz w:val="16"/>
                <w:szCs w:val="16"/>
              </w:rPr>
            </w:pPr>
          </w:p>
        </w:tc>
        <w:tc>
          <w:tcPr>
            <w:tcW w:w="553" w:type="pct"/>
            <w:shd w:val="clear" w:color="auto" w:fill="FFFFFF"/>
            <w:vAlign w:val="center"/>
          </w:tcPr>
          <w:p w14:paraId="0BF2D6DD" w14:textId="77777777" w:rsidR="004C7DBA" w:rsidRPr="004E3242" w:rsidRDefault="004C7DBA" w:rsidP="004E3242">
            <w:pPr>
              <w:spacing w:before="20" w:after="20" w:line="240" w:lineRule="auto"/>
              <w:jc w:val="center"/>
              <w:rPr>
                <w:rFonts w:ascii="Arial" w:hAnsi="Arial" w:cs="Arial"/>
                <w:b/>
                <w:sz w:val="16"/>
                <w:szCs w:val="16"/>
              </w:rPr>
            </w:pPr>
          </w:p>
        </w:tc>
        <w:tc>
          <w:tcPr>
            <w:tcW w:w="140" w:type="pct"/>
            <w:shd w:val="clear" w:color="auto" w:fill="FFFFFF"/>
          </w:tcPr>
          <w:p w14:paraId="7E2984AB" w14:textId="77777777" w:rsidR="004C7DBA" w:rsidRPr="004E3242" w:rsidRDefault="004C7DBA" w:rsidP="004E3242">
            <w:pPr>
              <w:spacing w:before="20" w:after="20" w:line="240" w:lineRule="auto"/>
              <w:jc w:val="center"/>
              <w:rPr>
                <w:rFonts w:ascii="Arial" w:hAnsi="Arial" w:cs="Arial"/>
                <w:b/>
                <w:sz w:val="16"/>
                <w:szCs w:val="16"/>
              </w:rPr>
            </w:pPr>
          </w:p>
        </w:tc>
        <w:tc>
          <w:tcPr>
            <w:tcW w:w="370" w:type="pct"/>
            <w:shd w:val="clear" w:color="auto" w:fill="FFFFFF"/>
            <w:vAlign w:val="center"/>
          </w:tcPr>
          <w:p w14:paraId="19D390A8" w14:textId="77777777" w:rsidR="004C7DBA" w:rsidRPr="004E3242" w:rsidRDefault="004C7DBA" w:rsidP="004E3242">
            <w:pPr>
              <w:spacing w:before="20" w:after="20" w:line="240" w:lineRule="auto"/>
              <w:jc w:val="center"/>
              <w:rPr>
                <w:rFonts w:ascii="Arial" w:hAnsi="Arial" w:cs="Arial"/>
                <w:b/>
                <w:sz w:val="16"/>
                <w:szCs w:val="16"/>
              </w:rPr>
            </w:pPr>
          </w:p>
        </w:tc>
        <w:tc>
          <w:tcPr>
            <w:tcW w:w="850" w:type="pct"/>
            <w:shd w:val="clear" w:color="auto" w:fill="FFFFFF"/>
            <w:vAlign w:val="center"/>
          </w:tcPr>
          <w:p w14:paraId="64612C4F" w14:textId="77777777" w:rsidR="004C7DBA" w:rsidRPr="004E3242" w:rsidRDefault="004C7DBA" w:rsidP="004E3242">
            <w:pPr>
              <w:spacing w:before="20" w:after="20" w:line="240" w:lineRule="auto"/>
              <w:jc w:val="center"/>
              <w:rPr>
                <w:rFonts w:ascii="Arial" w:hAnsi="Arial" w:cs="Arial"/>
                <w:b/>
                <w:sz w:val="16"/>
                <w:szCs w:val="16"/>
              </w:rPr>
            </w:pPr>
          </w:p>
        </w:tc>
      </w:tr>
      <w:tr w:rsidR="004C7DBA" w:rsidRPr="004E3242" w14:paraId="13E222AA" w14:textId="77777777" w:rsidTr="00AA7998">
        <w:trPr>
          <w:trHeight w:val="64"/>
        </w:trPr>
        <w:tc>
          <w:tcPr>
            <w:tcW w:w="404" w:type="pct"/>
            <w:shd w:val="clear" w:color="auto" w:fill="F2F2F2"/>
          </w:tcPr>
          <w:p w14:paraId="028A7312"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021</w:t>
            </w:r>
          </w:p>
        </w:tc>
        <w:tc>
          <w:tcPr>
            <w:tcW w:w="829" w:type="pct"/>
            <w:shd w:val="clear" w:color="auto" w:fill="F2F2F2"/>
          </w:tcPr>
          <w:p w14:paraId="146D32DD"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 xml:space="preserve">238 000 000    </w:t>
            </w:r>
          </w:p>
        </w:tc>
        <w:tc>
          <w:tcPr>
            <w:tcW w:w="139" w:type="pct"/>
            <w:shd w:val="clear" w:color="auto" w:fill="FFFFFF"/>
          </w:tcPr>
          <w:p w14:paraId="3C44FA0A"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3D39337D"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567924CA"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val="restart"/>
            <w:shd w:val="clear" w:color="auto" w:fill="FFFFFF"/>
          </w:tcPr>
          <w:p w14:paraId="0085462F" w14:textId="77777777" w:rsidR="004C7DBA" w:rsidRPr="004E3242" w:rsidRDefault="004C7DBA" w:rsidP="004E3242">
            <w:pPr>
              <w:spacing w:before="20" w:after="20" w:line="240" w:lineRule="auto"/>
              <w:jc w:val="center"/>
              <w:rPr>
                <w:rFonts w:ascii="Arial" w:hAnsi="Arial" w:cs="Arial"/>
                <w:sz w:val="16"/>
                <w:szCs w:val="16"/>
              </w:rPr>
            </w:pPr>
          </w:p>
        </w:tc>
      </w:tr>
      <w:tr w:rsidR="004C7DBA" w:rsidRPr="004E3242" w14:paraId="5B49B7F2" w14:textId="77777777" w:rsidTr="00AA7998">
        <w:trPr>
          <w:trHeight w:val="64"/>
        </w:trPr>
        <w:tc>
          <w:tcPr>
            <w:tcW w:w="404" w:type="pct"/>
            <w:shd w:val="clear" w:color="auto" w:fill="F2F2F2"/>
          </w:tcPr>
          <w:p w14:paraId="65587FF7"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022</w:t>
            </w:r>
          </w:p>
        </w:tc>
        <w:tc>
          <w:tcPr>
            <w:tcW w:w="829" w:type="pct"/>
            <w:shd w:val="clear" w:color="auto" w:fill="F2F2F2"/>
          </w:tcPr>
          <w:p w14:paraId="0F321285" w14:textId="77777777" w:rsidR="004C7DBA" w:rsidRPr="004E3242" w:rsidRDefault="00126892" w:rsidP="00126892">
            <w:pPr>
              <w:spacing w:before="20" w:after="20" w:line="240" w:lineRule="auto"/>
              <w:jc w:val="center"/>
              <w:rPr>
                <w:rFonts w:ascii="Arial" w:hAnsi="Arial" w:cs="Arial"/>
                <w:color w:val="000000"/>
                <w:sz w:val="16"/>
                <w:szCs w:val="16"/>
              </w:rPr>
            </w:pPr>
            <w:r>
              <w:rPr>
                <w:rFonts w:ascii="Arial" w:hAnsi="Arial" w:cs="Arial"/>
                <w:color w:val="000000"/>
                <w:sz w:val="16"/>
                <w:szCs w:val="16"/>
              </w:rPr>
              <w:t xml:space="preserve">1 </w:t>
            </w:r>
            <w:r w:rsidRPr="00126892">
              <w:rPr>
                <w:rFonts w:ascii="Arial" w:hAnsi="Arial" w:cs="Arial"/>
                <w:color w:val="000000"/>
                <w:sz w:val="16"/>
                <w:szCs w:val="16"/>
              </w:rPr>
              <w:t>599 148 040</w:t>
            </w:r>
          </w:p>
        </w:tc>
        <w:tc>
          <w:tcPr>
            <w:tcW w:w="139" w:type="pct"/>
            <w:shd w:val="clear" w:color="auto" w:fill="FFFFFF"/>
          </w:tcPr>
          <w:p w14:paraId="0EFD23C7"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20524A42"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0FF78BF6"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shd w:val="clear" w:color="auto" w:fill="FFFFFF"/>
          </w:tcPr>
          <w:p w14:paraId="26C128DF" w14:textId="77777777" w:rsidR="004C7DBA" w:rsidRPr="004E3242" w:rsidRDefault="004C7DBA" w:rsidP="004E3242">
            <w:pPr>
              <w:spacing w:before="20" w:after="20" w:line="240" w:lineRule="auto"/>
              <w:jc w:val="center"/>
              <w:rPr>
                <w:rFonts w:ascii="Arial" w:hAnsi="Arial" w:cs="Arial"/>
                <w:sz w:val="16"/>
                <w:szCs w:val="16"/>
              </w:rPr>
            </w:pPr>
          </w:p>
        </w:tc>
      </w:tr>
      <w:tr w:rsidR="004C7DBA" w:rsidRPr="004E3242" w14:paraId="261FCBBF" w14:textId="77777777" w:rsidTr="00AA7998">
        <w:trPr>
          <w:trHeight w:val="112"/>
        </w:trPr>
        <w:tc>
          <w:tcPr>
            <w:tcW w:w="404" w:type="pct"/>
            <w:shd w:val="clear" w:color="auto" w:fill="F2F2F2"/>
          </w:tcPr>
          <w:p w14:paraId="36229CF3"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085</w:t>
            </w:r>
          </w:p>
        </w:tc>
        <w:tc>
          <w:tcPr>
            <w:tcW w:w="829" w:type="pct"/>
            <w:shd w:val="clear" w:color="auto" w:fill="F2F2F2"/>
          </w:tcPr>
          <w:p w14:paraId="68EBEE8A" w14:textId="77777777" w:rsidR="004C7DBA" w:rsidRPr="004E3242" w:rsidRDefault="00126892" w:rsidP="00126892">
            <w:pPr>
              <w:spacing w:before="20" w:after="20" w:line="240" w:lineRule="auto"/>
              <w:jc w:val="center"/>
              <w:rPr>
                <w:rFonts w:ascii="Arial" w:hAnsi="Arial" w:cs="Arial"/>
                <w:color w:val="000000"/>
                <w:sz w:val="16"/>
                <w:szCs w:val="16"/>
              </w:rPr>
            </w:pPr>
            <w:r w:rsidRPr="00126892">
              <w:rPr>
                <w:rFonts w:ascii="Arial" w:hAnsi="Arial" w:cs="Arial"/>
                <w:color w:val="000000"/>
                <w:sz w:val="16"/>
                <w:szCs w:val="16"/>
              </w:rPr>
              <w:t>199 229 046</w:t>
            </w:r>
          </w:p>
        </w:tc>
        <w:tc>
          <w:tcPr>
            <w:tcW w:w="139" w:type="pct"/>
            <w:shd w:val="clear" w:color="auto" w:fill="FFFFFF"/>
          </w:tcPr>
          <w:p w14:paraId="3E2B2349"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17F58ABA"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41D7C7EE"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shd w:val="clear" w:color="auto" w:fill="FFFFFF"/>
          </w:tcPr>
          <w:p w14:paraId="0E1DBE72" w14:textId="77777777" w:rsidR="004C7DBA" w:rsidRPr="004E3242" w:rsidRDefault="004C7DBA" w:rsidP="004E3242">
            <w:pPr>
              <w:spacing w:before="20" w:after="20" w:line="240" w:lineRule="auto"/>
              <w:jc w:val="center"/>
              <w:rPr>
                <w:rFonts w:ascii="Arial" w:hAnsi="Arial" w:cs="Arial"/>
                <w:sz w:val="16"/>
                <w:szCs w:val="16"/>
              </w:rPr>
            </w:pPr>
          </w:p>
        </w:tc>
      </w:tr>
      <w:tr w:rsidR="004C7DBA" w:rsidRPr="004E3242" w14:paraId="776AC3BE" w14:textId="77777777" w:rsidTr="00AA7998">
        <w:trPr>
          <w:trHeight w:val="64"/>
        </w:trPr>
        <w:tc>
          <w:tcPr>
            <w:tcW w:w="404" w:type="pct"/>
            <w:shd w:val="clear" w:color="auto" w:fill="F2F2F2"/>
          </w:tcPr>
          <w:p w14:paraId="2CD817EF"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086</w:t>
            </w:r>
          </w:p>
        </w:tc>
        <w:tc>
          <w:tcPr>
            <w:tcW w:w="829" w:type="pct"/>
            <w:shd w:val="clear" w:color="auto" w:fill="F2F2F2"/>
          </w:tcPr>
          <w:p w14:paraId="791AF27A"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 xml:space="preserve">78 500 000    </w:t>
            </w:r>
          </w:p>
        </w:tc>
        <w:tc>
          <w:tcPr>
            <w:tcW w:w="139" w:type="pct"/>
            <w:shd w:val="clear" w:color="auto" w:fill="FFFFFF"/>
          </w:tcPr>
          <w:p w14:paraId="19D53D8A"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24A69D7E"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26F4B3C1"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shd w:val="clear" w:color="auto" w:fill="FFFFFF"/>
          </w:tcPr>
          <w:p w14:paraId="14A0C9CF" w14:textId="77777777" w:rsidR="004C7DBA" w:rsidRPr="004E3242" w:rsidRDefault="004C7DBA" w:rsidP="004E3242">
            <w:pPr>
              <w:spacing w:before="20" w:after="20" w:line="240" w:lineRule="auto"/>
              <w:jc w:val="center"/>
              <w:rPr>
                <w:rFonts w:ascii="Arial" w:hAnsi="Arial" w:cs="Arial"/>
                <w:sz w:val="16"/>
                <w:szCs w:val="16"/>
              </w:rPr>
            </w:pPr>
          </w:p>
        </w:tc>
      </w:tr>
      <w:tr w:rsidR="004C7DBA" w:rsidRPr="004E3242" w14:paraId="2A161947" w14:textId="77777777" w:rsidTr="00AA7998">
        <w:trPr>
          <w:trHeight w:val="77"/>
        </w:trPr>
        <w:tc>
          <w:tcPr>
            <w:tcW w:w="404" w:type="pct"/>
            <w:shd w:val="clear" w:color="auto" w:fill="F2F2F2"/>
          </w:tcPr>
          <w:p w14:paraId="55E43D0B"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087</w:t>
            </w:r>
          </w:p>
        </w:tc>
        <w:tc>
          <w:tcPr>
            <w:tcW w:w="829" w:type="pct"/>
            <w:shd w:val="clear" w:color="auto" w:fill="F2F2F2"/>
          </w:tcPr>
          <w:p w14:paraId="3006B3ED" w14:textId="77777777" w:rsidR="004C7DBA" w:rsidRPr="004E3242" w:rsidRDefault="00126892" w:rsidP="00126892">
            <w:pPr>
              <w:spacing w:before="20" w:after="20" w:line="240" w:lineRule="auto"/>
              <w:jc w:val="center"/>
              <w:rPr>
                <w:rFonts w:ascii="Arial" w:hAnsi="Arial" w:cs="Arial"/>
                <w:color w:val="000000"/>
                <w:sz w:val="16"/>
                <w:szCs w:val="16"/>
              </w:rPr>
            </w:pPr>
            <w:r w:rsidRPr="00126892">
              <w:rPr>
                <w:rFonts w:ascii="Arial" w:hAnsi="Arial" w:cs="Arial"/>
                <w:color w:val="000000"/>
                <w:sz w:val="16"/>
                <w:szCs w:val="16"/>
              </w:rPr>
              <w:t>802 977 366</w:t>
            </w:r>
          </w:p>
        </w:tc>
        <w:tc>
          <w:tcPr>
            <w:tcW w:w="139" w:type="pct"/>
            <w:shd w:val="clear" w:color="auto" w:fill="FFFFFF"/>
          </w:tcPr>
          <w:p w14:paraId="0C315847"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5C1452B7"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12B615CB"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shd w:val="clear" w:color="auto" w:fill="FFFFFF"/>
          </w:tcPr>
          <w:p w14:paraId="6E6EC205" w14:textId="77777777" w:rsidR="004C7DBA" w:rsidRPr="004E3242" w:rsidRDefault="004C7DBA" w:rsidP="004E3242">
            <w:pPr>
              <w:spacing w:before="20" w:after="20" w:line="240" w:lineRule="auto"/>
              <w:jc w:val="center"/>
              <w:rPr>
                <w:rFonts w:ascii="Arial" w:hAnsi="Arial" w:cs="Arial"/>
                <w:sz w:val="16"/>
                <w:szCs w:val="16"/>
              </w:rPr>
            </w:pPr>
          </w:p>
        </w:tc>
      </w:tr>
      <w:tr w:rsidR="004C7DBA" w:rsidRPr="004E3242" w14:paraId="50DE1BEE" w14:textId="77777777" w:rsidTr="00AA7998">
        <w:trPr>
          <w:trHeight w:val="64"/>
        </w:trPr>
        <w:tc>
          <w:tcPr>
            <w:tcW w:w="404" w:type="pct"/>
            <w:shd w:val="clear" w:color="auto" w:fill="F2F2F2"/>
          </w:tcPr>
          <w:p w14:paraId="2CD47C28"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088</w:t>
            </w:r>
          </w:p>
        </w:tc>
        <w:tc>
          <w:tcPr>
            <w:tcW w:w="829" w:type="pct"/>
            <w:shd w:val="clear" w:color="auto" w:fill="F2F2F2"/>
          </w:tcPr>
          <w:p w14:paraId="6EABC952"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29 290 000</w:t>
            </w:r>
          </w:p>
        </w:tc>
        <w:tc>
          <w:tcPr>
            <w:tcW w:w="139" w:type="pct"/>
            <w:shd w:val="clear" w:color="auto" w:fill="FFFFFF"/>
          </w:tcPr>
          <w:p w14:paraId="4F5730DF"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5EFAAC02"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51A5B020"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shd w:val="clear" w:color="auto" w:fill="FFFFFF"/>
          </w:tcPr>
          <w:p w14:paraId="5C62AEF0" w14:textId="77777777" w:rsidR="004C7DBA" w:rsidRPr="004E3242" w:rsidRDefault="004C7DBA" w:rsidP="004E3242">
            <w:pPr>
              <w:spacing w:before="20" w:after="20" w:line="240" w:lineRule="auto"/>
              <w:jc w:val="center"/>
              <w:rPr>
                <w:rFonts w:ascii="Arial" w:hAnsi="Arial" w:cs="Arial"/>
                <w:sz w:val="16"/>
                <w:szCs w:val="16"/>
              </w:rPr>
            </w:pPr>
          </w:p>
        </w:tc>
      </w:tr>
      <w:tr w:rsidR="004C7DBA" w:rsidRPr="004E3242" w14:paraId="70E75F86" w14:textId="77777777" w:rsidTr="00AA7998">
        <w:trPr>
          <w:trHeight w:val="64"/>
        </w:trPr>
        <w:tc>
          <w:tcPr>
            <w:tcW w:w="404" w:type="pct"/>
            <w:shd w:val="clear" w:color="auto" w:fill="F2F2F2"/>
          </w:tcPr>
          <w:p w14:paraId="73E26521" w14:textId="77777777" w:rsidR="004C7DBA" w:rsidRPr="004E3242" w:rsidRDefault="004C7DBA"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089</w:t>
            </w:r>
          </w:p>
        </w:tc>
        <w:tc>
          <w:tcPr>
            <w:tcW w:w="829" w:type="pct"/>
            <w:shd w:val="clear" w:color="auto" w:fill="F2F2F2"/>
          </w:tcPr>
          <w:p w14:paraId="4F4EA3DD" w14:textId="77777777" w:rsidR="004C7DBA" w:rsidRPr="004E3242" w:rsidRDefault="00126892" w:rsidP="00126892">
            <w:pPr>
              <w:spacing w:before="20" w:after="20" w:line="240" w:lineRule="auto"/>
              <w:jc w:val="center"/>
              <w:rPr>
                <w:rFonts w:ascii="Arial" w:hAnsi="Arial" w:cs="Arial"/>
                <w:color w:val="000000"/>
                <w:sz w:val="16"/>
                <w:szCs w:val="16"/>
              </w:rPr>
            </w:pPr>
            <w:r w:rsidRPr="00126892">
              <w:rPr>
                <w:rFonts w:ascii="Arial" w:hAnsi="Arial" w:cs="Arial"/>
                <w:color w:val="000000"/>
                <w:sz w:val="16"/>
                <w:szCs w:val="16"/>
              </w:rPr>
              <w:t>109 804 477</w:t>
            </w:r>
          </w:p>
        </w:tc>
        <w:tc>
          <w:tcPr>
            <w:tcW w:w="139" w:type="pct"/>
            <w:shd w:val="clear" w:color="auto" w:fill="FFFFFF"/>
          </w:tcPr>
          <w:p w14:paraId="16F13F50"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4016945D"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3D468562"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shd w:val="clear" w:color="auto" w:fill="FFFFFF"/>
          </w:tcPr>
          <w:p w14:paraId="5577D306" w14:textId="77777777" w:rsidR="004C7DBA" w:rsidRPr="004E3242" w:rsidRDefault="004C7DBA" w:rsidP="004E3242">
            <w:pPr>
              <w:spacing w:before="20" w:after="20" w:line="240" w:lineRule="auto"/>
              <w:jc w:val="center"/>
              <w:rPr>
                <w:rFonts w:ascii="Arial" w:hAnsi="Arial" w:cs="Arial"/>
                <w:sz w:val="16"/>
                <w:szCs w:val="16"/>
              </w:rPr>
            </w:pPr>
          </w:p>
        </w:tc>
      </w:tr>
      <w:tr w:rsidR="004C7DBA" w:rsidRPr="004E3242" w14:paraId="1A83FCB1" w14:textId="77777777" w:rsidTr="00AA7998">
        <w:trPr>
          <w:trHeight w:val="64"/>
        </w:trPr>
        <w:tc>
          <w:tcPr>
            <w:tcW w:w="404" w:type="pct"/>
            <w:shd w:val="clear" w:color="auto" w:fill="D6E3BC"/>
          </w:tcPr>
          <w:p w14:paraId="7748896B" w14:textId="77777777" w:rsidR="004C7DBA" w:rsidRPr="004E3242" w:rsidRDefault="004C7DBA" w:rsidP="004E3242">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829" w:type="pct"/>
            <w:shd w:val="clear" w:color="auto" w:fill="D6E3BC"/>
          </w:tcPr>
          <w:p w14:paraId="34CCC3E2" w14:textId="77777777" w:rsidR="004C7DBA" w:rsidRPr="004E3242" w:rsidRDefault="004C7DBA" w:rsidP="004E3242">
            <w:pPr>
              <w:spacing w:before="20" w:after="20" w:line="240" w:lineRule="auto"/>
              <w:jc w:val="center"/>
              <w:rPr>
                <w:rFonts w:ascii="Arial" w:hAnsi="Arial" w:cs="Arial"/>
                <w:sz w:val="16"/>
                <w:szCs w:val="16"/>
              </w:rPr>
            </w:pPr>
            <w:r w:rsidRPr="004E3242">
              <w:rPr>
                <w:rFonts w:ascii="Arial" w:hAnsi="Arial" w:cs="Arial"/>
                <w:sz w:val="16"/>
                <w:szCs w:val="16"/>
              </w:rPr>
              <w:t xml:space="preserve">3 508 174 166    </w:t>
            </w:r>
          </w:p>
        </w:tc>
        <w:tc>
          <w:tcPr>
            <w:tcW w:w="139" w:type="pct"/>
            <w:shd w:val="clear" w:color="auto" w:fill="FFFFFF"/>
          </w:tcPr>
          <w:p w14:paraId="2E83923D" w14:textId="77777777" w:rsidR="004C7DBA" w:rsidRPr="004E3242" w:rsidRDefault="004C7DBA" w:rsidP="004E3242">
            <w:pPr>
              <w:spacing w:before="20" w:after="20" w:line="240" w:lineRule="auto"/>
              <w:jc w:val="center"/>
              <w:rPr>
                <w:rFonts w:ascii="Arial" w:hAnsi="Arial" w:cs="Arial"/>
                <w:sz w:val="16"/>
                <w:szCs w:val="16"/>
              </w:rPr>
            </w:pPr>
          </w:p>
        </w:tc>
        <w:tc>
          <w:tcPr>
            <w:tcW w:w="1163" w:type="pct"/>
            <w:gridSpan w:val="2"/>
            <w:shd w:val="clear" w:color="auto" w:fill="FFFFFF"/>
          </w:tcPr>
          <w:p w14:paraId="088DFF89" w14:textId="77777777" w:rsidR="004C7DBA" w:rsidRPr="004E3242" w:rsidRDefault="004C7DBA" w:rsidP="004E3242">
            <w:pPr>
              <w:spacing w:before="20" w:after="20" w:line="240" w:lineRule="auto"/>
              <w:jc w:val="center"/>
              <w:rPr>
                <w:rFonts w:ascii="Arial" w:hAnsi="Arial" w:cs="Arial"/>
                <w:sz w:val="16"/>
                <w:szCs w:val="16"/>
              </w:rPr>
            </w:pPr>
          </w:p>
        </w:tc>
        <w:tc>
          <w:tcPr>
            <w:tcW w:w="77" w:type="pct"/>
            <w:shd w:val="clear" w:color="auto" w:fill="FFFFFF"/>
          </w:tcPr>
          <w:p w14:paraId="4A90E849" w14:textId="77777777" w:rsidR="004C7DBA" w:rsidRPr="004E3242" w:rsidRDefault="004C7DBA" w:rsidP="004E3242">
            <w:pPr>
              <w:spacing w:before="20" w:after="20" w:line="240" w:lineRule="auto"/>
              <w:jc w:val="center"/>
              <w:rPr>
                <w:rFonts w:ascii="Arial" w:hAnsi="Arial" w:cs="Arial"/>
                <w:sz w:val="16"/>
                <w:szCs w:val="16"/>
              </w:rPr>
            </w:pPr>
          </w:p>
        </w:tc>
        <w:tc>
          <w:tcPr>
            <w:tcW w:w="2388" w:type="pct"/>
            <w:gridSpan w:val="7"/>
            <w:vMerge/>
            <w:shd w:val="clear" w:color="auto" w:fill="FFFFFF"/>
          </w:tcPr>
          <w:p w14:paraId="342C173B" w14:textId="77777777" w:rsidR="004C7DBA" w:rsidRPr="004E3242" w:rsidRDefault="004C7DBA" w:rsidP="004E3242">
            <w:pPr>
              <w:spacing w:before="20" w:after="20" w:line="240" w:lineRule="auto"/>
              <w:jc w:val="center"/>
              <w:rPr>
                <w:rFonts w:ascii="Arial" w:hAnsi="Arial" w:cs="Arial"/>
                <w:sz w:val="16"/>
                <w:szCs w:val="16"/>
              </w:rPr>
            </w:pPr>
          </w:p>
        </w:tc>
      </w:tr>
    </w:tbl>
    <w:p w14:paraId="5481C600" w14:textId="77777777" w:rsidR="004E3242" w:rsidRPr="004E3242" w:rsidRDefault="004E3242" w:rsidP="004E3242">
      <w:pPr>
        <w:spacing w:before="20" w:after="20" w:line="240" w:lineRule="auto"/>
        <w:jc w:val="center"/>
        <w:rPr>
          <w:rFonts w:ascii="Arial" w:hAnsi="Arial" w:cs="Arial"/>
          <w:b/>
          <w:spacing w:val="4"/>
          <w:sz w:val="20"/>
          <w:szCs w:val="20"/>
        </w:rPr>
        <w:sectPr w:rsidR="004E3242" w:rsidRPr="004E3242" w:rsidSect="00C73ABE">
          <w:pgSz w:w="16838" w:h="11906" w:orient="landscape"/>
          <w:pgMar w:top="387" w:right="851" w:bottom="709" w:left="851" w:header="709" w:footer="0" w:gutter="0"/>
          <w:cols w:space="708"/>
          <w:titlePg/>
          <w:docGrid w:linePitch="360"/>
        </w:sectPr>
      </w:pPr>
    </w:p>
    <w:p w14:paraId="1195D494" w14:textId="77777777" w:rsidR="004E3242" w:rsidRPr="004E3242" w:rsidRDefault="004E3242" w:rsidP="004E3242">
      <w:pPr>
        <w:spacing w:before="60" w:after="60" w:line="240" w:lineRule="auto"/>
        <w:rPr>
          <w:rFonts w:ascii="Arial" w:eastAsia="Cambria" w:hAnsi="Arial" w:cs="Arial"/>
          <w:spacing w:val="4"/>
          <w:sz w:val="20"/>
          <w:szCs w:val="20"/>
        </w:rPr>
      </w:pPr>
      <w:bookmarkStart w:id="389" w:name="_Toc375208276"/>
      <w:bookmarkStart w:id="390" w:name="_Toc375299830"/>
      <w:bookmarkStart w:id="391" w:name="_Toc375308884"/>
      <w:bookmarkStart w:id="392" w:name="_Toc374700138"/>
      <w:bookmarkStart w:id="393" w:name="_Toc374700255"/>
      <w:bookmarkStart w:id="394" w:name="_Toc374700363"/>
      <w:bookmarkStart w:id="395" w:name="_Toc374700139"/>
      <w:bookmarkStart w:id="396" w:name="_Toc374700256"/>
      <w:bookmarkStart w:id="397" w:name="_Toc374700364"/>
      <w:bookmarkEnd w:id="389"/>
      <w:bookmarkEnd w:id="390"/>
      <w:bookmarkEnd w:id="391"/>
      <w:bookmarkEnd w:id="392"/>
      <w:bookmarkEnd w:id="393"/>
      <w:bookmarkEnd w:id="394"/>
      <w:bookmarkEnd w:id="395"/>
      <w:bookmarkEnd w:id="396"/>
      <w:bookmarkEnd w:id="397"/>
    </w:p>
    <w:p w14:paraId="3C08FECB" w14:textId="77777777" w:rsidR="004E3242" w:rsidRPr="004E3242" w:rsidRDefault="004E3242" w:rsidP="004E3242">
      <w:pPr>
        <w:numPr>
          <w:ilvl w:val="2"/>
          <w:numId w:val="3"/>
        </w:numPr>
        <w:shd w:val="clear" w:color="auto" w:fill="D6E3BC"/>
        <w:spacing w:before="240" w:after="240"/>
        <w:jc w:val="both"/>
        <w:outlineLvl w:val="2"/>
        <w:rPr>
          <w:rFonts w:ascii="Arial" w:hAnsi="Arial"/>
          <w:smallCaps/>
          <w:color w:val="000000"/>
          <w:spacing w:val="15"/>
          <w:sz w:val="24"/>
          <w:szCs w:val="24"/>
          <w:u w:color="A8C743"/>
          <w:lang w:eastAsia="pl-PL"/>
        </w:rPr>
      </w:pPr>
      <w:bookmarkStart w:id="398" w:name="_Toc369696161"/>
      <w:bookmarkStart w:id="399" w:name="_Toc83810564"/>
      <w:r w:rsidRPr="004E3242">
        <w:rPr>
          <w:rFonts w:ascii="Arial" w:hAnsi="Arial"/>
          <w:smallCaps/>
          <w:color w:val="000000"/>
          <w:spacing w:val="15"/>
          <w:sz w:val="24"/>
          <w:szCs w:val="24"/>
          <w:u w:color="A8C743"/>
          <w:lang w:eastAsia="pl-PL"/>
        </w:rPr>
        <w:t xml:space="preserve">Oś priorytetowa iii: </w:t>
      </w:r>
      <w:bookmarkEnd w:id="398"/>
      <w:r w:rsidRPr="004E3242">
        <w:rPr>
          <w:rFonts w:ascii="Arial" w:hAnsi="Arial"/>
          <w:caps/>
          <w:color w:val="000000"/>
          <w:spacing w:val="15"/>
          <w:sz w:val="24"/>
          <w:lang w:eastAsia="pl-PL"/>
        </w:rPr>
        <w:t xml:space="preserve"> </w:t>
      </w:r>
      <w:r w:rsidRPr="004E3242">
        <w:rPr>
          <w:rFonts w:ascii="Arial" w:hAnsi="Arial"/>
          <w:smallCaps/>
          <w:color w:val="000000"/>
          <w:spacing w:val="15"/>
          <w:sz w:val="24"/>
          <w:szCs w:val="24"/>
          <w:u w:color="A8C743"/>
          <w:lang w:eastAsia="pl-PL"/>
        </w:rPr>
        <w:t>Rozwój sieci drogowej TEN-T i transportu multimodalnego</w:t>
      </w:r>
      <w:bookmarkEnd w:id="399"/>
    </w:p>
    <w:p w14:paraId="40238118" w14:textId="77777777" w:rsidR="004E3242" w:rsidRP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Dana oś priorytetowa przeznaczona jest do finansowania wyłącznie z jednego funduszu (Fundusz Spójności). Z tego względu nie wyodrębnia się kategorii regionów, pomimo że swoim zasięgiem obejmuje cały kraj. Jednocześnie jest ona dedykowana wyłącznie jednemu celowi tematycznemu 7.</w:t>
      </w:r>
    </w:p>
    <w:p w14:paraId="2D1C5D45"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7.i. Wspieranie multimodalnego jednolitego europejskiego obszaru transportu poprzez inwestycje w TEN-T</w:t>
      </w:r>
    </w:p>
    <w:p w14:paraId="3432FAF5"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22D24925"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Lepszy stan połączeń drogowych  w sieci TEN-T w Polsce</w:t>
      </w:r>
    </w:p>
    <w:p w14:paraId="784CD67F"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36CDBFF9"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Rezultatem realizacji projektów w ramach priorytetu inwestycyjnego będzie skrócenie czasu przejazdu pomiędzy największymi polskimi miastami dzięki poprawie stanu infrastruktury drogowej TEN-T w Polsce</w:t>
      </w:r>
    </w:p>
    <w:p w14:paraId="0E4A746C"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83"/>
        <w:gridCol w:w="2011"/>
        <w:gridCol w:w="1083"/>
        <w:gridCol w:w="1085"/>
        <w:gridCol w:w="929"/>
        <w:gridCol w:w="929"/>
        <w:gridCol w:w="1140"/>
        <w:gridCol w:w="874"/>
        <w:gridCol w:w="1504"/>
      </w:tblGrid>
      <w:tr w:rsidR="004E3242" w:rsidRPr="004E3242" w14:paraId="5FDF0078" w14:textId="77777777" w:rsidTr="00AA7998">
        <w:tc>
          <w:tcPr>
            <w:tcW w:w="288" w:type="pct"/>
            <w:shd w:val="clear" w:color="auto" w:fill="99CC00"/>
            <w:vAlign w:val="center"/>
          </w:tcPr>
          <w:p w14:paraId="59611937"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92" w:type="pct"/>
            <w:shd w:val="clear" w:color="auto" w:fill="99CC00"/>
            <w:vAlign w:val="center"/>
          </w:tcPr>
          <w:p w14:paraId="7D1145D8"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1AB15AC5"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5" w:type="pct"/>
            <w:shd w:val="clear" w:color="auto" w:fill="99CC00"/>
            <w:vAlign w:val="center"/>
          </w:tcPr>
          <w:p w14:paraId="20F3EF3E"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492DCF6D"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7D7B6162"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62" w:type="pct"/>
            <w:shd w:val="clear" w:color="auto" w:fill="99CC00"/>
            <w:vAlign w:val="center"/>
          </w:tcPr>
          <w:p w14:paraId="0153F62D"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31" w:type="pct"/>
            <w:shd w:val="clear" w:color="auto" w:fill="99CC00"/>
            <w:vAlign w:val="center"/>
          </w:tcPr>
          <w:p w14:paraId="0D17BC58"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2" w:type="pct"/>
            <w:shd w:val="clear" w:color="auto" w:fill="99CC00"/>
            <w:vAlign w:val="center"/>
          </w:tcPr>
          <w:p w14:paraId="62A144F3"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36033DF" w14:textId="77777777" w:rsidTr="00AA7998">
        <w:tc>
          <w:tcPr>
            <w:tcW w:w="288" w:type="pct"/>
            <w:shd w:val="clear" w:color="auto" w:fill="F2F2F2"/>
            <w:vAlign w:val="center"/>
          </w:tcPr>
          <w:p w14:paraId="0921EA3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992" w:type="pct"/>
            <w:shd w:val="clear" w:color="auto" w:fill="F2F2F2"/>
            <w:vAlign w:val="center"/>
          </w:tcPr>
          <w:p w14:paraId="7522112B"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 xml:space="preserve">Skrócenie średniego czasu przejazdu drogowego pomiędzy 18 ośrodkami wojewódzkimi </w:t>
            </w:r>
          </w:p>
        </w:tc>
        <w:tc>
          <w:tcPr>
            <w:tcW w:w="534" w:type="pct"/>
            <w:shd w:val="clear" w:color="auto" w:fill="F2F2F2"/>
            <w:vAlign w:val="center"/>
          </w:tcPr>
          <w:p w14:paraId="36F9A7B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godziny</w:t>
            </w:r>
          </w:p>
        </w:tc>
        <w:tc>
          <w:tcPr>
            <w:tcW w:w="535" w:type="pct"/>
            <w:shd w:val="clear" w:color="auto" w:fill="F2F2F2"/>
            <w:vAlign w:val="center"/>
          </w:tcPr>
          <w:p w14:paraId="22A4E71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2B42004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4,3</w:t>
            </w:r>
            <w:r w:rsidRPr="004E3242">
              <w:rPr>
                <w:rFonts w:ascii="Arial" w:hAnsi="Arial" w:cs="Arial"/>
                <w:spacing w:val="4"/>
                <w:sz w:val="16"/>
                <w:szCs w:val="16"/>
                <w:vertAlign w:val="superscript"/>
              </w:rPr>
              <w:footnoteReference w:id="59"/>
            </w:r>
          </w:p>
        </w:tc>
        <w:tc>
          <w:tcPr>
            <w:tcW w:w="458" w:type="pct"/>
            <w:shd w:val="clear" w:color="auto" w:fill="F2F2F2"/>
            <w:vAlign w:val="center"/>
          </w:tcPr>
          <w:p w14:paraId="1E1149A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62" w:type="pct"/>
            <w:shd w:val="clear" w:color="auto" w:fill="F2F2F2"/>
            <w:vAlign w:val="center"/>
          </w:tcPr>
          <w:p w14:paraId="18429B47"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3,7</w:t>
            </w:r>
            <w:r w:rsidRPr="004E3242">
              <w:rPr>
                <w:rFonts w:ascii="Arial" w:hAnsi="Arial" w:cs="Arial"/>
                <w:spacing w:val="4"/>
                <w:sz w:val="16"/>
                <w:szCs w:val="16"/>
                <w:vertAlign w:val="superscript"/>
              </w:rPr>
              <w:footnoteReference w:id="60"/>
            </w:r>
          </w:p>
        </w:tc>
        <w:tc>
          <w:tcPr>
            <w:tcW w:w="431" w:type="pct"/>
            <w:shd w:val="clear" w:color="auto" w:fill="F2F2F2"/>
            <w:vAlign w:val="center"/>
          </w:tcPr>
          <w:p w14:paraId="4E4BBAF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MIR</w:t>
            </w:r>
          </w:p>
        </w:tc>
        <w:tc>
          <w:tcPr>
            <w:tcW w:w="742" w:type="pct"/>
            <w:shd w:val="clear" w:color="auto" w:fill="F2F2F2"/>
            <w:vAlign w:val="center"/>
          </w:tcPr>
          <w:p w14:paraId="4A4FD30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r w:rsidR="004E3242" w:rsidRPr="004E3242" w14:paraId="58938679" w14:textId="77777777" w:rsidTr="00AA7998">
        <w:tc>
          <w:tcPr>
            <w:tcW w:w="288" w:type="pct"/>
            <w:shd w:val="clear" w:color="auto" w:fill="F2F2F2"/>
            <w:vAlign w:val="center"/>
          </w:tcPr>
          <w:p w14:paraId="4CB2DAE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992" w:type="pct"/>
            <w:shd w:val="clear" w:color="auto" w:fill="F2F2F2"/>
            <w:vAlign w:val="center"/>
          </w:tcPr>
          <w:p w14:paraId="048501E0"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Wskaźnik Drogowej Dostępności Transportowej (WDDT II) syntetyczny</w:t>
            </w:r>
          </w:p>
        </w:tc>
        <w:tc>
          <w:tcPr>
            <w:tcW w:w="534" w:type="pct"/>
            <w:shd w:val="clear" w:color="auto" w:fill="F2F2F2"/>
            <w:vAlign w:val="center"/>
          </w:tcPr>
          <w:p w14:paraId="7DA5B10F"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35" w:type="pct"/>
            <w:shd w:val="clear" w:color="auto" w:fill="F2F2F2"/>
            <w:vAlign w:val="center"/>
          </w:tcPr>
          <w:p w14:paraId="58867F9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3ADA8AE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34,35</w:t>
            </w:r>
          </w:p>
        </w:tc>
        <w:tc>
          <w:tcPr>
            <w:tcW w:w="458" w:type="pct"/>
            <w:shd w:val="clear" w:color="auto" w:fill="F2F2F2"/>
            <w:vAlign w:val="center"/>
          </w:tcPr>
          <w:p w14:paraId="6D102DE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62" w:type="pct"/>
            <w:shd w:val="clear" w:color="auto" w:fill="F2F2F2"/>
            <w:vAlign w:val="center"/>
          </w:tcPr>
          <w:p w14:paraId="20BD597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41,88</w:t>
            </w:r>
          </w:p>
        </w:tc>
        <w:tc>
          <w:tcPr>
            <w:tcW w:w="431" w:type="pct"/>
            <w:shd w:val="clear" w:color="auto" w:fill="F2F2F2"/>
            <w:vAlign w:val="center"/>
          </w:tcPr>
          <w:p w14:paraId="1B1E421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PAN (opracowanie dla MIR)</w:t>
            </w:r>
          </w:p>
        </w:tc>
        <w:tc>
          <w:tcPr>
            <w:tcW w:w="742" w:type="pct"/>
            <w:shd w:val="clear" w:color="auto" w:fill="F2F2F2"/>
            <w:vAlign w:val="center"/>
          </w:tcPr>
          <w:p w14:paraId="72DB0D2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bl>
    <w:p w14:paraId="2E9AC7E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02F454CC" w14:textId="77777777" w:rsidR="004E3242" w:rsidRP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 xml:space="preserve">W obszarze infrastruktury transportu drogowego przewiduje się realizację projektów, których efektem będzie stworzenie spójnej sieci dróg o dużej przepustowości, łączącej wszystkie miasta wojewódzkie </w:t>
      </w:r>
      <w:r w:rsidRPr="004E3242">
        <w:rPr>
          <w:rFonts w:ascii="Arial" w:eastAsia="Arial Unicode MS" w:hAnsi="Arial" w:cs="Arial"/>
          <w:spacing w:val="4"/>
          <w:sz w:val="20"/>
          <w:szCs w:val="20"/>
          <w:lang w:eastAsia="pl-PL"/>
        </w:rPr>
        <w:br/>
        <w:t>z siecią TEN-T i pozwalającej na ich skomunikowanie za pomocą dróg szybkiego ruchu z Warszawą stanowiącą główny węzeł miejski sieci bazowej. W osi III. ze środków Funduszu Spójności będą realizowane odcinki dróg w TEN-T, w tym priorytetowo w sieci bazowej, a także dróg w sieci kompleksowej o dużym znaczeniu gospodarczym, przyczyniając się tym samym do poprawy spójności terytorialnej w skali europejskiej. Interwencja programu krajowego będzie dotyczyć kategorii dróg krajowych, w tym w osi III, zaliczających się do nich dróg ekspresowych i autostrad, a także dróg w ww. miejskim węźle sieci bazowej o strategicznym znaczeniu dla sieci TEN-T i ujętych w planach korytarzy sieci TEN-T. W pozostałych przypadkach drogi niższych kategorii niż krajowe będą finansowane z programów regionalnych. W ramach osi priorytetowej przewiduje się przede wszystkim budowę nowych dróg. W ciągach inwestycji obejmujących budowę dróg realizowane będą również obwodnice miast.</w:t>
      </w:r>
      <w:r w:rsidR="00666E6C" w:rsidRPr="00666E6C">
        <w:t xml:space="preserve"> </w:t>
      </w:r>
      <w:r w:rsidR="00AF5244" w:rsidRPr="00AF5244">
        <w:rPr>
          <w:rFonts w:ascii="Arial" w:eastAsia="Arial Unicode MS" w:hAnsi="Arial" w:cs="Arial"/>
          <w:spacing w:val="4"/>
          <w:sz w:val="20"/>
          <w:szCs w:val="20"/>
          <w:lang w:eastAsia="pl-PL"/>
        </w:rPr>
        <w:t>Realizowane inwestycje drogowe zapewnią nośność dróg 11,5 t na oś.</w:t>
      </w:r>
    </w:p>
    <w:p w14:paraId="7265C217" w14:textId="1E9E99C7" w:rsidR="004E3242" w:rsidRP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 xml:space="preserve">W uzupełnieniu do podstawowego zakresu interwencji związanego z budową nowych dróg, </w:t>
      </w:r>
      <w:r w:rsidRPr="004E3242">
        <w:rPr>
          <w:rFonts w:ascii="Arial" w:eastAsia="Arial Unicode MS" w:hAnsi="Arial" w:cs="Arial"/>
          <w:spacing w:val="4"/>
          <w:sz w:val="20"/>
          <w:szCs w:val="20"/>
          <w:lang w:eastAsia="pl-PL"/>
        </w:rPr>
        <w:br/>
        <w:t>w ograniczonym zakresie będą finansowane przebudowy niektórych odcinków dróg i inne działania na rzecz bezpieczeństwa ruchu drogowego, obejmujące inwestycje infrastrukturalne na sieci TEN-T (engineering)</w:t>
      </w:r>
      <w:r w:rsidRPr="004E3242">
        <w:rPr>
          <w:rFonts w:ascii="Arial" w:eastAsia="Arial Unicode MS" w:hAnsi="Arial" w:cs="Arial"/>
          <w:spacing w:val="4"/>
          <w:sz w:val="20"/>
          <w:szCs w:val="20"/>
          <w:vertAlign w:val="superscript"/>
          <w:lang w:eastAsia="pl-PL"/>
        </w:rPr>
        <w:footnoteReference w:id="61"/>
      </w:r>
      <w:r w:rsidRPr="004E3242">
        <w:rPr>
          <w:rFonts w:ascii="Arial" w:eastAsia="Arial Unicode MS" w:hAnsi="Arial" w:cs="Arial"/>
          <w:spacing w:val="4"/>
          <w:sz w:val="20"/>
          <w:szCs w:val="20"/>
          <w:lang w:eastAsia="pl-PL"/>
        </w:rPr>
        <w:t xml:space="preserve"> oraz projekty dotyczące całej sieci drogowej, związane z doposażeniem jednostek nadzoru </w:t>
      </w:r>
      <w:r w:rsidRPr="004E3242">
        <w:rPr>
          <w:rFonts w:ascii="Arial" w:eastAsia="Arial Unicode MS" w:hAnsi="Arial" w:cs="Arial"/>
          <w:spacing w:val="4"/>
          <w:sz w:val="20"/>
          <w:szCs w:val="20"/>
          <w:lang w:eastAsia="pl-PL"/>
        </w:rPr>
        <w:lastRenderedPageBreak/>
        <w:t>nad ruchem drogowym i służb ratowniczych (ratownictwo techniczne) (</w:t>
      </w:r>
      <w:proofErr w:type="spellStart"/>
      <w:r w:rsidRPr="004E3242">
        <w:rPr>
          <w:rFonts w:ascii="Arial" w:eastAsia="Arial Unicode MS" w:hAnsi="Arial" w:cs="Arial"/>
          <w:spacing w:val="4"/>
          <w:sz w:val="20"/>
          <w:szCs w:val="20"/>
          <w:lang w:eastAsia="pl-PL"/>
        </w:rPr>
        <w:t>enforcement</w:t>
      </w:r>
      <w:proofErr w:type="spellEnd"/>
      <w:r w:rsidRPr="004E3242">
        <w:rPr>
          <w:rFonts w:ascii="Arial" w:eastAsia="Arial Unicode MS" w:hAnsi="Arial" w:cs="Arial"/>
          <w:spacing w:val="4"/>
          <w:sz w:val="20"/>
          <w:szCs w:val="20"/>
          <w:lang w:eastAsia="pl-PL"/>
        </w:rPr>
        <w:t xml:space="preserve"> + </w:t>
      </w:r>
      <w:proofErr w:type="spellStart"/>
      <w:r w:rsidRPr="004E3242">
        <w:rPr>
          <w:rFonts w:ascii="Arial" w:eastAsia="Arial Unicode MS" w:hAnsi="Arial" w:cs="Arial"/>
          <w:spacing w:val="4"/>
          <w:sz w:val="20"/>
          <w:szCs w:val="20"/>
          <w:lang w:eastAsia="pl-PL"/>
        </w:rPr>
        <w:t>emergency</w:t>
      </w:r>
      <w:proofErr w:type="spellEnd"/>
      <w:r w:rsidRPr="004E3242">
        <w:rPr>
          <w:rFonts w:ascii="Arial" w:eastAsia="Arial Unicode MS" w:hAnsi="Arial" w:cs="Arial"/>
          <w:spacing w:val="4"/>
          <w:sz w:val="20"/>
          <w:szCs w:val="20"/>
          <w:lang w:eastAsia="pl-PL"/>
        </w:rPr>
        <w:t xml:space="preserve">), </w:t>
      </w:r>
      <w:r w:rsidR="00382EDB" w:rsidRPr="008C6C4D">
        <w:rPr>
          <w:rFonts w:ascii="Arial" w:eastAsia="Arial Unicode MS" w:hAnsi="Arial" w:cs="Arial"/>
          <w:spacing w:val="4"/>
          <w:sz w:val="20"/>
          <w:szCs w:val="20"/>
          <w:lang w:eastAsia="pl-PL"/>
        </w:rPr>
        <w:t>likwidacją miejsc szczególnie niebezpiecznych oraz działaniami na rzecz niechronionych uczestników ruchu drogowego,</w:t>
      </w:r>
      <w:r w:rsidR="00382EDB">
        <w:rPr>
          <w:rFonts w:ascii="Arial" w:eastAsia="Arial Unicode MS" w:hAnsi="Arial" w:cs="Arial"/>
          <w:spacing w:val="4"/>
          <w:sz w:val="20"/>
          <w:szCs w:val="20"/>
          <w:lang w:eastAsia="pl-PL"/>
        </w:rPr>
        <w:t xml:space="preserve"> </w:t>
      </w:r>
      <w:r w:rsidRPr="004E3242">
        <w:rPr>
          <w:rFonts w:ascii="Arial" w:eastAsia="Arial Unicode MS" w:hAnsi="Arial" w:cs="Arial"/>
          <w:spacing w:val="4"/>
          <w:sz w:val="20"/>
          <w:szCs w:val="20"/>
          <w:lang w:eastAsia="pl-PL"/>
        </w:rPr>
        <w:t>jak również organizacją kampanii i szkoleń o zasięgu ogólnokrajowym (</w:t>
      </w:r>
      <w:proofErr w:type="spellStart"/>
      <w:r w:rsidRPr="004E3242">
        <w:rPr>
          <w:rFonts w:ascii="Arial" w:eastAsia="Arial Unicode MS" w:hAnsi="Arial" w:cs="Arial"/>
          <w:spacing w:val="4"/>
          <w:sz w:val="20"/>
          <w:szCs w:val="20"/>
          <w:lang w:eastAsia="pl-PL"/>
        </w:rPr>
        <w:t>education</w:t>
      </w:r>
      <w:proofErr w:type="spellEnd"/>
      <w:r w:rsidRPr="004E3242">
        <w:rPr>
          <w:rFonts w:ascii="Arial" w:eastAsia="Arial Unicode MS" w:hAnsi="Arial" w:cs="Arial"/>
          <w:spacing w:val="4"/>
          <w:sz w:val="20"/>
          <w:szCs w:val="20"/>
          <w:lang w:eastAsia="pl-PL"/>
        </w:rPr>
        <w:t xml:space="preserve">), wynikających m.in. </w:t>
      </w:r>
      <w:r w:rsidRPr="004E3242">
        <w:rPr>
          <w:rFonts w:ascii="Arial" w:eastAsia="Arial Unicode MS" w:hAnsi="Arial" w:cs="Arial"/>
          <w:spacing w:val="4"/>
          <w:sz w:val="20"/>
          <w:szCs w:val="20"/>
          <w:lang w:eastAsia="pl-PL"/>
        </w:rPr>
        <w:br/>
        <w:t>z Narodowego Programu Bezpieczeństwa Ruchu Drogowego 2013-2020</w:t>
      </w:r>
      <w:r w:rsidR="00382EDB" w:rsidRPr="008C6C4D">
        <w:t xml:space="preserve"> </w:t>
      </w:r>
      <w:r w:rsidR="00382EDB" w:rsidRPr="008C6C4D">
        <w:rPr>
          <w:rFonts w:ascii="Arial" w:eastAsia="Arial Unicode MS" w:hAnsi="Arial" w:cs="Arial"/>
          <w:spacing w:val="4"/>
          <w:sz w:val="20"/>
          <w:szCs w:val="20"/>
          <w:lang w:eastAsia="pl-PL"/>
        </w:rPr>
        <w:t>wraz z doposażeniem szkół w narzędzia służące edukacji komunikacyjnej</w:t>
      </w:r>
      <w:r w:rsidRPr="004E3242">
        <w:rPr>
          <w:rFonts w:ascii="Arial" w:eastAsia="Arial Unicode MS" w:hAnsi="Arial" w:cs="Arial"/>
          <w:spacing w:val="4"/>
          <w:sz w:val="20"/>
          <w:szCs w:val="20"/>
          <w:lang w:eastAsia="pl-PL"/>
        </w:rPr>
        <w:t xml:space="preserve">. Usprawnieniu warunków ruchu </w:t>
      </w:r>
      <w:r w:rsidRPr="004E3242">
        <w:rPr>
          <w:rFonts w:ascii="Arial" w:eastAsia="Arial Unicode MS" w:hAnsi="Arial" w:cs="Arial"/>
          <w:spacing w:val="4"/>
          <w:sz w:val="20"/>
          <w:szCs w:val="20"/>
          <w:lang w:eastAsia="pl-PL"/>
        </w:rPr>
        <w:br/>
        <w:t xml:space="preserve">i zwiększeniu jego bezpieczeństwa będą służyły systemy ITS przekazujące informacje o stanie ruchu drogowego. </w:t>
      </w:r>
    </w:p>
    <w:p w14:paraId="44D3DE19" w14:textId="77777777" w:rsid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 xml:space="preserve">W związku z możliwością finansowania ze środków UE inwestycji w infrastrukturę portów lotniczych związanych z poprawą bezpieczeństwa lub ochroną środowiska, w ograniczonym zakresie realizowane będą inwestycje służące poprawie przepustowości nawigacyjnej portów lotniczych, zwiększeniu przepustowości przestrzeni powietrznej oraz poprawie bezpieczeństwa i ochronie ruchu lotniczego </w:t>
      </w:r>
      <w:r w:rsidRPr="004E3242">
        <w:rPr>
          <w:rFonts w:ascii="Arial" w:eastAsia="Arial Unicode MS" w:hAnsi="Arial" w:cs="Arial"/>
          <w:spacing w:val="4"/>
          <w:sz w:val="20"/>
          <w:szCs w:val="20"/>
          <w:lang w:eastAsia="pl-PL"/>
        </w:rPr>
        <w:br/>
        <w:t xml:space="preserve">w ramach lotniczej sieci bazowej TEN-T. Dzięki temu możliwe będzie zapewnienie infrastruktury umożliwiającej wykonanie usług w zakresie żeglugi powietrznej zgodnej ze standardami jakościowymi </w:t>
      </w:r>
      <w:r w:rsidRPr="004E3242">
        <w:rPr>
          <w:rFonts w:ascii="Arial" w:eastAsia="Arial Unicode MS" w:hAnsi="Arial" w:cs="Arial"/>
          <w:spacing w:val="4"/>
          <w:sz w:val="20"/>
          <w:szCs w:val="20"/>
          <w:lang w:eastAsia="pl-PL"/>
        </w:rPr>
        <w:br/>
        <w:t>i bezpieczeństwa, a także zwiększenie poziomu i bezpieczeństwa ruchu lotniczego w polskiej przestrzeni powietrznej, przy jednoczesnym ograniczeniu opóźnień w ruchu lotniczym. Bardziej efektywne zarządzanie ruchem lotniczym przełoży się także na ograniczenie jego negatywnego oddziaływania na środowisko naturalne.</w:t>
      </w:r>
    </w:p>
    <w:p w14:paraId="0EFC4BAA" w14:textId="77777777" w:rsidR="00A21E4E" w:rsidRPr="004E3242" w:rsidRDefault="00396CF0" w:rsidP="004E3242">
      <w:pPr>
        <w:spacing w:before="120" w:after="120"/>
        <w:jc w:val="both"/>
        <w:rPr>
          <w:rFonts w:ascii="Arial" w:eastAsia="Arial Unicode MS" w:hAnsi="Arial" w:cs="Arial"/>
          <w:spacing w:val="4"/>
          <w:sz w:val="20"/>
          <w:szCs w:val="20"/>
          <w:lang w:eastAsia="pl-PL"/>
        </w:rPr>
      </w:pPr>
      <w:r w:rsidRPr="00396CF0">
        <w:rPr>
          <w:rFonts w:ascii="Arial" w:eastAsia="Arial Unicode MS" w:hAnsi="Arial" w:cs="Arial"/>
          <w:spacing w:val="4"/>
          <w:sz w:val="20"/>
          <w:szCs w:val="20"/>
          <w:lang w:eastAsia="pl-PL"/>
        </w:rPr>
        <w:t>Ponadto wsparcie będą mogły uzyskać działania na rzecz przygotowania inwestycji poprzez dofinansowanie w ramach projektów przygotowawczych dokumentacji projektowej i przetargowej dla inwestycji infrastrukturalnych, realizowanych ze środków tego programu</w:t>
      </w:r>
      <w:r>
        <w:rPr>
          <w:rFonts w:ascii="Arial" w:eastAsia="Arial Unicode MS" w:hAnsi="Arial" w:cs="Arial"/>
          <w:spacing w:val="4"/>
          <w:sz w:val="20"/>
          <w:szCs w:val="20"/>
          <w:lang w:eastAsia="pl-PL"/>
        </w:rPr>
        <w:t xml:space="preserve"> </w:t>
      </w:r>
      <w:r w:rsidRPr="00396CF0">
        <w:rPr>
          <w:rFonts w:ascii="Arial" w:eastAsia="Arial Unicode MS" w:hAnsi="Arial" w:cs="Arial"/>
          <w:spacing w:val="4"/>
          <w:sz w:val="20"/>
          <w:szCs w:val="20"/>
          <w:lang w:eastAsia="pl-PL"/>
        </w:rPr>
        <w:t>lub programów operacyjnych polityki spójności realizowanych w okresie programowania następującym bezpośrednio po roku 2020 (projekty przygotowawcze). Dodatkowo, wsparcie będą mogły uzyskać projekty przygotowawcze dla inwestycji realizowanych w ramach instrumentu Łącząc Europę w obecnej lub przyszłej perspektywie finansowej, jeżeli z przyczyn faktycznych lub prawnych inwestycje te nie będą mogły uzyskać dofinansowania z programów operacyjnych polityki spójności.</w:t>
      </w:r>
    </w:p>
    <w:p w14:paraId="7FEF5F6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1D2C8196" w14:textId="2DD45E70"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sektorze drogowym w przypadku projektów inwestycyjnych beneficjentami będą zarządcy dróg krajowych, natomiast dla pozostałych działań w zakresie poprawy bezpieczeństwa ruchu drogowego beneficjentami będą </w:t>
      </w:r>
      <w:r w:rsidR="00382EDB" w:rsidRPr="008874D5">
        <w:rPr>
          <w:rFonts w:ascii="Arial" w:hAnsi="Arial" w:cs="Arial"/>
          <w:spacing w:val="4"/>
          <w:sz w:val="20"/>
          <w:szCs w:val="20"/>
        </w:rPr>
        <w:t xml:space="preserve">publiczne osoby prawne działające m.in. przez </w:t>
      </w:r>
      <w:r w:rsidRPr="004E3242">
        <w:rPr>
          <w:rFonts w:ascii="Arial" w:hAnsi="Arial" w:cs="Arial"/>
          <w:spacing w:val="4"/>
          <w:sz w:val="20"/>
          <w:szCs w:val="20"/>
        </w:rPr>
        <w:t xml:space="preserve">służby ratownicze (ratownictwo techniczne) oraz organy administracji rządowej, podległe im urzędy i jednostki organizacyjne oraz instytuty badawcze. W obszarze transportu lotniczego beneficjentami będą podmioty zarządzające portami lotniczymi leżącymi w sieci bazowej TEN-T oraz krajowy organ zarządzania przestrzenią powietrzną. </w:t>
      </w:r>
    </w:p>
    <w:p w14:paraId="4F7418C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Z uwagi na to, że interwencja będzie miała charakter horyzontalny i dotyczyła całego kraju, grupami docelowymi wsparcia będą użytkownicy indywidualni i przedsiębiorcy korzystający z dofinansowanej środkami UE infrastruktury w sieci TEN-T.</w:t>
      </w:r>
    </w:p>
    <w:p w14:paraId="33E685F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2DAE5D7A" w14:textId="77777777" w:rsidR="004E3242" w:rsidRPr="004E3242" w:rsidRDefault="004E3242" w:rsidP="004E3242">
      <w:pPr>
        <w:spacing w:before="120" w:after="120"/>
        <w:jc w:val="both"/>
        <w:rPr>
          <w:rFonts w:ascii="Arial" w:eastAsia="Arial Unicode MS" w:hAnsi="Arial" w:cs="Arial"/>
          <w:color w:val="000000"/>
          <w:spacing w:val="4"/>
          <w:sz w:val="20"/>
          <w:szCs w:val="20"/>
          <w:lang w:eastAsia="pl-PL"/>
        </w:rPr>
      </w:pPr>
      <w:r w:rsidRPr="004E3242">
        <w:rPr>
          <w:rFonts w:ascii="Arial" w:eastAsia="Arial Unicode MS" w:hAnsi="Arial" w:cs="Arial"/>
          <w:color w:val="000000"/>
          <w:spacing w:val="4"/>
          <w:sz w:val="20"/>
          <w:szCs w:val="20"/>
          <w:lang w:eastAsia="pl-PL"/>
        </w:rPr>
        <w:t xml:space="preserve">W zakresie budowy sieci drogowej TEN-T wsparcie ma charakter horyzontalny i dotyczy całego kraju. Na obszarze Polski Wschodniej interwencja POIŚ, dotycząca głównych ciągów drogowych (drogi ekspresowe), będzie uzupełniana przez inwestycje drogowe w miastach wojewódzkich, finansowane w ramach PO Polska Wschodnia. W pierwszym rzędzie, w celu zapewnienia spójności krajowej sieci transportowej, wsparcie będzie skierowane do ciągów transportowych wymagających dokończenia inwestycji infrastrukturalnych podjętych w okresie 2007-2013. Budowa połączeń transportowych, zwiększających dostępność do polskich ośrodków wzrostu, będzie wypełniała założenia Krajowej Polityki Miejskiej </w:t>
      </w:r>
      <w:r w:rsidRPr="004E3242">
        <w:rPr>
          <w:rFonts w:ascii="Arial" w:eastAsia="Arial Unicode MS" w:hAnsi="Arial" w:cs="Arial"/>
          <w:color w:val="000000"/>
          <w:spacing w:val="4"/>
          <w:sz w:val="20"/>
          <w:szCs w:val="20"/>
          <w:lang w:eastAsia="pl-PL"/>
        </w:rPr>
        <w:br/>
        <w:t xml:space="preserve">w zakresie wzmocnienia infrastruktury transportowej służącej poprawie możliwości rozwojowych miast </w:t>
      </w:r>
      <w:r w:rsidRPr="004E3242">
        <w:rPr>
          <w:rFonts w:ascii="Arial" w:eastAsia="Arial Unicode MS" w:hAnsi="Arial" w:cs="Arial"/>
          <w:color w:val="000000"/>
          <w:spacing w:val="4"/>
          <w:sz w:val="20"/>
          <w:szCs w:val="20"/>
          <w:lang w:eastAsia="pl-PL"/>
        </w:rPr>
        <w:br/>
        <w:t>w relacjach krajowych oraz europejskich.</w:t>
      </w:r>
    </w:p>
    <w:p w14:paraId="1544D7C1" w14:textId="77777777" w:rsidR="004E3242" w:rsidRPr="004E3242" w:rsidRDefault="004E3242" w:rsidP="004E3242">
      <w:pPr>
        <w:spacing w:before="120" w:after="120"/>
        <w:jc w:val="both"/>
        <w:rPr>
          <w:rFonts w:ascii="Arial" w:eastAsia="Arial Unicode MS" w:hAnsi="Arial" w:cs="Arial"/>
          <w:color w:val="000000"/>
          <w:spacing w:val="4"/>
          <w:sz w:val="20"/>
          <w:szCs w:val="20"/>
          <w:lang w:eastAsia="pl-PL"/>
        </w:rPr>
      </w:pPr>
      <w:r w:rsidRPr="004E3242">
        <w:rPr>
          <w:rFonts w:ascii="Arial" w:eastAsia="Arial Unicode MS" w:hAnsi="Arial" w:cs="Arial"/>
          <w:color w:val="000000"/>
          <w:spacing w:val="4"/>
          <w:sz w:val="20"/>
          <w:szCs w:val="20"/>
          <w:lang w:eastAsia="pl-PL"/>
        </w:rPr>
        <w:t xml:space="preserve">Realizacja priorytetów na rzecz poprawy połączeń transportowych, w tym o znaczeniu europejskim, będzie miała znaczący wpływ na poprawę możliwości rozwojowych w skali kraju, jak również makroregionu, przyczyniając się do osiągania celów SUE RMB, dotyczących poprawy dostępności obszaru Morza Bałtyckiego w wymiarze wewnętrznym oraz zewnętrznym. Działania w powyższym zakresie będą spójne </w:t>
      </w:r>
      <w:r w:rsidRPr="004E3242">
        <w:rPr>
          <w:rFonts w:ascii="Arial" w:eastAsia="Arial Unicode MS" w:hAnsi="Arial" w:cs="Arial"/>
          <w:color w:val="000000"/>
          <w:spacing w:val="4"/>
          <w:sz w:val="20"/>
          <w:szCs w:val="20"/>
          <w:lang w:eastAsia="pl-PL"/>
        </w:rPr>
        <w:br/>
        <w:t>z celami SUE RMB przyjętymi dla OP TRANSPORT, dotyczącymi poprawy wewnętrznych i zewnętrznych powiązań transportowych makroregionu.</w:t>
      </w:r>
    </w:p>
    <w:p w14:paraId="0D15D71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19E85363"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lastRenderedPageBreak/>
        <w:t>Wybór projektów do dofinansowania w ramach priorytetu inwestycyjnego nastąpi w trybie pozakonkursowym lub konkursowym. Zastosowanie konkretnego trybu będzie uzależnione od rodzaju projektów, które będą podlegały dofinansowaniu. Podstawowym trybem wyboru projektów w ramach priorytetu inwestycyjnego będzie tryb pozakonkursowy, zaś tryb konkursowy będzie stosowany w przypadkach uzasadnionych rodzajem wspieranych projektów w danej gałęzi transportu.</w:t>
      </w:r>
    </w:p>
    <w:p w14:paraId="00D3B6E3" w14:textId="36E6188A"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Tryb pozakonkursowy będzie miał zastosowanie do projektów o strategicznym znaczeniu dla społeczno-gospodarczego rozwoju kraju, zidentyfikowanych w dokumentach strategicznych w zakresie planowania rozwoju infrastruktury transportu (w tym Dokument Implementacyjny do Strategii Rozwoju Transportu, Program Budowy Dróg Krajowych) lub bezpośrednio z nich wynikających (Narodowy Program Bezpieczeństwa Ruchu Drogowego). Ponadto będzie on stosowany wobec projektów dotyczących realizacji zadań publicznych, których wnioskodawcami, ze względu na charakter lub cel projektu, mogą być jedynie podmioty jednoznacznie określone przed złożeniem wniosku o dofinansowanie projektu w związku z występowaniem prawnego obowiązku realizacji określonych zadań, wynikającego z przepisów prawa lub dokumentów strategicznych. Taka ścieżka wyboru umożliwi precyzyjne skierowanie środków na zdiagnozowane potrzeby dotyczące podstawowej sieci transportowej kraju oraz przyczyni się w optymalny sposób do osiągnięcia celów osi priorytetowej. Tryb konkursowy będzie miał zastosowanie w przypadku inwestycji realizowanych przez porty lotnicze</w:t>
      </w:r>
      <w:r w:rsidR="000F056B" w:rsidRPr="000F056B">
        <w:rPr>
          <w:rFonts w:ascii="Arial" w:hAnsi="Arial" w:cs="Arial"/>
          <w:sz w:val="20"/>
          <w:szCs w:val="20"/>
        </w:rPr>
        <w:t xml:space="preserve"> </w:t>
      </w:r>
      <w:r w:rsidR="000F056B" w:rsidRPr="00340ABF">
        <w:rPr>
          <w:rFonts w:ascii="Arial" w:hAnsi="Arial" w:cs="Arial"/>
          <w:sz w:val="20"/>
          <w:szCs w:val="20"/>
        </w:rPr>
        <w:t>oraz niektórych działań w zakresie poprawy bezpieczeństwa ruchu drogowego</w:t>
      </w:r>
      <w:r w:rsidR="000F056B" w:rsidRPr="004E3242">
        <w:rPr>
          <w:rFonts w:ascii="Arial" w:hAnsi="Arial" w:cs="Arial"/>
          <w:sz w:val="20"/>
          <w:szCs w:val="20"/>
        </w:rPr>
        <w:t>.</w:t>
      </w:r>
      <w:r w:rsidRPr="004E3242">
        <w:rPr>
          <w:rFonts w:ascii="Arial" w:hAnsi="Arial" w:cs="Arial"/>
          <w:sz w:val="20"/>
          <w:szCs w:val="20"/>
        </w:rPr>
        <w:t>.</w:t>
      </w:r>
    </w:p>
    <w:p w14:paraId="551BE59A" w14:textId="77777777" w:rsidR="004E3242" w:rsidRDefault="004E3242" w:rsidP="004E3242">
      <w:pPr>
        <w:spacing w:before="120" w:after="120"/>
        <w:jc w:val="both"/>
        <w:rPr>
          <w:rFonts w:ascii="Arial" w:hAnsi="Arial" w:cs="Arial"/>
          <w:sz w:val="20"/>
          <w:szCs w:val="20"/>
        </w:rPr>
      </w:pPr>
      <w:r w:rsidRPr="004E3242">
        <w:rPr>
          <w:rFonts w:ascii="Arial" w:hAnsi="Arial" w:cs="Arial"/>
          <w:sz w:val="20"/>
          <w:szCs w:val="20"/>
        </w:rPr>
        <w:t>Niezależnie od zastosowanej ścieżki (konkursowej bądź pozakonkursowej), 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 Priorytetowo będą traktowane inwestycje przyczyniające się w największym stopniu do ukończenia drogowej sieci TEN-T, do poprawy stanu bezpieczeństwa ruchu drogowego, ograniczenia wpływu transportu na środowisko, zmniejszenia zatłoczenia i ograniczeń przepustowości infrastruktury transportowej, charakteryzujące się efektywnością ekonomiczną.</w:t>
      </w:r>
    </w:p>
    <w:p w14:paraId="2A441532" w14:textId="77777777" w:rsidR="00F94807" w:rsidRDefault="00F94807" w:rsidP="004E3242">
      <w:pPr>
        <w:spacing w:before="120" w:after="120"/>
        <w:jc w:val="both"/>
        <w:rPr>
          <w:rFonts w:ascii="Arial" w:hAnsi="Arial" w:cs="Arial"/>
          <w:sz w:val="20"/>
          <w:szCs w:val="20"/>
        </w:rPr>
      </w:pPr>
      <w:r w:rsidRPr="00F94807">
        <w:rPr>
          <w:rFonts w:ascii="Arial" w:hAnsi="Arial" w:cs="Arial"/>
          <w:sz w:val="20"/>
          <w:szCs w:val="20"/>
        </w:rPr>
        <w:t>Do dokumentów zamknięcia tego programu zostanie dołączona lista wszystkich dofinansowanych projektów przygotowawczych wraz z listą odpowiadających im inwestycji przeznaczonych do realizacji w ramach tego programu lub programów operacyjnych polityki spójności następujących po roku 2020.</w:t>
      </w:r>
    </w:p>
    <w:p w14:paraId="10EDF2B6" w14:textId="77777777" w:rsidR="00684EE4" w:rsidRPr="004E3242" w:rsidRDefault="005E530E" w:rsidP="004E3242">
      <w:pPr>
        <w:spacing w:before="120" w:after="120"/>
        <w:jc w:val="both"/>
        <w:rPr>
          <w:rFonts w:ascii="Arial" w:hAnsi="Arial" w:cs="Arial"/>
          <w:sz w:val="20"/>
          <w:szCs w:val="20"/>
        </w:rPr>
      </w:pPr>
      <w:r w:rsidRPr="005E530E">
        <w:rPr>
          <w:rFonts w:ascii="Arial" w:hAnsi="Arial" w:cs="Arial"/>
          <w:sz w:val="20"/>
          <w:szCs w:val="20"/>
        </w:rPr>
        <w:t xml:space="preserve">Szczegółowe informacje nt. założeń koordynacji i podziału interwencji pomiędzy </w:t>
      </w:r>
      <w:proofErr w:type="spellStart"/>
      <w:r w:rsidRPr="005E530E">
        <w:rPr>
          <w:rFonts w:ascii="Arial" w:hAnsi="Arial" w:cs="Arial"/>
          <w:sz w:val="20"/>
          <w:szCs w:val="20"/>
        </w:rPr>
        <w:t>POIiŚ</w:t>
      </w:r>
      <w:proofErr w:type="spellEnd"/>
      <w:r w:rsidRPr="005E530E">
        <w:rPr>
          <w:rFonts w:ascii="Arial" w:hAnsi="Arial" w:cs="Arial"/>
          <w:sz w:val="20"/>
          <w:szCs w:val="20"/>
        </w:rPr>
        <w:t xml:space="preserve"> a innymi programami i instrumentami wsparcia opisane zostały w rozdziale 8 </w:t>
      </w:r>
      <w:proofErr w:type="spellStart"/>
      <w:r w:rsidRPr="005E530E">
        <w:rPr>
          <w:rFonts w:ascii="Arial" w:hAnsi="Arial" w:cs="Arial"/>
          <w:sz w:val="20"/>
          <w:szCs w:val="20"/>
        </w:rPr>
        <w:t>POIiŚ</w:t>
      </w:r>
      <w:proofErr w:type="spellEnd"/>
      <w:r w:rsidRPr="005E530E">
        <w:rPr>
          <w:rFonts w:ascii="Arial" w:hAnsi="Arial" w:cs="Arial"/>
          <w:sz w:val="20"/>
          <w:szCs w:val="20"/>
        </w:rPr>
        <w:t>.</w:t>
      </w:r>
    </w:p>
    <w:p w14:paraId="1384F7E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6F270CD7"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przewiduje się wsparcia w formie instrumentów finansowych.</w:t>
      </w:r>
    </w:p>
    <w:p w14:paraId="48248F9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3DA55485"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pomiędzy podmiotem publicznym i podmiotem sektora prywatnego (o ile dotyczy), jest / będzie zgodny z art. 102 ust. 3 rozporządzenia ogólnego. Po przygotowaniu kompletnej dokumentacji projektowej możliwe będzie precyzyjne określenie zakresu rzeczowego oraz szacowanych kosztów tych projektów.</w:t>
      </w:r>
    </w:p>
    <w:p w14:paraId="0AA842CB"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Realizacja dużych projektów w znaczący sposób przyczyni się do osiągnięcia celu szczegółowego tego priorytetu, związanego z tworzeniem spójnej sieci dróg w TEN-T w Polsce,  poprzez budowę dróg ekspresowych i autostrad, których rezultatem będzie skrócenie czasu przejazdu pomiędzy największymi polskimi miastami.</w:t>
      </w:r>
    </w:p>
    <w:p w14:paraId="74171C5E"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35A82BF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55"/>
        <w:gridCol w:w="2579"/>
        <w:gridCol w:w="1097"/>
        <w:gridCol w:w="1095"/>
        <w:gridCol w:w="1099"/>
        <w:gridCol w:w="1156"/>
        <w:gridCol w:w="1184"/>
        <w:gridCol w:w="1373"/>
      </w:tblGrid>
      <w:tr w:rsidR="004E3242" w:rsidRPr="004E3242" w14:paraId="6ADF2C41" w14:textId="77777777" w:rsidTr="00AA7998">
        <w:tc>
          <w:tcPr>
            <w:tcW w:w="274" w:type="pct"/>
            <w:shd w:val="clear" w:color="auto" w:fill="99CC00"/>
            <w:vAlign w:val="center"/>
          </w:tcPr>
          <w:p w14:paraId="0FAACF0A"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72" w:type="pct"/>
            <w:shd w:val="clear" w:color="auto" w:fill="99CC00"/>
            <w:vAlign w:val="center"/>
          </w:tcPr>
          <w:p w14:paraId="26D56A3B"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41" w:type="pct"/>
            <w:shd w:val="clear" w:color="auto" w:fill="99CC00"/>
            <w:vAlign w:val="center"/>
          </w:tcPr>
          <w:p w14:paraId="64592ABB"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40" w:type="pct"/>
            <w:shd w:val="clear" w:color="auto" w:fill="99CC00"/>
            <w:vAlign w:val="center"/>
          </w:tcPr>
          <w:p w14:paraId="4BC924D8"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42" w:type="pct"/>
            <w:shd w:val="clear" w:color="auto" w:fill="99CC00"/>
            <w:vAlign w:val="center"/>
          </w:tcPr>
          <w:p w14:paraId="7E97554C"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70" w:type="pct"/>
            <w:shd w:val="clear" w:color="auto" w:fill="99CC00"/>
            <w:vAlign w:val="center"/>
          </w:tcPr>
          <w:p w14:paraId="0EB034DB"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84" w:type="pct"/>
            <w:shd w:val="clear" w:color="auto" w:fill="99CC00"/>
            <w:vAlign w:val="center"/>
          </w:tcPr>
          <w:p w14:paraId="18E86CEF"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8" w:type="pct"/>
            <w:shd w:val="clear" w:color="auto" w:fill="99CC00"/>
            <w:vAlign w:val="center"/>
          </w:tcPr>
          <w:p w14:paraId="27A7C938"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54317884" w14:textId="77777777" w:rsidTr="00AA7998">
        <w:tc>
          <w:tcPr>
            <w:tcW w:w="274" w:type="pct"/>
            <w:shd w:val="clear" w:color="auto" w:fill="F2F2F2"/>
            <w:vAlign w:val="center"/>
          </w:tcPr>
          <w:p w14:paraId="0EB19B53"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lastRenderedPageBreak/>
              <w:t>1.</w:t>
            </w:r>
          </w:p>
        </w:tc>
        <w:tc>
          <w:tcPr>
            <w:tcW w:w="1272" w:type="pct"/>
            <w:shd w:val="clear" w:color="auto" w:fill="F2F2F2"/>
            <w:vAlign w:val="center"/>
          </w:tcPr>
          <w:p w14:paraId="4EA06D3C"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Całkowita długość nowych dróg, w tym TEN-T (CI)</w:t>
            </w:r>
          </w:p>
        </w:tc>
        <w:tc>
          <w:tcPr>
            <w:tcW w:w="541" w:type="pct"/>
            <w:shd w:val="clear" w:color="auto" w:fill="F2F2F2"/>
            <w:vAlign w:val="center"/>
          </w:tcPr>
          <w:p w14:paraId="7B8B657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km</w:t>
            </w:r>
          </w:p>
        </w:tc>
        <w:tc>
          <w:tcPr>
            <w:tcW w:w="540" w:type="pct"/>
            <w:shd w:val="clear" w:color="auto" w:fill="F2F2F2"/>
            <w:vAlign w:val="center"/>
          </w:tcPr>
          <w:p w14:paraId="2DC0A22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42" w:type="pct"/>
            <w:shd w:val="clear" w:color="auto" w:fill="F2F2F2"/>
            <w:vAlign w:val="center"/>
          </w:tcPr>
          <w:p w14:paraId="5219B23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70" w:type="pct"/>
            <w:shd w:val="clear" w:color="auto" w:fill="F2F2F2"/>
            <w:vAlign w:val="center"/>
          </w:tcPr>
          <w:p w14:paraId="3ED6F871" w14:textId="77777777" w:rsidR="004E3242" w:rsidRPr="004E3242" w:rsidRDefault="00463DDF"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r w:rsidRPr="00463DDF">
              <w:rPr>
                <w:rFonts w:ascii="Arial" w:hAnsi="Arial" w:cs="Arial"/>
                <w:spacing w:val="4"/>
                <w:sz w:val="16"/>
                <w:szCs w:val="16"/>
              </w:rPr>
              <w:t>1 230</w:t>
            </w:r>
          </w:p>
        </w:tc>
        <w:tc>
          <w:tcPr>
            <w:tcW w:w="584" w:type="pct"/>
            <w:shd w:val="clear" w:color="auto" w:fill="F2F2F2"/>
            <w:vAlign w:val="center"/>
          </w:tcPr>
          <w:p w14:paraId="5805E8AE"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678" w:type="pct"/>
            <w:shd w:val="clear" w:color="auto" w:fill="F2F2F2"/>
            <w:vAlign w:val="center"/>
          </w:tcPr>
          <w:p w14:paraId="75BC4F0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bl>
    <w:p w14:paraId="08E95538"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p>
    <w:p w14:paraId="7A770315"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bCs/>
          <w:smallCaps/>
          <w:color w:val="669900"/>
          <w:spacing w:val="10"/>
          <w:sz w:val="24"/>
          <w:szCs w:val="24"/>
          <w:lang w:eastAsia="pl-PL"/>
        </w:rPr>
        <w:t xml:space="preserve">PRIORYTET INWESTYCYJNY 7.ii. </w:t>
      </w:r>
      <w:r w:rsidRPr="004E3242">
        <w:rPr>
          <w:rFonts w:ascii="Arial" w:eastAsia="Times New Roman" w:hAnsi="Arial"/>
          <w:smallCaps/>
          <w:color w:val="669900"/>
          <w:spacing w:val="10"/>
          <w:sz w:val="24"/>
          <w:szCs w:val="24"/>
          <w:lang w:eastAsia="pl-PL"/>
        </w:rPr>
        <w:t>Rozwój i usprawnianie przyjaznych środowisku (w tym o obniżonej emisji hałasu) i niskoemisyjnych systemów transportu, w tym śródlądowych dróg wodnych i transportu morskiego, portów, połączeń multimodalnych oraz infrastruktury portów lotniczych, w celu promowania zrównoważonej mobilności regionalnej i lokalnej</w:t>
      </w:r>
    </w:p>
    <w:p w14:paraId="42BE303E"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154D9EDB"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Większy potencjał przyjaznego środowisku transportu w przewozie towarów oraz lepszy stan krajowej sieci platform multimodalnych w TEN-T</w:t>
      </w:r>
    </w:p>
    <w:p w14:paraId="5DD3F35A"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272B9B97"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Rezultatem realizacji projektów w priorytecie inwestycyjnym będzie większe wykorzystanie przyjaznego środowisku transportu w przewozie towarów dzięki poprawie konkurencyjności portów morskich, transportu intermodalnego i podniesieniu parametrów  śródlądowych dróg wodnych</w:t>
      </w:r>
    </w:p>
    <w:p w14:paraId="4EFCA5CE"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84"/>
        <w:gridCol w:w="2009"/>
        <w:gridCol w:w="1085"/>
        <w:gridCol w:w="1083"/>
        <w:gridCol w:w="927"/>
        <w:gridCol w:w="929"/>
        <w:gridCol w:w="1083"/>
        <w:gridCol w:w="929"/>
        <w:gridCol w:w="1509"/>
      </w:tblGrid>
      <w:tr w:rsidR="004E3242" w:rsidRPr="004E3242" w14:paraId="62FB1162" w14:textId="77777777" w:rsidTr="00AA7998">
        <w:tc>
          <w:tcPr>
            <w:tcW w:w="288" w:type="pct"/>
            <w:shd w:val="clear" w:color="auto" w:fill="99CC00"/>
            <w:vAlign w:val="center"/>
          </w:tcPr>
          <w:p w14:paraId="4D71A148"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91" w:type="pct"/>
            <w:shd w:val="clear" w:color="auto" w:fill="99CC00"/>
            <w:vAlign w:val="center"/>
          </w:tcPr>
          <w:p w14:paraId="1B453202"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489C2AF4"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2A289D45"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7" w:type="pct"/>
            <w:shd w:val="clear" w:color="auto" w:fill="99CC00"/>
            <w:vAlign w:val="center"/>
          </w:tcPr>
          <w:p w14:paraId="7326369B"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1C09D0A5"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4" w:type="pct"/>
            <w:shd w:val="clear" w:color="auto" w:fill="99CC00"/>
            <w:vAlign w:val="center"/>
          </w:tcPr>
          <w:p w14:paraId="3F9618FE"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8" w:type="pct"/>
            <w:shd w:val="clear" w:color="auto" w:fill="99CC00"/>
            <w:vAlign w:val="center"/>
          </w:tcPr>
          <w:p w14:paraId="7C4993F3"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2DBDBCA7"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4D7C15EF" w14:textId="77777777" w:rsidTr="00AA7998">
        <w:tc>
          <w:tcPr>
            <w:tcW w:w="288" w:type="pct"/>
            <w:shd w:val="clear" w:color="auto" w:fill="F2F2F2"/>
            <w:vAlign w:val="center"/>
          </w:tcPr>
          <w:p w14:paraId="54D6B7B7"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991" w:type="pct"/>
            <w:shd w:val="clear" w:color="auto" w:fill="F2F2F2"/>
            <w:vAlign w:val="center"/>
          </w:tcPr>
          <w:p w14:paraId="4C52BC86"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z w:val="16"/>
                <w:szCs w:val="16"/>
              </w:rPr>
              <w:t>Praca przewozowa w transporcie intermodalnym</w:t>
            </w:r>
          </w:p>
        </w:tc>
        <w:tc>
          <w:tcPr>
            <w:tcW w:w="535" w:type="pct"/>
            <w:shd w:val="clear" w:color="auto" w:fill="F2F2F2"/>
            <w:vAlign w:val="center"/>
          </w:tcPr>
          <w:p w14:paraId="1D1740BD" w14:textId="77777777" w:rsidR="004E3242" w:rsidRPr="004E3242" w:rsidRDefault="004E3242" w:rsidP="004E3242">
            <w:pPr>
              <w:spacing w:before="60" w:after="60"/>
              <w:jc w:val="center"/>
              <w:rPr>
                <w:rFonts w:ascii="Arial" w:hAnsi="Arial" w:cs="Arial"/>
                <w:spacing w:val="4"/>
                <w:sz w:val="16"/>
                <w:szCs w:val="16"/>
              </w:rPr>
            </w:pPr>
            <w:r w:rsidRPr="004E3242">
              <w:t xml:space="preserve"> </w:t>
            </w:r>
            <w:r w:rsidRPr="004E3242">
              <w:rPr>
                <w:rFonts w:ascii="Arial" w:hAnsi="Arial" w:cs="Arial"/>
                <w:spacing w:val="4"/>
                <w:sz w:val="16"/>
                <w:szCs w:val="16"/>
              </w:rPr>
              <w:t xml:space="preserve">mln </w:t>
            </w:r>
            <w:proofErr w:type="spellStart"/>
            <w:r w:rsidRPr="004E3242">
              <w:rPr>
                <w:rFonts w:ascii="Arial" w:hAnsi="Arial" w:cs="Arial"/>
                <w:spacing w:val="4"/>
                <w:sz w:val="16"/>
                <w:szCs w:val="16"/>
              </w:rPr>
              <w:t>tkm</w:t>
            </w:r>
            <w:proofErr w:type="spellEnd"/>
            <w:r w:rsidRPr="004E3242">
              <w:rPr>
                <w:rFonts w:ascii="Arial" w:hAnsi="Arial" w:cs="Arial"/>
                <w:spacing w:val="4"/>
                <w:sz w:val="16"/>
                <w:szCs w:val="16"/>
              </w:rPr>
              <w:t>/rok</w:t>
            </w:r>
          </w:p>
        </w:tc>
        <w:tc>
          <w:tcPr>
            <w:tcW w:w="534" w:type="pct"/>
            <w:shd w:val="clear" w:color="auto" w:fill="F2F2F2"/>
            <w:vAlign w:val="center"/>
          </w:tcPr>
          <w:p w14:paraId="201B674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7" w:type="pct"/>
            <w:shd w:val="clear" w:color="auto" w:fill="F2F2F2"/>
            <w:vAlign w:val="center"/>
          </w:tcPr>
          <w:p w14:paraId="5655053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 xml:space="preserve">3 084 </w:t>
            </w:r>
          </w:p>
        </w:tc>
        <w:tc>
          <w:tcPr>
            <w:tcW w:w="458" w:type="pct"/>
            <w:shd w:val="clear" w:color="auto" w:fill="F2F2F2"/>
            <w:vAlign w:val="center"/>
          </w:tcPr>
          <w:p w14:paraId="16B64908"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6A1C6BE7"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5 746</w:t>
            </w:r>
          </w:p>
        </w:tc>
        <w:tc>
          <w:tcPr>
            <w:tcW w:w="458" w:type="pct"/>
            <w:shd w:val="clear" w:color="auto" w:fill="F2F2F2"/>
            <w:vAlign w:val="center"/>
          </w:tcPr>
          <w:p w14:paraId="5F647F5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UTK</w:t>
            </w:r>
          </w:p>
        </w:tc>
        <w:tc>
          <w:tcPr>
            <w:tcW w:w="744" w:type="pct"/>
            <w:shd w:val="clear" w:color="auto" w:fill="F2F2F2"/>
            <w:vAlign w:val="center"/>
          </w:tcPr>
          <w:p w14:paraId="2D771C0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co 2 lata</w:t>
            </w:r>
          </w:p>
        </w:tc>
      </w:tr>
      <w:tr w:rsidR="004E3242" w:rsidRPr="004E3242" w14:paraId="1BFE34D1" w14:textId="77777777" w:rsidTr="00AA7998">
        <w:tc>
          <w:tcPr>
            <w:tcW w:w="288" w:type="pct"/>
            <w:shd w:val="clear" w:color="auto" w:fill="F2F2F2"/>
            <w:vAlign w:val="center"/>
          </w:tcPr>
          <w:p w14:paraId="2C624B4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991" w:type="pct"/>
            <w:shd w:val="clear" w:color="auto" w:fill="F2F2F2"/>
            <w:vAlign w:val="center"/>
          </w:tcPr>
          <w:p w14:paraId="51EF2B13"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Obroty ładunkowe w portach morskich</w:t>
            </w:r>
          </w:p>
        </w:tc>
        <w:tc>
          <w:tcPr>
            <w:tcW w:w="535" w:type="pct"/>
            <w:shd w:val="clear" w:color="auto" w:fill="F2F2F2"/>
            <w:vAlign w:val="center"/>
          </w:tcPr>
          <w:p w14:paraId="5F5465E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mln ton</w:t>
            </w:r>
          </w:p>
        </w:tc>
        <w:tc>
          <w:tcPr>
            <w:tcW w:w="534" w:type="pct"/>
            <w:shd w:val="clear" w:color="auto" w:fill="F2F2F2"/>
            <w:vAlign w:val="center"/>
          </w:tcPr>
          <w:p w14:paraId="43D5F4E8"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7" w:type="pct"/>
            <w:shd w:val="clear" w:color="auto" w:fill="F2F2F2"/>
            <w:vAlign w:val="center"/>
          </w:tcPr>
          <w:p w14:paraId="022145A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64,10</w:t>
            </w:r>
          </w:p>
        </w:tc>
        <w:tc>
          <w:tcPr>
            <w:tcW w:w="458" w:type="pct"/>
            <w:shd w:val="clear" w:color="auto" w:fill="F2F2F2"/>
            <w:vAlign w:val="center"/>
          </w:tcPr>
          <w:p w14:paraId="51798AD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3ED0CB14" w14:textId="77777777" w:rsidR="004E3242" w:rsidRPr="004E3242" w:rsidRDefault="00463DDF" w:rsidP="00825C82">
            <w:pPr>
              <w:spacing w:before="60" w:after="60"/>
              <w:jc w:val="center"/>
              <w:rPr>
                <w:rFonts w:ascii="Arial" w:hAnsi="Arial" w:cs="Arial"/>
                <w:spacing w:val="4"/>
                <w:sz w:val="16"/>
                <w:szCs w:val="16"/>
              </w:rPr>
            </w:pPr>
            <w:r>
              <w:rPr>
                <w:rFonts w:ascii="Arial" w:hAnsi="Arial" w:cs="Arial"/>
                <w:spacing w:val="4"/>
                <w:sz w:val="16"/>
                <w:szCs w:val="16"/>
              </w:rPr>
              <w:t xml:space="preserve"> </w:t>
            </w:r>
            <w:r w:rsidRPr="00463DDF">
              <w:rPr>
                <w:rFonts w:ascii="Arial" w:hAnsi="Arial" w:cs="Arial"/>
                <w:spacing w:val="4"/>
                <w:sz w:val="16"/>
                <w:szCs w:val="16"/>
              </w:rPr>
              <w:t>87</w:t>
            </w:r>
          </w:p>
        </w:tc>
        <w:tc>
          <w:tcPr>
            <w:tcW w:w="458" w:type="pct"/>
            <w:shd w:val="clear" w:color="auto" w:fill="F2F2F2"/>
            <w:vAlign w:val="center"/>
          </w:tcPr>
          <w:p w14:paraId="6B0B8EB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GUS</w:t>
            </w:r>
          </w:p>
        </w:tc>
        <w:tc>
          <w:tcPr>
            <w:tcW w:w="744" w:type="pct"/>
            <w:shd w:val="clear" w:color="auto" w:fill="F2F2F2"/>
            <w:vAlign w:val="center"/>
          </w:tcPr>
          <w:p w14:paraId="356FC5A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Rocznie</w:t>
            </w:r>
          </w:p>
        </w:tc>
      </w:tr>
    </w:tbl>
    <w:p w14:paraId="023D02A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799B9A81"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Wzrost multimodalności w transporcie, polegającej na przewozie towarów z wykorzystaniem różnych gałęzi transportu, wymaga rozwoju i integracji poszczególnych elementów systemu transportowego, </w:t>
      </w:r>
      <w:r w:rsidRPr="004E3242">
        <w:rPr>
          <w:rFonts w:ascii="Arial" w:hAnsi="Arial" w:cs="Arial"/>
          <w:spacing w:val="4"/>
          <w:sz w:val="20"/>
          <w:szCs w:val="20"/>
          <w:lang w:eastAsia="pl-PL"/>
        </w:rPr>
        <w:br/>
        <w:t>w szczególności opartych na przyjaznych środowisku środkach przewozu towarów: transporcie intermodalnym, morskim i wodnym śródlądowym.</w:t>
      </w:r>
    </w:p>
    <w:p w14:paraId="61833EE6"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Transport intermodalny jest jednym z elementów systemu multimodalnego. Z uwagi na interdyscyplinarny charakter transportu intermodalnego, podstawowym działaniem wspierającym jego rozwój będzie modernizacja kolejowej infrastruktury liniowej i punktowej wykorzystywanej w systemie tych przewozów (usytuowanej na sieci AGTC oraz na kolejowej sieci towarowej TEN-T), realizowana w ramach działania poświęconego interwencji w sektorze kolejowym. Dodatkowo na rozwój tej formy przewozów towarów będą miały wpływ inwestycje poprawiające funkcjonowanie i możliwości przeładunkowe terminali </w:t>
      </w:r>
      <w:r w:rsidRPr="004E3242">
        <w:rPr>
          <w:rFonts w:ascii="Arial" w:hAnsi="Arial" w:cs="Arial"/>
          <w:spacing w:val="4"/>
          <w:sz w:val="20"/>
          <w:szCs w:val="20"/>
          <w:lang w:eastAsia="pl-PL"/>
        </w:rPr>
        <w:br/>
        <w:t xml:space="preserve">drogowo – kolejowych w portach morskich. W ramach interwencji skierowanych na rzecz rozwoju transportu intermodalnego przewidziane będą projekty dotyczące </w:t>
      </w:r>
      <w:r w:rsidR="00396CF0" w:rsidRPr="00396CF0">
        <w:rPr>
          <w:rFonts w:ascii="Arial" w:hAnsi="Arial" w:cs="Arial"/>
          <w:spacing w:val="4"/>
          <w:sz w:val="20"/>
          <w:szCs w:val="20"/>
          <w:lang w:eastAsia="pl-PL"/>
        </w:rPr>
        <w:t xml:space="preserve">przebudowy </w:t>
      </w:r>
      <w:r w:rsidRPr="004E3242">
        <w:rPr>
          <w:rFonts w:ascii="Arial" w:hAnsi="Arial" w:cs="Arial"/>
          <w:spacing w:val="4"/>
          <w:sz w:val="20"/>
          <w:szCs w:val="20"/>
          <w:lang w:eastAsia="pl-PL"/>
        </w:rPr>
        <w:t xml:space="preserve">istniejących terminali </w:t>
      </w:r>
      <w:r w:rsidR="00396CF0" w:rsidRPr="00396CF0">
        <w:rPr>
          <w:rFonts w:ascii="Arial" w:hAnsi="Arial" w:cs="Arial"/>
          <w:spacing w:val="4"/>
          <w:sz w:val="20"/>
          <w:szCs w:val="20"/>
          <w:lang w:eastAsia="pl-PL"/>
        </w:rPr>
        <w:t xml:space="preserve">w tym </w:t>
      </w:r>
      <w:r w:rsidRPr="004E3242">
        <w:rPr>
          <w:rFonts w:ascii="Arial" w:hAnsi="Arial" w:cs="Arial"/>
          <w:spacing w:val="4"/>
          <w:sz w:val="20"/>
          <w:szCs w:val="20"/>
          <w:lang w:eastAsia="pl-PL"/>
        </w:rPr>
        <w:t>infrastruktur</w:t>
      </w:r>
      <w:r w:rsidR="00396CF0">
        <w:rPr>
          <w:rFonts w:ascii="Arial" w:hAnsi="Arial" w:cs="Arial"/>
          <w:spacing w:val="4"/>
          <w:sz w:val="20"/>
          <w:szCs w:val="20"/>
          <w:lang w:eastAsia="pl-PL"/>
        </w:rPr>
        <w:t>y</w:t>
      </w:r>
      <w:r w:rsidRPr="004E3242">
        <w:rPr>
          <w:rFonts w:ascii="Arial" w:hAnsi="Arial" w:cs="Arial"/>
          <w:spacing w:val="4"/>
          <w:sz w:val="20"/>
          <w:szCs w:val="20"/>
          <w:lang w:eastAsia="pl-PL"/>
        </w:rPr>
        <w:t xml:space="preserve"> dostępow</w:t>
      </w:r>
      <w:r w:rsidR="00396CF0">
        <w:rPr>
          <w:rFonts w:ascii="Arial" w:hAnsi="Arial" w:cs="Arial"/>
          <w:spacing w:val="4"/>
          <w:sz w:val="20"/>
          <w:szCs w:val="20"/>
          <w:lang w:eastAsia="pl-PL"/>
        </w:rPr>
        <w:t>ej</w:t>
      </w:r>
      <w:r w:rsidRPr="004E3242">
        <w:rPr>
          <w:rFonts w:ascii="Arial" w:hAnsi="Arial" w:cs="Arial"/>
          <w:spacing w:val="4"/>
          <w:sz w:val="20"/>
          <w:szCs w:val="20"/>
          <w:lang w:eastAsia="pl-PL"/>
        </w:rPr>
        <w:t xml:space="preserve">, w szczególności zlokalizowanych w sieci TEN-T,  a także zwiększenia ich liczby, w tym terminali intermodalnych położonych w centrach logistycznych i portach morskich. Wdrażane będą systemy </w:t>
      </w:r>
      <w:proofErr w:type="spellStart"/>
      <w:r w:rsidRPr="004E3242">
        <w:rPr>
          <w:rFonts w:ascii="Arial" w:hAnsi="Arial" w:cs="Arial"/>
          <w:spacing w:val="4"/>
          <w:sz w:val="20"/>
          <w:szCs w:val="20"/>
          <w:lang w:eastAsia="pl-PL"/>
        </w:rPr>
        <w:t>telematyczne</w:t>
      </w:r>
      <w:proofErr w:type="spellEnd"/>
      <w:r w:rsidRPr="004E3242">
        <w:rPr>
          <w:rFonts w:ascii="Arial" w:hAnsi="Arial" w:cs="Arial"/>
          <w:spacing w:val="4"/>
          <w:sz w:val="20"/>
          <w:szCs w:val="20"/>
          <w:lang w:eastAsia="pl-PL"/>
        </w:rPr>
        <w:t xml:space="preserve"> i satelitarne, dostarczające użytkownikom informacji w czasie rzeczywistym o aktualnym miejscu przewożonego ładunku, a przez to optymalizujące i sterujące procesami transportowymi, które przyczynią się do skrócenia czasu dostawy oraz ograniczenie zagrożenia dla stanu przewożonych ładunków. Projekty będą dotyczyły również zakupu i modernizacji </w:t>
      </w:r>
      <w:r w:rsidR="00396CF0" w:rsidRPr="00396CF0">
        <w:rPr>
          <w:rFonts w:ascii="Arial" w:hAnsi="Arial" w:cs="Arial"/>
          <w:spacing w:val="4"/>
          <w:sz w:val="20"/>
          <w:szCs w:val="20"/>
          <w:lang w:eastAsia="pl-PL"/>
        </w:rPr>
        <w:t>urządzeń niezbędnych do obsługi terminali intermodalnych,</w:t>
      </w:r>
      <w:r w:rsidR="00396CF0">
        <w:rPr>
          <w:rFonts w:ascii="Arial" w:hAnsi="Arial" w:cs="Arial"/>
          <w:spacing w:val="4"/>
          <w:sz w:val="20"/>
          <w:szCs w:val="20"/>
          <w:lang w:eastAsia="pl-PL"/>
        </w:rPr>
        <w:t xml:space="preserve"> </w:t>
      </w:r>
      <w:r w:rsidRPr="004E3242">
        <w:rPr>
          <w:rFonts w:ascii="Arial" w:hAnsi="Arial" w:cs="Arial"/>
          <w:spacing w:val="4"/>
          <w:sz w:val="20"/>
          <w:szCs w:val="20"/>
          <w:lang w:eastAsia="pl-PL"/>
        </w:rPr>
        <w:t>lokomotyw oraz specjalistycznego taboru kolejowego (wagony/platformy) dostosowanego do przewozów ładunków w intermodalnych jednostkach ładunkowych, naczepach lub przewozu ciężarówek w całości.</w:t>
      </w:r>
    </w:p>
    <w:p w14:paraId="0310EE07" w14:textId="136DF6E1" w:rsidR="004E3242" w:rsidRP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Zwiększeniu konkurencyjności polskich portów morskich służyć będą projekty na rzecz poprawy infrastruktury dostępu do portów, infrastruktury portowej i nabrzeżowej. Z uwagi na potrzebę skupienia wsparcia na projektach mogących wygenerować największe efekty, realizowane będą inwestycje w portach w sieci bazowej TEN-T. Interwencja w tym obszarze wynika </w:t>
      </w:r>
      <w:r w:rsidR="00DD3553" w:rsidRPr="00DD3553">
        <w:rPr>
          <w:rFonts w:ascii="Arial" w:hAnsi="Arial" w:cs="Arial"/>
          <w:spacing w:val="4"/>
          <w:sz w:val="20"/>
          <w:szCs w:val="20"/>
          <w:lang w:eastAsia="pl-PL"/>
        </w:rPr>
        <w:t xml:space="preserve">ze Strategii na rzecz Odpowiedzialnego </w:t>
      </w:r>
      <w:r w:rsidR="00DD3553" w:rsidRPr="00DD3553">
        <w:rPr>
          <w:rFonts w:ascii="Arial" w:hAnsi="Arial" w:cs="Arial"/>
          <w:spacing w:val="4"/>
          <w:sz w:val="20"/>
          <w:szCs w:val="20"/>
          <w:lang w:eastAsia="pl-PL"/>
        </w:rPr>
        <w:lastRenderedPageBreak/>
        <w:t xml:space="preserve">Rozwoju do roku 2020 (z perspektywą do 2030 r.), </w:t>
      </w:r>
      <w:r w:rsidR="00B12515" w:rsidRPr="00CD7489">
        <w:rPr>
          <w:rFonts w:ascii="Arial" w:hAnsi="Arial" w:cs="Arial"/>
          <w:spacing w:val="4"/>
          <w:sz w:val="20"/>
          <w:szCs w:val="20"/>
          <w:lang w:eastAsia="pl-PL"/>
        </w:rPr>
        <w:t xml:space="preserve">Strategii Zrównoważonego Rozwoju Transportu do 2030 roku, </w:t>
      </w:r>
      <w:r w:rsidR="00DD3553" w:rsidRPr="00DD3553">
        <w:rPr>
          <w:rFonts w:ascii="Arial" w:hAnsi="Arial" w:cs="Arial"/>
          <w:spacing w:val="4"/>
          <w:sz w:val="20"/>
          <w:szCs w:val="20"/>
          <w:lang w:eastAsia="pl-PL"/>
        </w:rPr>
        <w:t xml:space="preserve">a także </w:t>
      </w:r>
      <w:r w:rsidR="00CB7FF6" w:rsidRPr="00CB7FF6">
        <w:rPr>
          <w:rFonts w:ascii="Arial" w:hAnsi="Arial" w:cs="Arial"/>
          <w:spacing w:val="4"/>
          <w:sz w:val="20"/>
          <w:szCs w:val="20"/>
          <w:lang w:eastAsia="pl-PL"/>
        </w:rPr>
        <w:t>z</w:t>
      </w:r>
      <w:r w:rsidR="00CB7FF6">
        <w:rPr>
          <w:rFonts w:ascii="Arial" w:hAnsi="Arial" w:cs="Arial"/>
          <w:spacing w:val="4"/>
          <w:sz w:val="20"/>
          <w:szCs w:val="20"/>
          <w:lang w:eastAsia="pl-PL"/>
        </w:rPr>
        <w:t xml:space="preserve"> </w:t>
      </w:r>
      <w:r w:rsidR="00B12515" w:rsidRPr="009F25BF">
        <w:rPr>
          <w:rFonts w:ascii="Arial" w:hAnsi="Arial" w:cs="Arial"/>
          <w:spacing w:val="4"/>
          <w:sz w:val="20"/>
          <w:szCs w:val="20"/>
          <w:lang w:eastAsia="pl-PL"/>
        </w:rPr>
        <w:t>Programu rozwoju polskich portów morskich do 2030 roku</w:t>
      </w:r>
      <w:r w:rsidR="00B12515">
        <w:rPr>
          <w:rFonts w:ascii="Arial" w:hAnsi="Arial" w:cs="Arial"/>
          <w:spacing w:val="4"/>
          <w:sz w:val="20"/>
          <w:szCs w:val="20"/>
          <w:lang w:eastAsia="pl-PL"/>
        </w:rPr>
        <w:t xml:space="preserve"> </w:t>
      </w:r>
      <w:r w:rsidRPr="004E3242">
        <w:rPr>
          <w:rFonts w:ascii="Arial" w:hAnsi="Arial" w:cs="Arial"/>
          <w:spacing w:val="4"/>
          <w:sz w:val="20"/>
          <w:szCs w:val="20"/>
          <w:lang w:eastAsia="pl-PL"/>
        </w:rPr>
        <w:t>(oraz Dokumentu Implementacyjnego), któr</w:t>
      </w:r>
      <w:r w:rsidR="00592E50">
        <w:rPr>
          <w:rFonts w:ascii="Arial" w:hAnsi="Arial" w:cs="Arial"/>
          <w:spacing w:val="4"/>
          <w:sz w:val="20"/>
          <w:szCs w:val="20"/>
          <w:lang w:eastAsia="pl-PL"/>
        </w:rPr>
        <w:t>y</w:t>
      </w:r>
      <w:r w:rsidRPr="004E3242">
        <w:rPr>
          <w:rFonts w:ascii="Arial" w:hAnsi="Arial" w:cs="Arial"/>
          <w:spacing w:val="4"/>
          <w:sz w:val="20"/>
          <w:szCs w:val="20"/>
          <w:lang w:eastAsia="pl-PL"/>
        </w:rPr>
        <w:t xml:space="preserve"> opiera się na analizie przepływu towarów i osób, analizach społeczno-ekonomicznych oraz wpływu na środowisko, uwzględniając komplementarność usług świadczonych przez porty. Inwestycje ze środków UE będą się koncentrowały na zmniejszeniu presji działalności portowej na środowisko, poprawie dostępu drogowego, kolejowego i śródlądowego do portów od strony lądu, zapewnieniu intermodalności oraz poprawie powiązań pomiędzy portami i ich funkcjonowania, a także, jeżeli nie są dostępne inne formy finansowania – poprawie dostępu od strony morza i zapewnieniu wysokiej jakości infrastruktury przeładunkowej. Realizowane będą także projekty umożliwiające ograniczenie zanieczyszczenia środowiska przez statki (wśród których przewiduje się możliwość budowy infrastruktury do odbioru ścieków sanitarnych oraz zasilania statków w energię elektryczną), projekty uwzględniające zakup /modernizację floty specjalistycznej służącej poprawie bezpieczeństwa żeglugi, budowę i modernizację systemów GMDSS i VTS oraz systemów oznakowania nawigacyjnego, jak również projekty z zakresu ratownictwa morskiego (w tym budowa, modernizacja </w:t>
      </w:r>
      <w:r w:rsidRPr="004E3242">
        <w:rPr>
          <w:rFonts w:ascii="Arial" w:hAnsi="Arial" w:cs="Arial"/>
          <w:spacing w:val="4"/>
          <w:sz w:val="20"/>
          <w:szCs w:val="20"/>
          <w:lang w:eastAsia="pl-PL"/>
        </w:rPr>
        <w:br/>
        <w:t>i doposażenie służb ratowniczych). Interwencje z Funduszu Spójności w portach nie zastąpią środków krajowych prywatnych i publicznych. Inwestycje będą podejmowane zgodnie z zasadami dotyczącymi pomocy publicznej, w tym efektem zachęty lub zgodnie z zasadami dotyczącymi projektów generujących dochód.</w:t>
      </w:r>
    </w:p>
    <w:p w14:paraId="3B88284F" w14:textId="77777777" w:rsidR="004E3242" w:rsidRDefault="004E3242" w:rsidP="004E3242">
      <w:pPr>
        <w:autoSpaceDE w:val="0"/>
        <w:autoSpaceDN w:val="0"/>
        <w:adjustRightInd w:val="0"/>
        <w:spacing w:before="120" w:after="120"/>
        <w:jc w:val="both"/>
        <w:rPr>
          <w:rFonts w:cs="Calibri"/>
          <w:color w:val="000000"/>
          <w:sz w:val="24"/>
          <w:szCs w:val="24"/>
          <w:lang w:eastAsia="pl-PL"/>
        </w:rPr>
      </w:pPr>
      <w:r w:rsidRPr="004E3242">
        <w:rPr>
          <w:rFonts w:ascii="Arial" w:hAnsi="Arial" w:cs="Arial"/>
          <w:spacing w:val="4"/>
          <w:sz w:val="20"/>
          <w:szCs w:val="20"/>
          <w:lang w:eastAsia="pl-PL"/>
        </w:rPr>
        <w:t xml:space="preserve">W obszarze żeglugi śródlądowej realizowane będą projekty służące ujednoliceniu parametrów eksploatacyjnych dróg wodnych poprzez usuwanie tzw. „wąskich gardeł” oraz poprawie bezpieczeństwa żeglugi. Obejmować będą inwestycje modernizacyjne zarówno o charakterze liniowym, jak i punktowym. Niezbędne będzie także kontynuowanie programu wdrażania systemu informacji rzecznej (RIS). Interwencja będzie skoncentrowana przede wszystkim na Odrzańskiej Drodze Wodnej, w celu podniesienia jej parametrów na wybranych </w:t>
      </w:r>
      <w:r w:rsidRPr="006A4268">
        <w:rPr>
          <w:rFonts w:ascii="Arial" w:hAnsi="Arial" w:cs="Arial"/>
          <w:spacing w:val="4"/>
          <w:sz w:val="20"/>
          <w:szCs w:val="20"/>
          <w:lang w:eastAsia="pl-PL"/>
        </w:rPr>
        <w:t>odcinkach do III klasy drogi wodnej,</w:t>
      </w:r>
      <w:r w:rsidRPr="004E3242">
        <w:rPr>
          <w:rFonts w:ascii="Arial" w:hAnsi="Arial" w:cs="Arial"/>
          <w:spacing w:val="4"/>
          <w:sz w:val="20"/>
          <w:szCs w:val="20"/>
          <w:lang w:eastAsia="pl-PL"/>
        </w:rPr>
        <w:t xml:space="preserve"> rozwoju i modernizacji Drogi Wodnej Górnej Wisły, a także na innych rzekach. </w:t>
      </w:r>
      <w:r w:rsidR="004051EB">
        <w:rPr>
          <w:rFonts w:ascii="Arial" w:hAnsi="Arial" w:cs="Arial"/>
          <w:spacing w:val="4"/>
          <w:sz w:val="20"/>
          <w:szCs w:val="20"/>
          <w:lang w:eastAsia="pl-PL"/>
        </w:rPr>
        <w:t xml:space="preserve">Ponadto w ramach </w:t>
      </w:r>
      <w:proofErr w:type="spellStart"/>
      <w:r w:rsidR="004051EB">
        <w:rPr>
          <w:rFonts w:ascii="Arial" w:hAnsi="Arial" w:cs="Arial"/>
          <w:spacing w:val="4"/>
          <w:sz w:val="20"/>
          <w:szCs w:val="20"/>
          <w:lang w:eastAsia="pl-PL"/>
        </w:rPr>
        <w:t>POIiŚ</w:t>
      </w:r>
      <w:proofErr w:type="spellEnd"/>
      <w:r w:rsidR="004051EB">
        <w:rPr>
          <w:rFonts w:ascii="Arial" w:hAnsi="Arial" w:cs="Arial"/>
          <w:spacing w:val="4"/>
          <w:sz w:val="20"/>
          <w:szCs w:val="20"/>
          <w:lang w:eastAsia="pl-PL"/>
        </w:rPr>
        <w:t xml:space="preserve"> możliwa będzie modernizacja istniejących punktowych obiektów infrastruktury żeglugowej, w tym posiadających w całości lub w części parametry wyższe niż III klasa. </w:t>
      </w:r>
      <w:r w:rsidRPr="004E3242">
        <w:rPr>
          <w:rFonts w:ascii="Arial" w:hAnsi="Arial" w:cs="Arial"/>
          <w:spacing w:val="4"/>
          <w:sz w:val="20"/>
          <w:szCs w:val="20"/>
          <w:lang w:eastAsia="pl-PL"/>
        </w:rPr>
        <w:t>Działania na śródlądowych drogach wodnych będą realizowane pod warunkiem zapewnienia pełnej zgodności inwestycji z wymogami prawa UE, w tym z uwzględnieniem ich w dokumentach strategicznych spełniających wymogi Ramowej Dyrektywy Wodnej (RDW) i tzw. Dyrektywy powodziowej.</w:t>
      </w:r>
      <w:r w:rsidRPr="004E3242">
        <w:rPr>
          <w:rFonts w:cs="Calibri"/>
          <w:color w:val="000000"/>
          <w:sz w:val="24"/>
          <w:szCs w:val="24"/>
          <w:lang w:eastAsia="pl-PL"/>
        </w:rPr>
        <w:t xml:space="preserve"> </w:t>
      </w:r>
    </w:p>
    <w:p w14:paraId="717F2728" w14:textId="77777777" w:rsidR="00A21E4E" w:rsidRPr="004E3242" w:rsidRDefault="00DD3553" w:rsidP="004E3242">
      <w:pPr>
        <w:autoSpaceDE w:val="0"/>
        <w:autoSpaceDN w:val="0"/>
        <w:adjustRightInd w:val="0"/>
        <w:spacing w:before="120" w:after="120"/>
        <w:jc w:val="both"/>
        <w:rPr>
          <w:rFonts w:ascii="Arial" w:hAnsi="Arial" w:cs="Arial"/>
          <w:iCs/>
          <w:sz w:val="20"/>
          <w:szCs w:val="20"/>
        </w:rPr>
      </w:pPr>
      <w:r w:rsidRPr="00DD3553">
        <w:rPr>
          <w:rFonts w:ascii="Arial" w:hAnsi="Arial" w:cs="Arial"/>
          <w:iCs/>
          <w:sz w:val="20"/>
          <w:szCs w:val="20"/>
        </w:rPr>
        <w:t>Ponadto wsparcie będą mogły uzyskać działania na rzecz przygotowania inwestycji poprzez dofinansowanie w ramach projektów przygotowawczych dokumentacji projektowej i przetargowej dla inwestycji infrastrukturalnych, realizowanych ze środków tego programu lub programów operacyjnych polityki spójności realizowanych w okresie programowania następującym bezpośrednio po roku 2020 (projekty przygotowawcze). Dodatkowo, wsparcie będą mogły uzyskać projekty przygotowawcze dla inwestycji realizowanych w ramach instrumentu Łącząc Europę w obecnej lub przyszłej perspektywie finansowej, jeżeli z przyczyn faktycznych lub prawnych  inwestycje te nie będą mogły uzyskać dofinansowania z programów operacyjnych polityki spójności.</w:t>
      </w:r>
    </w:p>
    <w:p w14:paraId="360E0CD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540E54F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sektorze intermodalnym beneficjentami będą operatorzy terminali intermodalnych i przedsiębiorcy świadczący lub zamierzający świadczyć działalność gospodarczą w zakresie transportu intermodalnego oraz podmioty zajmujące się wynajmowaniem/leasingiem taboru kolejowego, a także Zarządy Portów Morskich. W przypadku transportu wodnego śródlądowego beneficjentami będą organy administracji właściwe w sprawach gospodarowania wodami oraz żeglugi na śródlądowych drogach wodnych, </w:t>
      </w:r>
      <w:r w:rsidRPr="004E3242">
        <w:rPr>
          <w:rFonts w:ascii="Arial" w:hAnsi="Arial" w:cs="Arial"/>
          <w:spacing w:val="4"/>
          <w:sz w:val="20"/>
          <w:szCs w:val="20"/>
        </w:rPr>
        <w:br/>
        <w:t>a morskiego – zarządy portów: Gdańsk, Gdynia, Szczecin, Świnoujście oraz ww. miasta portowe (jednostki samorządu terytorialnego), urzędy morskie, służby ratownictwa morskiego oraz zarządcy kolejowej lub drogowej infrastruktury dostępu do portów morskich. Ponadto dla działań w zakresie poprawy bezpieczeństwa ruchu w ww. gałęziach transportu beneficjentami będą służby ratownicze (ratownictwo techniczne), a także organy administracji rządowej, podległe im urzędy i jednostki organizacyjne, działające w tym obszarze.</w:t>
      </w:r>
    </w:p>
    <w:p w14:paraId="44DE538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Z uwagi na to, że interwencja będzie miała charakter horyzontalny i dotyczyła całego kraju, grupami docelowymi wsparcia będą użytkownicy indywidualni i przedsiębiorcy korzystający z dofinansowanej środkami UE infrastruktury transportowej (kolejowej/intermodalnej, wodnej śródlądowej, morskiej).</w:t>
      </w:r>
    </w:p>
    <w:p w14:paraId="203867E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2EF698F4"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lastRenderedPageBreak/>
        <w:t xml:space="preserve">W zakresie budowy i modernizacji infrastruktury kolejowej/intermodalnej, wodnej śródlądowej i morskiej (porty morskie) wsparcie ma charakter horyzontalny i dotyczy całego kraju. W pierwszym rzędzie wsparcie będzie skierowane do obszarów wymagających dokończenia inwestycji infrastrukturalnych podjętych </w:t>
      </w:r>
      <w:r w:rsidRPr="004E3242">
        <w:rPr>
          <w:rFonts w:ascii="Arial" w:hAnsi="Arial" w:cs="Arial"/>
          <w:spacing w:val="4"/>
          <w:sz w:val="20"/>
          <w:szCs w:val="20"/>
        </w:rPr>
        <w:br/>
        <w:t>w okresie 2007-2013.</w:t>
      </w:r>
    </w:p>
    <w:p w14:paraId="45569D89"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Działania w powyższym zakresie będą spójne z celami SUE RMB przyjętymi dla następujących obszarów priorytetowych: OP SAFE (m.in. poprzez inwestycje wpływające na ograniczenie zanieczyszczenia środowiska przez statki, poprawę bezpieczeństwa żeglugi oraz projekty z zakresu ratownictwa morskiego), OP SHIP (wspierającego rozwój czystej żeglugi) oraz OP HAZARDS (w zakresie ograniczania zanieczyszczenia środowiska morskiego przez statki).</w:t>
      </w:r>
    </w:p>
    <w:p w14:paraId="26E662E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6F6CA1A9"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Podstawowym trybem wyboru projektów w ramach priorytetu inwestycyjnego będzie tryb pozakonkursowy, zaś tryb konkursowy będzie stosowany w przypadkach uzasadnionych rodzajem wspieranych projektów w danej gałęzi transportu.</w:t>
      </w:r>
    </w:p>
    <w:p w14:paraId="3582D29F"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Tryb pozakonkursowy będzie miał zastosowanie do projektów o strategicznym znaczeniu dla </w:t>
      </w:r>
      <w:r w:rsidRPr="004E3242">
        <w:rPr>
          <w:rFonts w:ascii="Arial" w:hAnsi="Arial" w:cs="Arial"/>
          <w:sz w:val="20"/>
          <w:szCs w:val="20"/>
        </w:rPr>
        <w:br/>
        <w:t xml:space="preserve">społeczno-gospodarczego rozwoju kraju, zidentyfikowanych w dokumentach strategicznych w zakresie planowania rozwoju infrastruktury transportu (w tym Dokument Implementacyjny do Strategii Rozwoju Transportu) lub projektów dotyczących realizacji zadań publicznych, których wnioskodawcami, ze względu na charakter lub cel projektu, mogą być jedynie podmioty jednoznacznie określone przed złożeniem wniosku </w:t>
      </w:r>
      <w:r w:rsidRPr="004E3242">
        <w:rPr>
          <w:rFonts w:ascii="Arial" w:hAnsi="Arial" w:cs="Arial"/>
          <w:sz w:val="20"/>
          <w:szCs w:val="20"/>
        </w:rPr>
        <w:br/>
        <w:t>o dofinansowanie projektu. Taka ścieżka wyboru umożliwi precyzyjne skierowanie środków na zdiagnozowane potrzeby dotyczące podstawowej sieci transportowej kraju oraz przyczyni się w optymalny sposób do osiągnięcia celów osi priorytetowej. W pozostałych przypadkach będzie miał zastosowanie tryb konkursowy.</w:t>
      </w:r>
    </w:p>
    <w:p w14:paraId="76D6EBE9"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Zastosowanie konkretnego trybu będzie uzależnione od rodzaju projektów, które będą podlegały dofinansowaniu. Tryb pozakonkursowy będzie stosowany w pierwszej kolejności w stosunku do projektów, których realizacja w znaczny sposób wpływa na realizację celów priorytetu inwestycyjnego. Niezależnie od zastosowanej ścieżki (konkursowej bądź pozakonkursowej), 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w:t>
      </w:r>
    </w:p>
    <w:p w14:paraId="2E2534CB"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Dofinansowanie otrzymają projekty na drogach wodnych śródlądowych, które przejdą pozytywnie ocenę wykonalności pod względem ekonomicznym, technicznym i środowiskowym w zakresie rozwoju śródlądowych dróg wodnych. Współfinansowane będą mogły być tylko projekty wskazane w załącznikach do Master Planów dla obszarów dorzeczy Odry i Wisły, które nie wpływają negatywnie na osiągnięcie dobrego stanu wód lub nie pogarszają stanu wód.</w:t>
      </w:r>
      <w:r w:rsidRPr="004E3242">
        <w:rPr>
          <w:rFonts w:ascii="Arial" w:hAnsi="Arial" w:cs="Arial"/>
          <w:sz w:val="20"/>
          <w:szCs w:val="20"/>
          <w:vertAlign w:val="superscript"/>
        </w:rPr>
        <w:footnoteReference w:id="62"/>
      </w:r>
      <w:r w:rsidRPr="004E3242">
        <w:rPr>
          <w:rFonts w:ascii="Arial" w:hAnsi="Arial" w:cs="Arial"/>
          <w:sz w:val="20"/>
          <w:szCs w:val="20"/>
        </w:rPr>
        <w:t xml:space="preserve"> Współfinansowanie projektów wskazanych w załącznikach do Master Planów, jako mogące spowodować nieosiągnięcie dobrego stanu wód lub pogorszenie stanu/potencjału jednolitych części wód</w:t>
      </w:r>
      <w:r w:rsidRPr="004E3242">
        <w:rPr>
          <w:rFonts w:ascii="Arial" w:hAnsi="Arial" w:cs="Arial"/>
          <w:sz w:val="20"/>
          <w:szCs w:val="20"/>
          <w:vertAlign w:val="superscript"/>
        </w:rPr>
        <w:footnoteReference w:id="63"/>
      </w:r>
      <w:r w:rsidRPr="004E3242">
        <w:rPr>
          <w:rFonts w:ascii="Arial" w:hAnsi="Arial" w:cs="Arial"/>
          <w:sz w:val="20"/>
          <w:szCs w:val="20"/>
        </w:rPr>
        <w:t>, nie będzie dozwolone do czasu przedstawienia wystarczających dowodów na spełnienie warunków określonych w art. 4.7 Ramowej Dyrektywy Wodnej w aktualizacji Planów Gospodarowania Wodami na Obszarach Dorzeczy. Wypełnienie warunku będzie uzależnione od potwierdzenia przez Komisję Europejską zgodności przygotowanych aktualizacji Planów Gospodarowania Wodami w Dorzeczach z wymogami Ramowej Dyrektywy Wodnej.</w:t>
      </w:r>
    </w:p>
    <w:p w14:paraId="64671FFE" w14:textId="77777777" w:rsidR="004E3242" w:rsidRDefault="004E3242" w:rsidP="004E3242">
      <w:pPr>
        <w:spacing w:before="120" w:after="120"/>
        <w:jc w:val="both"/>
        <w:rPr>
          <w:rFonts w:ascii="Arial" w:hAnsi="Arial" w:cs="Arial"/>
          <w:sz w:val="20"/>
          <w:szCs w:val="20"/>
        </w:rPr>
      </w:pPr>
      <w:r w:rsidRPr="004E3242">
        <w:rPr>
          <w:rFonts w:ascii="Arial" w:hAnsi="Arial" w:cs="Arial"/>
          <w:sz w:val="20"/>
          <w:szCs w:val="20"/>
        </w:rPr>
        <w:t>W zakresie transportu intermodalnego preferowane będą projekty dotyczące terminali w portach morskich oraz terminali drogowo-kolejowych, znajdujących się na sieci TEN-T, zgodnie z ich listą ujętą w załączniku 2. do rozporządzenia TEN-T (zawierającą wykaz węzłów sieci bazowej i kompleksowej).</w:t>
      </w:r>
    </w:p>
    <w:p w14:paraId="634341B7" w14:textId="77777777" w:rsidR="00F94807" w:rsidRDefault="00F94807" w:rsidP="004E3242">
      <w:pPr>
        <w:spacing w:before="120" w:after="120"/>
        <w:jc w:val="both"/>
        <w:rPr>
          <w:rFonts w:ascii="Arial" w:hAnsi="Arial" w:cs="Arial"/>
          <w:sz w:val="20"/>
          <w:szCs w:val="20"/>
        </w:rPr>
      </w:pPr>
      <w:r w:rsidRPr="00F94807">
        <w:rPr>
          <w:rFonts w:ascii="Arial" w:hAnsi="Arial" w:cs="Arial"/>
          <w:sz w:val="20"/>
          <w:szCs w:val="20"/>
        </w:rPr>
        <w:t>Do dokumentów zamknięcia tego programu zostanie dołączona lista wszystkich dofinansowanych projektów przygotowawczych wraz z listą odpowiadających im inwestycji przeznaczonych do realizacji w ramach tego programu lub programów operacyjnych polityki spójności następujących po roku 2020.</w:t>
      </w:r>
    </w:p>
    <w:p w14:paraId="263CFFA5" w14:textId="77777777" w:rsidR="00684EE4" w:rsidRPr="004E3242" w:rsidRDefault="005E530E" w:rsidP="004E3242">
      <w:pPr>
        <w:spacing w:before="120" w:after="120"/>
        <w:jc w:val="both"/>
        <w:rPr>
          <w:rFonts w:ascii="Arial" w:eastAsia="Arial Unicode MS" w:hAnsi="Arial" w:cs="Arial"/>
          <w:color w:val="000000"/>
          <w:spacing w:val="4"/>
          <w:sz w:val="20"/>
          <w:szCs w:val="20"/>
          <w:lang w:eastAsia="pl-PL"/>
        </w:rPr>
      </w:pPr>
      <w:r w:rsidRPr="005E530E">
        <w:rPr>
          <w:rFonts w:ascii="Arial" w:eastAsia="Arial Unicode MS" w:hAnsi="Arial" w:cs="Arial"/>
          <w:color w:val="000000"/>
          <w:spacing w:val="4"/>
          <w:sz w:val="20"/>
          <w:szCs w:val="20"/>
          <w:lang w:eastAsia="pl-PL"/>
        </w:rPr>
        <w:lastRenderedPageBreak/>
        <w:t xml:space="preserve">Szczegółowe informacje nt. założeń koordynacji i podziału interwencji pomiędzy </w:t>
      </w:r>
      <w:proofErr w:type="spellStart"/>
      <w:r w:rsidRPr="005E530E">
        <w:rPr>
          <w:rFonts w:ascii="Arial" w:eastAsia="Arial Unicode MS" w:hAnsi="Arial" w:cs="Arial"/>
          <w:color w:val="000000"/>
          <w:spacing w:val="4"/>
          <w:sz w:val="20"/>
          <w:szCs w:val="20"/>
          <w:lang w:eastAsia="pl-PL"/>
        </w:rPr>
        <w:t>POIiŚ</w:t>
      </w:r>
      <w:proofErr w:type="spellEnd"/>
      <w:r w:rsidRPr="005E530E">
        <w:rPr>
          <w:rFonts w:ascii="Arial" w:eastAsia="Arial Unicode MS" w:hAnsi="Arial" w:cs="Arial"/>
          <w:color w:val="000000"/>
          <w:spacing w:val="4"/>
          <w:sz w:val="20"/>
          <w:szCs w:val="20"/>
          <w:lang w:eastAsia="pl-PL"/>
        </w:rPr>
        <w:t xml:space="preserve"> a innymi programami i instrumentami wsparcia opisane zostały w rozdziale 8 </w:t>
      </w:r>
      <w:proofErr w:type="spellStart"/>
      <w:r w:rsidRPr="005E530E">
        <w:rPr>
          <w:rFonts w:ascii="Arial" w:eastAsia="Arial Unicode MS" w:hAnsi="Arial" w:cs="Arial"/>
          <w:color w:val="000000"/>
          <w:spacing w:val="4"/>
          <w:sz w:val="20"/>
          <w:szCs w:val="20"/>
          <w:lang w:eastAsia="pl-PL"/>
        </w:rPr>
        <w:t>POIiŚ</w:t>
      </w:r>
      <w:proofErr w:type="spellEnd"/>
      <w:r w:rsidRPr="005E530E">
        <w:rPr>
          <w:rFonts w:ascii="Arial" w:eastAsia="Arial Unicode MS" w:hAnsi="Arial" w:cs="Arial"/>
          <w:color w:val="000000"/>
          <w:spacing w:val="4"/>
          <w:sz w:val="20"/>
          <w:szCs w:val="20"/>
          <w:lang w:eastAsia="pl-PL"/>
        </w:rPr>
        <w:t>.</w:t>
      </w:r>
    </w:p>
    <w:p w14:paraId="0D28219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579CECED" w14:textId="77777777" w:rsidR="004E3242" w:rsidRPr="004E3242" w:rsidRDefault="004E3242" w:rsidP="004E3242">
      <w:pPr>
        <w:autoSpaceDE w:val="0"/>
        <w:autoSpaceDN w:val="0"/>
        <w:adjustRightInd w:val="0"/>
        <w:spacing w:before="120" w:after="120" w:line="240" w:lineRule="auto"/>
        <w:jc w:val="both"/>
        <w:rPr>
          <w:rFonts w:ascii="Arial" w:hAnsi="Arial" w:cs="Arial"/>
          <w:color w:val="000000"/>
          <w:spacing w:val="4"/>
          <w:sz w:val="20"/>
          <w:szCs w:val="20"/>
          <w:lang w:eastAsia="pl-PL"/>
        </w:rPr>
      </w:pPr>
      <w:r w:rsidRPr="004E3242">
        <w:rPr>
          <w:rFonts w:ascii="Arial" w:hAnsi="Arial" w:cs="Arial"/>
          <w:color w:val="000000"/>
          <w:spacing w:val="4"/>
          <w:sz w:val="20"/>
          <w:szCs w:val="20"/>
          <w:lang w:eastAsia="pl-PL"/>
        </w:rPr>
        <w:t>W odniesieniu do obszarów wsparcia w ramach priorytetu inwestycyjnego nie przewiduje się wsparcia w formie instrumentów finansowych.</w:t>
      </w:r>
    </w:p>
    <w:p w14:paraId="3A3A28D9" w14:textId="77777777" w:rsidR="004E3242" w:rsidRPr="004E3242" w:rsidRDefault="004E3242" w:rsidP="004E3242">
      <w:pPr>
        <w:autoSpaceDE w:val="0"/>
        <w:autoSpaceDN w:val="0"/>
        <w:adjustRightInd w:val="0"/>
        <w:spacing w:before="120" w:after="120"/>
        <w:jc w:val="both"/>
        <w:rPr>
          <w:rFonts w:ascii="Arial" w:hAnsi="Arial" w:cs="Arial"/>
          <w:color w:val="000000"/>
          <w:spacing w:val="4"/>
          <w:sz w:val="20"/>
          <w:szCs w:val="20"/>
          <w:lang w:eastAsia="pl-PL"/>
        </w:rPr>
      </w:pPr>
      <w:r w:rsidRPr="004E3242">
        <w:rPr>
          <w:rFonts w:ascii="Arial" w:hAnsi="Arial" w:cs="Arial"/>
          <w:color w:val="000000"/>
          <w:spacing w:val="4"/>
          <w:sz w:val="20"/>
          <w:szCs w:val="20"/>
          <w:lang w:eastAsia="pl-PL"/>
        </w:rPr>
        <w:t>Pomoc publiczna może występować w przypadku projektów transportu intermodalnego dla przedsiębiorców wykonujących lub zamierzających wykonywać działalność gospodarczą w zakresie transportu intermodalnego oraz w przypadku transportu morskiego w dziedzinie projektów dotyczących rozbudowy terminali i nabrzeży w portach morskich realizowanych przez zarządy portów morskich.</w:t>
      </w:r>
    </w:p>
    <w:p w14:paraId="643DE41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35656A8E"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pomiędzy podmiotem publicznym i podmiotem sektora prywatnego (o ile dotyczy), będzie zgodny z art. 102 ust. 3 rozporządzenia ogólnego. Po przygotowaniu kompletnej dokumentacji projektowej możliwe będzie precyzyjne określenie zakresu rzeczowego oraz szacowanych kosztów tych projektów.</w:t>
      </w:r>
    </w:p>
    <w:p w14:paraId="0EB595A4"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Realizacja dużych projektów w znaczący sposób przyczyni się do osiągnięcia celu szczegółowego tego priorytetu związanego ze zwiększeniem potencjału przyjaznego środowisku transportu w przewozie towarów, poprzez wdrażanie inwestycji związanych z przebudową infrastruktury dostępowej portów morskich i zabudowy regulacyjnej śródlądowych dróg wodnych, których rezultatem będzie zwiększenie potencjału przeładunkowego portów i poprawa warunków żeglownych na drogach wodnych.</w:t>
      </w:r>
    </w:p>
    <w:p w14:paraId="673A7610"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48D03A9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83"/>
        <w:gridCol w:w="2630"/>
        <w:gridCol w:w="1085"/>
        <w:gridCol w:w="1083"/>
        <w:gridCol w:w="1085"/>
        <w:gridCol w:w="1087"/>
        <w:gridCol w:w="1087"/>
        <w:gridCol w:w="1498"/>
      </w:tblGrid>
      <w:tr w:rsidR="004E3242" w:rsidRPr="004E3242" w14:paraId="0F905716" w14:textId="77777777" w:rsidTr="00AA7998">
        <w:tc>
          <w:tcPr>
            <w:tcW w:w="288" w:type="pct"/>
            <w:shd w:val="clear" w:color="auto" w:fill="99CC00"/>
            <w:vAlign w:val="center"/>
          </w:tcPr>
          <w:p w14:paraId="7763EF6B"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97" w:type="pct"/>
            <w:shd w:val="clear" w:color="auto" w:fill="99CC00"/>
            <w:vAlign w:val="center"/>
          </w:tcPr>
          <w:p w14:paraId="4FE4C9CA"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171E3635"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7D125156"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35" w:type="pct"/>
            <w:shd w:val="clear" w:color="auto" w:fill="99CC00"/>
            <w:vAlign w:val="center"/>
          </w:tcPr>
          <w:p w14:paraId="42C75863"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6" w:type="pct"/>
            <w:shd w:val="clear" w:color="auto" w:fill="99CC00"/>
            <w:vAlign w:val="center"/>
          </w:tcPr>
          <w:p w14:paraId="7496A973"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6" w:type="pct"/>
            <w:shd w:val="clear" w:color="auto" w:fill="99CC00"/>
            <w:vAlign w:val="center"/>
          </w:tcPr>
          <w:p w14:paraId="52EF98A9"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39" w:type="pct"/>
            <w:shd w:val="clear" w:color="auto" w:fill="99CC00"/>
            <w:vAlign w:val="center"/>
          </w:tcPr>
          <w:p w14:paraId="4CC07D36"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774068F" w14:textId="77777777" w:rsidTr="00AA7998">
        <w:tc>
          <w:tcPr>
            <w:tcW w:w="288" w:type="pct"/>
            <w:shd w:val="clear" w:color="auto" w:fill="F2F2F2"/>
            <w:vAlign w:val="center"/>
          </w:tcPr>
          <w:p w14:paraId="2F69B1FF"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1297" w:type="pct"/>
            <w:shd w:val="clear" w:color="auto" w:fill="F2F2F2"/>
            <w:vAlign w:val="center"/>
          </w:tcPr>
          <w:p w14:paraId="04DE56A9"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Liczba terminali zbudowanych lub rozbudowanych zlokalizowanych w sieci TEN-T</w:t>
            </w:r>
          </w:p>
        </w:tc>
        <w:tc>
          <w:tcPr>
            <w:tcW w:w="535" w:type="pct"/>
            <w:shd w:val="clear" w:color="auto" w:fill="F2F2F2"/>
            <w:vAlign w:val="center"/>
          </w:tcPr>
          <w:p w14:paraId="60AF4EC2"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szt.</w:t>
            </w:r>
          </w:p>
        </w:tc>
        <w:tc>
          <w:tcPr>
            <w:tcW w:w="534" w:type="pct"/>
            <w:shd w:val="clear" w:color="auto" w:fill="F2F2F2"/>
            <w:vAlign w:val="center"/>
          </w:tcPr>
          <w:p w14:paraId="406D5F9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3EF9DC8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36" w:type="pct"/>
            <w:shd w:val="clear" w:color="auto" w:fill="F2F2F2"/>
            <w:vAlign w:val="center"/>
          </w:tcPr>
          <w:p w14:paraId="128E26B9" w14:textId="77777777" w:rsidR="004E3242" w:rsidRPr="004E3242" w:rsidRDefault="00463DDF"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r w:rsidRPr="00463DDF">
              <w:rPr>
                <w:rFonts w:ascii="Arial" w:hAnsi="Arial" w:cs="Arial"/>
                <w:spacing w:val="4"/>
                <w:sz w:val="16"/>
                <w:szCs w:val="16"/>
              </w:rPr>
              <w:t>5</w:t>
            </w:r>
          </w:p>
        </w:tc>
        <w:tc>
          <w:tcPr>
            <w:tcW w:w="536" w:type="pct"/>
            <w:shd w:val="clear" w:color="auto" w:fill="F2F2F2"/>
            <w:vAlign w:val="center"/>
          </w:tcPr>
          <w:p w14:paraId="72704E76"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39" w:type="pct"/>
            <w:shd w:val="clear" w:color="auto" w:fill="F2F2F2"/>
            <w:vAlign w:val="center"/>
          </w:tcPr>
          <w:p w14:paraId="597EFB1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549743AC" w14:textId="77777777" w:rsidTr="00AA7998">
        <w:tc>
          <w:tcPr>
            <w:tcW w:w="288" w:type="pct"/>
            <w:shd w:val="clear" w:color="auto" w:fill="F2F2F2"/>
            <w:vAlign w:val="center"/>
          </w:tcPr>
          <w:p w14:paraId="392C8E4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1297" w:type="pct"/>
            <w:shd w:val="clear" w:color="auto" w:fill="F2F2F2"/>
            <w:vAlign w:val="center"/>
          </w:tcPr>
          <w:p w14:paraId="7D5B8DE9"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Długość zbudowanych lub zmodernizowanych nabrzeży w portach morskich</w:t>
            </w:r>
          </w:p>
        </w:tc>
        <w:tc>
          <w:tcPr>
            <w:tcW w:w="535" w:type="pct"/>
            <w:shd w:val="clear" w:color="auto" w:fill="F2F2F2"/>
            <w:vAlign w:val="center"/>
          </w:tcPr>
          <w:p w14:paraId="3C602C77"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proofErr w:type="spellStart"/>
            <w:r w:rsidRPr="004E3242">
              <w:rPr>
                <w:rFonts w:ascii="Arial" w:hAnsi="Arial" w:cs="Arial"/>
                <w:spacing w:val="4"/>
                <w:sz w:val="16"/>
                <w:szCs w:val="16"/>
              </w:rPr>
              <w:t>mb</w:t>
            </w:r>
            <w:proofErr w:type="spellEnd"/>
          </w:p>
        </w:tc>
        <w:tc>
          <w:tcPr>
            <w:tcW w:w="534" w:type="pct"/>
            <w:shd w:val="clear" w:color="auto" w:fill="F2F2F2"/>
            <w:vAlign w:val="center"/>
          </w:tcPr>
          <w:p w14:paraId="50969EC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3D56386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36" w:type="pct"/>
            <w:shd w:val="clear" w:color="auto" w:fill="F2F2F2"/>
            <w:vAlign w:val="center"/>
          </w:tcPr>
          <w:p w14:paraId="2FBF51F0" w14:textId="77777777" w:rsidR="00463DDF" w:rsidRDefault="00463DDF" w:rsidP="00313673">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p>
          <w:p w14:paraId="59B741B2" w14:textId="77777777" w:rsidR="004E3242" w:rsidRPr="004E3242" w:rsidRDefault="001453B7" w:rsidP="00313673">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6500</w:t>
            </w:r>
          </w:p>
        </w:tc>
        <w:tc>
          <w:tcPr>
            <w:tcW w:w="536" w:type="pct"/>
            <w:shd w:val="clear" w:color="auto" w:fill="F2F2F2"/>
            <w:vAlign w:val="center"/>
          </w:tcPr>
          <w:p w14:paraId="66603DE0"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39" w:type="pct"/>
            <w:shd w:val="clear" w:color="auto" w:fill="F2F2F2"/>
            <w:vAlign w:val="center"/>
          </w:tcPr>
          <w:p w14:paraId="1532B004"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22447C0" w14:textId="77777777" w:rsidTr="00AA7998">
        <w:tc>
          <w:tcPr>
            <w:tcW w:w="288" w:type="pct"/>
            <w:shd w:val="clear" w:color="auto" w:fill="F2F2F2"/>
            <w:vAlign w:val="center"/>
          </w:tcPr>
          <w:p w14:paraId="4A0BFC7E"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3.</w:t>
            </w:r>
          </w:p>
        </w:tc>
        <w:tc>
          <w:tcPr>
            <w:tcW w:w="1297" w:type="pct"/>
            <w:shd w:val="clear" w:color="auto" w:fill="F2F2F2"/>
            <w:vAlign w:val="center"/>
          </w:tcPr>
          <w:p w14:paraId="48E253E7"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 xml:space="preserve">Długość zmodernizowanych torów wodnych i </w:t>
            </w:r>
            <w:proofErr w:type="spellStart"/>
            <w:r w:rsidRPr="004E3242">
              <w:rPr>
                <w:rFonts w:ascii="Arial" w:hAnsi="Arial" w:cs="Arial"/>
                <w:spacing w:val="4"/>
                <w:sz w:val="16"/>
                <w:szCs w:val="16"/>
              </w:rPr>
              <w:t>podejściowych</w:t>
            </w:r>
            <w:proofErr w:type="spellEnd"/>
          </w:p>
        </w:tc>
        <w:tc>
          <w:tcPr>
            <w:tcW w:w="535" w:type="pct"/>
            <w:shd w:val="clear" w:color="auto" w:fill="F2F2F2"/>
            <w:vAlign w:val="center"/>
          </w:tcPr>
          <w:p w14:paraId="2DB98E80"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km</w:t>
            </w:r>
          </w:p>
        </w:tc>
        <w:tc>
          <w:tcPr>
            <w:tcW w:w="534" w:type="pct"/>
            <w:shd w:val="clear" w:color="auto" w:fill="F2F2F2"/>
            <w:vAlign w:val="center"/>
          </w:tcPr>
          <w:p w14:paraId="429C8636"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35" w:type="pct"/>
            <w:shd w:val="clear" w:color="auto" w:fill="F2F2F2"/>
            <w:vAlign w:val="center"/>
          </w:tcPr>
          <w:p w14:paraId="09D5AAE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36" w:type="pct"/>
            <w:shd w:val="clear" w:color="auto" w:fill="F2F2F2"/>
            <w:vAlign w:val="center"/>
          </w:tcPr>
          <w:p w14:paraId="650AE963" w14:textId="77777777" w:rsidR="004E3242" w:rsidRPr="004E3242" w:rsidRDefault="00463DDF"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r w:rsidRPr="00463DDF">
              <w:rPr>
                <w:rFonts w:ascii="Arial" w:hAnsi="Arial" w:cs="Arial"/>
                <w:spacing w:val="4"/>
                <w:sz w:val="16"/>
                <w:szCs w:val="16"/>
              </w:rPr>
              <w:t>70,0</w:t>
            </w:r>
          </w:p>
        </w:tc>
        <w:tc>
          <w:tcPr>
            <w:tcW w:w="536" w:type="pct"/>
            <w:shd w:val="clear" w:color="auto" w:fill="F2F2F2"/>
            <w:vAlign w:val="center"/>
          </w:tcPr>
          <w:p w14:paraId="6EA86A02"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39" w:type="pct"/>
            <w:shd w:val="clear" w:color="auto" w:fill="F2F2F2"/>
            <w:vAlign w:val="center"/>
          </w:tcPr>
          <w:p w14:paraId="4DF7AFE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bl>
    <w:p w14:paraId="34E15CE1" w14:textId="77777777" w:rsidR="00C20C54" w:rsidRDefault="00C20C54" w:rsidP="004E3242">
      <w:pPr>
        <w:spacing w:after="120" w:line="280" w:lineRule="atLeast"/>
        <w:jc w:val="both"/>
        <w:rPr>
          <w:rFonts w:ascii="Arial" w:hAnsi="Arial" w:cs="Arial"/>
          <w:bCs/>
          <w:smallCaps/>
          <w:color w:val="669900"/>
          <w:spacing w:val="4"/>
          <w:sz w:val="20"/>
          <w:szCs w:val="20"/>
        </w:rPr>
        <w:sectPr w:rsidR="00C20C54" w:rsidSect="00C73ABE">
          <w:pgSz w:w="11906" w:h="16838"/>
          <w:pgMar w:top="851" w:right="992" w:bottom="851" w:left="992" w:header="709" w:footer="159" w:gutter="0"/>
          <w:cols w:space="708"/>
          <w:titlePg/>
          <w:docGrid w:linePitch="360"/>
        </w:sectPr>
      </w:pPr>
    </w:p>
    <w:p w14:paraId="44B4EC32"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p>
    <w:p w14:paraId="6BD60670"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Ramy wykonania</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706"/>
        <w:gridCol w:w="1627"/>
        <w:gridCol w:w="1867"/>
        <w:gridCol w:w="1354"/>
        <w:gridCol w:w="1188"/>
        <w:gridCol w:w="1296"/>
        <w:gridCol w:w="2582"/>
        <w:gridCol w:w="1277"/>
        <w:gridCol w:w="1204"/>
        <w:gridCol w:w="2251"/>
      </w:tblGrid>
      <w:tr w:rsidR="004E3242" w:rsidRPr="004E3242" w14:paraId="618DC89E" w14:textId="77777777" w:rsidTr="00AA7998">
        <w:tc>
          <w:tcPr>
            <w:tcW w:w="230" w:type="pct"/>
            <w:shd w:val="clear" w:color="auto" w:fill="99CC00"/>
            <w:vAlign w:val="center"/>
          </w:tcPr>
          <w:p w14:paraId="0CC1F372"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530" w:type="pct"/>
            <w:shd w:val="clear" w:color="auto" w:fill="99CC00"/>
            <w:vAlign w:val="center"/>
          </w:tcPr>
          <w:p w14:paraId="07A52087"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608" w:type="pct"/>
            <w:shd w:val="clear" w:color="auto" w:fill="99CC00"/>
            <w:vAlign w:val="center"/>
          </w:tcPr>
          <w:p w14:paraId="64DD92CA"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441" w:type="pct"/>
            <w:shd w:val="clear" w:color="auto" w:fill="99CC00"/>
            <w:vAlign w:val="center"/>
          </w:tcPr>
          <w:p w14:paraId="23552E9E"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387" w:type="pct"/>
            <w:shd w:val="clear" w:color="auto" w:fill="99CC00"/>
            <w:vAlign w:val="center"/>
          </w:tcPr>
          <w:p w14:paraId="15EA3812"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422" w:type="pct"/>
            <w:shd w:val="clear" w:color="auto" w:fill="99CC00"/>
            <w:vAlign w:val="center"/>
          </w:tcPr>
          <w:p w14:paraId="5575C7C1"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841" w:type="pct"/>
            <w:shd w:val="clear" w:color="auto" w:fill="99CC00"/>
            <w:vAlign w:val="center"/>
          </w:tcPr>
          <w:p w14:paraId="227D2051"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416" w:type="pct"/>
            <w:shd w:val="clear" w:color="auto" w:fill="99CC00"/>
            <w:vAlign w:val="center"/>
          </w:tcPr>
          <w:p w14:paraId="354D77CD"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392" w:type="pct"/>
            <w:shd w:val="clear" w:color="auto" w:fill="99CC00"/>
            <w:vAlign w:val="center"/>
          </w:tcPr>
          <w:p w14:paraId="77F9CC09"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33" w:type="pct"/>
            <w:shd w:val="clear" w:color="auto" w:fill="99CC00"/>
            <w:vAlign w:val="center"/>
          </w:tcPr>
          <w:p w14:paraId="451569EF"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3ADF3BE5" w14:textId="77777777" w:rsidTr="00AA7998">
        <w:tc>
          <w:tcPr>
            <w:tcW w:w="230" w:type="pct"/>
            <w:shd w:val="clear" w:color="auto" w:fill="F2F2F2"/>
            <w:vAlign w:val="center"/>
          </w:tcPr>
          <w:p w14:paraId="17564A97"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1.</w:t>
            </w:r>
          </w:p>
        </w:tc>
        <w:tc>
          <w:tcPr>
            <w:tcW w:w="530" w:type="pct"/>
            <w:shd w:val="clear" w:color="auto" w:fill="F2F2F2"/>
            <w:vAlign w:val="center"/>
          </w:tcPr>
          <w:p w14:paraId="647839A0"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Wskaźnik finansowy</w:t>
            </w:r>
          </w:p>
        </w:tc>
        <w:tc>
          <w:tcPr>
            <w:tcW w:w="608" w:type="pct"/>
            <w:shd w:val="clear" w:color="auto" w:fill="F2F2F2"/>
            <w:vAlign w:val="center"/>
          </w:tcPr>
          <w:p w14:paraId="7347A6DC"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z w:val="16"/>
                <w:szCs w:val="16"/>
              </w:rPr>
              <w:t>Całkowita kwota certyfikowanych wydatków kwalifikowanych</w:t>
            </w:r>
          </w:p>
        </w:tc>
        <w:tc>
          <w:tcPr>
            <w:tcW w:w="441" w:type="pct"/>
            <w:shd w:val="clear" w:color="auto" w:fill="F2F2F2"/>
            <w:vAlign w:val="center"/>
          </w:tcPr>
          <w:p w14:paraId="1ED929CE"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EUR</w:t>
            </w:r>
          </w:p>
        </w:tc>
        <w:tc>
          <w:tcPr>
            <w:tcW w:w="387" w:type="pct"/>
            <w:shd w:val="clear" w:color="auto" w:fill="F2F2F2"/>
            <w:vAlign w:val="center"/>
          </w:tcPr>
          <w:p w14:paraId="0C257C43"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422" w:type="pct"/>
            <w:shd w:val="clear" w:color="auto" w:fill="F2F2F2"/>
            <w:vAlign w:val="center"/>
          </w:tcPr>
          <w:p w14:paraId="151CC134"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841" w:type="pct"/>
            <w:shd w:val="clear" w:color="auto" w:fill="F2F2F2"/>
            <w:vAlign w:val="center"/>
          </w:tcPr>
          <w:p w14:paraId="0B2C9779"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2 735 319 030</w:t>
            </w:r>
          </w:p>
        </w:tc>
        <w:tc>
          <w:tcPr>
            <w:tcW w:w="416" w:type="pct"/>
            <w:shd w:val="clear" w:color="auto" w:fill="F2F2F2"/>
            <w:vAlign w:val="center"/>
          </w:tcPr>
          <w:p w14:paraId="48BBBD8C" w14:textId="77777777" w:rsidR="00867EE1" w:rsidRDefault="00867EE1" w:rsidP="004E3242">
            <w:pPr>
              <w:spacing w:before="20" w:after="20"/>
              <w:jc w:val="center"/>
              <w:rPr>
                <w:rFonts w:ascii="Arial" w:hAnsi="Arial" w:cs="Arial"/>
                <w:spacing w:val="4"/>
                <w:sz w:val="16"/>
                <w:szCs w:val="16"/>
              </w:rPr>
            </w:pPr>
            <w:r>
              <w:rPr>
                <w:rFonts w:ascii="Arial" w:hAnsi="Arial" w:cs="Arial"/>
                <w:spacing w:val="4"/>
                <w:sz w:val="16"/>
                <w:szCs w:val="16"/>
              </w:rPr>
              <w:t xml:space="preserve">11 161 </w:t>
            </w:r>
            <w:r w:rsidRPr="00867EE1">
              <w:rPr>
                <w:rFonts w:ascii="Arial" w:hAnsi="Arial" w:cs="Arial"/>
                <w:spacing w:val="4"/>
                <w:sz w:val="16"/>
                <w:szCs w:val="16"/>
              </w:rPr>
              <w:t>182</w:t>
            </w:r>
            <w:r>
              <w:rPr>
                <w:rFonts w:ascii="Arial" w:hAnsi="Arial" w:cs="Arial"/>
                <w:spacing w:val="4"/>
                <w:sz w:val="16"/>
                <w:szCs w:val="16"/>
              </w:rPr>
              <w:t> </w:t>
            </w:r>
            <w:r w:rsidRPr="00867EE1">
              <w:rPr>
                <w:rFonts w:ascii="Arial" w:hAnsi="Arial" w:cs="Arial"/>
                <w:spacing w:val="4"/>
                <w:sz w:val="16"/>
                <w:szCs w:val="16"/>
              </w:rPr>
              <w:t>152</w:t>
            </w:r>
          </w:p>
          <w:p w14:paraId="65636D5D" w14:textId="77777777" w:rsidR="004E3242" w:rsidRPr="004E3242" w:rsidRDefault="00867EE1" w:rsidP="004E3242">
            <w:pPr>
              <w:spacing w:before="20" w:after="20"/>
              <w:jc w:val="center"/>
              <w:rPr>
                <w:rFonts w:ascii="Arial" w:hAnsi="Arial" w:cs="Arial"/>
                <w:spacing w:val="4"/>
                <w:sz w:val="16"/>
                <w:szCs w:val="16"/>
              </w:rPr>
            </w:pPr>
            <w:r>
              <w:rPr>
                <w:rFonts w:ascii="Arial" w:hAnsi="Arial" w:cs="Arial"/>
                <w:spacing w:val="4"/>
                <w:sz w:val="16"/>
                <w:szCs w:val="16"/>
              </w:rPr>
              <w:t xml:space="preserve"> </w:t>
            </w:r>
          </w:p>
        </w:tc>
        <w:tc>
          <w:tcPr>
            <w:tcW w:w="392" w:type="pct"/>
            <w:shd w:val="clear" w:color="auto" w:fill="F2F2F2"/>
            <w:vAlign w:val="center"/>
          </w:tcPr>
          <w:p w14:paraId="326769E5"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733" w:type="pct"/>
            <w:shd w:val="clear" w:color="auto" w:fill="F2F2F2"/>
            <w:vAlign w:val="center"/>
          </w:tcPr>
          <w:p w14:paraId="44563941"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1D6E0BE9" w14:textId="77777777" w:rsidTr="00AA7998">
        <w:tc>
          <w:tcPr>
            <w:tcW w:w="230" w:type="pct"/>
            <w:shd w:val="clear" w:color="auto" w:fill="F2F2F2"/>
            <w:vAlign w:val="center"/>
          </w:tcPr>
          <w:p w14:paraId="21098C65"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w:t>
            </w:r>
          </w:p>
        </w:tc>
        <w:tc>
          <w:tcPr>
            <w:tcW w:w="530" w:type="pct"/>
            <w:shd w:val="clear" w:color="auto" w:fill="F2F2F2"/>
            <w:vAlign w:val="center"/>
          </w:tcPr>
          <w:p w14:paraId="065BCE1F"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Wskaźnik produktu</w:t>
            </w:r>
          </w:p>
        </w:tc>
        <w:tc>
          <w:tcPr>
            <w:tcW w:w="608" w:type="pct"/>
            <w:shd w:val="clear" w:color="auto" w:fill="F2F2F2"/>
            <w:vAlign w:val="center"/>
          </w:tcPr>
          <w:p w14:paraId="0AFF1D0F"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Całkowita długość nowych dróg, w tym TEN-T</w:t>
            </w:r>
          </w:p>
        </w:tc>
        <w:tc>
          <w:tcPr>
            <w:tcW w:w="441" w:type="pct"/>
            <w:shd w:val="clear" w:color="auto" w:fill="F2F2F2"/>
            <w:vAlign w:val="center"/>
          </w:tcPr>
          <w:p w14:paraId="780A78DA"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km</w:t>
            </w:r>
          </w:p>
        </w:tc>
        <w:tc>
          <w:tcPr>
            <w:tcW w:w="387" w:type="pct"/>
            <w:shd w:val="clear" w:color="auto" w:fill="F2F2F2"/>
            <w:vAlign w:val="center"/>
          </w:tcPr>
          <w:p w14:paraId="44CB2A12"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422" w:type="pct"/>
            <w:shd w:val="clear" w:color="auto" w:fill="F2F2F2"/>
            <w:vAlign w:val="center"/>
          </w:tcPr>
          <w:p w14:paraId="4119DD84"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841" w:type="pct"/>
            <w:shd w:val="clear" w:color="auto" w:fill="F2F2F2"/>
            <w:vAlign w:val="center"/>
          </w:tcPr>
          <w:p w14:paraId="1853D6CA"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0</w:t>
            </w:r>
          </w:p>
        </w:tc>
        <w:tc>
          <w:tcPr>
            <w:tcW w:w="416" w:type="pct"/>
            <w:shd w:val="clear" w:color="auto" w:fill="F2F2F2"/>
            <w:vAlign w:val="center"/>
          </w:tcPr>
          <w:p w14:paraId="6363C1F2" w14:textId="77777777" w:rsidR="004E3242" w:rsidRPr="004E3242" w:rsidRDefault="00CE7E07" w:rsidP="004E3242">
            <w:pPr>
              <w:spacing w:before="20" w:after="20"/>
              <w:jc w:val="center"/>
              <w:rPr>
                <w:rFonts w:ascii="Arial" w:hAnsi="Arial" w:cs="Arial"/>
                <w:spacing w:val="4"/>
                <w:sz w:val="16"/>
                <w:szCs w:val="16"/>
              </w:rPr>
            </w:pPr>
            <w:r>
              <w:rPr>
                <w:rFonts w:ascii="Arial" w:hAnsi="Arial" w:cs="Arial"/>
                <w:spacing w:val="4"/>
                <w:sz w:val="16"/>
                <w:szCs w:val="16"/>
              </w:rPr>
              <w:t xml:space="preserve"> </w:t>
            </w:r>
            <w:r w:rsidRPr="00CE7E07">
              <w:rPr>
                <w:rFonts w:ascii="Arial" w:hAnsi="Arial" w:cs="Arial"/>
                <w:spacing w:val="4"/>
                <w:sz w:val="16"/>
                <w:szCs w:val="16"/>
              </w:rPr>
              <w:t>1 230</w:t>
            </w:r>
          </w:p>
        </w:tc>
        <w:tc>
          <w:tcPr>
            <w:tcW w:w="392" w:type="pct"/>
            <w:shd w:val="clear" w:color="auto" w:fill="F2F2F2"/>
            <w:vAlign w:val="center"/>
          </w:tcPr>
          <w:p w14:paraId="05145475"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733" w:type="pct"/>
            <w:shd w:val="clear" w:color="auto" w:fill="F2F2F2"/>
            <w:vAlign w:val="center"/>
          </w:tcPr>
          <w:p w14:paraId="77F8C36C"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Wskaźnik ten reprezentuje większość alokacji.</w:t>
            </w:r>
          </w:p>
        </w:tc>
      </w:tr>
      <w:tr w:rsidR="004E3242" w:rsidRPr="004E3242" w14:paraId="1F8381B3" w14:textId="77777777" w:rsidTr="00AA7998">
        <w:tc>
          <w:tcPr>
            <w:tcW w:w="230" w:type="pct"/>
            <w:shd w:val="clear" w:color="auto" w:fill="F2F2F2"/>
            <w:vAlign w:val="center"/>
          </w:tcPr>
          <w:p w14:paraId="21CB9EEC"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3.</w:t>
            </w:r>
          </w:p>
        </w:tc>
        <w:tc>
          <w:tcPr>
            <w:tcW w:w="530" w:type="pct"/>
            <w:shd w:val="clear" w:color="auto" w:fill="F2F2F2"/>
            <w:vAlign w:val="center"/>
          </w:tcPr>
          <w:p w14:paraId="1B9C7CD5"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Kluczowy etap wdrożeniowy</w:t>
            </w:r>
          </w:p>
        </w:tc>
        <w:tc>
          <w:tcPr>
            <w:tcW w:w="608" w:type="pct"/>
            <w:shd w:val="clear" w:color="auto" w:fill="F2F2F2"/>
            <w:vAlign w:val="center"/>
          </w:tcPr>
          <w:p w14:paraId="5D6DBA97"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Całkowita długość budowanych dróg według zawartych umów o dofinansowanie</w:t>
            </w:r>
          </w:p>
        </w:tc>
        <w:tc>
          <w:tcPr>
            <w:tcW w:w="441" w:type="pct"/>
            <w:shd w:val="clear" w:color="auto" w:fill="F2F2F2"/>
            <w:vAlign w:val="center"/>
          </w:tcPr>
          <w:p w14:paraId="559C0A12" w14:textId="77777777" w:rsidR="004E3242" w:rsidRPr="004E3242" w:rsidRDefault="004E3242" w:rsidP="004E3242">
            <w:pPr>
              <w:spacing w:before="20" w:after="20"/>
              <w:rPr>
                <w:rFonts w:ascii="Arial" w:hAnsi="Arial" w:cs="Arial"/>
                <w:spacing w:val="4"/>
                <w:sz w:val="16"/>
                <w:szCs w:val="16"/>
              </w:rPr>
            </w:pPr>
            <w:r w:rsidRPr="004E3242">
              <w:rPr>
                <w:rFonts w:ascii="Arial" w:hAnsi="Arial" w:cs="Arial"/>
                <w:spacing w:val="4"/>
                <w:sz w:val="16"/>
                <w:szCs w:val="16"/>
              </w:rPr>
              <w:t>km</w:t>
            </w:r>
          </w:p>
        </w:tc>
        <w:tc>
          <w:tcPr>
            <w:tcW w:w="387" w:type="pct"/>
            <w:shd w:val="clear" w:color="auto" w:fill="F2F2F2"/>
            <w:vAlign w:val="center"/>
          </w:tcPr>
          <w:p w14:paraId="5E3B3EDC"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422" w:type="pct"/>
            <w:shd w:val="clear" w:color="auto" w:fill="F2F2F2"/>
            <w:vAlign w:val="center"/>
          </w:tcPr>
          <w:p w14:paraId="21E77476"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841" w:type="pct"/>
            <w:shd w:val="clear" w:color="auto" w:fill="F2F2F2"/>
            <w:vAlign w:val="center"/>
          </w:tcPr>
          <w:p w14:paraId="476B93FB"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454</w:t>
            </w:r>
          </w:p>
        </w:tc>
        <w:tc>
          <w:tcPr>
            <w:tcW w:w="416" w:type="pct"/>
            <w:shd w:val="clear" w:color="auto" w:fill="F2F2F2"/>
            <w:vAlign w:val="center"/>
          </w:tcPr>
          <w:p w14:paraId="0518D81B"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w:t>
            </w:r>
          </w:p>
        </w:tc>
        <w:tc>
          <w:tcPr>
            <w:tcW w:w="392" w:type="pct"/>
            <w:shd w:val="clear" w:color="auto" w:fill="F2F2F2"/>
            <w:vAlign w:val="center"/>
          </w:tcPr>
          <w:p w14:paraId="25274812"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733" w:type="pct"/>
            <w:shd w:val="clear" w:color="auto" w:fill="F2F2F2"/>
            <w:vAlign w:val="center"/>
          </w:tcPr>
          <w:p w14:paraId="6F04A038"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Zawarcie umowy o dofinansowanie dla projektu świadczy o spełnieniu przez ten projekt kryteriów programowych. Ponadto jego dojrzałość inwestycyjna podlega szczegółowej ocenie przed zawarciem umowy o dofinansowanie.</w:t>
            </w:r>
          </w:p>
        </w:tc>
      </w:tr>
    </w:tbl>
    <w:p w14:paraId="13138586" w14:textId="77777777" w:rsidR="004E3242" w:rsidRPr="004E3242" w:rsidRDefault="004E3242" w:rsidP="004E3242">
      <w:pPr>
        <w:spacing w:before="240" w:after="120"/>
        <w:jc w:val="both"/>
        <w:rPr>
          <w:rFonts w:ascii="Arial" w:hAnsi="Arial" w:cs="Arial"/>
          <w:i/>
          <w:spacing w:val="4"/>
          <w:sz w:val="18"/>
          <w:szCs w:val="18"/>
        </w:rPr>
      </w:pPr>
      <w:r w:rsidRPr="004E3242">
        <w:rPr>
          <w:rFonts w:ascii="Arial" w:hAnsi="Arial" w:cs="Arial"/>
          <w:bCs/>
          <w:smallCaps/>
          <w:color w:val="669900"/>
          <w:spacing w:val="4"/>
          <w:sz w:val="20"/>
          <w:szCs w:val="20"/>
        </w:rPr>
        <w:t>Kategorie Interwencji (EUR)</w:t>
      </w:r>
    </w:p>
    <w:tbl>
      <w:tblPr>
        <w:tblW w:w="501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1228"/>
        <w:gridCol w:w="2399"/>
        <w:gridCol w:w="561"/>
        <w:gridCol w:w="358"/>
        <w:gridCol w:w="872"/>
        <w:gridCol w:w="1547"/>
        <w:gridCol w:w="438"/>
        <w:gridCol w:w="570"/>
        <w:gridCol w:w="1393"/>
        <w:gridCol w:w="1412"/>
        <w:gridCol w:w="505"/>
        <w:gridCol w:w="2302"/>
        <w:gridCol w:w="1415"/>
        <w:gridCol w:w="410"/>
      </w:tblGrid>
      <w:tr w:rsidR="004E3242" w:rsidRPr="004E3242" w14:paraId="03D3B2FE" w14:textId="77777777" w:rsidTr="00AA7998">
        <w:trPr>
          <w:gridAfter w:val="1"/>
          <w:wAfter w:w="133" w:type="pct"/>
          <w:trHeight w:val="163"/>
        </w:trPr>
        <w:tc>
          <w:tcPr>
            <w:tcW w:w="1176" w:type="pct"/>
            <w:gridSpan w:val="2"/>
            <w:shd w:val="clear" w:color="auto" w:fill="99CC00"/>
          </w:tcPr>
          <w:p w14:paraId="6EF622D2"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Obszar interwencji</w:t>
            </w:r>
          </w:p>
        </w:tc>
        <w:tc>
          <w:tcPr>
            <w:tcW w:w="182" w:type="pct"/>
            <w:shd w:val="clear" w:color="auto" w:fill="FFFFFF"/>
          </w:tcPr>
          <w:p w14:paraId="73A2B484" w14:textId="77777777" w:rsidR="004E3242" w:rsidRPr="004E3242" w:rsidRDefault="004E3242" w:rsidP="004E3242">
            <w:pPr>
              <w:spacing w:before="20" w:after="20"/>
              <w:jc w:val="center"/>
              <w:rPr>
                <w:rFonts w:ascii="Arial" w:hAnsi="Arial" w:cs="Arial"/>
                <w:b/>
                <w:color w:val="FFFFFF"/>
                <w:sz w:val="16"/>
                <w:szCs w:val="16"/>
              </w:rPr>
            </w:pPr>
          </w:p>
        </w:tc>
        <w:tc>
          <w:tcPr>
            <w:tcW w:w="1043" w:type="pct"/>
            <w:gridSpan w:val="4"/>
            <w:shd w:val="clear" w:color="auto" w:fill="99CC00"/>
          </w:tcPr>
          <w:p w14:paraId="43F43140"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Forma finansowania</w:t>
            </w:r>
          </w:p>
        </w:tc>
        <w:tc>
          <w:tcPr>
            <w:tcW w:w="185" w:type="pct"/>
            <w:shd w:val="clear" w:color="auto" w:fill="FFFFFF"/>
          </w:tcPr>
          <w:p w14:paraId="0A12437D" w14:textId="77777777" w:rsidR="004E3242" w:rsidRPr="004E3242" w:rsidRDefault="004E3242" w:rsidP="004E3242">
            <w:pPr>
              <w:spacing w:before="20" w:after="20"/>
              <w:jc w:val="center"/>
              <w:rPr>
                <w:rFonts w:ascii="Arial" w:hAnsi="Arial" w:cs="Arial"/>
                <w:b/>
                <w:color w:val="FFFFFF"/>
                <w:sz w:val="16"/>
                <w:szCs w:val="16"/>
              </w:rPr>
            </w:pPr>
          </w:p>
        </w:tc>
        <w:tc>
          <w:tcPr>
            <w:tcW w:w="910" w:type="pct"/>
            <w:gridSpan w:val="2"/>
            <w:shd w:val="clear" w:color="auto" w:fill="99CC00"/>
          </w:tcPr>
          <w:p w14:paraId="79B3C0B6"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Terytorium</w:t>
            </w:r>
          </w:p>
        </w:tc>
        <w:tc>
          <w:tcPr>
            <w:tcW w:w="164" w:type="pct"/>
            <w:shd w:val="clear" w:color="auto" w:fill="FFFFFF"/>
          </w:tcPr>
          <w:p w14:paraId="7FF5100E" w14:textId="77777777" w:rsidR="004E3242" w:rsidRPr="004E3242" w:rsidRDefault="004E3242" w:rsidP="004E3242">
            <w:pPr>
              <w:spacing w:before="20" w:after="20"/>
              <w:jc w:val="center"/>
              <w:rPr>
                <w:rFonts w:ascii="Arial" w:hAnsi="Arial" w:cs="Arial"/>
                <w:b/>
                <w:color w:val="FFFFFF"/>
                <w:sz w:val="16"/>
                <w:szCs w:val="16"/>
              </w:rPr>
            </w:pPr>
          </w:p>
        </w:tc>
        <w:tc>
          <w:tcPr>
            <w:tcW w:w="1206" w:type="pct"/>
            <w:gridSpan w:val="2"/>
            <w:shd w:val="clear" w:color="auto" w:fill="99CC00"/>
          </w:tcPr>
          <w:p w14:paraId="7775F8B8"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Mechanizmy realizacji wymiaru terytorialnego</w:t>
            </w:r>
          </w:p>
        </w:tc>
      </w:tr>
      <w:tr w:rsidR="004E3242" w:rsidRPr="004E3242" w14:paraId="6E5ACD3A" w14:textId="77777777" w:rsidTr="00AA7998">
        <w:trPr>
          <w:gridAfter w:val="1"/>
          <w:wAfter w:w="133" w:type="pct"/>
          <w:trHeight w:val="67"/>
        </w:trPr>
        <w:tc>
          <w:tcPr>
            <w:tcW w:w="398" w:type="pct"/>
            <w:shd w:val="clear" w:color="auto" w:fill="99CC00"/>
          </w:tcPr>
          <w:p w14:paraId="6B866F65"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778" w:type="pct"/>
            <w:shd w:val="clear" w:color="auto" w:fill="99CC00"/>
          </w:tcPr>
          <w:p w14:paraId="1F6C6D94"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82" w:type="pct"/>
            <w:shd w:val="clear" w:color="auto" w:fill="FFFFFF"/>
          </w:tcPr>
          <w:p w14:paraId="1DB49239" w14:textId="77777777" w:rsidR="004E3242" w:rsidRPr="004E3242" w:rsidRDefault="004E3242" w:rsidP="004E3242">
            <w:pPr>
              <w:spacing w:before="20" w:after="20"/>
              <w:jc w:val="center"/>
              <w:rPr>
                <w:rFonts w:ascii="Arial" w:hAnsi="Arial" w:cs="Arial"/>
                <w:b/>
                <w:color w:val="FFFFFF"/>
                <w:sz w:val="16"/>
                <w:szCs w:val="16"/>
              </w:rPr>
            </w:pPr>
          </w:p>
        </w:tc>
        <w:tc>
          <w:tcPr>
            <w:tcW w:w="399" w:type="pct"/>
            <w:gridSpan w:val="2"/>
            <w:shd w:val="clear" w:color="auto" w:fill="99CC00"/>
          </w:tcPr>
          <w:p w14:paraId="335A44D0"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644" w:type="pct"/>
            <w:gridSpan w:val="2"/>
            <w:shd w:val="clear" w:color="auto" w:fill="99CC00"/>
          </w:tcPr>
          <w:p w14:paraId="290EAA91"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85" w:type="pct"/>
            <w:shd w:val="clear" w:color="auto" w:fill="FFFFFF"/>
          </w:tcPr>
          <w:p w14:paraId="32B24FB3" w14:textId="77777777" w:rsidR="004E3242" w:rsidRPr="004E3242" w:rsidRDefault="004E3242" w:rsidP="004E3242">
            <w:pPr>
              <w:spacing w:before="20" w:after="20"/>
              <w:jc w:val="center"/>
              <w:rPr>
                <w:rFonts w:ascii="Arial" w:hAnsi="Arial" w:cs="Arial"/>
                <w:b/>
                <w:color w:val="FFFFFF"/>
                <w:sz w:val="16"/>
                <w:szCs w:val="16"/>
              </w:rPr>
            </w:pPr>
          </w:p>
        </w:tc>
        <w:tc>
          <w:tcPr>
            <w:tcW w:w="452" w:type="pct"/>
            <w:shd w:val="clear" w:color="auto" w:fill="99CC00"/>
          </w:tcPr>
          <w:p w14:paraId="7DA84364"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458" w:type="pct"/>
            <w:shd w:val="clear" w:color="auto" w:fill="99CC00"/>
          </w:tcPr>
          <w:p w14:paraId="3B2E4A77"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64" w:type="pct"/>
            <w:shd w:val="clear" w:color="auto" w:fill="FFFFFF"/>
          </w:tcPr>
          <w:p w14:paraId="79EB89E0" w14:textId="77777777" w:rsidR="004E3242" w:rsidRPr="004E3242" w:rsidRDefault="004E3242" w:rsidP="004E3242">
            <w:pPr>
              <w:spacing w:before="20" w:after="20"/>
              <w:jc w:val="center"/>
              <w:rPr>
                <w:rFonts w:ascii="Arial" w:hAnsi="Arial" w:cs="Arial"/>
                <w:b/>
                <w:color w:val="FFFFFF"/>
                <w:sz w:val="16"/>
                <w:szCs w:val="16"/>
              </w:rPr>
            </w:pPr>
          </w:p>
        </w:tc>
        <w:tc>
          <w:tcPr>
            <w:tcW w:w="747" w:type="pct"/>
            <w:shd w:val="clear" w:color="auto" w:fill="99CC00"/>
          </w:tcPr>
          <w:p w14:paraId="5C153DA0"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459" w:type="pct"/>
            <w:shd w:val="clear" w:color="auto" w:fill="99CC00"/>
          </w:tcPr>
          <w:p w14:paraId="35EA08A7"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r>
      <w:tr w:rsidR="004E3242" w:rsidRPr="004E3242" w14:paraId="07DB6303" w14:textId="77777777" w:rsidTr="00AA7998">
        <w:trPr>
          <w:gridAfter w:val="1"/>
          <w:wAfter w:w="133" w:type="pct"/>
          <w:trHeight w:val="114"/>
        </w:trPr>
        <w:tc>
          <w:tcPr>
            <w:tcW w:w="398" w:type="pct"/>
            <w:shd w:val="clear" w:color="auto" w:fill="F2F2F2"/>
          </w:tcPr>
          <w:p w14:paraId="2C800CC1"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028</w:t>
            </w:r>
          </w:p>
        </w:tc>
        <w:tc>
          <w:tcPr>
            <w:tcW w:w="778" w:type="pct"/>
            <w:shd w:val="clear" w:color="auto" w:fill="F2F2F2"/>
          </w:tcPr>
          <w:p w14:paraId="47760421"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sz w:val="16"/>
                <w:szCs w:val="16"/>
              </w:rPr>
              <w:t xml:space="preserve">3 863 218 418    </w:t>
            </w:r>
          </w:p>
        </w:tc>
        <w:tc>
          <w:tcPr>
            <w:tcW w:w="182" w:type="pct"/>
            <w:shd w:val="clear" w:color="auto" w:fill="FFFFFF"/>
          </w:tcPr>
          <w:p w14:paraId="158952C9"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399" w:type="pct"/>
            <w:gridSpan w:val="2"/>
            <w:shd w:val="clear" w:color="auto" w:fill="F2F2F2"/>
          </w:tcPr>
          <w:p w14:paraId="5039B8F8"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01</w:t>
            </w:r>
          </w:p>
        </w:tc>
        <w:tc>
          <w:tcPr>
            <w:tcW w:w="644" w:type="pct"/>
            <w:gridSpan w:val="2"/>
            <w:shd w:val="clear" w:color="auto" w:fill="F2F2F2"/>
          </w:tcPr>
          <w:p w14:paraId="5179D4AA" w14:textId="77777777" w:rsidR="006F656C" w:rsidRDefault="006F656C" w:rsidP="004E3242">
            <w:pPr>
              <w:spacing w:before="20" w:after="20"/>
              <w:jc w:val="center"/>
              <w:rPr>
                <w:rFonts w:ascii="Arial" w:hAnsi="Arial" w:cs="Arial"/>
                <w:sz w:val="16"/>
                <w:szCs w:val="16"/>
              </w:rPr>
            </w:pPr>
            <w:r w:rsidRPr="006F656C">
              <w:rPr>
                <w:rFonts w:ascii="Arial" w:hAnsi="Arial" w:cs="Arial"/>
                <w:sz w:val="16"/>
                <w:szCs w:val="16"/>
              </w:rPr>
              <w:t>9 487 004</w:t>
            </w:r>
            <w:r>
              <w:rPr>
                <w:rFonts w:ascii="Arial" w:hAnsi="Arial" w:cs="Arial"/>
                <w:sz w:val="16"/>
                <w:szCs w:val="16"/>
              </w:rPr>
              <w:t> </w:t>
            </w:r>
            <w:r w:rsidRPr="006F656C">
              <w:rPr>
                <w:rFonts w:ascii="Arial" w:hAnsi="Arial" w:cs="Arial"/>
                <w:sz w:val="16"/>
                <w:szCs w:val="16"/>
              </w:rPr>
              <w:t>829</w:t>
            </w:r>
          </w:p>
          <w:p w14:paraId="49E05E0A" w14:textId="77777777" w:rsidR="004E3242" w:rsidRPr="004E3242" w:rsidRDefault="004E3242" w:rsidP="004E3242">
            <w:pPr>
              <w:spacing w:before="20" w:after="20"/>
              <w:jc w:val="center"/>
              <w:rPr>
                <w:rFonts w:ascii="Arial" w:hAnsi="Arial" w:cs="Arial"/>
                <w:sz w:val="16"/>
                <w:szCs w:val="16"/>
              </w:rPr>
            </w:pPr>
          </w:p>
        </w:tc>
        <w:tc>
          <w:tcPr>
            <w:tcW w:w="185" w:type="pct"/>
            <w:shd w:val="clear" w:color="auto" w:fill="FFFFFF"/>
          </w:tcPr>
          <w:p w14:paraId="3F848F22"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452" w:type="pct"/>
            <w:shd w:val="clear" w:color="auto" w:fill="F2F2F2"/>
          </w:tcPr>
          <w:p w14:paraId="5B73DB99"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458" w:type="pct"/>
            <w:shd w:val="clear" w:color="auto" w:fill="F2F2F2"/>
          </w:tcPr>
          <w:p w14:paraId="06BC6B08" w14:textId="77777777" w:rsidR="006F656C" w:rsidRDefault="006F656C" w:rsidP="004E3242">
            <w:pPr>
              <w:spacing w:before="20" w:after="20"/>
              <w:jc w:val="center"/>
              <w:rPr>
                <w:rFonts w:ascii="Arial" w:hAnsi="Arial" w:cs="Arial"/>
                <w:sz w:val="16"/>
                <w:szCs w:val="16"/>
              </w:rPr>
            </w:pPr>
            <w:r w:rsidRPr="006F656C">
              <w:rPr>
                <w:rFonts w:ascii="Arial" w:hAnsi="Arial" w:cs="Arial"/>
                <w:sz w:val="16"/>
                <w:szCs w:val="16"/>
              </w:rPr>
              <w:t>9 487 004</w:t>
            </w:r>
            <w:r>
              <w:rPr>
                <w:rFonts w:ascii="Arial" w:hAnsi="Arial" w:cs="Arial"/>
                <w:sz w:val="16"/>
                <w:szCs w:val="16"/>
              </w:rPr>
              <w:t> </w:t>
            </w:r>
            <w:r w:rsidRPr="006F656C">
              <w:rPr>
                <w:rFonts w:ascii="Arial" w:hAnsi="Arial" w:cs="Arial"/>
                <w:sz w:val="16"/>
                <w:szCs w:val="16"/>
              </w:rPr>
              <w:t>829</w:t>
            </w:r>
          </w:p>
          <w:p w14:paraId="0562BB58" w14:textId="77777777" w:rsidR="004E3242" w:rsidRPr="004E3242" w:rsidRDefault="004E3242" w:rsidP="004E3242">
            <w:pPr>
              <w:spacing w:before="20" w:after="20"/>
              <w:jc w:val="center"/>
              <w:rPr>
                <w:rFonts w:ascii="Arial" w:hAnsi="Arial" w:cs="Arial"/>
                <w:sz w:val="16"/>
                <w:szCs w:val="16"/>
              </w:rPr>
            </w:pPr>
          </w:p>
        </w:tc>
        <w:tc>
          <w:tcPr>
            <w:tcW w:w="164" w:type="pct"/>
            <w:shd w:val="clear" w:color="auto" w:fill="FFFFFF"/>
          </w:tcPr>
          <w:p w14:paraId="37B9E39B"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747" w:type="pct"/>
            <w:shd w:val="clear" w:color="auto" w:fill="F2F2F2"/>
          </w:tcPr>
          <w:p w14:paraId="715D7378"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459" w:type="pct"/>
            <w:shd w:val="clear" w:color="auto" w:fill="F2F2F2"/>
          </w:tcPr>
          <w:p w14:paraId="2923AB58" w14:textId="77777777" w:rsidR="006F656C" w:rsidRDefault="006F656C" w:rsidP="004E3242">
            <w:pPr>
              <w:spacing w:before="20" w:after="20"/>
              <w:jc w:val="center"/>
              <w:rPr>
                <w:rFonts w:ascii="Arial" w:hAnsi="Arial" w:cs="Arial"/>
                <w:sz w:val="16"/>
                <w:szCs w:val="16"/>
              </w:rPr>
            </w:pPr>
            <w:r w:rsidRPr="006F656C">
              <w:rPr>
                <w:rFonts w:ascii="Arial" w:hAnsi="Arial" w:cs="Arial"/>
                <w:sz w:val="16"/>
                <w:szCs w:val="16"/>
              </w:rPr>
              <w:t>9 487 004</w:t>
            </w:r>
            <w:r>
              <w:rPr>
                <w:rFonts w:ascii="Arial" w:hAnsi="Arial" w:cs="Arial"/>
                <w:sz w:val="16"/>
                <w:szCs w:val="16"/>
              </w:rPr>
              <w:t> </w:t>
            </w:r>
            <w:r w:rsidRPr="006F656C">
              <w:rPr>
                <w:rFonts w:ascii="Arial" w:hAnsi="Arial" w:cs="Arial"/>
                <w:sz w:val="16"/>
                <w:szCs w:val="16"/>
              </w:rPr>
              <w:t>829</w:t>
            </w:r>
          </w:p>
          <w:p w14:paraId="58712669" w14:textId="77777777" w:rsidR="004E3242" w:rsidRPr="004E3242" w:rsidRDefault="004E3242" w:rsidP="004E3242">
            <w:pPr>
              <w:spacing w:before="20" w:after="20"/>
              <w:jc w:val="center"/>
              <w:rPr>
                <w:rFonts w:ascii="Arial" w:hAnsi="Arial" w:cs="Arial"/>
                <w:sz w:val="16"/>
                <w:szCs w:val="16"/>
              </w:rPr>
            </w:pPr>
          </w:p>
        </w:tc>
      </w:tr>
      <w:tr w:rsidR="004E3242" w:rsidRPr="004E3242" w14:paraId="57644766" w14:textId="77777777" w:rsidTr="00AA7998">
        <w:trPr>
          <w:gridAfter w:val="1"/>
          <w:wAfter w:w="133" w:type="pct"/>
          <w:trHeight w:val="141"/>
        </w:trPr>
        <w:tc>
          <w:tcPr>
            <w:tcW w:w="398" w:type="pct"/>
            <w:shd w:val="clear" w:color="auto" w:fill="F2F2F2"/>
          </w:tcPr>
          <w:p w14:paraId="06722DE7"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029</w:t>
            </w:r>
          </w:p>
        </w:tc>
        <w:tc>
          <w:tcPr>
            <w:tcW w:w="778" w:type="pct"/>
            <w:shd w:val="clear" w:color="auto" w:fill="F2F2F2"/>
          </w:tcPr>
          <w:p w14:paraId="6557B927"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sz w:val="16"/>
                <w:szCs w:val="16"/>
              </w:rPr>
              <w:t xml:space="preserve">4 000 000 000    </w:t>
            </w:r>
          </w:p>
        </w:tc>
        <w:tc>
          <w:tcPr>
            <w:tcW w:w="182" w:type="pct"/>
            <w:shd w:val="clear" w:color="auto" w:fill="FFFFFF"/>
          </w:tcPr>
          <w:p w14:paraId="7166FCE2" w14:textId="77777777" w:rsidR="004E3242" w:rsidRPr="004E3242" w:rsidRDefault="004E3242" w:rsidP="004E3242">
            <w:pPr>
              <w:spacing w:before="20" w:after="20"/>
              <w:jc w:val="center"/>
              <w:rPr>
                <w:rFonts w:ascii="Arial" w:hAnsi="Arial" w:cs="Arial"/>
                <w:b/>
                <w:color w:val="FFFFFF"/>
                <w:sz w:val="16"/>
                <w:szCs w:val="16"/>
              </w:rPr>
            </w:pPr>
          </w:p>
        </w:tc>
        <w:tc>
          <w:tcPr>
            <w:tcW w:w="399" w:type="pct"/>
            <w:gridSpan w:val="2"/>
            <w:shd w:val="clear" w:color="auto" w:fill="D6E3BC"/>
          </w:tcPr>
          <w:p w14:paraId="170063A3"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644" w:type="pct"/>
            <w:gridSpan w:val="2"/>
            <w:shd w:val="clear" w:color="auto" w:fill="D6E3BC"/>
          </w:tcPr>
          <w:p w14:paraId="04FB2FAC" w14:textId="77777777" w:rsidR="006F656C" w:rsidRDefault="006F656C" w:rsidP="004E3242">
            <w:pPr>
              <w:spacing w:before="20" w:after="20"/>
              <w:jc w:val="center"/>
              <w:rPr>
                <w:rFonts w:ascii="Arial" w:hAnsi="Arial" w:cs="Arial"/>
                <w:sz w:val="16"/>
                <w:szCs w:val="16"/>
              </w:rPr>
            </w:pPr>
            <w:r w:rsidRPr="006F656C">
              <w:rPr>
                <w:rFonts w:ascii="Arial" w:hAnsi="Arial" w:cs="Arial"/>
                <w:sz w:val="16"/>
                <w:szCs w:val="16"/>
              </w:rPr>
              <w:t>9 487 004</w:t>
            </w:r>
            <w:r>
              <w:rPr>
                <w:rFonts w:ascii="Arial" w:hAnsi="Arial" w:cs="Arial"/>
                <w:sz w:val="16"/>
                <w:szCs w:val="16"/>
              </w:rPr>
              <w:t> </w:t>
            </w:r>
            <w:r w:rsidRPr="006F656C">
              <w:rPr>
                <w:rFonts w:ascii="Arial" w:hAnsi="Arial" w:cs="Arial"/>
                <w:sz w:val="16"/>
                <w:szCs w:val="16"/>
              </w:rPr>
              <w:t>829</w:t>
            </w:r>
          </w:p>
          <w:p w14:paraId="33608997" w14:textId="77777777" w:rsidR="004E3242" w:rsidRPr="004E3242" w:rsidRDefault="004E3242" w:rsidP="004E3242">
            <w:pPr>
              <w:spacing w:before="20" w:after="20"/>
              <w:jc w:val="center"/>
              <w:rPr>
                <w:rFonts w:ascii="Arial" w:hAnsi="Arial" w:cs="Arial"/>
                <w:sz w:val="16"/>
                <w:szCs w:val="16"/>
              </w:rPr>
            </w:pPr>
          </w:p>
        </w:tc>
        <w:tc>
          <w:tcPr>
            <w:tcW w:w="185" w:type="pct"/>
            <w:shd w:val="clear" w:color="auto" w:fill="FFFFFF"/>
          </w:tcPr>
          <w:p w14:paraId="198B30DD" w14:textId="77777777" w:rsidR="004E3242" w:rsidRPr="004E3242" w:rsidRDefault="004E3242" w:rsidP="004E3242">
            <w:pPr>
              <w:spacing w:before="20" w:after="20"/>
              <w:jc w:val="center"/>
              <w:rPr>
                <w:rFonts w:ascii="Arial" w:hAnsi="Arial" w:cs="Arial"/>
                <w:color w:val="FFFFFF"/>
                <w:sz w:val="16"/>
                <w:szCs w:val="16"/>
              </w:rPr>
            </w:pPr>
          </w:p>
        </w:tc>
        <w:tc>
          <w:tcPr>
            <w:tcW w:w="452" w:type="pct"/>
            <w:shd w:val="clear" w:color="auto" w:fill="D6E3BC"/>
          </w:tcPr>
          <w:p w14:paraId="0BDE3AF2"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458" w:type="pct"/>
            <w:shd w:val="clear" w:color="auto" w:fill="D6E3BC"/>
          </w:tcPr>
          <w:p w14:paraId="67881347" w14:textId="77777777" w:rsidR="006F656C" w:rsidRDefault="006F656C" w:rsidP="004E3242">
            <w:pPr>
              <w:spacing w:before="20" w:after="20"/>
              <w:jc w:val="center"/>
              <w:rPr>
                <w:rFonts w:ascii="Arial" w:hAnsi="Arial" w:cs="Arial"/>
                <w:sz w:val="16"/>
                <w:szCs w:val="16"/>
              </w:rPr>
            </w:pPr>
            <w:r w:rsidRPr="006F656C">
              <w:rPr>
                <w:rFonts w:ascii="Arial" w:hAnsi="Arial" w:cs="Arial"/>
                <w:sz w:val="16"/>
                <w:szCs w:val="16"/>
              </w:rPr>
              <w:t>9 487 004</w:t>
            </w:r>
            <w:r>
              <w:rPr>
                <w:rFonts w:ascii="Arial" w:hAnsi="Arial" w:cs="Arial"/>
                <w:sz w:val="16"/>
                <w:szCs w:val="16"/>
              </w:rPr>
              <w:t> </w:t>
            </w:r>
            <w:r w:rsidRPr="006F656C">
              <w:rPr>
                <w:rFonts w:ascii="Arial" w:hAnsi="Arial" w:cs="Arial"/>
                <w:sz w:val="16"/>
                <w:szCs w:val="16"/>
              </w:rPr>
              <w:t>829</w:t>
            </w:r>
          </w:p>
          <w:p w14:paraId="6A5881ED" w14:textId="77777777" w:rsidR="004E3242" w:rsidRPr="004E3242" w:rsidRDefault="004E3242" w:rsidP="004E3242">
            <w:pPr>
              <w:spacing w:before="20" w:after="20"/>
              <w:jc w:val="center"/>
              <w:rPr>
                <w:rFonts w:ascii="Arial" w:hAnsi="Arial" w:cs="Arial"/>
                <w:sz w:val="16"/>
                <w:szCs w:val="16"/>
              </w:rPr>
            </w:pPr>
          </w:p>
        </w:tc>
        <w:tc>
          <w:tcPr>
            <w:tcW w:w="164" w:type="pct"/>
            <w:shd w:val="clear" w:color="auto" w:fill="FFFFFF"/>
          </w:tcPr>
          <w:p w14:paraId="607D59F5" w14:textId="77777777" w:rsidR="004E3242" w:rsidRPr="004E3242" w:rsidRDefault="004E3242" w:rsidP="004E3242">
            <w:pPr>
              <w:spacing w:before="20" w:after="20"/>
              <w:jc w:val="center"/>
              <w:rPr>
                <w:rFonts w:ascii="Arial" w:hAnsi="Arial" w:cs="Arial"/>
                <w:color w:val="FFFFFF"/>
                <w:sz w:val="16"/>
                <w:szCs w:val="16"/>
              </w:rPr>
            </w:pPr>
          </w:p>
        </w:tc>
        <w:tc>
          <w:tcPr>
            <w:tcW w:w="747" w:type="pct"/>
            <w:shd w:val="clear" w:color="auto" w:fill="D6E3BC"/>
          </w:tcPr>
          <w:p w14:paraId="43F0E552"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459" w:type="pct"/>
            <w:shd w:val="clear" w:color="auto" w:fill="D6E3BC"/>
          </w:tcPr>
          <w:p w14:paraId="0B9A420D" w14:textId="77777777" w:rsidR="006F656C" w:rsidRDefault="006F656C" w:rsidP="004E3242">
            <w:pPr>
              <w:spacing w:before="20" w:after="20"/>
              <w:jc w:val="center"/>
              <w:rPr>
                <w:rFonts w:ascii="Arial" w:hAnsi="Arial" w:cs="Arial"/>
                <w:sz w:val="16"/>
                <w:szCs w:val="16"/>
              </w:rPr>
            </w:pPr>
            <w:r w:rsidRPr="006F656C">
              <w:rPr>
                <w:rFonts w:ascii="Arial" w:hAnsi="Arial" w:cs="Arial"/>
                <w:sz w:val="16"/>
                <w:szCs w:val="16"/>
              </w:rPr>
              <w:t>9 487 004</w:t>
            </w:r>
            <w:r>
              <w:rPr>
                <w:rFonts w:ascii="Arial" w:hAnsi="Arial" w:cs="Arial"/>
                <w:sz w:val="16"/>
                <w:szCs w:val="16"/>
              </w:rPr>
              <w:t> </w:t>
            </w:r>
            <w:r w:rsidRPr="006F656C">
              <w:rPr>
                <w:rFonts w:ascii="Arial" w:hAnsi="Arial" w:cs="Arial"/>
                <w:sz w:val="16"/>
                <w:szCs w:val="16"/>
              </w:rPr>
              <w:t>829</w:t>
            </w:r>
          </w:p>
          <w:p w14:paraId="37E4963C" w14:textId="77777777" w:rsidR="004E3242" w:rsidRPr="004E3242" w:rsidRDefault="004E3242" w:rsidP="004E3242">
            <w:pPr>
              <w:spacing w:before="20" w:after="20"/>
              <w:jc w:val="center"/>
              <w:rPr>
                <w:rFonts w:ascii="Arial" w:hAnsi="Arial" w:cs="Arial"/>
                <w:sz w:val="16"/>
                <w:szCs w:val="16"/>
              </w:rPr>
            </w:pPr>
          </w:p>
        </w:tc>
      </w:tr>
      <w:tr w:rsidR="004E3242" w:rsidRPr="004E3242" w14:paraId="32762963" w14:textId="77777777" w:rsidTr="00AA7998">
        <w:trPr>
          <w:trHeight w:val="418"/>
        </w:trPr>
        <w:tc>
          <w:tcPr>
            <w:tcW w:w="398" w:type="pct"/>
            <w:shd w:val="clear" w:color="auto" w:fill="F2F2F2"/>
          </w:tcPr>
          <w:p w14:paraId="3D13F876"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033</w:t>
            </w:r>
          </w:p>
        </w:tc>
        <w:tc>
          <w:tcPr>
            <w:tcW w:w="778" w:type="pct"/>
            <w:shd w:val="clear" w:color="auto" w:fill="F2F2F2"/>
          </w:tcPr>
          <w:p w14:paraId="422F89A1"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 xml:space="preserve">250 000 000    </w:t>
            </w:r>
          </w:p>
        </w:tc>
        <w:tc>
          <w:tcPr>
            <w:tcW w:w="182" w:type="pct"/>
            <w:shd w:val="clear" w:color="auto" w:fill="FFFFFF"/>
          </w:tcPr>
          <w:p w14:paraId="34BFB942" w14:textId="77777777" w:rsidR="004E3242" w:rsidRPr="004E3242" w:rsidRDefault="004E3242" w:rsidP="004E3242">
            <w:pPr>
              <w:spacing w:before="20" w:after="20"/>
              <w:rPr>
                <w:rFonts w:ascii="Arial" w:hAnsi="Arial" w:cs="Arial"/>
                <w:sz w:val="16"/>
                <w:szCs w:val="16"/>
              </w:rPr>
            </w:pPr>
          </w:p>
        </w:tc>
        <w:tc>
          <w:tcPr>
            <w:tcW w:w="116" w:type="pct"/>
            <w:shd w:val="clear" w:color="auto" w:fill="FFFFFF"/>
          </w:tcPr>
          <w:p w14:paraId="3A32F5AA" w14:textId="77777777" w:rsidR="004E3242" w:rsidRPr="004E3242" w:rsidRDefault="004E3242" w:rsidP="004E3242">
            <w:pPr>
              <w:spacing w:before="20" w:after="20"/>
              <w:jc w:val="center"/>
              <w:rPr>
                <w:rFonts w:ascii="Arial" w:hAnsi="Arial" w:cs="Arial"/>
                <w:sz w:val="16"/>
                <w:szCs w:val="16"/>
              </w:rPr>
            </w:pPr>
          </w:p>
        </w:tc>
        <w:tc>
          <w:tcPr>
            <w:tcW w:w="785" w:type="pct"/>
            <w:gridSpan w:val="2"/>
            <w:shd w:val="clear" w:color="auto" w:fill="FFFFFF"/>
          </w:tcPr>
          <w:p w14:paraId="500748AF" w14:textId="77777777" w:rsidR="004E3242" w:rsidRPr="004E3242" w:rsidRDefault="004E3242" w:rsidP="004E3242">
            <w:pPr>
              <w:spacing w:before="20" w:after="20"/>
              <w:jc w:val="center"/>
              <w:rPr>
                <w:rFonts w:ascii="Arial" w:hAnsi="Arial" w:cs="Arial"/>
                <w:sz w:val="16"/>
                <w:szCs w:val="16"/>
              </w:rPr>
            </w:pPr>
          </w:p>
        </w:tc>
        <w:tc>
          <w:tcPr>
            <w:tcW w:w="2740" w:type="pct"/>
            <w:gridSpan w:val="8"/>
            <w:vMerge w:val="restart"/>
            <w:shd w:val="clear" w:color="auto" w:fill="FFFFFF"/>
          </w:tcPr>
          <w:p w14:paraId="427C37D1" w14:textId="77777777" w:rsidR="004E3242" w:rsidRPr="004E3242" w:rsidRDefault="004E3242" w:rsidP="004E3242">
            <w:pPr>
              <w:spacing w:before="20" w:after="20"/>
              <w:jc w:val="center"/>
              <w:rPr>
                <w:rFonts w:ascii="Arial" w:hAnsi="Arial" w:cs="Arial"/>
                <w:sz w:val="16"/>
                <w:szCs w:val="16"/>
              </w:rPr>
            </w:pPr>
          </w:p>
        </w:tc>
      </w:tr>
      <w:tr w:rsidR="004E3242" w:rsidRPr="004E3242" w14:paraId="3B2D783A" w14:textId="77777777" w:rsidTr="00AA7998">
        <w:trPr>
          <w:trHeight w:val="77"/>
        </w:trPr>
        <w:tc>
          <w:tcPr>
            <w:tcW w:w="398" w:type="pct"/>
            <w:shd w:val="clear" w:color="auto" w:fill="F2F2F2"/>
          </w:tcPr>
          <w:p w14:paraId="7A1E9A58"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035</w:t>
            </w:r>
          </w:p>
        </w:tc>
        <w:tc>
          <w:tcPr>
            <w:tcW w:w="778" w:type="pct"/>
            <w:shd w:val="clear" w:color="auto" w:fill="F2F2F2"/>
          </w:tcPr>
          <w:p w14:paraId="03142AF1" w14:textId="77777777" w:rsidR="004E3242" w:rsidRPr="004E3242" w:rsidRDefault="006C01B1" w:rsidP="006C01B1">
            <w:pPr>
              <w:spacing w:before="20" w:after="20"/>
              <w:jc w:val="center"/>
              <w:rPr>
                <w:rFonts w:ascii="Arial" w:hAnsi="Arial" w:cs="Arial"/>
                <w:color w:val="000000"/>
                <w:sz w:val="16"/>
                <w:szCs w:val="16"/>
              </w:rPr>
            </w:pPr>
            <w:r w:rsidRPr="006C01B1">
              <w:rPr>
                <w:rFonts w:ascii="Arial" w:hAnsi="Arial" w:cs="Arial"/>
                <w:color w:val="000000"/>
                <w:sz w:val="16"/>
                <w:szCs w:val="16"/>
              </w:rPr>
              <w:t>200 000 000</w:t>
            </w:r>
          </w:p>
        </w:tc>
        <w:tc>
          <w:tcPr>
            <w:tcW w:w="182" w:type="pct"/>
            <w:shd w:val="clear" w:color="auto" w:fill="FFFFFF"/>
          </w:tcPr>
          <w:p w14:paraId="37C01487" w14:textId="77777777" w:rsidR="004E3242" w:rsidRPr="004E3242" w:rsidRDefault="004E3242" w:rsidP="004E3242">
            <w:pPr>
              <w:spacing w:before="20" w:after="20"/>
              <w:jc w:val="center"/>
              <w:rPr>
                <w:rFonts w:ascii="Arial" w:hAnsi="Arial" w:cs="Arial"/>
                <w:sz w:val="16"/>
                <w:szCs w:val="16"/>
              </w:rPr>
            </w:pPr>
          </w:p>
        </w:tc>
        <w:tc>
          <w:tcPr>
            <w:tcW w:w="116" w:type="pct"/>
            <w:shd w:val="clear" w:color="auto" w:fill="FFFFFF"/>
          </w:tcPr>
          <w:p w14:paraId="5EE042A1" w14:textId="77777777" w:rsidR="004E3242" w:rsidRPr="004E3242" w:rsidRDefault="004E3242" w:rsidP="004E3242">
            <w:pPr>
              <w:spacing w:before="20" w:after="20"/>
              <w:jc w:val="center"/>
              <w:rPr>
                <w:rFonts w:ascii="Arial" w:hAnsi="Arial" w:cs="Arial"/>
                <w:sz w:val="16"/>
                <w:szCs w:val="16"/>
              </w:rPr>
            </w:pPr>
          </w:p>
        </w:tc>
        <w:tc>
          <w:tcPr>
            <w:tcW w:w="785" w:type="pct"/>
            <w:gridSpan w:val="2"/>
            <w:shd w:val="clear" w:color="auto" w:fill="FFFFFF"/>
          </w:tcPr>
          <w:p w14:paraId="5C69052F" w14:textId="77777777" w:rsidR="004E3242" w:rsidRPr="004E3242" w:rsidRDefault="004E3242" w:rsidP="004E3242">
            <w:pPr>
              <w:spacing w:before="20" w:after="20"/>
              <w:jc w:val="center"/>
              <w:rPr>
                <w:rFonts w:ascii="Arial" w:hAnsi="Arial" w:cs="Arial"/>
                <w:sz w:val="16"/>
                <w:szCs w:val="16"/>
              </w:rPr>
            </w:pPr>
          </w:p>
        </w:tc>
        <w:tc>
          <w:tcPr>
            <w:tcW w:w="2740" w:type="pct"/>
            <w:gridSpan w:val="8"/>
            <w:vMerge/>
            <w:shd w:val="clear" w:color="auto" w:fill="FFFFFF"/>
          </w:tcPr>
          <w:p w14:paraId="43F8CF17" w14:textId="77777777" w:rsidR="004E3242" w:rsidRPr="004E3242" w:rsidRDefault="004E3242" w:rsidP="004E3242">
            <w:pPr>
              <w:spacing w:before="20" w:after="20"/>
              <w:jc w:val="center"/>
              <w:rPr>
                <w:rFonts w:ascii="Arial" w:hAnsi="Arial" w:cs="Arial"/>
                <w:sz w:val="16"/>
                <w:szCs w:val="16"/>
              </w:rPr>
            </w:pPr>
          </w:p>
        </w:tc>
      </w:tr>
      <w:tr w:rsidR="004E3242" w:rsidRPr="004E3242" w14:paraId="153A38A9" w14:textId="77777777" w:rsidTr="00AA7998">
        <w:trPr>
          <w:trHeight w:val="77"/>
        </w:trPr>
        <w:tc>
          <w:tcPr>
            <w:tcW w:w="398" w:type="pct"/>
            <w:shd w:val="clear" w:color="auto" w:fill="F2F2F2"/>
          </w:tcPr>
          <w:p w14:paraId="5A6A1EDD"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036</w:t>
            </w:r>
          </w:p>
        </w:tc>
        <w:tc>
          <w:tcPr>
            <w:tcW w:w="778" w:type="pct"/>
            <w:shd w:val="clear" w:color="auto" w:fill="F2F2F2"/>
          </w:tcPr>
          <w:p w14:paraId="342EDD4D"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47 383 683</w:t>
            </w:r>
          </w:p>
        </w:tc>
        <w:tc>
          <w:tcPr>
            <w:tcW w:w="182" w:type="pct"/>
            <w:shd w:val="clear" w:color="auto" w:fill="FFFFFF"/>
          </w:tcPr>
          <w:p w14:paraId="04ECA4B9" w14:textId="77777777" w:rsidR="004E3242" w:rsidRPr="004E3242" w:rsidRDefault="004E3242" w:rsidP="004E3242">
            <w:pPr>
              <w:spacing w:before="20" w:after="20"/>
              <w:jc w:val="center"/>
              <w:rPr>
                <w:rFonts w:ascii="Arial" w:hAnsi="Arial" w:cs="Arial"/>
                <w:sz w:val="16"/>
                <w:szCs w:val="16"/>
              </w:rPr>
            </w:pPr>
          </w:p>
        </w:tc>
        <w:tc>
          <w:tcPr>
            <w:tcW w:w="116" w:type="pct"/>
            <w:shd w:val="clear" w:color="auto" w:fill="FFFFFF"/>
          </w:tcPr>
          <w:p w14:paraId="05780735" w14:textId="77777777" w:rsidR="004E3242" w:rsidRPr="004E3242" w:rsidRDefault="004E3242" w:rsidP="004E3242">
            <w:pPr>
              <w:spacing w:before="20" w:after="20"/>
              <w:jc w:val="center"/>
              <w:rPr>
                <w:rFonts w:ascii="Arial" w:hAnsi="Arial" w:cs="Arial"/>
                <w:sz w:val="16"/>
                <w:szCs w:val="16"/>
              </w:rPr>
            </w:pPr>
          </w:p>
        </w:tc>
        <w:tc>
          <w:tcPr>
            <w:tcW w:w="785" w:type="pct"/>
            <w:gridSpan w:val="2"/>
            <w:shd w:val="clear" w:color="auto" w:fill="FFFFFF"/>
          </w:tcPr>
          <w:p w14:paraId="68B91FFE" w14:textId="77777777" w:rsidR="004E3242" w:rsidRPr="004E3242" w:rsidRDefault="004E3242" w:rsidP="004E3242">
            <w:pPr>
              <w:spacing w:before="20" w:after="20"/>
              <w:jc w:val="center"/>
              <w:rPr>
                <w:rFonts w:ascii="Arial" w:hAnsi="Arial" w:cs="Arial"/>
                <w:sz w:val="16"/>
                <w:szCs w:val="16"/>
              </w:rPr>
            </w:pPr>
          </w:p>
        </w:tc>
        <w:tc>
          <w:tcPr>
            <w:tcW w:w="2740" w:type="pct"/>
            <w:gridSpan w:val="8"/>
            <w:vMerge/>
            <w:shd w:val="clear" w:color="auto" w:fill="FFFFFF"/>
          </w:tcPr>
          <w:p w14:paraId="210D45C4" w14:textId="77777777" w:rsidR="004E3242" w:rsidRPr="004E3242" w:rsidRDefault="004E3242" w:rsidP="004E3242">
            <w:pPr>
              <w:spacing w:before="20" w:after="20"/>
              <w:jc w:val="center"/>
              <w:rPr>
                <w:rFonts w:ascii="Arial" w:hAnsi="Arial" w:cs="Arial"/>
                <w:sz w:val="16"/>
                <w:szCs w:val="16"/>
              </w:rPr>
            </w:pPr>
          </w:p>
        </w:tc>
      </w:tr>
      <w:tr w:rsidR="004E3242" w:rsidRPr="004E3242" w14:paraId="5D7DC684" w14:textId="77777777" w:rsidTr="00AA7998">
        <w:trPr>
          <w:trHeight w:val="77"/>
        </w:trPr>
        <w:tc>
          <w:tcPr>
            <w:tcW w:w="398" w:type="pct"/>
            <w:shd w:val="clear" w:color="auto" w:fill="F2F2F2"/>
          </w:tcPr>
          <w:p w14:paraId="759C77AB"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037</w:t>
            </w:r>
          </w:p>
        </w:tc>
        <w:tc>
          <w:tcPr>
            <w:tcW w:w="778" w:type="pct"/>
            <w:shd w:val="clear" w:color="auto" w:fill="F2F2F2"/>
          </w:tcPr>
          <w:p w14:paraId="0EA7D7E1"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36 896 782</w:t>
            </w:r>
          </w:p>
        </w:tc>
        <w:tc>
          <w:tcPr>
            <w:tcW w:w="182" w:type="pct"/>
            <w:shd w:val="clear" w:color="auto" w:fill="FFFFFF"/>
          </w:tcPr>
          <w:p w14:paraId="581196D9" w14:textId="77777777" w:rsidR="004E3242" w:rsidRPr="004E3242" w:rsidRDefault="004E3242" w:rsidP="004E3242">
            <w:pPr>
              <w:spacing w:before="20" w:after="20"/>
              <w:jc w:val="center"/>
              <w:rPr>
                <w:rFonts w:ascii="Arial" w:hAnsi="Arial" w:cs="Arial"/>
                <w:sz w:val="16"/>
                <w:szCs w:val="16"/>
              </w:rPr>
            </w:pPr>
          </w:p>
        </w:tc>
        <w:tc>
          <w:tcPr>
            <w:tcW w:w="116" w:type="pct"/>
            <w:shd w:val="clear" w:color="auto" w:fill="FFFFFF"/>
          </w:tcPr>
          <w:p w14:paraId="35D4E0F1" w14:textId="77777777" w:rsidR="004E3242" w:rsidRPr="004E3242" w:rsidRDefault="004E3242" w:rsidP="004E3242">
            <w:pPr>
              <w:spacing w:before="20" w:after="20"/>
              <w:jc w:val="center"/>
              <w:rPr>
                <w:rFonts w:ascii="Arial" w:hAnsi="Arial" w:cs="Arial"/>
                <w:sz w:val="16"/>
                <w:szCs w:val="16"/>
              </w:rPr>
            </w:pPr>
          </w:p>
        </w:tc>
        <w:tc>
          <w:tcPr>
            <w:tcW w:w="785" w:type="pct"/>
            <w:gridSpan w:val="2"/>
            <w:shd w:val="clear" w:color="auto" w:fill="FFFFFF"/>
          </w:tcPr>
          <w:p w14:paraId="42C65CC9" w14:textId="77777777" w:rsidR="004E3242" w:rsidRPr="004E3242" w:rsidRDefault="004E3242" w:rsidP="004E3242">
            <w:pPr>
              <w:spacing w:before="20" w:after="20"/>
              <w:jc w:val="center"/>
              <w:rPr>
                <w:rFonts w:ascii="Arial" w:hAnsi="Arial" w:cs="Arial"/>
                <w:sz w:val="16"/>
                <w:szCs w:val="16"/>
              </w:rPr>
            </w:pPr>
          </w:p>
        </w:tc>
        <w:tc>
          <w:tcPr>
            <w:tcW w:w="2740" w:type="pct"/>
            <w:gridSpan w:val="8"/>
            <w:vMerge/>
            <w:shd w:val="clear" w:color="auto" w:fill="FFFFFF"/>
          </w:tcPr>
          <w:p w14:paraId="4EE25FB0" w14:textId="77777777" w:rsidR="004E3242" w:rsidRPr="004E3242" w:rsidRDefault="004E3242" w:rsidP="004E3242">
            <w:pPr>
              <w:spacing w:before="20" w:after="20"/>
              <w:jc w:val="center"/>
              <w:rPr>
                <w:rFonts w:ascii="Arial" w:hAnsi="Arial" w:cs="Arial"/>
                <w:sz w:val="16"/>
                <w:szCs w:val="16"/>
              </w:rPr>
            </w:pPr>
          </w:p>
        </w:tc>
      </w:tr>
      <w:tr w:rsidR="004E3242" w:rsidRPr="004E3242" w14:paraId="213E4CA0" w14:textId="77777777" w:rsidTr="00AA7998">
        <w:trPr>
          <w:trHeight w:val="77"/>
        </w:trPr>
        <w:tc>
          <w:tcPr>
            <w:tcW w:w="398" w:type="pct"/>
            <w:shd w:val="clear" w:color="auto" w:fill="F2F2F2"/>
          </w:tcPr>
          <w:p w14:paraId="3D359F27"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039</w:t>
            </w:r>
          </w:p>
        </w:tc>
        <w:tc>
          <w:tcPr>
            <w:tcW w:w="778" w:type="pct"/>
            <w:shd w:val="clear" w:color="auto" w:fill="F2F2F2"/>
          </w:tcPr>
          <w:p w14:paraId="4D2775E8" w14:textId="77777777" w:rsidR="004E3242" w:rsidRPr="004E3242" w:rsidRDefault="006F656C" w:rsidP="004E3242">
            <w:pPr>
              <w:spacing w:before="20" w:after="20"/>
              <w:jc w:val="center"/>
              <w:rPr>
                <w:rFonts w:ascii="Arial" w:hAnsi="Arial" w:cs="Arial"/>
                <w:color w:val="000000"/>
                <w:sz w:val="16"/>
                <w:szCs w:val="16"/>
              </w:rPr>
            </w:pPr>
            <w:bookmarkStart w:id="400" w:name="OLE_LINK72"/>
            <w:r w:rsidRPr="006F656C">
              <w:rPr>
                <w:rFonts w:ascii="Arial" w:hAnsi="Arial" w:cs="Arial"/>
                <w:color w:val="000000"/>
                <w:sz w:val="16"/>
                <w:szCs w:val="16"/>
              </w:rPr>
              <w:t>837 184 825</w:t>
            </w:r>
            <w:bookmarkEnd w:id="400"/>
          </w:p>
        </w:tc>
        <w:tc>
          <w:tcPr>
            <w:tcW w:w="182" w:type="pct"/>
            <w:shd w:val="clear" w:color="auto" w:fill="FFFFFF"/>
          </w:tcPr>
          <w:p w14:paraId="7DE31DD8" w14:textId="77777777" w:rsidR="004E3242" w:rsidRPr="004E3242" w:rsidRDefault="004E3242" w:rsidP="004E3242">
            <w:pPr>
              <w:spacing w:before="20" w:after="20"/>
              <w:jc w:val="center"/>
              <w:rPr>
                <w:rFonts w:ascii="Arial" w:hAnsi="Arial" w:cs="Arial"/>
                <w:sz w:val="16"/>
                <w:szCs w:val="16"/>
              </w:rPr>
            </w:pPr>
          </w:p>
        </w:tc>
        <w:tc>
          <w:tcPr>
            <w:tcW w:w="116" w:type="pct"/>
            <w:shd w:val="clear" w:color="auto" w:fill="FFFFFF"/>
          </w:tcPr>
          <w:p w14:paraId="0CFCDC23" w14:textId="77777777" w:rsidR="004E3242" w:rsidRPr="004E3242" w:rsidRDefault="004E3242" w:rsidP="004E3242">
            <w:pPr>
              <w:spacing w:before="20" w:after="20"/>
              <w:jc w:val="center"/>
              <w:rPr>
                <w:rFonts w:ascii="Arial" w:hAnsi="Arial" w:cs="Arial"/>
                <w:sz w:val="16"/>
                <w:szCs w:val="16"/>
              </w:rPr>
            </w:pPr>
          </w:p>
        </w:tc>
        <w:tc>
          <w:tcPr>
            <w:tcW w:w="785" w:type="pct"/>
            <w:gridSpan w:val="2"/>
            <w:shd w:val="clear" w:color="auto" w:fill="FFFFFF"/>
          </w:tcPr>
          <w:p w14:paraId="5B95D725" w14:textId="77777777" w:rsidR="004E3242" w:rsidRPr="004E3242" w:rsidRDefault="004E3242" w:rsidP="004E3242">
            <w:pPr>
              <w:spacing w:before="20" w:after="20"/>
              <w:jc w:val="center"/>
              <w:rPr>
                <w:rFonts w:ascii="Arial" w:hAnsi="Arial" w:cs="Arial"/>
                <w:sz w:val="16"/>
                <w:szCs w:val="16"/>
              </w:rPr>
            </w:pPr>
          </w:p>
        </w:tc>
        <w:tc>
          <w:tcPr>
            <w:tcW w:w="2740" w:type="pct"/>
            <w:gridSpan w:val="8"/>
            <w:vMerge/>
            <w:shd w:val="clear" w:color="auto" w:fill="FFFFFF"/>
          </w:tcPr>
          <w:p w14:paraId="1E6B9BA2" w14:textId="77777777" w:rsidR="004E3242" w:rsidRPr="004E3242" w:rsidRDefault="004E3242" w:rsidP="004E3242">
            <w:pPr>
              <w:spacing w:before="20" w:after="20"/>
              <w:jc w:val="center"/>
              <w:rPr>
                <w:rFonts w:ascii="Arial" w:hAnsi="Arial" w:cs="Arial"/>
                <w:sz w:val="16"/>
                <w:szCs w:val="16"/>
              </w:rPr>
            </w:pPr>
          </w:p>
        </w:tc>
      </w:tr>
      <w:tr w:rsidR="004E3242" w:rsidRPr="004E3242" w14:paraId="57FFAD6E" w14:textId="77777777" w:rsidTr="00AA7998">
        <w:trPr>
          <w:trHeight w:val="77"/>
        </w:trPr>
        <w:tc>
          <w:tcPr>
            <w:tcW w:w="398" w:type="pct"/>
            <w:shd w:val="clear" w:color="auto" w:fill="F2F2F2"/>
          </w:tcPr>
          <w:p w14:paraId="6E0E677F"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042</w:t>
            </w:r>
          </w:p>
        </w:tc>
        <w:tc>
          <w:tcPr>
            <w:tcW w:w="778" w:type="pct"/>
            <w:shd w:val="clear" w:color="auto" w:fill="F2F2F2"/>
          </w:tcPr>
          <w:p w14:paraId="39A55704"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252 321 121</w:t>
            </w:r>
          </w:p>
        </w:tc>
        <w:tc>
          <w:tcPr>
            <w:tcW w:w="182" w:type="pct"/>
            <w:shd w:val="clear" w:color="auto" w:fill="FFFFFF"/>
          </w:tcPr>
          <w:p w14:paraId="1708133E" w14:textId="77777777" w:rsidR="004E3242" w:rsidRPr="004E3242" w:rsidRDefault="004E3242" w:rsidP="004E3242">
            <w:pPr>
              <w:spacing w:before="20" w:after="20"/>
              <w:jc w:val="center"/>
              <w:rPr>
                <w:rFonts w:ascii="Arial" w:hAnsi="Arial" w:cs="Arial"/>
                <w:sz w:val="16"/>
                <w:szCs w:val="16"/>
              </w:rPr>
            </w:pPr>
          </w:p>
        </w:tc>
        <w:tc>
          <w:tcPr>
            <w:tcW w:w="116" w:type="pct"/>
            <w:shd w:val="clear" w:color="auto" w:fill="FFFFFF"/>
          </w:tcPr>
          <w:p w14:paraId="2BD6DC62" w14:textId="77777777" w:rsidR="004E3242" w:rsidRPr="004E3242" w:rsidRDefault="004E3242" w:rsidP="004E3242">
            <w:pPr>
              <w:spacing w:before="20" w:after="20"/>
              <w:jc w:val="center"/>
              <w:rPr>
                <w:rFonts w:ascii="Arial" w:hAnsi="Arial" w:cs="Arial"/>
                <w:sz w:val="16"/>
                <w:szCs w:val="16"/>
              </w:rPr>
            </w:pPr>
          </w:p>
        </w:tc>
        <w:tc>
          <w:tcPr>
            <w:tcW w:w="785" w:type="pct"/>
            <w:gridSpan w:val="2"/>
            <w:shd w:val="clear" w:color="auto" w:fill="FFFFFF"/>
          </w:tcPr>
          <w:p w14:paraId="6CD1718B" w14:textId="77777777" w:rsidR="004E3242" w:rsidRPr="004E3242" w:rsidRDefault="004E3242" w:rsidP="004E3242">
            <w:pPr>
              <w:spacing w:before="20" w:after="20"/>
              <w:jc w:val="center"/>
              <w:rPr>
                <w:rFonts w:ascii="Arial" w:hAnsi="Arial" w:cs="Arial"/>
                <w:sz w:val="16"/>
                <w:szCs w:val="16"/>
              </w:rPr>
            </w:pPr>
          </w:p>
        </w:tc>
        <w:tc>
          <w:tcPr>
            <w:tcW w:w="2740" w:type="pct"/>
            <w:gridSpan w:val="8"/>
            <w:vMerge/>
            <w:shd w:val="clear" w:color="auto" w:fill="FFFFFF"/>
          </w:tcPr>
          <w:p w14:paraId="39FDC873" w14:textId="77777777" w:rsidR="004E3242" w:rsidRPr="004E3242" w:rsidRDefault="004E3242" w:rsidP="004E3242">
            <w:pPr>
              <w:spacing w:before="20" w:after="20"/>
              <w:jc w:val="center"/>
              <w:rPr>
                <w:rFonts w:ascii="Arial" w:hAnsi="Arial" w:cs="Arial"/>
                <w:sz w:val="16"/>
                <w:szCs w:val="16"/>
              </w:rPr>
            </w:pPr>
          </w:p>
        </w:tc>
      </w:tr>
      <w:tr w:rsidR="004E3242" w:rsidRPr="004E3242" w14:paraId="0D6A7077" w14:textId="77777777" w:rsidTr="00AA7998">
        <w:trPr>
          <w:trHeight w:val="64"/>
        </w:trPr>
        <w:tc>
          <w:tcPr>
            <w:tcW w:w="398" w:type="pct"/>
            <w:shd w:val="clear" w:color="auto" w:fill="D6E3BC"/>
          </w:tcPr>
          <w:p w14:paraId="06AD4402" w14:textId="77777777" w:rsidR="004E3242" w:rsidRPr="004E3242" w:rsidRDefault="004E3242" w:rsidP="004E3242">
            <w:pPr>
              <w:spacing w:before="20" w:after="20"/>
              <w:jc w:val="center"/>
              <w:rPr>
                <w:rFonts w:ascii="Arial" w:hAnsi="Arial" w:cs="Arial"/>
                <w:b/>
                <w:sz w:val="16"/>
                <w:szCs w:val="16"/>
              </w:rPr>
            </w:pPr>
            <w:r w:rsidRPr="004E3242">
              <w:rPr>
                <w:rFonts w:ascii="Arial" w:hAnsi="Arial" w:cs="Arial"/>
                <w:b/>
                <w:sz w:val="16"/>
                <w:szCs w:val="16"/>
              </w:rPr>
              <w:t>Razem</w:t>
            </w:r>
          </w:p>
        </w:tc>
        <w:tc>
          <w:tcPr>
            <w:tcW w:w="778" w:type="pct"/>
            <w:shd w:val="clear" w:color="auto" w:fill="D6E3BC"/>
          </w:tcPr>
          <w:p w14:paraId="4016BB8C" w14:textId="77777777" w:rsidR="006F656C" w:rsidRDefault="006F656C" w:rsidP="004E3242">
            <w:pPr>
              <w:spacing w:before="20" w:after="20"/>
              <w:jc w:val="center"/>
              <w:rPr>
                <w:rFonts w:ascii="Arial" w:hAnsi="Arial" w:cs="Arial"/>
                <w:b/>
                <w:sz w:val="16"/>
                <w:szCs w:val="16"/>
              </w:rPr>
            </w:pPr>
            <w:r w:rsidRPr="006F656C">
              <w:rPr>
                <w:rFonts w:ascii="Arial" w:hAnsi="Arial" w:cs="Arial"/>
                <w:b/>
                <w:sz w:val="16"/>
                <w:szCs w:val="16"/>
              </w:rPr>
              <w:t>9 487 004</w:t>
            </w:r>
            <w:r>
              <w:rPr>
                <w:rFonts w:ascii="Arial" w:hAnsi="Arial" w:cs="Arial"/>
                <w:b/>
                <w:sz w:val="16"/>
                <w:szCs w:val="16"/>
              </w:rPr>
              <w:t> </w:t>
            </w:r>
            <w:r w:rsidRPr="006F656C">
              <w:rPr>
                <w:rFonts w:ascii="Arial" w:hAnsi="Arial" w:cs="Arial"/>
                <w:b/>
                <w:sz w:val="16"/>
                <w:szCs w:val="16"/>
              </w:rPr>
              <w:t>829</w:t>
            </w:r>
          </w:p>
          <w:p w14:paraId="4325B3E3" w14:textId="77777777" w:rsidR="004E3242" w:rsidRPr="004E3242" w:rsidRDefault="004E3242" w:rsidP="004E3242">
            <w:pPr>
              <w:spacing w:before="20" w:after="20"/>
              <w:jc w:val="center"/>
              <w:rPr>
                <w:rFonts w:ascii="Arial" w:hAnsi="Arial" w:cs="Arial"/>
                <w:b/>
                <w:sz w:val="16"/>
                <w:szCs w:val="16"/>
              </w:rPr>
            </w:pPr>
          </w:p>
        </w:tc>
        <w:tc>
          <w:tcPr>
            <w:tcW w:w="182" w:type="pct"/>
            <w:shd w:val="clear" w:color="auto" w:fill="FFFFFF"/>
          </w:tcPr>
          <w:p w14:paraId="1872F6FD" w14:textId="77777777" w:rsidR="004E3242" w:rsidRPr="004E3242" w:rsidRDefault="004E3242" w:rsidP="004E3242">
            <w:pPr>
              <w:spacing w:before="20" w:after="20"/>
              <w:jc w:val="center"/>
              <w:rPr>
                <w:rFonts w:ascii="Arial" w:hAnsi="Arial" w:cs="Arial"/>
                <w:sz w:val="16"/>
                <w:szCs w:val="16"/>
              </w:rPr>
            </w:pPr>
          </w:p>
        </w:tc>
        <w:tc>
          <w:tcPr>
            <w:tcW w:w="116" w:type="pct"/>
            <w:shd w:val="clear" w:color="auto" w:fill="FFFFFF"/>
          </w:tcPr>
          <w:p w14:paraId="0D7A147E" w14:textId="77777777" w:rsidR="004E3242" w:rsidRPr="004E3242" w:rsidRDefault="004E3242" w:rsidP="004E3242">
            <w:pPr>
              <w:spacing w:before="20" w:after="20"/>
              <w:jc w:val="center"/>
              <w:rPr>
                <w:rFonts w:ascii="Arial" w:hAnsi="Arial" w:cs="Arial"/>
                <w:sz w:val="16"/>
                <w:szCs w:val="16"/>
              </w:rPr>
            </w:pPr>
          </w:p>
        </w:tc>
        <w:tc>
          <w:tcPr>
            <w:tcW w:w="785" w:type="pct"/>
            <w:gridSpan w:val="2"/>
            <w:shd w:val="clear" w:color="auto" w:fill="FFFFFF"/>
          </w:tcPr>
          <w:p w14:paraId="1F70CB51" w14:textId="77777777" w:rsidR="004E3242" w:rsidRPr="004E3242" w:rsidRDefault="004E3242" w:rsidP="004E3242">
            <w:pPr>
              <w:spacing w:before="20" w:after="20"/>
              <w:jc w:val="center"/>
              <w:rPr>
                <w:rFonts w:ascii="Arial" w:hAnsi="Arial" w:cs="Arial"/>
                <w:sz w:val="16"/>
                <w:szCs w:val="16"/>
              </w:rPr>
            </w:pPr>
          </w:p>
        </w:tc>
        <w:tc>
          <w:tcPr>
            <w:tcW w:w="2740" w:type="pct"/>
            <w:gridSpan w:val="8"/>
            <w:vMerge/>
            <w:shd w:val="clear" w:color="auto" w:fill="FFFFFF"/>
          </w:tcPr>
          <w:p w14:paraId="453495FA" w14:textId="77777777" w:rsidR="004E3242" w:rsidRPr="004E3242" w:rsidRDefault="004E3242" w:rsidP="004E3242">
            <w:pPr>
              <w:spacing w:before="20" w:after="20"/>
              <w:jc w:val="center"/>
              <w:rPr>
                <w:rFonts w:ascii="Arial" w:hAnsi="Arial" w:cs="Arial"/>
                <w:sz w:val="16"/>
                <w:szCs w:val="16"/>
              </w:rPr>
            </w:pPr>
          </w:p>
        </w:tc>
      </w:tr>
    </w:tbl>
    <w:p w14:paraId="47693423" w14:textId="77777777" w:rsidR="004E3242" w:rsidRPr="004E3242" w:rsidRDefault="004E3242" w:rsidP="004E3242">
      <w:pPr>
        <w:spacing w:after="120" w:line="280" w:lineRule="atLeast"/>
        <w:jc w:val="both"/>
        <w:rPr>
          <w:rFonts w:ascii="Arial" w:hAnsi="Arial" w:cs="Arial"/>
          <w:b/>
          <w:spacing w:val="4"/>
          <w:sz w:val="20"/>
          <w:szCs w:val="20"/>
        </w:rPr>
        <w:sectPr w:rsidR="004E3242" w:rsidRPr="004E3242" w:rsidSect="00C73ABE">
          <w:pgSz w:w="16838" w:h="11906" w:orient="landscape"/>
          <w:pgMar w:top="992" w:right="851" w:bottom="992" w:left="851" w:header="709" w:footer="159" w:gutter="0"/>
          <w:cols w:space="708"/>
          <w:titlePg/>
          <w:docGrid w:linePitch="360"/>
        </w:sectPr>
      </w:pPr>
    </w:p>
    <w:p w14:paraId="2A01F151" w14:textId="77777777" w:rsidR="004E3242" w:rsidRPr="004E3242" w:rsidRDefault="004E3242" w:rsidP="004E3242">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401" w:name="_Toc83810565"/>
      <w:r w:rsidRPr="004E3242">
        <w:rPr>
          <w:rFonts w:ascii="Arial" w:hAnsi="Arial"/>
          <w:smallCaps/>
          <w:color w:val="000000"/>
          <w:spacing w:val="4"/>
          <w:sz w:val="24"/>
          <w:szCs w:val="24"/>
          <w:lang w:eastAsia="pl-PL"/>
        </w:rPr>
        <w:lastRenderedPageBreak/>
        <w:t xml:space="preserve">Oś priorytetowa IV: </w:t>
      </w:r>
      <w:r w:rsidRPr="004E3242">
        <w:rPr>
          <w:rFonts w:ascii="Arial" w:hAnsi="Arial"/>
          <w:smallCaps/>
          <w:color w:val="000000"/>
          <w:spacing w:val="15"/>
          <w:sz w:val="24"/>
          <w:szCs w:val="24"/>
          <w:u w:color="A8C743"/>
          <w:lang w:eastAsia="pl-PL"/>
        </w:rPr>
        <w:t>Infrastruktura drogowa dla miast</w:t>
      </w:r>
      <w:bookmarkEnd w:id="401"/>
    </w:p>
    <w:p w14:paraId="279378A9" w14:textId="77777777" w:rsidR="004E3242" w:rsidRPr="004E3242" w:rsidRDefault="004E3242" w:rsidP="004E3242">
      <w:pPr>
        <w:keepLines/>
        <w:pBdr>
          <w:bottom w:val="single" w:sz="4" w:space="1" w:color="669900"/>
        </w:pBdr>
        <w:spacing w:before="120" w:after="120"/>
        <w:jc w:val="both"/>
        <w:rPr>
          <w:rFonts w:ascii="Arial" w:hAnsi="Arial" w:cs="Arial"/>
          <w:sz w:val="20"/>
          <w:szCs w:val="20"/>
        </w:rPr>
      </w:pPr>
      <w:r w:rsidRPr="004E3242">
        <w:rPr>
          <w:rFonts w:ascii="Arial" w:hAnsi="Arial" w:cs="Arial"/>
          <w:sz w:val="20"/>
          <w:szCs w:val="20"/>
        </w:rPr>
        <w:t xml:space="preserve">W ramach osi IV. przewiduje się wsparcie dwóch priorytetów inwestycyjnych celu tematycznego 7. Promowanie zrównoważonego transportu i usuwanie niedoborów przepustowości w działaniu najważniejszych infrastruktur sieciowych. Przewidziano w niej interwencje dla różnych kategorii regionów, ponieważ wybrane do realizacji projekty drogowe będą zlokalizowane na terenie całego kraju. Wynika to z istniejących potrzeb w zakresie poprawy dostępności ośrodków miejskich do sieci TEN-T, wyprowadzania ruchu z miast oraz poprawy bezpieczeństwa drogowego, które występują na terenie całego kraju, niezależnie od kategorii regionu. W warunkach polskich krajowa sieć drogowa jest rozwijana z poziomu centralnego, a istniejące różnice jej rozwoju i stanu technicznego oraz wynikające z tego potrzeby i wyzwania nie są zależne od położenia na obszarze danego województwa. Ograniczona dostępność ośrodków miejskich, a także duża skala (natężenie) przebiegających przez nie strumieni ruchu drogowego (w tym zwłaszcza tranzytowego) i wynikający </w:t>
      </w:r>
      <w:r w:rsidRPr="004E3242">
        <w:rPr>
          <w:rFonts w:ascii="Arial" w:hAnsi="Arial" w:cs="Arial"/>
          <w:sz w:val="20"/>
          <w:szCs w:val="20"/>
        </w:rPr>
        <w:br/>
        <w:t xml:space="preserve">z tego poziom bezpieczeństwa, stanowią problem niezależnie od położenia w granicach administracyjnych poszczególnych województw, zakwalifikowanych do określonej kategorii regionów. Dlatego efekt zwiększenia dostępności transportowej wymaga kompleksowego podejścia i działań </w:t>
      </w:r>
      <w:r w:rsidRPr="004E3242">
        <w:rPr>
          <w:rFonts w:ascii="Arial" w:hAnsi="Arial" w:cs="Arial"/>
          <w:sz w:val="20"/>
          <w:szCs w:val="20"/>
        </w:rPr>
        <w:br/>
        <w:t>w obrębie regionów niezależnie od ich kategorii.</w:t>
      </w:r>
    </w:p>
    <w:p w14:paraId="5F88A2C4" w14:textId="77777777" w:rsidR="004E3242" w:rsidRPr="004E3242" w:rsidRDefault="004E3242" w:rsidP="004E3242">
      <w:pPr>
        <w:keepLines/>
        <w:pBdr>
          <w:bottom w:val="single" w:sz="4" w:space="1" w:color="669900"/>
        </w:pBdr>
        <w:spacing w:before="120" w:after="120"/>
        <w:jc w:val="both"/>
        <w:rPr>
          <w:rFonts w:ascii="Arial" w:hAnsi="Arial" w:cs="Arial"/>
          <w:sz w:val="20"/>
          <w:szCs w:val="20"/>
        </w:rPr>
      </w:pPr>
      <w:r w:rsidRPr="004E3242">
        <w:rPr>
          <w:rFonts w:ascii="Arial" w:hAnsi="Arial" w:cs="Arial"/>
          <w:sz w:val="20"/>
          <w:szCs w:val="20"/>
        </w:rPr>
        <w:t>Działania w ramach osi IV. stanowią uzupełniającą część wobec inwestycji przewidzianych w ramach osi III. związanych z rozwojem drogowej sieci TEN-T i realizują określony w niej cel, z uwzględnieniem dostępności drogowej ośrodków miejskich i ich odciążenia od ruchu drogowego.</w:t>
      </w:r>
    </w:p>
    <w:p w14:paraId="17D91BF6"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7.a. Wspieranie multimodalnego jednolitego europejskiego obszaru transportu poprzez inwestycje w TEN-T</w:t>
      </w:r>
    </w:p>
    <w:p w14:paraId="7F126F46"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0143D881"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Zwiększona dostępność transportowa ośrodków miejskich w TEN-T oraz odciążenie miast od nadmiernego ruchu drogowego</w:t>
      </w:r>
    </w:p>
    <w:p w14:paraId="22D57AF2"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72DA6496"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Rezultatem realizacji projektów w priorytecie inwestycyjnym będzie poprawa stanu infrastruktury drogowej wpływającej na dostępność transportową miast oraz zmniejszenie natężenia ruchu drogowego (tranzytowego) w miastach, które wpłynie korzystnie na stan bezpieczeństwa na drogach</w:t>
      </w:r>
    </w:p>
    <w:p w14:paraId="3F51CF8E"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2124"/>
        <w:gridCol w:w="850"/>
        <w:gridCol w:w="994"/>
        <w:gridCol w:w="851"/>
        <w:gridCol w:w="851"/>
        <w:gridCol w:w="992"/>
        <w:gridCol w:w="849"/>
        <w:gridCol w:w="1241"/>
      </w:tblGrid>
      <w:tr w:rsidR="004E3242" w:rsidRPr="004E3242" w14:paraId="2E66E64A" w14:textId="77777777" w:rsidTr="00AA7998">
        <w:tc>
          <w:tcPr>
            <w:tcW w:w="288" w:type="pct"/>
            <w:shd w:val="clear" w:color="auto" w:fill="99CC00"/>
            <w:vAlign w:val="center"/>
          </w:tcPr>
          <w:p w14:paraId="409462F6" w14:textId="77777777" w:rsidR="004E3242" w:rsidRPr="004E3242" w:rsidRDefault="004E3242" w:rsidP="004E3242">
            <w:pPr>
              <w:spacing w:before="60" w:after="60"/>
              <w:jc w:val="center"/>
              <w:rPr>
                <w:rFonts w:ascii="Arial" w:hAnsi="Arial" w:cs="Arial"/>
                <w:color w:val="FFFFFF"/>
                <w:spacing w:val="4"/>
                <w:sz w:val="16"/>
                <w:szCs w:val="16"/>
              </w:rPr>
            </w:pPr>
            <w:proofErr w:type="spellStart"/>
            <w:r w:rsidRPr="004E3242">
              <w:rPr>
                <w:rFonts w:ascii="Arial" w:hAnsi="Arial" w:cs="Arial"/>
                <w:color w:val="FFFFFF"/>
                <w:spacing w:val="4"/>
                <w:sz w:val="16"/>
                <w:szCs w:val="16"/>
              </w:rPr>
              <w:t>L.p</w:t>
            </w:r>
            <w:proofErr w:type="spellEnd"/>
          </w:p>
        </w:tc>
        <w:tc>
          <w:tcPr>
            <w:tcW w:w="1144" w:type="pct"/>
            <w:shd w:val="clear" w:color="auto" w:fill="99CC00"/>
            <w:vAlign w:val="center"/>
          </w:tcPr>
          <w:p w14:paraId="17A5522F"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458" w:type="pct"/>
            <w:shd w:val="clear" w:color="auto" w:fill="99CC00"/>
            <w:vAlign w:val="center"/>
          </w:tcPr>
          <w:p w14:paraId="3C4E8E3F"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 miary</w:t>
            </w:r>
          </w:p>
        </w:tc>
        <w:tc>
          <w:tcPr>
            <w:tcW w:w="535" w:type="pct"/>
            <w:shd w:val="clear" w:color="auto" w:fill="99CC00"/>
            <w:vAlign w:val="center"/>
          </w:tcPr>
          <w:p w14:paraId="2CB3D11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09684C46"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0142DDC5"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4" w:type="pct"/>
            <w:shd w:val="clear" w:color="auto" w:fill="99CC00"/>
            <w:vAlign w:val="center"/>
          </w:tcPr>
          <w:p w14:paraId="7D4274DA"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7" w:type="pct"/>
            <w:shd w:val="clear" w:color="auto" w:fill="99CC00"/>
            <w:vAlign w:val="center"/>
          </w:tcPr>
          <w:p w14:paraId="7989C86D"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68" w:type="pct"/>
            <w:shd w:val="clear" w:color="auto" w:fill="99CC00"/>
            <w:vAlign w:val="center"/>
          </w:tcPr>
          <w:p w14:paraId="35DB054B"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5E39E3D3" w14:textId="77777777" w:rsidTr="00AA7998">
        <w:tc>
          <w:tcPr>
            <w:tcW w:w="288" w:type="pct"/>
            <w:shd w:val="clear" w:color="auto" w:fill="F2F2F2"/>
            <w:vAlign w:val="center"/>
          </w:tcPr>
          <w:p w14:paraId="3C9D68C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1144" w:type="pct"/>
            <w:shd w:val="clear" w:color="auto" w:fill="F2F2F2"/>
            <w:vAlign w:val="center"/>
          </w:tcPr>
          <w:p w14:paraId="7DC916C5"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Wskaźnik Drogowej Dostępności Transportowej WDDT II (syntetyczny) dla miast na prawach powiatu na sieci TEN-T</w:t>
            </w:r>
          </w:p>
        </w:tc>
        <w:tc>
          <w:tcPr>
            <w:tcW w:w="458" w:type="pct"/>
            <w:shd w:val="clear" w:color="auto" w:fill="F2F2F2"/>
            <w:vAlign w:val="center"/>
          </w:tcPr>
          <w:p w14:paraId="267B6F2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35" w:type="pct"/>
            <w:shd w:val="clear" w:color="auto" w:fill="F2F2F2"/>
            <w:vAlign w:val="center"/>
          </w:tcPr>
          <w:p w14:paraId="686471C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w:t>
            </w:r>
          </w:p>
          <w:p w14:paraId="706EB39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/lepiej rozwinięte</w:t>
            </w:r>
          </w:p>
        </w:tc>
        <w:tc>
          <w:tcPr>
            <w:tcW w:w="458" w:type="pct"/>
            <w:shd w:val="clear" w:color="auto" w:fill="F2F2F2"/>
            <w:vAlign w:val="center"/>
          </w:tcPr>
          <w:p w14:paraId="61ED8EAF"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46,68</w:t>
            </w:r>
          </w:p>
        </w:tc>
        <w:tc>
          <w:tcPr>
            <w:tcW w:w="458" w:type="pct"/>
            <w:shd w:val="clear" w:color="auto" w:fill="F2F2F2"/>
            <w:vAlign w:val="center"/>
          </w:tcPr>
          <w:p w14:paraId="7187CB2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01889EF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56,41</w:t>
            </w:r>
          </w:p>
        </w:tc>
        <w:tc>
          <w:tcPr>
            <w:tcW w:w="457" w:type="pct"/>
            <w:shd w:val="clear" w:color="auto" w:fill="F2F2F2"/>
            <w:vAlign w:val="center"/>
          </w:tcPr>
          <w:p w14:paraId="7147F5E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PAN (opracowanie dla MIR)</w:t>
            </w:r>
            <w:r w:rsidRPr="004E3242" w:rsidDel="00665EE3">
              <w:rPr>
                <w:rFonts w:ascii="Arial" w:hAnsi="Arial" w:cs="Arial"/>
                <w:spacing w:val="4"/>
                <w:sz w:val="16"/>
                <w:szCs w:val="16"/>
              </w:rPr>
              <w:t xml:space="preserve"> </w:t>
            </w:r>
          </w:p>
        </w:tc>
        <w:tc>
          <w:tcPr>
            <w:tcW w:w="668" w:type="pct"/>
            <w:shd w:val="clear" w:color="auto" w:fill="F2F2F2"/>
            <w:vAlign w:val="center"/>
          </w:tcPr>
          <w:p w14:paraId="70B155E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r w:rsidR="004E3242" w:rsidRPr="004E3242" w14:paraId="40DF09DE" w14:textId="77777777" w:rsidTr="00AA7998">
        <w:tc>
          <w:tcPr>
            <w:tcW w:w="288" w:type="pct"/>
            <w:shd w:val="clear" w:color="auto" w:fill="F2F2F2"/>
            <w:vAlign w:val="center"/>
          </w:tcPr>
          <w:p w14:paraId="6DE5EC3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1144" w:type="pct"/>
            <w:shd w:val="clear" w:color="auto" w:fill="F2F2F2"/>
            <w:vAlign w:val="center"/>
          </w:tcPr>
          <w:p w14:paraId="28A30C23"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Wypadki w miastach na prawach powiatu w sieci TEN-T</w:t>
            </w:r>
          </w:p>
        </w:tc>
        <w:tc>
          <w:tcPr>
            <w:tcW w:w="458" w:type="pct"/>
            <w:shd w:val="clear" w:color="auto" w:fill="F2F2F2"/>
            <w:vAlign w:val="center"/>
          </w:tcPr>
          <w:p w14:paraId="121569C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szt./100 tys. mieszkańców</w:t>
            </w:r>
          </w:p>
        </w:tc>
        <w:tc>
          <w:tcPr>
            <w:tcW w:w="535" w:type="pct"/>
            <w:shd w:val="clear" w:color="auto" w:fill="F2F2F2"/>
            <w:vAlign w:val="center"/>
          </w:tcPr>
          <w:p w14:paraId="5A874FE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słabiej/lepiej rozwinięte</w:t>
            </w:r>
          </w:p>
        </w:tc>
        <w:tc>
          <w:tcPr>
            <w:tcW w:w="458" w:type="pct"/>
            <w:shd w:val="clear" w:color="auto" w:fill="F2F2F2"/>
            <w:vAlign w:val="center"/>
          </w:tcPr>
          <w:p w14:paraId="1410561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101</w:t>
            </w:r>
          </w:p>
        </w:tc>
        <w:tc>
          <w:tcPr>
            <w:tcW w:w="458" w:type="pct"/>
            <w:shd w:val="clear" w:color="auto" w:fill="F2F2F2"/>
            <w:vAlign w:val="center"/>
          </w:tcPr>
          <w:p w14:paraId="51C4552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7404737D" w14:textId="77777777" w:rsidR="004E3242" w:rsidRPr="004E3242" w:rsidRDefault="004E3242" w:rsidP="004E3242">
            <w:pPr>
              <w:spacing w:before="60" w:after="60"/>
              <w:jc w:val="center"/>
              <w:rPr>
                <w:rFonts w:ascii="Arial" w:hAnsi="Arial" w:cs="Arial"/>
                <w:spacing w:val="4"/>
                <w:sz w:val="16"/>
                <w:szCs w:val="16"/>
              </w:rPr>
            </w:pPr>
            <w:proofErr w:type="spellStart"/>
            <w:r w:rsidRPr="004E3242">
              <w:rPr>
                <w:rFonts w:ascii="Arial" w:hAnsi="Arial" w:cs="Arial"/>
                <w:spacing w:val="4"/>
                <w:sz w:val="16"/>
                <w:szCs w:val="16"/>
              </w:rPr>
              <w:t>nieporszenie</w:t>
            </w:r>
            <w:proofErr w:type="spellEnd"/>
            <w:r w:rsidRPr="004E3242">
              <w:rPr>
                <w:rFonts w:ascii="Arial" w:hAnsi="Arial" w:cs="Arial"/>
                <w:spacing w:val="4"/>
                <w:sz w:val="16"/>
                <w:szCs w:val="16"/>
              </w:rPr>
              <w:t xml:space="preserve"> się średniej z ostatnich 5-ciu lat</w:t>
            </w:r>
          </w:p>
        </w:tc>
        <w:tc>
          <w:tcPr>
            <w:tcW w:w="457" w:type="pct"/>
            <w:shd w:val="clear" w:color="auto" w:fill="F2F2F2"/>
            <w:vAlign w:val="center"/>
          </w:tcPr>
          <w:p w14:paraId="69CF81F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MIR na podstawie danych Polskiego Obserwatorium BRD</w:t>
            </w:r>
          </w:p>
        </w:tc>
        <w:tc>
          <w:tcPr>
            <w:tcW w:w="668" w:type="pct"/>
            <w:shd w:val="clear" w:color="auto" w:fill="F2F2F2"/>
            <w:vAlign w:val="center"/>
          </w:tcPr>
          <w:p w14:paraId="58B8B40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bl>
    <w:p w14:paraId="478A729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 xml:space="preserve">Zakres interwencji </w:t>
      </w:r>
    </w:p>
    <w:p w14:paraId="255C29F6" w14:textId="77777777" w:rsidR="004E3242" w:rsidRPr="004E3242" w:rsidRDefault="004E3242" w:rsidP="004E3242">
      <w:pPr>
        <w:spacing w:before="120" w:after="120"/>
        <w:jc w:val="both"/>
        <w:rPr>
          <w:rFonts w:ascii="Arial" w:hAnsi="Arial" w:cs="Arial"/>
          <w:color w:val="000000"/>
          <w:spacing w:val="4"/>
          <w:sz w:val="20"/>
        </w:rPr>
      </w:pPr>
      <w:r w:rsidRPr="004E3242">
        <w:rPr>
          <w:rFonts w:ascii="Arial" w:hAnsi="Arial" w:cs="Arial"/>
          <w:color w:val="000000"/>
          <w:spacing w:val="4"/>
          <w:sz w:val="20"/>
        </w:rPr>
        <w:t xml:space="preserve">W ramach priorytetu inwestycyjnego realizowane będą inwestycje na krajowej sieci drogowej </w:t>
      </w:r>
      <w:r w:rsidRPr="004E3242">
        <w:rPr>
          <w:rFonts w:ascii="Arial" w:hAnsi="Arial" w:cs="Arial"/>
          <w:color w:val="000000"/>
          <w:spacing w:val="4"/>
          <w:sz w:val="20"/>
        </w:rPr>
        <w:br/>
        <w:t>w TEN-T dotyczące powiązania infrastruktury miejskiej z pozamiejską siecią TEN-T (drogi krajowe w miastach będących węzłami miejskimi sieci bazowej TEN-T</w:t>
      </w:r>
      <w:r w:rsidRPr="004E3242">
        <w:rPr>
          <w:rFonts w:ascii="Arial" w:hAnsi="Arial" w:cs="Arial"/>
          <w:color w:val="000000"/>
          <w:spacing w:val="4"/>
          <w:sz w:val="20"/>
          <w:vertAlign w:val="superscript"/>
        </w:rPr>
        <w:footnoteReference w:id="64"/>
      </w:r>
      <w:r w:rsidRPr="004E3242">
        <w:rPr>
          <w:rFonts w:ascii="Arial" w:hAnsi="Arial" w:cs="Arial"/>
          <w:color w:val="000000"/>
          <w:spacing w:val="4"/>
          <w:sz w:val="20"/>
        </w:rPr>
        <w:t xml:space="preserve">), odciążenia miast od nadmiernego ruchu drogowego (obwodnice na drogach krajowych i ekspresowych, drogi krajowe w miastach na prawach powiatu), a także poprawy ich dostępności (trasy wylotowe na drogach krajowych, odcinki dróg ekspresowych przy miastach). Projekty będą realizowane na drogach zarządzanych przez Generalną Dyrekcję Dróg Krajowych i Autostrad, a także przez miasta na prawach powiatu. </w:t>
      </w:r>
      <w:r w:rsidR="00AF5244" w:rsidRPr="00AF5244">
        <w:rPr>
          <w:rFonts w:ascii="Arial" w:hAnsi="Arial" w:cs="Arial"/>
          <w:color w:val="000000"/>
          <w:spacing w:val="4"/>
          <w:sz w:val="20"/>
        </w:rPr>
        <w:t>Realizowane inwestycje drogowe zapewnią nośność dróg 11,5 t na oś.</w:t>
      </w:r>
      <w:r w:rsidR="00AF5244">
        <w:rPr>
          <w:rFonts w:ascii="Arial" w:hAnsi="Arial" w:cs="Arial"/>
          <w:color w:val="000000"/>
          <w:spacing w:val="4"/>
          <w:sz w:val="20"/>
        </w:rPr>
        <w:t xml:space="preserve"> </w:t>
      </w:r>
      <w:r w:rsidRPr="004E3242">
        <w:rPr>
          <w:rFonts w:ascii="Arial" w:hAnsi="Arial" w:cs="Arial"/>
          <w:color w:val="000000"/>
          <w:spacing w:val="4"/>
          <w:sz w:val="20"/>
        </w:rPr>
        <w:t>Będą one uzupełniane o inwestycje z zakresu bezpieczeństwa ruchu drogowego (BRD) obejmujące inwestycje infrastrukturalne (engineering)</w:t>
      </w:r>
      <w:r w:rsidRPr="004E3242">
        <w:rPr>
          <w:rFonts w:ascii="Arial" w:hAnsi="Arial" w:cs="Arial"/>
          <w:color w:val="000000"/>
          <w:spacing w:val="4"/>
          <w:sz w:val="20"/>
          <w:vertAlign w:val="superscript"/>
        </w:rPr>
        <w:footnoteReference w:id="65"/>
      </w:r>
      <w:r w:rsidRPr="004E3242">
        <w:rPr>
          <w:rFonts w:ascii="Arial" w:hAnsi="Arial" w:cs="Arial"/>
          <w:color w:val="000000"/>
          <w:spacing w:val="4"/>
          <w:sz w:val="20"/>
        </w:rPr>
        <w:t>.</w:t>
      </w:r>
    </w:p>
    <w:p w14:paraId="5BC280EE" w14:textId="77777777" w:rsidR="004E3242" w:rsidRPr="004E3242" w:rsidRDefault="004E3242" w:rsidP="004E3242">
      <w:pPr>
        <w:spacing w:before="120" w:after="120"/>
        <w:jc w:val="both"/>
        <w:rPr>
          <w:rFonts w:ascii="Arial" w:hAnsi="Arial" w:cs="Arial"/>
          <w:color w:val="000000"/>
          <w:spacing w:val="4"/>
          <w:sz w:val="20"/>
        </w:rPr>
      </w:pPr>
      <w:r w:rsidRPr="004E3242">
        <w:rPr>
          <w:rFonts w:ascii="Arial" w:hAnsi="Arial" w:cs="Arial"/>
          <w:color w:val="000000"/>
          <w:spacing w:val="4"/>
          <w:sz w:val="20"/>
        </w:rPr>
        <w:t>Osiągnięcie efektu sieciowego w ramach krajowej sieci TEN-T nie będzie możliwe bez pełnego zintegrowania miejskiej infrastruktury drogowej z przebiegającymi przez te miasta głównymi ciągami komunikacyjnymi w TEN-T. W związku z tym, w uzupełnieniu do budowy dróg ekspresowych i autostrad w głównych ciągach transportowych, zakłada się realizację wybranych odcinków dróg krajowych</w:t>
      </w:r>
      <w:r w:rsidRPr="004E3242">
        <w:rPr>
          <w:rFonts w:ascii="Arial" w:hAnsi="Arial" w:cs="Arial"/>
          <w:color w:val="000000"/>
          <w:spacing w:val="4"/>
          <w:sz w:val="20"/>
          <w:vertAlign w:val="superscript"/>
        </w:rPr>
        <w:footnoteReference w:id="66"/>
      </w:r>
      <w:r w:rsidRPr="004E3242">
        <w:rPr>
          <w:rFonts w:ascii="Arial" w:hAnsi="Arial" w:cs="Arial"/>
          <w:color w:val="000000"/>
          <w:spacing w:val="4"/>
          <w:sz w:val="20"/>
        </w:rPr>
        <w:t>, zapewniających płynny przepływ ruchu pomiędzy drogami w miastach a pozamiejskimi ciągami TEN-T.</w:t>
      </w:r>
    </w:p>
    <w:p w14:paraId="4FD91E00" w14:textId="77777777" w:rsidR="004E3242" w:rsidRDefault="004E3242" w:rsidP="004E3242">
      <w:pPr>
        <w:spacing w:before="120" w:after="120"/>
        <w:jc w:val="both"/>
        <w:rPr>
          <w:rFonts w:ascii="Arial" w:hAnsi="Arial" w:cs="Arial"/>
          <w:color w:val="000000"/>
          <w:spacing w:val="4"/>
          <w:sz w:val="20"/>
        </w:rPr>
      </w:pPr>
      <w:r w:rsidRPr="004E3242">
        <w:rPr>
          <w:rFonts w:ascii="Arial" w:hAnsi="Arial" w:cs="Arial"/>
          <w:color w:val="000000"/>
          <w:spacing w:val="4"/>
          <w:sz w:val="20"/>
        </w:rPr>
        <w:t xml:space="preserve">Budowa obwodnic i dróg wylotowych z miast, w tym dróg krajowych w miastach na prawach powiatu zostanie zaadresowana do tych miast, w których zidentyfikowano m.in. znaczne obciążenie infrastruktury drogowej przebiegającym przez nie ruchem ciężkim, brak alternatywnego, wysokoprzepustowego połączenia drogowego, ograniczoną przepustowość istniejącej infrastruktury służącej wyprowadzeniu ruchu z miast. Budowa obwodnic i tras wylotowych umożliwi wyprowadzenie nadmiernego ruchu tranzytowego z miast </w:t>
      </w:r>
      <w:r w:rsidRPr="004E3242">
        <w:rPr>
          <w:rFonts w:ascii="Arial" w:hAnsi="Arial" w:cs="Arial"/>
          <w:color w:val="000000"/>
          <w:spacing w:val="4"/>
          <w:sz w:val="20"/>
        </w:rPr>
        <w:br/>
        <w:t>o nieprzystosowanej do tego infrastruktury drogowej, przyczyniając się do poprawy płynności ruchu drogowego i ograniczenia generowanych przez transport kosztów środowiskowych, w tym redukcji emisji zanieczyszczeń powietrza, społecznych i ekonomicznych, co w efekcie przełoży się na poprawę bezpieczeństwa i jakości życia w miastach.</w:t>
      </w:r>
    </w:p>
    <w:p w14:paraId="5760C349" w14:textId="77777777" w:rsidR="00B12780" w:rsidRPr="004E3242" w:rsidRDefault="005E530E" w:rsidP="004E3242">
      <w:pPr>
        <w:spacing w:before="120" w:after="120"/>
        <w:jc w:val="both"/>
        <w:rPr>
          <w:rFonts w:ascii="Arial" w:hAnsi="Arial" w:cs="Arial"/>
          <w:color w:val="000000"/>
          <w:spacing w:val="4"/>
          <w:sz w:val="20"/>
        </w:rPr>
      </w:pPr>
      <w:r w:rsidRPr="005E530E">
        <w:rPr>
          <w:rFonts w:ascii="Arial" w:hAnsi="Arial" w:cs="Arial"/>
          <w:color w:val="000000"/>
          <w:spacing w:val="4"/>
          <w:sz w:val="20"/>
        </w:rPr>
        <w:t>Ponadto wsparcie będą mogły uzyskać działania na rzecz przygotowania inwestycji poprzez dofinansowanie w ramach projektów przygotowawczych dokumentacji projektowej i przetargowej dla inwestycji infrastrukturalnych, realizowanych ze środków tego programu lub programów operacyjnych polityki spójności realizowanych w okresie programowania następującym bezpośrednio po roku 2020 (projekty przygotowawcze). Dodatkowo, wsparcie będą mogły uzyskać projekty przygotowawcze dla inwestycji realizowanych w ramach instrumentu Łącząc Europę w obecnej lub przyszłej perspektywie finansowej, jeżeli z przyczyn faktycznych lub prawnych  inwestycje te nie będą mogły uzyskać dofinansowania z programów operacyjnych polityki spójności.</w:t>
      </w:r>
    </w:p>
    <w:p w14:paraId="3630A6D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037CEEA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Beneficjentami realizowanych projektów będzie zarządca sieci dróg krajowych, a także jednostki samorządu terytorialnego miast na prawach powiatu, w tym miast stanowiących węzły miejskie sieci bazowej TEN-T (jako zarządcy odcinków dróg krajowych znajdujących się w granicach miast na prawach powiatu) oraz ich jednostki organizacyjne.</w:t>
      </w:r>
    </w:p>
    <w:p w14:paraId="6ADC5C20"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Z uwagi na to, że interwencja będzie miała charakter horyzontalny i dotyczyła całego kraju, grupami docelowymi wsparcia będą użytkownicy indywidualni i przedsiębiorcy korzystający </w:t>
      </w:r>
      <w:r w:rsidRPr="004E3242">
        <w:rPr>
          <w:rFonts w:ascii="Arial" w:hAnsi="Arial" w:cs="Arial"/>
          <w:spacing w:val="4"/>
          <w:sz w:val="20"/>
          <w:szCs w:val="20"/>
        </w:rPr>
        <w:br/>
        <w:t>z dofinansowanej środkami UE infrastruktury transportowej w sieci TEN-T.</w:t>
      </w:r>
    </w:p>
    <w:p w14:paraId="22C7213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 xml:space="preserve">Terytorialny obszar realizacji </w:t>
      </w:r>
    </w:p>
    <w:p w14:paraId="4C5178D2"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zakresie budowy i przebudowy sieci drogowej, spójnej z siecią TEN-T, wsparcie ma charakter horyzontalny i dotyczy całego kraju. Na obszarze Polski Wschodniej interwencja POIŚ w zakresie budowy lub przebudowy dróg krajowych w miastach na prawach powiatu nie będzie obejmowała miast wojewódzkich Polski Wschodniej objętych wsparciem PO Polska Wschodnia. Stworzenie spójnej sieci transportowej przyczyni się do poprawy dostępności wewnętrznej makroregionu Morza Bałtyckiego, przyczyniając się do realizacji działań SUE RMB określonych w OP TRANSPORT.</w:t>
      </w:r>
    </w:p>
    <w:p w14:paraId="6C94DB3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25AABF66" w14:textId="77777777" w:rsidR="004E3242" w:rsidRPr="004E3242" w:rsidRDefault="004E3242" w:rsidP="004E3242">
      <w:pPr>
        <w:spacing w:before="120"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Wybór projektów do dofinansowania w ramach priorytetu inwestycyjnego nastąpi w trybie pozakonkursowym lub konkursowym. Zastosowanie konkretnego trybu będzie uzależnione od rodzaju projektów, które będą podlegały dofinansowaniu. Tryb pozakonkursowy będzie miał zastosowanie do projektów o strategicznym znaczeniu dla społeczno-gospodarczego rozwoju kraju, zidentyfikowanych w dokumentach strategicznych w zakresie planowania rozwoju infrastruktury transportu (w tym Dokument Implementacyjny, Program Budowy Dróg Krajowych), bezpośrednio z nich wynikających (Narodowy Program Bezpieczeństwa Ruchu Drogowego) lub projektów dotyczących realizacji zadań publicznych, których wnioskodawcami, ze względu na charakter lub cel projektu, mogą być jedynie podmioty jednoznacznie określone przed złożeniem wniosku o dofinansowanie projektu. Taka ścieżka wyboru umożliwi precyzyjne skierowanie środków na zdiagnozowane potrzeby dotyczące podstawowej sieci transportowej kraju oraz przyczyni się w optymalny sposób do osiągnięcia celów osi priorytetowej. W pozostałych przypadkach (inwestycje w miastach na prawach powiatu, w tym </w:t>
      </w:r>
      <w:r w:rsidRPr="004E3242">
        <w:rPr>
          <w:rFonts w:ascii="Arial" w:eastAsia="Times New Roman" w:hAnsi="Arial" w:cs="Arial"/>
          <w:sz w:val="20"/>
          <w:szCs w:val="20"/>
          <w:lang w:eastAsia="pl-PL"/>
        </w:rPr>
        <w:br/>
        <w:t>w miejskich węzłach sieci bazowej) będzie miał zastosowanie tryb konkursowy, preferujący projekty przyczyniające się do realizacji celu szczegółowego priorytetu inwestycyjnego, związanego ze zwiększeniem dostępności transportowej i odciążeniem miast od nadmiernego ruchu drogowego, poprzez premiowanie inwestycji eliminujących wąskie gardła w miastach, wyprowadzających ruch poza miasta i poprawiających bezpieczeństwo ruchu drogowego.</w:t>
      </w:r>
    </w:p>
    <w:p w14:paraId="227D6D9E" w14:textId="77777777" w:rsidR="004E3242" w:rsidRDefault="004E3242" w:rsidP="004E3242">
      <w:pPr>
        <w:spacing w:before="120"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Niezależnie od zastosowanej ścieżki (konkursowej bądź pozakonkursowej), wybór projektów do dofinansowania będzie następował w wyniku oceny poszczególnych przedsięwzięć w oparciu </w:t>
      </w:r>
      <w:r w:rsidRPr="004E3242">
        <w:rPr>
          <w:rFonts w:ascii="Arial" w:eastAsia="Times New Roman" w:hAnsi="Arial" w:cs="Arial"/>
          <w:sz w:val="20"/>
          <w:szCs w:val="20"/>
          <w:lang w:eastAsia="pl-PL"/>
        </w:rPr>
        <w:br/>
        <w:t>o obiektywne kryteria zatwierdzone przez Komitet Monitorujący. Kryteria wyboru będą służyły zapewnieniu efektywnej i prawidłowej realizacji celów określonych dla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 Promowany będzie wybór projektów przyczyniających się w największym stopniu do poprawy dostępności miast oraz zmniejszenia zatłoczenia i ograniczeń przepustowości infrastruktury drogowej w miastach, które korzystnie wpłyną na stan bezpieczeństwa ruchu drogowego w miastach i jego wpływ na środowisko, a także inwestycji przyczyniających się do integracji systemu transportowego. Projekty te będą charakteryzowały się efektywnością ekonomiczną.</w:t>
      </w:r>
    </w:p>
    <w:p w14:paraId="40E31DC4" w14:textId="77777777" w:rsidR="00F94807" w:rsidRDefault="00F94807" w:rsidP="004E3242">
      <w:pPr>
        <w:spacing w:before="120" w:after="120"/>
        <w:jc w:val="both"/>
        <w:rPr>
          <w:rFonts w:ascii="Arial" w:eastAsia="Times New Roman" w:hAnsi="Arial" w:cs="Arial"/>
          <w:sz w:val="20"/>
          <w:szCs w:val="20"/>
          <w:lang w:eastAsia="pl-PL"/>
        </w:rPr>
      </w:pPr>
      <w:r w:rsidRPr="00F94807">
        <w:rPr>
          <w:rFonts w:ascii="Arial" w:eastAsia="Times New Roman" w:hAnsi="Arial" w:cs="Arial"/>
          <w:sz w:val="20"/>
          <w:szCs w:val="20"/>
          <w:lang w:eastAsia="pl-PL"/>
        </w:rPr>
        <w:t>Do dokumentów zamknięcia tego programu zostanie dołączona lista wszystkich dofinansowanych projektów przygotowawczych wraz z listą odpowiadających im inwestycji przeznaczonych do realizacji w ramach tego programu lub programów operacyjnych polityki spójności następujących po roku 2020.</w:t>
      </w:r>
    </w:p>
    <w:p w14:paraId="63F9BA19" w14:textId="77777777" w:rsidR="00684EE4" w:rsidRPr="004E3242" w:rsidRDefault="005E530E" w:rsidP="004E3242">
      <w:pPr>
        <w:spacing w:before="120" w:after="120"/>
        <w:jc w:val="both"/>
        <w:rPr>
          <w:rFonts w:ascii="Arial" w:hAnsi="Arial" w:cs="Arial"/>
          <w:sz w:val="20"/>
        </w:rPr>
      </w:pPr>
      <w:r w:rsidRPr="005E530E">
        <w:rPr>
          <w:rFonts w:ascii="Arial" w:hAnsi="Arial" w:cs="Arial"/>
          <w:sz w:val="20"/>
        </w:rPr>
        <w:t xml:space="preserve">Szczegółowe informacje nt. założeń koordynacji i podziału interwencji pomiędzy </w:t>
      </w:r>
      <w:proofErr w:type="spellStart"/>
      <w:r w:rsidRPr="005E530E">
        <w:rPr>
          <w:rFonts w:ascii="Arial" w:hAnsi="Arial" w:cs="Arial"/>
          <w:sz w:val="20"/>
        </w:rPr>
        <w:t>POIiŚ</w:t>
      </w:r>
      <w:proofErr w:type="spellEnd"/>
      <w:r w:rsidRPr="005E530E">
        <w:rPr>
          <w:rFonts w:ascii="Arial" w:hAnsi="Arial" w:cs="Arial"/>
          <w:sz w:val="20"/>
        </w:rPr>
        <w:t xml:space="preserve"> a innymi programami i instrumentami wsparcia opisane zostały w rozdziale 8 </w:t>
      </w:r>
      <w:proofErr w:type="spellStart"/>
      <w:r w:rsidRPr="005E530E">
        <w:rPr>
          <w:rFonts w:ascii="Arial" w:hAnsi="Arial" w:cs="Arial"/>
          <w:sz w:val="20"/>
        </w:rPr>
        <w:t>POIiŚ</w:t>
      </w:r>
      <w:proofErr w:type="spellEnd"/>
      <w:r w:rsidRPr="005E530E">
        <w:rPr>
          <w:rFonts w:ascii="Arial" w:hAnsi="Arial" w:cs="Arial"/>
          <w:sz w:val="20"/>
        </w:rPr>
        <w:t>.</w:t>
      </w:r>
    </w:p>
    <w:p w14:paraId="7E653F5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0D3D2E1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przewiduje się wsparcia w formie instrumentów finansowych.</w:t>
      </w:r>
    </w:p>
    <w:p w14:paraId="7F1E686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4C97D96F"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lastRenderedPageBreak/>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pomiędzy podmiotem publicznym i podmiotem sektora prywatnego (o ile dotyczy), będzie zgodny z art. 102 ust. 3 rozporządzenia ogólnego. Po przygotowaniu kompletnej dokumentacji projektowej możliwe będzie precyzyjne określenie zakresu rzeczowego oraz szacowanych kosztów tych projektów.</w:t>
      </w:r>
    </w:p>
    <w:p w14:paraId="787D6325"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Realizacja dużych projektów w znaczący sposób przyczyni się do osiągnięcia celu szczegółowego tego priorytetu, związanego ze zwiększeniem dostępności ośrodków miejskich w TEN-T oraz odciążeniem miast od nadmiernego ruchu drogowego, poprzez budowę i przebudowę głównych dróg w miastach, dróg stanowiących trasy wylotowe i obwodnic, których rezultatem będzie poprawa ich skomunikowania drogowego i bezpieczeństwa ruchu na drogach.</w:t>
      </w:r>
    </w:p>
    <w:p w14:paraId="7D516AE3"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377E8EC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2126"/>
        <w:gridCol w:w="1133"/>
        <w:gridCol w:w="994"/>
        <w:gridCol w:w="1133"/>
        <w:gridCol w:w="994"/>
        <w:gridCol w:w="990"/>
        <w:gridCol w:w="1382"/>
      </w:tblGrid>
      <w:tr w:rsidR="004E3242" w:rsidRPr="004E3242" w14:paraId="7C8BC750" w14:textId="77777777" w:rsidTr="00AA7998">
        <w:tc>
          <w:tcPr>
            <w:tcW w:w="288" w:type="pct"/>
            <w:shd w:val="clear" w:color="auto" w:fill="99CC00"/>
            <w:vAlign w:val="center"/>
          </w:tcPr>
          <w:p w14:paraId="0D3791E7"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145" w:type="pct"/>
            <w:shd w:val="clear" w:color="auto" w:fill="99CC00"/>
            <w:vAlign w:val="center"/>
          </w:tcPr>
          <w:p w14:paraId="27E51433"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610" w:type="pct"/>
            <w:shd w:val="clear" w:color="auto" w:fill="99CC00"/>
            <w:vAlign w:val="center"/>
          </w:tcPr>
          <w:p w14:paraId="1A44B4BB"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5" w:type="pct"/>
            <w:shd w:val="clear" w:color="auto" w:fill="99CC00"/>
            <w:vAlign w:val="center"/>
          </w:tcPr>
          <w:p w14:paraId="58D6395B"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610" w:type="pct"/>
            <w:shd w:val="clear" w:color="auto" w:fill="99CC00"/>
            <w:vAlign w:val="center"/>
          </w:tcPr>
          <w:p w14:paraId="2D634694"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5" w:type="pct"/>
            <w:shd w:val="clear" w:color="auto" w:fill="99CC00"/>
            <w:vAlign w:val="center"/>
          </w:tcPr>
          <w:p w14:paraId="54977288"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3" w:type="pct"/>
            <w:shd w:val="clear" w:color="auto" w:fill="99CC00"/>
            <w:vAlign w:val="center"/>
          </w:tcPr>
          <w:p w14:paraId="5111B248"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2EF15D0F"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20835140" w14:textId="77777777" w:rsidTr="00AA7998">
        <w:tc>
          <w:tcPr>
            <w:tcW w:w="288" w:type="pct"/>
            <w:shd w:val="clear" w:color="auto" w:fill="F2F2F2"/>
            <w:vAlign w:val="center"/>
          </w:tcPr>
          <w:p w14:paraId="196A311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1145" w:type="pct"/>
            <w:shd w:val="clear" w:color="auto" w:fill="F2F2F2"/>
            <w:vAlign w:val="center"/>
          </w:tcPr>
          <w:p w14:paraId="19EAF27D" w14:textId="77777777" w:rsidR="004E3242" w:rsidRPr="004E3242" w:rsidRDefault="004E3242" w:rsidP="004E3242">
            <w:pPr>
              <w:autoSpaceDE w:val="0"/>
              <w:autoSpaceDN w:val="0"/>
              <w:adjustRightInd w:val="0"/>
              <w:spacing w:before="60" w:after="60"/>
              <w:jc w:val="both"/>
              <w:rPr>
                <w:rFonts w:ascii="Arial" w:hAnsi="Arial" w:cs="Arial"/>
                <w:sz w:val="16"/>
                <w:szCs w:val="16"/>
              </w:rPr>
            </w:pPr>
            <w:r w:rsidRPr="004E3242">
              <w:rPr>
                <w:rFonts w:ascii="Arial" w:hAnsi="Arial" w:cs="Arial"/>
                <w:sz w:val="16"/>
                <w:szCs w:val="16"/>
              </w:rPr>
              <w:t>Całkowita długość nowych dróg (CI)</w:t>
            </w:r>
          </w:p>
        </w:tc>
        <w:tc>
          <w:tcPr>
            <w:tcW w:w="610" w:type="pct"/>
            <w:shd w:val="clear" w:color="auto" w:fill="F2F2F2"/>
            <w:vAlign w:val="center"/>
          </w:tcPr>
          <w:p w14:paraId="65656DCA" w14:textId="77777777" w:rsidR="004E3242" w:rsidRPr="004E3242" w:rsidRDefault="004E3242" w:rsidP="004E3242">
            <w:pPr>
              <w:autoSpaceDE w:val="0"/>
              <w:autoSpaceDN w:val="0"/>
              <w:adjustRightInd w:val="0"/>
              <w:spacing w:before="60" w:after="60"/>
              <w:jc w:val="center"/>
              <w:rPr>
                <w:rFonts w:ascii="Arial" w:hAnsi="Arial" w:cs="Arial"/>
                <w:sz w:val="16"/>
                <w:szCs w:val="16"/>
              </w:rPr>
            </w:pPr>
            <w:r w:rsidRPr="004E3242">
              <w:rPr>
                <w:rFonts w:ascii="Arial" w:hAnsi="Arial" w:cs="Arial"/>
                <w:sz w:val="16"/>
                <w:szCs w:val="16"/>
              </w:rPr>
              <w:t>km</w:t>
            </w:r>
          </w:p>
        </w:tc>
        <w:tc>
          <w:tcPr>
            <w:tcW w:w="535" w:type="pct"/>
            <w:shd w:val="clear" w:color="auto" w:fill="F2F2F2"/>
            <w:vAlign w:val="center"/>
          </w:tcPr>
          <w:p w14:paraId="7F31CA0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610" w:type="pct"/>
            <w:shd w:val="clear" w:color="auto" w:fill="F2F2F2"/>
            <w:vAlign w:val="center"/>
          </w:tcPr>
          <w:p w14:paraId="3421559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7DDDB89A" w14:textId="77777777" w:rsidR="004E3242" w:rsidRPr="004E3242" w:rsidDel="00A72740" w:rsidRDefault="00CE7E07"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r w:rsidRPr="00CE7E07">
              <w:rPr>
                <w:rFonts w:ascii="Arial" w:hAnsi="Arial" w:cs="Arial"/>
                <w:spacing w:val="4"/>
                <w:sz w:val="16"/>
                <w:szCs w:val="16"/>
              </w:rPr>
              <w:t>171</w:t>
            </w:r>
          </w:p>
        </w:tc>
        <w:tc>
          <w:tcPr>
            <w:tcW w:w="533" w:type="pct"/>
            <w:shd w:val="clear" w:color="auto" w:fill="F2F2F2"/>
            <w:vAlign w:val="center"/>
          </w:tcPr>
          <w:p w14:paraId="3DFFECF9"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44" w:type="pct"/>
            <w:shd w:val="clear" w:color="auto" w:fill="F2F2F2"/>
            <w:vAlign w:val="center"/>
          </w:tcPr>
          <w:p w14:paraId="1E32DE35"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1AE0A78D" w14:textId="77777777" w:rsidTr="00AA7998">
        <w:tc>
          <w:tcPr>
            <w:tcW w:w="288" w:type="pct"/>
            <w:shd w:val="clear" w:color="auto" w:fill="F2F2F2"/>
            <w:vAlign w:val="center"/>
          </w:tcPr>
          <w:p w14:paraId="68D0CE5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1.a..</w:t>
            </w:r>
          </w:p>
        </w:tc>
        <w:tc>
          <w:tcPr>
            <w:tcW w:w="1145" w:type="pct"/>
            <w:shd w:val="clear" w:color="auto" w:fill="F2F2F2"/>
            <w:vAlign w:val="center"/>
          </w:tcPr>
          <w:p w14:paraId="2D894530"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z w:val="16"/>
                <w:szCs w:val="16"/>
              </w:rPr>
              <w:t>Całkowita długość nowych dróg, w tym TEN-T (CI)</w:t>
            </w:r>
          </w:p>
        </w:tc>
        <w:tc>
          <w:tcPr>
            <w:tcW w:w="610" w:type="pct"/>
            <w:shd w:val="clear" w:color="auto" w:fill="F2F2F2"/>
            <w:vAlign w:val="center"/>
          </w:tcPr>
          <w:p w14:paraId="06300AE6"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z w:val="16"/>
                <w:szCs w:val="16"/>
              </w:rPr>
              <w:t>km</w:t>
            </w:r>
          </w:p>
        </w:tc>
        <w:tc>
          <w:tcPr>
            <w:tcW w:w="535" w:type="pct"/>
            <w:shd w:val="clear" w:color="auto" w:fill="F2F2F2"/>
            <w:vAlign w:val="center"/>
          </w:tcPr>
          <w:p w14:paraId="7C1EBF77"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610" w:type="pct"/>
            <w:shd w:val="clear" w:color="auto" w:fill="F2F2F2"/>
            <w:vAlign w:val="center"/>
          </w:tcPr>
          <w:p w14:paraId="42A434F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30919205" w14:textId="77777777" w:rsidR="004E3242" w:rsidRPr="004E3242" w:rsidRDefault="00CE7E07"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r w:rsidRPr="00CE7E07">
              <w:rPr>
                <w:rFonts w:ascii="Arial" w:hAnsi="Arial" w:cs="Arial"/>
                <w:spacing w:val="4"/>
                <w:sz w:val="16"/>
                <w:szCs w:val="16"/>
              </w:rPr>
              <w:t>171</w:t>
            </w:r>
          </w:p>
        </w:tc>
        <w:tc>
          <w:tcPr>
            <w:tcW w:w="533" w:type="pct"/>
            <w:shd w:val="clear" w:color="auto" w:fill="F2F2F2"/>
            <w:vAlign w:val="center"/>
          </w:tcPr>
          <w:p w14:paraId="5B9BA7E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44" w:type="pct"/>
            <w:shd w:val="clear" w:color="auto" w:fill="F2F2F2"/>
            <w:vAlign w:val="center"/>
          </w:tcPr>
          <w:p w14:paraId="7D860E54"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28C39950" w14:textId="77777777" w:rsidTr="00AA7998">
        <w:tc>
          <w:tcPr>
            <w:tcW w:w="288" w:type="pct"/>
            <w:shd w:val="clear" w:color="auto" w:fill="F2F2F2"/>
            <w:vAlign w:val="center"/>
          </w:tcPr>
          <w:p w14:paraId="37888997"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 xml:space="preserve">2. </w:t>
            </w:r>
          </w:p>
        </w:tc>
        <w:tc>
          <w:tcPr>
            <w:tcW w:w="1145" w:type="pct"/>
            <w:shd w:val="clear" w:color="auto" w:fill="F2F2F2"/>
            <w:vAlign w:val="center"/>
          </w:tcPr>
          <w:p w14:paraId="0C1336A2" w14:textId="77777777" w:rsidR="004E3242" w:rsidRPr="004E3242" w:rsidRDefault="004E3242" w:rsidP="004E3242">
            <w:pPr>
              <w:autoSpaceDE w:val="0"/>
              <w:autoSpaceDN w:val="0"/>
              <w:adjustRightInd w:val="0"/>
              <w:spacing w:before="60" w:after="60"/>
              <w:jc w:val="both"/>
              <w:rPr>
                <w:rFonts w:ascii="Arial" w:hAnsi="Arial" w:cs="Arial"/>
                <w:sz w:val="16"/>
                <w:szCs w:val="16"/>
              </w:rPr>
            </w:pPr>
            <w:r w:rsidRPr="004E3242">
              <w:rPr>
                <w:rFonts w:ascii="Arial" w:hAnsi="Arial" w:cs="Arial"/>
                <w:sz w:val="16"/>
                <w:szCs w:val="16"/>
              </w:rPr>
              <w:t>Całkowita długość przebudowanych lub zmodernizowanych dróg (CI)</w:t>
            </w:r>
          </w:p>
        </w:tc>
        <w:tc>
          <w:tcPr>
            <w:tcW w:w="610" w:type="pct"/>
            <w:shd w:val="clear" w:color="auto" w:fill="F2F2F2"/>
            <w:vAlign w:val="center"/>
          </w:tcPr>
          <w:p w14:paraId="582390FC" w14:textId="77777777" w:rsidR="004E3242" w:rsidRPr="004E3242" w:rsidRDefault="004E3242" w:rsidP="004E3242">
            <w:pPr>
              <w:autoSpaceDE w:val="0"/>
              <w:autoSpaceDN w:val="0"/>
              <w:adjustRightInd w:val="0"/>
              <w:spacing w:before="60" w:after="60"/>
              <w:jc w:val="center"/>
              <w:rPr>
                <w:rFonts w:ascii="Arial" w:hAnsi="Arial" w:cs="Arial"/>
                <w:sz w:val="16"/>
                <w:szCs w:val="16"/>
              </w:rPr>
            </w:pPr>
            <w:r w:rsidRPr="004E3242">
              <w:rPr>
                <w:rFonts w:ascii="Arial" w:hAnsi="Arial" w:cs="Arial"/>
                <w:sz w:val="16"/>
                <w:szCs w:val="16"/>
              </w:rPr>
              <w:t>km</w:t>
            </w:r>
          </w:p>
        </w:tc>
        <w:tc>
          <w:tcPr>
            <w:tcW w:w="535" w:type="pct"/>
            <w:shd w:val="clear" w:color="auto" w:fill="F2F2F2"/>
            <w:vAlign w:val="center"/>
          </w:tcPr>
          <w:p w14:paraId="677DECD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610" w:type="pct"/>
            <w:shd w:val="clear" w:color="auto" w:fill="F2F2F2"/>
            <w:vAlign w:val="center"/>
          </w:tcPr>
          <w:p w14:paraId="64F4A18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17E6215F" w14:textId="77777777" w:rsidR="004E3242" w:rsidRPr="004E3242" w:rsidDel="00A72740" w:rsidRDefault="004D179B"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19</w:t>
            </w:r>
          </w:p>
        </w:tc>
        <w:tc>
          <w:tcPr>
            <w:tcW w:w="533" w:type="pct"/>
            <w:shd w:val="clear" w:color="auto" w:fill="F2F2F2"/>
            <w:vAlign w:val="center"/>
          </w:tcPr>
          <w:p w14:paraId="729B051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44" w:type="pct"/>
            <w:shd w:val="clear" w:color="auto" w:fill="F2F2F2"/>
            <w:vAlign w:val="center"/>
          </w:tcPr>
          <w:p w14:paraId="40200DF0"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1CE26705" w14:textId="77777777" w:rsidTr="00AA7998">
        <w:tc>
          <w:tcPr>
            <w:tcW w:w="288" w:type="pct"/>
            <w:shd w:val="clear" w:color="auto" w:fill="F2F2F2"/>
            <w:vAlign w:val="center"/>
          </w:tcPr>
          <w:p w14:paraId="72DD65D4"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2.a.</w:t>
            </w:r>
          </w:p>
        </w:tc>
        <w:tc>
          <w:tcPr>
            <w:tcW w:w="1145" w:type="pct"/>
            <w:shd w:val="clear" w:color="auto" w:fill="F2F2F2"/>
            <w:vAlign w:val="center"/>
          </w:tcPr>
          <w:p w14:paraId="32987911" w14:textId="77777777" w:rsidR="004E3242" w:rsidRPr="004E3242" w:rsidRDefault="004E3242" w:rsidP="004E3242">
            <w:pPr>
              <w:autoSpaceDE w:val="0"/>
              <w:autoSpaceDN w:val="0"/>
              <w:adjustRightInd w:val="0"/>
              <w:spacing w:before="60" w:after="60"/>
              <w:jc w:val="both"/>
              <w:rPr>
                <w:rFonts w:ascii="Arial" w:hAnsi="Arial" w:cs="Arial"/>
                <w:sz w:val="16"/>
                <w:szCs w:val="16"/>
              </w:rPr>
            </w:pPr>
            <w:r w:rsidRPr="004E3242">
              <w:rPr>
                <w:rFonts w:ascii="Arial" w:hAnsi="Arial" w:cs="Arial"/>
                <w:sz w:val="16"/>
                <w:szCs w:val="16"/>
              </w:rPr>
              <w:t>Całkowita długość przebudowanych lub zmodernizowanych dróg, w tym TEN-T (CI)</w:t>
            </w:r>
          </w:p>
        </w:tc>
        <w:tc>
          <w:tcPr>
            <w:tcW w:w="610" w:type="pct"/>
            <w:shd w:val="clear" w:color="auto" w:fill="F2F2F2"/>
            <w:vAlign w:val="center"/>
          </w:tcPr>
          <w:p w14:paraId="1E694F2E" w14:textId="77777777" w:rsidR="004E3242" w:rsidRPr="004E3242" w:rsidRDefault="004E3242" w:rsidP="004E3242">
            <w:pPr>
              <w:autoSpaceDE w:val="0"/>
              <w:autoSpaceDN w:val="0"/>
              <w:adjustRightInd w:val="0"/>
              <w:spacing w:before="60" w:after="60"/>
              <w:jc w:val="center"/>
              <w:rPr>
                <w:rFonts w:ascii="Arial" w:hAnsi="Arial" w:cs="Arial"/>
                <w:sz w:val="16"/>
                <w:szCs w:val="16"/>
              </w:rPr>
            </w:pPr>
            <w:r w:rsidRPr="004E3242">
              <w:rPr>
                <w:rFonts w:ascii="Arial" w:hAnsi="Arial" w:cs="Arial"/>
                <w:sz w:val="16"/>
                <w:szCs w:val="16"/>
              </w:rPr>
              <w:t>km</w:t>
            </w:r>
          </w:p>
        </w:tc>
        <w:tc>
          <w:tcPr>
            <w:tcW w:w="535" w:type="pct"/>
            <w:shd w:val="clear" w:color="auto" w:fill="F2F2F2"/>
            <w:vAlign w:val="center"/>
          </w:tcPr>
          <w:p w14:paraId="490F4E8F"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610" w:type="pct"/>
            <w:shd w:val="clear" w:color="auto" w:fill="F2F2F2"/>
            <w:vAlign w:val="center"/>
          </w:tcPr>
          <w:p w14:paraId="6B459C4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6889A2A4" w14:textId="77777777" w:rsidR="004E3242" w:rsidRPr="004E3242" w:rsidRDefault="004D179B" w:rsidP="004E3242">
            <w:pPr>
              <w:autoSpaceDE w:val="0"/>
              <w:autoSpaceDN w:val="0"/>
              <w:adjustRightInd w:val="0"/>
              <w:spacing w:before="60" w:after="60"/>
              <w:jc w:val="center"/>
              <w:rPr>
                <w:rFonts w:ascii="Arial" w:hAnsi="Arial" w:cs="Arial"/>
                <w:spacing w:val="4"/>
                <w:sz w:val="16"/>
                <w:szCs w:val="16"/>
                <w:highlight w:val="yellow"/>
              </w:rPr>
            </w:pPr>
            <w:r>
              <w:rPr>
                <w:rFonts w:ascii="Arial" w:hAnsi="Arial" w:cs="Arial"/>
                <w:spacing w:val="4"/>
                <w:sz w:val="16"/>
                <w:szCs w:val="16"/>
              </w:rPr>
              <w:t>19</w:t>
            </w:r>
          </w:p>
        </w:tc>
        <w:tc>
          <w:tcPr>
            <w:tcW w:w="533" w:type="pct"/>
            <w:shd w:val="clear" w:color="auto" w:fill="F2F2F2"/>
            <w:vAlign w:val="center"/>
          </w:tcPr>
          <w:p w14:paraId="03314CD1"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44" w:type="pct"/>
            <w:shd w:val="clear" w:color="auto" w:fill="F2F2F2"/>
            <w:vAlign w:val="center"/>
          </w:tcPr>
          <w:p w14:paraId="155C9C3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bl>
    <w:p w14:paraId="3496DE4B"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i/>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7.b.</w:t>
      </w:r>
      <w:r w:rsidRPr="004E3242">
        <w:rPr>
          <w:rFonts w:ascii="Arial" w:eastAsia="Times New Roman" w:hAnsi="Arial"/>
          <w:i/>
          <w:smallCaps/>
          <w:color w:val="669900"/>
          <w:spacing w:val="10"/>
          <w:sz w:val="24"/>
          <w:szCs w:val="24"/>
          <w:lang w:eastAsia="pl-PL"/>
        </w:rPr>
        <w:t xml:space="preserve"> Zwiększanie mobilności regionalnej poprzez łączenie węzłów drugorzędnych i trzeciorzędnych z infrastrukturą TEN-T, w tym z węzłami multimodalnymi</w:t>
      </w:r>
    </w:p>
    <w:p w14:paraId="1ADAB4EC"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535B74C2" w14:textId="77777777" w:rsidR="004E3242" w:rsidRPr="004E3242" w:rsidRDefault="004E3242" w:rsidP="004E3242">
      <w:pPr>
        <w:spacing w:after="120" w:line="280" w:lineRule="atLeast"/>
        <w:jc w:val="both"/>
        <w:rPr>
          <w:rFonts w:ascii="Arial" w:hAnsi="Arial" w:cs="Arial"/>
          <w:sz w:val="20"/>
        </w:rPr>
      </w:pPr>
      <w:r w:rsidRPr="004E3242">
        <w:rPr>
          <w:rFonts w:ascii="Arial" w:hAnsi="Arial" w:cs="Arial"/>
          <w:sz w:val="20"/>
        </w:rPr>
        <w:t>Zwiększona dostępność transportowa ośrodków miejskich poza siecią podstawowych połączeń drogowych w TEN-T oraz odciążenie miast od nadmiernego ruchu drogowego</w:t>
      </w:r>
    </w:p>
    <w:p w14:paraId="769B2B10"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39CFF6EE" w14:textId="77777777" w:rsidR="004E3242" w:rsidRPr="004E3242" w:rsidRDefault="004E3242" w:rsidP="004E3242">
      <w:pPr>
        <w:spacing w:after="120" w:line="280" w:lineRule="atLeast"/>
        <w:jc w:val="both"/>
        <w:rPr>
          <w:rFonts w:ascii="Arial" w:hAnsi="Arial" w:cs="Arial"/>
          <w:sz w:val="20"/>
        </w:rPr>
      </w:pPr>
      <w:r w:rsidRPr="004E3242">
        <w:rPr>
          <w:rFonts w:ascii="Arial" w:hAnsi="Arial" w:cs="Arial"/>
          <w:sz w:val="20"/>
        </w:rPr>
        <w:t>Rezultatem realizacji projektów w priorytecie inwestycyjnym będzie poprawa stanu infrastruktury drogowej wpływającej na dostępność transportową miast oraz zmniejszenie natężenia ruchu drogowego (tranzytowego) w miastach, które wpłynie korzystnie na stan bezpieczeństwa na drogach</w:t>
      </w:r>
    </w:p>
    <w:p w14:paraId="7A40D483"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165" w:type="pct"/>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67"/>
        <w:gridCol w:w="1417"/>
        <w:gridCol w:w="1984"/>
        <w:gridCol w:w="992"/>
        <w:gridCol w:w="854"/>
        <w:gridCol w:w="802"/>
        <w:gridCol w:w="996"/>
        <w:gridCol w:w="854"/>
        <w:gridCol w:w="1126"/>
      </w:tblGrid>
      <w:tr w:rsidR="004E3242" w:rsidRPr="004E3242" w14:paraId="04991443" w14:textId="77777777" w:rsidTr="00AA7998">
        <w:tc>
          <w:tcPr>
            <w:tcW w:w="296" w:type="pct"/>
            <w:shd w:val="clear" w:color="auto" w:fill="99CC00"/>
            <w:vAlign w:val="center"/>
          </w:tcPr>
          <w:p w14:paraId="24258D7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739" w:type="pct"/>
            <w:shd w:val="clear" w:color="auto" w:fill="99CC00"/>
            <w:vAlign w:val="center"/>
          </w:tcPr>
          <w:p w14:paraId="4FAFF899"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1034" w:type="pct"/>
            <w:shd w:val="clear" w:color="auto" w:fill="99CC00"/>
            <w:vAlign w:val="center"/>
          </w:tcPr>
          <w:p w14:paraId="2CE0E98A"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17" w:type="pct"/>
            <w:shd w:val="clear" w:color="auto" w:fill="99CC00"/>
            <w:vAlign w:val="center"/>
          </w:tcPr>
          <w:p w14:paraId="4B6C1272"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45" w:type="pct"/>
            <w:shd w:val="clear" w:color="auto" w:fill="99CC00"/>
            <w:vAlign w:val="center"/>
          </w:tcPr>
          <w:p w14:paraId="0C0C8BEA"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18" w:type="pct"/>
            <w:shd w:val="clear" w:color="auto" w:fill="99CC00"/>
            <w:vAlign w:val="center"/>
          </w:tcPr>
          <w:p w14:paraId="58604415"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19" w:type="pct"/>
            <w:shd w:val="clear" w:color="auto" w:fill="99CC00"/>
            <w:vAlign w:val="center"/>
          </w:tcPr>
          <w:p w14:paraId="0020BCB0"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45" w:type="pct"/>
            <w:shd w:val="clear" w:color="auto" w:fill="99CC00"/>
            <w:vAlign w:val="center"/>
          </w:tcPr>
          <w:p w14:paraId="02F3645D"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587" w:type="pct"/>
            <w:shd w:val="clear" w:color="auto" w:fill="99CC00"/>
            <w:vAlign w:val="center"/>
          </w:tcPr>
          <w:p w14:paraId="4E5DEEA5"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1FB1CF03" w14:textId="77777777" w:rsidTr="00AA7998">
        <w:tc>
          <w:tcPr>
            <w:tcW w:w="296" w:type="pct"/>
            <w:shd w:val="clear" w:color="auto" w:fill="F2F2F2"/>
            <w:vAlign w:val="center"/>
          </w:tcPr>
          <w:p w14:paraId="7FAB0A3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739" w:type="pct"/>
            <w:shd w:val="clear" w:color="auto" w:fill="F2F2F2"/>
            <w:vAlign w:val="center"/>
          </w:tcPr>
          <w:p w14:paraId="5FB3721D"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 xml:space="preserve">Wskaźnik Drogowej Dostępności Transportowej </w:t>
            </w:r>
            <w:r w:rsidRPr="004E3242">
              <w:rPr>
                <w:rFonts w:ascii="Arial" w:hAnsi="Arial" w:cs="Arial"/>
                <w:spacing w:val="4"/>
                <w:sz w:val="16"/>
                <w:szCs w:val="16"/>
              </w:rPr>
              <w:lastRenderedPageBreak/>
              <w:t>WDDT II (syntetyczny) dla miast na prawach powiatu poza siecią TEN-T</w:t>
            </w:r>
            <w:r w:rsidRPr="004E3242" w:rsidDel="00CF2472">
              <w:rPr>
                <w:rFonts w:ascii="Arial" w:hAnsi="Arial" w:cs="Arial"/>
                <w:spacing w:val="4"/>
                <w:sz w:val="16"/>
                <w:szCs w:val="16"/>
              </w:rPr>
              <w:t xml:space="preserve"> </w:t>
            </w:r>
          </w:p>
        </w:tc>
        <w:tc>
          <w:tcPr>
            <w:tcW w:w="1034" w:type="pct"/>
            <w:shd w:val="clear" w:color="auto" w:fill="F2F2F2"/>
            <w:vAlign w:val="center"/>
          </w:tcPr>
          <w:p w14:paraId="022D9AE1"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lastRenderedPageBreak/>
              <w:t>n/d</w:t>
            </w:r>
          </w:p>
        </w:tc>
        <w:tc>
          <w:tcPr>
            <w:tcW w:w="517" w:type="pct"/>
            <w:shd w:val="clear" w:color="auto" w:fill="F2F2F2"/>
            <w:vAlign w:val="center"/>
          </w:tcPr>
          <w:p w14:paraId="2A9B632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w:t>
            </w:r>
          </w:p>
          <w:p w14:paraId="2636EE7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/lepiej rozwinięte</w:t>
            </w:r>
          </w:p>
        </w:tc>
        <w:tc>
          <w:tcPr>
            <w:tcW w:w="445" w:type="pct"/>
            <w:shd w:val="clear" w:color="auto" w:fill="F2F2F2"/>
            <w:vAlign w:val="center"/>
          </w:tcPr>
          <w:p w14:paraId="24661C6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34,06</w:t>
            </w:r>
          </w:p>
        </w:tc>
        <w:tc>
          <w:tcPr>
            <w:tcW w:w="418" w:type="pct"/>
            <w:shd w:val="clear" w:color="auto" w:fill="F2F2F2"/>
            <w:vAlign w:val="center"/>
          </w:tcPr>
          <w:p w14:paraId="7C5D3DF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19" w:type="pct"/>
            <w:shd w:val="clear" w:color="auto" w:fill="F2F2F2"/>
            <w:vAlign w:val="center"/>
          </w:tcPr>
          <w:p w14:paraId="201FFC3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39,48</w:t>
            </w:r>
          </w:p>
        </w:tc>
        <w:tc>
          <w:tcPr>
            <w:tcW w:w="445" w:type="pct"/>
            <w:shd w:val="clear" w:color="auto" w:fill="F2F2F2"/>
            <w:vAlign w:val="center"/>
          </w:tcPr>
          <w:p w14:paraId="061A78D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PAN (opracowanie dla MIR)</w:t>
            </w:r>
          </w:p>
        </w:tc>
        <w:tc>
          <w:tcPr>
            <w:tcW w:w="587" w:type="pct"/>
            <w:shd w:val="clear" w:color="auto" w:fill="F2F2F2"/>
            <w:vAlign w:val="center"/>
          </w:tcPr>
          <w:p w14:paraId="409B44F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 xml:space="preserve">dwukrotnie w okresie wdrażania oraz po </w:t>
            </w:r>
            <w:r w:rsidRPr="004E3242">
              <w:rPr>
                <w:rFonts w:ascii="Arial" w:hAnsi="Arial" w:cs="Arial"/>
                <w:spacing w:val="4"/>
                <w:sz w:val="16"/>
                <w:szCs w:val="16"/>
              </w:rPr>
              <w:lastRenderedPageBreak/>
              <w:t>zakończeniu wdrażania</w:t>
            </w:r>
          </w:p>
        </w:tc>
      </w:tr>
      <w:tr w:rsidR="004E3242" w:rsidRPr="004E3242" w14:paraId="030F81FD" w14:textId="77777777" w:rsidTr="00AA7998">
        <w:tc>
          <w:tcPr>
            <w:tcW w:w="296" w:type="pct"/>
            <w:shd w:val="clear" w:color="auto" w:fill="F2F2F2"/>
            <w:vAlign w:val="center"/>
          </w:tcPr>
          <w:p w14:paraId="035F75A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lastRenderedPageBreak/>
              <w:t>2.</w:t>
            </w:r>
          </w:p>
        </w:tc>
        <w:tc>
          <w:tcPr>
            <w:tcW w:w="739" w:type="pct"/>
            <w:shd w:val="clear" w:color="auto" w:fill="F2F2F2"/>
            <w:vAlign w:val="center"/>
          </w:tcPr>
          <w:p w14:paraId="0031D0DB"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Wypadki w miastach na prawach powiatu poza siecią TEN-T</w:t>
            </w:r>
          </w:p>
        </w:tc>
        <w:tc>
          <w:tcPr>
            <w:tcW w:w="1034" w:type="pct"/>
            <w:shd w:val="clear" w:color="auto" w:fill="F2F2F2"/>
            <w:vAlign w:val="center"/>
          </w:tcPr>
          <w:p w14:paraId="122609B9"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szt./100 tys.</w:t>
            </w:r>
            <w:r w:rsidR="00823A31">
              <w:rPr>
                <w:rFonts w:ascii="Arial" w:hAnsi="Arial" w:cs="Arial"/>
                <w:spacing w:val="4"/>
                <w:sz w:val="16"/>
                <w:szCs w:val="16"/>
              </w:rPr>
              <w:t xml:space="preserve"> </w:t>
            </w:r>
            <w:r w:rsidRPr="004E3242">
              <w:rPr>
                <w:rFonts w:ascii="Arial" w:hAnsi="Arial" w:cs="Arial"/>
                <w:spacing w:val="4"/>
                <w:sz w:val="16"/>
                <w:szCs w:val="16"/>
              </w:rPr>
              <w:t>mieszkańców</w:t>
            </w:r>
          </w:p>
        </w:tc>
        <w:tc>
          <w:tcPr>
            <w:tcW w:w="517" w:type="pct"/>
            <w:shd w:val="clear" w:color="auto" w:fill="F2F2F2"/>
            <w:vAlign w:val="center"/>
          </w:tcPr>
          <w:p w14:paraId="584FBF78"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słabiej/lepiej rozwinięte</w:t>
            </w:r>
          </w:p>
        </w:tc>
        <w:tc>
          <w:tcPr>
            <w:tcW w:w="445" w:type="pct"/>
            <w:shd w:val="clear" w:color="auto" w:fill="F2F2F2"/>
            <w:vAlign w:val="center"/>
          </w:tcPr>
          <w:p w14:paraId="06714ED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89</w:t>
            </w:r>
          </w:p>
        </w:tc>
        <w:tc>
          <w:tcPr>
            <w:tcW w:w="418" w:type="pct"/>
            <w:shd w:val="clear" w:color="auto" w:fill="F2F2F2"/>
            <w:vAlign w:val="center"/>
          </w:tcPr>
          <w:p w14:paraId="43E98D6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19" w:type="pct"/>
            <w:shd w:val="clear" w:color="auto" w:fill="F2F2F2"/>
            <w:vAlign w:val="center"/>
          </w:tcPr>
          <w:p w14:paraId="71E199D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niepo</w:t>
            </w:r>
            <w:r w:rsidR="00823A31">
              <w:rPr>
                <w:rFonts w:ascii="Arial" w:hAnsi="Arial" w:cs="Arial"/>
                <w:spacing w:val="4"/>
                <w:sz w:val="16"/>
                <w:szCs w:val="16"/>
              </w:rPr>
              <w:t>go</w:t>
            </w:r>
            <w:r w:rsidRPr="004E3242">
              <w:rPr>
                <w:rFonts w:ascii="Arial" w:hAnsi="Arial" w:cs="Arial"/>
                <w:spacing w:val="4"/>
                <w:sz w:val="16"/>
                <w:szCs w:val="16"/>
              </w:rPr>
              <w:t>rszenie się średniej z ostatnich 5-ciu lat</w:t>
            </w:r>
          </w:p>
        </w:tc>
        <w:tc>
          <w:tcPr>
            <w:tcW w:w="445" w:type="pct"/>
            <w:shd w:val="clear" w:color="auto" w:fill="F2F2F2"/>
            <w:vAlign w:val="center"/>
          </w:tcPr>
          <w:p w14:paraId="76D740D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MIR na podstawie danych Polskiego Obserwatorium BRD</w:t>
            </w:r>
          </w:p>
        </w:tc>
        <w:tc>
          <w:tcPr>
            <w:tcW w:w="587" w:type="pct"/>
            <w:shd w:val="clear" w:color="auto" w:fill="F2F2F2"/>
            <w:vAlign w:val="center"/>
          </w:tcPr>
          <w:p w14:paraId="3ADE73D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bl>
    <w:p w14:paraId="04FA69D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15BAB639" w14:textId="77777777" w:rsidR="004E3242" w:rsidRP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 xml:space="preserve">W ramach priorytetu inwestycyjnego planuje się realizację projektów na krajowej sieci drogowej poza TEN-T, związanych z połączeniem ośrodków miejskich z siecią TEN-T (drogi ekspresowe </w:t>
      </w:r>
      <w:r w:rsidRPr="004E3242">
        <w:rPr>
          <w:rFonts w:ascii="Arial" w:eastAsia="Arial Unicode MS" w:hAnsi="Arial" w:cs="Arial"/>
          <w:spacing w:val="4"/>
          <w:sz w:val="20"/>
          <w:szCs w:val="20"/>
          <w:lang w:eastAsia="pl-PL"/>
        </w:rPr>
        <w:br/>
        <w:t>i drogi krajowe poza TEN-T, pełniące rolę tras wylotowych), powiązaniem miejskiej infrastruktury drogowej z pozamiejską siecią TEN-T (drogi krajowe w miejskich węzłach sieci bazowej</w:t>
      </w:r>
      <w:r w:rsidRPr="004E3242">
        <w:rPr>
          <w:rFonts w:ascii="Arial" w:eastAsia="Arial Unicode MS" w:hAnsi="Arial" w:cs="Arial"/>
          <w:spacing w:val="4"/>
          <w:sz w:val="20"/>
          <w:szCs w:val="20"/>
          <w:vertAlign w:val="superscript"/>
          <w:lang w:eastAsia="pl-PL"/>
        </w:rPr>
        <w:footnoteReference w:id="67"/>
      </w:r>
      <w:r w:rsidRPr="004E3242">
        <w:rPr>
          <w:rFonts w:ascii="Arial" w:eastAsia="Arial Unicode MS" w:hAnsi="Arial" w:cs="Arial"/>
          <w:spacing w:val="4"/>
          <w:sz w:val="20"/>
          <w:szCs w:val="20"/>
          <w:lang w:eastAsia="pl-PL"/>
        </w:rPr>
        <w:t xml:space="preserve">) oraz </w:t>
      </w:r>
      <w:r w:rsidRPr="004E3242">
        <w:rPr>
          <w:rFonts w:ascii="Arial" w:eastAsia="Arial Unicode MS" w:hAnsi="Arial" w:cs="Arial"/>
          <w:spacing w:val="4"/>
          <w:sz w:val="20"/>
          <w:szCs w:val="20"/>
          <w:lang w:eastAsia="pl-PL"/>
        </w:rPr>
        <w:br/>
        <w:t xml:space="preserve">z odciążeniem miast od nadmiernego ruchu drogowego (obwodnice, drogi krajowe </w:t>
      </w:r>
      <w:r w:rsidRPr="004E3242">
        <w:rPr>
          <w:rFonts w:ascii="Arial" w:eastAsia="Arial Unicode MS" w:hAnsi="Arial" w:cs="Arial"/>
          <w:spacing w:val="4"/>
          <w:sz w:val="20"/>
          <w:szCs w:val="20"/>
          <w:lang w:eastAsia="pl-PL"/>
        </w:rPr>
        <w:br/>
        <w:t xml:space="preserve">w miastach na prawach powiatu). Projekty będą realizowane na drogach zarządzanych przez Generalną Dyrekcję Dróg Krajowych i Autostrad, a także przez miasta na prawach powiatu. </w:t>
      </w:r>
      <w:r w:rsidR="00AF5244" w:rsidRPr="00AF5244">
        <w:rPr>
          <w:rFonts w:ascii="Arial" w:eastAsia="Arial Unicode MS" w:hAnsi="Arial" w:cs="Arial"/>
          <w:spacing w:val="4"/>
          <w:sz w:val="20"/>
          <w:szCs w:val="20"/>
          <w:lang w:eastAsia="pl-PL"/>
        </w:rPr>
        <w:t>Realizowane inwestycje drogowe zapewnią nośność dróg 11,5 t na oś.</w:t>
      </w:r>
      <w:r w:rsidR="00666E6C">
        <w:rPr>
          <w:rFonts w:ascii="Arial" w:eastAsia="Arial Unicode MS" w:hAnsi="Arial" w:cs="Arial"/>
          <w:spacing w:val="4"/>
          <w:sz w:val="20"/>
          <w:szCs w:val="20"/>
          <w:lang w:eastAsia="pl-PL"/>
        </w:rPr>
        <w:t xml:space="preserve"> </w:t>
      </w:r>
      <w:r w:rsidRPr="004E3242">
        <w:rPr>
          <w:rFonts w:ascii="Arial" w:eastAsia="Arial Unicode MS" w:hAnsi="Arial" w:cs="Arial"/>
          <w:spacing w:val="4"/>
          <w:sz w:val="20"/>
          <w:szCs w:val="20"/>
          <w:lang w:eastAsia="pl-PL"/>
        </w:rPr>
        <w:t>Będą one uzupełniane o inwestycje z zakresu bezpieczeństwa ruchu drogowego (BRD), obejmujące inwestycje infrastrukturalne (engineering)</w:t>
      </w:r>
      <w:r w:rsidRPr="004E3242">
        <w:rPr>
          <w:rFonts w:ascii="Arial" w:eastAsia="Arial Unicode MS" w:hAnsi="Arial" w:cs="Arial"/>
          <w:spacing w:val="4"/>
          <w:sz w:val="20"/>
          <w:szCs w:val="20"/>
          <w:vertAlign w:val="superscript"/>
          <w:lang w:eastAsia="pl-PL"/>
        </w:rPr>
        <w:footnoteReference w:id="68"/>
      </w:r>
      <w:r w:rsidRPr="004E3242">
        <w:rPr>
          <w:rFonts w:ascii="Arial" w:eastAsia="Arial Unicode MS" w:hAnsi="Arial" w:cs="Arial"/>
          <w:spacing w:val="4"/>
          <w:sz w:val="20"/>
          <w:szCs w:val="20"/>
          <w:lang w:eastAsia="pl-PL"/>
        </w:rPr>
        <w:t>.</w:t>
      </w:r>
    </w:p>
    <w:p w14:paraId="36ED68C3" w14:textId="77777777" w:rsidR="004E3242" w:rsidRP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 xml:space="preserve">Osiągnięcie efektu sieciowego w ramach krajowej sieci TEN-T nie będzie możliwe bez połączenia ośrodków miejskich, szczególnie ośrodków wojewódzkich, drogami łączącymi z tą siecią. </w:t>
      </w:r>
      <w:r w:rsidRPr="004E3242">
        <w:rPr>
          <w:rFonts w:ascii="Arial" w:eastAsia="Arial Unicode MS" w:hAnsi="Arial" w:cs="Arial"/>
          <w:spacing w:val="4"/>
          <w:sz w:val="20"/>
          <w:szCs w:val="20"/>
          <w:lang w:eastAsia="pl-PL"/>
        </w:rPr>
        <w:br/>
        <w:t>W związku z powyższym, w uzupełnieniu do budowy dróg ekspresowych w głównych ciągach transportowych, zakłada się realizację wybranych odcinków dróg ekspresowych i krajowych stanowiących elementy łączące ośrodki miejskie z siecią TEN-T. Ponadto, w celu zintegrowania miejskiej infrastruktury drogowej węzłów miejskich sieci bazowej z przebiegającymi przez te miasta głównymi ciągami komunikacyjnymi w TEN-T, zakłada się realizację wybranych odcinków dróg krajowych</w:t>
      </w:r>
      <w:r w:rsidRPr="004E3242">
        <w:rPr>
          <w:rFonts w:ascii="Arial" w:eastAsia="Arial Unicode MS" w:hAnsi="Arial" w:cs="Arial"/>
          <w:spacing w:val="4"/>
          <w:sz w:val="20"/>
          <w:szCs w:val="20"/>
          <w:vertAlign w:val="superscript"/>
          <w:lang w:eastAsia="pl-PL"/>
        </w:rPr>
        <w:footnoteReference w:id="69"/>
      </w:r>
      <w:r w:rsidRPr="004E3242">
        <w:rPr>
          <w:rFonts w:ascii="Arial" w:eastAsia="Arial Unicode MS" w:hAnsi="Arial" w:cs="Arial"/>
          <w:spacing w:val="4"/>
          <w:sz w:val="20"/>
          <w:szCs w:val="20"/>
          <w:lang w:eastAsia="pl-PL"/>
        </w:rPr>
        <w:t xml:space="preserve">, zapewniających płynny przepływ ruchu pomiędzy drogami w miastach </w:t>
      </w:r>
      <w:r w:rsidRPr="004E3242">
        <w:rPr>
          <w:rFonts w:ascii="Arial" w:eastAsia="Arial Unicode MS" w:hAnsi="Arial" w:cs="Arial"/>
          <w:spacing w:val="4"/>
          <w:sz w:val="20"/>
          <w:szCs w:val="20"/>
          <w:lang w:eastAsia="pl-PL"/>
        </w:rPr>
        <w:br/>
        <w:t>a pozamiejskimi ciągami TEN-T.</w:t>
      </w:r>
    </w:p>
    <w:p w14:paraId="4CD8D70B" w14:textId="77777777" w:rsid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 xml:space="preserve">Budowa obwodnic i dróg wylotowych z miast, w tym dróg krajowych w miastach na prawach powiatu zostanie zaadresowana do tych miast, w których zidentyfikowano m.in. znaczne obciążenie infrastruktury drogowej przebiegającym przez nie ruchem ciężkim, brak alternatywnego, wysokoprzepustowego połączenia drogowego, ograniczoną przepustowość istniejącej infrastruktury służącej wyprowadzeniu ruchu z miast. Budowa obwodnic i tras wylotowych umożliwi wyprowadzenie nadmiernego ruchu tranzytowego z miast </w:t>
      </w:r>
      <w:r w:rsidRPr="004E3242">
        <w:rPr>
          <w:rFonts w:ascii="Arial" w:eastAsia="Arial Unicode MS" w:hAnsi="Arial" w:cs="Arial"/>
          <w:spacing w:val="4"/>
          <w:sz w:val="20"/>
          <w:szCs w:val="20"/>
          <w:lang w:eastAsia="pl-PL"/>
        </w:rPr>
        <w:br/>
        <w:t xml:space="preserve">o nieprzystosowanej do tego infrastrukturze drogowej, przyczyniając się do poprawy płynności ruchu drogowego i ograniczenia generowanych przez transport kosztów środowiskowych, w tym redukcji emisji zanieczyszczeń powietrza, społecznych i ekonomicznych, co w efekcie przełoży się na poprawę bezpieczeństwa i jakości życia w miastach. </w:t>
      </w:r>
    </w:p>
    <w:p w14:paraId="35BEAD32" w14:textId="77777777" w:rsidR="00DA7C14" w:rsidRPr="004E3242" w:rsidRDefault="005E530E" w:rsidP="004E3242">
      <w:pPr>
        <w:spacing w:before="120" w:after="120"/>
        <w:jc w:val="both"/>
        <w:rPr>
          <w:rFonts w:ascii="Arial" w:eastAsia="Arial Unicode MS" w:hAnsi="Arial" w:cs="Arial"/>
          <w:spacing w:val="4"/>
          <w:sz w:val="20"/>
          <w:szCs w:val="20"/>
          <w:lang w:eastAsia="pl-PL"/>
        </w:rPr>
      </w:pPr>
      <w:r w:rsidRPr="005E530E">
        <w:rPr>
          <w:rFonts w:ascii="Arial" w:eastAsia="Arial Unicode MS" w:hAnsi="Arial" w:cs="Arial"/>
          <w:spacing w:val="4"/>
          <w:sz w:val="20"/>
          <w:szCs w:val="20"/>
          <w:lang w:eastAsia="pl-PL"/>
        </w:rPr>
        <w:t xml:space="preserve">Ponadto wsparcie będą mogły uzyskać działania na rzecz przygotowania inwestycji poprzez dofinansowanie w ramach projektów przygotowawczych dokumentacji projektowej i przetargowej </w:t>
      </w:r>
      <w:r w:rsidRPr="005E530E">
        <w:rPr>
          <w:rFonts w:ascii="Arial" w:eastAsia="Arial Unicode MS" w:hAnsi="Arial" w:cs="Arial"/>
          <w:spacing w:val="4"/>
          <w:sz w:val="20"/>
          <w:szCs w:val="20"/>
          <w:lang w:eastAsia="pl-PL"/>
        </w:rPr>
        <w:lastRenderedPageBreak/>
        <w:t>dla inwestycji infrastrukturalnych, realizowanych ze środków tego programu</w:t>
      </w:r>
      <w:r>
        <w:rPr>
          <w:rFonts w:ascii="Arial" w:eastAsia="Arial Unicode MS" w:hAnsi="Arial" w:cs="Arial"/>
          <w:spacing w:val="4"/>
          <w:sz w:val="20"/>
          <w:szCs w:val="20"/>
          <w:lang w:eastAsia="pl-PL"/>
        </w:rPr>
        <w:t xml:space="preserve"> </w:t>
      </w:r>
      <w:r w:rsidRPr="005E530E">
        <w:rPr>
          <w:rFonts w:ascii="Arial" w:eastAsia="Arial Unicode MS" w:hAnsi="Arial" w:cs="Arial"/>
          <w:spacing w:val="4"/>
          <w:sz w:val="20"/>
          <w:szCs w:val="20"/>
          <w:lang w:eastAsia="pl-PL"/>
        </w:rPr>
        <w:t>lub programów operacyjnych polityki spójności realizowanych w okresie programowania następującym bezpośrednio po roku 2020 (projekty przygotowawcze). Dodatkowo, wsparcie będą mogły uzyskać projekty przygotowawcze dla inwestycji realizowanych w ramach instrumentu Łącząc Europę w obecnej lub przyszłej perspektywie finansowej, jeżeli z przyczyn faktycznych lub prawnych  inwestycje te nie będą mogły uzyskać dofinansowania z programów operacyjnych polityki spójności.</w:t>
      </w:r>
    </w:p>
    <w:p w14:paraId="6F0715B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7DD9741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Beneficjentami realizowanych projektów będzie zarządca sieci dróg krajowych, a także jednostki samorządu terytorialnego miast na prawach powiatu, w tym miast stanowiących węzły miejskie sieci bazowej TEN-T (jako zarządcy odcinków dróg krajowych znajdujących się w granicach miast na prawach powiatu) oraz ich jednostki organizacyjne.</w:t>
      </w:r>
    </w:p>
    <w:p w14:paraId="1A48339C"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Z uwagi na to, że interwencja będzie miała charakter horyzontalny i dotyczyła całego kraju, grupami docelowymi wsparcia będą użytkownicy indywidualni i przedsiębiorcy korzystający </w:t>
      </w:r>
      <w:r w:rsidRPr="004E3242">
        <w:rPr>
          <w:rFonts w:ascii="Arial" w:hAnsi="Arial" w:cs="Arial"/>
          <w:spacing w:val="4"/>
          <w:sz w:val="20"/>
          <w:szCs w:val="20"/>
        </w:rPr>
        <w:br/>
        <w:t>z infrastruktury drogowej.</w:t>
      </w:r>
    </w:p>
    <w:p w14:paraId="5EF0AEA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526830DA" w14:textId="77777777" w:rsidR="004E3242" w:rsidRPr="004E3242" w:rsidRDefault="004E3242" w:rsidP="004E3242">
      <w:pPr>
        <w:spacing w:before="120" w:after="120"/>
        <w:jc w:val="both"/>
        <w:rPr>
          <w:rFonts w:ascii="Arial" w:eastAsia="Arial Unicode MS" w:hAnsi="Arial" w:cs="Arial"/>
          <w:spacing w:val="4"/>
          <w:sz w:val="20"/>
          <w:szCs w:val="20"/>
          <w:lang w:eastAsia="pl-PL"/>
        </w:rPr>
      </w:pPr>
      <w:r w:rsidRPr="004E3242">
        <w:rPr>
          <w:rFonts w:ascii="Arial" w:eastAsia="Arial Unicode MS" w:hAnsi="Arial" w:cs="Arial"/>
          <w:spacing w:val="4"/>
          <w:sz w:val="20"/>
          <w:szCs w:val="20"/>
          <w:lang w:eastAsia="pl-PL"/>
        </w:rPr>
        <w:t xml:space="preserve">Wsparcie ma charakter horyzontalny i dotyczy całego kraju. Będzie skierowane do obszarów wymagających realizacji inwestycji infrastrukturalnych służących poprawie dostępności miast </w:t>
      </w:r>
      <w:r w:rsidRPr="004E3242">
        <w:rPr>
          <w:rFonts w:ascii="Arial" w:eastAsia="Arial Unicode MS" w:hAnsi="Arial" w:cs="Arial"/>
          <w:spacing w:val="4"/>
          <w:sz w:val="20"/>
          <w:szCs w:val="20"/>
          <w:lang w:eastAsia="pl-PL"/>
        </w:rPr>
        <w:br/>
        <w:t xml:space="preserve">i regionów do sieci transeuropejskiej i ich odciążeniu od ruchu tranzytowego. Na obszarze Polski Wschodniej interwencja POIŚ w zakresie budowy lub przebudowy dróg krajowych w miastach na prawach powiatu nie będzie obejmowała miast wojewódzkich Polski Wschodniej, objętych wsparciem PO Polska Wschodnia. Budowa połączeń transportowych, zwiększających dostępność do polskich ośrodków wzrostu, będzie wypełniała założenia Krajowej Polityki Miejskiej w zakresie wzmocnienia infrastruktury transportowej służącej poprawie możliwości rozwojowych miast </w:t>
      </w:r>
      <w:r w:rsidRPr="004E3242">
        <w:rPr>
          <w:rFonts w:ascii="Arial" w:eastAsia="Arial Unicode MS" w:hAnsi="Arial" w:cs="Arial"/>
          <w:spacing w:val="4"/>
          <w:sz w:val="20"/>
          <w:szCs w:val="20"/>
          <w:lang w:eastAsia="pl-PL"/>
        </w:rPr>
        <w:br/>
        <w:t>w relacjach krajowych oraz europejskich. W ramach osi priorytetowej przewiduje się wyodrębnienie puli środków przeznaczonej na wsparcie województwa mazowieckiego, w związku z klasyfikacją tego regionu do grupy lepiej rozwiniętych.</w:t>
      </w:r>
    </w:p>
    <w:p w14:paraId="0226F74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2BE96810"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Wybór projektów do dofinansowania w ramach priorytetu inwestycyjnego nastąpi w trybie pozakonkursowym lub konkursowym. Zastosowanie konkretnego trybu będzie uzależnione od rodzaju projektów, które będą podlegały dofinansowaniu. Tryb pozakonkursowy będzie miał zastosowanie do projektów o strategicznym znaczeniu dla społeczno-gospodarczego rozwoju kraju, zidentyfikowanych w dokumentach strategicznych w zakresie planowania rozwoju infrastruktury transportu (w tym Dokument Implementacyjny do Strategii Rozwoju Transportu, Program Budowy Dróg Krajowych), bezpośrednio z nich wynikających (Narodowy Program Bezpieczeństwa Ruchu Drogowego) lub projektów dotyczących realizacji zadań publicznych, których wnioskodawcami, ze względu na charakter lub cel projektu, mogą być jedynie podmioty jednoznacznie określone przed złożeniem wniosku o dofinansowanie projektu. Taka ścieżka wyboru umożliwi precyzyjne skierowanie środków na zdiagnozowane potrzeby dotyczące podstawowej sieci transportowej kraju oraz przyczyni się </w:t>
      </w:r>
      <w:r w:rsidRPr="004E3242">
        <w:rPr>
          <w:rFonts w:ascii="Arial" w:hAnsi="Arial" w:cs="Arial"/>
          <w:sz w:val="20"/>
          <w:szCs w:val="20"/>
        </w:rPr>
        <w:br/>
        <w:t>w optymalny sposób do osiągnięcia celów osi priorytetowej.</w:t>
      </w:r>
    </w:p>
    <w:p w14:paraId="3449FEAA"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W pozostałych przypadkach (inwestycje w miastach na prawach powiatu, w tym w miejskich węzłach sieci bazowej) będzie miał zastosowanie tryb konkursowy, preferujący projekty przyczyniające się do realizacji celu szczegółowego priorytetu inwestycyjnego, związanego ze zwiększeniem dostępności transportowej i odciążeniem miast od nadmiernego ruchu drogowego, poprzez premiowanie inwestycji eliminujących wąskie gardła w miastach, wyprowadzających ruch poza miasta i poprawiających bezpieczeństwo ruchu drogowego.</w:t>
      </w:r>
    </w:p>
    <w:p w14:paraId="15BB89DD" w14:textId="77777777" w:rsid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Niezależnie od zastosowanej ścieżki (konkursowej bądź pozakonkursowej), wybór projektów do dofinansowania będzie następował w wyniku oceny poszczególnych przedsięwzięć, w oparciu </w:t>
      </w:r>
      <w:r w:rsidRPr="004E3242">
        <w:rPr>
          <w:rFonts w:ascii="Arial" w:hAnsi="Arial" w:cs="Arial"/>
          <w:sz w:val="20"/>
          <w:szCs w:val="20"/>
        </w:rPr>
        <w:br/>
      </w:r>
      <w:r w:rsidRPr="004E3242">
        <w:rPr>
          <w:rFonts w:ascii="Arial" w:hAnsi="Arial" w:cs="Arial"/>
          <w:sz w:val="20"/>
          <w:szCs w:val="20"/>
        </w:rPr>
        <w:lastRenderedPageBreak/>
        <w:t>o obiektywne kryteria zatwierdzone przez Komitet Monitorujący. Kryteria wyboru będą służyły zapewnieniu efektywnej i prawidłowej realizacji celów określonych dla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 Promowany będzie wybór projektów przyczyniających się w największym stopniu do poprawy dostępności miast położonych poza podstawową siecią drogową oraz zmniejszenia zatłoczenia i ograniczeń przepustowości infrastruktury drogowej w miastach, które korzystnie wpłyną na stan bezpieczeństwa ruchu drogowego w miastach i jego wpływ na środowisko, a także inwestycji przyczyniających się do integracji systemu transportowego. Projekty te będą charakteryzowały się efektywnością ekonomiczną.</w:t>
      </w:r>
    </w:p>
    <w:p w14:paraId="56A4AF69" w14:textId="77777777" w:rsidR="00F94807" w:rsidRDefault="00F94807" w:rsidP="004E3242">
      <w:pPr>
        <w:autoSpaceDE w:val="0"/>
        <w:autoSpaceDN w:val="0"/>
        <w:adjustRightInd w:val="0"/>
        <w:spacing w:before="120" w:after="120"/>
        <w:jc w:val="both"/>
        <w:rPr>
          <w:rFonts w:ascii="Arial" w:hAnsi="Arial" w:cs="Arial"/>
          <w:sz w:val="20"/>
          <w:szCs w:val="20"/>
        </w:rPr>
      </w:pPr>
      <w:r w:rsidRPr="00F94807">
        <w:rPr>
          <w:rFonts w:ascii="Arial" w:hAnsi="Arial" w:cs="Arial"/>
          <w:sz w:val="20"/>
          <w:szCs w:val="20"/>
        </w:rPr>
        <w:t>Do dokumentów zamknięcia tego programu zostanie dołączona lista wszystkich dofinansowanych projektów przygotowawczych wraz z listą odpowiadających im inwestycji przeznaczonych do realizacji w ramach tego programu lub programów operacyjnych polityki spójności następujących po roku 2020.</w:t>
      </w:r>
    </w:p>
    <w:p w14:paraId="06EA3DF8" w14:textId="77777777" w:rsidR="00684EE4" w:rsidRPr="004E3242" w:rsidRDefault="005E530E" w:rsidP="004E3242">
      <w:pPr>
        <w:autoSpaceDE w:val="0"/>
        <w:autoSpaceDN w:val="0"/>
        <w:adjustRightInd w:val="0"/>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6357F90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40F8981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przewiduje się wsparcia w formie instrumentów finansowych.</w:t>
      </w:r>
    </w:p>
    <w:p w14:paraId="1BF0A14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osi priorytetowej nie przewiduje się pomocy publicznej.</w:t>
      </w:r>
    </w:p>
    <w:p w14:paraId="7968B7B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415E241B" w14:textId="77777777" w:rsidR="004E3242" w:rsidRPr="004E3242" w:rsidRDefault="004E3242" w:rsidP="004E3242">
      <w:pPr>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pomiędzy podmiotem publicznym i podmiotem sektora prywatnego (o ile dotyczy), jest / będzie zgodny z art. 102 ust. 3 rozporządzenia ogólnego. Po przygotowaniu kompletnej dokumentacji projektowej możliwe będzie precyzyjne określenie zakresu rzeczowego oraz szacowanych kosztów tych projektów.</w:t>
      </w:r>
    </w:p>
    <w:p w14:paraId="539BF440" w14:textId="77777777" w:rsidR="004E3242" w:rsidRPr="004E3242" w:rsidRDefault="004E3242" w:rsidP="004E3242">
      <w:pPr>
        <w:jc w:val="both"/>
        <w:rPr>
          <w:rFonts w:ascii="Arial" w:eastAsia="Cambria" w:hAnsi="Arial" w:cs="Arial"/>
          <w:spacing w:val="4"/>
          <w:sz w:val="20"/>
          <w:szCs w:val="20"/>
        </w:rPr>
      </w:pPr>
      <w:r w:rsidRPr="004E3242">
        <w:rPr>
          <w:rFonts w:ascii="Arial" w:eastAsia="Cambria" w:hAnsi="Arial" w:cs="Arial"/>
          <w:spacing w:val="4"/>
          <w:sz w:val="20"/>
          <w:szCs w:val="20"/>
        </w:rPr>
        <w:t xml:space="preserve">Realizacja dużych projektów w znaczący sposób przyczyni się do osiągnięcia celu szczegółowego tego priorytetu, związanego ze zwiększeniem dostępności ośrodków miejskich poza siecią podstawowych połączeń drogowych w TEN-T oraz odciążeniem miast od nadmiernego ruchu drogowego, poprzez budowę i przebudowę głównych dróg w miastach, dróg stanowiących trasy wylotowe i obwodnic, których rezultatem będzie poprawa ich skomunikowania drogowego </w:t>
      </w:r>
      <w:r w:rsidRPr="004E3242">
        <w:rPr>
          <w:rFonts w:ascii="Arial" w:eastAsia="Cambria" w:hAnsi="Arial" w:cs="Arial"/>
          <w:spacing w:val="4"/>
          <w:sz w:val="20"/>
          <w:szCs w:val="20"/>
        </w:rPr>
        <w:br/>
        <w:t>i bezpieczeństwa ruchu na drogach.</w:t>
      </w:r>
    </w:p>
    <w:p w14:paraId="20F6304A" w14:textId="77777777" w:rsidR="004E3242" w:rsidRPr="004E3242" w:rsidRDefault="004E3242" w:rsidP="004E3242">
      <w:pPr>
        <w:jc w:val="both"/>
        <w:rPr>
          <w:rFonts w:ascii="Arial" w:eastAsia="Cambria" w:hAnsi="Arial" w:cs="Arial"/>
          <w:spacing w:val="4"/>
          <w:sz w:val="20"/>
          <w:szCs w:val="20"/>
        </w:rPr>
      </w:pPr>
      <w:r w:rsidRPr="004E3242">
        <w:rPr>
          <w:rFonts w:ascii="Arial" w:eastAsia="Cambria" w:hAnsi="Arial" w:cs="Arial"/>
          <w:spacing w:val="4"/>
          <w:sz w:val="20"/>
          <w:szCs w:val="20"/>
        </w:rPr>
        <w:t xml:space="preserve">Jednocześnie nie można wykluczyć, że projekty duże zostaną zidentyfikowane również na etapie wdrażania. </w:t>
      </w:r>
    </w:p>
    <w:p w14:paraId="1FA7561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642"/>
        <w:gridCol w:w="1857"/>
        <w:gridCol w:w="982"/>
        <w:gridCol w:w="858"/>
        <w:gridCol w:w="977"/>
        <w:gridCol w:w="1967"/>
        <w:gridCol w:w="756"/>
        <w:gridCol w:w="1247"/>
      </w:tblGrid>
      <w:tr w:rsidR="004E3242" w:rsidRPr="004E3242" w14:paraId="026F0BF0" w14:textId="77777777" w:rsidTr="00AA7998">
        <w:tc>
          <w:tcPr>
            <w:tcW w:w="345" w:type="pct"/>
            <w:shd w:val="clear" w:color="auto" w:fill="99CC00"/>
            <w:vAlign w:val="center"/>
          </w:tcPr>
          <w:p w14:paraId="719E3D3E"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000" w:type="pct"/>
            <w:shd w:val="clear" w:color="auto" w:fill="99CC00"/>
            <w:vAlign w:val="center"/>
          </w:tcPr>
          <w:p w14:paraId="5EA056A7"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9" w:type="pct"/>
            <w:shd w:val="clear" w:color="auto" w:fill="99CC00"/>
            <w:vAlign w:val="center"/>
          </w:tcPr>
          <w:p w14:paraId="48292A7F"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62" w:type="pct"/>
            <w:shd w:val="clear" w:color="auto" w:fill="99CC00"/>
            <w:vAlign w:val="center"/>
          </w:tcPr>
          <w:p w14:paraId="6E501E34"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26" w:type="pct"/>
            <w:shd w:val="clear" w:color="auto" w:fill="99CC00"/>
            <w:vAlign w:val="center"/>
          </w:tcPr>
          <w:p w14:paraId="12A3A974"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1059" w:type="pct"/>
            <w:shd w:val="clear" w:color="auto" w:fill="99CC00"/>
            <w:vAlign w:val="center"/>
          </w:tcPr>
          <w:p w14:paraId="2BA884A9"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07" w:type="pct"/>
            <w:shd w:val="clear" w:color="auto" w:fill="99CC00"/>
            <w:vAlign w:val="center"/>
          </w:tcPr>
          <w:p w14:paraId="7AF5FFBD"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4A60E647" w14:textId="77777777" w:rsidR="004E3242" w:rsidRPr="004E3242" w:rsidRDefault="004E3242" w:rsidP="004E3242">
            <w:pPr>
              <w:autoSpaceDE w:val="0"/>
              <w:autoSpaceDN w:val="0"/>
              <w:adjustRightInd w:val="0"/>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4206D419" w14:textId="77777777" w:rsidTr="00AA7998">
        <w:tc>
          <w:tcPr>
            <w:tcW w:w="345" w:type="pct"/>
            <w:vMerge w:val="restart"/>
            <w:shd w:val="clear" w:color="auto" w:fill="F2F2F2"/>
            <w:vAlign w:val="center"/>
          </w:tcPr>
          <w:p w14:paraId="79299701"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1.</w:t>
            </w:r>
          </w:p>
        </w:tc>
        <w:tc>
          <w:tcPr>
            <w:tcW w:w="1000" w:type="pct"/>
            <w:vMerge w:val="restart"/>
            <w:shd w:val="clear" w:color="auto" w:fill="F2F2F2"/>
            <w:vAlign w:val="center"/>
          </w:tcPr>
          <w:p w14:paraId="4B92F0A2" w14:textId="77777777" w:rsidR="004E3242" w:rsidRPr="004E3242" w:rsidRDefault="004E3242" w:rsidP="004E3242">
            <w:pPr>
              <w:autoSpaceDE w:val="0"/>
              <w:autoSpaceDN w:val="0"/>
              <w:adjustRightInd w:val="0"/>
              <w:spacing w:before="20" w:after="20"/>
              <w:jc w:val="both"/>
              <w:rPr>
                <w:rFonts w:ascii="Arial" w:hAnsi="Arial" w:cs="Arial"/>
                <w:spacing w:val="4"/>
                <w:sz w:val="16"/>
                <w:szCs w:val="16"/>
              </w:rPr>
            </w:pPr>
            <w:r w:rsidRPr="004E3242">
              <w:rPr>
                <w:rFonts w:ascii="Arial" w:hAnsi="Arial" w:cs="Arial"/>
                <w:sz w:val="16"/>
                <w:szCs w:val="16"/>
              </w:rPr>
              <w:t>Całkowita długość nowych dróg (CI)</w:t>
            </w:r>
          </w:p>
        </w:tc>
        <w:tc>
          <w:tcPr>
            <w:tcW w:w="529" w:type="pct"/>
            <w:vMerge w:val="restart"/>
            <w:shd w:val="clear" w:color="auto" w:fill="F2F2F2"/>
            <w:vAlign w:val="center"/>
          </w:tcPr>
          <w:p w14:paraId="5F265D94"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z w:val="16"/>
                <w:szCs w:val="16"/>
              </w:rPr>
              <w:t>km</w:t>
            </w:r>
          </w:p>
        </w:tc>
        <w:tc>
          <w:tcPr>
            <w:tcW w:w="462" w:type="pct"/>
            <w:vMerge w:val="restart"/>
            <w:shd w:val="clear" w:color="auto" w:fill="F2F2F2"/>
            <w:vAlign w:val="center"/>
          </w:tcPr>
          <w:p w14:paraId="5DE0D1BA"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EFRR</w:t>
            </w:r>
          </w:p>
        </w:tc>
        <w:tc>
          <w:tcPr>
            <w:tcW w:w="526" w:type="pct"/>
            <w:shd w:val="clear" w:color="auto" w:fill="F2F2F2"/>
            <w:vAlign w:val="center"/>
          </w:tcPr>
          <w:p w14:paraId="14DABA0B"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lepiej rozwinięte</w:t>
            </w:r>
          </w:p>
        </w:tc>
        <w:tc>
          <w:tcPr>
            <w:tcW w:w="1059" w:type="pct"/>
            <w:shd w:val="clear" w:color="auto" w:fill="F2F2F2"/>
            <w:vAlign w:val="center"/>
          </w:tcPr>
          <w:p w14:paraId="261FF9EF"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7</w:t>
            </w:r>
          </w:p>
        </w:tc>
        <w:tc>
          <w:tcPr>
            <w:tcW w:w="407" w:type="pct"/>
            <w:shd w:val="clear" w:color="auto" w:fill="F2F2F2"/>
            <w:vAlign w:val="center"/>
          </w:tcPr>
          <w:p w14:paraId="33C419AC"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051998C8"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12F5815B" w14:textId="77777777" w:rsidTr="00AA7998">
        <w:tc>
          <w:tcPr>
            <w:tcW w:w="345" w:type="pct"/>
            <w:vMerge/>
            <w:shd w:val="clear" w:color="auto" w:fill="F2F2F2"/>
            <w:vAlign w:val="center"/>
          </w:tcPr>
          <w:p w14:paraId="1B0399B4"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p>
        </w:tc>
        <w:tc>
          <w:tcPr>
            <w:tcW w:w="1000" w:type="pct"/>
            <w:vMerge/>
            <w:shd w:val="clear" w:color="auto" w:fill="F2F2F2"/>
            <w:vAlign w:val="center"/>
          </w:tcPr>
          <w:p w14:paraId="742C40F7" w14:textId="77777777" w:rsidR="004E3242" w:rsidRPr="004E3242" w:rsidRDefault="004E3242" w:rsidP="004E3242">
            <w:pPr>
              <w:autoSpaceDE w:val="0"/>
              <w:autoSpaceDN w:val="0"/>
              <w:adjustRightInd w:val="0"/>
              <w:spacing w:before="20" w:after="20"/>
              <w:jc w:val="both"/>
              <w:rPr>
                <w:rFonts w:ascii="Arial" w:hAnsi="Arial" w:cs="Arial"/>
                <w:sz w:val="16"/>
                <w:szCs w:val="16"/>
              </w:rPr>
            </w:pPr>
          </w:p>
        </w:tc>
        <w:tc>
          <w:tcPr>
            <w:tcW w:w="529" w:type="pct"/>
            <w:vMerge/>
            <w:shd w:val="clear" w:color="auto" w:fill="F2F2F2"/>
            <w:vAlign w:val="center"/>
          </w:tcPr>
          <w:p w14:paraId="60C534DF" w14:textId="77777777" w:rsidR="004E3242" w:rsidRPr="004E3242" w:rsidRDefault="004E3242" w:rsidP="004E3242">
            <w:pPr>
              <w:autoSpaceDE w:val="0"/>
              <w:autoSpaceDN w:val="0"/>
              <w:adjustRightInd w:val="0"/>
              <w:spacing w:before="20" w:after="20"/>
              <w:jc w:val="center"/>
              <w:rPr>
                <w:rFonts w:ascii="Arial" w:hAnsi="Arial" w:cs="Arial"/>
                <w:sz w:val="16"/>
                <w:szCs w:val="16"/>
              </w:rPr>
            </w:pPr>
          </w:p>
        </w:tc>
        <w:tc>
          <w:tcPr>
            <w:tcW w:w="462" w:type="pct"/>
            <w:vMerge/>
            <w:shd w:val="clear" w:color="auto" w:fill="F2F2F2"/>
            <w:vAlign w:val="center"/>
          </w:tcPr>
          <w:p w14:paraId="088A33A5"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p>
        </w:tc>
        <w:tc>
          <w:tcPr>
            <w:tcW w:w="526" w:type="pct"/>
            <w:shd w:val="clear" w:color="auto" w:fill="F2F2F2"/>
            <w:vAlign w:val="center"/>
          </w:tcPr>
          <w:p w14:paraId="38EBF23F"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słabiej rozwinięte</w:t>
            </w:r>
          </w:p>
        </w:tc>
        <w:tc>
          <w:tcPr>
            <w:tcW w:w="1059" w:type="pct"/>
            <w:shd w:val="clear" w:color="auto" w:fill="F2F2F2"/>
            <w:vAlign w:val="center"/>
          </w:tcPr>
          <w:p w14:paraId="4EB9224B" w14:textId="77777777" w:rsidR="004E3242" w:rsidRPr="004E3242" w:rsidRDefault="00CE7E07" w:rsidP="004E3242">
            <w:pPr>
              <w:autoSpaceDE w:val="0"/>
              <w:autoSpaceDN w:val="0"/>
              <w:adjustRightInd w:val="0"/>
              <w:spacing w:before="20" w:after="20"/>
              <w:jc w:val="center"/>
              <w:rPr>
                <w:rFonts w:ascii="Arial" w:hAnsi="Arial" w:cs="Arial"/>
                <w:spacing w:val="4"/>
                <w:sz w:val="16"/>
                <w:szCs w:val="16"/>
              </w:rPr>
            </w:pPr>
            <w:r>
              <w:rPr>
                <w:rFonts w:ascii="Arial" w:hAnsi="Arial" w:cs="Arial"/>
                <w:spacing w:val="4"/>
                <w:sz w:val="16"/>
                <w:szCs w:val="16"/>
              </w:rPr>
              <w:t xml:space="preserve"> </w:t>
            </w:r>
            <w:r w:rsidRPr="00CE7E07">
              <w:rPr>
                <w:rFonts w:ascii="Arial" w:hAnsi="Arial" w:cs="Arial"/>
                <w:spacing w:val="4"/>
                <w:sz w:val="16"/>
                <w:szCs w:val="16"/>
              </w:rPr>
              <w:t>170</w:t>
            </w:r>
          </w:p>
        </w:tc>
        <w:tc>
          <w:tcPr>
            <w:tcW w:w="407" w:type="pct"/>
            <w:shd w:val="clear" w:color="auto" w:fill="F2F2F2"/>
            <w:vAlign w:val="center"/>
          </w:tcPr>
          <w:p w14:paraId="2F65750F"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624883CF"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2BEED38D" w14:textId="77777777" w:rsidTr="00AA7998">
        <w:tc>
          <w:tcPr>
            <w:tcW w:w="345" w:type="pct"/>
            <w:shd w:val="clear" w:color="auto" w:fill="F2F2F2"/>
            <w:vAlign w:val="center"/>
          </w:tcPr>
          <w:p w14:paraId="6F703BC6"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2.</w:t>
            </w:r>
          </w:p>
        </w:tc>
        <w:tc>
          <w:tcPr>
            <w:tcW w:w="1000" w:type="pct"/>
            <w:shd w:val="clear" w:color="auto" w:fill="F2F2F2"/>
            <w:vAlign w:val="center"/>
          </w:tcPr>
          <w:p w14:paraId="3FB21237" w14:textId="77777777" w:rsidR="004E3242" w:rsidRPr="004E3242" w:rsidRDefault="004E3242" w:rsidP="004E3242">
            <w:pPr>
              <w:autoSpaceDE w:val="0"/>
              <w:autoSpaceDN w:val="0"/>
              <w:adjustRightInd w:val="0"/>
              <w:spacing w:before="20" w:after="20"/>
              <w:jc w:val="both"/>
              <w:rPr>
                <w:rFonts w:ascii="Arial" w:hAnsi="Arial" w:cs="Arial"/>
                <w:spacing w:val="4"/>
                <w:sz w:val="16"/>
                <w:szCs w:val="16"/>
              </w:rPr>
            </w:pPr>
            <w:r w:rsidRPr="004E3242">
              <w:rPr>
                <w:rFonts w:ascii="Arial" w:hAnsi="Arial" w:cs="Arial"/>
                <w:sz w:val="16"/>
                <w:szCs w:val="16"/>
              </w:rPr>
              <w:t>Całkowita długość przebudowanych lub zmodernizowanych dróg (CI)</w:t>
            </w:r>
          </w:p>
        </w:tc>
        <w:tc>
          <w:tcPr>
            <w:tcW w:w="529" w:type="pct"/>
            <w:shd w:val="clear" w:color="auto" w:fill="F2F2F2"/>
            <w:vAlign w:val="center"/>
          </w:tcPr>
          <w:p w14:paraId="2D71A86A"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z w:val="16"/>
                <w:szCs w:val="16"/>
              </w:rPr>
              <w:t>km</w:t>
            </w:r>
          </w:p>
        </w:tc>
        <w:tc>
          <w:tcPr>
            <w:tcW w:w="462" w:type="pct"/>
            <w:shd w:val="clear" w:color="auto" w:fill="F2F2F2"/>
            <w:vAlign w:val="center"/>
          </w:tcPr>
          <w:p w14:paraId="7C56BB94"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EFRR</w:t>
            </w:r>
          </w:p>
        </w:tc>
        <w:tc>
          <w:tcPr>
            <w:tcW w:w="526" w:type="pct"/>
            <w:shd w:val="clear" w:color="auto" w:fill="F2F2F2"/>
            <w:vAlign w:val="center"/>
          </w:tcPr>
          <w:p w14:paraId="26670B23"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słabiej rozwinięte</w:t>
            </w:r>
          </w:p>
        </w:tc>
        <w:tc>
          <w:tcPr>
            <w:tcW w:w="1059" w:type="pct"/>
            <w:shd w:val="clear" w:color="auto" w:fill="F2F2F2"/>
            <w:vAlign w:val="center"/>
          </w:tcPr>
          <w:p w14:paraId="5A23069E" w14:textId="77777777" w:rsidR="004E3242" w:rsidRPr="004E3242" w:rsidRDefault="00CE7E07" w:rsidP="004D179B">
            <w:pPr>
              <w:autoSpaceDE w:val="0"/>
              <w:autoSpaceDN w:val="0"/>
              <w:adjustRightInd w:val="0"/>
              <w:spacing w:before="20" w:after="20"/>
              <w:jc w:val="center"/>
              <w:rPr>
                <w:rFonts w:ascii="Arial" w:hAnsi="Arial" w:cs="Arial"/>
                <w:spacing w:val="4"/>
                <w:sz w:val="16"/>
                <w:szCs w:val="16"/>
                <w:highlight w:val="yellow"/>
              </w:rPr>
            </w:pPr>
            <w:r>
              <w:rPr>
                <w:rFonts w:ascii="Arial" w:hAnsi="Arial" w:cs="Arial"/>
                <w:spacing w:val="4"/>
                <w:sz w:val="16"/>
                <w:szCs w:val="16"/>
              </w:rPr>
              <w:t xml:space="preserve"> </w:t>
            </w:r>
            <w:r w:rsidR="004D179B">
              <w:rPr>
                <w:rFonts w:ascii="Arial" w:hAnsi="Arial" w:cs="Arial"/>
                <w:spacing w:val="4"/>
                <w:sz w:val="16"/>
                <w:szCs w:val="16"/>
              </w:rPr>
              <w:t>70</w:t>
            </w:r>
          </w:p>
        </w:tc>
        <w:tc>
          <w:tcPr>
            <w:tcW w:w="407" w:type="pct"/>
            <w:shd w:val="clear" w:color="auto" w:fill="F2F2F2"/>
            <w:vAlign w:val="center"/>
          </w:tcPr>
          <w:p w14:paraId="0CC1D17D"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028E6615" w14:textId="77777777" w:rsidR="004E3242" w:rsidRPr="004E3242" w:rsidRDefault="004E3242" w:rsidP="004E3242">
            <w:pPr>
              <w:autoSpaceDE w:val="0"/>
              <w:autoSpaceDN w:val="0"/>
              <w:adjustRightInd w:val="0"/>
              <w:spacing w:before="20" w:after="20"/>
              <w:jc w:val="center"/>
              <w:rPr>
                <w:rFonts w:ascii="Arial" w:hAnsi="Arial" w:cs="Arial"/>
                <w:spacing w:val="4"/>
                <w:sz w:val="16"/>
                <w:szCs w:val="16"/>
              </w:rPr>
            </w:pPr>
            <w:r w:rsidRPr="004E3242">
              <w:rPr>
                <w:rFonts w:ascii="Arial" w:hAnsi="Arial" w:cs="Arial"/>
                <w:spacing w:val="4"/>
                <w:sz w:val="16"/>
                <w:szCs w:val="16"/>
              </w:rPr>
              <w:t>Rocznie</w:t>
            </w:r>
          </w:p>
        </w:tc>
      </w:tr>
    </w:tbl>
    <w:p w14:paraId="04368A3E" w14:textId="77777777" w:rsidR="004E3242" w:rsidRDefault="004E3242" w:rsidP="004E3242">
      <w:pPr>
        <w:rPr>
          <w:rFonts w:ascii="Arial" w:hAnsi="Arial" w:cs="Arial"/>
          <w:sz w:val="20"/>
          <w:szCs w:val="20"/>
        </w:rPr>
      </w:pPr>
    </w:p>
    <w:p w14:paraId="3B62119D" w14:textId="77777777" w:rsidR="00C20C54" w:rsidRDefault="00C20C54" w:rsidP="004E3242">
      <w:pPr>
        <w:rPr>
          <w:rFonts w:ascii="Arial" w:hAnsi="Arial" w:cs="Arial"/>
          <w:sz w:val="20"/>
          <w:szCs w:val="20"/>
        </w:rPr>
        <w:sectPr w:rsidR="00C20C54" w:rsidSect="00C73ABE">
          <w:pgSz w:w="11906" w:h="16838"/>
          <w:pgMar w:top="1418" w:right="1418" w:bottom="1418" w:left="1418" w:header="709" w:footer="709" w:gutter="0"/>
          <w:cols w:space="708"/>
          <w:titlePg/>
          <w:docGrid w:linePitch="360"/>
        </w:sectPr>
      </w:pPr>
    </w:p>
    <w:p w14:paraId="3C4A8A81" w14:textId="77777777" w:rsidR="00C20C54" w:rsidRPr="004E3242" w:rsidRDefault="00C20C54" w:rsidP="004E3242">
      <w:pPr>
        <w:rPr>
          <w:rFonts w:ascii="Arial" w:hAnsi="Arial" w:cs="Arial"/>
          <w:sz w:val="20"/>
          <w:szCs w:val="20"/>
        </w:rPr>
      </w:pPr>
    </w:p>
    <w:p w14:paraId="12B041DF" w14:textId="77777777" w:rsidR="004E3242" w:rsidRPr="004E3242" w:rsidRDefault="004E3242" w:rsidP="004E3242">
      <w:r w:rsidRPr="004E3242">
        <w:rPr>
          <w:rFonts w:ascii="Arial" w:hAnsi="Arial" w:cs="Arial"/>
          <w:bCs/>
          <w:smallCaps/>
          <w:color w:val="669900"/>
          <w:spacing w:val="4"/>
          <w:sz w:val="20"/>
          <w:szCs w:val="20"/>
        </w:rPr>
        <w:t>Ramy wykonania</w:t>
      </w:r>
    </w:p>
    <w:tbl>
      <w:tblPr>
        <w:tblpPr w:leftFromText="141" w:rightFromText="141" w:vertAnchor="text" w:horzAnchor="margin" w:tblpY="495"/>
        <w:tblW w:w="49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492"/>
        <w:gridCol w:w="1184"/>
        <w:gridCol w:w="2361"/>
        <w:gridCol w:w="920"/>
        <w:gridCol w:w="920"/>
        <w:gridCol w:w="1316"/>
        <w:gridCol w:w="1183"/>
        <w:gridCol w:w="1444"/>
        <w:gridCol w:w="1312"/>
        <w:gridCol w:w="2884"/>
      </w:tblGrid>
      <w:tr w:rsidR="004E3242" w:rsidRPr="004E3242" w14:paraId="2A2A14CB" w14:textId="77777777" w:rsidTr="00AA7998">
        <w:tc>
          <w:tcPr>
            <w:tcW w:w="175" w:type="pct"/>
            <w:shd w:val="clear" w:color="auto" w:fill="99CC00"/>
            <w:vAlign w:val="center"/>
          </w:tcPr>
          <w:p w14:paraId="0EDBB4AC"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422" w:type="pct"/>
            <w:shd w:val="clear" w:color="auto" w:fill="99CC00"/>
            <w:vAlign w:val="center"/>
          </w:tcPr>
          <w:p w14:paraId="1DAEE7DA"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842" w:type="pct"/>
            <w:shd w:val="clear" w:color="auto" w:fill="99CC00"/>
            <w:vAlign w:val="center"/>
          </w:tcPr>
          <w:p w14:paraId="5A0166F7"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328" w:type="pct"/>
            <w:shd w:val="clear" w:color="auto" w:fill="99CC00"/>
            <w:vAlign w:val="center"/>
          </w:tcPr>
          <w:p w14:paraId="02D80A98"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328" w:type="pct"/>
            <w:shd w:val="clear" w:color="auto" w:fill="99CC00"/>
            <w:vAlign w:val="center"/>
          </w:tcPr>
          <w:p w14:paraId="351B1C2C"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469" w:type="pct"/>
            <w:shd w:val="clear" w:color="auto" w:fill="99CC00"/>
            <w:vAlign w:val="center"/>
          </w:tcPr>
          <w:p w14:paraId="6C148B3E"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22" w:type="pct"/>
            <w:shd w:val="clear" w:color="auto" w:fill="99CC00"/>
            <w:vAlign w:val="center"/>
          </w:tcPr>
          <w:p w14:paraId="6B2EB066"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515" w:type="pct"/>
            <w:shd w:val="clear" w:color="auto" w:fill="99CC00"/>
            <w:vAlign w:val="center"/>
          </w:tcPr>
          <w:p w14:paraId="79322207"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468" w:type="pct"/>
            <w:shd w:val="clear" w:color="auto" w:fill="99CC00"/>
            <w:vAlign w:val="center"/>
          </w:tcPr>
          <w:p w14:paraId="135052D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029" w:type="pct"/>
            <w:shd w:val="clear" w:color="auto" w:fill="99CC00"/>
            <w:vAlign w:val="center"/>
          </w:tcPr>
          <w:p w14:paraId="0B85E18A"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6A09C57B" w14:textId="77777777" w:rsidTr="00AA7998">
        <w:trPr>
          <w:trHeight w:val="354"/>
        </w:trPr>
        <w:tc>
          <w:tcPr>
            <w:tcW w:w="175" w:type="pct"/>
            <w:vMerge w:val="restart"/>
            <w:shd w:val="clear" w:color="auto" w:fill="F2F2F2"/>
            <w:vAlign w:val="center"/>
          </w:tcPr>
          <w:p w14:paraId="2B6C8949"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1.</w:t>
            </w:r>
          </w:p>
        </w:tc>
        <w:tc>
          <w:tcPr>
            <w:tcW w:w="422" w:type="pct"/>
            <w:vMerge w:val="restart"/>
            <w:shd w:val="clear" w:color="auto" w:fill="F2F2F2"/>
            <w:vAlign w:val="center"/>
          </w:tcPr>
          <w:p w14:paraId="7DDB91AE"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Wskaźnik finansowy</w:t>
            </w:r>
          </w:p>
        </w:tc>
        <w:tc>
          <w:tcPr>
            <w:tcW w:w="842" w:type="pct"/>
            <w:vMerge w:val="restart"/>
            <w:shd w:val="clear" w:color="auto" w:fill="F2F2F2"/>
            <w:vAlign w:val="center"/>
          </w:tcPr>
          <w:p w14:paraId="6B70AA15"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z w:val="16"/>
                <w:szCs w:val="16"/>
              </w:rPr>
              <w:t>Całkowita kwota certyfikowanych wydatków kwalifikowalnych</w:t>
            </w:r>
          </w:p>
        </w:tc>
        <w:tc>
          <w:tcPr>
            <w:tcW w:w="328" w:type="pct"/>
            <w:vMerge w:val="restart"/>
            <w:shd w:val="clear" w:color="auto" w:fill="F2F2F2"/>
            <w:vAlign w:val="center"/>
          </w:tcPr>
          <w:p w14:paraId="5C39DAC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EUR</w:t>
            </w:r>
          </w:p>
        </w:tc>
        <w:tc>
          <w:tcPr>
            <w:tcW w:w="328" w:type="pct"/>
            <w:vMerge w:val="restart"/>
            <w:shd w:val="clear" w:color="auto" w:fill="F2F2F2"/>
            <w:vAlign w:val="center"/>
          </w:tcPr>
          <w:p w14:paraId="328B7EA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2C85BB0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w:t>
            </w:r>
          </w:p>
          <w:p w14:paraId="2164115F"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rozwinięte</w:t>
            </w:r>
          </w:p>
        </w:tc>
        <w:tc>
          <w:tcPr>
            <w:tcW w:w="422" w:type="pct"/>
            <w:shd w:val="clear" w:color="auto" w:fill="F2F2F2"/>
            <w:vAlign w:val="center"/>
          </w:tcPr>
          <w:p w14:paraId="16FB3498"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713 757 879</w:t>
            </w:r>
          </w:p>
        </w:tc>
        <w:tc>
          <w:tcPr>
            <w:tcW w:w="515" w:type="pct"/>
            <w:shd w:val="clear" w:color="auto" w:fill="F2F2F2"/>
            <w:vAlign w:val="center"/>
          </w:tcPr>
          <w:p w14:paraId="3E1D5ED8" w14:textId="77777777" w:rsidR="004E3242" w:rsidRPr="004E3242" w:rsidRDefault="00607F3A" w:rsidP="00162B63">
            <w:pPr>
              <w:spacing w:before="60" w:after="60"/>
              <w:jc w:val="center"/>
              <w:rPr>
                <w:rFonts w:ascii="Arial" w:hAnsi="Arial" w:cs="Arial"/>
                <w:spacing w:val="4"/>
                <w:sz w:val="16"/>
                <w:szCs w:val="16"/>
              </w:rPr>
            </w:pPr>
            <w:r w:rsidRPr="00607F3A">
              <w:rPr>
                <w:rFonts w:ascii="Arial" w:hAnsi="Arial" w:cs="Arial"/>
                <w:spacing w:val="4"/>
                <w:sz w:val="16"/>
                <w:szCs w:val="16"/>
              </w:rPr>
              <w:t>3 274 843 04</w:t>
            </w:r>
            <w:r w:rsidR="0042338A">
              <w:rPr>
                <w:rFonts w:ascii="Arial" w:hAnsi="Arial" w:cs="Arial"/>
                <w:spacing w:val="4"/>
                <w:sz w:val="16"/>
                <w:szCs w:val="16"/>
              </w:rPr>
              <w:t>5</w:t>
            </w:r>
          </w:p>
        </w:tc>
        <w:tc>
          <w:tcPr>
            <w:tcW w:w="468" w:type="pct"/>
            <w:shd w:val="clear" w:color="auto" w:fill="F2F2F2"/>
            <w:vAlign w:val="center"/>
          </w:tcPr>
          <w:p w14:paraId="07CC641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1029" w:type="pct"/>
            <w:shd w:val="clear" w:color="auto" w:fill="F2F2F2"/>
            <w:vAlign w:val="center"/>
          </w:tcPr>
          <w:p w14:paraId="4728246A"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6B538094" w14:textId="77777777" w:rsidTr="00AA7998">
        <w:trPr>
          <w:trHeight w:val="220"/>
        </w:trPr>
        <w:tc>
          <w:tcPr>
            <w:tcW w:w="175" w:type="pct"/>
            <w:vMerge/>
            <w:shd w:val="clear" w:color="auto" w:fill="F2F2F2"/>
            <w:vAlign w:val="center"/>
          </w:tcPr>
          <w:p w14:paraId="13E9EAC2" w14:textId="77777777" w:rsidR="004E3242" w:rsidRPr="004E3242" w:rsidRDefault="004E3242" w:rsidP="004E3242">
            <w:pPr>
              <w:spacing w:before="60" w:after="60"/>
              <w:jc w:val="center"/>
              <w:rPr>
                <w:rFonts w:ascii="Arial" w:hAnsi="Arial" w:cs="Arial"/>
                <w:sz w:val="16"/>
                <w:szCs w:val="16"/>
              </w:rPr>
            </w:pPr>
          </w:p>
        </w:tc>
        <w:tc>
          <w:tcPr>
            <w:tcW w:w="422" w:type="pct"/>
            <w:vMerge/>
            <w:shd w:val="clear" w:color="auto" w:fill="F2F2F2"/>
            <w:vAlign w:val="center"/>
          </w:tcPr>
          <w:p w14:paraId="0FDFDD9C" w14:textId="77777777" w:rsidR="004E3242" w:rsidRPr="004E3242" w:rsidRDefault="004E3242" w:rsidP="004E3242">
            <w:pPr>
              <w:spacing w:before="60" w:after="60"/>
              <w:jc w:val="center"/>
              <w:rPr>
                <w:rFonts w:ascii="Arial" w:hAnsi="Arial" w:cs="Arial"/>
                <w:sz w:val="16"/>
                <w:szCs w:val="16"/>
              </w:rPr>
            </w:pPr>
          </w:p>
        </w:tc>
        <w:tc>
          <w:tcPr>
            <w:tcW w:w="842" w:type="pct"/>
            <w:vMerge/>
            <w:shd w:val="clear" w:color="auto" w:fill="F2F2F2"/>
            <w:vAlign w:val="center"/>
          </w:tcPr>
          <w:p w14:paraId="1A4567F1" w14:textId="77777777" w:rsidR="004E3242" w:rsidRPr="004E3242" w:rsidRDefault="004E3242" w:rsidP="004E3242">
            <w:pPr>
              <w:spacing w:before="60" w:after="60"/>
              <w:jc w:val="both"/>
              <w:rPr>
                <w:rFonts w:ascii="Arial" w:hAnsi="Arial" w:cs="Arial"/>
                <w:sz w:val="16"/>
                <w:szCs w:val="16"/>
              </w:rPr>
            </w:pPr>
          </w:p>
        </w:tc>
        <w:tc>
          <w:tcPr>
            <w:tcW w:w="328" w:type="pct"/>
            <w:vMerge/>
            <w:shd w:val="clear" w:color="auto" w:fill="F2F2F2"/>
            <w:vAlign w:val="center"/>
          </w:tcPr>
          <w:p w14:paraId="73B139DA" w14:textId="77777777" w:rsidR="004E3242" w:rsidRPr="004E3242" w:rsidRDefault="004E3242" w:rsidP="004E3242">
            <w:pPr>
              <w:spacing w:before="60" w:after="60"/>
              <w:jc w:val="center"/>
              <w:rPr>
                <w:rFonts w:ascii="Arial" w:hAnsi="Arial" w:cs="Arial"/>
                <w:spacing w:val="4"/>
                <w:sz w:val="16"/>
                <w:szCs w:val="16"/>
              </w:rPr>
            </w:pPr>
          </w:p>
        </w:tc>
        <w:tc>
          <w:tcPr>
            <w:tcW w:w="328" w:type="pct"/>
            <w:vMerge/>
            <w:shd w:val="clear" w:color="auto" w:fill="F2F2F2"/>
            <w:vAlign w:val="center"/>
          </w:tcPr>
          <w:p w14:paraId="71054DF6" w14:textId="77777777" w:rsidR="004E3242" w:rsidRPr="004E3242" w:rsidRDefault="004E3242" w:rsidP="004E3242">
            <w:pPr>
              <w:spacing w:before="60" w:after="60"/>
              <w:jc w:val="center"/>
              <w:rPr>
                <w:rFonts w:ascii="Arial" w:hAnsi="Arial" w:cs="Arial"/>
                <w:spacing w:val="4"/>
                <w:sz w:val="16"/>
                <w:szCs w:val="16"/>
              </w:rPr>
            </w:pPr>
          </w:p>
        </w:tc>
        <w:tc>
          <w:tcPr>
            <w:tcW w:w="469" w:type="pct"/>
            <w:shd w:val="clear" w:color="auto" w:fill="F2F2F2"/>
            <w:vAlign w:val="center"/>
          </w:tcPr>
          <w:p w14:paraId="738CDA9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lepiej rozwinięte</w:t>
            </w:r>
          </w:p>
        </w:tc>
        <w:tc>
          <w:tcPr>
            <w:tcW w:w="422" w:type="pct"/>
            <w:shd w:val="clear" w:color="auto" w:fill="F2F2F2"/>
            <w:vAlign w:val="center"/>
          </w:tcPr>
          <w:p w14:paraId="7DABA9C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19 606 529</w:t>
            </w:r>
          </w:p>
        </w:tc>
        <w:tc>
          <w:tcPr>
            <w:tcW w:w="515" w:type="pct"/>
            <w:shd w:val="clear" w:color="auto" w:fill="F2F2F2"/>
            <w:vAlign w:val="center"/>
          </w:tcPr>
          <w:p w14:paraId="3D9E058C" w14:textId="77777777" w:rsidR="004E3242" w:rsidRPr="004E3242" w:rsidRDefault="00162B63" w:rsidP="00162B63">
            <w:pPr>
              <w:spacing w:before="60" w:after="60"/>
              <w:jc w:val="center"/>
              <w:rPr>
                <w:rFonts w:ascii="Arial" w:hAnsi="Arial" w:cs="Arial"/>
                <w:spacing w:val="4"/>
                <w:sz w:val="16"/>
                <w:szCs w:val="16"/>
              </w:rPr>
            </w:pPr>
            <w:r>
              <w:rPr>
                <w:rFonts w:ascii="Arial" w:hAnsi="Arial" w:cs="Arial"/>
                <w:spacing w:val="4"/>
                <w:sz w:val="16"/>
                <w:szCs w:val="16"/>
              </w:rPr>
              <w:t>73 938 003</w:t>
            </w:r>
          </w:p>
        </w:tc>
        <w:tc>
          <w:tcPr>
            <w:tcW w:w="468" w:type="pct"/>
            <w:shd w:val="clear" w:color="auto" w:fill="F2F2F2"/>
            <w:vAlign w:val="center"/>
          </w:tcPr>
          <w:p w14:paraId="7247B13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1029" w:type="pct"/>
            <w:shd w:val="clear" w:color="auto" w:fill="F2F2F2"/>
            <w:vAlign w:val="center"/>
          </w:tcPr>
          <w:p w14:paraId="436741C8"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6D43D466" w14:textId="77777777" w:rsidTr="00AA7998">
        <w:tc>
          <w:tcPr>
            <w:tcW w:w="175" w:type="pct"/>
            <w:shd w:val="clear" w:color="auto" w:fill="F2F2F2"/>
            <w:vAlign w:val="center"/>
          </w:tcPr>
          <w:p w14:paraId="7D788F52"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2.</w:t>
            </w:r>
          </w:p>
        </w:tc>
        <w:tc>
          <w:tcPr>
            <w:tcW w:w="422" w:type="pct"/>
            <w:shd w:val="clear" w:color="auto" w:fill="F2F2F2"/>
            <w:vAlign w:val="center"/>
          </w:tcPr>
          <w:p w14:paraId="151F29D0"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Wskaźnik produktu</w:t>
            </w:r>
          </w:p>
        </w:tc>
        <w:tc>
          <w:tcPr>
            <w:tcW w:w="842" w:type="pct"/>
            <w:shd w:val="clear" w:color="auto" w:fill="F2F2F2"/>
            <w:vAlign w:val="center"/>
          </w:tcPr>
          <w:p w14:paraId="6793CF20"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z w:val="16"/>
                <w:szCs w:val="16"/>
              </w:rPr>
              <w:t xml:space="preserve">Całkowita długość nowych dróg </w:t>
            </w:r>
          </w:p>
        </w:tc>
        <w:tc>
          <w:tcPr>
            <w:tcW w:w="328" w:type="pct"/>
            <w:shd w:val="clear" w:color="auto" w:fill="F2F2F2"/>
            <w:vAlign w:val="center"/>
          </w:tcPr>
          <w:p w14:paraId="2C7DF22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z w:val="16"/>
                <w:szCs w:val="16"/>
              </w:rPr>
              <w:t>km</w:t>
            </w:r>
          </w:p>
        </w:tc>
        <w:tc>
          <w:tcPr>
            <w:tcW w:w="328" w:type="pct"/>
            <w:shd w:val="clear" w:color="auto" w:fill="F2F2F2"/>
            <w:vAlign w:val="center"/>
          </w:tcPr>
          <w:p w14:paraId="76C0128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41943DC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w:t>
            </w:r>
          </w:p>
          <w:p w14:paraId="6F13E378"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rozwinięte</w:t>
            </w:r>
          </w:p>
        </w:tc>
        <w:tc>
          <w:tcPr>
            <w:tcW w:w="422" w:type="pct"/>
            <w:shd w:val="clear" w:color="auto" w:fill="F2F2F2"/>
            <w:vAlign w:val="center"/>
          </w:tcPr>
          <w:p w14:paraId="690A786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0</w:t>
            </w:r>
          </w:p>
        </w:tc>
        <w:tc>
          <w:tcPr>
            <w:tcW w:w="515" w:type="pct"/>
            <w:shd w:val="clear" w:color="auto" w:fill="F2F2F2"/>
            <w:vAlign w:val="center"/>
          </w:tcPr>
          <w:p w14:paraId="51BA643B" w14:textId="77777777" w:rsidR="004E3242" w:rsidRPr="004E3242" w:rsidRDefault="00CE7E07" w:rsidP="002518C6">
            <w:pPr>
              <w:spacing w:before="60" w:after="60"/>
              <w:jc w:val="center"/>
              <w:rPr>
                <w:rFonts w:ascii="Arial" w:hAnsi="Arial" w:cs="Arial"/>
                <w:spacing w:val="4"/>
                <w:sz w:val="16"/>
                <w:szCs w:val="16"/>
              </w:rPr>
            </w:pPr>
            <w:r>
              <w:rPr>
                <w:rFonts w:ascii="Arial" w:hAnsi="Arial" w:cs="Arial"/>
                <w:spacing w:val="4"/>
                <w:sz w:val="16"/>
                <w:szCs w:val="16"/>
              </w:rPr>
              <w:t xml:space="preserve"> </w:t>
            </w:r>
            <w:r w:rsidRPr="00CE7E07">
              <w:rPr>
                <w:rFonts w:ascii="Arial" w:hAnsi="Arial" w:cs="Arial"/>
                <w:spacing w:val="4"/>
                <w:sz w:val="16"/>
                <w:szCs w:val="16"/>
              </w:rPr>
              <w:t>34</w:t>
            </w:r>
            <w:r w:rsidR="002518C6">
              <w:rPr>
                <w:rFonts w:ascii="Arial" w:hAnsi="Arial" w:cs="Arial"/>
                <w:spacing w:val="4"/>
                <w:sz w:val="16"/>
                <w:szCs w:val="16"/>
              </w:rPr>
              <w:t>1</w:t>
            </w:r>
          </w:p>
        </w:tc>
        <w:tc>
          <w:tcPr>
            <w:tcW w:w="468" w:type="pct"/>
            <w:shd w:val="clear" w:color="auto" w:fill="F2F2F2"/>
            <w:vAlign w:val="center"/>
          </w:tcPr>
          <w:p w14:paraId="76A4109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1029" w:type="pct"/>
            <w:shd w:val="clear" w:color="auto" w:fill="F2F2F2"/>
            <w:vAlign w:val="center"/>
          </w:tcPr>
          <w:p w14:paraId="0F1D2C94"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Reprezentuje większość alokacji osi na przeznaczonej dla regionów słabiej rozwiniętych, odzwierciedla logikę interwencji.</w:t>
            </w:r>
          </w:p>
        </w:tc>
      </w:tr>
      <w:tr w:rsidR="004E3242" w:rsidRPr="004E3242" w14:paraId="37EEDFE0" w14:textId="77777777" w:rsidTr="00AA7998">
        <w:tc>
          <w:tcPr>
            <w:tcW w:w="175" w:type="pct"/>
            <w:shd w:val="clear" w:color="auto" w:fill="F2F2F2"/>
            <w:vAlign w:val="center"/>
          </w:tcPr>
          <w:p w14:paraId="5E383474"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3</w:t>
            </w:r>
          </w:p>
        </w:tc>
        <w:tc>
          <w:tcPr>
            <w:tcW w:w="422" w:type="pct"/>
            <w:shd w:val="clear" w:color="auto" w:fill="F2F2F2"/>
            <w:vAlign w:val="center"/>
          </w:tcPr>
          <w:p w14:paraId="2D413975"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pacing w:val="4"/>
                <w:sz w:val="16"/>
                <w:szCs w:val="16"/>
              </w:rPr>
              <w:t>Kluczowy etap wdrożeniowy</w:t>
            </w:r>
          </w:p>
        </w:tc>
        <w:tc>
          <w:tcPr>
            <w:tcW w:w="842" w:type="pct"/>
            <w:shd w:val="clear" w:color="auto" w:fill="F2F2F2"/>
            <w:vAlign w:val="center"/>
          </w:tcPr>
          <w:p w14:paraId="3A4605E3" w14:textId="77777777" w:rsidR="004E3242" w:rsidRPr="004E3242" w:rsidRDefault="004E3242" w:rsidP="004E3242">
            <w:pPr>
              <w:spacing w:before="60" w:after="60"/>
              <w:jc w:val="both"/>
              <w:rPr>
                <w:rFonts w:ascii="Arial" w:hAnsi="Arial" w:cs="Arial"/>
                <w:sz w:val="16"/>
                <w:szCs w:val="16"/>
              </w:rPr>
            </w:pPr>
            <w:r w:rsidRPr="004E3242">
              <w:rPr>
                <w:rFonts w:ascii="Arial" w:hAnsi="Arial" w:cs="Arial"/>
                <w:spacing w:val="4"/>
                <w:sz w:val="16"/>
                <w:szCs w:val="16"/>
              </w:rPr>
              <w:t>Całkowita długość budowanych dróg według zawartych umów o dofinansowanie</w:t>
            </w:r>
          </w:p>
        </w:tc>
        <w:tc>
          <w:tcPr>
            <w:tcW w:w="328" w:type="pct"/>
            <w:shd w:val="clear" w:color="auto" w:fill="F2F2F2"/>
            <w:vAlign w:val="center"/>
          </w:tcPr>
          <w:p w14:paraId="2B5C9AC6"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km</w:t>
            </w:r>
          </w:p>
        </w:tc>
        <w:tc>
          <w:tcPr>
            <w:tcW w:w="328" w:type="pct"/>
            <w:shd w:val="clear" w:color="auto" w:fill="F2F2F2"/>
            <w:vAlign w:val="center"/>
          </w:tcPr>
          <w:p w14:paraId="1AAA787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18DB711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w:t>
            </w:r>
          </w:p>
          <w:p w14:paraId="358DC09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rozwinięte</w:t>
            </w:r>
          </w:p>
        </w:tc>
        <w:tc>
          <w:tcPr>
            <w:tcW w:w="422" w:type="pct"/>
            <w:shd w:val="clear" w:color="auto" w:fill="F2F2F2"/>
            <w:vAlign w:val="center"/>
          </w:tcPr>
          <w:p w14:paraId="1A214C4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111</w:t>
            </w:r>
          </w:p>
        </w:tc>
        <w:tc>
          <w:tcPr>
            <w:tcW w:w="515" w:type="pct"/>
            <w:shd w:val="clear" w:color="auto" w:fill="F2F2F2"/>
            <w:vAlign w:val="center"/>
          </w:tcPr>
          <w:p w14:paraId="0A77EBDB" w14:textId="77777777" w:rsidR="004E3242" w:rsidRPr="004E3242" w:rsidRDefault="004E3242" w:rsidP="004E3242">
            <w:pPr>
              <w:spacing w:before="60" w:after="60"/>
              <w:jc w:val="center"/>
              <w:rPr>
                <w:rFonts w:ascii="Arial" w:hAnsi="Arial" w:cs="Arial"/>
                <w:spacing w:val="4"/>
                <w:sz w:val="16"/>
                <w:szCs w:val="16"/>
                <w:highlight w:val="yellow"/>
              </w:rPr>
            </w:pPr>
            <w:r w:rsidRPr="004E3242">
              <w:rPr>
                <w:rFonts w:ascii="Arial" w:hAnsi="Arial" w:cs="Arial"/>
                <w:spacing w:val="4"/>
                <w:sz w:val="16"/>
                <w:szCs w:val="16"/>
              </w:rPr>
              <w:t>-</w:t>
            </w:r>
          </w:p>
        </w:tc>
        <w:tc>
          <w:tcPr>
            <w:tcW w:w="468" w:type="pct"/>
            <w:shd w:val="clear" w:color="auto" w:fill="F2F2F2"/>
            <w:vAlign w:val="center"/>
          </w:tcPr>
          <w:p w14:paraId="359FDC8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029" w:type="pct"/>
            <w:shd w:val="clear" w:color="auto" w:fill="F2F2F2"/>
            <w:vAlign w:val="center"/>
          </w:tcPr>
          <w:p w14:paraId="50DC8BE0"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Zawarcie umowy o dofinansowanie stanowi istotny etap w realizacji zobowiązań osi.</w:t>
            </w:r>
          </w:p>
        </w:tc>
      </w:tr>
      <w:tr w:rsidR="004E3242" w:rsidRPr="004E3242" w14:paraId="11A3BCAD" w14:textId="77777777" w:rsidTr="00AA7998">
        <w:tc>
          <w:tcPr>
            <w:tcW w:w="175" w:type="pct"/>
            <w:shd w:val="clear" w:color="auto" w:fill="F2F2F2"/>
            <w:vAlign w:val="center"/>
          </w:tcPr>
          <w:p w14:paraId="620F637F"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4.</w:t>
            </w:r>
          </w:p>
        </w:tc>
        <w:tc>
          <w:tcPr>
            <w:tcW w:w="422" w:type="pct"/>
            <w:shd w:val="clear" w:color="auto" w:fill="F2F2F2"/>
            <w:vAlign w:val="center"/>
          </w:tcPr>
          <w:p w14:paraId="0368F82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z w:val="16"/>
                <w:szCs w:val="16"/>
              </w:rPr>
              <w:t>Wskaźnik produktu</w:t>
            </w:r>
          </w:p>
        </w:tc>
        <w:tc>
          <w:tcPr>
            <w:tcW w:w="842" w:type="pct"/>
            <w:shd w:val="clear" w:color="auto" w:fill="F2F2F2"/>
            <w:vAlign w:val="center"/>
          </w:tcPr>
          <w:p w14:paraId="6D048AB1" w14:textId="77777777" w:rsidR="004E3242" w:rsidRPr="004E3242" w:rsidDel="00A33169" w:rsidRDefault="004E3242" w:rsidP="004E3242">
            <w:pPr>
              <w:spacing w:before="60" w:after="60"/>
              <w:jc w:val="both"/>
              <w:rPr>
                <w:rFonts w:ascii="Arial" w:hAnsi="Arial" w:cs="Arial"/>
                <w:spacing w:val="4"/>
                <w:sz w:val="16"/>
                <w:szCs w:val="16"/>
              </w:rPr>
            </w:pPr>
            <w:r w:rsidRPr="004E3242">
              <w:rPr>
                <w:rFonts w:ascii="Arial" w:hAnsi="Arial" w:cs="Arial"/>
                <w:sz w:val="16"/>
                <w:szCs w:val="16"/>
              </w:rPr>
              <w:t>Całkowita długość nowych dróg</w:t>
            </w:r>
          </w:p>
        </w:tc>
        <w:tc>
          <w:tcPr>
            <w:tcW w:w="328" w:type="pct"/>
            <w:shd w:val="clear" w:color="auto" w:fill="F2F2F2"/>
            <w:vAlign w:val="center"/>
          </w:tcPr>
          <w:p w14:paraId="62498DAD" w14:textId="77777777" w:rsidR="004E3242" w:rsidRPr="004E3242" w:rsidDel="00A33169" w:rsidRDefault="004E3242" w:rsidP="004E3242">
            <w:pPr>
              <w:spacing w:before="60" w:after="60"/>
              <w:jc w:val="center"/>
              <w:rPr>
                <w:rFonts w:ascii="Arial" w:hAnsi="Arial" w:cs="Arial"/>
                <w:spacing w:val="4"/>
                <w:sz w:val="16"/>
                <w:szCs w:val="16"/>
              </w:rPr>
            </w:pPr>
            <w:r w:rsidRPr="004E3242">
              <w:rPr>
                <w:rFonts w:ascii="Arial" w:hAnsi="Arial" w:cs="Arial"/>
                <w:sz w:val="16"/>
                <w:szCs w:val="16"/>
              </w:rPr>
              <w:t>km</w:t>
            </w:r>
          </w:p>
        </w:tc>
        <w:tc>
          <w:tcPr>
            <w:tcW w:w="328" w:type="pct"/>
            <w:shd w:val="clear" w:color="auto" w:fill="F2F2F2"/>
            <w:vAlign w:val="center"/>
          </w:tcPr>
          <w:p w14:paraId="3ACD1CE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69DAE22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lepiej rozwinięte</w:t>
            </w:r>
          </w:p>
        </w:tc>
        <w:tc>
          <w:tcPr>
            <w:tcW w:w="422" w:type="pct"/>
            <w:shd w:val="clear" w:color="auto" w:fill="F2F2F2"/>
            <w:vAlign w:val="center"/>
          </w:tcPr>
          <w:p w14:paraId="0D238F6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0</w:t>
            </w:r>
          </w:p>
        </w:tc>
        <w:tc>
          <w:tcPr>
            <w:tcW w:w="515" w:type="pct"/>
            <w:shd w:val="clear" w:color="auto" w:fill="F2F2F2"/>
            <w:vAlign w:val="center"/>
          </w:tcPr>
          <w:p w14:paraId="2841E91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7</w:t>
            </w:r>
          </w:p>
        </w:tc>
        <w:tc>
          <w:tcPr>
            <w:tcW w:w="468" w:type="pct"/>
            <w:shd w:val="clear" w:color="auto" w:fill="F2F2F2"/>
            <w:vAlign w:val="center"/>
          </w:tcPr>
          <w:p w14:paraId="0398F74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1029" w:type="pct"/>
            <w:shd w:val="clear" w:color="auto" w:fill="F2F2F2"/>
            <w:vAlign w:val="center"/>
          </w:tcPr>
          <w:p w14:paraId="1E53D875" w14:textId="77777777" w:rsidR="004E3242" w:rsidRPr="004E3242" w:rsidDel="00A33169"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Reprezentuje większość alokacji osi przeznaczonej na region lepiej rozwinięty, odzwierciedla logikę interwencji.</w:t>
            </w:r>
          </w:p>
        </w:tc>
      </w:tr>
      <w:tr w:rsidR="004E3242" w:rsidRPr="004E3242" w14:paraId="4EB68430" w14:textId="77777777" w:rsidTr="00AA7998">
        <w:tc>
          <w:tcPr>
            <w:tcW w:w="175" w:type="pct"/>
            <w:shd w:val="clear" w:color="auto" w:fill="F2F2F2"/>
            <w:vAlign w:val="center"/>
          </w:tcPr>
          <w:p w14:paraId="5189E6D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5.</w:t>
            </w:r>
          </w:p>
        </w:tc>
        <w:tc>
          <w:tcPr>
            <w:tcW w:w="422" w:type="pct"/>
            <w:shd w:val="clear" w:color="auto" w:fill="F2F2F2"/>
            <w:vAlign w:val="center"/>
          </w:tcPr>
          <w:p w14:paraId="326A274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Kluczowy etap wdrożeniowy</w:t>
            </w:r>
          </w:p>
        </w:tc>
        <w:tc>
          <w:tcPr>
            <w:tcW w:w="842" w:type="pct"/>
            <w:shd w:val="clear" w:color="auto" w:fill="F2F2F2"/>
            <w:vAlign w:val="center"/>
          </w:tcPr>
          <w:p w14:paraId="2D712F06" w14:textId="77777777" w:rsidR="004E3242" w:rsidRPr="004E3242" w:rsidDel="00A33169"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Całkowita długość budowanych dróg według zawartych umów o dofinansowanie</w:t>
            </w:r>
          </w:p>
        </w:tc>
        <w:tc>
          <w:tcPr>
            <w:tcW w:w="328" w:type="pct"/>
            <w:shd w:val="clear" w:color="auto" w:fill="F2F2F2"/>
            <w:vAlign w:val="center"/>
          </w:tcPr>
          <w:p w14:paraId="6A25D26B" w14:textId="77777777" w:rsidR="004E3242" w:rsidRPr="004E3242" w:rsidDel="00A33169"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km</w:t>
            </w:r>
          </w:p>
        </w:tc>
        <w:tc>
          <w:tcPr>
            <w:tcW w:w="328" w:type="pct"/>
            <w:shd w:val="clear" w:color="auto" w:fill="F2F2F2"/>
            <w:vAlign w:val="center"/>
          </w:tcPr>
          <w:p w14:paraId="4806398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EFRR</w:t>
            </w:r>
          </w:p>
        </w:tc>
        <w:tc>
          <w:tcPr>
            <w:tcW w:w="469" w:type="pct"/>
            <w:shd w:val="clear" w:color="auto" w:fill="F2F2F2"/>
            <w:vAlign w:val="center"/>
          </w:tcPr>
          <w:p w14:paraId="31D99DA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lepiej</w:t>
            </w:r>
          </w:p>
          <w:p w14:paraId="0482C11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rozwinięte</w:t>
            </w:r>
          </w:p>
        </w:tc>
        <w:tc>
          <w:tcPr>
            <w:tcW w:w="422" w:type="pct"/>
            <w:shd w:val="clear" w:color="auto" w:fill="F2F2F2"/>
            <w:vAlign w:val="center"/>
          </w:tcPr>
          <w:p w14:paraId="2735DDD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7</w:t>
            </w:r>
          </w:p>
        </w:tc>
        <w:tc>
          <w:tcPr>
            <w:tcW w:w="515" w:type="pct"/>
            <w:shd w:val="clear" w:color="auto" w:fill="F2F2F2"/>
            <w:vAlign w:val="center"/>
          </w:tcPr>
          <w:p w14:paraId="588BE561"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w:t>
            </w:r>
          </w:p>
        </w:tc>
        <w:tc>
          <w:tcPr>
            <w:tcW w:w="468" w:type="pct"/>
            <w:shd w:val="clear" w:color="auto" w:fill="F2F2F2"/>
            <w:vAlign w:val="center"/>
          </w:tcPr>
          <w:p w14:paraId="09EBB28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029" w:type="pct"/>
            <w:shd w:val="clear" w:color="auto" w:fill="F2F2F2"/>
            <w:vAlign w:val="center"/>
          </w:tcPr>
          <w:p w14:paraId="322BA06F" w14:textId="77777777" w:rsidR="004E3242" w:rsidRPr="004E3242" w:rsidDel="00A33169"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Zawarcie umowy o dofinansowanie stanowi istotny etap w realizacji zobowiązań</w:t>
            </w:r>
          </w:p>
        </w:tc>
      </w:tr>
    </w:tbl>
    <w:p w14:paraId="4AF9F250" w14:textId="77777777" w:rsidR="004E3242" w:rsidRPr="004E3242" w:rsidRDefault="004E3242" w:rsidP="004E3242">
      <w:pPr>
        <w:spacing w:before="120" w:after="120"/>
        <w:jc w:val="both"/>
        <w:rPr>
          <w:rFonts w:ascii="Arial" w:hAnsi="Arial" w:cs="Arial"/>
          <w:bCs/>
          <w:smallCaps/>
          <w:color w:val="669900"/>
          <w:spacing w:val="4"/>
          <w:sz w:val="20"/>
          <w:szCs w:val="20"/>
        </w:rPr>
      </w:pPr>
    </w:p>
    <w:p w14:paraId="71D1CED6" w14:textId="77777777" w:rsidR="00313673" w:rsidRDefault="00313673" w:rsidP="004E3242">
      <w:pPr>
        <w:spacing w:before="120" w:after="120"/>
        <w:jc w:val="both"/>
        <w:rPr>
          <w:rFonts w:ascii="Arial" w:hAnsi="Arial" w:cs="Arial"/>
          <w:bCs/>
          <w:smallCaps/>
          <w:color w:val="669900"/>
          <w:spacing w:val="4"/>
          <w:sz w:val="20"/>
          <w:szCs w:val="20"/>
        </w:rPr>
      </w:pPr>
    </w:p>
    <w:p w14:paraId="18F8D78A" w14:textId="77777777" w:rsidR="00313673" w:rsidRDefault="00313673" w:rsidP="004E3242">
      <w:pPr>
        <w:spacing w:before="120" w:after="120"/>
        <w:jc w:val="both"/>
        <w:rPr>
          <w:rFonts w:ascii="Arial" w:hAnsi="Arial" w:cs="Arial"/>
          <w:bCs/>
          <w:smallCaps/>
          <w:color w:val="669900"/>
          <w:spacing w:val="4"/>
          <w:sz w:val="20"/>
          <w:szCs w:val="20"/>
        </w:rPr>
      </w:pPr>
    </w:p>
    <w:p w14:paraId="1D717CE9" w14:textId="77777777" w:rsidR="00313673" w:rsidRDefault="00313673" w:rsidP="004E3242">
      <w:pPr>
        <w:spacing w:before="120" w:after="120"/>
        <w:jc w:val="both"/>
        <w:rPr>
          <w:rFonts w:ascii="Arial" w:hAnsi="Arial" w:cs="Arial"/>
          <w:bCs/>
          <w:smallCaps/>
          <w:color w:val="669900"/>
          <w:spacing w:val="4"/>
          <w:sz w:val="20"/>
          <w:szCs w:val="20"/>
        </w:rPr>
      </w:pPr>
    </w:p>
    <w:p w14:paraId="25D1BDD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Kategorie Interwencji (EUR)</w:t>
      </w:r>
    </w:p>
    <w:tbl>
      <w:tblPr>
        <w:tblW w:w="512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771"/>
        <w:gridCol w:w="1293"/>
        <w:gridCol w:w="1186"/>
        <w:gridCol w:w="396"/>
        <w:gridCol w:w="787"/>
        <w:gridCol w:w="64"/>
        <w:gridCol w:w="1247"/>
        <w:gridCol w:w="1186"/>
        <w:gridCol w:w="396"/>
        <w:gridCol w:w="787"/>
        <w:gridCol w:w="1317"/>
        <w:gridCol w:w="1192"/>
        <w:gridCol w:w="399"/>
        <w:gridCol w:w="921"/>
        <w:gridCol w:w="1355"/>
        <w:gridCol w:w="146"/>
        <w:gridCol w:w="1125"/>
      </w:tblGrid>
      <w:tr w:rsidR="004E3242" w:rsidRPr="004E3242" w14:paraId="12409F28" w14:textId="77777777" w:rsidTr="0062616D">
        <w:trPr>
          <w:trHeight w:val="330"/>
        </w:trPr>
        <w:tc>
          <w:tcPr>
            <w:tcW w:w="1115" w:type="pct"/>
            <w:gridSpan w:val="3"/>
            <w:shd w:val="clear" w:color="auto" w:fill="99CC00"/>
            <w:vAlign w:val="center"/>
          </w:tcPr>
          <w:p w14:paraId="7A6C36EB"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Obszar interwencji</w:t>
            </w:r>
          </w:p>
        </w:tc>
        <w:tc>
          <w:tcPr>
            <w:tcW w:w="136" w:type="pct"/>
            <w:shd w:val="clear" w:color="auto" w:fill="FFFFFF"/>
          </w:tcPr>
          <w:p w14:paraId="2483CB76" w14:textId="77777777" w:rsidR="004E3242" w:rsidRPr="004E3242" w:rsidRDefault="004E3242" w:rsidP="004E3242">
            <w:pPr>
              <w:spacing w:before="60" w:after="60"/>
              <w:jc w:val="center"/>
              <w:rPr>
                <w:rFonts w:ascii="Arial" w:hAnsi="Arial" w:cs="Arial"/>
                <w:color w:val="FFFFFF"/>
                <w:sz w:val="16"/>
                <w:szCs w:val="16"/>
              </w:rPr>
            </w:pPr>
          </w:p>
        </w:tc>
        <w:tc>
          <w:tcPr>
            <w:tcW w:w="1127" w:type="pct"/>
            <w:gridSpan w:val="4"/>
            <w:shd w:val="clear" w:color="auto" w:fill="99CC00"/>
            <w:vAlign w:val="center"/>
          </w:tcPr>
          <w:p w14:paraId="6F212B88"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Forma finansowania</w:t>
            </w:r>
          </w:p>
        </w:tc>
        <w:tc>
          <w:tcPr>
            <w:tcW w:w="136" w:type="pct"/>
            <w:shd w:val="clear" w:color="auto" w:fill="FFFFFF"/>
          </w:tcPr>
          <w:p w14:paraId="668FED0D" w14:textId="77777777" w:rsidR="004E3242" w:rsidRPr="004E3242" w:rsidRDefault="004E3242" w:rsidP="004E3242">
            <w:pPr>
              <w:spacing w:before="60" w:after="60"/>
              <w:jc w:val="center"/>
              <w:rPr>
                <w:rFonts w:ascii="Arial" w:hAnsi="Arial" w:cs="Arial"/>
                <w:color w:val="FFFFFF"/>
                <w:sz w:val="16"/>
                <w:szCs w:val="16"/>
              </w:rPr>
            </w:pPr>
          </w:p>
        </w:tc>
        <w:tc>
          <w:tcPr>
            <w:tcW w:w="1131" w:type="pct"/>
            <w:gridSpan w:val="3"/>
            <w:shd w:val="clear" w:color="auto" w:fill="99CC00"/>
            <w:vAlign w:val="center"/>
          </w:tcPr>
          <w:p w14:paraId="3A85F440"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Terytorium</w:t>
            </w:r>
          </w:p>
        </w:tc>
        <w:tc>
          <w:tcPr>
            <w:tcW w:w="137" w:type="pct"/>
            <w:shd w:val="clear" w:color="auto" w:fill="FFFFFF"/>
          </w:tcPr>
          <w:p w14:paraId="3FF7FDA3" w14:textId="77777777" w:rsidR="004E3242" w:rsidRPr="004E3242" w:rsidRDefault="004E3242" w:rsidP="004E3242">
            <w:pPr>
              <w:spacing w:before="60" w:after="60"/>
              <w:jc w:val="center"/>
              <w:rPr>
                <w:rFonts w:ascii="Arial" w:hAnsi="Arial" w:cs="Arial"/>
                <w:color w:val="FFFFFF"/>
                <w:sz w:val="16"/>
                <w:szCs w:val="16"/>
              </w:rPr>
            </w:pPr>
          </w:p>
        </w:tc>
        <w:tc>
          <w:tcPr>
            <w:tcW w:w="1219" w:type="pct"/>
            <w:gridSpan w:val="4"/>
            <w:shd w:val="clear" w:color="auto" w:fill="99CC00"/>
            <w:vAlign w:val="center"/>
          </w:tcPr>
          <w:p w14:paraId="27CA2D82"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Mechanizmy realizacji wymiaru terytorialnego</w:t>
            </w:r>
          </w:p>
        </w:tc>
      </w:tr>
      <w:tr w:rsidR="004E3242" w:rsidRPr="004E3242" w14:paraId="3FB4B272" w14:textId="77777777" w:rsidTr="0062616D">
        <w:trPr>
          <w:trHeight w:val="265"/>
        </w:trPr>
        <w:tc>
          <w:tcPr>
            <w:tcW w:w="265" w:type="pct"/>
            <w:vMerge w:val="restart"/>
            <w:shd w:val="clear" w:color="auto" w:fill="99CC00"/>
            <w:vAlign w:val="center"/>
          </w:tcPr>
          <w:p w14:paraId="54268D95"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Kod</w:t>
            </w:r>
          </w:p>
        </w:tc>
        <w:tc>
          <w:tcPr>
            <w:tcW w:w="851" w:type="pct"/>
            <w:gridSpan w:val="2"/>
            <w:shd w:val="clear" w:color="auto" w:fill="99CC00"/>
            <w:vAlign w:val="center"/>
          </w:tcPr>
          <w:p w14:paraId="661274FA"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Kwota</w:t>
            </w:r>
          </w:p>
        </w:tc>
        <w:tc>
          <w:tcPr>
            <w:tcW w:w="136" w:type="pct"/>
            <w:shd w:val="clear" w:color="auto" w:fill="FFFFFF"/>
          </w:tcPr>
          <w:p w14:paraId="6D1E9194" w14:textId="77777777" w:rsidR="004E3242" w:rsidRPr="004E3242" w:rsidRDefault="004E3242" w:rsidP="004E3242">
            <w:pPr>
              <w:spacing w:before="60" w:after="60"/>
              <w:jc w:val="center"/>
              <w:rPr>
                <w:rFonts w:ascii="Arial" w:hAnsi="Arial" w:cs="Arial"/>
                <w:color w:val="FFFFFF"/>
                <w:sz w:val="16"/>
                <w:szCs w:val="16"/>
              </w:rPr>
            </w:pPr>
          </w:p>
        </w:tc>
        <w:tc>
          <w:tcPr>
            <w:tcW w:w="270" w:type="pct"/>
            <w:vMerge w:val="restart"/>
            <w:shd w:val="clear" w:color="auto" w:fill="99CC00"/>
            <w:vAlign w:val="center"/>
          </w:tcPr>
          <w:p w14:paraId="48C3D725"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Kod</w:t>
            </w:r>
          </w:p>
        </w:tc>
        <w:tc>
          <w:tcPr>
            <w:tcW w:w="856" w:type="pct"/>
            <w:gridSpan w:val="3"/>
            <w:shd w:val="clear" w:color="auto" w:fill="99CC00"/>
            <w:vAlign w:val="center"/>
          </w:tcPr>
          <w:p w14:paraId="1C21945D"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Kwota</w:t>
            </w:r>
          </w:p>
        </w:tc>
        <w:tc>
          <w:tcPr>
            <w:tcW w:w="136" w:type="pct"/>
            <w:shd w:val="clear" w:color="auto" w:fill="FFFFFF"/>
          </w:tcPr>
          <w:p w14:paraId="4F45792B" w14:textId="77777777" w:rsidR="004E3242" w:rsidRPr="004E3242" w:rsidRDefault="004E3242" w:rsidP="004E3242">
            <w:pPr>
              <w:spacing w:before="60" w:after="60"/>
              <w:jc w:val="center"/>
              <w:rPr>
                <w:rFonts w:ascii="Arial" w:hAnsi="Arial" w:cs="Arial"/>
                <w:color w:val="FFFFFF"/>
                <w:sz w:val="16"/>
                <w:szCs w:val="16"/>
              </w:rPr>
            </w:pPr>
          </w:p>
        </w:tc>
        <w:tc>
          <w:tcPr>
            <w:tcW w:w="270" w:type="pct"/>
            <w:vMerge w:val="restart"/>
            <w:shd w:val="clear" w:color="auto" w:fill="99CC00"/>
            <w:vAlign w:val="center"/>
          </w:tcPr>
          <w:p w14:paraId="3746481B"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Kod</w:t>
            </w:r>
          </w:p>
        </w:tc>
        <w:tc>
          <w:tcPr>
            <w:tcW w:w="861" w:type="pct"/>
            <w:gridSpan w:val="2"/>
            <w:shd w:val="clear" w:color="auto" w:fill="99CC00"/>
            <w:vAlign w:val="center"/>
          </w:tcPr>
          <w:p w14:paraId="1E48F35A"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Kwota</w:t>
            </w:r>
          </w:p>
        </w:tc>
        <w:tc>
          <w:tcPr>
            <w:tcW w:w="137" w:type="pct"/>
            <w:shd w:val="clear" w:color="auto" w:fill="FFFFFF"/>
          </w:tcPr>
          <w:p w14:paraId="6FAC785E" w14:textId="77777777" w:rsidR="004E3242" w:rsidRPr="004E3242" w:rsidRDefault="004E3242" w:rsidP="004E3242">
            <w:pPr>
              <w:spacing w:before="60" w:after="60"/>
              <w:jc w:val="center"/>
              <w:rPr>
                <w:rFonts w:ascii="Arial" w:hAnsi="Arial" w:cs="Arial"/>
                <w:color w:val="FFFFFF"/>
                <w:sz w:val="16"/>
                <w:szCs w:val="16"/>
              </w:rPr>
            </w:pPr>
          </w:p>
        </w:tc>
        <w:tc>
          <w:tcPr>
            <w:tcW w:w="316" w:type="pct"/>
            <w:vMerge w:val="restart"/>
            <w:shd w:val="clear" w:color="auto" w:fill="99CC00"/>
            <w:vAlign w:val="center"/>
          </w:tcPr>
          <w:p w14:paraId="4692A296"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Kod</w:t>
            </w:r>
          </w:p>
        </w:tc>
        <w:tc>
          <w:tcPr>
            <w:tcW w:w="903" w:type="pct"/>
            <w:gridSpan w:val="3"/>
            <w:shd w:val="clear" w:color="auto" w:fill="99CC00"/>
            <w:vAlign w:val="center"/>
          </w:tcPr>
          <w:p w14:paraId="027438D3"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Kwota</w:t>
            </w:r>
          </w:p>
        </w:tc>
      </w:tr>
      <w:tr w:rsidR="0062616D" w:rsidRPr="004E3242" w14:paraId="4AC3B7FA" w14:textId="77777777" w:rsidTr="0062616D">
        <w:trPr>
          <w:trHeight w:val="382"/>
        </w:trPr>
        <w:tc>
          <w:tcPr>
            <w:tcW w:w="265" w:type="pct"/>
            <w:vMerge/>
            <w:shd w:val="clear" w:color="auto" w:fill="99CC00"/>
            <w:vAlign w:val="center"/>
          </w:tcPr>
          <w:p w14:paraId="122E974F" w14:textId="77777777" w:rsidR="004E3242" w:rsidRPr="004E3242" w:rsidRDefault="004E3242" w:rsidP="004E3242">
            <w:pPr>
              <w:spacing w:before="60" w:after="60"/>
              <w:jc w:val="center"/>
              <w:rPr>
                <w:rFonts w:ascii="Arial" w:hAnsi="Arial" w:cs="Arial"/>
                <w:color w:val="FFFFFF"/>
                <w:sz w:val="16"/>
                <w:szCs w:val="16"/>
              </w:rPr>
            </w:pPr>
          </w:p>
        </w:tc>
        <w:tc>
          <w:tcPr>
            <w:tcW w:w="444" w:type="pct"/>
            <w:shd w:val="clear" w:color="auto" w:fill="99CC00"/>
            <w:vAlign w:val="center"/>
          </w:tcPr>
          <w:p w14:paraId="206F7EA7"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06" w:type="pct"/>
            <w:shd w:val="clear" w:color="auto" w:fill="99CC00"/>
            <w:vAlign w:val="center"/>
          </w:tcPr>
          <w:p w14:paraId="705A950C"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Lepiej rozwinięte</w:t>
            </w:r>
          </w:p>
        </w:tc>
        <w:tc>
          <w:tcPr>
            <w:tcW w:w="136" w:type="pct"/>
            <w:shd w:val="clear" w:color="auto" w:fill="FFFFFF"/>
          </w:tcPr>
          <w:p w14:paraId="5E14D908" w14:textId="77777777" w:rsidR="004E3242" w:rsidRPr="004E3242" w:rsidRDefault="004E3242" w:rsidP="004E3242">
            <w:pPr>
              <w:spacing w:before="60" w:after="60"/>
              <w:jc w:val="center"/>
              <w:rPr>
                <w:rFonts w:ascii="Arial" w:hAnsi="Arial" w:cs="Arial"/>
                <w:color w:val="FFFFFF"/>
                <w:sz w:val="16"/>
                <w:szCs w:val="16"/>
              </w:rPr>
            </w:pPr>
          </w:p>
        </w:tc>
        <w:tc>
          <w:tcPr>
            <w:tcW w:w="270" w:type="pct"/>
            <w:vMerge/>
            <w:shd w:val="clear" w:color="auto" w:fill="99CC00"/>
            <w:vAlign w:val="center"/>
          </w:tcPr>
          <w:p w14:paraId="60D6E27E" w14:textId="77777777" w:rsidR="004E3242" w:rsidRPr="004E3242" w:rsidRDefault="004E3242" w:rsidP="004E3242">
            <w:pPr>
              <w:spacing w:before="60" w:after="60"/>
              <w:jc w:val="center"/>
              <w:rPr>
                <w:rFonts w:ascii="Arial" w:hAnsi="Arial" w:cs="Arial"/>
                <w:color w:val="FFFFFF"/>
                <w:sz w:val="16"/>
                <w:szCs w:val="16"/>
              </w:rPr>
            </w:pPr>
          </w:p>
        </w:tc>
        <w:tc>
          <w:tcPr>
            <w:tcW w:w="450" w:type="pct"/>
            <w:gridSpan w:val="2"/>
            <w:shd w:val="clear" w:color="auto" w:fill="99CC00"/>
            <w:vAlign w:val="center"/>
          </w:tcPr>
          <w:p w14:paraId="2EBBECC4"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06" w:type="pct"/>
            <w:shd w:val="clear" w:color="auto" w:fill="99CC00"/>
            <w:vAlign w:val="center"/>
          </w:tcPr>
          <w:p w14:paraId="7A76F1BE"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Lepiej rozwinięte</w:t>
            </w:r>
          </w:p>
        </w:tc>
        <w:tc>
          <w:tcPr>
            <w:tcW w:w="136" w:type="pct"/>
            <w:shd w:val="clear" w:color="auto" w:fill="FFFFFF"/>
          </w:tcPr>
          <w:p w14:paraId="4024FE5C" w14:textId="77777777" w:rsidR="004E3242" w:rsidRPr="004E3242" w:rsidRDefault="004E3242" w:rsidP="004E3242">
            <w:pPr>
              <w:spacing w:before="60" w:after="60"/>
              <w:jc w:val="center"/>
              <w:rPr>
                <w:rFonts w:ascii="Arial" w:hAnsi="Arial" w:cs="Arial"/>
                <w:color w:val="FFFFFF"/>
                <w:sz w:val="16"/>
                <w:szCs w:val="16"/>
              </w:rPr>
            </w:pPr>
          </w:p>
        </w:tc>
        <w:tc>
          <w:tcPr>
            <w:tcW w:w="270" w:type="pct"/>
            <w:vMerge/>
            <w:shd w:val="clear" w:color="auto" w:fill="99CC00"/>
            <w:vAlign w:val="center"/>
          </w:tcPr>
          <w:p w14:paraId="663EDE78" w14:textId="77777777" w:rsidR="004E3242" w:rsidRPr="004E3242" w:rsidRDefault="004E3242" w:rsidP="004E3242">
            <w:pPr>
              <w:spacing w:before="60" w:after="60"/>
              <w:jc w:val="center"/>
              <w:rPr>
                <w:rFonts w:ascii="Arial" w:hAnsi="Arial" w:cs="Arial"/>
                <w:color w:val="FFFFFF"/>
                <w:sz w:val="16"/>
                <w:szCs w:val="16"/>
              </w:rPr>
            </w:pPr>
          </w:p>
        </w:tc>
        <w:tc>
          <w:tcPr>
            <w:tcW w:w="452" w:type="pct"/>
            <w:shd w:val="clear" w:color="auto" w:fill="99CC00"/>
            <w:vAlign w:val="center"/>
          </w:tcPr>
          <w:p w14:paraId="14E993A3"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09" w:type="pct"/>
            <w:shd w:val="clear" w:color="auto" w:fill="99CC00"/>
            <w:vAlign w:val="center"/>
          </w:tcPr>
          <w:p w14:paraId="5FD19939"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Lepiej rozwinięte</w:t>
            </w:r>
          </w:p>
        </w:tc>
        <w:tc>
          <w:tcPr>
            <w:tcW w:w="137" w:type="pct"/>
            <w:shd w:val="clear" w:color="auto" w:fill="FFFFFF"/>
          </w:tcPr>
          <w:p w14:paraId="06F004B7" w14:textId="77777777" w:rsidR="004E3242" w:rsidRPr="004E3242" w:rsidRDefault="004E3242" w:rsidP="004E3242">
            <w:pPr>
              <w:spacing w:before="60" w:after="60"/>
              <w:jc w:val="center"/>
              <w:rPr>
                <w:rFonts w:ascii="Arial" w:hAnsi="Arial" w:cs="Arial"/>
                <w:color w:val="FFFFFF"/>
                <w:sz w:val="16"/>
                <w:szCs w:val="16"/>
              </w:rPr>
            </w:pPr>
          </w:p>
        </w:tc>
        <w:tc>
          <w:tcPr>
            <w:tcW w:w="316" w:type="pct"/>
            <w:vMerge/>
            <w:shd w:val="clear" w:color="auto" w:fill="99CC00"/>
            <w:vAlign w:val="center"/>
          </w:tcPr>
          <w:p w14:paraId="40F18E43" w14:textId="77777777" w:rsidR="004E3242" w:rsidRPr="004E3242" w:rsidRDefault="004E3242" w:rsidP="004E3242">
            <w:pPr>
              <w:spacing w:before="60" w:after="60"/>
              <w:jc w:val="center"/>
              <w:rPr>
                <w:rFonts w:ascii="Arial" w:hAnsi="Arial" w:cs="Arial"/>
                <w:color w:val="FFFFFF"/>
                <w:sz w:val="16"/>
                <w:szCs w:val="16"/>
              </w:rPr>
            </w:pPr>
          </w:p>
        </w:tc>
        <w:tc>
          <w:tcPr>
            <w:tcW w:w="465" w:type="pct"/>
            <w:shd w:val="clear" w:color="auto" w:fill="99CC00"/>
            <w:vAlign w:val="center"/>
          </w:tcPr>
          <w:p w14:paraId="0DEB7982"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38" w:type="pct"/>
            <w:gridSpan w:val="2"/>
            <w:shd w:val="clear" w:color="auto" w:fill="99CC00"/>
            <w:vAlign w:val="center"/>
          </w:tcPr>
          <w:p w14:paraId="1DA1298D" w14:textId="77777777" w:rsidR="004E3242" w:rsidRPr="004E3242" w:rsidRDefault="004E3242" w:rsidP="004E3242">
            <w:pPr>
              <w:spacing w:before="60" w:after="60"/>
              <w:jc w:val="center"/>
              <w:rPr>
                <w:rFonts w:ascii="Arial" w:hAnsi="Arial" w:cs="Arial"/>
                <w:color w:val="FFFFFF"/>
                <w:sz w:val="16"/>
                <w:szCs w:val="16"/>
              </w:rPr>
            </w:pPr>
            <w:r w:rsidRPr="004E3242">
              <w:rPr>
                <w:rFonts w:ascii="Arial" w:hAnsi="Arial" w:cs="Arial"/>
                <w:color w:val="FFFFFF"/>
                <w:sz w:val="16"/>
                <w:szCs w:val="16"/>
              </w:rPr>
              <w:t>Lepiej rozwinięte</w:t>
            </w:r>
          </w:p>
        </w:tc>
      </w:tr>
      <w:tr w:rsidR="004E3242" w:rsidRPr="004E3242" w14:paraId="365B6665" w14:textId="77777777" w:rsidTr="0062616D">
        <w:tc>
          <w:tcPr>
            <w:tcW w:w="265" w:type="pct"/>
            <w:shd w:val="clear" w:color="auto" w:fill="F2F2F2"/>
            <w:vAlign w:val="center"/>
          </w:tcPr>
          <w:p w14:paraId="5175BCAC" w14:textId="77777777" w:rsidR="004E3242" w:rsidRPr="004E3242" w:rsidRDefault="004E3242" w:rsidP="004E3242">
            <w:pPr>
              <w:spacing w:before="60" w:after="60"/>
              <w:jc w:val="center"/>
              <w:rPr>
                <w:rFonts w:ascii="Arial" w:hAnsi="Arial" w:cs="Arial"/>
                <w:color w:val="000000"/>
                <w:sz w:val="16"/>
                <w:szCs w:val="16"/>
              </w:rPr>
            </w:pPr>
            <w:r w:rsidRPr="004E3242">
              <w:rPr>
                <w:rFonts w:ascii="Arial" w:hAnsi="Arial" w:cs="Arial"/>
                <w:color w:val="000000"/>
                <w:sz w:val="16"/>
                <w:szCs w:val="16"/>
              </w:rPr>
              <w:t>028</w:t>
            </w:r>
          </w:p>
        </w:tc>
        <w:tc>
          <w:tcPr>
            <w:tcW w:w="444" w:type="pct"/>
            <w:shd w:val="clear" w:color="auto" w:fill="F2F2F2"/>
            <w:vAlign w:val="center"/>
          </w:tcPr>
          <w:p w14:paraId="2CD3FDEF" w14:textId="77777777" w:rsidR="004E3242" w:rsidRPr="004E3242" w:rsidRDefault="00DC0A92" w:rsidP="00652C56">
            <w:pPr>
              <w:spacing w:before="60" w:after="60"/>
              <w:jc w:val="center"/>
              <w:rPr>
                <w:rFonts w:ascii="Arial" w:hAnsi="Arial" w:cs="Arial"/>
                <w:color w:val="000000"/>
                <w:sz w:val="16"/>
                <w:szCs w:val="16"/>
              </w:rPr>
            </w:pPr>
            <w:r w:rsidRPr="00DC0A92">
              <w:rPr>
                <w:rFonts w:ascii="Arial" w:hAnsi="Arial" w:cs="Arial"/>
                <w:color w:val="000000"/>
                <w:sz w:val="16"/>
                <w:szCs w:val="16"/>
              </w:rPr>
              <w:t>478 527 871</w:t>
            </w:r>
          </w:p>
        </w:tc>
        <w:tc>
          <w:tcPr>
            <w:tcW w:w="406" w:type="pct"/>
            <w:shd w:val="clear" w:color="auto" w:fill="F2F2F2"/>
            <w:vAlign w:val="center"/>
          </w:tcPr>
          <w:p w14:paraId="5BC17F6E" w14:textId="77777777" w:rsidR="004E3242" w:rsidRPr="004E3242" w:rsidRDefault="004E3242" w:rsidP="004E3242">
            <w:pPr>
              <w:suppressAutoHyphens/>
              <w:spacing w:before="60" w:after="60" w:line="240" w:lineRule="auto"/>
              <w:jc w:val="center"/>
              <w:rPr>
                <w:rFonts w:ascii="Arial" w:hAnsi="Arial" w:cs="Arial"/>
                <w:sz w:val="16"/>
                <w:szCs w:val="16"/>
              </w:rPr>
            </w:pPr>
            <w:r w:rsidRPr="004E3242">
              <w:rPr>
                <w:rFonts w:ascii="Arial" w:hAnsi="Arial" w:cs="Arial"/>
                <w:sz w:val="16"/>
                <w:szCs w:val="16"/>
              </w:rPr>
              <w:t>-</w:t>
            </w:r>
          </w:p>
        </w:tc>
        <w:tc>
          <w:tcPr>
            <w:tcW w:w="136" w:type="pct"/>
            <w:shd w:val="clear" w:color="auto" w:fill="FFFFFF"/>
          </w:tcPr>
          <w:p w14:paraId="29429559" w14:textId="77777777" w:rsidR="004E3242" w:rsidRPr="004E3242" w:rsidRDefault="004E3242" w:rsidP="004E3242">
            <w:pPr>
              <w:suppressAutoHyphens/>
              <w:spacing w:before="60" w:after="60" w:line="240" w:lineRule="auto"/>
              <w:jc w:val="center"/>
              <w:rPr>
                <w:rFonts w:ascii="Arial" w:hAnsi="Arial" w:cs="Arial"/>
                <w:sz w:val="16"/>
                <w:szCs w:val="16"/>
              </w:rPr>
            </w:pPr>
          </w:p>
        </w:tc>
        <w:tc>
          <w:tcPr>
            <w:tcW w:w="270" w:type="pct"/>
            <w:shd w:val="clear" w:color="auto" w:fill="F2F2F2"/>
            <w:vAlign w:val="center"/>
          </w:tcPr>
          <w:p w14:paraId="7A6850DE" w14:textId="77777777" w:rsidR="004E3242" w:rsidRPr="004E3242" w:rsidRDefault="004E3242" w:rsidP="004E3242">
            <w:pPr>
              <w:suppressAutoHyphens/>
              <w:spacing w:before="60" w:after="60" w:line="240" w:lineRule="auto"/>
              <w:jc w:val="center"/>
              <w:rPr>
                <w:rFonts w:ascii="Arial" w:hAnsi="Arial" w:cs="Arial"/>
                <w:sz w:val="16"/>
                <w:szCs w:val="16"/>
              </w:rPr>
            </w:pPr>
            <w:r w:rsidRPr="004E3242">
              <w:rPr>
                <w:rFonts w:ascii="Arial" w:hAnsi="Arial" w:cs="Arial"/>
                <w:sz w:val="16"/>
                <w:szCs w:val="16"/>
              </w:rPr>
              <w:t>01</w:t>
            </w:r>
          </w:p>
        </w:tc>
        <w:tc>
          <w:tcPr>
            <w:tcW w:w="450" w:type="pct"/>
            <w:gridSpan w:val="2"/>
            <w:shd w:val="clear" w:color="auto" w:fill="F2F2F2"/>
            <w:vAlign w:val="center"/>
          </w:tcPr>
          <w:p w14:paraId="0EF3572D" w14:textId="77777777" w:rsidR="004E3242" w:rsidRPr="00D74A58" w:rsidRDefault="00EC66DD" w:rsidP="008A1F02">
            <w:pPr>
              <w:spacing w:after="0" w:line="240" w:lineRule="auto"/>
              <w:jc w:val="center"/>
              <w:rPr>
                <w:rFonts w:ascii="Arial" w:hAnsi="Arial" w:cs="Arial"/>
                <w:color w:val="000000"/>
                <w:sz w:val="16"/>
                <w:szCs w:val="16"/>
              </w:rPr>
            </w:pPr>
            <w:r w:rsidRPr="00EC66DD">
              <w:rPr>
                <w:rFonts w:ascii="Arial" w:hAnsi="Arial" w:cs="Arial"/>
                <w:color w:val="000000"/>
                <w:sz w:val="16"/>
                <w:szCs w:val="16"/>
              </w:rPr>
              <w:t>2 783 616 58</w:t>
            </w:r>
            <w:r w:rsidR="00FC4C2E">
              <w:rPr>
                <w:rFonts w:ascii="Arial" w:hAnsi="Arial" w:cs="Arial"/>
                <w:color w:val="000000"/>
                <w:sz w:val="16"/>
                <w:szCs w:val="16"/>
              </w:rPr>
              <w:t>8</w:t>
            </w:r>
          </w:p>
        </w:tc>
        <w:tc>
          <w:tcPr>
            <w:tcW w:w="406" w:type="pct"/>
            <w:shd w:val="clear" w:color="auto" w:fill="F2F2F2"/>
            <w:vAlign w:val="center"/>
          </w:tcPr>
          <w:p w14:paraId="28641D02" w14:textId="77777777" w:rsidR="004E3242" w:rsidRPr="00D74A58" w:rsidRDefault="00162B63" w:rsidP="00162B63">
            <w:pPr>
              <w:spacing w:before="60" w:after="60"/>
              <w:jc w:val="center"/>
              <w:rPr>
                <w:rFonts w:ascii="Arial" w:hAnsi="Arial" w:cs="Arial"/>
                <w:color w:val="000000"/>
                <w:sz w:val="16"/>
                <w:szCs w:val="16"/>
              </w:rPr>
            </w:pPr>
            <w:r>
              <w:rPr>
                <w:rFonts w:ascii="Arial" w:hAnsi="Arial" w:cs="Arial"/>
                <w:color w:val="000000"/>
                <w:sz w:val="16"/>
                <w:szCs w:val="16"/>
              </w:rPr>
              <w:t>59 150 402</w:t>
            </w:r>
          </w:p>
        </w:tc>
        <w:tc>
          <w:tcPr>
            <w:tcW w:w="136" w:type="pct"/>
            <w:shd w:val="clear" w:color="auto" w:fill="FFFFFF"/>
          </w:tcPr>
          <w:p w14:paraId="23B9B064" w14:textId="77777777" w:rsidR="004E3242" w:rsidRPr="00D74A58" w:rsidRDefault="004E3242" w:rsidP="004E3242">
            <w:pPr>
              <w:suppressAutoHyphens/>
              <w:spacing w:before="60" w:after="60" w:line="240" w:lineRule="auto"/>
              <w:jc w:val="center"/>
              <w:rPr>
                <w:rFonts w:ascii="Arial" w:hAnsi="Arial" w:cs="Arial"/>
                <w:sz w:val="16"/>
                <w:szCs w:val="16"/>
              </w:rPr>
            </w:pPr>
          </w:p>
        </w:tc>
        <w:tc>
          <w:tcPr>
            <w:tcW w:w="270" w:type="pct"/>
            <w:shd w:val="clear" w:color="auto" w:fill="F2F2F2"/>
            <w:vAlign w:val="center"/>
          </w:tcPr>
          <w:p w14:paraId="25B0BDED" w14:textId="77777777" w:rsidR="004E3242" w:rsidRPr="00D74A58" w:rsidRDefault="004E3242" w:rsidP="004E3242">
            <w:pPr>
              <w:suppressAutoHyphens/>
              <w:spacing w:before="60" w:after="60" w:line="240" w:lineRule="auto"/>
              <w:jc w:val="center"/>
              <w:rPr>
                <w:rFonts w:ascii="Arial" w:hAnsi="Arial" w:cs="Arial"/>
                <w:sz w:val="16"/>
                <w:szCs w:val="16"/>
              </w:rPr>
            </w:pPr>
            <w:r w:rsidRPr="00D74A58">
              <w:rPr>
                <w:rFonts w:ascii="Arial" w:hAnsi="Arial" w:cs="Arial"/>
                <w:sz w:val="16"/>
                <w:szCs w:val="16"/>
              </w:rPr>
              <w:t>07</w:t>
            </w:r>
          </w:p>
        </w:tc>
        <w:tc>
          <w:tcPr>
            <w:tcW w:w="452" w:type="pct"/>
            <w:shd w:val="clear" w:color="auto" w:fill="F2F2F2"/>
            <w:vAlign w:val="center"/>
          </w:tcPr>
          <w:p w14:paraId="0872FF86" w14:textId="77777777" w:rsidR="004E3242" w:rsidRPr="00D74A58" w:rsidRDefault="00EC66DD" w:rsidP="008A1F02">
            <w:pPr>
              <w:spacing w:after="0" w:line="240" w:lineRule="auto"/>
              <w:jc w:val="center"/>
              <w:rPr>
                <w:rFonts w:ascii="Arial" w:hAnsi="Arial" w:cs="Arial"/>
                <w:color w:val="000000"/>
                <w:sz w:val="16"/>
                <w:szCs w:val="16"/>
              </w:rPr>
            </w:pPr>
            <w:r w:rsidRPr="00EC66DD">
              <w:rPr>
                <w:rFonts w:ascii="Arial" w:hAnsi="Arial" w:cs="Arial"/>
                <w:color w:val="000000"/>
                <w:sz w:val="16"/>
                <w:szCs w:val="16"/>
              </w:rPr>
              <w:t>2 783 616 58</w:t>
            </w:r>
            <w:r w:rsidR="00FC4C2E">
              <w:rPr>
                <w:rFonts w:ascii="Arial" w:hAnsi="Arial" w:cs="Arial"/>
                <w:color w:val="000000"/>
                <w:sz w:val="16"/>
                <w:szCs w:val="16"/>
              </w:rPr>
              <w:t>8</w:t>
            </w:r>
          </w:p>
        </w:tc>
        <w:tc>
          <w:tcPr>
            <w:tcW w:w="409" w:type="pct"/>
            <w:shd w:val="clear" w:color="auto" w:fill="F2F2F2"/>
            <w:vAlign w:val="center"/>
          </w:tcPr>
          <w:p w14:paraId="3EC163AA" w14:textId="77777777" w:rsidR="004E3242" w:rsidRPr="00D74A58" w:rsidRDefault="00162B63" w:rsidP="00162B63">
            <w:pPr>
              <w:spacing w:before="60" w:after="60"/>
              <w:jc w:val="center"/>
              <w:rPr>
                <w:rFonts w:ascii="Arial" w:hAnsi="Arial" w:cs="Arial"/>
                <w:color w:val="000000"/>
                <w:sz w:val="16"/>
                <w:szCs w:val="16"/>
              </w:rPr>
            </w:pPr>
            <w:r>
              <w:rPr>
                <w:rFonts w:ascii="Arial" w:hAnsi="Arial" w:cs="Arial"/>
                <w:color w:val="000000"/>
                <w:sz w:val="16"/>
                <w:szCs w:val="16"/>
              </w:rPr>
              <w:t>59 150 402</w:t>
            </w:r>
          </w:p>
        </w:tc>
        <w:tc>
          <w:tcPr>
            <w:tcW w:w="137" w:type="pct"/>
            <w:shd w:val="clear" w:color="auto" w:fill="FFFFFF"/>
          </w:tcPr>
          <w:p w14:paraId="1C193C23" w14:textId="77777777" w:rsidR="004E3242" w:rsidRPr="00D74A58" w:rsidRDefault="004E3242" w:rsidP="004E3242">
            <w:pPr>
              <w:suppressAutoHyphens/>
              <w:spacing w:before="60" w:after="60" w:line="240" w:lineRule="auto"/>
              <w:jc w:val="center"/>
              <w:rPr>
                <w:rFonts w:ascii="Arial" w:hAnsi="Arial" w:cs="Arial"/>
                <w:sz w:val="16"/>
                <w:szCs w:val="16"/>
              </w:rPr>
            </w:pPr>
          </w:p>
        </w:tc>
        <w:tc>
          <w:tcPr>
            <w:tcW w:w="316" w:type="pct"/>
            <w:shd w:val="clear" w:color="auto" w:fill="F2F2F2"/>
            <w:vAlign w:val="center"/>
          </w:tcPr>
          <w:p w14:paraId="0F24DA38" w14:textId="77777777" w:rsidR="004E3242" w:rsidRPr="00D74A58" w:rsidRDefault="004E3242" w:rsidP="004E3242">
            <w:pPr>
              <w:suppressAutoHyphens/>
              <w:spacing w:before="60" w:after="60" w:line="240" w:lineRule="auto"/>
              <w:jc w:val="center"/>
              <w:rPr>
                <w:rFonts w:ascii="Arial" w:hAnsi="Arial" w:cs="Arial"/>
                <w:sz w:val="16"/>
                <w:szCs w:val="16"/>
              </w:rPr>
            </w:pPr>
            <w:r w:rsidRPr="00D74A58">
              <w:rPr>
                <w:rFonts w:ascii="Arial" w:hAnsi="Arial" w:cs="Arial"/>
                <w:sz w:val="16"/>
                <w:szCs w:val="16"/>
              </w:rPr>
              <w:t>07</w:t>
            </w:r>
          </w:p>
        </w:tc>
        <w:tc>
          <w:tcPr>
            <w:tcW w:w="515" w:type="pct"/>
            <w:gridSpan w:val="2"/>
            <w:shd w:val="clear" w:color="auto" w:fill="F2F2F2"/>
            <w:vAlign w:val="center"/>
          </w:tcPr>
          <w:p w14:paraId="13D43F1C" w14:textId="77777777" w:rsidR="004E3242" w:rsidRPr="00D74A58" w:rsidRDefault="00EC66DD" w:rsidP="008A1F02">
            <w:pPr>
              <w:spacing w:after="0" w:line="240" w:lineRule="auto"/>
              <w:jc w:val="center"/>
              <w:rPr>
                <w:rFonts w:ascii="Arial" w:hAnsi="Arial" w:cs="Arial"/>
                <w:color w:val="000000"/>
                <w:sz w:val="16"/>
                <w:szCs w:val="16"/>
              </w:rPr>
            </w:pPr>
            <w:r w:rsidRPr="00EC66DD">
              <w:rPr>
                <w:rFonts w:ascii="Arial" w:hAnsi="Arial" w:cs="Arial"/>
                <w:color w:val="000000"/>
                <w:sz w:val="16"/>
                <w:szCs w:val="16"/>
              </w:rPr>
              <w:t>2 783 616 58</w:t>
            </w:r>
            <w:r w:rsidR="00FC4C2E">
              <w:rPr>
                <w:rFonts w:ascii="Arial" w:hAnsi="Arial" w:cs="Arial"/>
                <w:color w:val="000000"/>
                <w:sz w:val="16"/>
                <w:szCs w:val="16"/>
              </w:rPr>
              <w:t>8</w:t>
            </w:r>
          </w:p>
        </w:tc>
        <w:tc>
          <w:tcPr>
            <w:tcW w:w="388" w:type="pct"/>
            <w:shd w:val="clear" w:color="auto" w:fill="F2F2F2"/>
            <w:vAlign w:val="center"/>
          </w:tcPr>
          <w:p w14:paraId="5085C174" w14:textId="77777777" w:rsidR="004E3242" w:rsidRPr="00162B63" w:rsidRDefault="00162B63" w:rsidP="00162B63">
            <w:pPr>
              <w:spacing w:before="60" w:after="60"/>
              <w:jc w:val="center"/>
              <w:rPr>
                <w:rFonts w:ascii="Arial" w:hAnsi="Arial" w:cs="Arial"/>
                <w:color w:val="000000"/>
                <w:sz w:val="16"/>
                <w:szCs w:val="16"/>
              </w:rPr>
            </w:pPr>
            <w:r>
              <w:rPr>
                <w:rFonts w:ascii="Arial" w:hAnsi="Arial" w:cs="Arial"/>
                <w:color w:val="000000"/>
                <w:sz w:val="16"/>
                <w:szCs w:val="16"/>
              </w:rPr>
              <w:t>59 150 402</w:t>
            </w:r>
          </w:p>
        </w:tc>
      </w:tr>
      <w:tr w:rsidR="004E3242" w:rsidRPr="004E3242" w14:paraId="36D5CA33" w14:textId="77777777" w:rsidTr="0062616D">
        <w:tc>
          <w:tcPr>
            <w:tcW w:w="265" w:type="pct"/>
            <w:shd w:val="clear" w:color="auto" w:fill="F2F2F2"/>
            <w:vAlign w:val="center"/>
          </w:tcPr>
          <w:p w14:paraId="6B73EFB4" w14:textId="77777777" w:rsidR="004E3242" w:rsidRPr="004E3242" w:rsidRDefault="004E3242" w:rsidP="004E3242">
            <w:pPr>
              <w:spacing w:before="60" w:after="60"/>
              <w:jc w:val="center"/>
              <w:rPr>
                <w:rFonts w:ascii="Arial" w:hAnsi="Arial" w:cs="Arial"/>
                <w:color w:val="000000"/>
                <w:sz w:val="16"/>
                <w:szCs w:val="16"/>
              </w:rPr>
            </w:pPr>
            <w:r w:rsidRPr="004E3242">
              <w:rPr>
                <w:rFonts w:ascii="Arial" w:hAnsi="Arial" w:cs="Arial"/>
                <w:color w:val="000000"/>
                <w:sz w:val="16"/>
                <w:szCs w:val="16"/>
              </w:rPr>
              <w:t>029</w:t>
            </w:r>
          </w:p>
        </w:tc>
        <w:tc>
          <w:tcPr>
            <w:tcW w:w="444" w:type="pct"/>
            <w:shd w:val="clear" w:color="auto" w:fill="F2F2F2"/>
            <w:vAlign w:val="center"/>
          </w:tcPr>
          <w:p w14:paraId="59BFC360" w14:textId="77777777" w:rsidR="004E3242" w:rsidRPr="004E3242" w:rsidRDefault="00DC0A92" w:rsidP="00652C56">
            <w:pPr>
              <w:spacing w:before="60" w:after="60"/>
              <w:jc w:val="center"/>
              <w:rPr>
                <w:rFonts w:ascii="Arial" w:hAnsi="Arial" w:cs="Arial"/>
                <w:color w:val="000000"/>
                <w:sz w:val="16"/>
                <w:szCs w:val="16"/>
              </w:rPr>
            </w:pPr>
            <w:r w:rsidRPr="00DC0A92">
              <w:rPr>
                <w:rFonts w:ascii="Arial" w:hAnsi="Arial" w:cs="Arial"/>
                <w:color w:val="000000"/>
                <w:sz w:val="16"/>
                <w:szCs w:val="16"/>
              </w:rPr>
              <w:t>312 190 725</w:t>
            </w:r>
          </w:p>
        </w:tc>
        <w:tc>
          <w:tcPr>
            <w:tcW w:w="406" w:type="pct"/>
            <w:shd w:val="clear" w:color="auto" w:fill="F2F2F2"/>
            <w:vAlign w:val="center"/>
          </w:tcPr>
          <w:p w14:paraId="2CB724CD"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w:t>
            </w:r>
          </w:p>
        </w:tc>
        <w:tc>
          <w:tcPr>
            <w:tcW w:w="136" w:type="pct"/>
            <w:shd w:val="clear" w:color="auto" w:fill="FFFFFF"/>
          </w:tcPr>
          <w:p w14:paraId="090B87AB" w14:textId="77777777" w:rsidR="004E3242" w:rsidRPr="004E3242" w:rsidRDefault="004E3242" w:rsidP="004E3242">
            <w:pPr>
              <w:spacing w:before="60" w:after="60"/>
              <w:jc w:val="center"/>
              <w:rPr>
                <w:rFonts w:ascii="Arial" w:hAnsi="Arial" w:cs="Arial"/>
                <w:b/>
                <w:color w:val="FFFFFF"/>
                <w:sz w:val="16"/>
                <w:szCs w:val="16"/>
              </w:rPr>
            </w:pPr>
          </w:p>
        </w:tc>
        <w:tc>
          <w:tcPr>
            <w:tcW w:w="270" w:type="pct"/>
            <w:shd w:val="clear" w:color="auto" w:fill="D6E3BC"/>
            <w:vAlign w:val="center"/>
          </w:tcPr>
          <w:p w14:paraId="1A6071A2"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Razem</w:t>
            </w:r>
          </w:p>
        </w:tc>
        <w:tc>
          <w:tcPr>
            <w:tcW w:w="450" w:type="pct"/>
            <w:gridSpan w:val="2"/>
            <w:shd w:val="clear" w:color="auto" w:fill="D6E3BC"/>
            <w:vAlign w:val="center"/>
          </w:tcPr>
          <w:p w14:paraId="00F40469" w14:textId="77777777" w:rsidR="004E3242" w:rsidRPr="00D74A58" w:rsidRDefault="00EC66DD" w:rsidP="008A1F02">
            <w:pPr>
              <w:spacing w:after="0" w:line="240" w:lineRule="auto"/>
              <w:jc w:val="center"/>
              <w:rPr>
                <w:rFonts w:ascii="Arial" w:hAnsi="Arial" w:cs="Arial"/>
                <w:color w:val="000000"/>
                <w:sz w:val="16"/>
                <w:szCs w:val="16"/>
              </w:rPr>
            </w:pPr>
            <w:r w:rsidRPr="00EC66DD">
              <w:rPr>
                <w:rFonts w:ascii="Arial" w:hAnsi="Arial" w:cs="Arial"/>
                <w:color w:val="000000"/>
                <w:sz w:val="16"/>
                <w:szCs w:val="16"/>
              </w:rPr>
              <w:t>2 783 616 58</w:t>
            </w:r>
            <w:r w:rsidR="00FC4C2E">
              <w:rPr>
                <w:rFonts w:ascii="Arial" w:hAnsi="Arial" w:cs="Arial"/>
                <w:color w:val="000000"/>
                <w:sz w:val="16"/>
                <w:szCs w:val="16"/>
              </w:rPr>
              <w:t>8</w:t>
            </w:r>
          </w:p>
        </w:tc>
        <w:tc>
          <w:tcPr>
            <w:tcW w:w="406" w:type="pct"/>
            <w:shd w:val="clear" w:color="auto" w:fill="D6E3BC"/>
            <w:vAlign w:val="center"/>
          </w:tcPr>
          <w:p w14:paraId="2C59D83C" w14:textId="77777777" w:rsidR="004E3242" w:rsidRPr="00D74A58" w:rsidRDefault="00162B63" w:rsidP="00162B63">
            <w:pPr>
              <w:spacing w:before="60" w:after="60"/>
              <w:jc w:val="center"/>
              <w:rPr>
                <w:rFonts w:ascii="Arial" w:hAnsi="Arial" w:cs="Arial"/>
                <w:sz w:val="16"/>
                <w:szCs w:val="16"/>
              </w:rPr>
            </w:pPr>
            <w:r>
              <w:rPr>
                <w:rFonts w:ascii="Arial" w:hAnsi="Arial" w:cs="Arial"/>
                <w:sz w:val="16"/>
                <w:szCs w:val="16"/>
              </w:rPr>
              <w:t>59 150 402</w:t>
            </w:r>
          </w:p>
        </w:tc>
        <w:tc>
          <w:tcPr>
            <w:tcW w:w="136" w:type="pct"/>
            <w:shd w:val="clear" w:color="auto" w:fill="FFFFFF"/>
          </w:tcPr>
          <w:p w14:paraId="0DC93018" w14:textId="77777777" w:rsidR="004E3242" w:rsidRPr="00D74A58" w:rsidRDefault="004E3242" w:rsidP="004E3242">
            <w:pPr>
              <w:spacing w:before="60" w:after="60"/>
              <w:jc w:val="center"/>
              <w:rPr>
                <w:rFonts w:ascii="Arial" w:hAnsi="Arial" w:cs="Arial"/>
                <w:color w:val="FFFFFF"/>
                <w:sz w:val="16"/>
                <w:szCs w:val="16"/>
              </w:rPr>
            </w:pPr>
          </w:p>
        </w:tc>
        <w:tc>
          <w:tcPr>
            <w:tcW w:w="270" w:type="pct"/>
            <w:shd w:val="clear" w:color="auto" w:fill="D6E3BC"/>
            <w:vAlign w:val="center"/>
          </w:tcPr>
          <w:p w14:paraId="7A46D3D5" w14:textId="77777777" w:rsidR="004E3242" w:rsidRPr="00D74A58" w:rsidRDefault="004E3242" w:rsidP="004E3242">
            <w:pPr>
              <w:spacing w:before="60" w:after="60"/>
              <w:jc w:val="center"/>
              <w:rPr>
                <w:rFonts w:ascii="Arial" w:hAnsi="Arial" w:cs="Arial"/>
                <w:sz w:val="16"/>
                <w:szCs w:val="16"/>
              </w:rPr>
            </w:pPr>
            <w:r w:rsidRPr="00D74A58">
              <w:rPr>
                <w:rFonts w:ascii="Arial" w:hAnsi="Arial" w:cs="Arial"/>
                <w:sz w:val="16"/>
                <w:szCs w:val="16"/>
              </w:rPr>
              <w:t>Razem</w:t>
            </w:r>
          </w:p>
        </w:tc>
        <w:tc>
          <w:tcPr>
            <w:tcW w:w="452" w:type="pct"/>
            <w:shd w:val="clear" w:color="auto" w:fill="D6E3BC"/>
            <w:vAlign w:val="center"/>
          </w:tcPr>
          <w:p w14:paraId="0A39830A" w14:textId="77777777" w:rsidR="004E3242" w:rsidRPr="00D74A58" w:rsidRDefault="00EC66DD" w:rsidP="008A1F02">
            <w:pPr>
              <w:spacing w:after="0" w:line="240" w:lineRule="auto"/>
              <w:jc w:val="center"/>
              <w:rPr>
                <w:rFonts w:ascii="Arial" w:hAnsi="Arial" w:cs="Arial"/>
                <w:color w:val="000000"/>
                <w:sz w:val="16"/>
                <w:szCs w:val="16"/>
              </w:rPr>
            </w:pPr>
            <w:r w:rsidRPr="00EC66DD">
              <w:rPr>
                <w:rFonts w:ascii="Arial" w:hAnsi="Arial" w:cs="Arial"/>
                <w:color w:val="000000"/>
                <w:sz w:val="16"/>
                <w:szCs w:val="16"/>
              </w:rPr>
              <w:t>2 783 616 58</w:t>
            </w:r>
            <w:r w:rsidR="00FC4C2E">
              <w:rPr>
                <w:rFonts w:ascii="Arial" w:hAnsi="Arial" w:cs="Arial"/>
                <w:color w:val="000000"/>
                <w:sz w:val="16"/>
                <w:szCs w:val="16"/>
              </w:rPr>
              <w:t>8</w:t>
            </w:r>
          </w:p>
        </w:tc>
        <w:tc>
          <w:tcPr>
            <w:tcW w:w="409" w:type="pct"/>
            <w:shd w:val="clear" w:color="auto" w:fill="D6E3BC"/>
            <w:vAlign w:val="center"/>
          </w:tcPr>
          <w:p w14:paraId="5B64BAAC" w14:textId="77777777" w:rsidR="004E3242" w:rsidRPr="00D74A58" w:rsidRDefault="00162B63" w:rsidP="00162B63">
            <w:pPr>
              <w:spacing w:before="60" w:after="60"/>
              <w:jc w:val="center"/>
              <w:rPr>
                <w:rFonts w:ascii="Arial" w:hAnsi="Arial" w:cs="Arial"/>
                <w:sz w:val="16"/>
                <w:szCs w:val="16"/>
              </w:rPr>
            </w:pPr>
            <w:r>
              <w:rPr>
                <w:rFonts w:ascii="Arial" w:hAnsi="Arial" w:cs="Arial"/>
                <w:sz w:val="16"/>
                <w:szCs w:val="16"/>
              </w:rPr>
              <w:t>59 150 402</w:t>
            </w:r>
          </w:p>
        </w:tc>
        <w:tc>
          <w:tcPr>
            <w:tcW w:w="137" w:type="pct"/>
            <w:shd w:val="clear" w:color="auto" w:fill="FFFFFF"/>
          </w:tcPr>
          <w:p w14:paraId="425A407C" w14:textId="77777777" w:rsidR="004E3242" w:rsidRPr="00D74A58" w:rsidRDefault="004E3242" w:rsidP="004E3242">
            <w:pPr>
              <w:spacing w:before="60" w:after="60"/>
              <w:jc w:val="center"/>
              <w:rPr>
                <w:rFonts w:ascii="Arial" w:hAnsi="Arial" w:cs="Arial"/>
                <w:color w:val="FFFFFF"/>
                <w:sz w:val="16"/>
                <w:szCs w:val="16"/>
              </w:rPr>
            </w:pPr>
          </w:p>
        </w:tc>
        <w:tc>
          <w:tcPr>
            <w:tcW w:w="316" w:type="pct"/>
            <w:shd w:val="clear" w:color="auto" w:fill="D6E3BC"/>
            <w:vAlign w:val="center"/>
          </w:tcPr>
          <w:p w14:paraId="1B68B362" w14:textId="77777777" w:rsidR="004E3242" w:rsidRPr="00D74A58" w:rsidRDefault="004E3242" w:rsidP="004E3242">
            <w:pPr>
              <w:spacing w:before="60" w:after="60"/>
              <w:jc w:val="center"/>
              <w:rPr>
                <w:rFonts w:ascii="Arial" w:hAnsi="Arial" w:cs="Arial"/>
                <w:sz w:val="16"/>
                <w:szCs w:val="16"/>
              </w:rPr>
            </w:pPr>
            <w:r w:rsidRPr="00D74A58">
              <w:rPr>
                <w:rFonts w:ascii="Arial" w:hAnsi="Arial" w:cs="Arial"/>
                <w:sz w:val="16"/>
                <w:szCs w:val="16"/>
              </w:rPr>
              <w:t>Razem</w:t>
            </w:r>
          </w:p>
        </w:tc>
        <w:tc>
          <w:tcPr>
            <w:tcW w:w="515" w:type="pct"/>
            <w:gridSpan w:val="2"/>
            <w:shd w:val="clear" w:color="auto" w:fill="D6E3BC"/>
            <w:vAlign w:val="center"/>
          </w:tcPr>
          <w:p w14:paraId="1AB68461" w14:textId="77777777" w:rsidR="004E3242" w:rsidRPr="00D74A58" w:rsidRDefault="00EC66DD" w:rsidP="008A1F02">
            <w:pPr>
              <w:spacing w:after="0" w:line="240" w:lineRule="auto"/>
              <w:jc w:val="center"/>
              <w:rPr>
                <w:rFonts w:ascii="Arial" w:hAnsi="Arial" w:cs="Arial"/>
                <w:color w:val="000000"/>
                <w:sz w:val="16"/>
                <w:szCs w:val="16"/>
              </w:rPr>
            </w:pPr>
            <w:r w:rsidRPr="00EC66DD">
              <w:rPr>
                <w:rFonts w:ascii="Arial" w:hAnsi="Arial" w:cs="Arial"/>
                <w:color w:val="000000"/>
                <w:sz w:val="16"/>
                <w:szCs w:val="16"/>
              </w:rPr>
              <w:t>2 783 616 58</w:t>
            </w:r>
            <w:r w:rsidR="00FC4C2E">
              <w:rPr>
                <w:rFonts w:ascii="Arial" w:hAnsi="Arial" w:cs="Arial"/>
                <w:color w:val="000000"/>
                <w:sz w:val="16"/>
                <w:szCs w:val="16"/>
              </w:rPr>
              <w:t>8</w:t>
            </w:r>
          </w:p>
        </w:tc>
        <w:tc>
          <w:tcPr>
            <w:tcW w:w="388" w:type="pct"/>
            <w:shd w:val="clear" w:color="auto" w:fill="D6E3BC"/>
            <w:vAlign w:val="center"/>
          </w:tcPr>
          <w:p w14:paraId="6701458B" w14:textId="77777777" w:rsidR="004E3242" w:rsidRPr="004E3242" w:rsidRDefault="00162B63" w:rsidP="00162B63">
            <w:pPr>
              <w:spacing w:before="60" w:after="60"/>
              <w:jc w:val="center"/>
              <w:rPr>
                <w:rFonts w:ascii="Arial" w:hAnsi="Arial" w:cs="Arial"/>
                <w:sz w:val="16"/>
                <w:szCs w:val="16"/>
              </w:rPr>
            </w:pPr>
            <w:r>
              <w:rPr>
                <w:rFonts w:ascii="Arial" w:hAnsi="Arial" w:cs="Arial"/>
                <w:sz w:val="16"/>
                <w:szCs w:val="16"/>
              </w:rPr>
              <w:t>59 150 402</w:t>
            </w:r>
          </w:p>
        </w:tc>
      </w:tr>
      <w:tr w:rsidR="004E3242" w:rsidRPr="004E3242" w14:paraId="7F7291EF" w14:textId="77777777" w:rsidTr="0062616D">
        <w:trPr>
          <w:trHeight w:val="242"/>
        </w:trPr>
        <w:tc>
          <w:tcPr>
            <w:tcW w:w="265" w:type="pct"/>
            <w:shd w:val="clear" w:color="auto" w:fill="F2F2F2"/>
            <w:vAlign w:val="center"/>
          </w:tcPr>
          <w:p w14:paraId="42BAE529" w14:textId="77777777" w:rsidR="004E3242" w:rsidRPr="004E3242" w:rsidRDefault="004E3242" w:rsidP="004E3242">
            <w:pPr>
              <w:spacing w:before="60" w:after="60"/>
              <w:jc w:val="center"/>
              <w:rPr>
                <w:rFonts w:ascii="Arial" w:hAnsi="Arial" w:cs="Arial"/>
                <w:color w:val="000000"/>
                <w:sz w:val="16"/>
                <w:szCs w:val="16"/>
              </w:rPr>
            </w:pPr>
            <w:r w:rsidRPr="004E3242">
              <w:rPr>
                <w:rFonts w:ascii="Arial" w:hAnsi="Arial" w:cs="Arial"/>
                <w:color w:val="000000"/>
                <w:sz w:val="16"/>
                <w:szCs w:val="16"/>
              </w:rPr>
              <w:t>030</w:t>
            </w:r>
          </w:p>
        </w:tc>
        <w:tc>
          <w:tcPr>
            <w:tcW w:w="444" w:type="pct"/>
            <w:shd w:val="clear" w:color="auto" w:fill="F2F2F2"/>
            <w:vAlign w:val="center"/>
          </w:tcPr>
          <w:p w14:paraId="16F63F8C" w14:textId="77777777" w:rsidR="004E3242" w:rsidRPr="004E3242" w:rsidRDefault="00DC0A92" w:rsidP="00652C56">
            <w:pPr>
              <w:spacing w:before="60" w:after="60"/>
              <w:jc w:val="center"/>
              <w:rPr>
                <w:rFonts w:ascii="Arial" w:hAnsi="Arial" w:cs="Arial"/>
                <w:color w:val="000000"/>
                <w:sz w:val="16"/>
                <w:szCs w:val="16"/>
              </w:rPr>
            </w:pPr>
            <w:r w:rsidRPr="00DC0A92">
              <w:rPr>
                <w:rFonts w:ascii="Arial" w:hAnsi="Arial" w:cs="Arial"/>
                <w:color w:val="000000"/>
                <w:sz w:val="16"/>
                <w:szCs w:val="16"/>
              </w:rPr>
              <w:t>1 153 015 05</w:t>
            </w:r>
            <w:r w:rsidR="00D44868">
              <w:rPr>
                <w:rFonts w:ascii="Arial" w:hAnsi="Arial" w:cs="Arial"/>
                <w:color w:val="000000"/>
                <w:sz w:val="16"/>
                <w:szCs w:val="16"/>
              </w:rPr>
              <w:t>5</w:t>
            </w:r>
          </w:p>
        </w:tc>
        <w:tc>
          <w:tcPr>
            <w:tcW w:w="406" w:type="pct"/>
            <w:shd w:val="clear" w:color="auto" w:fill="F2F2F2"/>
            <w:vAlign w:val="center"/>
          </w:tcPr>
          <w:p w14:paraId="7FF095AD" w14:textId="77777777" w:rsidR="004E3242" w:rsidRPr="004E3242" w:rsidRDefault="00162B63" w:rsidP="00162B63">
            <w:pPr>
              <w:spacing w:before="60" w:after="60"/>
              <w:jc w:val="center"/>
              <w:rPr>
                <w:rFonts w:ascii="Arial" w:hAnsi="Arial" w:cs="Arial"/>
                <w:sz w:val="16"/>
                <w:szCs w:val="16"/>
              </w:rPr>
            </w:pPr>
            <w:r>
              <w:rPr>
                <w:rFonts w:ascii="Arial" w:hAnsi="Arial" w:cs="Arial"/>
                <w:sz w:val="16"/>
                <w:szCs w:val="16"/>
              </w:rPr>
              <w:t>59 150 402</w:t>
            </w:r>
          </w:p>
        </w:tc>
        <w:tc>
          <w:tcPr>
            <w:tcW w:w="136" w:type="pct"/>
            <w:shd w:val="clear" w:color="auto" w:fill="FFFFFF"/>
          </w:tcPr>
          <w:p w14:paraId="4BAB1A6A" w14:textId="77777777" w:rsidR="004E3242" w:rsidRPr="004E3242" w:rsidRDefault="004E3242" w:rsidP="004E3242">
            <w:pPr>
              <w:spacing w:before="60" w:after="60"/>
              <w:jc w:val="center"/>
              <w:rPr>
                <w:rFonts w:ascii="Arial" w:hAnsi="Arial" w:cs="Arial"/>
                <w:sz w:val="16"/>
                <w:szCs w:val="16"/>
              </w:rPr>
            </w:pPr>
          </w:p>
        </w:tc>
        <w:tc>
          <w:tcPr>
            <w:tcW w:w="292" w:type="pct"/>
            <w:gridSpan w:val="2"/>
            <w:shd w:val="clear" w:color="auto" w:fill="FFFFFF"/>
          </w:tcPr>
          <w:p w14:paraId="7E21250D" w14:textId="77777777" w:rsidR="004E3242" w:rsidRPr="004E3242" w:rsidRDefault="004E3242" w:rsidP="004E3242">
            <w:pPr>
              <w:spacing w:before="60" w:after="60"/>
              <w:jc w:val="center"/>
              <w:rPr>
                <w:rFonts w:ascii="Arial" w:hAnsi="Arial" w:cs="Arial"/>
                <w:sz w:val="16"/>
                <w:szCs w:val="16"/>
              </w:rPr>
            </w:pPr>
          </w:p>
        </w:tc>
        <w:tc>
          <w:tcPr>
            <w:tcW w:w="835" w:type="pct"/>
            <w:gridSpan w:val="2"/>
            <w:shd w:val="clear" w:color="auto" w:fill="FFFFFF"/>
          </w:tcPr>
          <w:p w14:paraId="58976E0A" w14:textId="77777777" w:rsidR="004E3242" w:rsidRPr="004E3242" w:rsidRDefault="004E3242" w:rsidP="004E3242">
            <w:pPr>
              <w:spacing w:before="60" w:after="60"/>
              <w:jc w:val="center"/>
              <w:rPr>
                <w:rFonts w:ascii="Arial" w:hAnsi="Arial" w:cs="Arial"/>
                <w:sz w:val="16"/>
                <w:szCs w:val="16"/>
              </w:rPr>
            </w:pPr>
          </w:p>
        </w:tc>
        <w:tc>
          <w:tcPr>
            <w:tcW w:w="2622" w:type="pct"/>
            <w:gridSpan w:val="9"/>
            <w:vMerge w:val="restart"/>
            <w:shd w:val="clear" w:color="auto" w:fill="FFFFFF"/>
            <w:vAlign w:val="center"/>
          </w:tcPr>
          <w:p w14:paraId="44655B76" w14:textId="77777777" w:rsidR="004E3242" w:rsidRPr="004E3242" w:rsidRDefault="004E3242" w:rsidP="004E3242">
            <w:pPr>
              <w:spacing w:before="60" w:after="60"/>
              <w:jc w:val="center"/>
              <w:rPr>
                <w:rFonts w:ascii="Arial" w:hAnsi="Arial" w:cs="Arial"/>
                <w:sz w:val="16"/>
                <w:szCs w:val="16"/>
              </w:rPr>
            </w:pPr>
          </w:p>
        </w:tc>
      </w:tr>
      <w:tr w:rsidR="004E3242" w:rsidRPr="004E3242" w14:paraId="16E55332" w14:textId="77777777" w:rsidTr="0062616D">
        <w:tc>
          <w:tcPr>
            <w:tcW w:w="265" w:type="pct"/>
            <w:shd w:val="clear" w:color="auto" w:fill="F2F2F2"/>
            <w:vAlign w:val="center"/>
          </w:tcPr>
          <w:p w14:paraId="69557662" w14:textId="77777777" w:rsidR="004E3242" w:rsidRPr="004E3242" w:rsidRDefault="004E3242" w:rsidP="004E3242">
            <w:pPr>
              <w:spacing w:before="60" w:after="60"/>
              <w:jc w:val="center"/>
              <w:rPr>
                <w:rFonts w:ascii="Arial" w:hAnsi="Arial" w:cs="Arial"/>
                <w:color w:val="000000"/>
                <w:sz w:val="16"/>
                <w:szCs w:val="16"/>
              </w:rPr>
            </w:pPr>
            <w:r w:rsidRPr="004E3242">
              <w:rPr>
                <w:rFonts w:ascii="Arial" w:hAnsi="Arial" w:cs="Arial"/>
                <w:color w:val="000000"/>
                <w:sz w:val="16"/>
                <w:szCs w:val="16"/>
              </w:rPr>
              <w:t>033</w:t>
            </w:r>
          </w:p>
        </w:tc>
        <w:tc>
          <w:tcPr>
            <w:tcW w:w="444" w:type="pct"/>
            <w:shd w:val="clear" w:color="auto" w:fill="F2F2F2"/>
            <w:vAlign w:val="center"/>
          </w:tcPr>
          <w:p w14:paraId="0EAB717C" w14:textId="77777777" w:rsidR="004E3242" w:rsidRPr="004E3242" w:rsidRDefault="00DC0A92" w:rsidP="00652C56">
            <w:pPr>
              <w:spacing w:before="60" w:after="60"/>
              <w:jc w:val="center"/>
              <w:rPr>
                <w:rFonts w:ascii="Arial" w:hAnsi="Arial" w:cs="Arial"/>
                <w:color w:val="000000"/>
                <w:sz w:val="16"/>
                <w:szCs w:val="16"/>
              </w:rPr>
            </w:pPr>
            <w:r w:rsidRPr="00DC0A92">
              <w:rPr>
                <w:rFonts w:ascii="Arial" w:hAnsi="Arial" w:cs="Arial"/>
                <w:color w:val="000000"/>
                <w:sz w:val="16"/>
                <w:szCs w:val="16"/>
              </w:rPr>
              <w:t>335 953 175</w:t>
            </w:r>
          </w:p>
        </w:tc>
        <w:tc>
          <w:tcPr>
            <w:tcW w:w="406" w:type="pct"/>
            <w:shd w:val="clear" w:color="auto" w:fill="F2F2F2"/>
            <w:vAlign w:val="center"/>
          </w:tcPr>
          <w:p w14:paraId="622D5A64" w14:textId="77777777" w:rsidR="004E3242" w:rsidRPr="004E3242" w:rsidRDefault="004E3242" w:rsidP="004E3242">
            <w:pPr>
              <w:spacing w:before="60" w:after="60"/>
              <w:jc w:val="center"/>
              <w:rPr>
                <w:rFonts w:ascii="Arial" w:hAnsi="Arial" w:cs="Arial"/>
                <w:color w:val="000000"/>
                <w:sz w:val="16"/>
                <w:szCs w:val="16"/>
              </w:rPr>
            </w:pPr>
            <w:r w:rsidRPr="004E3242">
              <w:rPr>
                <w:rFonts w:ascii="Arial" w:hAnsi="Arial" w:cs="Arial"/>
                <w:color w:val="000000"/>
                <w:sz w:val="16"/>
                <w:szCs w:val="16"/>
              </w:rPr>
              <w:t>-</w:t>
            </w:r>
          </w:p>
        </w:tc>
        <w:tc>
          <w:tcPr>
            <w:tcW w:w="136" w:type="pct"/>
            <w:shd w:val="clear" w:color="auto" w:fill="FFFFFF"/>
          </w:tcPr>
          <w:p w14:paraId="00F19EF3" w14:textId="77777777" w:rsidR="004E3242" w:rsidRPr="004E3242" w:rsidRDefault="004E3242" w:rsidP="004E3242">
            <w:pPr>
              <w:spacing w:before="60" w:after="60"/>
              <w:jc w:val="center"/>
              <w:rPr>
                <w:rFonts w:ascii="Arial" w:hAnsi="Arial" w:cs="Arial"/>
                <w:sz w:val="16"/>
                <w:szCs w:val="16"/>
              </w:rPr>
            </w:pPr>
          </w:p>
        </w:tc>
        <w:tc>
          <w:tcPr>
            <w:tcW w:w="292" w:type="pct"/>
            <w:gridSpan w:val="2"/>
            <w:shd w:val="clear" w:color="auto" w:fill="FFFFFF"/>
          </w:tcPr>
          <w:p w14:paraId="506B83FA" w14:textId="77777777" w:rsidR="004E3242" w:rsidRPr="004E3242" w:rsidRDefault="004E3242" w:rsidP="004E3242">
            <w:pPr>
              <w:spacing w:before="60" w:after="60"/>
              <w:jc w:val="center"/>
              <w:rPr>
                <w:rFonts w:ascii="Arial" w:hAnsi="Arial" w:cs="Arial"/>
                <w:sz w:val="16"/>
                <w:szCs w:val="16"/>
              </w:rPr>
            </w:pPr>
          </w:p>
        </w:tc>
        <w:tc>
          <w:tcPr>
            <w:tcW w:w="835" w:type="pct"/>
            <w:gridSpan w:val="2"/>
            <w:shd w:val="clear" w:color="auto" w:fill="FFFFFF"/>
          </w:tcPr>
          <w:p w14:paraId="47B2F466" w14:textId="77777777" w:rsidR="004E3242" w:rsidRPr="004E3242" w:rsidRDefault="004E3242" w:rsidP="004E3242">
            <w:pPr>
              <w:spacing w:before="60" w:after="60"/>
              <w:jc w:val="center"/>
              <w:rPr>
                <w:rFonts w:ascii="Arial" w:hAnsi="Arial" w:cs="Arial"/>
                <w:sz w:val="16"/>
                <w:szCs w:val="16"/>
              </w:rPr>
            </w:pPr>
          </w:p>
        </w:tc>
        <w:tc>
          <w:tcPr>
            <w:tcW w:w="2622" w:type="pct"/>
            <w:gridSpan w:val="9"/>
            <w:vMerge/>
            <w:shd w:val="clear" w:color="auto" w:fill="FFFFFF"/>
            <w:vAlign w:val="center"/>
          </w:tcPr>
          <w:p w14:paraId="3756C58C" w14:textId="77777777" w:rsidR="004E3242" w:rsidRPr="004E3242" w:rsidRDefault="004E3242" w:rsidP="004E3242">
            <w:pPr>
              <w:spacing w:before="60" w:after="60"/>
              <w:jc w:val="center"/>
              <w:rPr>
                <w:rFonts w:ascii="Arial" w:hAnsi="Arial" w:cs="Arial"/>
                <w:sz w:val="16"/>
                <w:szCs w:val="16"/>
              </w:rPr>
            </w:pPr>
          </w:p>
        </w:tc>
      </w:tr>
      <w:tr w:rsidR="004E3242" w:rsidRPr="004E3242" w14:paraId="79848FBF" w14:textId="77777777" w:rsidTr="0062616D">
        <w:tc>
          <w:tcPr>
            <w:tcW w:w="265" w:type="pct"/>
            <w:shd w:val="clear" w:color="auto" w:fill="F2F2F2"/>
            <w:vAlign w:val="center"/>
          </w:tcPr>
          <w:p w14:paraId="76B555A4" w14:textId="77777777" w:rsidR="004E3242" w:rsidRPr="004E3242" w:rsidRDefault="004E3242" w:rsidP="004E3242">
            <w:pPr>
              <w:spacing w:before="60" w:after="60"/>
              <w:jc w:val="center"/>
              <w:rPr>
                <w:rFonts w:ascii="Arial" w:hAnsi="Arial" w:cs="Arial"/>
                <w:color w:val="000000"/>
                <w:sz w:val="16"/>
                <w:szCs w:val="16"/>
              </w:rPr>
            </w:pPr>
            <w:r w:rsidRPr="004E3242">
              <w:rPr>
                <w:rFonts w:ascii="Arial" w:hAnsi="Arial" w:cs="Arial"/>
                <w:color w:val="000000"/>
                <w:sz w:val="16"/>
                <w:szCs w:val="16"/>
              </w:rPr>
              <w:t>034</w:t>
            </w:r>
          </w:p>
        </w:tc>
        <w:tc>
          <w:tcPr>
            <w:tcW w:w="444" w:type="pct"/>
            <w:shd w:val="clear" w:color="auto" w:fill="F2F2F2"/>
            <w:vAlign w:val="center"/>
          </w:tcPr>
          <w:p w14:paraId="25A3626D" w14:textId="77777777" w:rsidR="004E3242" w:rsidRPr="004E3242" w:rsidRDefault="00DC0A92" w:rsidP="00652C56">
            <w:pPr>
              <w:spacing w:before="60" w:after="60"/>
              <w:jc w:val="center"/>
              <w:rPr>
                <w:rFonts w:ascii="Arial" w:hAnsi="Arial" w:cs="Arial"/>
                <w:color w:val="000000"/>
                <w:sz w:val="16"/>
                <w:szCs w:val="16"/>
              </w:rPr>
            </w:pPr>
            <w:r w:rsidRPr="00DC0A92">
              <w:rPr>
                <w:rFonts w:ascii="Arial" w:hAnsi="Arial" w:cs="Arial"/>
                <w:color w:val="000000"/>
                <w:sz w:val="16"/>
                <w:szCs w:val="16"/>
              </w:rPr>
              <w:t>503 929 762</w:t>
            </w:r>
          </w:p>
        </w:tc>
        <w:tc>
          <w:tcPr>
            <w:tcW w:w="406" w:type="pct"/>
            <w:shd w:val="clear" w:color="auto" w:fill="F2F2F2"/>
            <w:vAlign w:val="center"/>
          </w:tcPr>
          <w:p w14:paraId="0803AE2B" w14:textId="77777777" w:rsidR="004E3242" w:rsidRPr="004E3242" w:rsidRDefault="004E3242" w:rsidP="004E3242">
            <w:pPr>
              <w:spacing w:before="60" w:after="60"/>
              <w:jc w:val="center"/>
              <w:rPr>
                <w:rFonts w:ascii="Arial" w:hAnsi="Arial" w:cs="Arial"/>
                <w:color w:val="000000"/>
                <w:sz w:val="16"/>
                <w:szCs w:val="16"/>
              </w:rPr>
            </w:pPr>
            <w:r w:rsidRPr="004E3242">
              <w:rPr>
                <w:rFonts w:ascii="Arial" w:hAnsi="Arial" w:cs="Arial"/>
                <w:color w:val="000000"/>
                <w:sz w:val="16"/>
                <w:szCs w:val="16"/>
              </w:rPr>
              <w:t>-</w:t>
            </w:r>
          </w:p>
        </w:tc>
        <w:tc>
          <w:tcPr>
            <w:tcW w:w="136" w:type="pct"/>
            <w:shd w:val="clear" w:color="auto" w:fill="FFFFFF"/>
          </w:tcPr>
          <w:p w14:paraId="103D4E70" w14:textId="77777777" w:rsidR="004E3242" w:rsidRPr="004E3242" w:rsidRDefault="004E3242" w:rsidP="004E3242">
            <w:pPr>
              <w:spacing w:before="60" w:after="60"/>
              <w:jc w:val="center"/>
              <w:rPr>
                <w:rFonts w:ascii="Arial" w:hAnsi="Arial" w:cs="Arial"/>
                <w:sz w:val="16"/>
                <w:szCs w:val="16"/>
              </w:rPr>
            </w:pPr>
          </w:p>
        </w:tc>
        <w:tc>
          <w:tcPr>
            <w:tcW w:w="292" w:type="pct"/>
            <w:gridSpan w:val="2"/>
            <w:shd w:val="clear" w:color="auto" w:fill="FFFFFF"/>
          </w:tcPr>
          <w:p w14:paraId="1AF6D59D" w14:textId="77777777" w:rsidR="004E3242" w:rsidRPr="004E3242" w:rsidRDefault="004E3242" w:rsidP="004E3242">
            <w:pPr>
              <w:spacing w:before="60" w:after="60"/>
              <w:jc w:val="center"/>
              <w:rPr>
                <w:rFonts w:ascii="Arial" w:hAnsi="Arial" w:cs="Arial"/>
                <w:sz w:val="16"/>
                <w:szCs w:val="16"/>
              </w:rPr>
            </w:pPr>
          </w:p>
        </w:tc>
        <w:tc>
          <w:tcPr>
            <w:tcW w:w="835" w:type="pct"/>
            <w:gridSpan w:val="2"/>
            <w:shd w:val="clear" w:color="auto" w:fill="FFFFFF"/>
          </w:tcPr>
          <w:p w14:paraId="0A6DA0FC" w14:textId="77777777" w:rsidR="004E3242" w:rsidRPr="004E3242" w:rsidRDefault="004E3242" w:rsidP="004E3242">
            <w:pPr>
              <w:spacing w:before="60" w:after="60"/>
              <w:jc w:val="center"/>
              <w:rPr>
                <w:rFonts w:ascii="Arial" w:hAnsi="Arial" w:cs="Arial"/>
                <w:sz w:val="16"/>
                <w:szCs w:val="16"/>
              </w:rPr>
            </w:pPr>
          </w:p>
        </w:tc>
        <w:tc>
          <w:tcPr>
            <w:tcW w:w="2622" w:type="pct"/>
            <w:gridSpan w:val="9"/>
            <w:vMerge/>
            <w:shd w:val="clear" w:color="auto" w:fill="FFFFFF"/>
            <w:vAlign w:val="center"/>
          </w:tcPr>
          <w:p w14:paraId="2AC598D3" w14:textId="77777777" w:rsidR="004E3242" w:rsidRPr="004E3242" w:rsidRDefault="004E3242" w:rsidP="004E3242">
            <w:pPr>
              <w:spacing w:before="60" w:after="60"/>
              <w:jc w:val="center"/>
              <w:rPr>
                <w:rFonts w:ascii="Arial" w:hAnsi="Arial" w:cs="Arial"/>
                <w:sz w:val="16"/>
                <w:szCs w:val="16"/>
              </w:rPr>
            </w:pPr>
          </w:p>
        </w:tc>
      </w:tr>
      <w:tr w:rsidR="004E3242" w:rsidRPr="004E3242" w14:paraId="08633AF8" w14:textId="77777777" w:rsidTr="0062616D">
        <w:tc>
          <w:tcPr>
            <w:tcW w:w="265" w:type="pct"/>
            <w:shd w:val="clear" w:color="auto" w:fill="D6E3BC"/>
            <w:vAlign w:val="center"/>
          </w:tcPr>
          <w:p w14:paraId="6D8B7BF5" w14:textId="77777777" w:rsidR="004E3242" w:rsidRPr="004E3242" w:rsidRDefault="004E3242" w:rsidP="004E3242">
            <w:pPr>
              <w:spacing w:before="60" w:after="60"/>
              <w:jc w:val="center"/>
              <w:rPr>
                <w:rFonts w:ascii="Arial" w:hAnsi="Arial" w:cs="Arial"/>
                <w:sz w:val="16"/>
                <w:szCs w:val="16"/>
              </w:rPr>
            </w:pPr>
            <w:r w:rsidRPr="004E3242">
              <w:rPr>
                <w:rFonts w:ascii="Arial" w:hAnsi="Arial" w:cs="Arial"/>
                <w:sz w:val="16"/>
                <w:szCs w:val="16"/>
              </w:rPr>
              <w:t>Razem</w:t>
            </w:r>
          </w:p>
        </w:tc>
        <w:tc>
          <w:tcPr>
            <w:tcW w:w="444" w:type="pct"/>
            <w:shd w:val="clear" w:color="auto" w:fill="D6E3BC"/>
            <w:vAlign w:val="center"/>
          </w:tcPr>
          <w:p w14:paraId="1B1F63A9" w14:textId="77777777" w:rsidR="004E3242" w:rsidRPr="00EC66DD" w:rsidRDefault="00EC66DD" w:rsidP="00652C56">
            <w:pPr>
              <w:spacing w:after="0" w:line="240" w:lineRule="auto"/>
              <w:jc w:val="center"/>
              <w:rPr>
                <w:rFonts w:ascii="Arial" w:hAnsi="Arial" w:cs="Arial"/>
                <w:color w:val="000000"/>
                <w:sz w:val="16"/>
                <w:szCs w:val="16"/>
              </w:rPr>
            </w:pPr>
            <w:r w:rsidRPr="00EC66DD">
              <w:rPr>
                <w:rFonts w:ascii="Arial" w:hAnsi="Arial" w:cs="Arial"/>
                <w:color w:val="000000"/>
                <w:sz w:val="16"/>
                <w:szCs w:val="16"/>
              </w:rPr>
              <w:t>2 783 616</w:t>
            </w:r>
            <w:r w:rsidR="00162B63">
              <w:rPr>
                <w:rFonts w:ascii="Arial" w:hAnsi="Arial" w:cs="Arial"/>
                <w:color w:val="000000"/>
                <w:sz w:val="16"/>
                <w:szCs w:val="16"/>
              </w:rPr>
              <w:t> </w:t>
            </w:r>
            <w:r w:rsidRPr="00EC66DD">
              <w:rPr>
                <w:rFonts w:ascii="Arial" w:hAnsi="Arial" w:cs="Arial"/>
                <w:color w:val="000000"/>
                <w:sz w:val="16"/>
                <w:szCs w:val="16"/>
              </w:rPr>
              <w:t>58</w:t>
            </w:r>
            <w:r w:rsidR="00FC4C2E">
              <w:rPr>
                <w:rFonts w:ascii="Arial" w:hAnsi="Arial" w:cs="Arial"/>
                <w:color w:val="000000"/>
                <w:sz w:val="16"/>
                <w:szCs w:val="16"/>
              </w:rPr>
              <w:t>8</w:t>
            </w:r>
          </w:p>
        </w:tc>
        <w:tc>
          <w:tcPr>
            <w:tcW w:w="406" w:type="pct"/>
            <w:shd w:val="clear" w:color="auto" w:fill="D6E3BC"/>
            <w:vAlign w:val="center"/>
          </w:tcPr>
          <w:p w14:paraId="1E3F1566" w14:textId="77777777" w:rsidR="004E3242" w:rsidRPr="004E3242" w:rsidRDefault="00162B63" w:rsidP="00162B63">
            <w:pPr>
              <w:spacing w:before="60" w:after="60"/>
              <w:rPr>
                <w:rFonts w:ascii="Arial" w:hAnsi="Arial" w:cs="Arial"/>
                <w:sz w:val="16"/>
                <w:szCs w:val="16"/>
              </w:rPr>
            </w:pPr>
            <w:r>
              <w:rPr>
                <w:rFonts w:ascii="Arial" w:hAnsi="Arial" w:cs="Arial"/>
                <w:sz w:val="16"/>
                <w:szCs w:val="16"/>
              </w:rPr>
              <w:t>59 150 402</w:t>
            </w:r>
          </w:p>
        </w:tc>
        <w:tc>
          <w:tcPr>
            <w:tcW w:w="136" w:type="pct"/>
            <w:shd w:val="clear" w:color="auto" w:fill="FFFFFF"/>
          </w:tcPr>
          <w:p w14:paraId="7524BD13" w14:textId="77777777" w:rsidR="004E3242" w:rsidRPr="004E3242" w:rsidRDefault="004E3242" w:rsidP="004E3242">
            <w:pPr>
              <w:spacing w:before="60" w:after="60"/>
              <w:jc w:val="center"/>
              <w:rPr>
                <w:rFonts w:ascii="Arial" w:hAnsi="Arial" w:cs="Arial"/>
                <w:sz w:val="16"/>
                <w:szCs w:val="16"/>
              </w:rPr>
            </w:pPr>
          </w:p>
        </w:tc>
        <w:tc>
          <w:tcPr>
            <w:tcW w:w="292" w:type="pct"/>
            <w:gridSpan w:val="2"/>
            <w:shd w:val="clear" w:color="auto" w:fill="FFFFFF"/>
          </w:tcPr>
          <w:p w14:paraId="1D7665A2" w14:textId="77777777" w:rsidR="004E3242" w:rsidRPr="004E3242" w:rsidRDefault="004E3242" w:rsidP="004E3242">
            <w:pPr>
              <w:spacing w:before="60" w:after="60"/>
              <w:jc w:val="center"/>
              <w:rPr>
                <w:rFonts w:ascii="Arial" w:hAnsi="Arial" w:cs="Arial"/>
                <w:sz w:val="16"/>
                <w:szCs w:val="16"/>
              </w:rPr>
            </w:pPr>
          </w:p>
        </w:tc>
        <w:tc>
          <w:tcPr>
            <w:tcW w:w="835" w:type="pct"/>
            <w:gridSpan w:val="2"/>
            <w:shd w:val="clear" w:color="auto" w:fill="FFFFFF"/>
          </w:tcPr>
          <w:p w14:paraId="6225C8B3" w14:textId="77777777" w:rsidR="004E3242" w:rsidRPr="004E3242" w:rsidRDefault="004E3242" w:rsidP="004E3242">
            <w:pPr>
              <w:spacing w:before="60" w:after="60"/>
              <w:jc w:val="center"/>
              <w:rPr>
                <w:rFonts w:ascii="Arial" w:hAnsi="Arial" w:cs="Arial"/>
                <w:sz w:val="16"/>
                <w:szCs w:val="16"/>
              </w:rPr>
            </w:pPr>
          </w:p>
        </w:tc>
        <w:tc>
          <w:tcPr>
            <w:tcW w:w="2622" w:type="pct"/>
            <w:gridSpan w:val="9"/>
            <w:vMerge/>
            <w:shd w:val="clear" w:color="auto" w:fill="FFFFFF"/>
            <w:vAlign w:val="center"/>
          </w:tcPr>
          <w:p w14:paraId="5E91547D" w14:textId="77777777" w:rsidR="004E3242" w:rsidRPr="004E3242" w:rsidRDefault="004E3242" w:rsidP="004E3242">
            <w:pPr>
              <w:spacing w:before="60" w:after="60"/>
              <w:jc w:val="center"/>
              <w:rPr>
                <w:rFonts w:ascii="Arial" w:hAnsi="Arial" w:cs="Arial"/>
                <w:sz w:val="16"/>
                <w:szCs w:val="16"/>
              </w:rPr>
            </w:pPr>
          </w:p>
        </w:tc>
      </w:tr>
    </w:tbl>
    <w:p w14:paraId="61DA03B9" w14:textId="77777777" w:rsidR="004E3242" w:rsidRPr="004E3242" w:rsidRDefault="004E3242" w:rsidP="004E3242">
      <w:pPr>
        <w:spacing w:before="120" w:after="120"/>
        <w:jc w:val="both"/>
        <w:rPr>
          <w:rFonts w:ascii="Arial" w:eastAsia="Arial Unicode MS" w:hAnsi="Arial" w:cs="Arial"/>
          <w:spacing w:val="4"/>
          <w:sz w:val="20"/>
          <w:szCs w:val="20"/>
          <w:lang w:eastAsia="pl-PL"/>
        </w:rPr>
      </w:pPr>
    </w:p>
    <w:p w14:paraId="03CDC2ED" w14:textId="77777777" w:rsidR="00C20C54" w:rsidRDefault="00C20C54" w:rsidP="004E3242">
      <w:pPr>
        <w:spacing w:before="120" w:after="120"/>
        <w:jc w:val="both"/>
        <w:rPr>
          <w:rFonts w:ascii="Arial" w:eastAsia="Arial Unicode MS" w:hAnsi="Arial" w:cs="Arial"/>
          <w:spacing w:val="4"/>
          <w:sz w:val="20"/>
          <w:szCs w:val="20"/>
          <w:lang w:eastAsia="pl-PL"/>
        </w:rPr>
        <w:sectPr w:rsidR="00C20C54" w:rsidSect="00C73ABE">
          <w:pgSz w:w="16838" w:h="11906" w:orient="landscape"/>
          <w:pgMar w:top="1418" w:right="1418" w:bottom="1418" w:left="1418" w:header="709" w:footer="709" w:gutter="0"/>
          <w:cols w:space="708"/>
          <w:titlePg/>
          <w:docGrid w:linePitch="360"/>
        </w:sectPr>
      </w:pPr>
    </w:p>
    <w:p w14:paraId="07BBB519" w14:textId="77777777" w:rsidR="004E3242" w:rsidRPr="004E3242" w:rsidRDefault="004E3242" w:rsidP="004E3242">
      <w:pPr>
        <w:spacing w:before="120" w:after="120"/>
        <w:jc w:val="both"/>
        <w:rPr>
          <w:rFonts w:ascii="Arial" w:eastAsia="Arial Unicode MS" w:hAnsi="Arial" w:cs="Arial"/>
          <w:spacing w:val="4"/>
          <w:sz w:val="20"/>
          <w:szCs w:val="20"/>
          <w:lang w:eastAsia="pl-PL"/>
        </w:rPr>
      </w:pPr>
    </w:p>
    <w:p w14:paraId="471F3FFF" w14:textId="77777777" w:rsidR="004E3242" w:rsidRPr="004E3242" w:rsidRDefault="004E3242" w:rsidP="004E3242">
      <w:pPr>
        <w:numPr>
          <w:ilvl w:val="2"/>
          <w:numId w:val="3"/>
        </w:numPr>
        <w:shd w:val="clear" w:color="auto" w:fill="D6E3BC"/>
        <w:spacing w:before="240" w:after="240"/>
        <w:jc w:val="both"/>
        <w:outlineLvl w:val="2"/>
        <w:rPr>
          <w:rFonts w:ascii="Arial" w:hAnsi="Arial"/>
          <w:smallCaps/>
          <w:color w:val="000000"/>
          <w:spacing w:val="15"/>
          <w:sz w:val="24"/>
          <w:szCs w:val="24"/>
          <w:u w:color="A8C743"/>
          <w:lang w:eastAsia="pl-PL"/>
        </w:rPr>
      </w:pPr>
      <w:bookmarkStart w:id="402" w:name="_Toc83810566"/>
      <w:r w:rsidRPr="004E3242">
        <w:rPr>
          <w:rFonts w:ascii="Arial" w:hAnsi="Arial"/>
          <w:smallCaps/>
          <w:color w:val="000000"/>
          <w:spacing w:val="15"/>
          <w:sz w:val="24"/>
          <w:szCs w:val="24"/>
          <w:u w:color="A8C743"/>
          <w:lang w:eastAsia="pl-PL"/>
        </w:rPr>
        <w:t xml:space="preserve">Oś priorytetowa V: Rozwój transportu kolejowego </w:t>
      </w:r>
      <w:r w:rsidRPr="004E3242">
        <w:rPr>
          <w:rFonts w:ascii="Arial" w:hAnsi="Arial"/>
          <w:smallCaps/>
          <w:color w:val="000000"/>
          <w:spacing w:val="15"/>
          <w:sz w:val="24"/>
          <w:szCs w:val="24"/>
          <w:u w:color="A8C743"/>
          <w:lang w:eastAsia="pl-PL"/>
        </w:rPr>
        <w:br/>
        <w:t>w Polsce</w:t>
      </w:r>
      <w:bookmarkEnd w:id="402"/>
    </w:p>
    <w:p w14:paraId="14E6F128"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Dana oś priorytetowa przeznaczona jest do finansowania wyłącznie z jednego funduszu (Fundusz Spójności). Z tego względu nie wyodrębnia się kategorii regionów, pomimo że swoim zasięgiem obejmuje cały kraj. Jednocześnie jest ona dedykowana wyłącznie jednemu celowi tematycznemu 7.</w:t>
      </w:r>
    </w:p>
    <w:p w14:paraId="7ABE44FF"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7.i. Wspieranie multimodalnego jednolitego europejskiego obszaru transportu poprzez inwestycje w TEN-T</w:t>
      </w:r>
    </w:p>
    <w:p w14:paraId="7069F70D"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2C3796D9"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Lepszy stan połączeń kolejowych pomiędzy głównymi miastami Polski</w:t>
      </w:r>
    </w:p>
    <w:p w14:paraId="6BA2D6AD"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61128E80"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Rezultatem realizacji projektów w priorytecie inwestycyjnym będzie poprawa stanu połączeń kolejowych, która wpłynie na skrócenie czasu przejazdu koleją pomiędzy największymi miastami</w:t>
      </w:r>
    </w:p>
    <w:p w14:paraId="1FF1B4D2"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1842"/>
        <w:gridCol w:w="992"/>
        <w:gridCol w:w="994"/>
        <w:gridCol w:w="851"/>
        <w:gridCol w:w="851"/>
        <w:gridCol w:w="1044"/>
        <w:gridCol w:w="800"/>
        <w:gridCol w:w="1378"/>
      </w:tblGrid>
      <w:tr w:rsidR="004E3242" w:rsidRPr="004E3242" w14:paraId="6670D974" w14:textId="77777777" w:rsidTr="00AA7998">
        <w:tc>
          <w:tcPr>
            <w:tcW w:w="288" w:type="pct"/>
            <w:shd w:val="clear" w:color="auto" w:fill="99CC00"/>
            <w:vAlign w:val="center"/>
          </w:tcPr>
          <w:p w14:paraId="16B29A7B"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92" w:type="pct"/>
            <w:shd w:val="clear" w:color="auto" w:fill="99CC00"/>
            <w:vAlign w:val="center"/>
          </w:tcPr>
          <w:p w14:paraId="5CDD316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2CBC482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5" w:type="pct"/>
            <w:shd w:val="clear" w:color="auto" w:fill="99CC00"/>
            <w:vAlign w:val="center"/>
          </w:tcPr>
          <w:p w14:paraId="4E27F76C"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6E4BD77A"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6E965D14"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62" w:type="pct"/>
            <w:shd w:val="clear" w:color="auto" w:fill="99CC00"/>
            <w:vAlign w:val="center"/>
          </w:tcPr>
          <w:p w14:paraId="197DA88D"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31" w:type="pct"/>
            <w:shd w:val="clear" w:color="auto" w:fill="99CC00"/>
            <w:vAlign w:val="center"/>
          </w:tcPr>
          <w:p w14:paraId="04B7EC70"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2" w:type="pct"/>
            <w:shd w:val="clear" w:color="auto" w:fill="99CC00"/>
            <w:vAlign w:val="center"/>
          </w:tcPr>
          <w:p w14:paraId="1EF6358B"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2A57142" w14:textId="77777777" w:rsidTr="00AA7998">
        <w:tc>
          <w:tcPr>
            <w:tcW w:w="288" w:type="pct"/>
            <w:shd w:val="clear" w:color="auto" w:fill="F2F2F2"/>
            <w:vAlign w:val="center"/>
          </w:tcPr>
          <w:p w14:paraId="12532DA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992" w:type="pct"/>
            <w:shd w:val="clear" w:color="auto" w:fill="F2F2F2"/>
            <w:vAlign w:val="center"/>
          </w:tcPr>
          <w:p w14:paraId="1C0C2D53"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Skrócenie średniego czasu przejazdu koleją między ośrodkami wojewódzkimi</w:t>
            </w:r>
          </w:p>
        </w:tc>
        <w:tc>
          <w:tcPr>
            <w:tcW w:w="534" w:type="pct"/>
            <w:shd w:val="clear" w:color="auto" w:fill="F2F2F2"/>
            <w:vAlign w:val="center"/>
          </w:tcPr>
          <w:p w14:paraId="1A339D1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godziny</w:t>
            </w:r>
          </w:p>
        </w:tc>
        <w:tc>
          <w:tcPr>
            <w:tcW w:w="535" w:type="pct"/>
            <w:shd w:val="clear" w:color="auto" w:fill="F2F2F2"/>
            <w:vAlign w:val="center"/>
          </w:tcPr>
          <w:p w14:paraId="491DA62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117C5EF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5,5</w:t>
            </w:r>
            <w:r w:rsidRPr="004E3242">
              <w:rPr>
                <w:rFonts w:ascii="Arial" w:hAnsi="Arial" w:cs="Arial"/>
                <w:spacing w:val="4"/>
                <w:sz w:val="16"/>
                <w:szCs w:val="16"/>
                <w:vertAlign w:val="superscript"/>
              </w:rPr>
              <w:footnoteReference w:id="70"/>
            </w:r>
          </w:p>
        </w:tc>
        <w:tc>
          <w:tcPr>
            <w:tcW w:w="458" w:type="pct"/>
            <w:shd w:val="clear" w:color="auto" w:fill="F2F2F2"/>
            <w:vAlign w:val="center"/>
          </w:tcPr>
          <w:p w14:paraId="6B531A8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62" w:type="pct"/>
            <w:shd w:val="clear" w:color="auto" w:fill="F2F2F2"/>
            <w:vAlign w:val="center"/>
          </w:tcPr>
          <w:p w14:paraId="6E2E1BE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3,7</w:t>
            </w:r>
            <w:r w:rsidRPr="004E3242">
              <w:rPr>
                <w:rFonts w:ascii="Arial" w:hAnsi="Arial" w:cs="Arial"/>
                <w:spacing w:val="4"/>
                <w:sz w:val="16"/>
                <w:szCs w:val="16"/>
                <w:vertAlign w:val="superscript"/>
              </w:rPr>
              <w:footnoteReference w:id="71"/>
            </w:r>
          </w:p>
        </w:tc>
        <w:tc>
          <w:tcPr>
            <w:tcW w:w="431" w:type="pct"/>
            <w:shd w:val="clear" w:color="auto" w:fill="F2F2F2"/>
            <w:vAlign w:val="center"/>
          </w:tcPr>
          <w:p w14:paraId="79F1BC8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MIR</w:t>
            </w:r>
          </w:p>
        </w:tc>
        <w:tc>
          <w:tcPr>
            <w:tcW w:w="742" w:type="pct"/>
            <w:shd w:val="clear" w:color="auto" w:fill="F2F2F2"/>
            <w:vAlign w:val="center"/>
          </w:tcPr>
          <w:p w14:paraId="49DB06E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r w:rsidRPr="004E3242" w:rsidDel="006B0E68">
              <w:rPr>
                <w:rFonts w:ascii="Arial" w:hAnsi="Arial" w:cs="Arial"/>
                <w:spacing w:val="4"/>
                <w:sz w:val="16"/>
                <w:szCs w:val="16"/>
              </w:rPr>
              <w:t xml:space="preserve"> </w:t>
            </w:r>
          </w:p>
        </w:tc>
      </w:tr>
      <w:tr w:rsidR="004E3242" w:rsidRPr="004E3242" w14:paraId="5D8295A1" w14:textId="77777777" w:rsidTr="00AA7998">
        <w:tc>
          <w:tcPr>
            <w:tcW w:w="288" w:type="pct"/>
            <w:shd w:val="clear" w:color="auto" w:fill="F2F2F2"/>
            <w:vAlign w:val="center"/>
          </w:tcPr>
          <w:p w14:paraId="4FF6F5E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992" w:type="pct"/>
            <w:shd w:val="clear" w:color="auto" w:fill="F2F2F2"/>
            <w:vAlign w:val="center"/>
          </w:tcPr>
          <w:p w14:paraId="50445B62"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Wskaźnik Kolejowej Dostępności Transportowej WKDT II (syntetyczny) dla Polski</w:t>
            </w:r>
          </w:p>
        </w:tc>
        <w:tc>
          <w:tcPr>
            <w:tcW w:w="534" w:type="pct"/>
            <w:shd w:val="clear" w:color="auto" w:fill="F2F2F2"/>
            <w:vAlign w:val="center"/>
          </w:tcPr>
          <w:p w14:paraId="6972AED8"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n/d</w:t>
            </w:r>
          </w:p>
        </w:tc>
        <w:tc>
          <w:tcPr>
            <w:tcW w:w="535" w:type="pct"/>
            <w:shd w:val="clear" w:color="auto" w:fill="F2F2F2"/>
            <w:vAlign w:val="center"/>
          </w:tcPr>
          <w:p w14:paraId="6FAA720D"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78E657E7"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30,17</w:t>
            </w:r>
          </w:p>
        </w:tc>
        <w:tc>
          <w:tcPr>
            <w:tcW w:w="458" w:type="pct"/>
            <w:shd w:val="clear" w:color="auto" w:fill="F2F2F2"/>
            <w:vAlign w:val="center"/>
          </w:tcPr>
          <w:p w14:paraId="37C72A6F"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2013</w:t>
            </w:r>
          </w:p>
        </w:tc>
        <w:tc>
          <w:tcPr>
            <w:tcW w:w="562" w:type="pct"/>
            <w:shd w:val="clear" w:color="auto" w:fill="F2F2F2"/>
            <w:vAlign w:val="center"/>
          </w:tcPr>
          <w:p w14:paraId="6EB3C55B"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45,25</w:t>
            </w:r>
          </w:p>
        </w:tc>
        <w:tc>
          <w:tcPr>
            <w:tcW w:w="431" w:type="pct"/>
            <w:shd w:val="clear" w:color="auto" w:fill="F2F2F2"/>
            <w:vAlign w:val="center"/>
          </w:tcPr>
          <w:p w14:paraId="01A71685"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PAN (opracowanie dla MIR)</w:t>
            </w:r>
          </w:p>
        </w:tc>
        <w:tc>
          <w:tcPr>
            <w:tcW w:w="742" w:type="pct"/>
            <w:shd w:val="clear" w:color="auto" w:fill="F2F2F2"/>
            <w:vAlign w:val="center"/>
          </w:tcPr>
          <w:p w14:paraId="0217938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bl>
    <w:p w14:paraId="75B317B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72A0B67E"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Wzmocnienie roli transportu kolejowego w zintegrowanym systemie transportowym kraju wymagać będzie skoncentrowania interwencji na uzupełnianiu luk na głównych liniach (magistralach) kolejowych w TEN-T, w tym objętych umową AGTC, odcinkach łączących ważne ośrodki przemysłowe i gospodarcze i liniach stanowiących elementy połączeń portów morskich </w:t>
      </w:r>
      <w:r w:rsidRPr="004E3242">
        <w:rPr>
          <w:rFonts w:ascii="Arial" w:hAnsi="Arial" w:cs="Arial"/>
          <w:spacing w:val="4"/>
          <w:sz w:val="20"/>
          <w:szCs w:val="20"/>
          <w:lang w:eastAsia="pl-PL"/>
        </w:rPr>
        <w:br/>
        <w:t>z zapleczem gospodarczym w głębi kraju.</w:t>
      </w:r>
    </w:p>
    <w:p w14:paraId="1A85EDD9"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Interwencja ze środków UE</w:t>
      </w:r>
      <w:r w:rsidRPr="004E3242">
        <w:rPr>
          <w:rFonts w:ascii="Arial" w:hAnsi="Arial" w:cs="Arial"/>
          <w:spacing w:val="4"/>
          <w:sz w:val="20"/>
          <w:szCs w:val="20"/>
          <w:vertAlign w:val="superscript"/>
          <w:lang w:eastAsia="pl-PL"/>
        </w:rPr>
        <w:footnoteReference w:id="72"/>
      </w:r>
      <w:r w:rsidRPr="004E3242">
        <w:rPr>
          <w:rFonts w:ascii="Arial" w:hAnsi="Arial" w:cs="Arial"/>
          <w:spacing w:val="4"/>
          <w:sz w:val="20"/>
          <w:szCs w:val="20"/>
          <w:lang w:eastAsia="pl-PL"/>
        </w:rPr>
        <w:t xml:space="preserve"> będzie ukierunkowana przede wszystkim na główne korytarze kolejowe: E 20 / C-E 20, E 30 / C-E 30, C-E 59, C-E 65, E-59 i E-75. Inwestycje będą obejmować co do zasady modernizację</w:t>
      </w:r>
      <w:r w:rsidRPr="004E3242">
        <w:rPr>
          <w:rFonts w:ascii="Arial" w:hAnsi="Arial" w:cs="Arial"/>
          <w:spacing w:val="4"/>
          <w:sz w:val="20"/>
          <w:szCs w:val="20"/>
          <w:vertAlign w:val="superscript"/>
          <w:lang w:eastAsia="pl-PL"/>
        </w:rPr>
        <w:footnoteReference w:id="73"/>
      </w:r>
      <w:r w:rsidRPr="004E3242">
        <w:rPr>
          <w:rFonts w:ascii="Arial" w:hAnsi="Arial" w:cs="Arial"/>
          <w:spacing w:val="4"/>
          <w:sz w:val="20"/>
          <w:szCs w:val="20"/>
          <w:lang w:eastAsia="pl-PL"/>
        </w:rPr>
        <w:t xml:space="preserve"> i rehabilitację</w:t>
      </w:r>
      <w:r w:rsidRPr="004E3242">
        <w:rPr>
          <w:rFonts w:ascii="Arial" w:hAnsi="Arial" w:cs="Arial"/>
          <w:spacing w:val="4"/>
          <w:sz w:val="20"/>
          <w:szCs w:val="20"/>
          <w:vertAlign w:val="superscript"/>
          <w:lang w:eastAsia="pl-PL"/>
        </w:rPr>
        <w:footnoteReference w:id="74"/>
      </w:r>
      <w:r w:rsidRPr="004E3242">
        <w:rPr>
          <w:rFonts w:ascii="Arial" w:hAnsi="Arial" w:cs="Arial"/>
          <w:spacing w:val="4"/>
          <w:sz w:val="20"/>
          <w:szCs w:val="20"/>
          <w:lang w:eastAsia="pl-PL"/>
        </w:rPr>
        <w:t xml:space="preserve"> istniejących szlaków kolejowych w sieci TEN-T </w:t>
      </w:r>
      <w:r w:rsidRPr="004E3242">
        <w:rPr>
          <w:rFonts w:ascii="Arial" w:hAnsi="Arial" w:cs="Arial"/>
          <w:spacing w:val="4"/>
          <w:sz w:val="20"/>
          <w:szCs w:val="20"/>
          <w:lang w:eastAsia="pl-PL"/>
        </w:rPr>
        <w:lastRenderedPageBreak/>
        <w:t>służących do przewozów pasażerskich i towarowych, przy zapewnieniu pełnej zgodności prowadzonych działań z parametrami technicznymi wymaganymi dla infrastruktury kolejowej. Dodatkowo w ograniczonym zakresie przewiduje się również budowę wybranych krótkich odcinków linii. Nie planuje się natomiast projektów rewitalizacji linii kolejowych. Kolejowe inwestycje infrastrukturalne będą ukierunkowane również na poprawę dostępności portów lotniczych. Wybrane do dofinansowania projekty kolejowe, w zależności od uwarunkowań technicznych i realizacyjnych, będą posiadały komponent związany z montażem systemu ERTMS.</w:t>
      </w:r>
    </w:p>
    <w:p w14:paraId="1F024ADE"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Ograniczone wykorzystanie linii kolejowych do przewozu towarów wynika z niekonkurencyjności kosztowej (wysokie koszty prowadzenia ruchu) i czasowej (długi czas przewozu spowodowany niską prędkością handlową) względem transportu drogowego. Stąd w ramach modernizacji tras kolejowych większy niż dotychczas priorytet zostanie położony na liniach w znacznym stopniu wykorzystywanych do przewozu towarów, na których parametry techniczne (w tym </w:t>
      </w:r>
      <w:r w:rsidRPr="004E3242">
        <w:rPr>
          <w:rFonts w:ascii="Arial" w:hAnsi="Arial" w:cs="Arial"/>
          <w:spacing w:val="4"/>
          <w:sz w:val="20"/>
          <w:szCs w:val="20"/>
          <w:lang w:eastAsia="pl-PL"/>
        </w:rPr>
        <w:br/>
        <w:t xml:space="preserve">w szczególności prędkość, nośność, przepustowość i dopuszczalna długość składu) nie odpowiadają potrzebom współczesnych przewoźników – ukierunkowany przede wszystkim na potrzeby tych segmentów rynku przewozowego, w których transport kolejowy może odgrywać istotną rolę w średniej i dłuższej perspektywie czasu. Celem inwestycji będzie złagodzenie powyższych problemów poprzez działania na rzecz eliminacji „wąskich gardeł” – miejsc </w:t>
      </w:r>
      <w:r w:rsidRPr="004E3242">
        <w:rPr>
          <w:rFonts w:ascii="Arial" w:hAnsi="Arial" w:cs="Arial"/>
          <w:spacing w:val="4"/>
          <w:sz w:val="20"/>
          <w:szCs w:val="20"/>
          <w:lang w:eastAsia="pl-PL"/>
        </w:rPr>
        <w:br/>
        <w:t xml:space="preserve">o ograniczonej przepustowości i uzyskania stałych prędkości na długich odcinkach, w tym np. likwidację punktowych ograniczeń prędkości oraz instalację nowoczesnych urządzeń sterowania ruchem; umożliwienie przejazdu pociągów o maksymalnej długości (740 m), czy też likwidację odcinków i punktów o zmniejszonym dopuszczalnym nacisku osi. Interwencja będzie ukierunkowana przede wszystkim na priorytety realizacyjne związane z budową drugich torów na szlakach jednotorowych; separacją ruchu pasażerskiego aglomeracyjnego oraz dalekobieżnego </w:t>
      </w:r>
      <w:r w:rsidRPr="004E3242">
        <w:rPr>
          <w:rFonts w:ascii="Arial" w:hAnsi="Arial" w:cs="Arial"/>
          <w:spacing w:val="4"/>
          <w:sz w:val="20"/>
          <w:szCs w:val="20"/>
          <w:lang w:eastAsia="pl-PL"/>
        </w:rPr>
        <w:br/>
        <w:t>i towarowego; udrożnienie ciągów ułatwiających przejazd przez aglomeracje</w:t>
      </w:r>
      <w:r w:rsidRPr="004E3242">
        <w:rPr>
          <w:rFonts w:ascii="Arial" w:hAnsi="Arial" w:cs="Arial"/>
          <w:spacing w:val="4"/>
          <w:sz w:val="20"/>
          <w:szCs w:val="20"/>
          <w:vertAlign w:val="superscript"/>
          <w:lang w:eastAsia="pl-PL"/>
        </w:rPr>
        <w:footnoteReference w:id="75"/>
      </w:r>
      <w:r w:rsidRPr="004E3242">
        <w:rPr>
          <w:rFonts w:ascii="Arial" w:hAnsi="Arial" w:cs="Arial"/>
          <w:spacing w:val="4"/>
          <w:sz w:val="20"/>
          <w:szCs w:val="20"/>
          <w:lang w:eastAsia="pl-PL"/>
        </w:rPr>
        <w:t xml:space="preserve"> lub ich ominięcie; dostosowanie układów torowych stacji do przewidywanych potrzeb przewozowych oraz zabudowę nowoczesnych urządzeń sterowania ruchem kolejowym.</w:t>
      </w:r>
    </w:p>
    <w:p w14:paraId="35FEE07E"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Istotnym uzupełnieniem inwestycji na liniach kolejowych będą inwestycje mające na celu unowocześnienie (modernizacja i zakup) taboru kolejowego. Dofinansowany tabor będzie wykorzystywany na obszarze, który został wskazany w dokumentacji aplikacyjnej.</w:t>
      </w:r>
    </w:p>
    <w:p w14:paraId="0DF7244F" w14:textId="77777777" w:rsidR="004E3242" w:rsidRDefault="004E3242" w:rsidP="004E3242">
      <w:pPr>
        <w:autoSpaceDE w:val="0"/>
        <w:autoSpaceDN w:val="0"/>
        <w:adjustRightInd w:val="0"/>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Ponadto, w uzupełnieniu do podstawowych typów inwestycji związanych z modernizacją linii kolejowych i unowocześnieniem taboru kolejowego, realizowane będą także pozostałe prace związane z kompleksowym wsparciem dla systemu kolejowego. Będą one obejmowały budowę </w:t>
      </w:r>
      <w:r w:rsidRPr="004E3242">
        <w:rPr>
          <w:rFonts w:ascii="Arial" w:hAnsi="Arial" w:cs="Arial"/>
          <w:spacing w:val="4"/>
          <w:sz w:val="20"/>
          <w:szCs w:val="20"/>
          <w:lang w:eastAsia="pl-PL"/>
        </w:rPr>
        <w:br/>
        <w:t xml:space="preserve">i modernizację systemów zasilania trakcyjnego, sterowania ruchem kolejowym, inwestycje </w:t>
      </w:r>
      <w:r w:rsidRPr="004E3242">
        <w:rPr>
          <w:rFonts w:ascii="Arial" w:hAnsi="Arial" w:cs="Arial"/>
          <w:spacing w:val="4"/>
          <w:sz w:val="20"/>
          <w:szCs w:val="20"/>
          <w:lang w:eastAsia="pl-PL"/>
        </w:rPr>
        <w:br/>
        <w:t xml:space="preserve">w infrastrukturę systemów usprawniających zarządzanie przewozami pasażerskimi i towarowymi, w poprawę stanu technicznego obiektów inżynieryjnych oraz zakup specjalistycznego sprzętu technicznego. Kontynuowane będzie wprowadzanie na najważniejszych szlakach kolejowych Europejskiego Systemu Zarządzania Ruchem Kolejowym (ERTMS), a także projekty dotyczące likwidacji miejsc niebezpiecznych (m.in. poprawa stanu przejazdów kolejowych), </w:t>
      </w:r>
      <w:proofErr w:type="spellStart"/>
      <w:r w:rsidRPr="004E3242">
        <w:rPr>
          <w:rFonts w:ascii="Arial" w:hAnsi="Arial" w:cs="Arial"/>
          <w:spacing w:val="4"/>
          <w:sz w:val="20"/>
          <w:szCs w:val="20"/>
          <w:lang w:eastAsia="pl-PL"/>
        </w:rPr>
        <w:t>doposażające</w:t>
      </w:r>
      <w:proofErr w:type="spellEnd"/>
      <w:r w:rsidRPr="004E3242">
        <w:rPr>
          <w:rFonts w:ascii="Arial" w:hAnsi="Arial" w:cs="Arial"/>
          <w:spacing w:val="4"/>
          <w:sz w:val="20"/>
          <w:szCs w:val="20"/>
          <w:lang w:eastAsia="pl-PL"/>
        </w:rPr>
        <w:t xml:space="preserve"> służby ratownicze (ratownictwo techniczne), tworzenia centralnych systemów monitorowania bezpieczeństwa ruchu kolejowego oraz organizacji kampanii społecznych służących wzrostowi świadomości społecznej w zakresie unikania zagrożeń występujących przy prowadzeniu ruchu kolejowego. W ramach prac związanych z poprawą jakości świadczonych usług, kontynuowane będą inwestycje dotyczące modernizacji infrastruktury dworców i przystanków kolejowych oraz infrastruktury obsługi podróżnych (w tym dostosowanie do wymagań technicznych związanych </w:t>
      </w:r>
      <w:r w:rsidRPr="004E3242">
        <w:rPr>
          <w:rFonts w:ascii="Arial" w:hAnsi="Arial" w:cs="Arial"/>
          <w:spacing w:val="4"/>
          <w:sz w:val="20"/>
          <w:szCs w:val="20"/>
          <w:lang w:eastAsia="pl-PL"/>
        </w:rPr>
        <w:br/>
        <w:t xml:space="preserve">z obsługą osób z ograniczoną mobilnością), polegające na poprawie elementów infrastruktury i/lub montażu systemów służących poprawie jakości świadczonych usług, takich jak systemy </w:t>
      </w:r>
      <w:r w:rsidRPr="004E3242">
        <w:rPr>
          <w:rFonts w:ascii="Arial" w:hAnsi="Arial" w:cs="Arial"/>
          <w:spacing w:val="4"/>
          <w:sz w:val="20"/>
          <w:szCs w:val="20"/>
          <w:lang w:eastAsia="pl-PL"/>
        </w:rPr>
        <w:lastRenderedPageBreak/>
        <w:t xml:space="preserve">dynamicznej informacji pasażerskiej, zakupu biletów, przechowywania bagażu, systemy służące integracji z innymi rodzajami transportu i osiągnięciu multimodalności itp. </w:t>
      </w:r>
      <w:r w:rsidRPr="004E3242" w:rsidDel="006739F3">
        <w:rPr>
          <w:rFonts w:ascii="Arial" w:hAnsi="Arial" w:cs="Arial"/>
          <w:spacing w:val="4"/>
          <w:sz w:val="20"/>
          <w:szCs w:val="20"/>
          <w:lang w:eastAsia="pl-PL"/>
        </w:rPr>
        <w:t xml:space="preserve"> </w:t>
      </w:r>
    </w:p>
    <w:p w14:paraId="5D3898B4" w14:textId="77777777" w:rsidR="00DA7C14" w:rsidRPr="004E3242" w:rsidRDefault="001E5C55" w:rsidP="004E3242">
      <w:pPr>
        <w:autoSpaceDE w:val="0"/>
        <w:autoSpaceDN w:val="0"/>
        <w:adjustRightInd w:val="0"/>
        <w:spacing w:before="120" w:after="120"/>
        <w:jc w:val="both"/>
        <w:rPr>
          <w:rFonts w:ascii="Arial" w:hAnsi="Arial" w:cs="Arial"/>
          <w:spacing w:val="4"/>
          <w:sz w:val="20"/>
          <w:szCs w:val="20"/>
          <w:lang w:eastAsia="pl-PL"/>
        </w:rPr>
      </w:pPr>
      <w:r w:rsidRPr="001E5C55">
        <w:rPr>
          <w:rFonts w:ascii="Arial" w:hAnsi="Arial" w:cs="Arial"/>
          <w:spacing w:val="4"/>
          <w:sz w:val="20"/>
          <w:szCs w:val="20"/>
          <w:lang w:eastAsia="pl-PL"/>
        </w:rPr>
        <w:t>Ponadto wsparcie będą mogły uzyskać działania na rzecz przygotowania inwestycji poprzez dofinansowanie w ramach projektów przygotowawczych dokumentacji projektowej i przetargowej dla inwestycji infrastrukturalnych, realizowanych ze środków tego programu</w:t>
      </w:r>
      <w:r>
        <w:rPr>
          <w:rFonts w:ascii="Arial" w:hAnsi="Arial" w:cs="Arial"/>
          <w:spacing w:val="4"/>
          <w:sz w:val="20"/>
          <w:szCs w:val="20"/>
          <w:lang w:eastAsia="pl-PL"/>
        </w:rPr>
        <w:t xml:space="preserve"> </w:t>
      </w:r>
      <w:r w:rsidRPr="001E5C55">
        <w:rPr>
          <w:rFonts w:ascii="Arial" w:hAnsi="Arial" w:cs="Arial"/>
          <w:spacing w:val="4"/>
          <w:sz w:val="20"/>
          <w:szCs w:val="20"/>
          <w:lang w:eastAsia="pl-PL"/>
        </w:rPr>
        <w:t>lub programów operacyjnych polityki spójności realizowanych w okresie programowania następującym bezpośrednio po roku 2020 (projekty przygotowawcze). Dodatkowo, wsparcie będą mogły uzyskać projekty przygotowawcze dla inwestycji realizowanych w ramach instrumentu Łącząc Europę w obecnej lub przyszłej perspektywie finansowej, jeżeli z przyczyn faktycznych lub prawnych  inwestycje te nie będą mogły uzyskać dofinansowania z programów operacyjnych polityki spójności.</w:t>
      </w:r>
    </w:p>
    <w:p w14:paraId="5F471F75"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bCs/>
          <w:smallCaps/>
          <w:color w:val="669900"/>
          <w:spacing w:val="4"/>
          <w:sz w:val="20"/>
          <w:szCs w:val="20"/>
        </w:rPr>
        <w:t>Potencjalni beneficjenci oraz grupy docelowe</w:t>
      </w:r>
    </w:p>
    <w:p w14:paraId="468EC530"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sektorze kolejowym beneficjentami będą zarządcy infrastruktury kolejowej (w tym dworcowej) oraz przedsiębiorstwa kolejowych przewozów pasażerskich i towarowych, a także spółki powołane specjalnie w celu prowadzenia działalności polegającej na wynajmowaniu/leasingu taboru kolejowego (tzw. ROSCO – </w:t>
      </w:r>
      <w:r w:rsidRPr="004E3242">
        <w:rPr>
          <w:rFonts w:ascii="Arial" w:hAnsi="Arial" w:cs="Arial"/>
          <w:i/>
          <w:spacing w:val="4"/>
          <w:sz w:val="20"/>
          <w:szCs w:val="20"/>
        </w:rPr>
        <w:t xml:space="preserve">rolling </w:t>
      </w:r>
      <w:proofErr w:type="spellStart"/>
      <w:r w:rsidRPr="004E3242">
        <w:rPr>
          <w:rFonts w:ascii="Arial" w:hAnsi="Arial" w:cs="Arial"/>
          <w:i/>
          <w:spacing w:val="4"/>
          <w:sz w:val="20"/>
          <w:szCs w:val="20"/>
        </w:rPr>
        <w:t>stock</w:t>
      </w:r>
      <w:proofErr w:type="spellEnd"/>
      <w:r w:rsidRPr="004E3242">
        <w:rPr>
          <w:rFonts w:ascii="Arial" w:hAnsi="Arial" w:cs="Arial"/>
          <w:i/>
          <w:spacing w:val="4"/>
          <w:sz w:val="20"/>
          <w:szCs w:val="20"/>
        </w:rPr>
        <w:t xml:space="preserve"> leasing </w:t>
      </w:r>
      <w:proofErr w:type="spellStart"/>
      <w:r w:rsidRPr="004E3242">
        <w:rPr>
          <w:rFonts w:ascii="Arial" w:hAnsi="Arial" w:cs="Arial"/>
          <w:i/>
          <w:spacing w:val="4"/>
          <w:sz w:val="20"/>
          <w:szCs w:val="20"/>
        </w:rPr>
        <w:t>companies</w:t>
      </w:r>
      <w:proofErr w:type="spellEnd"/>
      <w:r w:rsidRPr="004E3242">
        <w:rPr>
          <w:rFonts w:ascii="Arial" w:hAnsi="Arial" w:cs="Arial"/>
          <w:spacing w:val="4"/>
          <w:sz w:val="20"/>
          <w:szCs w:val="20"/>
        </w:rPr>
        <w:t>) oraz samorządy terytorialne (infrastruktura dworcowa i tabor kolejowy). Ponadto, dla działań w zakresie poprawy bezpieczeństwa w transporcie kolejowym, beneficjentami będą służby ratownicze (ratownictwo techniczne) oraz właściwe organy administracji rządowej, podległe im urzędy i jednostki organizacyjne.</w:t>
      </w:r>
    </w:p>
    <w:p w14:paraId="6E2F9BA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Z uwagi na to, że interwencja będzie miała charakter horyzontalny i dotyczyła całego kraju grupami docelowymi wsparcia będą użytkownicy indywidualni i przedsiębiorcy korzystający </w:t>
      </w:r>
      <w:r w:rsidRPr="004E3242">
        <w:rPr>
          <w:rFonts w:ascii="Arial" w:hAnsi="Arial" w:cs="Arial"/>
          <w:spacing w:val="4"/>
          <w:sz w:val="20"/>
          <w:szCs w:val="20"/>
        </w:rPr>
        <w:br/>
        <w:t>z dofinansowanej środkami UE infrastruktury transportowej w sieci TEN-T.</w:t>
      </w:r>
    </w:p>
    <w:p w14:paraId="3374228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095C5CA6" w14:textId="77777777" w:rsidR="004E3242" w:rsidRPr="004E3242" w:rsidRDefault="004E3242" w:rsidP="004E3242">
      <w:pPr>
        <w:spacing w:before="120" w:after="120"/>
        <w:jc w:val="both"/>
        <w:rPr>
          <w:rFonts w:ascii="Arial" w:eastAsia="Arial Unicode MS" w:hAnsi="Arial" w:cs="Arial"/>
          <w:color w:val="000000"/>
          <w:spacing w:val="4"/>
          <w:sz w:val="20"/>
          <w:szCs w:val="20"/>
          <w:lang w:eastAsia="pl-PL"/>
        </w:rPr>
      </w:pPr>
      <w:r w:rsidRPr="004E3242">
        <w:rPr>
          <w:rFonts w:ascii="Arial" w:eastAsia="Arial Unicode MS" w:hAnsi="Arial" w:cs="Arial"/>
          <w:color w:val="000000"/>
          <w:spacing w:val="4"/>
          <w:sz w:val="20"/>
          <w:szCs w:val="20"/>
          <w:lang w:eastAsia="pl-PL"/>
        </w:rPr>
        <w:t>W zakresie modernizacji kolejowej sieci TEN-T wsparcie ma charakter horyzontalny i dotyczy całego kraju. Na obszarze Polski Wschodniej interwencja POIŚ dotycząca głównych magistral kolejowych będzie uzupełniana przez inwestycje na liniach kolejowych o znaczeniu makroregionalnym finansowanych w ramach PO Polska Wschodnia. W pierwszym rzędzie, w celu zapewnienia spójności krajowej sieci transportowej, wsparcie będzie skierowane do ciągów transportowych wymagających dokończenia inwestycji infrastrukturalnych podjętych w okresie 2007-2013. Budowa połączeń transportowych zwiększających dostępność do polskich ośrodków wzrostu, będzie wypełniała założenia Krajowej Polityki Miejskiej w zakresie wzmocnienia infrastruktury transportowej służącej poprawie możliwości rozwojowych miast w relacjach krajowych oraz europejskich.</w:t>
      </w:r>
    </w:p>
    <w:p w14:paraId="375AFF1B" w14:textId="77777777" w:rsidR="004E3242" w:rsidRPr="004E3242" w:rsidRDefault="004E3242" w:rsidP="004E3242">
      <w:pPr>
        <w:spacing w:before="120" w:after="120"/>
        <w:jc w:val="both"/>
        <w:rPr>
          <w:rFonts w:ascii="Helvetica" w:eastAsia="Arial Unicode MS" w:hAnsi="Helvetica"/>
          <w:color w:val="000000"/>
          <w:sz w:val="24"/>
          <w:szCs w:val="20"/>
          <w:lang w:eastAsia="pl-PL"/>
        </w:rPr>
      </w:pPr>
      <w:r w:rsidRPr="004E3242">
        <w:rPr>
          <w:rFonts w:ascii="Arial" w:eastAsia="Arial Unicode MS" w:hAnsi="Arial" w:cs="Arial"/>
          <w:color w:val="000000"/>
          <w:spacing w:val="4"/>
          <w:sz w:val="20"/>
          <w:szCs w:val="20"/>
          <w:lang w:eastAsia="pl-PL"/>
        </w:rPr>
        <w:t>Realizacja priorytetów na rzecz poprawy połączeń transportowych, w tym o znaczeniu europejskim, będzie miała znaczący wpływ na poprawę możliwości rozwojowych w skali kraju, jak również makroregionu, przyczyniając się do osiągania celów SUE RMB, dotyczących poprawy dostępności obszaru Morza Bałtyckiego w wymiarze wewnętrznym oraz zewnętrznym. Działania w powyższym zakresie będą spójne z celami SUE RMB przyjętymi dla OP TRANSPORT, dotyczącymi poprawy wewnętrznych i zewnętrznych powiązań transportowych makroregionu.</w:t>
      </w:r>
    </w:p>
    <w:p w14:paraId="38F98E7E"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58DC4FE3"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Wybór projektów do dofinansowania w ramach priorytetu inwestycyjnego nastąpi w trybie pozakonkursowym lub konkursowym. Zastosowanie konkretnego trybu będzie uzależnione od rodzaju projektów, które będą podlegały dofinansowaniu. Podstawowym trybem wyboru projektów w ramach priorytetu inwestycyjnego będzie tryb pozakonkursowy, zaś tryb konkursowy będzie stosowany </w:t>
      </w:r>
      <w:r w:rsidRPr="004E3242">
        <w:rPr>
          <w:rFonts w:ascii="Arial" w:hAnsi="Arial" w:cs="Arial"/>
          <w:sz w:val="20"/>
          <w:szCs w:val="20"/>
        </w:rPr>
        <w:br/>
        <w:t>w przypadkach uzasadnionych rodzajem wspieranych projektów w danej gałęzi transportu.</w:t>
      </w:r>
    </w:p>
    <w:p w14:paraId="16F1A8AF"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Tryb pozakonkursowy będzie miał zastosowanie do projektów o strategicznym znaczeniu dla społeczno-gospodarczego rozwoju kraju, zidentyfikowanych w dokumentach strategicznych </w:t>
      </w:r>
      <w:r w:rsidRPr="004E3242">
        <w:rPr>
          <w:rFonts w:ascii="Arial" w:hAnsi="Arial" w:cs="Arial"/>
          <w:sz w:val="20"/>
          <w:szCs w:val="20"/>
        </w:rPr>
        <w:br/>
      </w:r>
      <w:r w:rsidRPr="004E3242">
        <w:rPr>
          <w:rFonts w:ascii="Arial" w:hAnsi="Arial" w:cs="Arial"/>
          <w:sz w:val="20"/>
          <w:szCs w:val="20"/>
        </w:rPr>
        <w:lastRenderedPageBreak/>
        <w:t xml:space="preserve">w zakresie planowania rozwoju infrastruktury transportu (w tym Dokument Implementacyjny do Strategii Rozwoju Transportu). Ponadto będzie on stosowany wobec projektów dotyczących realizacji zadań publicznych, których wnioskodawcami, ze względu na charakter lub cel projektu, mogą być jedynie podmioty jednoznacznie określone przed złożeniem wniosku o dofinansowanie projektu </w:t>
      </w:r>
      <w:r w:rsidRPr="004E3242">
        <w:rPr>
          <w:rFonts w:ascii="Arial" w:hAnsi="Arial" w:cs="Arial"/>
          <w:sz w:val="20"/>
          <w:szCs w:val="20"/>
        </w:rPr>
        <w:br/>
        <w:t xml:space="preserve">w związku z występowaniem prawnego obowiązku realizacji określonych zadań, wynikającego </w:t>
      </w:r>
      <w:r w:rsidRPr="004E3242">
        <w:rPr>
          <w:rFonts w:ascii="Arial" w:hAnsi="Arial" w:cs="Arial"/>
          <w:sz w:val="20"/>
          <w:szCs w:val="20"/>
        </w:rPr>
        <w:br/>
        <w:t>z przepisów prawa lub dokumentów strategicznych. Taka ścieżka wyboru umożliwi precyzyjne skierowanie środków na zdiagnozowane potrzeby dotyczące podstawowej sieci transportowej kraju oraz przyczyni się w optymalny sposób do osiągnięcia celów osi priorytetowej. Tryb konkursowy będzie miał zastosowanie w pozostałych przypadkach, w tym m. in. zakupu lub modernizacji taboru kolejowego.</w:t>
      </w:r>
    </w:p>
    <w:p w14:paraId="4FE106A8"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Niezależnie od zastosowanej ścieżki (konkursowej bądź pozakonkursowej), wybór projektów do dofinansowania będzie następował w wyniku oceny poszczególnych przedsięwzięć, w oparciu </w:t>
      </w:r>
      <w:r w:rsidRPr="004E3242">
        <w:rPr>
          <w:rFonts w:ascii="Arial" w:hAnsi="Arial" w:cs="Arial"/>
          <w:sz w:val="20"/>
          <w:szCs w:val="20"/>
        </w:rPr>
        <w:br/>
        <w:t xml:space="preserve">o obiektywne kryteria zatwierdzone przez Komitet Monitorujący. Kryteria wyboru będą służyły zapewnieniu efektywnej i prawidłowej realizacji celów określonych dla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 Priorytetowo będą traktowane inwestycje przyczyniające się w największym stopniu do ukończenia kolejowej sieci </w:t>
      </w:r>
      <w:r w:rsidRPr="004E3242">
        <w:rPr>
          <w:rFonts w:ascii="Arial" w:hAnsi="Arial" w:cs="Arial"/>
          <w:sz w:val="20"/>
          <w:szCs w:val="20"/>
        </w:rPr>
        <w:br/>
        <w:t xml:space="preserve">TEN-T, do poprawy stanu bezpieczeństwa ruchu kolejowego, ograniczenia wpływu transportu na środowisko, zmniejszenia zatłoczenia i ograniczeń przepustowości infrastruktury transportowej </w:t>
      </w:r>
      <w:r w:rsidRPr="004E3242">
        <w:rPr>
          <w:rFonts w:ascii="Arial" w:hAnsi="Arial" w:cs="Arial"/>
          <w:sz w:val="20"/>
          <w:szCs w:val="20"/>
        </w:rPr>
        <w:br/>
        <w:t>i integracji systemu transportowego, charakteryzujące się efektywnością ekonomiczną.</w:t>
      </w:r>
    </w:p>
    <w:p w14:paraId="06C94702" w14:textId="77777777" w:rsidR="004E3242" w:rsidRDefault="004E3242" w:rsidP="004E3242">
      <w:pPr>
        <w:spacing w:before="120" w:after="120"/>
        <w:jc w:val="both"/>
        <w:rPr>
          <w:rFonts w:ascii="Arial" w:hAnsi="Arial" w:cs="Arial"/>
          <w:sz w:val="20"/>
          <w:szCs w:val="20"/>
        </w:rPr>
      </w:pPr>
      <w:r w:rsidRPr="004E3242">
        <w:rPr>
          <w:rFonts w:ascii="Arial" w:hAnsi="Arial" w:cs="Arial"/>
          <w:sz w:val="20"/>
          <w:szCs w:val="20"/>
        </w:rPr>
        <w:t>Wybór do dofinansowania projektów taboru szynowego będzie uzależniony od stanu technicznego infrastruktury, po której będzie się poruszał, w celu zagwarantowania optymalnego wykorzystania parametrów technicznych zakupionego lub zmodernizowanego taboru. Preferowane będzie dofinansowanie taboru wykorzystywanego do przewozów o charakterze użyteczności publicznej. Tabor wykorzystywany do przewozów komercyjnych będzie mógł uzyskać dofinansowanie jeśli zostanie wykazane, że bez dofinansowania przewoźnik nie zrealizowałby inwestycji w takim samym zakresie, a jest ona niezbędna dla osiągnięcia założonych celów w zakresie rozwoju regionalnego.</w:t>
      </w:r>
    </w:p>
    <w:p w14:paraId="72B5C162" w14:textId="77777777" w:rsidR="00DD2A8A" w:rsidRDefault="00EA1F3A" w:rsidP="004E3242">
      <w:pPr>
        <w:spacing w:before="120" w:after="120"/>
        <w:jc w:val="both"/>
        <w:rPr>
          <w:rFonts w:ascii="Arial" w:hAnsi="Arial" w:cs="Arial"/>
          <w:sz w:val="20"/>
          <w:szCs w:val="20"/>
        </w:rPr>
      </w:pPr>
      <w:r w:rsidRPr="00EA1F3A">
        <w:rPr>
          <w:rFonts w:ascii="Arial" w:hAnsi="Arial" w:cs="Arial"/>
          <w:sz w:val="20"/>
          <w:szCs w:val="20"/>
        </w:rPr>
        <w:t xml:space="preserve">W celu maksymalizacji wykorzystania środków w sektorze kolejowym, zgodnie z zapisami Umowy Partnerstwa, na czas realizacji programów operacyjnych na lata 2014-2020 w zakresie inwestycji kolejowych, w tym inwestycji </w:t>
      </w:r>
      <w:proofErr w:type="spellStart"/>
      <w:r w:rsidRPr="00EA1F3A">
        <w:rPr>
          <w:rFonts w:ascii="Arial" w:hAnsi="Arial" w:cs="Arial"/>
          <w:sz w:val="20"/>
          <w:szCs w:val="20"/>
        </w:rPr>
        <w:t>POIiŚ</w:t>
      </w:r>
      <w:proofErr w:type="spellEnd"/>
      <w:r w:rsidRPr="00EA1F3A">
        <w:rPr>
          <w:rFonts w:ascii="Arial" w:hAnsi="Arial" w:cs="Arial"/>
          <w:sz w:val="20"/>
          <w:szCs w:val="20"/>
        </w:rPr>
        <w:t xml:space="preserve"> 2014-2020, została powołana Grupa Wysokiego Szczebla ds. Inwestycji Kolejowych. Do zadań Grupy będzie należało identyfikowanie barier systemowych i operacyjnych oraz przedstawianie propozycji działań zaradczych w zakresie sektora kolejowego w Polsce w okresie programowania 2014-2020 w tym w ramach projektów </w:t>
      </w:r>
      <w:proofErr w:type="spellStart"/>
      <w:r w:rsidRPr="00EA1F3A">
        <w:rPr>
          <w:rFonts w:ascii="Arial" w:hAnsi="Arial" w:cs="Arial"/>
          <w:sz w:val="20"/>
          <w:szCs w:val="20"/>
        </w:rPr>
        <w:t>POIiŚ</w:t>
      </w:r>
      <w:proofErr w:type="spellEnd"/>
      <w:r w:rsidRPr="00EA1F3A">
        <w:rPr>
          <w:rFonts w:ascii="Arial" w:hAnsi="Arial" w:cs="Arial"/>
          <w:sz w:val="20"/>
          <w:szCs w:val="20"/>
        </w:rPr>
        <w:t xml:space="preserve"> 2014-2020. Ponadto celem Grupy jest monitorowanie postępu realizacji inwestycji kolejowych oraz wymiana opinii, informacji oraz doświadczeń. Grupa zastępuje ustanowiony w poprzednim okresie programowania </w:t>
      </w:r>
      <w:proofErr w:type="spellStart"/>
      <w:r w:rsidRPr="00EA1F3A">
        <w:rPr>
          <w:rFonts w:ascii="Arial" w:hAnsi="Arial" w:cs="Arial"/>
          <w:sz w:val="20"/>
          <w:szCs w:val="20"/>
        </w:rPr>
        <w:t>Task</w:t>
      </w:r>
      <w:proofErr w:type="spellEnd"/>
      <w:r w:rsidRPr="00EA1F3A">
        <w:rPr>
          <w:rFonts w:ascii="Arial" w:hAnsi="Arial" w:cs="Arial"/>
          <w:sz w:val="20"/>
          <w:szCs w:val="20"/>
        </w:rPr>
        <w:t xml:space="preserve"> Force kolejowy, z udziałem Komisji Europejskiej.</w:t>
      </w:r>
    </w:p>
    <w:p w14:paraId="41C8CC81" w14:textId="77777777" w:rsidR="00906F03" w:rsidRDefault="00906F03" w:rsidP="004E3242">
      <w:pPr>
        <w:spacing w:before="120" w:after="120"/>
        <w:jc w:val="both"/>
        <w:rPr>
          <w:rFonts w:ascii="Arial" w:hAnsi="Arial" w:cs="Arial"/>
          <w:sz w:val="20"/>
          <w:szCs w:val="20"/>
        </w:rPr>
      </w:pPr>
      <w:r w:rsidRPr="00906F03">
        <w:rPr>
          <w:rFonts w:ascii="Arial" w:hAnsi="Arial" w:cs="Arial"/>
          <w:sz w:val="20"/>
          <w:szCs w:val="20"/>
        </w:rPr>
        <w:t>Do dokumentów zamknięcia tego programu zostanie dołączona lista wszystkich dofinansowanych projektów przygotowawczych wraz z listą odpowiadających im inwestycji przeznaczonych do realizacji w ramach tego programu lub programów operacyjnych polityki spójności następujących po roku 2020.</w:t>
      </w:r>
    </w:p>
    <w:p w14:paraId="4F5A4D19" w14:textId="77777777" w:rsidR="008014A9" w:rsidRPr="008014A9" w:rsidRDefault="005E530E" w:rsidP="008014A9">
      <w:pPr>
        <w:spacing w:before="120" w:after="120"/>
        <w:jc w:val="both"/>
        <w:rPr>
          <w:rFonts w:ascii="Arial" w:hAnsi="Arial" w:cs="Arial"/>
          <w:sz w:val="20"/>
          <w:szCs w:val="20"/>
        </w:rPr>
      </w:pPr>
      <w:r w:rsidRPr="005E530E">
        <w:rPr>
          <w:rFonts w:ascii="Arial" w:hAnsi="Arial" w:cs="Arial"/>
          <w:sz w:val="20"/>
          <w:szCs w:val="20"/>
        </w:rPr>
        <w:t xml:space="preserve">Szczegółowe informacje nt. założeń koordynacji i podziału interwencji pomiędzy </w:t>
      </w:r>
      <w:proofErr w:type="spellStart"/>
      <w:r w:rsidRPr="005E530E">
        <w:rPr>
          <w:rFonts w:ascii="Arial" w:hAnsi="Arial" w:cs="Arial"/>
          <w:sz w:val="20"/>
          <w:szCs w:val="20"/>
        </w:rPr>
        <w:t>POIiŚ</w:t>
      </w:r>
      <w:proofErr w:type="spellEnd"/>
      <w:r w:rsidRPr="005E530E">
        <w:rPr>
          <w:rFonts w:ascii="Arial" w:hAnsi="Arial" w:cs="Arial"/>
          <w:sz w:val="20"/>
          <w:szCs w:val="20"/>
        </w:rPr>
        <w:t xml:space="preserve"> a innymi programami i instrumentami wsparcia opisane zostały w rozdziale 8 </w:t>
      </w:r>
      <w:proofErr w:type="spellStart"/>
      <w:r w:rsidRPr="005E530E">
        <w:rPr>
          <w:rFonts w:ascii="Arial" w:hAnsi="Arial" w:cs="Arial"/>
          <w:sz w:val="20"/>
          <w:szCs w:val="20"/>
        </w:rPr>
        <w:t>POIiŚ</w:t>
      </w:r>
      <w:proofErr w:type="spellEnd"/>
      <w:r w:rsidRPr="005E530E">
        <w:rPr>
          <w:rFonts w:ascii="Arial" w:hAnsi="Arial" w:cs="Arial"/>
          <w:sz w:val="20"/>
          <w:szCs w:val="20"/>
        </w:rPr>
        <w:t>.</w:t>
      </w:r>
    </w:p>
    <w:p w14:paraId="564CA8E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55F954B4" w14:textId="77777777" w:rsidR="00A737B6"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przewiduje się wsparcia w formie instrumentów finansowych.</w:t>
      </w:r>
    </w:p>
    <w:p w14:paraId="5933579A"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Pomoc publiczna może występować w przypadku transportu kolejowego w projektach dotyczących zakupu/modernizacji taboru.</w:t>
      </w:r>
    </w:p>
    <w:p w14:paraId="21B4A37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29EFAAA7"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lastRenderedPageBreak/>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pomiędzy podmiotem publicznym i podmiotem sektora prywatnego (o ile dotyczy), będzie zgodny z art. 102 ust. 3 rozporządzenia ogólnego. Po przygotowaniu kompletnej dokumentacji projektowej możliwe będzie precyzyjne określenie zakresu rzeczowego oraz szacowanych kosztów tych projektów.</w:t>
      </w:r>
    </w:p>
    <w:p w14:paraId="6A7298C4"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Realizacja dużych projektów w znaczący sposób przyczyni się do osiągnięcia celu szczegółowego tego priorytetu, związanego z rozwojem sieci kolejowej w TEN-T w Polsce poprzez wdrażanie inwestycji związanych z modernizacją i rehabilitacją linii kolejowych w TEN-T, których rezultatem będzie skrócenie czasu przejazdu koleją między największymi polskimi miastami.</w:t>
      </w:r>
    </w:p>
    <w:p w14:paraId="495B77B6"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550C592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4942"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00"/>
        <w:gridCol w:w="2335"/>
        <w:gridCol w:w="993"/>
        <w:gridCol w:w="991"/>
        <w:gridCol w:w="995"/>
        <w:gridCol w:w="1046"/>
        <w:gridCol w:w="1072"/>
        <w:gridCol w:w="1246"/>
      </w:tblGrid>
      <w:tr w:rsidR="004E3242" w:rsidRPr="004E3242" w14:paraId="5BD40AE5" w14:textId="77777777" w:rsidTr="00AA7998">
        <w:tc>
          <w:tcPr>
            <w:tcW w:w="272" w:type="pct"/>
            <w:shd w:val="clear" w:color="auto" w:fill="99CC00"/>
            <w:vAlign w:val="center"/>
          </w:tcPr>
          <w:p w14:paraId="55C53DC7"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72" w:type="pct"/>
            <w:shd w:val="clear" w:color="auto" w:fill="99CC00"/>
            <w:vAlign w:val="center"/>
          </w:tcPr>
          <w:p w14:paraId="0ADFEADD"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41" w:type="pct"/>
            <w:shd w:val="clear" w:color="auto" w:fill="99CC00"/>
            <w:vAlign w:val="center"/>
          </w:tcPr>
          <w:p w14:paraId="4B41E585"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40" w:type="pct"/>
            <w:shd w:val="clear" w:color="auto" w:fill="99CC00"/>
            <w:vAlign w:val="center"/>
          </w:tcPr>
          <w:p w14:paraId="3A0EF2DD"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42" w:type="pct"/>
            <w:shd w:val="clear" w:color="auto" w:fill="99CC00"/>
            <w:vAlign w:val="center"/>
          </w:tcPr>
          <w:p w14:paraId="6A87D010"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70" w:type="pct"/>
            <w:shd w:val="clear" w:color="auto" w:fill="99CC00"/>
            <w:vAlign w:val="center"/>
          </w:tcPr>
          <w:p w14:paraId="7745F676"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84" w:type="pct"/>
            <w:shd w:val="clear" w:color="auto" w:fill="99CC00"/>
            <w:vAlign w:val="center"/>
          </w:tcPr>
          <w:p w14:paraId="520D0859"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9" w:type="pct"/>
            <w:shd w:val="clear" w:color="auto" w:fill="99CC00"/>
            <w:vAlign w:val="center"/>
          </w:tcPr>
          <w:p w14:paraId="5906255B"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6A8229F6" w14:textId="77777777" w:rsidTr="00AA7998">
        <w:tc>
          <w:tcPr>
            <w:tcW w:w="272" w:type="pct"/>
            <w:shd w:val="clear" w:color="auto" w:fill="F2F2F2"/>
            <w:vAlign w:val="center"/>
          </w:tcPr>
          <w:p w14:paraId="70B2D02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1272" w:type="pct"/>
            <w:shd w:val="clear" w:color="auto" w:fill="F2F2F2"/>
            <w:vAlign w:val="center"/>
          </w:tcPr>
          <w:p w14:paraId="16E93826"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Całkowita długość przebudowanych lub zmodernizowanych linii kolejowych, w tym TEN-T (CI)</w:t>
            </w:r>
          </w:p>
        </w:tc>
        <w:tc>
          <w:tcPr>
            <w:tcW w:w="541" w:type="pct"/>
            <w:shd w:val="clear" w:color="auto" w:fill="F2F2F2"/>
            <w:vAlign w:val="center"/>
          </w:tcPr>
          <w:p w14:paraId="0C1BCF91"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km</w:t>
            </w:r>
          </w:p>
        </w:tc>
        <w:tc>
          <w:tcPr>
            <w:tcW w:w="540" w:type="pct"/>
            <w:shd w:val="clear" w:color="auto" w:fill="F2F2F2"/>
            <w:vAlign w:val="center"/>
          </w:tcPr>
          <w:p w14:paraId="21F6A546"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42" w:type="pct"/>
            <w:shd w:val="clear" w:color="auto" w:fill="F2F2F2"/>
            <w:vAlign w:val="center"/>
          </w:tcPr>
          <w:p w14:paraId="0E2F3FBB"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70" w:type="pct"/>
            <w:shd w:val="clear" w:color="auto" w:fill="F2F2F2"/>
            <w:vAlign w:val="center"/>
          </w:tcPr>
          <w:p w14:paraId="45AC9F7B"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522</w:t>
            </w:r>
          </w:p>
        </w:tc>
        <w:tc>
          <w:tcPr>
            <w:tcW w:w="584" w:type="pct"/>
            <w:shd w:val="clear" w:color="auto" w:fill="F2F2F2"/>
            <w:vAlign w:val="center"/>
          </w:tcPr>
          <w:p w14:paraId="0A6F1485"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679" w:type="pct"/>
            <w:shd w:val="clear" w:color="auto" w:fill="F2F2F2"/>
            <w:vAlign w:val="center"/>
          </w:tcPr>
          <w:p w14:paraId="6272D5D5"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DB22DDE" w14:textId="77777777" w:rsidTr="00AA7998">
        <w:tc>
          <w:tcPr>
            <w:tcW w:w="272" w:type="pct"/>
            <w:shd w:val="clear" w:color="auto" w:fill="F2F2F2"/>
            <w:vAlign w:val="center"/>
          </w:tcPr>
          <w:p w14:paraId="1E90BD8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1272" w:type="pct"/>
            <w:shd w:val="clear" w:color="auto" w:fill="F2F2F2"/>
            <w:vAlign w:val="center"/>
          </w:tcPr>
          <w:p w14:paraId="31C49560"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Liczba zakupionych/ zmodernizowanych pojazdów kolejowych</w:t>
            </w:r>
          </w:p>
        </w:tc>
        <w:tc>
          <w:tcPr>
            <w:tcW w:w="541" w:type="pct"/>
            <w:shd w:val="clear" w:color="auto" w:fill="F2F2F2"/>
            <w:vAlign w:val="center"/>
          </w:tcPr>
          <w:p w14:paraId="5DA364D5"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szt.</w:t>
            </w:r>
          </w:p>
        </w:tc>
        <w:tc>
          <w:tcPr>
            <w:tcW w:w="540" w:type="pct"/>
            <w:shd w:val="clear" w:color="auto" w:fill="F2F2F2"/>
            <w:vAlign w:val="center"/>
          </w:tcPr>
          <w:p w14:paraId="60601AD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42" w:type="pct"/>
            <w:shd w:val="clear" w:color="auto" w:fill="F2F2F2"/>
            <w:vAlign w:val="center"/>
          </w:tcPr>
          <w:p w14:paraId="61F3882B"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70" w:type="pct"/>
            <w:shd w:val="clear" w:color="auto" w:fill="F2F2F2"/>
            <w:vAlign w:val="center"/>
          </w:tcPr>
          <w:p w14:paraId="56BBCB70" w14:textId="77777777" w:rsidR="004E3242" w:rsidRPr="004E3242" w:rsidRDefault="004D179B"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179</w:t>
            </w:r>
          </w:p>
        </w:tc>
        <w:tc>
          <w:tcPr>
            <w:tcW w:w="584" w:type="pct"/>
            <w:shd w:val="clear" w:color="auto" w:fill="F2F2F2"/>
            <w:vAlign w:val="center"/>
          </w:tcPr>
          <w:p w14:paraId="7D785E27"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679" w:type="pct"/>
            <w:shd w:val="clear" w:color="auto" w:fill="F2F2F2"/>
            <w:vAlign w:val="center"/>
          </w:tcPr>
          <w:p w14:paraId="0DC0EF8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0E18236" w14:textId="77777777" w:rsidTr="00AA7998">
        <w:tc>
          <w:tcPr>
            <w:tcW w:w="272" w:type="pct"/>
            <w:shd w:val="clear" w:color="auto" w:fill="F2F2F2"/>
            <w:vAlign w:val="center"/>
          </w:tcPr>
          <w:p w14:paraId="779661FB" w14:textId="77777777" w:rsidR="004E3242" w:rsidRPr="004E3242" w:rsidDel="006739F3"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3.</w:t>
            </w:r>
          </w:p>
        </w:tc>
        <w:tc>
          <w:tcPr>
            <w:tcW w:w="1272" w:type="pct"/>
            <w:shd w:val="clear" w:color="auto" w:fill="F2F2F2"/>
            <w:vAlign w:val="center"/>
          </w:tcPr>
          <w:p w14:paraId="5F39CD32"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Długość linii kolejowych wyposażonych w system ERTMS</w:t>
            </w:r>
            <w:r w:rsidRPr="004E3242">
              <w:rPr>
                <w:rFonts w:ascii="Arial" w:hAnsi="Arial" w:cs="Arial"/>
                <w:spacing w:val="4"/>
                <w:sz w:val="16"/>
                <w:szCs w:val="16"/>
                <w:vertAlign w:val="superscript"/>
              </w:rPr>
              <w:footnoteReference w:id="76"/>
            </w:r>
          </w:p>
        </w:tc>
        <w:tc>
          <w:tcPr>
            <w:tcW w:w="541" w:type="pct"/>
            <w:shd w:val="clear" w:color="auto" w:fill="F2F2F2"/>
            <w:vAlign w:val="center"/>
          </w:tcPr>
          <w:p w14:paraId="4781F079"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km</w:t>
            </w:r>
          </w:p>
        </w:tc>
        <w:tc>
          <w:tcPr>
            <w:tcW w:w="540" w:type="pct"/>
            <w:shd w:val="clear" w:color="auto" w:fill="F2F2F2"/>
            <w:vAlign w:val="center"/>
          </w:tcPr>
          <w:p w14:paraId="5EF32EB7"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42" w:type="pct"/>
            <w:shd w:val="clear" w:color="auto" w:fill="F2F2F2"/>
            <w:vAlign w:val="center"/>
          </w:tcPr>
          <w:p w14:paraId="32541DBD"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70" w:type="pct"/>
            <w:shd w:val="clear" w:color="auto" w:fill="F2F2F2"/>
            <w:vAlign w:val="center"/>
          </w:tcPr>
          <w:p w14:paraId="6005ADC8" w14:textId="77777777" w:rsidR="004E3242" w:rsidRPr="004E3242" w:rsidDel="000518FD" w:rsidRDefault="004D179B"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580</w:t>
            </w:r>
          </w:p>
        </w:tc>
        <w:tc>
          <w:tcPr>
            <w:tcW w:w="584" w:type="pct"/>
            <w:shd w:val="clear" w:color="auto" w:fill="F2F2F2"/>
            <w:vAlign w:val="center"/>
          </w:tcPr>
          <w:p w14:paraId="54E8AE7E"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679" w:type="pct"/>
            <w:shd w:val="clear" w:color="auto" w:fill="F2F2F2"/>
            <w:vAlign w:val="center"/>
          </w:tcPr>
          <w:p w14:paraId="7D7AF3A2"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bl>
    <w:p w14:paraId="164D5545" w14:textId="77777777" w:rsidR="004E3242" w:rsidRPr="004E3242" w:rsidRDefault="004E3242" w:rsidP="004E3242"/>
    <w:p w14:paraId="2FCCF117"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bCs/>
          <w:smallCaps/>
          <w:color w:val="669900"/>
          <w:spacing w:val="10"/>
          <w:sz w:val="24"/>
          <w:szCs w:val="24"/>
          <w:lang w:eastAsia="pl-PL"/>
        </w:rPr>
        <w:t>PRIORYTET INWESTYCYJNY 7.iii.</w:t>
      </w:r>
      <w:r w:rsidRPr="004E3242">
        <w:rPr>
          <w:rFonts w:ascii="Arial" w:eastAsia="Times New Roman" w:hAnsi="Arial"/>
          <w:smallCaps/>
          <w:color w:val="669900"/>
          <w:spacing w:val="10"/>
          <w:sz w:val="24"/>
          <w:szCs w:val="24"/>
          <w:lang w:eastAsia="pl-PL"/>
        </w:rPr>
        <w:t xml:space="preserve"> Rozwój i rehabilitacja</w:t>
      </w:r>
      <w:r w:rsidRPr="004E3242">
        <w:rPr>
          <w:rFonts w:ascii="Arial" w:eastAsia="Times New Roman" w:hAnsi="Arial" w:cs="Arial"/>
          <w:smallCaps/>
          <w:color w:val="008000"/>
          <w:spacing w:val="4"/>
          <w:sz w:val="24"/>
          <w:szCs w:val="20"/>
          <w:vertAlign w:val="superscript"/>
          <w:lang w:eastAsia="pl-PL"/>
        </w:rPr>
        <w:footnoteReference w:id="77"/>
      </w:r>
      <w:r w:rsidRPr="004E3242">
        <w:rPr>
          <w:rFonts w:ascii="Arial" w:eastAsia="Times New Roman" w:hAnsi="Arial"/>
          <w:smallCaps/>
          <w:color w:val="669900"/>
          <w:spacing w:val="10"/>
          <w:sz w:val="24"/>
          <w:szCs w:val="24"/>
          <w:lang w:eastAsia="pl-PL"/>
        </w:rPr>
        <w:t xml:space="preserve"> kompleksowych, wysokiej jakości i </w:t>
      </w:r>
      <w:proofErr w:type="spellStart"/>
      <w:r w:rsidRPr="004E3242">
        <w:rPr>
          <w:rFonts w:ascii="Arial" w:eastAsia="Times New Roman" w:hAnsi="Arial"/>
          <w:smallCaps/>
          <w:color w:val="669900"/>
          <w:spacing w:val="10"/>
          <w:sz w:val="24"/>
          <w:szCs w:val="24"/>
          <w:lang w:eastAsia="pl-PL"/>
        </w:rPr>
        <w:t>interoperacyjnych</w:t>
      </w:r>
      <w:proofErr w:type="spellEnd"/>
      <w:r w:rsidRPr="004E3242">
        <w:rPr>
          <w:rFonts w:ascii="Arial" w:eastAsia="Times New Roman" w:hAnsi="Arial"/>
          <w:smallCaps/>
          <w:color w:val="669900"/>
          <w:spacing w:val="10"/>
          <w:sz w:val="24"/>
          <w:szCs w:val="24"/>
          <w:lang w:eastAsia="pl-PL"/>
        </w:rPr>
        <w:t xml:space="preserve"> systemów transportu kolejowego oraz propagowanie działań służących zmniejszaniu hałasu</w:t>
      </w:r>
    </w:p>
    <w:p w14:paraId="6449BB99"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7BAEB7EB" w14:textId="77777777" w:rsidR="004E3242" w:rsidRPr="004E3242" w:rsidRDefault="004E3242" w:rsidP="004E3242">
      <w:pPr>
        <w:autoSpaceDE w:val="0"/>
        <w:autoSpaceDN w:val="0"/>
        <w:adjustRightInd w:val="0"/>
        <w:spacing w:after="120" w:line="280" w:lineRule="atLeast"/>
        <w:jc w:val="both"/>
        <w:rPr>
          <w:rFonts w:ascii="Arial" w:hAnsi="Arial" w:cs="Arial"/>
          <w:sz w:val="20"/>
          <w:szCs w:val="20"/>
          <w:lang w:eastAsia="pl-PL"/>
        </w:rPr>
      </w:pPr>
      <w:r w:rsidRPr="004E3242">
        <w:rPr>
          <w:rFonts w:ascii="Arial" w:hAnsi="Arial" w:cs="Arial"/>
          <w:sz w:val="20"/>
          <w:szCs w:val="20"/>
          <w:lang w:eastAsia="pl-PL"/>
        </w:rPr>
        <w:t xml:space="preserve">Lepszy stan krajowych połączeń kolejowych oraz większe wykorzystanie systemów kolejowych </w:t>
      </w:r>
      <w:r w:rsidRPr="004E3242">
        <w:rPr>
          <w:rFonts w:ascii="Arial" w:hAnsi="Arial" w:cs="Arial"/>
          <w:sz w:val="20"/>
          <w:szCs w:val="20"/>
          <w:lang w:eastAsia="pl-PL"/>
        </w:rPr>
        <w:br/>
        <w:t>w miastach</w:t>
      </w:r>
    </w:p>
    <w:p w14:paraId="78D29C51"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42C3C9A2" w14:textId="77777777" w:rsidR="004E3242" w:rsidRPr="004E3242" w:rsidRDefault="004E3242" w:rsidP="004E3242">
      <w:pPr>
        <w:autoSpaceDE w:val="0"/>
        <w:autoSpaceDN w:val="0"/>
        <w:adjustRightInd w:val="0"/>
        <w:spacing w:after="120" w:line="280" w:lineRule="atLeast"/>
        <w:jc w:val="both"/>
        <w:rPr>
          <w:rFonts w:ascii="Arial" w:hAnsi="Arial" w:cs="Arial"/>
          <w:spacing w:val="4"/>
          <w:sz w:val="20"/>
          <w:szCs w:val="20"/>
          <w:lang w:eastAsia="pl-PL"/>
        </w:rPr>
      </w:pPr>
      <w:r w:rsidRPr="004E3242">
        <w:rPr>
          <w:rFonts w:ascii="Arial" w:hAnsi="Arial" w:cs="Arial"/>
          <w:sz w:val="20"/>
          <w:szCs w:val="20"/>
          <w:lang w:eastAsia="pl-PL"/>
        </w:rPr>
        <w:t>Rezultatem realizacji projektów w priorytecie inwestycyjnym będzie poprawa stanu krajowych połączeń kolejowych i systemu kolejowego w miejskich obszarach funkcjonalnych, wpływające na ich większe wykorzystanie w transporcie osób i towarów</w:t>
      </w:r>
    </w:p>
    <w:p w14:paraId="6C1B2F94"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6"/>
        <w:gridCol w:w="1840"/>
        <w:gridCol w:w="704"/>
        <w:gridCol w:w="992"/>
        <w:gridCol w:w="851"/>
        <w:gridCol w:w="854"/>
        <w:gridCol w:w="990"/>
        <w:gridCol w:w="1137"/>
        <w:gridCol w:w="1382"/>
      </w:tblGrid>
      <w:tr w:rsidR="004E3242" w:rsidRPr="004E3242" w14:paraId="246547A0" w14:textId="77777777" w:rsidTr="00AA7998">
        <w:tc>
          <w:tcPr>
            <w:tcW w:w="289" w:type="pct"/>
            <w:shd w:val="clear" w:color="auto" w:fill="99CC00"/>
            <w:vAlign w:val="center"/>
          </w:tcPr>
          <w:p w14:paraId="69FD37E6"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91" w:type="pct"/>
            <w:shd w:val="clear" w:color="auto" w:fill="99CC00"/>
            <w:vAlign w:val="center"/>
          </w:tcPr>
          <w:p w14:paraId="32566B9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379" w:type="pct"/>
            <w:shd w:val="clear" w:color="auto" w:fill="99CC00"/>
            <w:vAlign w:val="center"/>
          </w:tcPr>
          <w:p w14:paraId="38695A9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 miary</w:t>
            </w:r>
          </w:p>
        </w:tc>
        <w:tc>
          <w:tcPr>
            <w:tcW w:w="534" w:type="pct"/>
            <w:shd w:val="clear" w:color="auto" w:fill="99CC00"/>
            <w:vAlign w:val="center"/>
          </w:tcPr>
          <w:p w14:paraId="3CC42BB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4CCCF5EC"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60" w:type="pct"/>
            <w:shd w:val="clear" w:color="auto" w:fill="99CC00"/>
            <w:vAlign w:val="center"/>
          </w:tcPr>
          <w:p w14:paraId="6E0349A8"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3" w:type="pct"/>
            <w:shd w:val="clear" w:color="auto" w:fill="99CC00"/>
            <w:vAlign w:val="center"/>
          </w:tcPr>
          <w:p w14:paraId="0F2D9397"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612" w:type="pct"/>
            <w:shd w:val="clear" w:color="auto" w:fill="99CC00"/>
            <w:vAlign w:val="center"/>
          </w:tcPr>
          <w:p w14:paraId="6283CE83"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75965C71"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34A847F0" w14:textId="77777777" w:rsidTr="00AA7998">
        <w:tc>
          <w:tcPr>
            <w:tcW w:w="289" w:type="pct"/>
            <w:shd w:val="clear" w:color="auto" w:fill="F2F2F2"/>
            <w:vAlign w:val="center"/>
          </w:tcPr>
          <w:p w14:paraId="5C79803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991" w:type="pct"/>
            <w:shd w:val="clear" w:color="auto" w:fill="F2F2F2"/>
            <w:vAlign w:val="center"/>
          </w:tcPr>
          <w:p w14:paraId="3C39B06D"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 xml:space="preserve">Praca przewozowa w  </w:t>
            </w:r>
            <w:r w:rsidRPr="004E3242">
              <w:rPr>
                <w:rFonts w:ascii="Arial" w:hAnsi="Arial" w:cs="Arial"/>
                <w:spacing w:val="4"/>
                <w:sz w:val="16"/>
                <w:szCs w:val="16"/>
              </w:rPr>
              <w:lastRenderedPageBreak/>
              <w:t>kolejowym transporcie pasażerskim</w:t>
            </w:r>
          </w:p>
        </w:tc>
        <w:tc>
          <w:tcPr>
            <w:tcW w:w="379" w:type="pct"/>
            <w:shd w:val="clear" w:color="auto" w:fill="F2F2F2"/>
            <w:vAlign w:val="center"/>
          </w:tcPr>
          <w:p w14:paraId="0C3220A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lastRenderedPageBreak/>
              <w:t xml:space="preserve">mln </w:t>
            </w:r>
            <w:proofErr w:type="spellStart"/>
            <w:r w:rsidRPr="004E3242">
              <w:rPr>
                <w:rFonts w:ascii="Arial" w:hAnsi="Arial" w:cs="Arial"/>
                <w:spacing w:val="4"/>
                <w:sz w:val="16"/>
                <w:szCs w:val="16"/>
              </w:rPr>
              <w:lastRenderedPageBreak/>
              <w:t>paskm</w:t>
            </w:r>
            <w:proofErr w:type="spellEnd"/>
            <w:r w:rsidRPr="004E3242">
              <w:rPr>
                <w:rFonts w:ascii="Arial" w:hAnsi="Arial" w:cs="Arial"/>
                <w:spacing w:val="4"/>
                <w:sz w:val="16"/>
                <w:szCs w:val="16"/>
              </w:rPr>
              <w:t>/rok</w:t>
            </w:r>
          </w:p>
        </w:tc>
        <w:tc>
          <w:tcPr>
            <w:tcW w:w="534" w:type="pct"/>
            <w:shd w:val="clear" w:color="auto" w:fill="F2F2F2"/>
            <w:vAlign w:val="center"/>
          </w:tcPr>
          <w:p w14:paraId="7A1ADB4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lastRenderedPageBreak/>
              <w:t>n/d</w:t>
            </w:r>
          </w:p>
        </w:tc>
        <w:tc>
          <w:tcPr>
            <w:tcW w:w="458" w:type="pct"/>
            <w:shd w:val="clear" w:color="auto" w:fill="F2F2F2"/>
            <w:vAlign w:val="center"/>
          </w:tcPr>
          <w:p w14:paraId="735B8A0F"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16 293</w:t>
            </w:r>
          </w:p>
        </w:tc>
        <w:tc>
          <w:tcPr>
            <w:tcW w:w="460" w:type="pct"/>
            <w:shd w:val="clear" w:color="auto" w:fill="F2F2F2"/>
            <w:vAlign w:val="center"/>
          </w:tcPr>
          <w:p w14:paraId="19CC5C1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33" w:type="pct"/>
            <w:shd w:val="clear" w:color="auto" w:fill="F2F2F2"/>
            <w:vAlign w:val="center"/>
          </w:tcPr>
          <w:p w14:paraId="4FF65EFC" w14:textId="77777777" w:rsidR="004E3242" w:rsidRPr="004E3242" w:rsidRDefault="00CE7E07" w:rsidP="004E3242">
            <w:pPr>
              <w:spacing w:before="60" w:after="60"/>
              <w:jc w:val="center"/>
              <w:rPr>
                <w:rFonts w:ascii="Arial" w:hAnsi="Arial" w:cs="Arial"/>
                <w:spacing w:val="4"/>
                <w:sz w:val="16"/>
                <w:szCs w:val="16"/>
              </w:rPr>
            </w:pPr>
            <w:r>
              <w:rPr>
                <w:rFonts w:ascii="Arial" w:hAnsi="Arial" w:cs="Arial"/>
                <w:spacing w:val="4"/>
                <w:sz w:val="16"/>
                <w:szCs w:val="16"/>
              </w:rPr>
              <w:t xml:space="preserve">  </w:t>
            </w:r>
            <w:r w:rsidRPr="00CE7E07">
              <w:rPr>
                <w:rFonts w:ascii="Arial" w:hAnsi="Arial" w:cs="Arial"/>
                <w:spacing w:val="4"/>
                <w:sz w:val="16"/>
                <w:szCs w:val="16"/>
              </w:rPr>
              <w:t>24 000</w:t>
            </w:r>
          </w:p>
        </w:tc>
        <w:tc>
          <w:tcPr>
            <w:tcW w:w="612" w:type="pct"/>
            <w:shd w:val="clear" w:color="auto" w:fill="F2F2F2"/>
            <w:vAlign w:val="center"/>
          </w:tcPr>
          <w:p w14:paraId="39A6C7F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UTK</w:t>
            </w:r>
          </w:p>
        </w:tc>
        <w:tc>
          <w:tcPr>
            <w:tcW w:w="744" w:type="pct"/>
            <w:shd w:val="clear" w:color="auto" w:fill="F2F2F2"/>
            <w:vAlign w:val="center"/>
          </w:tcPr>
          <w:p w14:paraId="4E51D6BF"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co 2 lata</w:t>
            </w:r>
          </w:p>
        </w:tc>
      </w:tr>
      <w:tr w:rsidR="004E3242" w:rsidRPr="004E3242" w14:paraId="08388813" w14:textId="77777777" w:rsidTr="00AA7998">
        <w:tc>
          <w:tcPr>
            <w:tcW w:w="289" w:type="pct"/>
            <w:shd w:val="clear" w:color="auto" w:fill="F2F2F2"/>
            <w:vAlign w:val="center"/>
          </w:tcPr>
          <w:p w14:paraId="36DC80E7"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991" w:type="pct"/>
            <w:shd w:val="clear" w:color="auto" w:fill="F2F2F2"/>
            <w:vAlign w:val="center"/>
          </w:tcPr>
          <w:p w14:paraId="4449F908"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Praca przewozowa w kolejowym transporcie towarowym</w:t>
            </w:r>
          </w:p>
        </w:tc>
        <w:tc>
          <w:tcPr>
            <w:tcW w:w="379" w:type="pct"/>
            <w:shd w:val="clear" w:color="auto" w:fill="F2F2F2"/>
            <w:vAlign w:val="center"/>
          </w:tcPr>
          <w:p w14:paraId="64E37CF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 xml:space="preserve">mln </w:t>
            </w:r>
            <w:proofErr w:type="spellStart"/>
            <w:r w:rsidRPr="004E3242">
              <w:rPr>
                <w:rFonts w:ascii="Arial" w:hAnsi="Arial" w:cs="Arial"/>
                <w:spacing w:val="4"/>
                <w:sz w:val="16"/>
                <w:szCs w:val="16"/>
              </w:rPr>
              <w:t>tkm</w:t>
            </w:r>
            <w:proofErr w:type="spellEnd"/>
            <w:r w:rsidRPr="004E3242">
              <w:rPr>
                <w:rFonts w:ascii="Arial" w:hAnsi="Arial" w:cs="Arial"/>
                <w:spacing w:val="4"/>
                <w:sz w:val="16"/>
                <w:szCs w:val="16"/>
              </w:rPr>
              <w:t>/rok</w:t>
            </w:r>
          </w:p>
        </w:tc>
        <w:tc>
          <w:tcPr>
            <w:tcW w:w="534" w:type="pct"/>
            <w:shd w:val="clear" w:color="auto" w:fill="F2F2F2"/>
            <w:vAlign w:val="center"/>
          </w:tcPr>
          <w:p w14:paraId="063D5657"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8" w:type="pct"/>
            <w:shd w:val="clear" w:color="auto" w:fill="F2F2F2"/>
            <w:vAlign w:val="center"/>
          </w:tcPr>
          <w:p w14:paraId="7A25F5D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50 881</w:t>
            </w:r>
          </w:p>
        </w:tc>
        <w:tc>
          <w:tcPr>
            <w:tcW w:w="460" w:type="pct"/>
            <w:shd w:val="clear" w:color="auto" w:fill="F2F2F2"/>
            <w:vAlign w:val="center"/>
          </w:tcPr>
          <w:p w14:paraId="1D54EF5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2013</w:t>
            </w:r>
          </w:p>
        </w:tc>
        <w:tc>
          <w:tcPr>
            <w:tcW w:w="533" w:type="pct"/>
            <w:shd w:val="clear" w:color="auto" w:fill="F2F2F2"/>
            <w:vAlign w:val="center"/>
          </w:tcPr>
          <w:p w14:paraId="5E6F3D0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63 100</w:t>
            </w:r>
          </w:p>
        </w:tc>
        <w:tc>
          <w:tcPr>
            <w:tcW w:w="612" w:type="pct"/>
            <w:shd w:val="clear" w:color="auto" w:fill="F2F2F2"/>
            <w:vAlign w:val="center"/>
          </w:tcPr>
          <w:p w14:paraId="6C849CD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UTK</w:t>
            </w:r>
          </w:p>
        </w:tc>
        <w:tc>
          <w:tcPr>
            <w:tcW w:w="744" w:type="pct"/>
            <w:shd w:val="clear" w:color="auto" w:fill="F2F2F2"/>
            <w:vAlign w:val="center"/>
          </w:tcPr>
          <w:p w14:paraId="3680DA0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co 2 lata</w:t>
            </w:r>
          </w:p>
        </w:tc>
      </w:tr>
    </w:tbl>
    <w:p w14:paraId="7BC8F25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67066266" w14:textId="77777777" w:rsidR="004E3242" w:rsidRPr="004E3242" w:rsidRDefault="004E3242" w:rsidP="004E3242">
      <w:pPr>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W ramach priorytetu inwestycyjnego dofinansowanie otrzymają projekty kolei poza TEN-T oraz systemu kolejowego w miastach (koleje miejskie). Wsparcie transportu kolejowego poza siecią TEN-T będzie dotyczyło połączeń do sieci TEN-T, odcinków łączących ważne ośrodki przemysłowe i gospodarcze (tzw. </w:t>
      </w:r>
      <w:proofErr w:type="spellStart"/>
      <w:r w:rsidRPr="004E3242">
        <w:rPr>
          <w:rFonts w:ascii="Arial" w:hAnsi="Arial" w:cs="Arial"/>
          <w:i/>
          <w:spacing w:val="4"/>
          <w:sz w:val="20"/>
          <w:szCs w:val="20"/>
          <w:lang w:eastAsia="pl-PL"/>
        </w:rPr>
        <w:t>feeder</w:t>
      </w:r>
      <w:proofErr w:type="spellEnd"/>
      <w:r w:rsidRPr="004E3242">
        <w:rPr>
          <w:rFonts w:ascii="Arial" w:hAnsi="Arial" w:cs="Arial"/>
          <w:i/>
          <w:spacing w:val="4"/>
          <w:sz w:val="20"/>
          <w:szCs w:val="20"/>
          <w:lang w:eastAsia="pl-PL"/>
        </w:rPr>
        <w:t xml:space="preserve"> lines</w:t>
      </w:r>
      <w:r w:rsidRPr="004E3242">
        <w:rPr>
          <w:rFonts w:ascii="Arial" w:hAnsi="Arial" w:cs="Arial"/>
          <w:spacing w:val="4"/>
          <w:sz w:val="20"/>
          <w:szCs w:val="20"/>
          <w:lang w:eastAsia="pl-PL"/>
        </w:rPr>
        <w:t>), a także linii stanowiących element połączeń portów morskich i lotniczych z zapleczem gospodarczym w głębi kraju oraz połączeń platform multimodalnych. Realizacja wybranych odcinków linii kolejowych przyczyni się do poprawy spójności terytorialnej województw i dostępności do regionalnych ośrodków miejskich.</w:t>
      </w:r>
    </w:p>
    <w:p w14:paraId="7AF9DF0F" w14:textId="77777777" w:rsidR="004E3242" w:rsidRPr="004E3242" w:rsidRDefault="004E3242" w:rsidP="004E3242">
      <w:pPr>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Ze względu na znaczenie pasażerskich przewozów kolejowych w obszarze ciążenia metropolii (uznanych za perspektywiczne), realizowane będą inwestycje infrastrukturalne w rozwój systemu kolei miejskiej na tych obszarach.</w:t>
      </w:r>
    </w:p>
    <w:p w14:paraId="5EEF33E4" w14:textId="77777777" w:rsidR="004E3242" w:rsidRDefault="004E3242" w:rsidP="004E3242">
      <w:pPr>
        <w:spacing w:before="120" w:after="120"/>
        <w:jc w:val="both"/>
        <w:rPr>
          <w:rFonts w:ascii="Arial" w:hAnsi="Arial" w:cs="Arial"/>
          <w:spacing w:val="4"/>
          <w:sz w:val="20"/>
          <w:szCs w:val="20"/>
          <w:lang w:eastAsia="pl-PL"/>
        </w:rPr>
      </w:pPr>
      <w:r w:rsidRPr="004E3242">
        <w:rPr>
          <w:rFonts w:ascii="Arial" w:hAnsi="Arial" w:cs="Arial"/>
          <w:spacing w:val="4"/>
          <w:sz w:val="20"/>
          <w:szCs w:val="20"/>
          <w:lang w:eastAsia="pl-PL"/>
        </w:rPr>
        <w:t xml:space="preserve">Przewiduje się realizację inwestycji w odniesieniu zarówno do infrastruktury liniowej (podstawowej i systemów sterowania ruchem) i punktowej (w tym m.in. przystanki kolejowe, dworce przesiadkowe), jak i taboru kolejowego. Dofinansowany tabor będzie wykorzystywany na obszarze, który został wskazany w dokumentacji aplikacyjnej. Poza siecią TEN-T realizowane będą także pozostałe typy inwestycji kolejowych, wskazane w opisie PI 7.i. Typ prowadzonych prac (modernizacja, rehabilitacja, budowa nowej infrastruktury) będzie uzależniony od specyfiki danego odcinka, jego stanu i parametrów technicznych oraz roli i znaczenia w regionalnym </w:t>
      </w:r>
      <w:r w:rsidRPr="004E3242">
        <w:rPr>
          <w:rFonts w:ascii="Arial" w:hAnsi="Arial" w:cs="Arial"/>
          <w:spacing w:val="4"/>
          <w:sz w:val="20"/>
          <w:szCs w:val="20"/>
          <w:lang w:eastAsia="pl-PL"/>
        </w:rPr>
        <w:br/>
        <w:t>i miejskim układzie transportowym. Nie przewiduje się projektów rewitalizacji linii kolejowych.</w:t>
      </w:r>
    </w:p>
    <w:p w14:paraId="19A68BF8" w14:textId="77777777" w:rsidR="00E91717" w:rsidRDefault="00EA1F3A" w:rsidP="004E3242">
      <w:pPr>
        <w:spacing w:before="120" w:after="120"/>
        <w:jc w:val="both"/>
        <w:rPr>
          <w:rFonts w:ascii="Arial" w:hAnsi="Arial" w:cs="Arial"/>
          <w:spacing w:val="4"/>
          <w:sz w:val="20"/>
          <w:szCs w:val="20"/>
          <w:lang w:eastAsia="pl-PL"/>
        </w:rPr>
      </w:pPr>
      <w:r w:rsidRPr="00EA1F3A">
        <w:rPr>
          <w:rFonts w:ascii="Arial" w:hAnsi="Arial" w:cs="Arial"/>
          <w:spacing w:val="4"/>
          <w:sz w:val="20"/>
          <w:szCs w:val="20"/>
          <w:lang w:eastAsia="pl-PL"/>
        </w:rPr>
        <w:t>Ponadto wsparcie będą mogły uzyskać działania na rzecz przygotowania inwestycji poprzez dofinansowanie w ramach projektów przygotowawczych dokumentacji projektowej i przetargowej dla inwestycji infrastrukturalnych, realizowanych ze środków tego programu</w:t>
      </w:r>
      <w:r>
        <w:rPr>
          <w:rFonts w:ascii="Arial" w:hAnsi="Arial" w:cs="Arial"/>
          <w:spacing w:val="4"/>
          <w:sz w:val="20"/>
          <w:szCs w:val="20"/>
          <w:lang w:eastAsia="pl-PL"/>
        </w:rPr>
        <w:t xml:space="preserve"> </w:t>
      </w:r>
      <w:r w:rsidRPr="00EA1F3A">
        <w:rPr>
          <w:rFonts w:ascii="Arial" w:hAnsi="Arial" w:cs="Arial"/>
          <w:spacing w:val="4"/>
          <w:sz w:val="20"/>
          <w:szCs w:val="20"/>
          <w:lang w:eastAsia="pl-PL"/>
        </w:rPr>
        <w:t>lub programów operacyjnych polityki spójności realizowanych w okresie programowania następującym bezpośrednio po roku 2020 (projekty przygotowawcze). Dodatkowo, wsparcie będą mogły uzyskać projekty przygotowawcze dla inwestycji realizowanych w ramach instrumentu Łącząc Europę w obecnej lub przyszłej perspektywie finansowej, jeżeli z przyczyn faktycznych lub prawnych  inwestycje te nie będą mogły uzyskać dofinansowania z programów operacyjnych polityki spójności.</w:t>
      </w:r>
    </w:p>
    <w:p w14:paraId="25547047" w14:textId="77777777" w:rsidR="00684EE4" w:rsidRPr="004E3242" w:rsidRDefault="005E530E" w:rsidP="004E3242">
      <w:pPr>
        <w:spacing w:before="120" w:after="120"/>
        <w:jc w:val="both"/>
        <w:rPr>
          <w:rFonts w:ascii="Arial" w:hAnsi="Arial" w:cs="Arial"/>
          <w:spacing w:val="4"/>
          <w:sz w:val="20"/>
          <w:szCs w:val="20"/>
          <w:lang w:eastAsia="pl-PL"/>
        </w:rPr>
      </w:pPr>
      <w:r w:rsidRPr="005E530E">
        <w:rPr>
          <w:rFonts w:ascii="Arial" w:hAnsi="Arial" w:cs="Arial"/>
          <w:spacing w:val="4"/>
          <w:sz w:val="20"/>
          <w:szCs w:val="20"/>
          <w:lang w:eastAsia="pl-PL"/>
        </w:rPr>
        <w:t xml:space="preserve">Szczegółowe informacje nt. założeń koordynacji i podziału interwencji pomiędzy </w:t>
      </w:r>
      <w:proofErr w:type="spellStart"/>
      <w:r w:rsidRPr="005E530E">
        <w:rPr>
          <w:rFonts w:ascii="Arial" w:hAnsi="Arial" w:cs="Arial"/>
          <w:spacing w:val="4"/>
          <w:sz w:val="20"/>
          <w:szCs w:val="20"/>
          <w:lang w:eastAsia="pl-PL"/>
        </w:rPr>
        <w:t>POIiŚ</w:t>
      </w:r>
      <w:proofErr w:type="spellEnd"/>
      <w:r w:rsidRPr="005E530E">
        <w:rPr>
          <w:rFonts w:ascii="Arial" w:hAnsi="Arial" w:cs="Arial"/>
          <w:spacing w:val="4"/>
          <w:sz w:val="20"/>
          <w:szCs w:val="20"/>
          <w:lang w:eastAsia="pl-PL"/>
        </w:rPr>
        <w:t xml:space="preserve"> a innymi programami i instrumentami wsparcia opisane zostały w rozdziale 8 </w:t>
      </w:r>
      <w:proofErr w:type="spellStart"/>
      <w:r w:rsidRPr="005E530E">
        <w:rPr>
          <w:rFonts w:ascii="Arial" w:hAnsi="Arial" w:cs="Arial"/>
          <w:spacing w:val="4"/>
          <w:sz w:val="20"/>
          <w:szCs w:val="20"/>
          <w:lang w:eastAsia="pl-PL"/>
        </w:rPr>
        <w:t>POIiŚ</w:t>
      </w:r>
      <w:proofErr w:type="spellEnd"/>
      <w:r w:rsidRPr="005E530E">
        <w:rPr>
          <w:rFonts w:ascii="Arial" w:hAnsi="Arial" w:cs="Arial"/>
          <w:spacing w:val="4"/>
          <w:sz w:val="20"/>
          <w:szCs w:val="20"/>
          <w:lang w:eastAsia="pl-PL"/>
        </w:rPr>
        <w:t>.</w:t>
      </w:r>
    </w:p>
    <w:p w14:paraId="33641CB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22ADCEC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obszarze kolei miejskiej beneficjentami będą jednostki samorządu terytorialnego (w tym ich związki i porozumienia) oraz działające w ich imieniu jednostki organizacyjne i spółki specjalnego przeznaczenia, a także zarządcy infrastruktury oraz przewoźnicy świadczący usługi w zakresie kolejowego transportu pasażerskiego w miastach i na ich obszarach funkcjonalnych. W obszarze transportu kolejowego poza miastami (linie poza siecią TEN-T) beneficjentami będą zarządcy infrastruktury kolejowej (w tym dworcowej) oraz przedsiębiorstwa kolejowych przewozów pasażerskich i towarowych, a także spółki powołane specjalnie w celu prowadzenia działalności polegającej na wynajmowaniu/leasingu taboru kolejowego (tzw. ROSCO – </w:t>
      </w:r>
      <w:r w:rsidRPr="004E3242">
        <w:rPr>
          <w:rFonts w:ascii="Arial" w:hAnsi="Arial" w:cs="Arial"/>
          <w:i/>
          <w:spacing w:val="4"/>
          <w:sz w:val="20"/>
          <w:szCs w:val="20"/>
        </w:rPr>
        <w:t xml:space="preserve">rolling </w:t>
      </w:r>
      <w:proofErr w:type="spellStart"/>
      <w:r w:rsidRPr="004E3242">
        <w:rPr>
          <w:rFonts w:ascii="Arial" w:hAnsi="Arial" w:cs="Arial"/>
          <w:i/>
          <w:spacing w:val="4"/>
          <w:sz w:val="20"/>
          <w:szCs w:val="20"/>
        </w:rPr>
        <w:t>stock</w:t>
      </w:r>
      <w:proofErr w:type="spellEnd"/>
      <w:r w:rsidRPr="004E3242">
        <w:rPr>
          <w:rFonts w:ascii="Arial" w:hAnsi="Arial" w:cs="Arial"/>
          <w:i/>
          <w:spacing w:val="4"/>
          <w:sz w:val="20"/>
          <w:szCs w:val="20"/>
        </w:rPr>
        <w:t xml:space="preserve"> leasing </w:t>
      </w:r>
      <w:proofErr w:type="spellStart"/>
      <w:r w:rsidRPr="004E3242">
        <w:rPr>
          <w:rFonts w:ascii="Arial" w:hAnsi="Arial" w:cs="Arial"/>
          <w:i/>
          <w:spacing w:val="4"/>
          <w:sz w:val="20"/>
          <w:szCs w:val="20"/>
        </w:rPr>
        <w:t>companies</w:t>
      </w:r>
      <w:proofErr w:type="spellEnd"/>
      <w:r w:rsidRPr="004E3242">
        <w:rPr>
          <w:rFonts w:ascii="Arial" w:hAnsi="Arial" w:cs="Arial"/>
          <w:spacing w:val="4"/>
          <w:sz w:val="20"/>
          <w:szCs w:val="20"/>
        </w:rPr>
        <w:t>) oraz samorządy terytorialne (infrastruktura dworcowa i tabor kolejowy). Ponadto, dla działań w zakresie poprawy bezpieczeństwa na kolei, beneficjentami będą służby ratownicze (ratownictwo techniczne).</w:t>
      </w:r>
    </w:p>
    <w:p w14:paraId="00E17FC9"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spacing w:val="4"/>
          <w:sz w:val="20"/>
          <w:szCs w:val="20"/>
        </w:rPr>
        <w:lastRenderedPageBreak/>
        <w:t xml:space="preserve">Z uwagi na to, że interwencja będzie miała charakter horyzontalny i dotyczyła całego kraju grupami docelowymi wsparcia będą użytkownicy indywidualni i przedsiębiorcy korzystający </w:t>
      </w:r>
      <w:r w:rsidRPr="004E3242">
        <w:rPr>
          <w:rFonts w:ascii="Arial" w:hAnsi="Arial" w:cs="Arial"/>
          <w:spacing w:val="4"/>
          <w:sz w:val="20"/>
          <w:szCs w:val="20"/>
        </w:rPr>
        <w:br/>
        <w:t>z infrastruktury kolejowej i środków kolejowego transportu zbiorowego dofinansowanych ze środków UE.</w:t>
      </w:r>
    </w:p>
    <w:p w14:paraId="65EFE1F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3EBB9C90"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Wsparcie ma charakter horyzontalny i dotyczy całego kraju. Ze względu na rolę kolei w rozwoju poszczególnych obszarów, interwencja obejmować będzie linie kolejowe poza siecią TEN-T, stanowiąc uzupełnienie służące dołączeniu do sieci TEN-T pozostałych obszarów nie znajdujących się w bezpośrednim zasięgu sieci kolejowej włączonej do transeuropejskiej sieci transportowej. Interwencja POIŚ na liniach kolejowych poza TEN-T będzie komplementarna do inwestycji na liniach kolejowych o znaczeniu makroregionalnym, finansowanych w ramach PO Polska Wschodnia. W pierwszym rzędzie wsparcie będzie skierowane do obszarów wymagających dokończenia inwestycji infrastrukturalnych podjętych w okresie 2007-2013. Budowa połączeń transportowych, zwiększających dostępność do polskich ośrodków wzrostu, będzie wypełniała założenia Krajowej Polityki Miejskiej w zakresie wzmocnienia infrastruktury transportowej, służącej poprawie możliwości rozwojowych miast w relacjach krajowych oraz europejskich.</w:t>
      </w:r>
    </w:p>
    <w:p w14:paraId="3E722697"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przypadku linii poza TEN-T rozwijane będą połączenia ważnych ośrodków przemysłowych </w:t>
      </w:r>
      <w:r w:rsidRPr="004E3242">
        <w:rPr>
          <w:rFonts w:ascii="Arial" w:hAnsi="Arial" w:cs="Arial"/>
          <w:spacing w:val="4"/>
          <w:sz w:val="20"/>
          <w:szCs w:val="20"/>
        </w:rPr>
        <w:br/>
        <w:t xml:space="preserve">i gospodarczych do sieci transeuropejskiej, w tym do portów morskich i lotniczych (tzw. </w:t>
      </w:r>
      <w:proofErr w:type="spellStart"/>
      <w:r w:rsidRPr="004E3242">
        <w:rPr>
          <w:rFonts w:ascii="Arial" w:hAnsi="Arial" w:cs="Arial"/>
          <w:i/>
          <w:spacing w:val="4"/>
          <w:sz w:val="20"/>
          <w:szCs w:val="20"/>
        </w:rPr>
        <w:t>feeder</w:t>
      </w:r>
      <w:proofErr w:type="spellEnd"/>
      <w:r w:rsidRPr="004E3242">
        <w:rPr>
          <w:rFonts w:ascii="Arial" w:hAnsi="Arial" w:cs="Arial"/>
          <w:i/>
          <w:spacing w:val="4"/>
          <w:sz w:val="20"/>
          <w:szCs w:val="20"/>
        </w:rPr>
        <w:t xml:space="preserve"> lines</w:t>
      </w:r>
      <w:r w:rsidRPr="004E3242">
        <w:rPr>
          <w:rFonts w:ascii="Arial" w:hAnsi="Arial" w:cs="Arial"/>
          <w:spacing w:val="4"/>
          <w:sz w:val="20"/>
          <w:szCs w:val="20"/>
        </w:rPr>
        <w:t>).</w:t>
      </w:r>
    </w:p>
    <w:p w14:paraId="3C3F465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zakresie rozwoju kolei miejskiej, wsparcie dedykowane zostanie obszarom strategicznej interwencji w ramach programu, jakimi są miasta i obszary powiązane z nimi funkcjonalnie, zwłaszcza miasta wojewódzkie oraz w mniejszym zakresie, w sposób pośredni miasta regionalne i </w:t>
      </w:r>
      <w:proofErr w:type="spellStart"/>
      <w:r w:rsidRPr="004E3242">
        <w:rPr>
          <w:rFonts w:ascii="Arial" w:hAnsi="Arial" w:cs="Arial"/>
          <w:spacing w:val="4"/>
          <w:sz w:val="20"/>
          <w:szCs w:val="20"/>
        </w:rPr>
        <w:t>subregionalne</w:t>
      </w:r>
      <w:proofErr w:type="spellEnd"/>
      <w:r w:rsidRPr="004E3242">
        <w:rPr>
          <w:rFonts w:ascii="Arial" w:hAnsi="Arial" w:cs="Arial"/>
          <w:spacing w:val="4"/>
          <w:sz w:val="20"/>
          <w:szCs w:val="20"/>
        </w:rPr>
        <w:t>.</w:t>
      </w:r>
    </w:p>
    <w:p w14:paraId="627B8A5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Inwestycje prowadzone w powyższym obszarze wpłyną również na poprawę spójności sieci oraz dostępności transportowej w wymiarze zewnętrznym, w szczególności na obszarze Morza Bałtyckiego, przyczyniając się do osiągania celów SUE RMB określonych w OP TRANSPORT.</w:t>
      </w:r>
    </w:p>
    <w:p w14:paraId="3877380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50AD00CA"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Wybór projektów do dofinansowania w ramach priorytetu inwestycyjnego nastąpi w trybie pozakonkursowym lub konkursowym. Zastosowanie konkretnego trybu będzie uzależnione od rodzaju projektów, które będą podlegały dofinansowaniu, zgodnie z Umową Partnerstwa. Tryb pozakonkursowy będzie miał zastosowanie do projektów kolei poza TEN-T o strategicznym znaczeniu dla społeczno-gospodarczego rozwoju kraju, zidentyfikowanych w dokumentach strategicznych </w:t>
      </w:r>
      <w:r w:rsidRPr="004E3242">
        <w:rPr>
          <w:rFonts w:ascii="Arial" w:hAnsi="Arial" w:cs="Arial"/>
          <w:sz w:val="20"/>
          <w:szCs w:val="20"/>
        </w:rPr>
        <w:br/>
        <w:t>w zakresie planowania rozwoju infrastruktury transportu (w tym Dokument Implementacyjny do Strategii Rozwoju Transportu).</w:t>
      </w:r>
    </w:p>
    <w:p w14:paraId="18043195"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W pozostałych przypadkach będzie miał zastosowanie tryb konkursowy, w tym m. in. dla inwestycji </w:t>
      </w:r>
      <w:r w:rsidRPr="004E3242">
        <w:rPr>
          <w:rFonts w:ascii="Arial" w:hAnsi="Arial" w:cs="Arial"/>
          <w:sz w:val="20"/>
          <w:szCs w:val="20"/>
        </w:rPr>
        <w:br/>
        <w:t>w kolej miejską oraz dla projektów zakupu lub modernizacji taboru kolejowego.</w:t>
      </w:r>
    </w:p>
    <w:p w14:paraId="73EEDFB1"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osi priorytetowej. Nie przewiduje się różnicowania kryteriów wyboru projektów ze względu na tryb wyboru. Kryteria będą precyzyjne, mierzalne i obiektywne. Dodatkowo dopuszcza się możliwość nadania kryteriom merytorycznym odpowiedniej punktacji oraz określonych wag punktowych. W procesie wyboru projektów transportu kolejowego poza TEN-T będzie uwzględniany ich wkład w budowę spójnej sieci kolejowej i jej integracji z siecią TEN-T, poprawę bezpieczeństwa na kolei, dostępności obszarów przemysłowych i innych miejsc aktywności gospodarczej, zmniejszenie ograniczeń przepustowości infrastruktury i integrację systemu transportowego. Realizowane będą inwestycje </w:t>
      </w:r>
      <w:r w:rsidRPr="004E3242">
        <w:rPr>
          <w:rFonts w:ascii="Arial" w:hAnsi="Arial" w:cs="Arial"/>
          <w:sz w:val="20"/>
          <w:szCs w:val="20"/>
        </w:rPr>
        <w:br/>
        <w:t xml:space="preserve">w rozwój kolei na obszarach aglomeracji, które przyczynią się do poprawy funkcjonowania transportu </w:t>
      </w:r>
      <w:r w:rsidRPr="004E3242">
        <w:rPr>
          <w:rFonts w:ascii="Arial" w:hAnsi="Arial" w:cs="Arial"/>
          <w:sz w:val="20"/>
          <w:szCs w:val="20"/>
        </w:rPr>
        <w:lastRenderedPageBreak/>
        <w:t>na obszarze metropolii, zmniejszenia zatłoczenia komunikacyjnego w miastach oraz poprawy dostępności i mobilności miejskiej. W obydwu przedstawionych obszarach interwencji projekty będą charakteryzowały się efektywnością ekonomiczną.</w:t>
      </w:r>
    </w:p>
    <w:p w14:paraId="2E087CD7" w14:textId="77777777" w:rsidR="004E3242" w:rsidRDefault="004E3242" w:rsidP="004E3242">
      <w:pPr>
        <w:spacing w:before="120" w:after="120"/>
        <w:jc w:val="both"/>
        <w:rPr>
          <w:rFonts w:ascii="Arial" w:hAnsi="Arial" w:cs="Arial"/>
          <w:sz w:val="20"/>
          <w:szCs w:val="20"/>
        </w:rPr>
      </w:pPr>
      <w:r w:rsidRPr="004E3242">
        <w:rPr>
          <w:rFonts w:ascii="Arial" w:hAnsi="Arial" w:cs="Arial"/>
          <w:sz w:val="20"/>
          <w:szCs w:val="20"/>
        </w:rPr>
        <w:t>Wybór do dofinansowania projektów taboru szynowego będzie uzależniony od stanu technicznego infrastruktury, po której będzie się poruszał w celu zagwarantowania optymalnego wykorzystania parametrów technicznych zakupionego lub zmodernizowanego taboru. Preferowane będzie dofinansowanie taboru wykorzystywanego do przewozów o charakterze użyteczności publicznej. Tabor wykorzystywany do przewozów komercyjnych będzie mógł uzyskać dofinansowanie jeśli zostanie wykazane, że bez dofinansowania przewoźnik nie zrealizowałby inwestycji w takim samym zakresie, a jest ona niezbędna dla osiągnięcia założonych celów w zakresie rozwoju regionalnego.</w:t>
      </w:r>
    </w:p>
    <w:p w14:paraId="16AA218B" w14:textId="77777777" w:rsidR="00EA1F3A" w:rsidRPr="004E3242" w:rsidRDefault="00EA1F3A" w:rsidP="004E3242">
      <w:pPr>
        <w:spacing w:before="120" w:after="120"/>
        <w:jc w:val="both"/>
        <w:rPr>
          <w:rFonts w:ascii="Arial" w:hAnsi="Arial" w:cs="Arial"/>
          <w:sz w:val="20"/>
          <w:szCs w:val="20"/>
        </w:rPr>
      </w:pPr>
      <w:r w:rsidRPr="00EA1F3A">
        <w:rPr>
          <w:rFonts w:ascii="Arial" w:hAnsi="Arial" w:cs="Arial"/>
          <w:sz w:val="20"/>
          <w:szCs w:val="20"/>
        </w:rPr>
        <w:t xml:space="preserve">W celu maksymalizacji wykorzystania środków w sektorze kolejowym, zgodnie z zapisami Umowy Partnerstwa, na czas realizacji programów operacyjnych na lata 2014-2020 w zakresie inwestycji kolejowych, w tym inwestycji </w:t>
      </w:r>
      <w:proofErr w:type="spellStart"/>
      <w:r w:rsidRPr="00EA1F3A">
        <w:rPr>
          <w:rFonts w:ascii="Arial" w:hAnsi="Arial" w:cs="Arial"/>
          <w:sz w:val="20"/>
          <w:szCs w:val="20"/>
        </w:rPr>
        <w:t>POIiŚ</w:t>
      </w:r>
      <w:proofErr w:type="spellEnd"/>
      <w:r w:rsidRPr="00EA1F3A">
        <w:rPr>
          <w:rFonts w:ascii="Arial" w:hAnsi="Arial" w:cs="Arial"/>
          <w:sz w:val="20"/>
          <w:szCs w:val="20"/>
        </w:rPr>
        <w:t xml:space="preserve"> 2014-2020, została powołana Grupa Wysokiego Szczebla ds. Inwestycji Kolejowych. Do zadań Grupy będzie należało identyfikowanie barier systemowych i operacyjnych oraz przedstawianie propozycji działań zaradczych w zakresie sektora kolejowego w Polsce w okresie programowania 2014-2020 w tym w ramach projektów </w:t>
      </w:r>
      <w:proofErr w:type="spellStart"/>
      <w:r w:rsidRPr="00EA1F3A">
        <w:rPr>
          <w:rFonts w:ascii="Arial" w:hAnsi="Arial" w:cs="Arial"/>
          <w:sz w:val="20"/>
          <w:szCs w:val="20"/>
        </w:rPr>
        <w:t>POIiŚ</w:t>
      </w:r>
      <w:proofErr w:type="spellEnd"/>
      <w:r w:rsidRPr="00EA1F3A">
        <w:rPr>
          <w:rFonts w:ascii="Arial" w:hAnsi="Arial" w:cs="Arial"/>
          <w:sz w:val="20"/>
          <w:szCs w:val="20"/>
        </w:rPr>
        <w:t xml:space="preserve"> 2014-2020. Ponadto celem Grupy jest monitorowanie postępu realizacji inwestycji kolejowych oraz wymiana opinii, informacji oraz doświadczeń. Grupa zastępuje ustanowiony w poprzednim okresie programowania </w:t>
      </w:r>
      <w:proofErr w:type="spellStart"/>
      <w:r w:rsidRPr="00EA1F3A">
        <w:rPr>
          <w:rFonts w:ascii="Arial" w:hAnsi="Arial" w:cs="Arial"/>
          <w:sz w:val="20"/>
          <w:szCs w:val="20"/>
        </w:rPr>
        <w:t>Task</w:t>
      </w:r>
      <w:proofErr w:type="spellEnd"/>
      <w:r w:rsidRPr="00EA1F3A">
        <w:rPr>
          <w:rFonts w:ascii="Arial" w:hAnsi="Arial" w:cs="Arial"/>
          <w:sz w:val="20"/>
          <w:szCs w:val="20"/>
        </w:rPr>
        <w:t xml:space="preserve"> Force kolejowy, z udziałem Komisji Europejskiej.</w:t>
      </w:r>
    </w:p>
    <w:p w14:paraId="17D59862" w14:textId="77777777" w:rsidR="00906F03" w:rsidRDefault="00906F03" w:rsidP="004E3242">
      <w:pPr>
        <w:spacing w:before="120" w:after="120"/>
        <w:jc w:val="both"/>
        <w:rPr>
          <w:rFonts w:ascii="Arial" w:hAnsi="Arial" w:cs="Arial"/>
          <w:sz w:val="20"/>
          <w:szCs w:val="20"/>
        </w:rPr>
      </w:pPr>
      <w:r w:rsidRPr="00906F03">
        <w:rPr>
          <w:rFonts w:ascii="Arial" w:hAnsi="Arial" w:cs="Arial"/>
          <w:sz w:val="20"/>
          <w:szCs w:val="20"/>
        </w:rPr>
        <w:t>Do dokumentów zamknięcia tego programu zostanie dołączona lista wszystkich dofinansowanych projektów przygotowawczych wraz z listą odpowiadających im inwestycji przeznaczonych do realizacji w ramach tego programu lub programów operacyjnych polityki spójności następujących po roku 2020.</w:t>
      </w:r>
    </w:p>
    <w:p w14:paraId="784394A1" w14:textId="77777777" w:rsidR="00684EE4" w:rsidRPr="005E530E" w:rsidRDefault="005E530E" w:rsidP="004E3242">
      <w:pPr>
        <w:spacing w:before="120" w:after="120"/>
        <w:jc w:val="both"/>
        <w:rPr>
          <w:rFonts w:ascii="Arial" w:eastAsia="Arial Unicode MS" w:hAnsi="Arial" w:cs="Arial"/>
          <w:color w:val="000000"/>
          <w:spacing w:val="4"/>
          <w:sz w:val="20"/>
          <w:szCs w:val="20"/>
          <w:lang w:eastAsia="pl-PL"/>
        </w:rPr>
      </w:pPr>
      <w:r w:rsidRPr="005E530E">
        <w:rPr>
          <w:rFonts w:ascii="Arial" w:eastAsia="Arial Unicode MS" w:hAnsi="Arial" w:cs="Arial"/>
          <w:color w:val="000000"/>
          <w:spacing w:val="4"/>
          <w:sz w:val="20"/>
          <w:szCs w:val="20"/>
          <w:lang w:eastAsia="pl-PL"/>
        </w:rPr>
        <w:t xml:space="preserve">Szczegółowe informacje nt. założeń koordynacji i podziału interwencji pomiędzy </w:t>
      </w:r>
      <w:proofErr w:type="spellStart"/>
      <w:r w:rsidRPr="005E530E">
        <w:rPr>
          <w:rFonts w:ascii="Arial" w:eastAsia="Arial Unicode MS" w:hAnsi="Arial" w:cs="Arial"/>
          <w:color w:val="000000"/>
          <w:spacing w:val="4"/>
          <w:sz w:val="20"/>
          <w:szCs w:val="20"/>
          <w:lang w:eastAsia="pl-PL"/>
        </w:rPr>
        <w:t>POIiŚ</w:t>
      </w:r>
      <w:proofErr w:type="spellEnd"/>
      <w:r w:rsidRPr="005E530E">
        <w:rPr>
          <w:rFonts w:ascii="Arial" w:eastAsia="Arial Unicode MS" w:hAnsi="Arial" w:cs="Arial"/>
          <w:color w:val="000000"/>
          <w:spacing w:val="4"/>
          <w:sz w:val="20"/>
          <w:szCs w:val="20"/>
          <w:lang w:eastAsia="pl-PL"/>
        </w:rPr>
        <w:t xml:space="preserve"> a innymi programami i instrumentami wsparcia opisane zostały w rozdziale 8 </w:t>
      </w:r>
      <w:proofErr w:type="spellStart"/>
      <w:r w:rsidRPr="005E530E">
        <w:rPr>
          <w:rFonts w:ascii="Arial" w:eastAsia="Arial Unicode MS" w:hAnsi="Arial" w:cs="Arial"/>
          <w:color w:val="000000"/>
          <w:spacing w:val="4"/>
          <w:sz w:val="20"/>
          <w:szCs w:val="20"/>
          <w:lang w:eastAsia="pl-PL"/>
        </w:rPr>
        <w:t>POIiŚ</w:t>
      </w:r>
      <w:proofErr w:type="spellEnd"/>
      <w:r w:rsidRPr="005E530E">
        <w:rPr>
          <w:rFonts w:ascii="Arial" w:eastAsia="Arial Unicode MS" w:hAnsi="Arial" w:cs="Arial"/>
          <w:color w:val="000000"/>
          <w:spacing w:val="4"/>
          <w:sz w:val="20"/>
          <w:szCs w:val="20"/>
          <w:lang w:eastAsia="pl-PL"/>
        </w:rPr>
        <w:t>.</w:t>
      </w:r>
    </w:p>
    <w:p w14:paraId="53A9EB0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38AB80FB" w14:textId="77777777" w:rsidR="004E3242" w:rsidRPr="004E3242" w:rsidRDefault="004E3242" w:rsidP="004E3242">
      <w:pPr>
        <w:spacing w:before="120" w:after="120"/>
        <w:jc w:val="both"/>
        <w:rPr>
          <w:rFonts w:ascii="Arial" w:hAnsi="Arial" w:cs="Arial"/>
          <w:color w:val="000000"/>
          <w:spacing w:val="4"/>
          <w:sz w:val="20"/>
          <w:szCs w:val="20"/>
          <w:lang w:eastAsia="pl-PL"/>
        </w:rPr>
      </w:pPr>
      <w:r w:rsidRPr="004E3242">
        <w:rPr>
          <w:rFonts w:ascii="Arial" w:hAnsi="Arial" w:cs="Arial"/>
          <w:color w:val="000000"/>
          <w:spacing w:val="4"/>
          <w:sz w:val="20"/>
          <w:szCs w:val="20"/>
          <w:lang w:eastAsia="pl-PL"/>
        </w:rPr>
        <w:t>W ramach priorytetu inwestycyjnego nie przewiduje się wsparcia w formie instrumentów finansowych.</w:t>
      </w:r>
    </w:p>
    <w:p w14:paraId="267FF18E" w14:textId="77777777" w:rsidR="004E3242" w:rsidRPr="004E3242" w:rsidRDefault="004E3242" w:rsidP="004E3242">
      <w:pPr>
        <w:spacing w:before="120" w:after="120"/>
        <w:jc w:val="both"/>
        <w:rPr>
          <w:rFonts w:ascii="Arial" w:hAnsi="Arial" w:cs="Arial"/>
          <w:color w:val="000000"/>
          <w:spacing w:val="4"/>
          <w:sz w:val="20"/>
          <w:szCs w:val="20"/>
          <w:lang w:eastAsia="pl-PL"/>
        </w:rPr>
      </w:pPr>
      <w:r w:rsidRPr="004E3242">
        <w:rPr>
          <w:rFonts w:ascii="Arial" w:hAnsi="Arial" w:cs="Arial"/>
          <w:color w:val="000000"/>
          <w:spacing w:val="4"/>
          <w:sz w:val="20"/>
          <w:szCs w:val="20"/>
          <w:lang w:eastAsia="pl-PL"/>
        </w:rPr>
        <w:t>Pomoc publiczna może występować w przypadku transportu kolejowego w projektach dotyczących zakupu/modernizacji taboru.</w:t>
      </w:r>
    </w:p>
    <w:p w14:paraId="15629C4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0312BC92"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pomiędzy podmiotem publicznym i podmiotem sektora prywatnego (o ile dotyczy), będzie zgodny z art. 102 ust. 3 rozporządzenia ogólnego. Po przygotowaniu kompletnej dokumentacji projektowej możliwe będzie precyzyjne określenie zakresu rzeczowego oraz szacowanych kosztów tych projektów.</w:t>
      </w:r>
    </w:p>
    <w:p w14:paraId="00D8DFEB"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Realizacja dużych projektów w znaczący sposób przyczyni się do osiągnięcia celu szczegółowego tego priorytetu, związanego z poprawą infrastruktury krajowych połączeń kolejowych, poprzez wdrażanie inwestycji związanych z modernizacją i rehabilitacją linii kolejowych poza TEN-T, których rezultatem będzie ich większe wykorzystanie w transporcie osób i towarów.</w:t>
      </w:r>
    </w:p>
    <w:p w14:paraId="1B12FAAA"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Jednocześnie nie można wykluczyć, że projekty duże zostaną zidentyfikowane również na etapie wdrażania.</w:t>
      </w:r>
    </w:p>
    <w:p w14:paraId="4227106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4942"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499"/>
        <w:gridCol w:w="2335"/>
        <w:gridCol w:w="995"/>
        <w:gridCol w:w="991"/>
        <w:gridCol w:w="993"/>
        <w:gridCol w:w="991"/>
        <w:gridCol w:w="995"/>
        <w:gridCol w:w="1379"/>
      </w:tblGrid>
      <w:tr w:rsidR="004E3242" w:rsidRPr="004E3242" w14:paraId="06DBB58D" w14:textId="77777777" w:rsidTr="00AA7998">
        <w:tc>
          <w:tcPr>
            <w:tcW w:w="272" w:type="pct"/>
            <w:shd w:val="clear" w:color="auto" w:fill="99CC00"/>
            <w:vAlign w:val="center"/>
          </w:tcPr>
          <w:p w14:paraId="6FAC7B58"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72" w:type="pct"/>
            <w:shd w:val="clear" w:color="auto" w:fill="99CC00"/>
            <w:vAlign w:val="center"/>
          </w:tcPr>
          <w:p w14:paraId="4704CB2A"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42" w:type="pct"/>
            <w:shd w:val="clear" w:color="auto" w:fill="99CC00"/>
            <w:vAlign w:val="center"/>
          </w:tcPr>
          <w:p w14:paraId="1DF2EF30"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40" w:type="pct"/>
            <w:shd w:val="clear" w:color="auto" w:fill="99CC00"/>
            <w:vAlign w:val="center"/>
          </w:tcPr>
          <w:p w14:paraId="0BCED19E"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541" w:type="pct"/>
            <w:shd w:val="clear" w:color="auto" w:fill="99CC00"/>
            <w:vAlign w:val="center"/>
          </w:tcPr>
          <w:p w14:paraId="184C5153"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40" w:type="pct"/>
            <w:shd w:val="clear" w:color="auto" w:fill="99CC00"/>
            <w:vAlign w:val="center"/>
          </w:tcPr>
          <w:p w14:paraId="42D89619"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42" w:type="pct"/>
            <w:shd w:val="clear" w:color="auto" w:fill="99CC00"/>
            <w:vAlign w:val="center"/>
          </w:tcPr>
          <w:p w14:paraId="0A0318B9"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51" w:type="pct"/>
            <w:shd w:val="clear" w:color="auto" w:fill="99CC00"/>
            <w:vAlign w:val="center"/>
          </w:tcPr>
          <w:p w14:paraId="33D82A4E"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1655F11E" w14:textId="77777777" w:rsidTr="00AA7998">
        <w:tc>
          <w:tcPr>
            <w:tcW w:w="272" w:type="pct"/>
            <w:shd w:val="clear" w:color="auto" w:fill="F2F2F2"/>
            <w:vAlign w:val="center"/>
          </w:tcPr>
          <w:p w14:paraId="35D09314"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lastRenderedPageBreak/>
              <w:t>1.</w:t>
            </w:r>
          </w:p>
        </w:tc>
        <w:tc>
          <w:tcPr>
            <w:tcW w:w="1272" w:type="pct"/>
            <w:shd w:val="clear" w:color="auto" w:fill="F2F2F2"/>
            <w:vAlign w:val="center"/>
          </w:tcPr>
          <w:p w14:paraId="1DA72A3A"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Całkowita długość przebudowanych lub zmodernizowanych linii kolejowych</w:t>
            </w:r>
          </w:p>
        </w:tc>
        <w:tc>
          <w:tcPr>
            <w:tcW w:w="542" w:type="pct"/>
            <w:shd w:val="clear" w:color="auto" w:fill="F2F2F2"/>
            <w:vAlign w:val="center"/>
          </w:tcPr>
          <w:p w14:paraId="310BC33F"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km</w:t>
            </w:r>
          </w:p>
        </w:tc>
        <w:tc>
          <w:tcPr>
            <w:tcW w:w="540" w:type="pct"/>
            <w:shd w:val="clear" w:color="auto" w:fill="F2F2F2"/>
            <w:vAlign w:val="center"/>
          </w:tcPr>
          <w:p w14:paraId="2B4E0900"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41" w:type="pct"/>
            <w:shd w:val="clear" w:color="auto" w:fill="F2F2F2"/>
            <w:vAlign w:val="center"/>
          </w:tcPr>
          <w:p w14:paraId="6BBC18EB"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40" w:type="pct"/>
            <w:shd w:val="clear" w:color="auto" w:fill="F2F2F2"/>
            <w:vAlign w:val="center"/>
          </w:tcPr>
          <w:p w14:paraId="2A14D9FF"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103</w:t>
            </w:r>
          </w:p>
        </w:tc>
        <w:tc>
          <w:tcPr>
            <w:tcW w:w="542" w:type="pct"/>
            <w:shd w:val="clear" w:color="auto" w:fill="F2F2F2"/>
            <w:vAlign w:val="center"/>
          </w:tcPr>
          <w:p w14:paraId="7CFBD164"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51" w:type="pct"/>
            <w:shd w:val="clear" w:color="auto" w:fill="F2F2F2"/>
            <w:vAlign w:val="center"/>
          </w:tcPr>
          <w:p w14:paraId="639CEDA6"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393FA410" w14:textId="77777777" w:rsidTr="00AA7998">
        <w:tc>
          <w:tcPr>
            <w:tcW w:w="272" w:type="pct"/>
            <w:shd w:val="clear" w:color="auto" w:fill="F2F2F2"/>
            <w:vAlign w:val="center"/>
          </w:tcPr>
          <w:p w14:paraId="7A0FD061"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1272" w:type="pct"/>
            <w:shd w:val="clear" w:color="auto" w:fill="F2F2F2"/>
            <w:vAlign w:val="center"/>
          </w:tcPr>
          <w:p w14:paraId="4BBA1A31"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z w:val="16"/>
                <w:szCs w:val="16"/>
              </w:rPr>
              <w:t>Liczba zakupionych/ zmodernizowanych pojazdów kolejowych</w:t>
            </w:r>
          </w:p>
        </w:tc>
        <w:tc>
          <w:tcPr>
            <w:tcW w:w="542" w:type="pct"/>
            <w:shd w:val="clear" w:color="auto" w:fill="F2F2F2"/>
            <w:vAlign w:val="center"/>
          </w:tcPr>
          <w:p w14:paraId="3D8B9481"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szt.</w:t>
            </w:r>
          </w:p>
        </w:tc>
        <w:tc>
          <w:tcPr>
            <w:tcW w:w="540" w:type="pct"/>
            <w:shd w:val="clear" w:color="auto" w:fill="F2F2F2"/>
            <w:vAlign w:val="center"/>
          </w:tcPr>
          <w:p w14:paraId="2ECCF660"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541" w:type="pct"/>
            <w:shd w:val="clear" w:color="auto" w:fill="F2F2F2"/>
            <w:vAlign w:val="center"/>
          </w:tcPr>
          <w:p w14:paraId="08148EBB"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40" w:type="pct"/>
            <w:shd w:val="clear" w:color="auto" w:fill="F2F2F2"/>
            <w:vAlign w:val="center"/>
          </w:tcPr>
          <w:p w14:paraId="17B444D9"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222</w:t>
            </w:r>
          </w:p>
        </w:tc>
        <w:tc>
          <w:tcPr>
            <w:tcW w:w="542" w:type="pct"/>
            <w:shd w:val="clear" w:color="auto" w:fill="F2F2F2"/>
            <w:vAlign w:val="center"/>
          </w:tcPr>
          <w:p w14:paraId="79C1F30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751" w:type="pct"/>
            <w:shd w:val="clear" w:color="auto" w:fill="F2F2F2"/>
            <w:vAlign w:val="center"/>
          </w:tcPr>
          <w:p w14:paraId="209618B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bl>
    <w:p w14:paraId="5985C364" w14:textId="77777777" w:rsidR="004E3242" w:rsidRPr="004E3242" w:rsidRDefault="004E3242" w:rsidP="004E3242">
      <w:pPr>
        <w:spacing w:after="120" w:line="280" w:lineRule="atLeast"/>
        <w:jc w:val="both"/>
        <w:rPr>
          <w:rFonts w:ascii="Arial" w:hAnsi="Arial" w:cs="Arial"/>
          <w:b/>
          <w:spacing w:val="4"/>
          <w:sz w:val="20"/>
          <w:szCs w:val="20"/>
        </w:rPr>
        <w:sectPr w:rsidR="004E3242" w:rsidRPr="004E3242" w:rsidSect="00C73ABE">
          <w:pgSz w:w="11906" w:h="16838"/>
          <w:pgMar w:top="1418" w:right="1418" w:bottom="1418" w:left="1418" w:header="709" w:footer="709" w:gutter="0"/>
          <w:cols w:space="708"/>
          <w:titlePg/>
          <w:docGrid w:linePitch="360"/>
        </w:sectPr>
      </w:pPr>
    </w:p>
    <w:p w14:paraId="7BA5BB66"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Ramy wykonania</w:t>
      </w:r>
    </w:p>
    <w:tbl>
      <w:tblPr>
        <w:tblW w:w="487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36"/>
        <w:gridCol w:w="1275"/>
        <w:gridCol w:w="2834"/>
        <w:gridCol w:w="1125"/>
        <w:gridCol w:w="858"/>
        <w:gridCol w:w="1002"/>
        <w:gridCol w:w="1385"/>
        <w:gridCol w:w="1442"/>
        <w:gridCol w:w="1418"/>
        <w:gridCol w:w="3081"/>
      </w:tblGrid>
      <w:tr w:rsidR="004E3242" w:rsidRPr="004E3242" w14:paraId="4C6A9611" w14:textId="77777777" w:rsidTr="00AA7998">
        <w:tc>
          <w:tcPr>
            <w:tcW w:w="179" w:type="pct"/>
            <w:shd w:val="clear" w:color="auto" w:fill="99CC00"/>
            <w:vAlign w:val="center"/>
          </w:tcPr>
          <w:p w14:paraId="201343B9"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426" w:type="pct"/>
            <w:shd w:val="clear" w:color="auto" w:fill="99CC00"/>
            <w:vAlign w:val="center"/>
          </w:tcPr>
          <w:p w14:paraId="1E19D9DD"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947" w:type="pct"/>
            <w:shd w:val="clear" w:color="auto" w:fill="99CC00"/>
            <w:vAlign w:val="center"/>
          </w:tcPr>
          <w:p w14:paraId="60C7BBF7"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376" w:type="pct"/>
            <w:shd w:val="clear" w:color="auto" w:fill="99CC00"/>
            <w:vAlign w:val="center"/>
          </w:tcPr>
          <w:p w14:paraId="6982D3E9"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287" w:type="pct"/>
            <w:shd w:val="clear" w:color="auto" w:fill="99CC00"/>
            <w:vAlign w:val="center"/>
          </w:tcPr>
          <w:p w14:paraId="5B088209"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335" w:type="pct"/>
            <w:shd w:val="clear" w:color="auto" w:fill="99CC00"/>
            <w:vAlign w:val="center"/>
          </w:tcPr>
          <w:p w14:paraId="70717ECA"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63" w:type="pct"/>
            <w:shd w:val="clear" w:color="auto" w:fill="99CC00"/>
            <w:vAlign w:val="center"/>
          </w:tcPr>
          <w:p w14:paraId="4D19FE53"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482" w:type="pct"/>
            <w:shd w:val="clear" w:color="auto" w:fill="99CC00"/>
            <w:vAlign w:val="center"/>
          </w:tcPr>
          <w:p w14:paraId="793E8234"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474" w:type="pct"/>
            <w:shd w:val="clear" w:color="auto" w:fill="99CC00"/>
            <w:vAlign w:val="center"/>
          </w:tcPr>
          <w:p w14:paraId="6E15ECBD"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030" w:type="pct"/>
            <w:shd w:val="clear" w:color="auto" w:fill="99CC00"/>
            <w:vAlign w:val="center"/>
          </w:tcPr>
          <w:p w14:paraId="5A280592"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197866D6" w14:textId="77777777" w:rsidTr="00AA7998">
        <w:tc>
          <w:tcPr>
            <w:tcW w:w="179" w:type="pct"/>
            <w:shd w:val="clear" w:color="auto" w:fill="F2F2F2"/>
            <w:vAlign w:val="center"/>
          </w:tcPr>
          <w:p w14:paraId="300BF6D3"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1.</w:t>
            </w:r>
          </w:p>
        </w:tc>
        <w:tc>
          <w:tcPr>
            <w:tcW w:w="426" w:type="pct"/>
            <w:shd w:val="clear" w:color="auto" w:fill="F2F2F2"/>
            <w:vAlign w:val="center"/>
          </w:tcPr>
          <w:p w14:paraId="5608BEAA"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Wskaźnik finansowy</w:t>
            </w:r>
          </w:p>
        </w:tc>
        <w:tc>
          <w:tcPr>
            <w:tcW w:w="947" w:type="pct"/>
            <w:shd w:val="clear" w:color="auto" w:fill="F2F2F2"/>
            <w:vAlign w:val="center"/>
          </w:tcPr>
          <w:p w14:paraId="28875A93"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z w:val="16"/>
                <w:szCs w:val="16"/>
              </w:rPr>
              <w:t>Całkowita kwota certyfikowanych wydatków kwalifikowalnych</w:t>
            </w:r>
          </w:p>
        </w:tc>
        <w:tc>
          <w:tcPr>
            <w:tcW w:w="376" w:type="pct"/>
            <w:shd w:val="clear" w:color="auto" w:fill="F2F2F2"/>
            <w:vAlign w:val="center"/>
          </w:tcPr>
          <w:p w14:paraId="6BAA7292"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EUR</w:t>
            </w:r>
          </w:p>
        </w:tc>
        <w:tc>
          <w:tcPr>
            <w:tcW w:w="287" w:type="pct"/>
            <w:shd w:val="clear" w:color="auto" w:fill="F2F2F2"/>
            <w:vAlign w:val="center"/>
          </w:tcPr>
          <w:p w14:paraId="04FA3B96"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335" w:type="pct"/>
            <w:shd w:val="clear" w:color="auto" w:fill="F2F2F2"/>
            <w:vAlign w:val="center"/>
          </w:tcPr>
          <w:p w14:paraId="0ECC9661"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463" w:type="pct"/>
            <w:shd w:val="clear" w:color="auto" w:fill="F2F2F2"/>
            <w:vAlign w:val="center"/>
          </w:tcPr>
          <w:p w14:paraId="59B1B325"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589 376 471</w:t>
            </w:r>
          </w:p>
        </w:tc>
        <w:tc>
          <w:tcPr>
            <w:tcW w:w="482" w:type="pct"/>
            <w:shd w:val="clear" w:color="auto" w:fill="F2F2F2"/>
            <w:vAlign w:val="center"/>
          </w:tcPr>
          <w:p w14:paraId="11327D38"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5 893 764 706</w:t>
            </w:r>
          </w:p>
        </w:tc>
        <w:tc>
          <w:tcPr>
            <w:tcW w:w="474" w:type="pct"/>
            <w:shd w:val="clear" w:color="auto" w:fill="F2F2F2"/>
            <w:vAlign w:val="center"/>
          </w:tcPr>
          <w:p w14:paraId="58FA7A99"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1030" w:type="pct"/>
            <w:shd w:val="clear" w:color="auto" w:fill="F2F2F2"/>
            <w:vAlign w:val="center"/>
          </w:tcPr>
          <w:p w14:paraId="1C3E34B3"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446AEA73" w14:textId="77777777" w:rsidTr="00AA7998">
        <w:tc>
          <w:tcPr>
            <w:tcW w:w="179" w:type="pct"/>
            <w:shd w:val="clear" w:color="auto" w:fill="F2F2F2"/>
            <w:vAlign w:val="center"/>
          </w:tcPr>
          <w:p w14:paraId="3B0DCEDF"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w:t>
            </w:r>
          </w:p>
        </w:tc>
        <w:tc>
          <w:tcPr>
            <w:tcW w:w="426" w:type="pct"/>
            <w:shd w:val="clear" w:color="auto" w:fill="F2F2F2"/>
            <w:vAlign w:val="center"/>
          </w:tcPr>
          <w:p w14:paraId="1BC62485"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Wskaźnik produktu</w:t>
            </w:r>
          </w:p>
        </w:tc>
        <w:tc>
          <w:tcPr>
            <w:tcW w:w="947" w:type="pct"/>
            <w:shd w:val="clear" w:color="auto" w:fill="F2F2F2"/>
            <w:vAlign w:val="center"/>
          </w:tcPr>
          <w:p w14:paraId="1B73BE30"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Całkowita długość przebudowanych lub zmodernizowanych linii kolejowych</w:t>
            </w:r>
          </w:p>
        </w:tc>
        <w:tc>
          <w:tcPr>
            <w:tcW w:w="376" w:type="pct"/>
            <w:shd w:val="clear" w:color="auto" w:fill="F2F2F2"/>
            <w:vAlign w:val="center"/>
          </w:tcPr>
          <w:p w14:paraId="4253EFEF"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Km</w:t>
            </w:r>
          </w:p>
        </w:tc>
        <w:tc>
          <w:tcPr>
            <w:tcW w:w="287" w:type="pct"/>
            <w:shd w:val="clear" w:color="auto" w:fill="F2F2F2"/>
            <w:vAlign w:val="center"/>
          </w:tcPr>
          <w:p w14:paraId="29287C04"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335" w:type="pct"/>
            <w:shd w:val="clear" w:color="auto" w:fill="F2F2F2"/>
            <w:vAlign w:val="center"/>
          </w:tcPr>
          <w:p w14:paraId="112A7747"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463" w:type="pct"/>
            <w:shd w:val="clear" w:color="auto" w:fill="F2F2F2"/>
            <w:vAlign w:val="center"/>
          </w:tcPr>
          <w:p w14:paraId="252E9FC2"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0</w:t>
            </w:r>
          </w:p>
        </w:tc>
        <w:tc>
          <w:tcPr>
            <w:tcW w:w="482" w:type="pct"/>
            <w:shd w:val="clear" w:color="auto" w:fill="F2F2F2"/>
            <w:vAlign w:val="center"/>
          </w:tcPr>
          <w:p w14:paraId="08B39B77"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625</w:t>
            </w:r>
          </w:p>
        </w:tc>
        <w:tc>
          <w:tcPr>
            <w:tcW w:w="474" w:type="pct"/>
            <w:shd w:val="clear" w:color="auto" w:fill="F2F2F2"/>
            <w:vAlign w:val="center"/>
          </w:tcPr>
          <w:p w14:paraId="6D5FCA5E"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1030" w:type="pct"/>
            <w:shd w:val="clear" w:color="auto" w:fill="F2F2F2"/>
            <w:vAlign w:val="center"/>
          </w:tcPr>
          <w:p w14:paraId="0EE36373"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Reprezentuje większość alokacji</w:t>
            </w:r>
          </w:p>
        </w:tc>
      </w:tr>
      <w:tr w:rsidR="004E3242" w:rsidRPr="004E3242" w14:paraId="04172D67" w14:textId="77777777" w:rsidTr="00AA7998">
        <w:tc>
          <w:tcPr>
            <w:tcW w:w="179" w:type="pct"/>
            <w:shd w:val="clear" w:color="auto" w:fill="F2F2F2"/>
            <w:vAlign w:val="center"/>
          </w:tcPr>
          <w:p w14:paraId="54B1160B"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3.</w:t>
            </w:r>
          </w:p>
        </w:tc>
        <w:tc>
          <w:tcPr>
            <w:tcW w:w="426" w:type="pct"/>
            <w:shd w:val="clear" w:color="auto" w:fill="F2F2F2"/>
            <w:vAlign w:val="center"/>
          </w:tcPr>
          <w:p w14:paraId="28A77CCA"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Kluczowy etap wdrożeniowy</w:t>
            </w:r>
          </w:p>
        </w:tc>
        <w:tc>
          <w:tcPr>
            <w:tcW w:w="947" w:type="pct"/>
            <w:shd w:val="clear" w:color="auto" w:fill="F2F2F2"/>
            <w:vAlign w:val="center"/>
          </w:tcPr>
          <w:p w14:paraId="3C6B0E3A"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z w:val="16"/>
                <w:szCs w:val="16"/>
              </w:rPr>
              <w:t>Całkowita długość przebudowywanych lub modernizowanych linii kolejowych wg umów o dofinansowanie</w:t>
            </w:r>
          </w:p>
        </w:tc>
        <w:tc>
          <w:tcPr>
            <w:tcW w:w="376" w:type="pct"/>
            <w:shd w:val="clear" w:color="auto" w:fill="F2F2F2"/>
            <w:vAlign w:val="center"/>
          </w:tcPr>
          <w:p w14:paraId="720D8D6D"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km </w:t>
            </w:r>
          </w:p>
        </w:tc>
        <w:tc>
          <w:tcPr>
            <w:tcW w:w="287" w:type="pct"/>
            <w:shd w:val="clear" w:color="auto" w:fill="F2F2F2"/>
            <w:vAlign w:val="center"/>
          </w:tcPr>
          <w:p w14:paraId="0CF77DF2"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335" w:type="pct"/>
            <w:shd w:val="clear" w:color="auto" w:fill="F2F2F2"/>
            <w:vAlign w:val="center"/>
          </w:tcPr>
          <w:p w14:paraId="0DA75D65"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463" w:type="pct"/>
            <w:shd w:val="clear" w:color="auto" w:fill="F2F2F2"/>
            <w:vAlign w:val="center"/>
          </w:tcPr>
          <w:p w14:paraId="68B6B32C"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281</w:t>
            </w:r>
          </w:p>
        </w:tc>
        <w:tc>
          <w:tcPr>
            <w:tcW w:w="482" w:type="pct"/>
            <w:shd w:val="clear" w:color="auto" w:fill="F2F2F2"/>
            <w:vAlign w:val="center"/>
          </w:tcPr>
          <w:p w14:paraId="440483C3"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w:t>
            </w:r>
          </w:p>
        </w:tc>
        <w:tc>
          <w:tcPr>
            <w:tcW w:w="474" w:type="pct"/>
            <w:shd w:val="clear" w:color="auto" w:fill="F2F2F2"/>
            <w:vAlign w:val="center"/>
          </w:tcPr>
          <w:p w14:paraId="7C3FB570"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030" w:type="pct"/>
            <w:shd w:val="clear" w:color="auto" w:fill="F2F2F2"/>
            <w:vAlign w:val="center"/>
          </w:tcPr>
          <w:p w14:paraId="33209594"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Zawarcie umowy o dofinansowanie dla projektu świadczy o spełnieniu przez ten projekt kryteriów programowych. Ponadto jego dojrzałość inwestycyjna podlega szczegółowej ocenie przed zawarciem umowy o dofinansowanie</w:t>
            </w:r>
          </w:p>
        </w:tc>
      </w:tr>
    </w:tbl>
    <w:p w14:paraId="08358BB5" w14:textId="77777777" w:rsidR="004E3242" w:rsidRPr="004E3242" w:rsidRDefault="004E3242" w:rsidP="004E3242">
      <w:pPr>
        <w:spacing w:before="240" w:after="120"/>
        <w:jc w:val="both"/>
        <w:rPr>
          <w:rFonts w:ascii="Arial" w:hAnsi="Arial" w:cs="Arial"/>
          <w:i/>
          <w:spacing w:val="4"/>
          <w:sz w:val="18"/>
          <w:szCs w:val="18"/>
        </w:rPr>
      </w:pPr>
      <w:r w:rsidRPr="004E3242">
        <w:rPr>
          <w:rFonts w:ascii="Arial" w:hAnsi="Arial" w:cs="Arial"/>
          <w:bCs/>
          <w:smallCaps/>
          <w:color w:val="669900"/>
          <w:spacing w:val="4"/>
          <w:sz w:val="20"/>
          <w:szCs w:val="20"/>
        </w:rPr>
        <w:t>Kategorie Interwencji (EUR)</w:t>
      </w:r>
    </w:p>
    <w:tbl>
      <w:tblPr>
        <w:tblW w:w="501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1237"/>
        <w:gridCol w:w="2410"/>
        <w:gridCol w:w="570"/>
        <w:gridCol w:w="237"/>
        <w:gridCol w:w="881"/>
        <w:gridCol w:w="1556"/>
        <w:gridCol w:w="447"/>
        <w:gridCol w:w="579"/>
        <w:gridCol w:w="1402"/>
        <w:gridCol w:w="1421"/>
        <w:gridCol w:w="515"/>
        <w:gridCol w:w="2312"/>
        <w:gridCol w:w="1424"/>
        <w:gridCol w:w="419"/>
      </w:tblGrid>
      <w:tr w:rsidR="004E3242" w:rsidRPr="004E3242" w14:paraId="1A654ECA" w14:textId="77777777" w:rsidTr="00AA7998">
        <w:trPr>
          <w:gridAfter w:val="1"/>
          <w:wAfter w:w="136" w:type="pct"/>
          <w:trHeight w:val="163"/>
        </w:trPr>
        <w:tc>
          <w:tcPr>
            <w:tcW w:w="1183" w:type="pct"/>
            <w:gridSpan w:val="2"/>
            <w:shd w:val="clear" w:color="auto" w:fill="99CC00"/>
          </w:tcPr>
          <w:p w14:paraId="093D5694"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Obszar interwencji</w:t>
            </w:r>
          </w:p>
        </w:tc>
        <w:tc>
          <w:tcPr>
            <w:tcW w:w="185" w:type="pct"/>
            <w:shd w:val="clear" w:color="auto" w:fill="FFFFFF"/>
          </w:tcPr>
          <w:p w14:paraId="112F2B9C" w14:textId="77777777" w:rsidR="004E3242" w:rsidRPr="004E3242" w:rsidRDefault="004E3242" w:rsidP="004E3242">
            <w:pPr>
              <w:spacing w:before="20" w:after="20"/>
              <w:jc w:val="center"/>
              <w:rPr>
                <w:rFonts w:ascii="Arial" w:hAnsi="Arial" w:cs="Arial"/>
                <w:b/>
                <w:color w:val="FFFFFF"/>
                <w:sz w:val="16"/>
                <w:szCs w:val="16"/>
              </w:rPr>
            </w:pPr>
          </w:p>
        </w:tc>
        <w:tc>
          <w:tcPr>
            <w:tcW w:w="1013" w:type="pct"/>
            <w:gridSpan w:val="4"/>
            <w:shd w:val="clear" w:color="auto" w:fill="99CC00"/>
          </w:tcPr>
          <w:p w14:paraId="59A8A9DB"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Forma finansowania</w:t>
            </w:r>
          </w:p>
        </w:tc>
        <w:tc>
          <w:tcPr>
            <w:tcW w:w="188" w:type="pct"/>
            <w:shd w:val="clear" w:color="auto" w:fill="FFFFFF"/>
          </w:tcPr>
          <w:p w14:paraId="36891A84" w14:textId="77777777" w:rsidR="004E3242" w:rsidRPr="004E3242" w:rsidRDefault="004E3242" w:rsidP="004E3242">
            <w:pPr>
              <w:spacing w:before="20" w:after="20"/>
              <w:jc w:val="center"/>
              <w:rPr>
                <w:rFonts w:ascii="Arial" w:hAnsi="Arial" w:cs="Arial"/>
                <w:b/>
                <w:color w:val="FFFFFF"/>
                <w:sz w:val="16"/>
                <w:szCs w:val="16"/>
              </w:rPr>
            </w:pPr>
          </w:p>
        </w:tc>
        <w:tc>
          <w:tcPr>
            <w:tcW w:w="916" w:type="pct"/>
            <w:gridSpan w:val="2"/>
            <w:shd w:val="clear" w:color="auto" w:fill="99CC00"/>
          </w:tcPr>
          <w:p w14:paraId="44CAF944"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Terytorium</w:t>
            </w:r>
          </w:p>
        </w:tc>
        <w:tc>
          <w:tcPr>
            <w:tcW w:w="167" w:type="pct"/>
            <w:shd w:val="clear" w:color="auto" w:fill="FFFFFF"/>
          </w:tcPr>
          <w:p w14:paraId="39C99233" w14:textId="77777777" w:rsidR="004E3242" w:rsidRPr="004E3242" w:rsidRDefault="004E3242" w:rsidP="004E3242">
            <w:pPr>
              <w:spacing w:before="20" w:after="20"/>
              <w:jc w:val="center"/>
              <w:rPr>
                <w:rFonts w:ascii="Arial" w:hAnsi="Arial" w:cs="Arial"/>
                <w:b/>
                <w:color w:val="FFFFFF"/>
                <w:sz w:val="16"/>
                <w:szCs w:val="16"/>
              </w:rPr>
            </w:pPr>
          </w:p>
        </w:tc>
        <w:tc>
          <w:tcPr>
            <w:tcW w:w="1212" w:type="pct"/>
            <w:gridSpan w:val="2"/>
            <w:shd w:val="clear" w:color="auto" w:fill="99CC00"/>
          </w:tcPr>
          <w:p w14:paraId="04FA88F8"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Mechanizmy realizacji wymiaru terytorialnego</w:t>
            </w:r>
          </w:p>
        </w:tc>
      </w:tr>
      <w:tr w:rsidR="004E3242" w:rsidRPr="004E3242" w14:paraId="54CD3DCE" w14:textId="77777777" w:rsidTr="00AA7998">
        <w:trPr>
          <w:gridAfter w:val="1"/>
          <w:wAfter w:w="136" w:type="pct"/>
          <w:trHeight w:val="67"/>
        </w:trPr>
        <w:tc>
          <w:tcPr>
            <w:tcW w:w="401" w:type="pct"/>
            <w:shd w:val="clear" w:color="auto" w:fill="99CC00"/>
          </w:tcPr>
          <w:p w14:paraId="3B8C53CE"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782" w:type="pct"/>
            <w:shd w:val="clear" w:color="auto" w:fill="99CC00"/>
          </w:tcPr>
          <w:p w14:paraId="1177D710"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85" w:type="pct"/>
            <w:shd w:val="clear" w:color="auto" w:fill="FFFFFF"/>
          </w:tcPr>
          <w:p w14:paraId="3D823064" w14:textId="77777777" w:rsidR="004E3242" w:rsidRPr="004E3242" w:rsidRDefault="004E3242" w:rsidP="004E3242">
            <w:pPr>
              <w:spacing w:before="20" w:after="20"/>
              <w:jc w:val="center"/>
              <w:rPr>
                <w:rFonts w:ascii="Arial" w:hAnsi="Arial" w:cs="Arial"/>
                <w:b/>
                <w:color w:val="FFFFFF"/>
                <w:sz w:val="16"/>
                <w:szCs w:val="16"/>
              </w:rPr>
            </w:pPr>
          </w:p>
        </w:tc>
        <w:tc>
          <w:tcPr>
            <w:tcW w:w="363" w:type="pct"/>
            <w:gridSpan w:val="2"/>
            <w:shd w:val="clear" w:color="auto" w:fill="99CC00"/>
          </w:tcPr>
          <w:p w14:paraId="46875348"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650" w:type="pct"/>
            <w:gridSpan w:val="2"/>
            <w:shd w:val="clear" w:color="auto" w:fill="99CC00"/>
          </w:tcPr>
          <w:p w14:paraId="5092BAA9"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88" w:type="pct"/>
            <w:shd w:val="clear" w:color="auto" w:fill="FFFFFF"/>
          </w:tcPr>
          <w:p w14:paraId="280FC681" w14:textId="77777777" w:rsidR="004E3242" w:rsidRPr="004E3242" w:rsidRDefault="004E3242" w:rsidP="004E3242">
            <w:pPr>
              <w:spacing w:before="20" w:after="20"/>
              <w:jc w:val="center"/>
              <w:rPr>
                <w:rFonts w:ascii="Arial" w:hAnsi="Arial" w:cs="Arial"/>
                <w:b/>
                <w:color w:val="FFFFFF"/>
                <w:sz w:val="16"/>
                <w:szCs w:val="16"/>
              </w:rPr>
            </w:pPr>
          </w:p>
        </w:tc>
        <w:tc>
          <w:tcPr>
            <w:tcW w:w="455" w:type="pct"/>
            <w:shd w:val="clear" w:color="auto" w:fill="99CC00"/>
          </w:tcPr>
          <w:p w14:paraId="003F05EE"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461" w:type="pct"/>
            <w:shd w:val="clear" w:color="auto" w:fill="99CC00"/>
          </w:tcPr>
          <w:p w14:paraId="0CD31E62"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67" w:type="pct"/>
            <w:shd w:val="clear" w:color="auto" w:fill="FFFFFF"/>
          </w:tcPr>
          <w:p w14:paraId="1A413B72" w14:textId="77777777" w:rsidR="004E3242" w:rsidRPr="004E3242" w:rsidRDefault="004E3242" w:rsidP="004E3242">
            <w:pPr>
              <w:spacing w:before="20" w:after="20"/>
              <w:jc w:val="center"/>
              <w:rPr>
                <w:rFonts w:ascii="Arial" w:hAnsi="Arial" w:cs="Arial"/>
                <w:b/>
                <w:color w:val="FFFFFF"/>
                <w:sz w:val="16"/>
                <w:szCs w:val="16"/>
              </w:rPr>
            </w:pPr>
          </w:p>
        </w:tc>
        <w:tc>
          <w:tcPr>
            <w:tcW w:w="750" w:type="pct"/>
            <w:shd w:val="clear" w:color="auto" w:fill="99CC00"/>
          </w:tcPr>
          <w:p w14:paraId="53923BDA"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462" w:type="pct"/>
            <w:shd w:val="clear" w:color="auto" w:fill="99CC00"/>
          </w:tcPr>
          <w:p w14:paraId="2C0EF4AC"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r>
      <w:tr w:rsidR="004E3242" w:rsidRPr="004E3242" w14:paraId="4693FF28" w14:textId="77777777" w:rsidTr="00AA7998">
        <w:trPr>
          <w:gridAfter w:val="1"/>
          <w:wAfter w:w="136" w:type="pct"/>
          <w:trHeight w:val="114"/>
        </w:trPr>
        <w:tc>
          <w:tcPr>
            <w:tcW w:w="401" w:type="pct"/>
            <w:shd w:val="clear" w:color="auto" w:fill="F2F2F2"/>
          </w:tcPr>
          <w:p w14:paraId="60C8E113"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024</w:t>
            </w:r>
          </w:p>
        </w:tc>
        <w:tc>
          <w:tcPr>
            <w:tcW w:w="782" w:type="pct"/>
            <w:shd w:val="clear" w:color="auto" w:fill="F2F2F2"/>
          </w:tcPr>
          <w:p w14:paraId="156F7C8F" w14:textId="77777777" w:rsidR="00A22494" w:rsidRDefault="00A22494" w:rsidP="004E3242">
            <w:pPr>
              <w:spacing w:before="20" w:after="20"/>
              <w:jc w:val="center"/>
              <w:rPr>
                <w:rFonts w:ascii="Arial" w:hAnsi="Arial" w:cs="Arial"/>
                <w:sz w:val="16"/>
                <w:szCs w:val="16"/>
              </w:rPr>
            </w:pPr>
          </w:p>
          <w:p w14:paraId="710A2794" w14:textId="77777777" w:rsidR="004E3242" w:rsidRPr="004E3242" w:rsidRDefault="00A22494" w:rsidP="004E3242">
            <w:pPr>
              <w:spacing w:before="20" w:after="20"/>
              <w:jc w:val="center"/>
              <w:rPr>
                <w:rFonts w:ascii="Arial" w:hAnsi="Arial" w:cs="Arial"/>
                <w:color w:val="000000"/>
                <w:sz w:val="16"/>
                <w:szCs w:val="16"/>
              </w:rPr>
            </w:pPr>
            <w:r w:rsidRPr="00A22494">
              <w:rPr>
                <w:rFonts w:ascii="Arial" w:hAnsi="Arial" w:cs="Arial"/>
                <w:color w:val="000000"/>
                <w:sz w:val="16"/>
                <w:szCs w:val="16"/>
              </w:rPr>
              <w:t>1 184 144 100</w:t>
            </w:r>
          </w:p>
        </w:tc>
        <w:tc>
          <w:tcPr>
            <w:tcW w:w="185" w:type="pct"/>
            <w:shd w:val="clear" w:color="auto" w:fill="FFFFFF"/>
          </w:tcPr>
          <w:p w14:paraId="2D9D4A5C"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363" w:type="pct"/>
            <w:gridSpan w:val="2"/>
            <w:shd w:val="clear" w:color="auto" w:fill="F2F2F2"/>
          </w:tcPr>
          <w:p w14:paraId="063A6CFD"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01</w:t>
            </w:r>
          </w:p>
        </w:tc>
        <w:tc>
          <w:tcPr>
            <w:tcW w:w="650" w:type="pct"/>
            <w:gridSpan w:val="2"/>
            <w:shd w:val="clear" w:color="auto" w:fill="F2F2F2"/>
          </w:tcPr>
          <w:p w14:paraId="0A73D6EB"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 xml:space="preserve">5 009 700 000    </w:t>
            </w:r>
          </w:p>
        </w:tc>
        <w:tc>
          <w:tcPr>
            <w:tcW w:w="188" w:type="pct"/>
            <w:shd w:val="clear" w:color="auto" w:fill="FFFFFF"/>
          </w:tcPr>
          <w:p w14:paraId="1908A0E8"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455" w:type="pct"/>
            <w:shd w:val="clear" w:color="auto" w:fill="F2F2F2"/>
          </w:tcPr>
          <w:p w14:paraId="7B11AC36"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461" w:type="pct"/>
            <w:shd w:val="clear" w:color="auto" w:fill="F2F2F2"/>
          </w:tcPr>
          <w:p w14:paraId="70087BD7"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 xml:space="preserve">5 009 700 000    </w:t>
            </w:r>
          </w:p>
        </w:tc>
        <w:tc>
          <w:tcPr>
            <w:tcW w:w="167" w:type="pct"/>
            <w:shd w:val="clear" w:color="auto" w:fill="FFFFFF"/>
          </w:tcPr>
          <w:p w14:paraId="1083DA6C"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750" w:type="pct"/>
            <w:shd w:val="clear" w:color="auto" w:fill="F2F2F2"/>
          </w:tcPr>
          <w:p w14:paraId="2D5F29B1"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462" w:type="pct"/>
            <w:shd w:val="clear" w:color="auto" w:fill="F2F2F2"/>
          </w:tcPr>
          <w:p w14:paraId="36CF3794"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 xml:space="preserve">5 009 700 000    </w:t>
            </w:r>
          </w:p>
        </w:tc>
      </w:tr>
      <w:tr w:rsidR="004E3242" w:rsidRPr="004E3242" w14:paraId="773CECA0" w14:textId="77777777" w:rsidTr="00AA7998">
        <w:trPr>
          <w:gridAfter w:val="1"/>
          <w:wAfter w:w="136" w:type="pct"/>
          <w:trHeight w:val="141"/>
        </w:trPr>
        <w:tc>
          <w:tcPr>
            <w:tcW w:w="401" w:type="pct"/>
            <w:shd w:val="clear" w:color="auto" w:fill="F2F2F2"/>
          </w:tcPr>
          <w:p w14:paraId="36B08BEE"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025</w:t>
            </w:r>
          </w:p>
        </w:tc>
        <w:tc>
          <w:tcPr>
            <w:tcW w:w="782" w:type="pct"/>
            <w:shd w:val="clear" w:color="auto" w:fill="F2F2F2"/>
          </w:tcPr>
          <w:p w14:paraId="2DF5009B" w14:textId="77777777" w:rsidR="00A22494" w:rsidRDefault="00A22494" w:rsidP="004E3242">
            <w:pPr>
              <w:spacing w:before="20" w:after="20"/>
              <w:jc w:val="center"/>
              <w:rPr>
                <w:rFonts w:ascii="Arial" w:hAnsi="Arial" w:cs="Arial"/>
                <w:sz w:val="16"/>
                <w:szCs w:val="16"/>
              </w:rPr>
            </w:pPr>
          </w:p>
          <w:p w14:paraId="2B24F74D" w14:textId="77777777" w:rsidR="004E3242" w:rsidRPr="004E3242" w:rsidRDefault="00A22494" w:rsidP="004E3242">
            <w:pPr>
              <w:spacing w:before="20" w:after="20"/>
              <w:jc w:val="center"/>
              <w:rPr>
                <w:rFonts w:ascii="Arial" w:hAnsi="Arial" w:cs="Arial"/>
                <w:color w:val="000000"/>
                <w:sz w:val="16"/>
                <w:szCs w:val="16"/>
              </w:rPr>
            </w:pPr>
            <w:r w:rsidRPr="00A22494">
              <w:rPr>
                <w:rFonts w:ascii="Arial" w:hAnsi="Arial" w:cs="Arial"/>
                <w:color w:val="000000"/>
                <w:sz w:val="16"/>
                <w:szCs w:val="16"/>
              </w:rPr>
              <w:t>2 185 163 380</w:t>
            </w:r>
          </w:p>
        </w:tc>
        <w:tc>
          <w:tcPr>
            <w:tcW w:w="185" w:type="pct"/>
            <w:shd w:val="clear" w:color="auto" w:fill="FFFFFF"/>
          </w:tcPr>
          <w:p w14:paraId="44301944" w14:textId="77777777" w:rsidR="004E3242" w:rsidRPr="004E3242" w:rsidRDefault="004E3242" w:rsidP="004E3242">
            <w:pPr>
              <w:spacing w:before="20" w:after="20"/>
              <w:jc w:val="center"/>
              <w:rPr>
                <w:rFonts w:ascii="Arial" w:hAnsi="Arial" w:cs="Arial"/>
                <w:b/>
                <w:color w:val="FFFFFF"/>
                <w:sz w:val="16"/>
                <w:szCs w:val="16"/>
              </w:rPr>
            </w:pPr>
          </w:p>
        </w:tc>
        <w:tc>
          <w:tcPr>
            <w:tcW w:w="363" w:type="pct"/>
            <w:gridSpan w:val="2"/>
            <w:shd w:val="clear" w:color="auto" w:fill="D6E3BC"/>
          </w:tcPr>
          <w:p w14:paraId="04462CCF"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650" w:type="pct"/>
            <w:gridSpan w:val="2"/>
            <w:shd w:val="clear" w:color="auto" w:fill="D6E3BC"/>
          </w:tcPr>
          <w:p w14:paraId="1331B248"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 xml:space="preserve">5 009 700 000    </w:t>
            </w:r>
          </w:p>
        </w:tc>
        <w:tc>
          <w:tcPr>
            <w:tcW w:w="188" w:type="pct"/>
            <w:shd w:val="clear" w:color="auto" w:fill="FFFFFF"/>
          </w:tcPr>
          <w:p w14:paraId="749126A8" w14:textId="77777777" w:rsidR="004E3242" w:rsidRPr="004E3242" w:rsidRDefault="004E3242" w:rsidP="004E3242">
            <w:pPr>
              <w:spacing w:before="20" w:after="20"/>
              <w:jc w:val="center"/>
              <w:rPr>
                <w:rFonts w:ascii="Arial" w:hAnsi="Arial" w:cs="Arial"/>
                <w:b/>
                <w:color w:val="FFFFFF"/>
                <w:sz w:val="16"/>
                <w:szCs w:val="16"/>
              </w:rPr>
            </w:pPr>
          </w:p>
        </w:tc>
        <w:tc>
          <w:tcPr>
            <w:tcW w:w="455" w:type="pct"/>
            <w:shd w:val="clear" w:color="auto" w:fill="D6E3BC"/>
          </w:tcPr>
          <w:p w14:paraId="7F84E533"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461" w:type="pct"/>
            <w:shd w:val="clear" w:color="auto" w:fill="D6E3BC"/>
          </w:tcPr>
          <w:p w14:paraId="2859E491"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 xml:space="preserve">5 009 700 000    </w:t>
            </w:r>
          </w:p>
        </w:tc>
        <w:tc>
          <w:tcPr>
            <w:tcW w:w="167" w:type="pct"/>
            <w:shd w:val="clear" w:color="auto" w:fill="FFFFFF"/>
          </w:tcPr>
          <w:p w14:paraId="1BA25F14" w14:textId="77777777" w:rsidR="004E3242" w:rsidRPr="004E3242" w:rsidRDefault="004E3242" w:rsidP="004E3242">
            <w:pPr>
              <w:spacing w:before="20" w:after="20"/>
              <w:jc w:val="center"/>
              <w:rPr>
                <w:rFonts w:ascii="Arial" w:hAnsi="Arial" w:cs="Arial"/>
                <w:b/>
                <w:color w:val="FFFFFF"/>
                <w:sz w:val="16"/>
                <w:szCs w:val="16"/>
              </w:rPr>
            </w:pPr>
          </w:p>
        </w:tc>
        <w:tc>
          <w:tcPr>
            <w:tcW w:w="750" w:type="pct"/>
            <w:shd w:val="clear" w:color="auto" w:fill="D6E3BC"/>
          </w:tcPr>
          <w:p w14:paraId="3F2631EC"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462" w:type="pct"/>
            <w:shd w:val="clear" w:color="auto" w:fill="D6E3BC"/>
          </w:tcPr>
          <w:p w14:paraId="3755F24B"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 xml:space="preserve">5 009 700 000    </w:t>
            </w:r>
          </w:p>
        </w:tc>
      </w:tr>
      <w:tr w:rsidR="004E3242" w:rsidRPr="004E3242" w14:paraId="4996C07A" w14:textId="77777777" w:rsidTr="00AA7998">
        <w:trPr>
          <w:trHeight w:val="77"/>
        </w:trPr>
        <w:tc>
          <w:tcPr>
            <w:tcW w:w="401" w:type="pct"/>
            <w:shd w:val="clear" w:color="auto" w:fill="F2F2F2"/>
          </w:tcPr>
          <w:p w14:paraId="774EBDF8"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026</w:t>
            </w:r>
          </w:p>
        </w:tc>
        <w:tc>
          <w:tcPr>
            <w:tcW w:w="782" w:type="pct"/>
            <w:shd w:val="clear" w:color="auto" w:fill="F2F2F2"/>
          </w:tcPr>
          <w:p w14:paraId="22DAB913"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 xml:space="preserve">1 197 000 000    </w:t>
            </w:r>
          </w:p>
        </w:tc>
        <w:tc>
          <w:tcPr>
            <w:tcW w:w="185" w:type="pct"/>
            <w:shd w:val="clear" w:color="auto" w:fill="FFFFFF"/>
          </w:tcPr>
          <w:p w14:paraId="3BFAC99F" w14:textId="77777777" w:rsidR="004E3242" w:rsidRPr="004E3242" w:rsidRDefault="004E3242" w:rsidP="004E3242">
            <w:pPr>
              <w:spacing w:before="20" w:after="20"/>
              <w:jc w:val="center"/>
              <w:rPr>
                <w:rFonts w:ascii="Arial" w:hAnsi="Arial" w:cs="Arial"/>
                <w:sz w:val="16"/>
                <w:szCs w:val="16"/>
              </w:rPr>
            </w:pPr>
          </w:p>
        </w:tc>
        <w:tc>
          <w:tcPr>
            <w:tcW w:w="77" w:type="pct"/>
            <w:shd w:val="clear" w:color="auto" w:fill="FFFFFF"/>
          </w:tcPr>
          <w:p w14:paraId="1F15A9B0" w14:textId="77777777" w:rsidR="004E3242" w:rsidRPr="004E3242" w:rsidRDefault="004E3242" w:rsidP="004E3242">
            <w:pPr>
              <w:spacing w:before="20" w:after="20"/>
              <w:jc w:val="center"/>
              <w:rPr>
                <w:rFonts w:ascii="Arial" w:hAnsi="Arial" w:cs="Arial"/>
                <w:sz w:val="16"/>
                <w:szCs w:val="16"/>
              </w:rPr>
            </w:pPr>
          </w:p>
        </w:tc>
        <w:tc>
          <w:tcPr>
            <w:tcW w:w="791" w:type="pct"/>
            <w:gridSpan w:val="2"/>
            <w:shd w:val="clear" w:color="auto" w:fill="FFFFFF"/>
          </w:tcPr>
          <w:p w14:paraId="1D1B7F02" w14:textId="77777777" w:rsidR="004E3242" w:rsidRPr="004E3242" w:rsidRDefault="004E3242" w:rsidP="004E3242">
            <w:pPr>
              <w:spacing w:before="20" w:after="20"/>
              <w:jc w:val="center"/>
              <w:rPr>
                <w:rFonts w:ascii="Arial" w:hAnsi="Arial" w:cs="Arial"/>
                <w:sz w:val="16"/>
                <w:szCs w:val="16"/>
              </w:rPr>
            </w:pPr>
          </w:p>
        </w:tc>
        <w:tc>
          <w:tcPr>
            <w:tcW w:w="2764" w:type="pct"/>
            <w:gridSpan w:val="8"/>
            <w:vMerge w:val="restart"/>
            <w:shd w:val="clear" w:color="auto" w:fill="FFFFFF"/>
          </w:tcPr>
          <w:p w14:paraId="42E440CD" w14:textId="77777777" w:rsidR="004E3242" w:rsidRPr="004E3242" w:rsidRDefault="004E3242" w:rsidP="004E3242">
            <w:pPr>
              <w:spacing w:before="20" w:after="20"/>
              <w:jc w:val="center"/>
              <w:rPr>
                <w:rFonts w:ascii="Arial" w:hAnsi="Arial" w:cs="Arial"/>
                <w:sz w:val="16"/>
                <w:szCs w:val="16"/>
              </w:rPr>
            </w:pPr>
          </w:p>
        </w:tc>
      </w:tr>
      <w:tr w:rsidR="004E3242" w:rsidRPr="004E3242" w14:paraId="1DA35A46" w14:textId="77777777" w:rsidTr="00AA7998">
        <w:trPr>
          <w:trHeight w:val="123"/>
        </w:trPr>
        <w:tc>
          <w:tcPr>
            <w:tcW w:w="401" w:type="pct"/>
            <w:shd w:val="clear" w:color="auto" w:fill="F2F2F2"/>
          </w:tcPr>
          <w:p w14:paraId="3762F784"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027</w:t>
            </w:r>
          </w:p>
        </w:tc>
        <w:tc>
          <w:tcPr>
            <w:tcW w:w="782" w:type="pct"/>
            <w:shd w:val="clear" w:color="auto" w:fill="F2F2F2"/>
          </w:tcPr>
          <w:p w14:paraId="6ABE4BB5"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 xml:space="preserve">443 392 520    </w:t>
            </w:r>
          </w:p>
        </w:tc>
        <w:tc>
          <w:tcPr>
            <w:tcW w:w="185" w:type="pct"/>
            <w:shd w:val="clear" w:color="auto" w:fill="FFFFFF"/>
          </w:tcPr>
          <w:p w14:paraId="216B46E8" w14:textId="77777777" w:rsidR="004E3242" w:rsidRPr="004E3242" w:rsidRDefault="004E3242" w:rsidP="004E3242">
            <w:pPr>
              <w:spacing w:before="20" w:after="20"/>
              <w:jc w:val="center"/>
              <w:rPr>
                <w:rFonts w:ascii="Arial" w:hAnsi="Arial" w:cs="Arial"/>
                <w:sz w:val="16"/>
                <w:szCs w:val="16"/>
              </w:rPr>
            </w:pPr>
          </w:p>
        </w:tc>
        <w:tc>
          <w:tcPr>
            <w:tcW w:w="77" w:type="pct"/>
            <w:shd w:val="clear" w:color="auto" w:fill="FFFFFF"/>
          </w:tcPr>
          <w:p w14:paraId="2B8BF831" w14:textId="77777777" w:rsidR="004E3242" w:rsidRPr="004E3242" w:rsidRDefault="004E3242" w:rsidP="004E3242">
            <w:pPr>
              <w:spacing w:before="20" w:after="20"/>
              <w:jc w:val="center"/>
              <w:rPr>
                <w:rFonts w:ascii="Arial" w:hAnsi="Arial" w:cs="Arial"/>
                <w:sz w:val="16"/>
                <w:szCs w:val="16"/>
              </w:rPr>
            </w:pPr>
          </w:p>
        </w:tc>
        <w:tc>
          <w:tcPr>
            <w:tcW w:w="791" w:type="pct"/>
            <w:gridSpan w:val="2"/>
            <w:shd w:val="clear" w:color="auto" w:fill="FFFFFF"/>
          </w:tcPr>
          <w:p w14:paraId="33BD3556" w14:textId="77777777" w:rsidR="004E3242" w:rsidRPr="004E3242" w:rsidRDefault="004E3242" w:rsidP="004E3242">
            <w:pPr>
              <w:spacing w:before="20" w:after="20"/>
              <w:jc w:val="center"/>
              <w:rPr>
                <w:rFonts w:ascii="Arial" w:hAnsi="Arial" w:cs="Arial"/>
                <w:sz w:val="16"/>
                <w:szCs w:val="16"/>
              </w:rPr>
            </w:pPr>
          </w:p>
        </w:tc>
        <w:tc>
          <w:tcPr>
            <w:tcW w:w="2764" w:type="pct"/>
            <w:gridSpan w:val="8"/>
            <w:vMerge/>
            <w:shd w:val="clear" w:color="auto" w:fill="FFFFFF"/>
          </w:tcPr>
          <w:p w14:paraId="7CB3ED4B" w14:textId="77777777" w:rsidR="004E3242" w:rsidRPr="004E3242" w:rsidRDefault="004E3242" w:rsidP="004E3242">
            <w:pPr>
              <w:spacing w:before="20" w:after="20"/>
              <w:jc w:val="center"/>
              <w:rPr>
                <w:rFonts w:ascii="Arial" w:hAnsi="Arial" w:cs="Arial"/>
                <w:sz w:val="16"/>
                <w:szCs w:val="16"/>
              </w:rPr>
            </w:pPr>
          </w:p>
        </w:tc>
      </w:tr>
      <w:tr w:rsidR="004E3242" w:rsidRPr="004E3242" w14:paraId="3ECCB53A" w14:textId="77777777" w:rsidTr="00AA7998">
        <w:trPr>
          <w:trHeight w:val="64"/>
        </w:trPr>
        <w:tc>
          <w:tcPr>
            <w:tcW w:w="401" w:type="pct"/>
            <w:shd w:val="clear" w:color="auto" w:fill="D6E3BC"/>
          </w:tcPr>
          <w:p w14:paraId="1ECAE501"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782" w:type="pct"/>
            <w:shd w:val="clear" w:color="auto" w:fill="D6E3BC"/>
          </w:tcPr>
          <w:p w14:paraId="68C02C54"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 xml:space="preserve">5 009 700 000    </w:t>
            </w:r>
          </w:p>
        </w:tc>
        <w:tc>
          <w:tcPr>
            <w:tcW w:w="185" w:type="pct"/>
            <w:shd w:val="clear" w:color="auto" w:fill="FFFFFF"/>
          </w:tcPr>
          <w:p w14:paraId="2F7191F8" w14:textId="77777777" w:rsidR="004E3242" w:rsidRPr="004E3242" w:rsidRDefault="004E3242" w:rsidP="004E3242">
            <w:pPr>
              <w:spacing w:before="20" w:after="20"/>
              <w:jc w:val="center"/>
              <w:rPr>
                <w:rFonts w:ascii="Arial" w:hAnsi="Arial" w:cs="Arial"/>
                <w:sz w:val="16"/>
                <w:szCs w:val="16"/>
              </w:rPr>
            </w:pPr>
          </w:p>
        </w:tc>
        <w:tc>
          <w:tcPr>
            <w:tcW w:w="77" w:type="pct"/>
            <w:shd w:val="clear" w:color="auto" w:fill="FFFFFF"/>
          </w:tcPr>
          <w:p w14:paraId="32F9AFCF" w14:textId="77777777" w:rsidR="004E3242" w:rsidRPr="004E3242" w:rsidRDefault="004E3242" w:rsidP="004E3242">
            <w:pPr>
              <w:spacing w:before="20" w:after="20"/>
              <w:jc w:val="center"/>
              <w:rPr>
                <w:rFonts w:ascii="Arial" w:hAnsi="Arial" w:cs="Arial"/>
                <w:sz w:val="16"/>
                <w:szCs w:val="16"/>
              </w:rPr>
            </w:pPr>
          </w:p>
        </w:tc>
        <w:tc>
          <w:tcPr>
            <w:tcW w:w="791" w:type="pct"/>
            <w:gridSpan w:val="2"/>
            <w:shd w:val="clear" w:color="auto" w:fill="FFFFFF"/>
          </w:tcPr>
          <w:p w14:paraId="2FDA7470" w14:textId="77777777" w:rsidR="004E3242" w:rsidRPr="004E3242" w:rsidRDefault="004E3242" w:rsidP="004E3242">
            <w:pPr>
              <w:spacing w:before="20" w:after="20"/>
              <w:jc w:val="center"/>
              <w:rPr>
                <w:rFonts w:ascii="Arial" w:hAnsi="Arial" w:cs="Arial"/>
                <w:sz w:val="16"/>
                <w:szCs w:val="16"/>
              </w:rPr>
            </w:pPr>
          </w:p>
        </w:tc>
        <w:tc>
          <w:tcPr>
            <w:tcW w:w="2764" w:type="pct"/>
            <w:gridSpan w:val="8"/>
            <w:vMerge/>
            <w:shd w:val="clear" w:color="auto" w:fill="FFFFFF"/>
          </w:tcPr>
          <w:p w14:paraId="6AB1B72A" w14:textId="77777777" w:rsidR="004E3242" w:rsidRPr="004E3242" w:rsidRDefault="004E3242" w:rsidP="004E3242">
            <w:pPr>
              <w:spacing w:before="20" w:after="20"/>
              <w:jc w:val="center"/>
              <w:rPr>
                <w:rFonts w:ascii="Arial" w:hAnsi="Arial" w:cs="Arial"/>
                <w:sz w:val="16"/>
                <w:szCs w:val="16"/>
              </w:rPr>
            </w:pPr>
          </w:p>
        </w:tc>
      </w:tr>
    </w:tbl>
    <w:p w14:paraId="4E514C49" w14:textId="77777777" w:rsidR="004E3242" w:rsidRPr="004E3242" w:rsidRDefault="004E3242" w:rsidP="004E3242">
      <w:pPr>
        <w:spacing w:after="120" w:line="280" w:lineRule="atLeast"/>
        <w:jc w:val="both"/>
        <w:rPr>
          <w:rFonts w:ascii="Arial" w:hAnsi="Arial" w:cs="Arial"/>
          <w:b/>
          <w:spacing w:val="4"/>
          <w:sz w:val="20"/>
          <w:szCs w:val="20"/>
        </w:rPr>
        <w:sectPr w:rsidR="004E3242" w:rsidRPr="004E3242" w:rsidSect="00C73ABE">
          <w:pgSz w:w="16838" w:h="11906" w:orient="landscape"/>
          <w:pgMar w:top="993" w:right="851" w:bottom="993" w:left="851" w:header="709" w:footer="159" w:gutter="0"/>
          <w:cols w:space="708"/>
          <w:titlePg/>
          <w:docGrid w:linePitch="360"/>
        </w:sectPr>
      </w:pPr>
    </w:p>
    <w:p w14:paraId="1FE85AAC" w14:textId="77777777" w:rsidR="004E3242" w:rsidRPr="004E3242" w:rsidRDefault="004E3242" w:rsidP="004E3242">
      <w:pPr>
        <w:numPr>
          <w:ilvl w:val="2"/>
          <w:numId w:val="3"/>
        </w:numPr>
        <w:shd w:val="clear" w:color="auto" w:fill="D6E3BC"/>
        <w:spacing w:before="240" w:after="240"/>
        <w:jc w:val="both"/>
        <w:outlineLvl w:val="2"/>
        <w:rPr>
          <w:rFonts w:ascii="Arial" w:hAnsi="Arial"/>
          <w:smallCaps/>
          <w:color w:val="000000"/>
          <w:spacing w:val="15"/>
          <w:sz w:val="24"/>
          <w:szCs w:val="24"/>
          <w:u w:color="A8C743"/>
          <w:lang w:eastAsia="pl-PL"/>
        </w:rPr>
      </w:pPr>
      <w:bookmarkStart w:id="403" w:name="_Toc83810567"/>
      <w:r w:rsidRPr="004E3242">
        <w:rPr>
          <w:rFonts w:ascii="Arial" w:hAnsi="Arial"/>
          <w:smallCaps/>
          <w:color w:val="000000"/>
          <w:spacing w:val="15"/>
          <w:sz w:val="24"/>
          <w:szCs w:val="24"/>
          <w:u w:color="A8C743"/>
          <w:lang w:eastAsia="pl-PL"/>
        </w:rPr>
        <w:lastRenderedPageBreak/>
        <w:t>Oś priorytetowa Vi: Rozwój niskoemisyjnego transportu zbiorowego w miastach</w:t>
      </w:r>
      <w:bookmarkEnd w:id="403"/>
    </w:p>
    <w:p w14:paraId="2FEB3D45" w14:textId="77777777" w:rsidR="004E3242" w:rsidRPr="004E3242" w:rsidRDefault="004E3242" w:rsidP="004E3242">
      <w:pPr>
        <w:spacing w:after="120" w:line="280" w:lineRule="atLeast"/>
        <w:jc w:val="both"/>
        <w:rPr>
          <w:rFonts w:ascii="Arial" w:hAnsi="Arial" w:cs="Arial"/>
          <w:spacing w:val="4"/>
          <w:sz w:val="20"/>
          <w:szCs w:val="20"/>
        </w:rPr>
      </w:pPr>
      <w:r w:rsidRPr="004E3242">
        <w:rPr>
          <w:rFonts w:ascii="Arial" w:hAnsi="Arial" w:cs="Arial"/>
          <w:sz w:val="20"/>
          <w:szCs w:val="20"/>
        </w:rPr>
        <w:t xml:space="preserve">Dana oś priorytetowa przeznaczona jest do finansowania wyłącznie z jednego funduszu (Fundusz Spójności). </w:t>
      </w:r>
      <w:r w:rsidRPr="004E3242">
        <w:rPr>
          <w:rFonts w:ascii="Arial" w:hAnsi="Arial" w:cs="Arial"/>
          <w:sz w:val="20"/>
          <w:szCs w:val="20"/>
        </w:rPr>
        <w:br/>
        <w:t>Z tego względu nie wyodrębnia się kategorii regionów, pomimo że swoim zasięgiem obejmuje cały kraj. Jednocześnie jest ona dedykowana wyłącznie jednemu celowi tematycznemu 4.</w:t>
      </w:r>
    </w:p>
    <w:p w14:paraId="6E9A502A" w14:textId="77777777" w:rsidR="004E3242" w:rsidRPr="004E3242" w:rsidRDefault="004E3242" w:rsidP="004E3242">
      <w:pPr>
        <w:keepLines/>
        <w:pBdr>
          <w:bottom w:val="single" w:sz="4" w:space="0"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PRIORYTET INWESTYCYJNY 4.v. Promowanie strategii niskoemisyjnych dla wszystkich rodzajów terytoriów, w szczególności dla obszarów miejskich, w tym wspieranie zrównoważonej multimodalnej mobilności miejskiej i działań adaptacyjnych mających oddziaływanie łagodzące na zmiany klimatu</w:t>
      </w:r>
    </w:p>
    <w:p w14:paraId="31023BC4"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3DBBA63F" w14:textId="77777777" w:rsidR="004E3242" w:rsidRPr="004E3242" w:rsidRDefault="004E3242" w:rsidP="004E3242">
      <w:pPr>
        <w:spacing w:after="120" w:line="280" w:lineRule="atLeast"/>
        <w:jc w:val="both"/>
        <w:rPr>
          <w:rFonts w:ascii="Arial" w:hAnsi="Arial" w:cs="Arial"/>
          <w:sz w:val="20"/>
          <w:szCs w:val="20"/>
        </w:rPr>
      </w:pPr>
      <w:r w:rsidRPr="004E3242">
        <w:rPr>
          <w:rFonts w:ascii="Arial" w:hAnsi="Arial" w:cs="Arial"/>
          <w:sz w:val="20"/>
          <w:szCs w:val="20"/>
        </w:rPr>
        <w:t>Większe wykorzystanie niskoemisyjnego transportu miejskiego</w:t>
      </w:r>
    </w:p>
    <w:p w14:paraId="62E582C5"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19D6AF23" w14:textId="77777777" w:rsidR="004E3242" w:rsidRPr="004E3242" w:rsidRDefault="004E3242" w:rsidP="004E3242">
      <w:pPr>
        <w:spacing w:after="120" w:line="280" w:lineRule="atLeast"/>
        <w:jc w:val="both"/>
        <w:rPr>
          <w:rFonts w:ascii="Arial" w:hAnsi="Arial" w:cs="Arial"/>
          <w:spacing w:val="4"/>
          <w:sz w:val="20"/>
          <w:szCs w:val="20"/>
        </w:rPr>
      </w:pPr>
      <w:r w:rsidRPr="004E3242">
        <w:rPr>
          <w:rFonts w:ascii="Arial" w:hAnsi="Arial" w:cs="Arial"/>
          <w:sz w:val="20"/>
          <w:szCs w:val="20"/>
        </w:rPr>
        <w:t xml:space="preserve">Rezultatem realizacji projektów w priorytecie inwestycyjnym będzie wzrost liczby przewozów pasażerskich </w:t>
      </w:r>
      <w:r w:rsidRPr="004E3242">
        <w:rPr>
          <w:rFonts w:ascii="Arial" w:hAnsi="Arial" w:cs="Arial"/>
          <w:sz w:val="20"/>
          <w:szCs w:val="20"/>
        </w:rPr>
        <w:br/>
        <w:t>w miastach publicznym transportem zbiorowym</w:t>
      </w:r>
    </w:p>
    <w:p w14:paraId="5C0996F2"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601"/>
        <w:gridCol w:w="1448"/>
        <w:gridCol w:w="1236"/>
        <w:gridCol w:w="1134"/>
        <w:gridCol w:w="952"/>
        <w:gridCol w:w="954"/>
        <w:gridCol w:w="1115"/>
        <w:gridCol w:w="1432"/>
        <w:gridCol w:w="1548"/>
      </w:tblGrid>
      <w:tr w:rsidR="004E3242" w:rsidRPr="004E3242" w14:paraId="22B92F3D" w14:textId="77777777" w:rsidTr="00AA7998">
        <w:tc>
          <w:tcPr>
            <w:tcW w:w="288" w:type="pct"/>
            <w:shd w:val="clear" w:color="auto" w:fill="99CC00"/>
            <w:vAlign w:val="center"/>
          </w:tcPr>
          <w:p w14:paraId="76F0BBD2"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695" w:type="pct"/>
            <w:shd w:val="clear" w:color="auto" w:fill="99CC00"/>
            <w:vAlign w:val="center"/>
          </w:tcPr>
          <w:p w14:paraId="0C625570"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93" w:type="pct"/>
            <w:shd w:val="clear" w:color="auto" w:fill="99CC00"/>
            <w:vAlign w:val="center"/>
          </w:tcPr>
          <w:p w14:paraId="33745DC4"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44" w:type="pct"/>
            <w:shd w:val="clear" w:color="auto" w:fill="99CC00"/>
            <w:vAlign w:val="center"/>
          </w:tcPr>
          <w:p w14:paraId="123DE4E6"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7" w:type="pct"/>
            <w:shd w:val="clear" w:color="auto" w:fill="99CC00"/>
            <w:vAlign w:val="center"/>
          </w:tcPr>
          <w:p w14:paraId="6B8303F9"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1C3C5F0C"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5" w:type="pct"/>
            <w:shd w:val="clear" w:color="auto" w:fill="99CC00"/>
            <w:vAlign w:val="center"/>
          </w:tcPr>
          <w:p w14:paraId="5316FEF0"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687" w:type="pct"/>
            <w:shd w:val="clear" w:color="auto" w:fill="99CC00"/>
            <w:vAlign w:val="center"/>
          </w:tcPr>
          <w:p w14:paraId="343F2424"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755A4294"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A1991F7" w14:textId="77777777" w:rsidTr="00AA7998">
        <w:tc>
          <w:tcPr>
            <w:tcW w:w="288" w:type="pct"/>
            <w:shd w:val="clear" w:color="auto" w:fill="F2F2F2"/>
            <w:vAlign w:val="center"/>
          </w:tcPr>
          <w:p w14:paraId="3555FA3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695" w:type="pct"/>
            <w:shd w:val="clear" w:color="auto" w:fill="F2F2F2"/>
            <w:vAlign w:val="center"/>
          </w:tcPr>
          <w:p w14:paraId="3E6D25FD"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Liczba przewozów pasażerskich w przeliczeniu na 1 mieszkańca obszarów miejskich</w:t>
            </w:r>
          </w:p>
        </w:tc>
        <w:tc>
          <w:tcPr>
            <w:tcW w:w="593" w:type="pct"/>
            <w:shd w:val="clear" w:color="auto" w:fill="F2F2F2"/>
            <w:vAlign w:val="center"/>
          </w:tcPr>
          <w:p w14:paraId="7C57271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szt.</w:t>
            </w:r>
          </w:p>
        </w:tc>
        <w:tc>
          <w:tcPr>
            <w:tcW w:w="544" w:type="pct"/>
            <w:shd w:val="clear" w:color="auto" w:fill="F2F2F2"/>
            <w:vAlign w:val="center"/>
          </w:tcPr>
          <w:p w14:paraId="368452F6"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7" w:type="pct"/>
            <w:shd w:val="clear" w:color="auto" w:fill="F2F2F2"/>
            <w:vAlign w:val="center"/>
          </w:tcPr>
          <w:p w14:paraId="0D6F6F87"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167,1</w:t>
            </w:r>
          </w:p>
        </w:tc>
        <w:tc>
          <w:tcPr>
            <w:tcW w:w="458" w:type="pct"/>
            <w:shd w:val="clear" w:color="auto" w:fill="F2F2F2"/>
            <w:vAlign w:val="center"/>
          </w:tcPr>
          <w:p w14:paraId="07163E7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2011</w:t>
            </w:r>
          </w:p>
        </w:tc>
        <w:tc>
          <w:tcPr>
            <w:tcW w:w="535" w:type="pct"/>
            <w:shd w:val="clear" w:color="auto" w:fill="F2F2F2"/>
            <w:vAlign w:val="center"/>
          </w:tcPr>
          <w:p w14:paraId="7B66824A" w14:textId="77777777" w:rsidR="00CE7E07" w:rsidRDefault="00CE7E07" w:rsidP="00CE7E07">
            <w:pPr>
              <w:spacing w:before="60" w:after="60"/>
              <w:jc w:val="center"/>
              <w:rPr>
                <w:rFonts w:ascii="Arial" w:hAnsi="Arial" w:cs="Arial"/>
                <w:spacing w:val="4"/>
                <w:sz w:val="16"/>
                <w:szCs w:val="16"/>
              </w:rPr>
            </w:pPr>
            <w:r>
              <w:rPr>
                <w:rFonts w:ascii="Arial" w:hAnsi="Arial" w:cs="Arial"/>
                <w:spacing w:val="4"/>
                <w:sz w:val="16"/>
                <w:szCs w:val="16"/>
              </w:rPr>
              <w:t xml:space="preserve"> </w:t>
            </w:r>
          </w:p>
          <w:p w14:paraId="26A139C9" w14:textId="77777777" w:rsidR="004E3242" w:rsidRPr="004E3242" w:rsidRDefault="00CE7E07" w:rsidP="00825C82">
            <w:pPr>
              <w:spacing w:before="60" w:after="60"/>
              <w:jc w:val="center"/>
              <w:rPr>
                <w:rFonts w:ascii="Arial" w:hAnsi="Arial" w:cs="Arial"/>
                <w:spacing w:val="4"/>
                <w:sz w:val="16"/>
                <w:szCs w:val="16"/>
              </w:rPr>
            </w:pPr>
            <w:r w:rsidRPr="00CE7E07">
              <w:rPr>
                <w:rFonts w:ascii="Arial" w:hAnsi="Arial" w:cs="Arial"/>
                <w:spacing w:val="4"/>
                <w:sz w:val="16"/>
                <w:szCs w:val="16"/>
              </w:rPr>
              <w:t>206</w:t>
            </w:r>
          </w:p>
        </w:tc>
        <w:tc>
          <w:tcPr>
            <w:tcW w:w="687" w:type="pct"/>
            <w:shd w:val="clear" w:color="auto" w:fill="F2F2F2"/>
            <w:vAlign w:val="center"/>
          </w:tcPr>
          <w:p w14:paraId="123292E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GUS na potrzeby Strategii Rozwoju Transportu i bazy STRATEG</w:t>
            </w:r>
          </w:p>
        </w:tc>
        <w:tc>
          <w:tcPr>
            <w:tcW w:w="744" w:type="pct"/>
            <w:shd w:val="clear" w:color="auto" w:fill="F2F2F2"/>
            <w:vAlign w:val="center"/>
          </w:tcPr>
          <w:p w14:paraId="3939D127" w14:textId="77777777" w:rsidR="004E3242" w:rsidRPr="004E3242" w:rsidRDefault="004E3242" w:rsidP="004E3242">
            <w:pPr>
              <w:spacing w:before="60" w:after="60"/>
              <w:ind w:right="-5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51EABD5E" w14:textId="77777777" w:rsidTr="00AA7998">
        <w:tc>
          <w:tcPr>
            <w:tcW w:w="288" w:type="pct"/>
            <w:shd w:val="clear" w:color="auto" w:fill="F2F2F2"/>
            <w:vAlign w:val="center"/>
          </w:tcPr>
          <w:p w14:paraId="4201B7E7" w14:textId="77777777" w:rsidR="004E3242" w:rsidRPr="004E3242" w:rsidRDefault="004E3242" w:rsidP="004E3242">
            <w:pPr>
              <w:spacing w:before="60" w:after="60"/>
              <w:ind w:left="360" w:hanging="218"/>
              <w:rPr>
                <w:rFonts w:ascii="Arial" w:hAnsi="Arial" w:cs="Arial"/>
                <w:spacing w:val="4"/>
                <w:sz w:val="16"/>
                <w:szCs w:val="16"/>
              </w:rPr>
            </w:pPr>
            <w:r w:rsidRPr="004E3242">
              <w:rPr>
                <w:rFonts w:ascii="Arial" w:hAnsi="Arial" w:cs="Arial"/>
                <w:spacing w:val="4"/>
                <w:sz w:val="16"/>
                <w:szCs w:val="16"/>
              </w:rPr>
              <w:t>2.</w:t>
            </w:r>
          </w:p>
        </w:tc>
        <w:tc>
          <w:tcPr>
            <w:tcW w:w="695" w:type="pct"/>
            <w:shd w:val="clear" w:color="auto" w:fill="F2F2F2"/>
            <w:vAlign w:val="center"/>
          </w:tcPr>
          <w:p w14:paraId="56F8E678"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Uniknięta emisja CO2 w wyniku funkcjonowania transportu publicznego</w:t>
            </w:r>
          </w:p>
        </w:tc>
        <w:tc>
          <w:tcPr>
            <w:tcW w:w="593" w:type="pct"/>
            <w:shd w:val="clear" w:color="auto" w:fill="F2F2F2"/>
            <w:vAlign w:val="center"/>
          </w:tcPr>
          <w:p w14:paraId="25AE635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tony CO2</w:t>
            </w:r>
          </w:p>
        </w:tc>
        <w:tc>
          <w:tcPr>
            <w:tcW w:w="544" w:type="pct"/>
            <w:shd w:val="clear" w:color="auto" w:fill="F2F2F2"/>
            <w:vAlign w:val="center"/>
          </w:tcPr>
          <w:p w14:paraId="2E268B2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457" w:type="pct"/>
            <w:shd w:val="clear" w:color="auto" w:fill="F2F2F2"/>
            <w:vAlign w:val="center"/>
          </w:tcPr>
          <w:p w14:paraId="17B4282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1 150 408</w:t>
            </w:r>
          </w:p>
        </w:tc>
        <w:tc>
          <w:tcPr>
            <w:tcW w:w="458" w:type="pct"/>
            <w:shd w:val="clear" w:color="auto" w:fill="F2F2F2"/>
            <w:vAlign w:val="center"/>
          </w:tcPr>
          <w:p w14:paraId="75749490"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2012</w:t>
            </w:r>
          </w:p>
        </w:tc>
        <w:tc>
          <w:tcPr>
            <w:tcW w:w="535" w:type="pct"/>
            <w:shd w:val="clear" w:color="auto" w:fill="F2F2F2"/>
            <w:vAlign w:val="center"/>
          </w:tcPr>
          <w:p w14:paraId="14744DF4"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wzrost unikniętej emisji</w:t>
            </w:r>
          </w:p>
        </w:tc>
        <w:tc>
          <w:tcPr>
            <w:tcW w:w="687" w:type="pct"/>
            <w:shd w:val="clear" w:color="auto" w:fill="F2F2F2"/>
            <w:vAlign w:val="center"/>
          </w:tcPr>
          <w:p w14:paraId="4CDF440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MIR</w:t>
            </w:r>
          </w:p>
        </w:tc>
        <w:tc>
          <w:tcPr>
            <w:tcW w:w="744" w:type="pct"/>
            <w:shd w:val="clear" w:color="auto" w:fill="F2F2F2"/>
            <w:vAlign w:val="center"/>
          </w:tcPr>
          <w:p w14:paraId="2C40EDAC" w14:textId="77777777" w:rsidR="004E3242" w:rsidRPr="004E3242" w:rsidRDefault="004E3242" w:rsidP="004E3242">
            <w:pPr>
              <w:spacing w:before="60" w:after="60"/>
              <w:ind w:right="-5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bl>
    <w:p w14:paraId="356FAFD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18B9AC24" w14:textId="77777777" w:rsid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transportu publicznego będzie jednym z elementów realizacji działań w ramach priorytetu inwestycyjnego 4.v, wynikających z przygotowanych przez samorządy planów gospodarki niskoemisyjnej, obejmujących swoim zakresem zagadnienia związane ze zrównoważoną mobilnością miejską. W obszarze transportu miejskiego kontynuowane będą działania mające na celu zmniejszenie zatłoczenia motoryzacyjnego w miastach, poprawę płynności ruchu i ograniczenie negatywnego wpływu transportu na środowisko naturalne w miastach i na ich obszarach funkcjonalnych. Wsparcie będzie dotyczyło przedsięwzięć w zakresie rozwoju transportu zbiorowego, wynikających z planów gospodarki niskoemisyjnej miast, służących podniesieniu jego bezpieczeństwa, jakości, atrakcyjności i komfortu. Przewiduje się wdrażanie projektów, które będą zawierać elementy redukujące/minimalizujące oddziaływania hałasu/drgań/ zanieczyszczeń powietrza oraz elementy promujące zrównoważony rozwój układu urbanistycznego. Projekty będą realizowane według najlepszej środowiskowo spośród badanych racjonalnych opcji, ze szczególnym uwzględnieniem rozwiązania danego problemu komunikacyjnego przy jak najmniejszym wpływie na klimat akustyczny i jakość powietrza (w szczególności minimalizacji emisji zanieczyszczeń powietrza) oraz redukcji gazów cieplarnianych. W miastach posiadających transport szynowy (tramwaje) preferowany będzie rozwój tej gałęzi transportu zbiorowego, w pierwszym rzędzie poprzez inwestycje w infrastrukturę szynową. Natomiast w pozostałych miastach finansowane będą inne niskoemisyjne formy transportu miejskiego spełniające normę </w:t>
      </w:r>
      <w:r w:rsidRPr="004E3242">
        <w:rPr>
          <w:rFonts w:ascii="Arial" w:hAnsi="Arial" w:cs="Arial"/>
          <w:spacing w:val="4"/>
          <w:sz w:val="20"/>
          <w:szCs w:val="20"/>
        </w:rPr>
        <w:lastRenderedPageBreak/>
        <w:t>co najmniej EURO 6.</w:t>
      </w:r>
      <w:r w:rsidR="00E12FFD">
        <w:rPr>
          <w:rStyle w:val="Odwoanieprzypisudolnego"/>
          <w:rFonts w:ascii="Arial" w:hAnsi="Arial" w:cs="Arial"/>
          <w:spacing w:val="4"/>
          <w:sz w:val="20"/>
          <w:szCs w:val="20"/>
        </w:rPr>
        <w:footnoteReference w:id="78"/>
      </w:r>
      <w:r w:rsidRPr="004E3242">
        <w:rPr>
          <w:rFonts w:ascii="Arial" w:hAnsi="Arial" w:cs="Arial"/>
          <w:spacing w:val="4"/>
          <w:sz w:val="20"/>
          <w:szCs w:val="20"/>
        </w:rPr>
        <w:t xml:space="preserve"> Priorytetowo będzie jednak traktowany zakup pojazdów o alternatywnych systemach napędowych (elektrycznych, hybrydowych, biopaliwa, napędzanych wodorem itp.). Inwestycje będą miały charakter zarówno infrastrukturalny (budowa, przebudowa, rozbudowa sieci szynowych, w tym infrastruktury metra, uzupełniana o elementy dotyczące sieci energetycznych, zapleczy technicznych do obsługi i konserwacji taboru, centrów przesiadkowych oraz elementów wyposażenia dróg i ulic w infrastrukturę służącą obsłudze transportu publicznego i pasażerów), jak i taborowy, a także kompleksowy, obejmujący obydwa typy projektów. Realizowane będą także projekty wzbogacone o pozostałe komplementarne względem podstawowej infrastruktury liniowej elementy (inwestycje), w tym ITS, usprawniające funkcjonowanie całego systemu transportowego, dzięki którym nastąpi integracja infrastrukturalna istniejących środków transportu oraz dostosowanie systemu transportowego do obsługi osób o ograniczonej możliwości poruszania się. Inwestycje te nie będą obejmowały prac remontowych,</w:t>
      </w:r>
      <w:r w:rsidR="00E82A01" w:rsidRPr="00E82A01">
        <w:rPr>
          <w:rFonts w:ascii="Arial" w:hAnsi="Arial" w:cs="Arial"/>
          <w:spacing w:val="4"/>
          <w:sz w:val="20"/>
          <w:szCs w:val="20"/>
        </w:rPr>
        <w:t xml:space="preserve"> </w:t>
      </w:r>
      <w:r w:rsidRPr="004E3242">
        <w:rPr>
          <w:rFonts w:ascii="Arial" w:hAnsi="Arial" w:cs="Arial"/>
          <w:spacing w:val="4"/>
          <w:sz w:val="20"/>
          <w:szCs w:val="20"/>
        </w:rPr>
        <w:t>jak również nie będą dotyczyły bieżącego utrzymania infrastruktury</w:t>
      </w:r>
      <w:r w:rsidR="00E82A01">
        <w:rPr>
          <w:rFonts w:ascii="Arial" w:hAnsi="Arial" w:cs="Arial"/>
          <w:spacing w:val="4"/>
          <w:sz w:val="20"/>
          <w:szCs w:val="20"/>
        </w:rPr>
        <w:t>.</w:t>
      </w:r>
      <w:r w:rsidR="00E82A01" w:rsidRPr="00E82A01">
        <w:t xml:space="preserve"> </w:t>
      </w:r>
      <w:r w:rsidR="00593BAC" w:rsidRPr="00593BAC">
        <w:rPr>
          <w:rFonts w:ascii="Arial" w:hAnsi="Arial" w:cs="Arial"/>
          <w:spacing w:val="4"/>
          <w:sz w:val="20"/>
          <w:szCs w:val="20"/>
        </w:rPr>
        <w:t>W przypadkach uzasadnionych ekonomicznie lub technologicznie oraz gdy niezbędne jest osiągniecie celów projektu, w ramach projektu modernizacyjnego będzie możliwość realizacji prac budowlanych, polegających na odtworzeniu stanu pierwotnego infrastruktury, a niestanowiących bieżącej konserwacji, przy użyciu materiałów podnoszących dotychczasowe parametry</w:t>
      </w:r>
      <w:r w:rsidRPr="004E3242">
        <w:rPr>
          <w:rFonts w:ascii="Arial" w:hAnsi="Arial" w:cs="Arial"/>
          <w:spacing w:val="4"/>
          <w:sz w:val="20"/>
          <w:szCs w:val="20"/>
        </w:rPr>
        <w:t>. Inwestycje w programie krajowym będą komplementarne z pozostałymi przedsięwzięciami realizowanymi w programach regionalnych, dotyczącymi przebudowy infrastruktury miejskiej wyprowadzającej z centrów miast indywidualny ruch samochodowy na rzecz transportu zbiorowego i wspomagającymi integrację przestrzenną i funkcjonalną poszczególnych podsystemów transportowych. Dofinansowany tabor będzie wykorzystywany na obszarze, który został wskazany w dokumentacji aplikacyjnej.</w:t>
      </w:r>
    </w:p>
    <w:p w14:paraId="260D9D2C" w14:textId="77777777" w:rsidR="00B21C07" w:rsidRPr="00B21C07" w:rsidRDefault="00B21C07" w:rsidP="00B21C07">
      <w:pPr>
        <w:spacing w:before="120" w:after="120"/>
        <w:jc w:val="both"/>
        <w:rPr>
          <w:rFonts w:ascii="Arial" w:hAnsi="Arial" w:cs="Arial"/>
          <w:color w:val="000000"/>
          <w:sz w:val="20"/>
          <w:szCs w:val="20"/>
          <w:lang w:eastAsia="pl-PL"/>
        </w:rPr>
      </w:pPr>
      <w:r w:rsidRPr="00B21C07">
        <w:rPr>
          <w:rFonts w:ascii="Arial" w:hAnsi="Arial" w:cs="Arial"/>
          <w:color w:val="000000"/>
          <w:sz w:val="20"/>
          <w:szCs w:val="20"/>
          <w:lang w:eastAsia="pl-PL"/>
        </w:rPr>
        <w:t>Ponadto, wsparcie będą mogły uzyskać działania na rzecz przygotowania inwestycji poprzez dofinansowanie w ramach projektów przygotowawczych dokumentacji projektowej, przetargowej, planistycznej dla inwestycji infrastrukturalnych, które będą możliwe do zrealizowania ze środków tego programu lub programów operacyjnych polityki spójności realizowanych w okresie programowania następującym bezpośrednio po roku 2020 (projekty przygotowawcze).</w:t>
      </w:r>
    </w:p>
    <w:p w14:paraId="73536E62" w14:textId="77777777" w:rsidR="00B21C07" w:rsidRDefault="00B21C07" w:rsidP="000002CE">
      <w:pPr>
        <w:jc w:val="both"/>
        <w:rPr>
          <w:rFonts w:ascii="Arial" w:hAnsi="Arial" w:cs="Arial"/>
          <w:spacing w:val="4"/>
          <w:sz w:val="20"/>
          <w:szCs w:val="20"/>
        </w:rPr>
      </w:pPr>
      <w:r w:rsidRPr="00B21C07">
        <w:rPr>
          <w:rFonts w:ascii="Arial" w:hAnsi="Arial" w:cs="Arial"/>
          <w:color w:val="000000"/>
          <w:sz w:val="20"/>
          <w:szCs w:val="20"/>
          <w:lang w:eastAsia="pl-PL"/>
        </w:rPr>
        <w:t>Do dokumentów zamknięcia tego programu zostanie dołączona lista wszystkich dofinansowanych projektów przygotowawczych wraz z listą odpowiadających im inwestycji możliwych do zrealizowania w ramach tego programu lub programów operacyjnych polityki spójności następujących po roku 2020.</w:t>
      </w:r>
    </w:p>
    <w:p w14:paraId="62BE97C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44D219B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obszarze transportu miejskiego beneficjentami będą jednostki samorządu terytorialnego (w tym ich związki </w:t>
      </w:r>
      <w:r w:rsidRPr="004E3242">
        <w:rPr>
          <w:rFonts w:ascii="Arial" w:hAnsi="Arial" w:cs="Arial"/>
          <w:spacing w:val="4"/>
          <w:sz w:val="20"/>
          <w:szCs w:val="20"/>
        </w:rPr>
        <w:br/>
        <w:t>i porozumienia) - miasta wojewódzkie i ich obszary funkcjonalne</w:t>
      </w:r>
      <w:r w:rsidR="009670B6" w:rsidRPr="009670B6">
        <w:rPr>
          <w:rFonts w:ascii="Arial" w:hAnsi="Arial" w:cs="Arial"/>
          <w:spacing w:val="4"/>
          <w:sz w:val="20"/>
          <w:szCs w:val="20"/>
        </w:rPr>
        <w:t xml:space="preserve">, miasta średnie </w:t>
      </w:r>
      <w:r w:rsidRPr="004E3242">
        <w:rPr>
          <w:rFonts w:ascii="Arial" w:hAnsi="Arial" w:cs="Arial"/>
          <w:spacing w:val="4"/>
          <w:sz w:val="20"/>
          <w:szCs w:val="20"/>
        </w:rPr>
        <w:t>oraz działające w ich imieniu jednostki organizacyjne i spółki specjalnego przeznaczenia, a także zarządcy infrastruktury służącej transportowi miejskiemu</w:t>
      </w:r>
      <w:r w:rsidR="009670B6">
        <w:rPr>
          <w:rFonts w:ascii="Arial" w:hAnsi="Arial" w:cs="Arial"/>
          <w:spacing w:val="4"/>
          <w:sz w:val="20"/>
          <w:szCs w:val="20"/>
        </w:rPr>
        <w:t xml:space="preserve">, </w:t>
      </w:r>
      <w:r w:rsidRPr="004E3242">
        <w:rPr>
          <w:rFonts w:ascii="Arial" w:hAnsi="Arial" w:cs="Arial"/>
          <w:spacing w:val="4"/>
          <w:sz w:val="20"/>
          <w:szCs w:val="20"/>
        </w:rPr>
        <w:t xml:space="preserve">operatorzy publicznego transportu </w:t>
      </w:r>
      <w:r w:rsidRPr="00B534A5">
        <w:rPr>
          <w:rFonts w:ascii="Arial" w:hAnsi="Arial" w:cs="Arial"/>
          <w:spacing w:val="4"/>
          <w:sz w:val="20"/>
          <w:szCs w:val="20"/>
        </w:rPr>
        <w:t>zbiorowego</w:t>
      </w:r>
      <w:r w:rsidR="009670B6">
        <w:rPr>
          <w:rFonts w:ascii="Arial" w:hAnsi="Arial" w:cs="Arial"/>
          <w:spacing w:val="4"/>
          <w:sz w:val="20"/>
          <w:szCs w:val="20"/>
        </w:rPr>
        <w:t xml:space="preserve"> </w:t>
      </w:r>
      <w:r w:rsidR="009670B6" w:rsidRPr="009670B6">
        <w:rPr>
          <w:rFonts w:ascii="Arial" w:hAnsi="Arial" w:cs="Arial"/>
          <w:spacing w:val="4"/>
          <w:sz w:val="20"/>
          <w:szCs w:val="20"/>
        </w:rPr>
        <w:t>oraz spółki powołane specjalnie w celu prowadzenia działalności polegającej na udostępnianiu taboru (np. wynajmowaniu albo oddawaniu w leasing) służącego świadczeniu usług publicznych w ramach wykonywania zadań własnych jednostek samorządu terytorialnego w zakresie publicznego transportu zbiorowego</w:t>
      </w:r>
      <w:r w:rsidRPr="004E3242">
        <w:rPr>
          <w:rFonts w:ascii="Arial" w:hAnsi="Arial" w:cs="Arial"/>
          <w:spacing w:val="4"/>
          <w:sz w:val="20"/>
          <w:szCs w:val="20"/>
        </w:rPr>
        <w:t>.</w:t>
      </w:r>
    </w:p>
    <w:p w14:paraId="4B307810"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spacing w:val="4"/>
          <w:sz w:val="20"/>
          <w:szCs w:val="20"/>
        </w:rPr>
        <w:t>Z uwagi na to, że interwencja będzie miała charakter horyzontalny i dotyczyła miast i ich obszarów funkcjonalnych, grupami docelowymi wsparcia będą użytkownicy indywidualni i przedsiębiorcy korzystający z miejskiej infrastruktury transportowej i środków transportu zbiorowego dofinansowanych ze środków UE.</w:t>
      </w:r>
    </w:p>
    <w:p w14:paraId="1D7AD2B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0BF23BE1" w14:textId="77777777" w:rsidR="004E3242" w:rsidRPr="004E3242" w:rsidRDefault="009670B6" w:rsidP="004E3242">
      <w:pPr>
        <w:spacing w:before="120" w:after="120"/>
        <w:jc w:val="both"/>
        <w:rPr>
          <w:rFonts w:ascii="Arial" w:hAnsi="Arial" w:cs="Arial"/>
          <w:spacing w:val="4"/>
          <w:sz w:val="20"/>
          <w:szCs w:val="20"/>
        </w:rPr>
      </w:pPr>
      <w:r>
        <w:rPr>
          <w:rFonts w:ascii="Arial" w:hAnsi="Arial" w:cs="Arial"/>
          <w:spacing w:val="4"/>
          <w:sz w:val="20"/>
          <w:szCs w:val="20"/>
        </w:rPr>
        <w:t>F</w:t>
      </w:r>
      <w:r w:rsidRPr="004E3242">
        <w:rPr>
          <w:rFonts w:ascii="Arial" w:hAnsi="Arial" w:cs="Arial"/>
          <w:spacing w:val="4"/>
          <w:sz w:val="20"/>
          <w:szCs w:val="20"/>
        </w:rPr>
        <w:t xml:space="preserve">inansowane </w:t>
      </w:r>
      <w:r w:rsidR="004E3242" w:rsidRPr="004E3242">
        <w:rPr>
          <w:rFonts w:ascii="Arial" w:hAnsi="Arial" w:cs="Arial"/>
          <w:spacing w:val="4"/>
          <w:sz w:val="20"/>
          <w:szCs w:val="20"/>
        </w:rPr>
        <w:t>będą projekty wynikające ze Strategii Zintegrowanych Inwestycji Terytorialnych dla 13 miast wojewódzkich (z wyłączeniem miast Polski Wschodniej)</w:t>
      </w:r>
      <w:r w:rsidR="0039530F">
        <w:rPr>
          <w:rFonts w:ascii="Arial" w:hAnsi="Arial" w:cs="Arial"/>
          <w:spacing w:val="4"/>
          <w:sz w:val="20"/>
          <w:szCs w:val="20"/>
        </w:rPr>
        <w:t>.</w:t>
      </w:r>
      <w:r w:rsidRPr="009670B6">
        <w:t xml:space="preserve"> </w:t>
      </w:r>
      <w:r w:rsidRPr="009670B6">
        <w:rPr>
          <w:rFonts w:ascii="Arial" w:hAnsi="Arial" w:cs="Arial"/>
          <w:spacing w:val="4"/>
          <w:sz w:val="20"/>
          <w:szCs w:val="20"/>
        </w:rPr>
        <w:t>Dodatkowo wsparcie realizowane w ramach priorytetu inwestycyjnego może zostać ukierunkowane  również na wzmocnienie potencjału rozwojowego miast średnich, w tym tracących funkcje społeczno-gospodarcze, o których mowa w rozdziale 3.1.2 Umowy Partnerstwa.</w:t>
      </w:r>
      <w:r w:rsidR="0039530F">
        <w:rPr>
          <w:rFonts w:ascii="Arial" w:hAnsi="Arial" w:cs="Arial"/>
          <w:spacing w:val="4"/>
          <w:sz w:val="20"/>
          <w:szCs w:val="20"/>
        </w:rPr>
        <w:t xml:space="preserve"> </w:t>
      </w:r>
      <w:r w:rsidR="004E3242" w:rsidRPr="004E3242">
        <w:rPr>
          <w:rFonts w:ascii="Arial" w:hAnsi="Arial" w:cs="Arial"/>
          <w:spacing w:val="4"/>
          <w:sz w:val="20"/>
          <w:szCs w:val="20"/>
        </w:rPr>
        <w:t>Zgodnie z tak wyznaczoną demarkacją, realizacja projektów transportu aglomeracyjnego w innych miastach finansowana będzie ze środków PO Polska Wschodnia (5 miast wojewódzkich Polski Wschodniej) oraz ze środków RPO (pozostałe miasta).</w:t>
      </w:r>
    </w:p>
    <w:p w14:paraId="66EFDD3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1B063C7B"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lastRenderedPageBreak/>
        <w:t>Wybór projektów do dofinansowania w ramach priorytetu inwestycyjnego nastąpi w trybie pozakonkursowym</w:t>
      </w:r>
      <w:r w:rsidR="009670B6" w:rsidRPr="009670B6">
        <w:t xml:space="preserve"> </w:t>
      </w:r>
      <w:r w:rsidR="009670B6" w:rsidRPr="009670B6">
        <w:rPr>
          <w:rFonts w:ascii="Arial" w:hAnsi="Arial" w:cs="Arial"/>
          <w:sz w:val="20"/>
          <w:szCs w:val="20"/>
        </w:rPr>
        <w:t>i konkursowym. Zastosowanie konkretnego trybu będzie uzależnione od rodzaju projektów, które będą podlegały dofinansowaniu. Tryb pozakonkursowy</w:t>
      </w:r>
      <w:r w:rsidR="00FF051F">
        <w:rPr>
          <w:rFonts w:ascii="Arial" w:hAnsi="Arial" w:cs="Arial"/>
          <w:sz w:val="20"/>
          <w:szCs w:val="20"/>
        </w:rPr>
        <w:t xml:space="preserve"> </w:t>
      </w:r>
      <w:r w:rsidRPr="004E3242">
        <w:rPr>
          <w:rFonts w:ascii="Arial" w:hAnsi="Arial" w:cs="Arial"/>
          <w:sz w:val="20"/>
          <w:szCs w:val="20"/>
        </w:rPr>
        <w:t xml:space="preserve">będzie stosowany wobec 13 miast wojewódzkich i ich obszarów funkcjonalnych posiadających Strategie Zintegrowanych Inwestycji Terytorialnych (ZIT). </w:t>
      </w:r>
      <w:r w:rsidR="009670B6" w:rsidRPr="009670B6">
        <w:rPr>
          <w:rFonts w:ascii="Arial" w:hAnsi="Arial" w:cs="Arial"/>
          <w:sz w:val="20"/>
          <w:szCs w:val="20"/>
        </w:rPr>
        <w:t>Tryb konkursowy może mieć zastosowanie do rezerw alokacji UE i będzie skierowany wobec ww. miast, a także do miast średnich.</w:t>
      </w:r>
      <w:r w:rsidR="009670B6">
        <w:rPr>
          <w:rFonts w:ascii="Arial" w:hAnsi="Arial" w:cs="Arial"/>
          <w:sz w:val="20"/>
          <w:szCs w:val="20"/>
        </w:rPr>
        <w:t xml:space="preserve"> </w:t>
      </w:r>
      <w:r w:rsidRPr="004E3242">
        <w:rPr>
          <w:rFonts w:ascii="Arial" w:hAnsi="Arial" w:cs="Arial"/>
          <w:sz w:val="20"/>
          <w:szCs w:val="20"/>
        </w:rPr>
        <w:t>Dofinansowanie uzyskają projekty</w:t>
      </w:r>
      <w:r w:rsidR="009670B6">
        <w:rPr>
          <w:rStyle w:val="Odwoanieprzypisudolnego"/>
          <w:rFonts w:ascii="Arial" w:hAnsi="Arial" w:cs="Arial"/>
          <w:sz w:val="20"/>
          <w:szCs w:val="20"/>
        </w:rPr>
        <w:footnoteReference w:id="79"/>
      </w:r>
      <w:r w:rsidRPr="004E3242">
        <w:rPr>
          <w:rFonts w:ascii="Arial" w:hAnsi="Arial" w:cs="Arial"/>
          <w:sz w:val="20"/>
          <w:szCs w:val="20"/>
        </w:rPr>
        <w:t>, których beneficjentami będą podmioty objęte prawnym obowiązkiem realizacji określonych zadań, stanowiące główną inwestycję w transporcie miejskim i komplementarne do pozostałych projektów, realizowanych w regionalnych programach operacyjnych, a których realizacja w znaczny sposób wpływa na realizację celu priorytetu inwestycyjnego. Kryterium wsparcia będzie przygotowanie i wpisywanie się w odpowiednie dokumenty planistyczne (</w:t>
      </w:r>
      <w:r w:rsidR="00790C48" w:rsidRPr="00790C48">
        <w:rPr>
          <w:rFonts w:ascii="Arial" w:hAnsi="Arial" w:cs="Arial"/>
          <w:sz w:val="20"/>
          <w:szCs w:val="20"/>
        </w:rPr>
        <w:t xml:space="preserve">strategie ZIT oraz </w:t>
      </w:r>
      <w:r w:rsidRPr="004E3242">
        <w:rPr>
          <w:rFonts w:ascii="Arial" w:hAnsi="Arial" w:cs="Arial"/>
          <w:sz w:val="20"/>
          <w:szCs w:val="20"/>
        </w:rPr>
        <w:t>plany gospodarki niskoemisyjnej</w:t>
      </w:r>
      <w:r w:rsidR="00F44CB2">
        <w:rPr>
          <w:rFonts w:ascii="Arial" w:hAnsi="Arial" w:cs="Arial"/>
          <w:sz w:val="20"/>
          <w:szCs w:val="20"/>
        </w:rPr>
        <w:t>).</w:t>
      </w:r>
      <w:r w:rsidRPr="004E3242">
        <w:rPr>
          <w:rFonts w:ascii="Arial" w:hAnsi="Arial" w:cs="Arial"/>
          <w:sz w:val="20"/>
          <w:szCs w:val="20"/>
        </w:rPr>
        <w:t xml:space="preserve"> </w:t>
      </w:r>
      <w:r w:rsidR="00790C48" w:rsidRPr="00790C48">
        <w:rPr>
          <w:rFonts w:ascii="Arial" w:hAnsi="Arial" w:cs="Arial"/>
          <w:sz w:val="20"/>
          <w:szCs w:val="20"/>
        </w:rPr>
        <w:t>Zagadnienia związane ze zrównoważoną mobilnością miejską, w tym lokalne uwarunkowania oraz kierunki planowanych interwencji na danym obszarze powinny być zawarte w strategiach ZIT, planach gospodarki niskoemisyjnej lub innych dokumentach, np. planach zrównoważonej mobilności miejskiej. W zależności od zidentyfikowanych potrzeb, d</w:t>
      </w:r>
      <w:r w:rsidRPr="004E3242">
        <w:rPr>
          <w:rFonts w:ascii="Arial" w:hAnsi="Arial" w:cs="Arial"/>
          <w:sz w:val="20"/>
          <w:szCs w:val="20"/>
        </w:rPr>
        <w:t>okumenty te powinny zawierać elementy dotyczące zbiorowego transportu pasażerskiego, transportu niezmotoryzowanego, intermodalności, transportu drogowego, zarządzania mobilnością, wykorzystania inteligentnych systemów transportowych (ITS), logistyki miejskiej, bezpieczeństwa ruchu drogowego w miastach, wdrażania nowych wzorców użytkowania czy promocji ekologicznie czystych i energooszczędnych pojazdów (czyste paliwa i pojazdy).</w:t>
      </w:r>
    </w:p>
    <w:p w14:paraId="594B08AF" w14:textId="77777777" w:rsid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osi priorytetowej. Kryteria będą precyzyjne, mierzalne </w:t>
      </w:r>
      <w:r w:rsidRPr="004E3242">
        <w:rPr>
          <w:rFonts w:ascii="Arial" w:hAnsi="Arial" w:cs="Arial"/>
          <w:sz w:val="20"/>
          <w:szCs w:val="20"/>
        </w:rPr>
        <w:br/>
        <w:t xml:space="preserve">i obiektywne. Dodatkowo dopuszcza się możliwość nadania kryteriom merytorycznym odpowiedniej punktacji oraz określonych wag punktowych. Wybór projektów do dofinansowania będzie miał na celu wyłonienie inwestycji w jak największym stopniu przyczyniających się do poprawy funkcjonowania transportu na obszarze metropolii, zmniejszenia zatłoczenia komunikacyjnego w miastach oraz poprawy dostępności i mobilności miejskiej, charakteryzujących się przy tym efektywnością ekonomiczną. Jednocześnie, dzięki ujęciu w planach gospodarki niskoemisyjnej działań odnoszących się do pakietu energetyczno-klimatycznego, zostanie zapewniony wybór projektów przyczyniających się do zwiększenia efektywności energetycznej transportu na obszarach miejskich. </w:t>
      </w:r>
      <w:r w:rsidRPr="004E3242">
        <w:rPr>
          <w:rFonts w:ascii="Arial" w:hAnsi="Arial" w:cs="Arial"/>
          <w:sz w:val="20"/>
          <w:szCs w:val="20"/>
        </w:rPr>
        <w:br/>
        <w:t>W przypadku projektów taboru miejskiego, ich wybór będzie uzależniony od stanu technicznego infrastruktury, po której będzie się poruszał, w celu zagwarantowania optymalnego wykorzystania parametrów technicznych zakupionego lub zmodernizowanego taboru. Nie przewiduje się różnicowania kryteriów wyboru projektów ze względu na tryb wyboru.</w:t>
      </w:r>
    </w:p>
    <w:p w14:paraId="2E98FEC9" w14:textId="77777777" w:rsidR="00684EE4" w:rsidRPr="004E3242" w:rsidRDefault="005E530E" w:rsidP="004E3242">
      <w:pPr>
        <w:spacing w:before="120" w:after="120"/>
        <w:jc w:val="both"/>
        <w:rPr>
          <w:rFonts w:ascii="Arial" w:hAnsi="Arial" w:cs="Arial"/>
          <w:sz w:val="20"/>
          <w:szCs w:val="20"/>
        </w:rPr>
      </w:pPr>
      <w:r w:rsidRPr="005E530E">
        <w:rPr>
          <w:rFonts w:ascii="Arial" w:hAnsi="Arial" w:cs="Arial"/>
          <w:sz w:val="20"/>
          <w:szCs w:val="20"/>
        </w:rPr>
        <w:t xml:space="preserve">Szczegółowe informacje nt. założeń koordynacji i podziału interwencji pomiędzy </w:t>
      </w:r>
      <w:proofErr w:type="spellStart"/>
      <w:r w:rsidRPr="005E530E">
        <w:rPr>
          <w:rFonts w:ascii="Arial" w:hAnsi="Arial" w:cs="Arial"/>
          <w:sz w:val="20"/>
          <w:szCs w:val="20"/>
        </w:rPr>
        <w:t>POIiŚ</w:t>
      </w:r>
      <w:proofErr w:type="spellEnd"/>
      <w:r w:rsidRPr="005E530E">
        <w:rPr>
          <w:rFonts w:ascii="Arial" w:hAnsi="Arial" w:cs="Arial"/>
          <w:sz w:val="20"/>
          <w:szCs w:val="20"/>
        </w:rPr>
        <w:t xml:space="preserve"> a innymi programami i instrumentami wsparcia opisane zostały w rozdziale 8 </w:t>
      </w:r>
      <w:proofErr w:type="spellStart"/>
      <w:r w:rsidRPr="005E530E">
        <w:rPr>
          <w:rFonts w:ascii="Arial" w:hAnsi="Arial" w:cs="Arial"/>
          <w:sz w:val="20"/>
          <w:szCs w:val="20"/>
        </w:rPr>
        <w:t>POIiŚ</w:t>
      </w:r>
      <w:proofErr w:type="spellEnd"/>
      <w:r w:rsidRPr="005E530E">
        <w:rPr>
          <w:rFonts w:ascii="Arial" w:hAnsi="Arial" w:cs="Arial"/>
          <w:sz w:val="20"/>
          <w:szCs w:val="20"/>
        </w:rPr>
        <w:t>.</w:t>
      </w:r>
    </w:p>
    <w:p w14:paraId="3E733D5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6605D22E"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przewiduje się wsparcia w formie instrumentów finansowych.</w:t>
      </w:r>
    </w:p>
    <w:p w14:paraId="085D0DCC"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Pomoc publiczna może występować w przypadku projektów zakupu/modernizacji taboru dla przewoźników świadczących usługi w zakresie transportu pasażerskiego na podstawie odpowiednich umów</w:t>
      </w:r>
      <w:r w:rsidR="00790C48" w:rsidRPr="00790C48">
        <w:t xml:space="preserve"> </w:t>
      </w:r>
      <w:r w:rsidR="00790C48" w:rsidRPr="00790C48">
        <w:rPr>
          <w:rFonts w:ascii="Arial" w:hAnsi="Arial" w:cs="Arial"/>
          <w:spacing w:val="4"/>
          <w:sz w:val="20"/>
          <w:szCs w:val="20"/>
        </w:rPr>
        <w:t>oraz spółek powołanych specjalnie w celu prowadzenia działalności polegającej na udostępnianiu taboru</w:t>
      </w:r>
      <w:r w:rsidR="00A63D2B">
        <w:rPr>
          <w:rFonts w:ascii="Arial" w:hAnsi="Arial" w:cs="Arial"/>
          <w:spacing w:val="4"/>
          <w:sz w:val="20"/>
          <w:szCs w:val="20"/>
        </w:rPr>
        <w:t>.</w:t>
      </w:r>
    </w:p>
    <w:p w14:paraId="74E711D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5FA450ED" w14:textId="77777777" w:rsidR="004E3242" w:rsidRPr="004E3242" w:rsidRDefault="004E3242" w:rsidP="00790C48">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w:t>
      </w:r>
      <w:r w:rsidRPr="004E3242">
        <w:rPr>
          <w:rFonts w:ascii="Arial" w:eastAsia="Cambria" w:hAnsi="Arial" w:cs="Arial"/>
          <w:spacing w:val="4"/>
          <w:sz w:val="20"/>
          <w:szCs w:val="20"/>
          <w:vertAlign w:val="superscript"/>
        </w:rPr>
        <w:footnoteReference w:id="80"/>
      </w:r>
      <w:r w:rsidRPr="004E3242">
        <w:rPr>
          <w:rFonts w:ascii="Arial" w:eastAsia="Cambria" w:hAnsi="Arial" w:cs="Arial"/>
          <w:spacing w:val="4"/>
          <w:sz w:val="20"/>
          <w:szCs w:val="20"/>
        </w:rPr>
        <w:t xml:space="preserve"> potencjalne duże projekty, zgodnie z art. 100 rozporządzenia ogólnego. Projekty te zostaną przedłożone do notyfikacji bądź do zatwierdzenia przez KE </w:t>
      </w:r>
      <w:r w:rsidRPr="004E3242">
        <w:rPr>
          <w:rFonts w:ascii="Arial" w:eastAsia="Cambria" w:hAnsi="Arial" w:cs="Arial"/>
          <w:spacing w:val="4"/>
          <w:sz w:val="20"/>
          <w:szCs w:val="20"/>
        </w:rPr>
        <w:br/>
        <w:t>w terminach określonych w Rozdziale 12. Termin zawarcia pierwszej umowy na wykonanie prac, lub podpisania umowy PPP pomiędzy podmiotem publicznym i podmiotem sektora prywatnego (o ile dotyczy), będzie zgodny z art. 102 ust. 3 rozporządzenia ogólnego. Po przygotowaniu kompletnej dokumentacji projektowej możliwe będzie precyzyjne określenie zakresu rzeczowego oraz szacowanych kosztów tych projektów.</w:t>
      </w:r>
    </w:p>
    <w:p w14:paraId="3DC17CA0"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 xml:space="preserve">Realizacja dużych projektów w znaczący sposób przyczyni się do osiągnięcia celu szczegółowego tego priorytetu, związanego ze wzrostem wykorzystania tej formy przewozu osób poprzez wdrażanie inwestycji </w:t>
      </w:r>
      <w:r w:rsidRPr="004E3242">
        <w:rPr>
          <w:rFonts w:ascii="Arial" w:eastAsia="Cambria" w:hAnsi="Arial" w:cs="Arial"/>
          <w:spacing w:val="4"/>
          <w:sz w:val="20"/>
          <w:szCs w:val="20"/>
        </w:rPr>
        <w:lastRenderedPageBreak/>
        <w:t>związanych przebudową systemów transportu zbiorowego w miastach,, których rezultatem będzie wzrost liczby przewozów pasażerskich.</w:t>
      </w:r>
    </w:p>
    <w:p w14:paraId="42D6C883"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44D720E2" w14:textId="77777777" w:rsidR="00313673" w:rsidRDefault="00313673" w:rsidP="004E3242">
      <w:pPr>
        <w:spacing w:before="120" w:after="120"/>
        <w:jc w:val="both"/>
        <w:rPr>
          <w:rFonts w:ascii="Arial" w:hAnsi="Arial" w:cs="Arial"/>
          <w:spacing w:val="4"/>
          <w:sz w:val="20"/>
          <w:szCs w:val="20"/>
        </w:rPr>
      </w:pPr>
    </w:p>
    <w:p w14:paraId="0C154909" w14:textId="77777777" w:rsidR="00313673" w:rsidRDefault="00313673" w:rsidP="004E3242">
      <w:pPr>
        <w:spacing w:before="120" w:after="120"/>
        <w:jc w:val="both"/>
        <w:rPr>
          <w:rFonts w:ascii="Arial" w:hAnsi="Arial" w:cs="Arial"/>
          <w:spacing w:val="4"/>
          <w:sz w:val="20"/>
          <w:szCs w:val="20"/>
        </w:rPr>
      </w:pPr>
    </w:p>
    <w:p w14:paraId="279F83F6" w14:textId="77777777" w:rsidR="00313673" w:rsidRDefault="00313673" w:rsidP="004E3242">
      <w:pPr>
        <w:spacing w:before="120" w:after="120"/>
        <w:jc w:val="both"/>
        <w:rPr>
          <w:rFonts w:ascii="Arial" w:hAnsi="Arial" w:cs="Arial"/>
          <w:spacing w:val="4"/>
          <w:sz w:val="20"/>
          <w:szCs w:val="20"/>
        </w:rPr>
      </w:pPr>
    </w:p>
    <w:p w14:paraId="2D9635DB"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621"/>
        <w:gridCol w:w="3001"/>
        <w:gridCol w:w="1105"/>
        <w:gridCol w:w="963"/>
        <w:gridCol w:w="1273"/>
        <w:gridCol w:w="1113"/>
        <w:gridCol w:w="946"/>
        <w:gridCol w:w="1398"/>
      </w:tblGrid>
      <w:tr w:rsidR="004E3242" w:rsidRPr="004E3242" w14:paraId="4254A8F4" w14:textId="77777777" w:rsidTr="00AA7998">
        <w:tc>
          <w:tcPr>
            <w:tcW w:w="298" w:type="pct"/>
            <w:shd w:val="clear" w:color="auto" w:fill="99CC00"/>
            <w:vAlign w:val="center"/>
          </w:tcPr>
          <w:p w14:paraId="769CE2F4"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440" w:type="pct"/>
            <w:shd w:val="clear" w:color="auto" w:fill="99CC00"/>
            <w:vAlign w:val="center"/>
          </w:tcPr>
          <w:p w14:paraId="7BBBA705"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0" w:type="pct"/>
            <w:shd w:val="clear" w:color="auto" w:fill="99CC00"/>
            <w:vAlign w:val="center"/>
          </w:tcPr>
          <w:p w14:paraId="690358BC"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62" w:type="pct"/>
            <w:shd w:val="clear" w:color="auto" w:fill="99CC00"/>
            <w:vAlign w:val="center"/>
          </w:tcPr>
          <w:p w14:paraId="4070101E"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611" w:type="pct"/>
            <w:shd w:val="clear" w:color="auto" w:fill="99CC00"/>
            <w:vAlign w:val="center"/>
          </w:tcPr>
          <w:p w14:paraId="2627375A"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4" w:type="pct"/>
            <w:shd w:val="clear" w:color="auto" w:fill="99CC00"/>
            <w:vAlign w:val="center"/>
          </w:tcPr>
          <w:p w14:paraId="4983331D"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4" w:type="pct"/>
            <w:shd w:val="clear" w:color="auto" w:fill="99CC00"/>
            <w:vAlign w:val="center"/>
          </w:tcPr>
          <w:p w14:paraId="494CBAF3"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1FACC6D5" w14:textId="77777777" w:rsidR="004E3242" w:rsidRPr="004E3242" w:rsidRDefault="004E3242" w:rsidP="004E3242">
            <w:pPr>
              <w:autoSpaceDE w:val="0"/>
              <w:autoSpaceDN w:val="0"/>
              <w:adjustRightInd w:val="0"/>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40AAA9E3" w14:textId="77777777" w:rsidTr="00AA7998">
        <w:tc>
          <w:tcPr>
            <w:tcW w:w="298" w:type="pct"/>
            <w:shd w:val="clear" w:color="auto" w:fill="F2F2F2"/>
            <w:vAlign w:val="center"/>
          </w:tcPr>
          <w:p w14:paraId="44E26EBC"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1440" w:type="pct"/>
            <w:shd w:val="clear" w:color="auto" w:fill="F2F2F2"/>
            <w:vAlign w:val="center"/>
          </w:tcPr>
          <w:p w14:paraId="3DBEF0D2"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Całkowita długość nowych lub zmodernizowanych linii tramwajowych i linii metra (CI)</w:t>
            </w:r>
          </w:p>
        </w:tc>
        <w:tc>
          <w:tcPr>
            <w:tcW w:w="530" w:type="pct"/>
            <w:shd w:val="clear" w:color="auto" w:fill="F2F2F2"/>
            <w:vAlign w:val="center"/>
          </w:tcPr>
          <w:p w14:paraId="61298FEA"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km</w:t>
            </w:r>
          </w:p>
        </w:tc>
        <w:tc>
          <w:tcPr>
            <w:tcW w:w="462" w:type="pct"/>
            <w:shd w:val="clear" w:color="auto" w:fill="F2F2F2"/>
            <w:vAlign w:val="center"/>
          </w:tcPr>
          <w:p w14:paraId="1282E5DE"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611" w:type="pct"/>
            <w:shd w:val="clear" w:color="auto" w:fill="F2F2F2"/>
            <w:vAlign w:val="center"/>
          </w:tcPr>
          <w:p w14:paraId="42B931AB"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55B3338D" w14:textId="77777777" w:rsidR="004E3242" w:rsidRPr="004E3242" w:rsidRDefault="00CA02AA" w:rsidP="004E3242">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110</w:t>
            </w:r>
          </w:p>
        </w:tc>
        <w:tc>
          <w:tcPr>
            <w:tcW w:w="454" w:type="pct"/>
            <w:shd w:val="clear" w:color="auto" w:fill="F2F2F2"/>
            <w:vAlign w:val="center"/>
          </w:tcPr>
          <w:p w14:paraId="56CD9E89"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2947C05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16CD4462" w14:textId="77777777" w:rsidTr="00AA7998">
        <w:tc>
          <w:tcPr>
            <w:tcW w:w="298" w:type="pct"/>
            <w:shd w:val="clear" w:color="auto" w:fill="F2F2F2"/>
            <w:vAlign w:val="center"/>
          </w:tcPr>
          <w:p w14:paraId="6E4452F6"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1440" w:type="pct"/>
            <w:shd w:val="clear" w:color="auto" w:fill="F2F2F2"/>
            <w:vAlign w:val="center"/>
          </w:tcPr>
          <w:p w14:paraId="4E2F9DFA" w14:textId="77777777" w:rsidR="004E3242" w:rsidRPr="004E3242" w:rsidRDefault="004E3242" w:rsidP="004E3242">
            <w:pPr>
              <w:autoSpaceDE w:val="0"/>
              <w:autoSpaceDN w:val="0"/>
              <w:adjustRightInd w:val="0"/>
              <w:spacing w:before="60" w:after="60"/>
              <w:jc w:val="both"/>
              <w:rPr>
                <w:rFonts w:ascii="Arial" w:hAnsi="Arial" w:cs="Arial"/>
                <w:spacing w:val="4"/>
                <w:sz w:val="16"/>
                <w:szCs w:val="16"/>
              </w:rPr>
            </w:pPr>
            <w:r w:rsidRPr="004E3242">
              <w:rPr>
                <w:rFonts w:ascii="Arial" w:hAnsi="Arial" w:cs="Arial"/>
                <w:spacing w:val="4"/>
                <w:sz w:val="16"/>
                <w:szCs w:val="16"/>
              </w:rPr>
              <w:t>Liczba zakupionych lub zmodernizowanych jednostek taboru pasażerskiego w publicznym transporcie zbiorowym komunikacji miejskiej</w:t>
            </w:r>
          </w:p>
        </w:tc>
        <w:tc>
          <w:tcPr>
            <w:tcW w:w="530" w:type="pct"/>
            <w:shd w:val="clear" w:color="auto" w:fill="F2F2F2"/>
            <w:vAlign w:val="center"/>
          </w:tcPr>
          <w:p w14:paraId="13CC6E58"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szt.</w:t>
            </w:r>
          </w:p>
        </w:tc>
        <w:tc>
          <w:tcPr>
            <w:tcW w:w="462" w:type="pct"/>
            <w:shd w:val="clear" w:color="auto" w:fill="F2F2F2"/>
            <w:vAlign w:val="center"/>
          </w:tcPr>
          <w:p w14:paraId="24B1D660"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FS</w:t>
            </w:r>
          </w:p>
        </w:tc>
        <w:tc>
          <w:tcPr>
            <w:tcW w:w="611" w:type="pct"/>
            <w:shd w:val="clear" w:color="auto" w:fill="F2F2F2"/>
            <w:vAlign w:val="center"/>
          </w:tcPr>
          <w:p w14:paraId="5579E163"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n/d</w:t>
            </w:r>
          </w:p>
        </w:tc>
        <w:tc>
          <w:tcPr>
            <w:tcW w:w="534" w:type="pct"/>
            <w:shd w:val="clear" w:color="auto" w:fill="F2F2F2"/>
            <w:vAlign w:val="center"/>
          </w:tcPr>
          <w:p w14:paraId="3FC87BDD" w14:textId="77777777" w:rsidR="004E3242" w:rsidRPr="004E3242" w:rsidRDefault="00CA02AA" w:rsidP="00044EDA">
            <w:pPr>
              <w:autoSpaceDE w:val="0"/>
              <w:autoSpaceDN w:val="0"/>
              <w:adjustRightInd w:val="0"/>
              <w:spacing w:before="60" w:after="60"/>
              <w:jc w:val="center"/>
              <w:rPr>
                <w:rFonts w:ascii="Arial" w:hAnsi="Arial" w:cs="Arial"/>
                <w:spacing w:val="4"/>
                <w:sz w:val="16"/>
                <w:szCs w:val="16"/>
              </w:rPr>
            </w:pPr>
            <w:r>
              <w:rPr>
                <w:rFonts w:ascii="Arial" w:hAnsi="Arial" w:cs="Arial"/>
                <w:spacing w:val="4"/>
                <w:sz w:val="16"/>
                <w:szCs w:val="16"/>
              </w:rPr>
              <w:t xml:space="preserve"> </w:t>
            </w:r>
            <w:r w:rsidR="00044EDA">
              <w:rPr>
                <w:rFonts w:ascii="Arial" w:hAnsi="Arial" w:cs="Arial"/>
                <w:spacing w:val="4"/>
                <w:sz w:val="16"/>
                <w:szCs w:val="16"/>
              </w:rPr>
              <w:t>551</w:t>
            </w:r>
          </w:p>
        </w:tc>
        <w:tc>
          <w:tcPr>
            <w:tcW w:w="454" w:type="pct"/>
            <w:shd w:val="clear" w:color="auto" w:fill="F2F2F2"/>
            <w:vAlign w:val="center"/>
          </w:tcPr>
          <w:p w14:paraId="0944B284"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SL 2014</w:t>
            </w:r>
          </w:p>
        </w:tc>
        <w:tc>
          <w:tcPr>
            <w:tcW w:w="671" w:type="pct"/>
            <w:shd w:val="clear" w:color="auto" w:fill="F2F2F2"/>
            <w:vAlign w:val="center"/>
          </w:tcPr>
          <w:p w14:paraId="2B8134A4" w14:textId="77777777" w:rsidR="004E3242" w:rsidRPr="004E3242" w:rsidRDefault="004E3242" w:rsidP="004E3242">
            <w:pPr>
              <w:autoSpaceDE w:val="0"/>
              <w:autoSpaceDN w:val="0"/>
              <w:adjustRightInd w:val="0"/>
              <w:spacing w:before="60" w:after="60"/>
              <w:jc w:val="center"/>
              <w:rPr>
                <w:rFonts w:ascii="Arial" w:hAnsi="Arial" w:cs="Arial"/>
                <w:spacing w:val="4"/>
                <w:sz w:val="16"/>
                <w:szCs w:val="16"/>
              </w:rPr>
            </w:pPr>
            <w:r w:rsidRPr="004E3242">
              <w:rPr>
                <w:rFonts w:ascii="Arial" w:hAnsi="Arial" w:cs="Arial"/>
                <w:spacing w:val="4"/>
                <w:sz w:val="16"/>
                <w:szCs w:val="16"/>
              </w:rPr>
              <w:t>Rocznie</w:t>
            </w:r>
          </w:p>
        </w:tc>
      </w:tr>
    </w:tbl>
    <w:p w14:paraId="5BC51E0B" w14:textId="77777777" w:rsidR="004E3242" w:rsidRPr="004E3242" w:rsidRDefault="004E3242" w:rsidP="004E3242">
      <w:pPr>
        <w:spacing w:after="120" w:line="280" w:lineRule="atLeast"/>
        <w:jc w:val="both"/>
        <w:rPr>
          <w:rFonts w:ascii="Arial" w:hAnsi="Arial" w:cs="Arial"/>
          <w:b/>
          <w:spacing w:val="4"/>
          <w:sz w:val="20"/>
          <w:szCs w:val="20"/>
        </w:rPr>
      </w:pPr>
    </w:p>
    <w:p w14:paraId="341E7FE9" w14:textId="77777777" w:rsidR="004E3242" w:rsidRPr="004E3242" w:rsidRDefault="004E3242" w:rsidP="004E3242">
      <w:pPr>
        <w:spacing w:after="120" w:line="280" w:lineRule="atLeast"/>
        <w:jc w:val="both"/>
        <w:rPr>
          <w:rFonts w:ascii="Arial" w:hAnsi="Arial" w:cs="Arial"/>
          <w:bCs/>
          <w:smallCaps/>
          <w:color w:val="669900"/>
          <w:spacing w:val="4"/>
          <w:sz w:val="20"/>
          <w:szCs w:val="20"/>
        </w:rPr>
        <w:sectPr w:rsidR="004E3242" w:rsidRPr="004E3242" w:rsidSect="00C73ABE">
          <w:pgSz w:w="11906" w:h="16838"/>
          <w:pgMar w:top="851" w:right="851" w:bottom="993" w:left="851" w:header="709" w:footer="159" w:gutter="0"/>
          <w:cols w:space="708"/>
          <w:titlePg/>
          <w:docGrid w:linePitch="360"/>
        </w:sectPr>
      </w:pPr>
    </w:p>
    <w:p w14:paraId="111DE769"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Ramy wykonania</w:t>
      </w:r>
    </w:p>
    <w:tbl>
      <w:tblPr>
        <w:tblW w:w="487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00"/>
        <w:gridCol w:w="1185"/>
        <w:gridCol w:w="2741"/>
        <w:gridCol w:w="1055"/>
        <w:gridCol w:w="859"/>
        <w:gridCol w:w="937"/>
        <w:gridCol w:w="1428"/>
        <w:gridCol w:w="1772"/>
        <w:gridCol w:w="1345"/>
        <w:gridCol w:w="2996"/>
      </w:tblGrid>
      <w:tr w:rsidR="004E3242" w:rsidRPr="004E3242" w14:paraId="51DE2AF4" w14:textId="77777777" w:rsidTr="00AA7998">
        <w:tc>
          <w:tcPr>
            <w:tcW w:w="168" w:type="pct"/>
            <w:shd w:val="clear" w:color="auto" w:fill="99CC00"/>
            <w:vAlign w:val="center"/>
          </w:tcPr>
          <w:p w14:paraId="434371D9"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400" w:type="pct"/>
            <w:shd w:val="clear" w:color="auto" w:fill="99CC00"/>
            <w:vAlign w:val="center"/>
          </w:tcPr>
          <w:p w14:paraId="0D736F59"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925" w:type="pct"/>
            <w:shd w:val="clear" w:color="auto" w:fill="99CC00"/>
            <w:vAlign w:val="center"/>
          </w:tcPr>
          <w:p w14:paraId="208350D2"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356" w:type="pct"/>
            <w:shd w:val="clear" w:color="auto" w:fill="99CC00"/>
            <w:vAlign w:val="center"/>
          </w:tcPr>
          <w:p w14:paraId="68C05790"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290" w:type="pct"/>
            <w:shd w:val="clear" w:color="auto" w:fill="99CC00"/>
            <w:vAlign w:val="center"/>
          </w:tcPr>
          <w:p w14:paraId="35EC0FE5"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316" w:type="pct"/>
            <w:shd w:val="clear" w:color="auto" w:fill="99CC00"/>
            <w:vAlign w:val="center"/>
          </w:tcPr>
          <w:p w14:paraId="3C2AA333"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82" w:type="pct"/>
            <w:shd w:val="clear" w:color="auto" w:fill="99CC00"/>
            <w:vAlign w:val="center"/>
          </w:tcPr>
          <w:p w14:paraId="4AC3C1A7"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598" w:type="pct"/>
            <w:shd w:val="clear" w:color="auto" w:fill="99CC00"/>
            <w:vAlign w:val="center"/>
          </w:tcPr>
          <w:p w14:paraId="52E9139C"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454" w:type="pct"/>
            <w:shd w:val="clear" w:color="auto" w:fill="99CC00"/>
            <w:vAlign w:val="center"/>
          </w:tcPr>
          <w:p w14:paraId="52A22FBF"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011" w:type="pct"/>
            <w:shd w:val="clear" w:color="auto" w:fill="99CC00"/>
            <w:vAlign w:val="center"/>
          </w:tcPr>
          <w:p w14:paraId="330E97B1" w14:textId="77777777" w:rsidR="004E3242" w:rsidRPr="004E3242" w:rsidRDefault="004E3242" w:rsidP="004E3242">
            <w:pPr>
              <w:spacing w:before="20" w:after="20"/>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03F8D6EB" w14:textId="77777777" w:rsidTr="00AA7998">
        <w:tc>
          <w:tcPr>
            <w:tcW w:w="168" w:type="pct"/>
            <w:shd w:val="clear" w:color="auto" w:fill="F2F2F2"/>
            <w:vAlign w:val="center"/>
          </w:tcPr>
          <w:p w14:paraId="5322C1AF"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1.</w:t>
            </w:r>
          </w:p>
        </w:tc>
        <w:tc>
          <w:tcPr>
            <w:tcW w:w="400" w:type="pct"/>
            <w:shd w:val="clear" w:color="auto" w:fill="F2F2F2"/>
            <w:vAlign w:val="center"/>
          </w:tcPr>
          <w:p w14:paraId="776D37C1"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Wskaźnik finansowy</w:t>
            </w:r>
          </w:p>
        </w:tc>
        <w:tc>
          <w:tcPr>
            <w:tcW w:w="925" w:type="pct"/>
            <w:shd w:val="clear" w:color="auto" w:fill="F2F2F2"/>
            <w:vAlign w:val="center"/>
          </w:tcPr>
          <w:p w14:paraId="3400D782"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z w:val="16"/>
                <w:szCs w:val="16"/>
              </w:rPr>
              <w:t>Całkowita kwota certyfikowanych wydatków kwalifikowalnych</w:t>
            </w:r>
          </w:p>
        </w:tc>
        <w:tc>
          <w:tcPr>
            <w:tcW w:w="356" w:type="pct"/>
            <w:shd w:val="clear" w:color="auto" w:fill="F2F2F2"/>
            <w:vAlign w:val="center"/>
          </w:tcPr>
          <w:p w14:paraId="1F585B63"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EUR</w:t>
            </w:r>
          </w:p>
        </w:tc>
        <w:tc>
          <w:tcPr>
            <w:tcW w:w="290" w:type="pct"/>
            <w:shd w:val="clear" w:color="auto" w:fill="F2F2F2"/>
            <w:vAlign w:val="center"/>
          </w:tcPr>
          <w:p w14:paraId="1BB6B18B"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316" w:type="pct"/>
            <w:shd w:val="clear" w:color="auto" w:fill="F2F2F2"/>
            <w:vAlign w:val="center"/>
          </w:tcPr>
          <w:p w14:paraId="4AC5ED66"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482" w:type="pct"/>
            <w:shd w:val="clear" w:color="auto" w:fill="F2F2F2"/>
            <w:vAlign w:val="center"/>
          </w:tcPr>
          <w:p w14:paraId="26313BF8"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497 153 902</w:t>
            </w:r>
          </w:p>
        </w:tc>
        <w:tc>
          <w:tcPr>
            <w:tcW w:w="598" w:type="pct"/>
            <w:shd w:val="clear" w:color="auto" w:fill="F2F2F2"/>
            <w:vAlign w:val="center"/>
          </w:tcPr>
          <w:p w14:paraId="49D671BC" w14:textId="77777777" w:rsidR="005D0686" w:rsidRDefault="005D0686" w:rsidP="004E3242">
            <w:pPr>
              <w:spacing w:before="20" w:after="20"/>
              <w:jc w:val="center"/>
              <w:rPr>
                <w:rFonts w:ascii="Arial" w:hAnsi="Arial" w:cs="Arial"/>
                <w:spacing w:val="4"/>
                <w:sz w:val="16"/>
                <w:szCs w:val="16"/>
              </w:rPr>
            </w:pPr>
            <w:r w:rsidRPr="005D0686">
              <w:rPr>
                <w:rFonts w:ascii="Arial" w:hAnsi="Arial" w:cs="Arial"/>
                <w:spacing w:val="4"/>
                <w:sz w:val="16"/>
                <w:szCs w:val="16"/>
              </w:rPr>
              <w:t>2 678 232</w:t>
            </w:r>
            <w:r>
              <w:rPr>
                <w:rFonts w:ascii="Arial" w:hAnsi="Arial" w:cs="Arial"/>
                <w:spacing w:val="4"/>
                <w:sz w:val="16"/>
                <w:szCs w:val="16"/>
              </w:rPr>
              <w:t> </w:t>
            </w:r>
            <w:r w:rsidRPr="005D0686">
              <w:rPr>
                <w:rFonts w:ascii="Arial" w:hAnsi="Arial" w:cs="Arial"/>
                <w:spacing w:val="4"/>
                <w:sz w:val="16"/>
                <w:szCs w:val="16"/>
              </w:rPr>
              <w:t>506</w:t>
            </w:r>
          </w:p>
          <w:p w14:paraId="42D60E91" w14:textId="77777777" w:rsidR="004E3242" w:rsidRPr="004E3242" w:rsidRDefault="004E3242" w:rsidP="004E3242">
            <w:pPr>
              <w:spacing w:before="20" w:after="20"/>
              <w:jc w:val="center"/>
              <w:rPr>
                <w:rFonts w:ascii="Arial" w:hAnsi="Arial" w:cs="Arial"/>
                <w:spacing w:val="4"/>
                <w:sz w:val="16"/>
                <w:szCs w:val="16"/>
              </w:rPr>
            </w:pPr>
          </w:p>
        </w:tc>
        <w:tc>
          <w:tcPr>
            <w:tcW w:w="454" w:type="pct"/>
            <w:shd w:val="clear" w:color="auto" w:fill="F2F2F2"/>
            <w:vAlign w:val="center"/>
          </w:tcPr>
          <w:p w14:paraId="28F99F47"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SL </w:t>
            </w:r>
            <w:r w:rsidRPr="004E3242">
              <w:rPr>
                <w:rFonts w:ascii="Arial" w:hAnsi="Arial" w:cs="Arial"/>
                <w:spacing w:val="4"/>
                <w:sz w:val="16"/>
                <w:szCs w:val="16"/>
              </w:rPr>
              <w:br/>
              <w:t>2014</w:t>
            </w:r>
          </w:p>
        </w:tc>
        <w:tc>
          <w:tcPr>
            <w:tcW w:w="1011" w:type="pct"/>
            <w:shd w:val="clear" w:color="auto" w:fill="F2F2F2"/>
            <w:vAlign w:val="center"/>
          </w:tcPr>
          <w:p w14:paraId="0B602F07"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31271EF2" w14:textId="77777777" w:rsidTr="00AA7998">
        <w:tc>
          <w:tcPr>
            <w:tcW w:w="168" w:type="pct"/>
            <w:shd w:val="clear" w:color="auto" w:fill="F2F2F2"/>
            <w:vAlign w:val="center"/>
          </w:tcPr>
          <w:p w14:paraId="7C59B1C3"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w:t>
            </w:r>
          </w:p>
        </w:tc>
        <w:tc>
          <w:tcPr>
            <w:tcW w:w="400" w:type="pct"/>
            <w:shd w:val="clear" w:color="auto" w:fill="F2F2F2"/>
            <w:vAlign w:val="center"/>
          </w:tcPr>
          <w:p w14:paraId="18056F1E"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Wskaźnik produktu</w:t>
            </w:r>
          </w:p>
        </w:tc>
        <w:tc>
          <w:tcPr>
            <w:tcW w:w="925" w:type="pct"/>
            <w:shd w:val="clear" w:color="auto" w:fill="F2F2F2"/>
            <w:vAlign w:val="center"/>
          </w:tcPr>
          <w:p w14:paraId="23848D52"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Całkowita długość nowych lub zmodernizowanych linii tramwajowych i linii metra</w:t>
            </w:r>
          </w:p>
        </w:tc>
        <w:tc>
          <w:tcPr>
            <w:tcW w:w="356" w:type="pct"/>
            <w:shd w:val="clear" w:color="auto" w:fill="F2F2F2"/>
            <w:vAlign w:val="center"/>
          </w:tcPr>
          <w:p w14:paraId="2F2E37D7"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km</w:t>
            </w:r>
          </w:p>
        </w:tc>
        <w:tc>
          <w:tcPr>
            <w:tcW w:w="290" w:type="pct"/>
            <w:shd w:val="clear" w:color="auto" w:fill="F2F2F2"/>
            <w:vAlign w:val="center"/>
          </w:tcPr>
          <w:p w14:paraId="1B20FDA9"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316" w:type="pct"/>
            <w:shd w:val="clear" w:color="auto" w:fill="F2F2F2"/>
            <w:vAlign w:val="center"/>
          </w:tcPr>
          <w:p w14:paraId="5BB00BF8"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482" w:type="pct"/>
            <w:shd w:val="clear" w:color="auto" w:fill="F2F2F2"/>
            <w:vAlign w:val="center"/>
          </w:tcPr>
          <w:p w14:paraId="0BC7FF31"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w:t>
            </w:r>
          </w:p>
        </w:tc>
        <w:tc>
          <w:tcPr>
            <w:tcW w:w="598" w:type="pct"/>
            <w:shd w:val="clear" w:color="auto" w:fill="F2F2F2"/>
            <w:vAlign w:val="center"/>
          </w:tcPr>
          <w:p w14:paraId="1295A2F7" w14:textId="77777777" w:rsidR="004E3242" w:rsidRPr="004E3242" w:rsidRDefault="00CA02AA" w:rsidP="004E3242">
            <w:pPr>
              <w:spacing w:before="20" w:after="20"/>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110</w:t>
            </w:r>
          </w:p>
        </w:tc>
        <w:tc>
          <w:tcPr>
            <w:tcW w:w="454" w:type="pct"/>
            <w:shd w:val="clear" w:color="auto" w:fill="F2F2F2"/>
            <w:vAlign w:val="center"/>
          </w:tcPr>
          <w:p w14:paraId="11999EFF"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SL </w:t>
            </w:r>
          </w:p>
          <w:p w14:paraId="4D755821"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2014</w:t>
            </w:r>
          </w:p>
        </w:tc>
        <w:tc>
          <w:tcPr>
            <w:tcW w:w="1011" w:type="pct"/>
            <w:shd w:val="clear" w:color="auto" w:fill="F2F2F2"/>
            <w:vAlign w:val="center"/>
          </w:tcPr>
          <w:p w14:paraId="29C2CC5F" w14:textId="77777777" w:rsidR="004E3242" w:rsidRPr="004E3242" w:rsidRDefault="004E3242" w:rsidP="00A21E4E">
            <w:pPr>
              <w:spacing w:before="20" w:after="20"/>
              <w:jc w:val="both"/>
              <w:rPr>
                <w:rFonts w:ascii="Arial" w:hAnsi="Arial" w:cs="Arial"/>
                <w:spacing w:val="4"/>
                <w:sz w:val="16"/>
                <w:szCs w:val="16"/>
              </w:rPr>
            </w:pPr>
            <w:r w:rsidRPr="004E3242">
              <w:rPr>
                <w:rFonts w:ascii="Arial" w:hAnsi="Arial" w:cs="Arial"/>
                <w:spacing w:val="4"/>
                <w:sz w:val="16"/>
                <w:szCs w:val="16"/>
              </w:rPr>
              <w:t>Reprezentuje typy</w:t>
            </w:r>
            <w:r w:rsidR="00ED1842">
              <w:rPr>
                <w:rFonts w:ascii="Arial" w:hAnsi="Arial" w:cs="Arial"/>
                <w:spacing w:val="4"/>
                <w:sz w:val="16"/>
                <w:szCs w:val="16"/>
              </w:rPr>
              <w:t xml:space="preserve"> </w:t>
            </w:r>
            <w:r w:rsidRPr="004E3242">
              <w:rPr>
                <w:rFonts w:ascii="Arial" w:hAnsi="Arial" w:cs="Arial"/>
                <w:spacing w:val="4"/>
                <w:sz w:val="16"/>
                <w:szCs w:val="16"/>
              </w:rPr>
              <w:t>projektów, które są</w:t>
            </w:r>
            <w:r w:rsidR="00ED1842">
              <w:rPr>
                <w:rFonts w:ascii="Arial" w:hAnsi="Arial" w:cs="Arial"/>
                <w:spacing w:val="4"/>
                <w:sz w:val="16"/>
                <w:szCs w:val="16"/>
              </w:rPr>
              <w:t xml:space="preserve"> </w:t>
            </w:r>
            <w:r w:rsidRPr="004E3242">
              <w:rPr>
                <w:rFonts w:ascii="Arial" w:hAnsi="Arial" w:cs="Arial"/>
                <w:spacing w:val="4"/>
                <w:sz w:val="16"/>
                <w:szCs w:val="16"/>
              </w:rPr>
              <w:t>kluczowe dla</w:t>
            </w:r>
            <w:r w:rsidR="00ED1842">
              <w:rPr>
                <w:rFonts w:ascii="Arial" w:hAnsi="Arial" w:cs="Arial"/>
                <w:spacing w:val="4"/>
                <w:sz w:val="16"/>
                <w:szCs w:val="16"/>
              </w:rPr>
              <w:t xml:space="preserve"> </w:t>
            </w:r>
            <w:r w:rsidRPr="004E3242">
              <w:rPr>
                <w:rFonts w:ascii="Arial" w:hAnsi="Arial" w:cs="Arial"/>
                <w:spacing w:val="4"/>
                <w:sz w:val="16"/>
                <w:szCs w:val="16"/>
              </w:rPr>
              <w:t>osiągnięcia celów</w:t>
            </w:r>
            <w:r w:rsidR="00ED1842">
              <w:rPr>
                <w:rFonts w:ascii="Arial" w:hAnsi="Arial" w:cs="Arial"/>
                <w:spacing w:val="4"/>
                <w:sz w:val="16"/>
                <w:szCs w:val="16"/>
              </w:rPr>
              <w:t xml:space="preserve"> </w:t>
            </w:r>
            <w:r w:rsidRPr="004E3242">
              <w:rPr>
                <w:rFonts w:ascii="Arial" w:hAnsi="Arial" w:cs="Arial"/>
                <w:spacing w:val="4"/>
                <w:sz w:val="16"/>
                <w:szCs w:val="16"/>
              </w:rPr>
              <w:t>priorytetu</w:t>
            </w:r>
            <w:r w:rsidR="00ED1842">
              <w:rPr>
                <w:rFonts w:ascii="Arial" w:hAnsi="Arial" w:cs="Arial"/>
                <w:spacing w:val="4"/>
                <w:sz w:val="16"/>
                <w:szCs w:val="16"/>
              </w:rPr>
              <w:t xml:space="preserve"> </w:t>
            </w:r>
            <w:r w:rsidRPr="004E3242">
              <w:rPr>
                <w:rFonts w:ascii="Arial" w:hAnsi="Arial" w:cs="Arial"/>
                <w:spacing w:val="4"/>
                <w:sz w:val="16"/>
                <w:szCs w:val="16"/>
              </w:rPr>
              <w:t>inwestycyjnego,</w:t>
            </w:r>
            <w:r w:rsidR="00ED1842">
              <w:rPr>
                <w:rFonts w:ascii="Arial" w:hAnsi="Arial" w:cs="Arial"/>
                <w:spacing w:val="4"/>
                <w:sz w:val="16"/>
                <w:szCs w:val="16"/>
              </w:rPr>
              <w:t xml:space="preserve"> </w:t>
            </w:r>
            <w:r w:rsidRPr="004E3242">
              <w:rPr>
                <w:rFonts w:ascii="Arial" w:hAnsi="Arial" w:cs="Arial"/>
                <w:spacing w:val="4"/>
                <w:sz w:val="16"/>
                <w:szCs w:val="16"/>
              </w:rPr>
              <w:t>którym jest wspieranie</w:t>
            </w:r>
            <w:r w:rsidR="00ED1842">
              <w:rPr>
                <w:rFonts w:ascii="Arial" w:hAnsi="Arial" w:cs="Arial"/>
                <w:spacing w:val="4"/>
                <w:sz w:val="16"/>
                <w:szCs w:val="16"/>
              </w:rPr>
              <w:t xml:space="preserve"> </w:t>
            </w:r>
            <w:r w:rsidRPr="004E3242">
              <w:rPr>
                <w:rFonts w:ascii="Arial" w:hAnsi="Arial" w:cs="Arial"/>
                <w:spacing w:val="4"/>
                <w:sz w:val="16"/>
                <w:szCs w:val="16"/>
              </w:rPr>
              <w:t>zrównoważonej</w:t>
            </w:r>
            <w:r w:rsidR="00ED1842">
              <w:rPr>
                <w:rFonts w:ascii="Arial" w:hAnsi="Arial" w:cs="Arial"/>
                <w:spacing w:val="4"/>
                <w:sz w:val="16"/>
                <w:szCs w:val="16"/>
              </w:rPr>
              <w:t xml:space="preserve"> </w:t>
            </w:r>
            <w:r w:rsidRPr="004E3242">
              <w:rPr>
                <w:rFonts w:ascii="Arial" w:hAnsi="Arial" w:cs="Arial"/>
                <w:spacing w:val="4"/>
                <w:sz w:val="16"/>
                <w:szCs w:val="16"/>
              </w:rPr>
              <w:t>multimodalnej</w:t>
            </w:r>
            <w:r w:rsidR="00ED1842">
              <w:rPr>
                <w:rFonts w:ascii="Arial" w:hAnsi="Arial" w:cs="Arial"/>
                <w:spacing w:val="4"/>
                <w:sz w:val="16"/>
                <w:szCs w:val="16"/>
              </w:rPr>
              <w:t xml:space="preserve"> </w:t>
            </w:r>
            <w:r w:rsidRPr="004E3242">
              <w:rPr>
                <w:rFonts w:ascii="Arial" w:hAnsi="Arial" w:cs="Arial"/>
                <w:spacing w:val="4"/>
                <w:sz w:val="16"/>
                <w:szCs w:val="16"/>
              </w:rPr>
              <w:t>mobilności miejskiej i</w:t>
            </w:r>
            <w:r w:rsidR="00ED1842">
              <w:rPr>
                <w:rFonts w:ascii="Arial" w:hAnsi="Arial" w:cs="Arial"/>
                <w:spacing w:val="4"/>
                <w:sz w:val="16"/>
                <w:szCs w:val="16"/>
              </w:rPr>
              <w:t xml:space="preserve"> </w:t>
            </w:r>
            <w:r w:rsidRPr="004E3242">
              <w:rPr>
                <w:rFonts w:ascii="Arial" w:hAnsi="Arial" w:cs="Arial"/>
                <w:spacing w:val="4"/>
                <w:sz w:val="16"/>
                <w:szCs w:val="16"/>
              </w:rPr>
              <w:t>wzrost wykorzystania</w:t>
            </w:r>
            <w:r w:rsidR="00ED1842">
              <w:rPr>
                <w:rFonts w:ascii="Arial" w:hAnsi="Arial" w:cs="Arial"/>
                <w:spacing w:val="4"/>
                <w:sz w:val="16"/>
                <w:szCs w:val="16"/>
              </w:rPr>
              <w:t xml:space="preserve"> </w:t>
            </w:r>
            <w:r w:rsidRPr="004E3242">
              <w:rPr>
                <w:rFonts w:ascii="Arial" w:hAnsi="Arial" w:cs="Arial"/>
                <w:spacing w:val="4"/>
                <w:sz w:val="16"/>
                <w:szCs w:val="16"/>
              </w:rPr>
              <w:t>niskoemisyjnego</w:t>
            </w:r>
            <w:r w:rsidR="00ED1842">
              <w:rPr>
                <w:rFonts w:ascii="Arial" w:hAnsi="Arial" w:cs="Arial"/>
                <w:spacing w:val="4"/>
                <w:sz w:val="16"/>
                <w:szCs w:val="16"/>
              </w:rPr>
              <w:t xml:space="preserve"> </w:t>
            </w:r>
            <w:r w:rsidRPr="004E3242">
              <w:rPr>
                <w:rFonts w:ascii="Arial" w:hAnsi="Arial" w:cs="Arial"/>
                <w:spacing w:val="4"/>
                <w:sz w:val="16"/>
                <w:szCs w:val="16"/>
              </w:rPr>
              <w:t>transportu miejskiego.</w:t>
            </w:r>
          </w:p>
        </w:tc>
      </w:tr>
      <w:tr w:rsidR="004E3242" w:rsidRPr="004E3242" w14:paraId="34ED44A5" w14:textId="77777777" w:rsidTr="00AA7998">
        <w:tc>
          <w:tcPr>
            <w:tcW w:w="168" w:type="pct"/>
            <w:shd w:val="clear" w:color="auto" w:fill="F2F2F2"/>
            <w:vAlign w:val="center"/>
          </w:tcPr>
          <w:p w14:paraId="44DAF9DD"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3.</w:t>
            </w:r>
          </w:p>
        </w:tc>
        <w:tc>
          <w:tcPr>
            <w:tcW w:w="400" w:type="pct"/>
            <w:shd w:val="clear" w:color="auto" w:fill="F2F2F2"/>
            <w:vAlign w:val="center"/>
          </w:tcPr>
          <w:p w14:paraId="1FB065DC"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Kluczowy etap wdrożeniowy</w:t>
            </w:r>
          </w:p>
        </w:tc>
        <w:tc>
          <w:tcPr>
            <w:tcW w:w="925" w:type="pct"/>
            <w:shd w:val="clear" w:color="auto" w:fill="F2F2F2"/>
            <w:vAlign w:val="center"/>
          </w:tcPr>
          <w:p w14:paraId="4D4062D7" w14:textId="77777777" w:rsidR="004E3242" w:rsidRPr="004E3242" w:rsidRDefault="004E3242" w:rsidP="004E3242">
            <w:pPr>
              <w:spacing w:before="20" w:after="20"/>
              <w:jc w:val="both"/>
              <w:rPr>
                <w:rFonts w:ascii="Arial" w:hAnsi="Arial" w:cs="Arial"/>
                <w:spacing w:val="4"/>
                <w:sz w:val="16"/>
                <w:szCs w:val="16"/>
              </w:rPr>
            </w:pPr>
            <w:r w:rsidRPr="004E3242">
              <w:rPr>
                <w:rFonts w:ascii="Arial" w:hAnsi="Arial" w:cs="Arial"/>
                <w:spacing w:val="4"/>
                <w:sz w:val="16"/>
                <w:szCs w:val="16"/>
              </w:rPr>
              <w:t>Całkowita długość nowo budowanych lub modernizowanych linii tramwajowych i linii metra wg zawartych umów o dofinansowanie</w:t>
            </w:r>
          </w:p>
        </w:tc>
        <w:tc>
          <w:tcPr>
            <w:tcW w:w="356" w:type="pct"/>
            <w:shd w:val="clear" w:color="auto" w:fill="F2F2F2"/>
            <w:vAlign w:val="center"/>
          </w:tcPr>
          <w:p w14:paraId="3A1CBB9B"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km</w:t>
            </w:r>
          </w:p>
        </w:tc>
        <w:tc>
          <w:tcPr>
            <w:tcW w:w="290" w:type="pct"/>
            <w:shd w:val="clear" w:color="auto" w:fill="F2F2F2"/>
            <w:vAlign w:val="center"/>
          </w:tcPr>
          <w:p w14:paraId="7B55F98E"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FS</w:t>
            </w:r>
          </w:p>
        </w:tc>
        <w:tc>
          <w:tcPr>
            <w:tcW w:w="316" w:type="pct"/>
            <w:shd w:val="clear" w:color="auto" w:fill="F2F2F2"/>
            <w:vAlign w:val="center"/>
          </w:tcPr>
          <w:p w14:paraId="2C53AB08"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n/d</w:t>
            </w:r>
          </w:p>
        </w:tc>
        <w:tc>
          <w:tcPr>
            <w:tcW w:w="482" w:type="pct"/>
            <w:shd w:val="clear" w:color="auto" w:fill="F2F2F2"/>
            <w:vAlign w:val="center"/>
          </w:tcPr>
          <w:p w14:paraId="20D521DB"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28</w:t>
            </w:r>
          </w:p>
        </w:tc>
        <w:tc>
          <w:tcPr>
            <w:tcW w:w="598" w:type="pct"/>
            <w:shd w:val="clear" w:color="auto" w:fill="F2F2F2"/>
            <w:vAlign w:val="center"/>
          </w:tcPr>
          <w:p w14:paraId="2B80A122"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w:t>
            </w:r>
          </w:p>
        </w:tc>
        <w:tc>
          <w:tcPr>
            <w:tcW w:w="454" w:type="pct"/>
            <w:shd w:val="clear" w:color="auto" w:fill="F2F2F2"/>
            <w:vAlign w:val="center"/>
          </w:tcPr>
          <w:p w14:paraId="00B24F46"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 xml:space="preserve">dane instytucji na podstawie SL </w:t>
            </w:r>
          </w:p>
          <w:p w14:paraId="5397F391" w14:textId="77777777" w:rsidR="004E3242" w:rsidRPr="004E3242" w:rsidRDefault="004E3242" w:rsidP="004E3242">
            <w:pPr>
              <w:spacing w:before="20" w:after="20"/>
              <w:jc w:val="center"/>
              <w:rPr>
                <w:rFonts w:ascii="Arial" w:hAnsi="Arial" w:cs="Arial"/>
                <w:spacing w:val="4"/>
                <w:sz w:val="16"/>
                <w:szCs w:val="16"/>
              </w:rPr>
            </w:pPr>
            <w:r w:rsidRPr="004E3242">
              <w:rPr>
                <w:rFonts w:ascii="Arial" w:hAnsi="Arial" w:cs="Arial"/>
                <w:spacing w:val="4"/>
                <w:sz w:val="16"/>
                <w:szCs w:val="16"/>
              </w:rPr>
              <w:t>2014</w:t>
            </w:r>
          </w:p>
        </w:tc>
        <w:tc>
          <w:tcPr>
            <w:tcW w:w="1011" w:type="pct"/>
            <w:shd w:val="clear" w:color="auto" w:fill="F2F2F2"/>
            <w:vAlign w:val="center"/>
          </w:tcPr>
          <w:p w14:paraId="0767D1EE" w14:textId="77777777" w:rsidR="004E3242" w:rsidRPr="004E3242" w:rsidRDefault="004E3242" w:rsidP="00A21E4E">
            <w:pPr>
              <w:spacing w:before="20" w:after="20"/>
              <w:jc w:val="both"/>
              <w:rPr>
                <w:rFonts w:ascii="Arial" w:hAnsi="Arial" w:cs="Arial"/>
                <w:spacing w:val="4"/>
                <w:sz w:val="16"/>
                <w:szCs w:val="16"/>
              </w:rPr>
            </w:pPr>
            <w:r w:rsidRPr="004E3242">
              <w:rPr>
                <w:rFonts w:ascii="Arial" w:hAnsi="Arial" w:cs="Arial"/>
                <w:spacing w:val="4"/>
                <w:sz w:val="16"/>
                <w:szCs w:val="16"/>
              </w:rPr>
              <w:t>Zgodnie z analizą</w:t>
            </w:r>
            <w:r w:rsidR="00ED1842">
              <w:rPr>
                <w:rFonts w:ascii="Arial" w:hAnsi="Arial" w:cs="Arial"/>
                <w:spacing w:val="4"/>
                <w:sz w:val="16"/>
                <w:szCs w:val="16"/>
              </w:rPr>
              <w:t xml:space="preserve"> </w:t>
            </w:r>
            <w:r w:rsidRPr="004E3242">
              <w:rPr>
                <w:rFonts w:ascii="Arial" w:hAnsi="Arial" w:cs="Arial"/>
                <w:spacing w:val="4"/>
                <w:sz w:val="16"/>
                <w:szCs w:val="16"/>
              </w:rPr>
              <w:t>postępów wdrażania</w:t>
            </w:r>
            <w:r w:rsidR="00ED1842">
              <w:rPr>
                <w:rFonts w:ascii="Arial" w:hAnsi="Arial" w:cs="Arial"/>
                <w:spacing w:val="4"/>
                <w:sz w:val="16"/>
                <w:szCs w:val="16"/>
              </w:rPr>
              <w:t xml:space="preserve"> </w:t>
            </w:r>
            <w:r w:rsidRPr="004E3242">
              <w:rPr>
                <w:rFonts w:ascii="Arial" w:hAnsi="Arial" w:cs="Arial"/>
                <w:spacing w:val="4"/>
                <w:sz w:val="16"/>
                <w:szCs w:val="16"/>
              </w:rPr>
              <w:t>projektów miejskich w</w:t>
            </w:r>
            <w:r w:rsidR="00ED1842">
              <w:rPr>
                <w:rFonts w:ascii="Arial" w:hAnsi="Arial" w:cs="Arial"/>
                <w:spacing w:val="4"/>
                <w:sz w:val="16"/>
                <w:szCs w:val="16"/>
              </w:rPr>
              <w:t xml:space="preserve"> </w:t>
            </w:r>
            <w:r w:rsidRPr="004E3242">
              <w:rPr>
                <w:rFonts w:ascii="Arial" w:hAnsi="Arial" w:cs="Arial"/>
                <w:spacing w:val="4"/>
                <w:sz w:val="16"/>
                <w:szCs w:val="16"/>
              </w:rPr>
              <w:t xml:space="preserve">ramach </w:t>
            </w:r>
            <w:proofErr w:type="spellStart"/>
            <w:r w:rsidRPr="004E3242">
              <w:rPr>
                <w:rFonts w:ascii="Arial" w:hAnsi="Arial" w:cs="Arial"/>
                <w:spacing w:val="4"/>
                <w:sz w:val="16"/>
                <w:szCs w:val="16"/>
              </w:rPr>
              <w:t>POIiŚ</w:t>
            </w:r>
            <w:proofErr w:type="spellEnd"/>
            <w:r w:rsidRPr="004E3242">
              <w:rPr>
                <w:rFonts w:ascii="Arial" w:hAnsi="Arial" w:cs="Arial"/>
                <w:spacing w:val="4"/>
                <w:sz w:val="16"/>
                <w:szCs w:val="16"/>
              </w:rPr>
              <w:t xml:space="preserve"> 2007 –</w:t>
            </w:r>
            <w:r w:rsidR="00ED1842">
              <w:rPr>
                <w:rFonts w:ascii="Arial" w:hAnsi="Arial" w:cs="Arial"/>
                <w:spacing w:val="4"/>
                <w:sz w:val="16"/>
                <w:szCs w:val="16"/>
              </w:rPr>
              <w:t xml:space="preserve"> </w:t>
            </w:r>
            <w:r w:rsidRPr="004E3242">
              <w:rPr>
                <w:rFonts w:ascii="Arial" w:hAnsi="Arial" w:cs="Arial"/>
                <w:spacing w:val="4"/>
                <w:sz w:val="16"/>
                <w:szCs w:val="16"/>
              </w:rPr>
              <w:t>2013, realizacja</w:t>
            </w:r>
            <w:r w:rsidR="00ED1842">
              <w:rPr>
                <w:rFonts w:ascii="Arial" w:hAnsi="Arial" w:cs="Arial"/>
                <w:spacing w:val="4"/>
                <w:sz w:val="16"/>
                <w:szCs w:val="16"/>
              </w:rPr>
              <w:t xml:space="preserve"> </w:t>
            </w:r>
            <w:r w:rsidRPr="004E3242">
              <w:rPr>
                <w:rFonts w:ascii="Arial" w:hAnsi="Arial" w:cs="Arial"/>
                <w:spacing w:val="4"/>
                <w:sz w:val="16"/>
                <w:szCs w:val="16"/>
              </w:rPr>
              <w:t>żadnego z projektów</w:t>
            </w:r>
            <w:r w:rsidR="00ED1842">
              <w:rPr>
                <w:rFonts w:ascii="Arial" w:hAnsi="Arial" w:cs="Arial"/>
                <w:spacing w:val="4"/>
                <w:sz w:val="16"/>
                <w:szCs w:val="16"/>
              </w:rPr>
              <w:t xml:space="preserve"> </w:t>
            </w:r>
            <w:r w:rsidRPr="004E3242">
              <w:rPr>
                <w:rFonts w:ascii="Arial" w:hAnsi="Arial" w:cs="Arial"/>
                <w:spacing w:val="4"/>
                <w:sz w:val="16"/>
                <w:szCs w:val="16"/>
              </w:rPr>
              <w:t>transportu miejskiego</w:t>
            </w:r>
            <w:r w:rsidR="00ED1842">
              <w:rPr>
                <w:rFonts w:ascii="Arial" w:hAnsi="Arial" w:cs="Arial"/>
                <w:spacing w:val="4"/>
                <w:sz w:val="16"/>
                <w:szCs w:val="16"/>
              </w:rPr>
              <w:t xml:space="preserve"> </w:t>
            </w:r>
            <w:r w:rsidRPr="004E3242">
              <w:rPr>
                <w:rFonts w:ascii="Arial" w:hAnsi="Arial" w:cs="Arial"/>
                <w:spacing w:val="4"/>
                <w:sz w:val="16"/>
                <w:szCs w:val="16"/>
              </w:rPr>
              <w:t>nie zakończyła się w</w:t>
            </w:r>
            <w:r w:rsidR="00ED1842">
              <w:rPr>
                <w:rFonts w:ascii="Arial" w:hAnsi="Arial" w:cs="Arial"/>
                <w:spacing w:val="4"/>
                <w:sz w:val="16"/>
                <w:szCs w:val="16"/>
              </w:rPr>
              <w:t xml:space="preserve"> </w:t>
            </w:r>
            <w:r w:rsidRPr="004E3242">
              <w:rPr>
                <w:rFonts w:ascii="Arial" w:hAnsi="Arial" w:cs="Arial"/>
                <w:spacing w:val="4"/>
                <w:sz w:val="16"/>
                <w:szCs w:val="16"/>
              </w:rPr>
              <w:t>ciągu czterech</w:t>
            </w:r>
            <w:r w:rsidR="00ED1842">
              <w:rPr>
                <w:rFonts w:ascii="Arial" w:hAnsi="Arial" w:cs="Arial"/>
                <w:spacing w:val="4"/>
                <w:sz w:val="16"/>
                <w:szCs w:val="16"/>
              </w:rPr>
              <w:t xml:space="preserve"> </w:t>
            </w:r>
            <w:r w:rsidRPr="004E3242">
              <w:rPr>
                <w:rFonts w:ascii="Arial" w:hAnsi="Arial" w:cs="Arial"/>
                <w:spacing w:val="4"/>
                <w:sz w:val="16"/>
                <w:szCs w:val="16"/>
              </w:rPr>
              <w:t>pierwszych lat</w:t>
            </w:r>
            <w:r w:rsidR="00ED1842">
              <w:rPr>
                <w:rFonts w:ascii="Arial" w:hAnsi="Arial" w:cs="Arial"/>
                <w:spacing w:val="4"/>
                <w:sz w:val="16"/>
                <w:szCs w:val="16"/>
              </w:rPr>
              <w:t xml:space="preserve"> </w:t>
            </w:r>
            <w:r w:rsidRPr="004E3242">
              <w:rPr>
                <w:rFonts w:ascii="Arial" w:hAnsi="Arial" w:cs="Arial"/>
                <w:spacing w:val="4"/>
                <w:sz w:val="16"/>
                <w:szCs w:val="16"/>
              </w:rPr>
              <w:t>wdrażania Programu</w:t>
            </w:r>
            <w:r w:rsidR="00ED1842">
              <w:rPr>
                <w:rFonts w:ascii="Arial" w:hAnsi="Arial" w:cs="Arial"/>
                <w:spacing w:val="4"/>
                <w:sz w:val="16"/>
                <w:szCs w:val="16"/>
              </w:rPr>
              <w:t xml:space="preserve"> </w:t>
            </w:r>
            <w:r w:rsidRPr="004E3242">
              <w:rPr>
                <w:rFonts w:ascii="Arial" w:hAnsi="Arial" w:cs="Arial"/>
                <w:spacing w:val="4"/>
                <w:sz w:val="16"/>
                <w:szCs w:val="16"/>
              </w:rPr>
              <w:t>(tj. do końca 2011 r.).</w:t>
            </w:r>
            <w:r w:rsidR="00ED1842">
              <w:rPr>
                <w:rFonts w:ascii="Arial" w:hAnsi="Arial" w:cs="Arial"/>
                <w:spacing w:val="4"/>
                <w:sz w:val="16"/>
                <w:szCs w:val="16"/>
              </w:rPr>
              <w:t xml:space="preserve"> </w:t>
            </w:r>
            <w:r w:rsidRPr="004E3242">
              <w:rPr>
                <w:rFonts w:ascii="Arial" w:hAnsi="Arial" w:cs="Arial"/>
                <w:spacing w:val="4"/>
                <w:sz w:val="16"/>
                <w:szCs w:val="16"/>
              </w:rPr>
              <w:t>Zakładając podobne</w:t>
            </w:r>
            <w:r w:rsidR="00ED1842">
              <w:rPr>
                <w:rFonts w:ascii="Arial" w:hAnsi="Arial" w:cs="Arial"/>
                <w:spacing w:val="4"/>
                <w:sz w:val="16"/>
                <w:szCs w:val="16"/>
              </w:rPr>
              <w:t xml:space="preserve"> </w:t>
            </w:r>
            <w:r w:rsidRPr="004E3242">
              <w:rPr>
                <w:rFonts w:ascii="Arial" w:hAnsi="Arial" w:cs="Arial"/>
                <w:spacing w:val="4"/>
                <w:sz w:val="16"/>
                <w:szCs w:val="16"/>
              </w:rPr>
              <w:t>tempo wdrażania</w:t>
            </w:r>
            <w:r w:rsidR="00ED1842">
              <w:rPr>
                <w:rFonts w:ascii="Arial" w:hAnsi="Arial" w:cs="Arial"/>
                <w:spacing w:val="4"/>
                <w:sz w:val="16"/>
                <w:szCs w:val="16"/>
              </w:rPr>
              <w:t xml:space="preserve"> </w:t>
            </w:r>
            <w:r w:rsidRPr="004E3242">
              <w:rPr>
                <w:rFonts w:ascii="Arial" w:hAnsi="Arial" w:cs="Arial"/>
                <w:spacing w:val="4"/>
                <w:sz w:val="16"/>
                <w:szCs w:val="16"/>
              </w:rPr>
              <w:t>projektów w</w:t>
            </w:r>
            <w:r w:rsidR="00ED1842">
              <w:rPr>
                <w:rFonts w:ascii="Arial" w:hAnsi="Arial" w:cs="Arial"/>
                <w:spacing w:val="4"/>
                <w:sz w:val="16"/>
                <w:szCs w:val="16"/>
              </w:rPr>
              <w:t xml:space="preserve"> </w:t>
            </w:r>
            <w:r w:rsidRPr="004E3242">
              <w:rPr>
                <w:rFonts w:ascii="Arial" w:hAnsi="Arial" w:cs="Arial"/>
                <w:spacing w:val="4"/>
                <w:sz w:val="16"/>
                <w:szCs w:val="16"/>
              </w:rPr>
              <w:t>perspektywie</w:t>
            </w:r>
            <w:r w:rsidR="00ED1842">
              <w:rPr>
                <w:rFonts w:ascii="Arial" w:hAnsi="Arial" w:cs="Arial"/>
                <w:spacing w:val="4"/>
                <w:sz w:val="16"/>
                <w:szCs w:val="16"/>
              </w:rPr>
              <w:t xml:space="preserve"> </w:t>
            </w:r>
            <w:r w:rsidRPr="004E3242">
              <w:rPr>
                <w:rFonts w:ascii="Arial" w:hAnsi="Arial" w:cs="Arial"/>
                <w:spacing w:val="4"/>
                <w:sz w:val="16"/>
                <w:szCs w:val="16"/>
              </w:rPr>
              <w:t>finansowej 2014-2020,</w:t>
            </w:r>
            <w:r w:rsidR="00ED1842">
              <w:rPr>
                <w:rFonts w:ascii="Arial" w:hAnsi="Arial" w:cs="Arial"/>
                <w:spacing w:val="4"/>
                <w:sz w:val="16"/>
                <w:szCs w:val="16"/>
              </w:rPr>
              <w:t xml:space="preserve"> </w:t>
            </w:r>
            <w:r w:rsidRPr="004E3242">
              <w:rPr>
                <w:rFonts w:ascii="Arial" w:hAnsi="Arial" w:cs="Arial"/>
                <w:spacing w:val="4"/>
                <w:sz w:val="16"/>
                <w:szCs w:val="16"/>
              </w:rPr>
              <w:t>przewiduje się, że dla</w:t>
            </w:r>
            <w:r w:rsidR="00ED1842">
              <w:rPr>
                <w:rFonts w:ascii="Arial" w:hAnsi="Arial" w:cs="Arial"/>
                <w:spacing w:val="4"/>
                <w:sz w:val="16"/>
                <w:szCs w:val="16"/>
              </w:rPr>
              <w:t xml:space="preserve"> </w:t>
            </w:r>
            <w:r w:rsidRPr="004E3242">
              <w:rPr>
                <w:rFonts w:ascii="Arial" w:hAnsi="Arial" w:cs="Arial"/>
                <w:spacing w:val="4"/>
                <w:sz w:val="16"/>
                <w:szCs w:val="16"/>
              </w:rPr>
              <w:t>reprezentatywnego</w:t>
            </w:r>
            <w:r w:rsidR="00ED1842">
              <w:rPr>
                <w:rFonts w:ascii="Arial" w:hAnsi="Arial" w:cs="Arial"/>
                <w:spacing w:val="4"/>
                <w:sz w:val="16"/>
                <w:szCs w:val="16"/>
              </w:rPr>
              <w:t xml:space="preserve"> </w:t>
            </w:r>
            <w:r w:rsidRPr="004E3242">
              <w:rPr>
                <w:rFonts w:ascii="Arial" w:hAnsi="Arial" w:cs="Arial"/>
                <w:spacing w:val="4"/>
                <w:sz w:val="16"/>
                <w:szCs w:val="16"/>
              </w:rPr>
              <w:t>wskaźnika dla osi nie</w:t>
            </w:r>
            <w:r w:rsidR="00ED1842">
              <w:rPr>
                <w:rFonts w:ascii="Arial" w:hAnsi="Arial" w:cs="Arial"/>
                <w:spacing w:val="4"/>
                <w:sz w:val="16"/>
                <w:szCs w:val="16"/>
              </w:rPr>
              <w:t xml:space="preserve"> </w:t>
            </w:r>
            <w:r w:rsidRPr="004E3242">
              <w:rPr>
                <w:rFonts w:ascii="Arial" w:hAnsi="Arial" w:cs="Arial"/>
                <w:spacing w:val="4"/>
                <w:sz w:val="16"/>
                <w:szCs w:val="16"/>
              </w:rPr>
              <w:t>ma możliwości</w:t>
            </w:r>
            <w:r w:rsidR="00ED1842">
              <w:rPr>
                <w:rFonts w:ascii="Arial" w:hAnsi="Arial" w:cs="Arial"/>
                <w:spacing w:val="4"/>
                <w:sz w:val="16"/>
                <w:szCs w:val="16"/>
              </w:rPr>
              <w:t xml:space="preserve"> </w:t>
            </w:r>
            <w:r w:rsidRPr="004E3242">
              <w:rPr>
                <w:rFonts w:ascii="Arial" w:hAnsi="Arial" w:cs="Arial"/>
                <w:spacing w:val="4"/>
                <w:sz w:val="16"/>
                <w:szCs w:val="16"/>
              </w:rPr>
              <w:t>ustalenia wartości</w:t>
            </w:r>
            <w:r w:rsidR="00ED1842">
              <w:rPr>
                <w:rFonts w:ascii="Arial" w:hAnsi="Arial" w:cs="Arial"/>
                <w:spacing w:val="4"/>
                <w:sz w:val="16"/>
                <w:szCs w:val="16"/>
              </w:rPr>
              <w:t xml:space="preserve"> </w:t>
            </w:r>
            <w:r w:rsidRPr="004E3242">
              <w:rPr>
                <w:rFonts w:ascii="Arial" w:hAnsi="Arial" w:cs="Arial"/>
                <w:spacing w:val="4"/>
                <w:sz w:val="16"/>
                <w:szCs w:val="16"/>
              </w:rPr>
              <w:t>pośrednich realizacji.</w:t>
            </w:r>
            <w:r w:rsidR="00ED1842">
              <w:rPr>
                <w:rFonts w:ascii="Arial" w:hAnsi="Arial" w:cs="Arial"/>
                <w:spacing w:val="4"/>
                <w:sz w:val="16"/>
                <w:szCs w:val="16"/>
              </w:rPr>
              <w:t xml:space="preserve"> </w:t>
            </w:r>
            <w:r w:rsidRPr="004E3242">
              <w:rPr>
                <w:rFonts w:ascii="Arial" w:hAnsi="Arial" w:cs="Arial"/>
                <w:spacing w:val="4"/>
                <w:sz w:val="16"/>
                <w:szCs w:val="16"/>
              </w:rPr>
              <w:t>Wartość pośrednia</w:t>
            </w:r>
            <w:r w:rsidR="00ED1842">
              <w:rPr>
                <w:rFonts w:ascii="Arial" w:hAnsi="Arial" w:cs="Arial"/>
                <w:spacing w:val="4"/>
                <w:sz w:val="16"/>
                <w:szCs w:val="16"/>
              </w:rPr>
              <w:t xml:space="preserve"> </w:t>
            </w:r>
            <w:r w:rsidRPr="004E3242">
              <w:rPr>
                <w:rFonts w:ascii="Arial" w:hAnsi="Arial" w:cs="Arial"/>
                <w:spacing w:val="4"/>
                <w:sz w:val="16"/>
                <w:szCs w:val="16"/>
              </w:rPr>
              <w:t>KEW określona na</w:t>
            </w:r>
            <w:r w:rsidR="00ED1842">
              <w:rPr>
                <w:rFonts w:ascii="Arial" w:hAnsi="Arial" w:cs="Arial"/>
                <w:spacing w:val="4"/>
                <w:sz w:val="16"/>
                <w:szCs w:val="16"/>
              </w:rPr>
              <w:t xml:space="preserve"> </w:t>
            </w:r>
            <w:r w:rsidRPr="004E3242">
              <w:rPr>
                <w:rFonts w:ascii="Arial" w:hAnsi="Arial" w:cs="Arial"/>
                <w:spacing w:val="4"/>
                <w:sz w:val="16"/>
                <w:szCs w:val="16"/>
              </w:rPr>
              <w:t>bazie doświadczeń</w:t>
            </w:r>
            <w:r w:rsidR="00ED1842">
              <w:rPr>
                <w:rFonts w:ascii="Arial" w:hAnsi="Arial" w:cs="Arial"/>
                <w:spacing w:val="4"/>
                <w:sz w:val="16"/>
                <w:szCs w:val="16"/>
              </w:rPr>
              <w:t xml:space="preserve"> </w:t>
            </w:r>
            <w:r w:rsidRPr="004E3242">
              <w:rPr>
                <w:rFonts w:ascii="Arial" w:hAnsi="Arial" w:cs="Arial"/>
                <w:spacing w:val="4"/>
                <w:sz w:val="16"/>
                <w:szCs w:val="16"/>
              </w:rPr>
              <w:t>2007-2013.</w:t>
            </w:r>
          </w:p>
        </w:tc>
      </w:tr>
    </w:tbl>
    <w:p w14:paraId="0D6F35BA" w14:textId="77777777" w:rsidR="004E3242" w:rsidRPr="004E3242" w:rsidRDefault="004E3242" w:rsidP="004E3242">
      <w:pPr>
        <w:spacing w:before="240" w:after="120"/>
        <w:jc w:val="both"/>
        <w:rPr>
          <w:rFonts w:ascii="Arial" w:hAnsi="Arial" w:cs="Arial"/>
          <w:i/>
          <w:spacing w:val="4"/>
          <w:sz w:val="18"/>
          <w:szCs w:val="18"/>
        </w:rPr>
      </w:pPr>
    </w:p>
    <w:p w14:paraId="7E6CD47E" w14:textId="77777777" w:rsidR="004E3242" w:rsidRPr="004E3242" w:rsidRDefault="004E3242" w:rsidP="004E3242">
      <w:pPr>
        <w:spacing w:before="240" w:after="120"/>
        <w:jc w:val="both"/>
        <w:rPr>
          <w:rFonts w:ascii="Arial" w:hAnsi="Arial" w:cs="Arial"/>
          <w:i/>
          <w:spacing w:val="4"/>
          <w:sz w:val="18"/>
          <w:szCs w:val="18"/>
        </w:rPr>
      </w:pPr>
      <w:r w:rsidRPr="004E3242">
        <w:rPr>
          <w:rFonts w:ascii="Arial" w:hAnsi="Arial" w:cs="Arial"/>
          <w:bCs/>
          <w:smallCaps/>
          <w:color w:val="669900"/>
          <w:spacing w:val="4"/>
          <w:sz w:val="20"/>
          <w:szCs w:val="20"/>
        </w:rPr>
        <w:t>Kategorie Interwencji (EUR)</w:t>
      </w:r>
    </w:p>
    <w:tbl>
      <w:tblPr>
        <w:tblW w:w="501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1224"/>
        <w:gridCol w:w="2388"/>
        <w:gridCol w:w="565"/>
        <w:gridCol w:w="236"/>
        <w:gridCol w:w="873"/>
        <w:gridCol w:w="1542"/>
        <w:gridCol w:w="443"/>
        <w:gridCol w:w="574"/>
        <w:gridCol w:w="1389"/>
        <w:gridCol w:w="1408"/>
        <w:gridCol w:w="510"/>
        <w:gridCol w:w="2290"/>
        <w:gridCol w:w="1411"/>
        <w:gridCol w:w="415"/>
      </w:tblGrid>
      <w:tr w:rsidR="004E3242" w:rsidRPr="004E3242" w14:paraId="6B8E2546" w14:textId="77777777" w:rsidTr="00AA7998">
        <w:trPr>
          <w:gridAfter w:val="1"/>
          <w:wAfter w:w="136" w:type="pct"/>
          <w:trHeight w:val="163"/>
        </w:trPr>
        <w:tc>
          <w:tcPr>
            <w:tcW w:w="1183" w:type="pct"/>
            <w:gridSpan w:val="2"/>
            <w:shd w:val="clear" w:color="auto" w:fill="99CC00"/>
          </w:tcPr>
          <w:p w14:paraId="3020E142"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Obszar interwencji</w:t>
            </w:r>
          </w:p>
        </w:tc>
        <w:tc>
          <w:tcPr>
            <w:tcW w:w="185" w:type="pct"/>
            <w:shd w:val="clear" w:color="auto" w:fill="FFFFFF"/>
          </w:tcPr>
          <w:p w14:paraId="786E61A3" w14:textId="77777777" w:rsidR="004E3242" w:rsidRPr="004E3242" w:rsidRDefault="004E3242" w:rsidP="004E3242">
            <w:pPr>
              <w:spacing w:before="20" w:after="20"/>
              <w:jc w:val="center"/>
              <w:rPr>
                <w:rFonts w:ascii="Arial" w:hAnsi="Arial" w:cs="Arial"/>
                <w:b/>
                <w:color w:val="FFFFFF"/>
                <w:sz w:val="16"/>
                <w:szCs w:val="16"/>
              </w:rPr>
            </w:pPr>
          </w:p>
        </w:tc>
        <w:tc>
          <w:tcPr>
            <w:tcW w:w="1013" w:type="pct"/>
            <w:gridSpan w:val="4"/>
            <w:shd w:val="clear" w:color="auto" w:fill="99CC00"/>
          </w:tcPr>
          <w:p w14:paraId="3DA4A10D"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Forma finansowania</w:t>
            </w:r>
          </w:p>
        </w:tc>
        <w:tc>
          <w:tcPr>
            <w:tcW w:w="188" w:type="pct"/>
            <w:shd w:val="clear" w:color="auto" w:fill="FFFFFF"/>
          </w:tcPr>
          <w:p w14:paraId="6FC34CDB" w14:textId="77777777" w:rsidR="004E3242" w:rsidRPr="004E3242" w:rsidRDefault="004E3242" w:rsidP="004E3242">
            <w:pPr>
              <w:spacing w:before="20" w:after="20"/>
              <w:jc w:val="center"/>
              <w:rPr>
                <w:rFonts w:ascii="Arial" w:hAnsi="Arial" w:cs="Arial"/>
                <w:b/>
                <w:color w:val="FFFFFF"/>
                <w:sz w:val="16"/>
                <w:szCs w:val="16"/>
              </w:rPr>
            </w:pPr>
          </w:p>
        </w:tc>
        <w:tc>
          <w:tcPr>
            <w:tcW w:w="916" w:type="pct"/>
            <w:gridSpan w:val="2"/>
            <w:shd w:val="clear" w:color="auto" w:fill="99CC00"/>
          </w:tcPr>
          <w:p w14:paraId="3268654C"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Terytorium</w:t>
            </w:r>
          </w:p>
        </w:tc>
        <w:tc>
          <w:tcPr>
            <w:tcW w:w="167" w:type="pct"/>
            <w:shd w:val="clear" w:color="auto" w:fill="FFFFFF"/>
          </w:tcPr>
          <w:p w14:paraId="6A02D246" w14:textId="77777777" w:rsidR="004E3242" w:rsidRPr="004E3242" w:rsidRDefault="004E3242" w:rsidP="004E3242">
            <w:pPr>
              <w:spacing w:before="20" w:after="20"/>
              <w:jc w:val="center"/>
              <w:rPr>
                <w:rFonts w:ascii="Arial" w:hAnsi="Arial" w:cs="Arial"/>
                <w:b/>
                <w:color w:val="FFFFFF"/>
                <w:sz w:val="16"/>
                <w:szCs w:val="16"/>
              </w:rPr>
            </w:pPr>
          </w:p>
        </w:tc>
        <w:tc>
          <w:tcPr>
            <w:tcW w:w="1212" w:type="pct"/>
            <w:gridSpan w:val="2"/>
            <w:shd w:val="clear" w:color="auto" w:fill="99CC00"/>
          </w:tcPr>
          <w:p w14:paraId="0949B414"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Mechanizmy realizacji wymiaru terytorialnego</w:t>
            </w:r>
          </w:p>
        </w:tc>
      </w:tr>
      <w:tr w:rsidR="004E3242" w:rsidRPr="004E3242" w14:paraId="561F637C" w14:textId="77777777" w:rsidTr="00AA7998">
        <w:trPr>
          <w:gridAfter w:val="1"/>
          <w:wAfter w:w="136" w:type="pct"/>
          <w:trHeight w:val="67"/>
        </w:trPr>
        <w:tc>
          <w:tcPr>
            <w:tcW w:w="401" w:type="pct"/>
            <w:shd w:val="clear" w:color="auto" w:fill="99CC00"/>
          </w:tcPr>
          <w:p w14:paraId="4738EF9B"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782" w:type="pct"/>
            <w:shd w:val="clear" w:color="auto" w:fill="99CC00"/>
          </w:tcPr>
          <w:p w14:paraId="6E4CECD7"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85" w:type="pct"/>
            <w:shd w:val="clear" w:color="auto" w:fill="FFFFFF"/>
          </w:tcPr>
          <w:p w14:paraId="1826E4A7" w14:textId="77777777" w:rsidR="004E3242" w:rsidRPr="004E3242" w:rsidRDefault="004E3242" w:rsidP="004E3242">
            <w:pPr>
              <w:spacing w:before="20" w:after="20"/>
              <w:jc w:val="center"/>
              <w:rPr>
                <w:rFonts w:ascii="Arial" w:hAnsi="Arial" w:cs="Arial"/>
                <w:b/>
                <w:color w:val="FFFFFF"/>
                <w:sz w:val="16"/>
                <w:szCs w:val="16"/>
              </w:rPr>
            </w:pPr>
          </w:p>
        </w:tc>
        <w:tc>
          <w:tcPr>
            <w:tcW w:w="363" w:type="pct"/>
            <w:gridSpan w:val="2"/>
            <w:shd w:val="clear" w:color="auto" w:fill="99CC00"/>
          </w:tcPr>
          <w:p w14:paraId="271E878D"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650" w:type="pct"/>
            <w:gridSpan w:val="2"/>
            <w:shd w:val="clear" w:color="auto" w:fill="99CC00"/>
          </w:tcPr>
          <w:p w14:paraId="5942FE7E"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88" w:type="pct"/>
            <w:shd w:val="clear" w:color="auto" w:fill="FFFFFF"/>
          </w:tcPr>
          <w:p w14:paraId="7A2A128B" w14:textId="77777777" w:rsidR="004E3242" w:rsidRPr="004E3242" w:rsidRDefault="004E3242" w:rsidP="004E3242">
            <w:pPr>
              <w:spacing w:before="20" w:after="20"/>
              <w:jc w:val="center"/>
              <w:rPr>
                <w:rFonts w:ascii="Arial" w:hAnsi="Arial" w:cs="Arial"/>
                <w:b/>
                <w:color w:val="FFFFFF"/>
                <w:sz w:val="16"/>
                <w:szCs w:val="16"/>
              </w:rPr>
            </w:pPr>
          </w:p>
        </w:tc>
        <w:tc>
          <w:tcPr>
            <w:tcW w:w="455" w:type="pct"/>
            <w:shd w:val="clear" w:color="auto" w:fill="99CC00"/>
          </w:tcPr>
          <w:p w14:paraId="3B16587B"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461" w:type="pct"/>
            <w:shd w:val="clear" w:color="auto" w:fill="99CC00"/>
          </w:tcPr>
          <w:p w14:paraId="634D356E"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c>
          <w:tcPr>
            <w:tcW w:w="167" w:type="pct"/>
            <w:shd w:val="clear" w:color="auto" w:fill="FFFFFF"/>
          </w:tcPr>
          <w:p w14:paraId="2407B97E" w14:textId="77777777" w:rsidR="004E3242" w:rsidRPr="004E3242" w:rsidRDefault="004E3242" w:rsidP="004E3242">
            <w:pPr>
              <w:spacing w:before="20" w:after="20"/>
              <w:jc w:val="center"/>
              <w:rPr>
                <w:rFonts w:ascii="Arial" w:hAnsi="Arial" w:cs="Arial"/>
                <w:b/>
                <w:color w:val="FFFFFF"/>
                <w:sz w:val="16"/>
                <w:szCs w:val="16"/>
              </w:rPr>
            </w:pPr>
          </w:p>
        </w:tc>
        <w:tc>
          <w:tcPr>
            <w:tcW w:w="750" w:type="pct"/>
            <w:shd w:val="clear" w:color="auto" w:fill="99CC00"/>
          </w:tcPr>
          <w:p w14:paraId="5763EC44"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Kod</w:t>
            </w:r>
          </w:p>
        </w:tc>
        <w:tc>
          <w:tcPr>
            <w:tcW w:w="462" w:type="pct"/>
            <w:shd w:val="clear" w:color="auto" w:fill="99CC00"/>
          </w:tcPr>
          <w:p w14:paraId="2F6BD036" w14:textId="77777777" w:rsidR="004E3242" w:rsidRPr="004E3242" w:rsidRDefault="004E3242" w:rsidP="004E3242">
            <w:pPr>
              <w:spacing w:before="20" w:after="20"/>
              <w:jc w:val="center"/>
              <w:rPr>
                <w:rFonts w:ascii="Arial" w:hAnsi="Arial" w:cs="Arial"/>
                <w:b/>
                <w:color w:val="FFFFFF"/>
                <w:sz w:val="16"/>
                <w:szCs w:val="16"/>
              </w:rPr>
            </w:pPr>
            <w:r w:rsidRPr="004E3242">
              <w:rPr>
                <w:rFonts w:ascii="Arial" w:hAnsi="Arial" w:cs="Arial"/>
                <w:b/>
                <w:color w:val="FFFFFF"/>
                <w:sz w:val="16"/>
                <w:szCs w:val="16"/>
              </w:rPr>
              <w:t>Kwota</w:t>
            </w:r>
          </w:p>
        </w:tc>
      </w:tr>
      <w:tr w:rsidR="004E3242" w:rsidRPr="004E3242" w14:paraId="05791061" w14:textId="77777777" w:rsidTr="00AA7998">
        <w:trPr>
          <w:gridAfter w:val="1"/>
          <w:wAfter w:w="136" w:type="pct"/>
          <w:trHeight w:val="114"/>
        </w:trPr>
        <w:tc>
          <w:tcPr>
            <w:tcW w:w="401" w:type="pct"/>
            <w:shd w:val="clear" w:color="auto" w:fill="F2F2F2"/>
          </w:tcPr>
          <w:p w14:paraId="0D386AE9"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043</w:t>
            </w:r>
          </w:p>
        </w:tc>
        <w:tc>
          <w:tcPr>
            <w:tcW w:w="782" w:type="pct"/>
            <w:shd w:val="clear" w:color="auto" w:fill="F2F2F2"/>
          </w:tcPr>
          <w:p w14:paraId="486A1E79" w14:textId="77777777" w:rsidR="004E3242" w:rsidRPr="00A0001A" w:rsidRDefault="004E3242" w:rsidP="00A0001A">
            <w:pPr>
              <w:spacing w:before="20" w:after="20"/>
              <w:jc w:val="center"/>
              <w:rPr>
                <w:rFonts w:ascii="Arial" w:hAnsi="Arial" w:cs="Arial"/>
                <w:sz w:val="16"/>
                <w:szCs w:val="16"/>
              </w:rPr>
            </w:pPr>
            <w:r w:rsidRPr="004E3242">
              <w:rPr>
                <w:rFonts w:ascii="Arial" w:hAnsi="Arial" w:cs="Arial"/>
                <w:sz w:val="16"/>
                <w:szCs w:val="16"/>
              </w:rPr>
              <w:t xml:space="preserve">2 158 540 780    </w:t>
            </w:r>
          </w:p>
        </w:tc>
        <w:tc>
          <w:tcPr>
            <w:tcW w:w="185" w:type="pct"/>
            <w:shd w:val="clear" w:color="auto" w:fill="FFFFFF"/>
          </w:tcPr>
          <w:p w14:paraId="2A1FD9C8"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363" w:type="pct"/>
            <w:gridSpan w:val="2"/>
            <w:shd w:val="clear" w:color="auto" w:fill="F2F2F2"/>
          </w:tcPr>
          <w:p w14:paraId="22F28E9F"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01</w:t>
            </w:r>
          </w:p>
        </w:tc>
        <w:tc>
          <w:tcPr>
            <w:tcW w:w="650" w:type="pct"/>
            <w:gridSpan w:val="2"/>
            <w:shd w:val="clear" w:color="auto" w:fill="F2F2F2"/>
          </w:tcPr>
          <w:p w14:paraId="4E562FBF"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2 276 497</w:t>
            </w:r>
            <w:r>
              <w:rPr>
                <w:rFonts w:ascii="Arial" w:hAnsi="Arial" w:cs="Arial"/>
                <w:sz w:val="16"/>
                <w:szCs w:val="16"/>
              </w:rPr>
              <w:t> </w:t>
            </w:r>
            <w:r w:rsidRPr="005D0686">
              <w:rPr>
                <w:rFonts w:ascii="Arial" w:hAnsi="Arial" w:cs="Arial"/>
                <w:sz w:val="16"/>
                <w:szCs w:val="16"/>
              </w:rPr>
              <w:t>630</w:t>
            </w:r>
          </w:p>
          <w:p w14:paraId="5B727EE3" w14:textId="77777777" w:rsidR="004E3242" w:rsidRPr="004E3242" w:rsidRDefault="004E3242" w:rsidP="004E3242">
            <w:pPr>
              <w:spacing w:before="20" w:after="20"/>
              <w:jc w:val="center"/>
              <w:rPr>
                <w:rFonts w:ascii="Arial" w:hAnsi="Arial" w:cs="Arial"/>
                <w:sz w:val="16"/>
                <w:szCs w:val="16"/>
              </w:rPr>
            </w:pPr>
          </w:p>
        </w:tc>
        <w:tc>
          <w:tcPr>
            <w:tcW w:w="188" w:type="pct"/>
            <w:shd w:val="clear" w:color="auto" w:fill="FFFFFF"/>
          </w:tcPr>
          <w:p w14:paraId="527AB5C3"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455" w:type="pct"/>
            <w:shd w:val="clear" w:color="auto" w:fill="F2F2F2"/>
          </w:tcPr>
          <w:p w14:paraId="489BD7E0"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461" w:type="pct"/>
            <w:shd w:val="clear" w:color="auto" w:fill="F2F2F2"/>
          </w:tcPr>
          <w:p w14:paraId="1DB584A5"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2 276 497</w:t>
            </w:r>
            <w:r>
              <w:rPr>
                <w:rFonts w:ascii="Arial" w:hAnsi="Arial" w:cs="Arial"/>
                <w:sz w:val="16"/>
                <w:szCs w:val="16"/>
              </w:rPr>
              <w:t> </w:t>
            </w:r>
            <w:r w:rsidRPr="005D0686">
              <w:rPr>
                <w:rFonts w:ascii="Arial" w:hAnsi="Arial" w:cs="Arial"/>
                <w:sz w:val="16"/>
                <w:szCs w:val="16"/>
              </w:rPr>
              <w:t>630</w:t>
            </w:r>
          </w:p>
          <w:p w14:paraId="57AE605E" w14:textId="77777777" w:rsidR="004E3242" w:rsidRPr="004E3242" w:rsidRDefault="004E3242" w:rsidP="004E3242">
            <w:pPr>
              <w:spacing w:before="20" w:after="20"/>
              <w:jc w:val="center"/>
              <w:rPr>
                <w:rFonts w:ascii="Arial" w:hAnsi="Arial" w:cs="Arial"/>
                <w:sz w:val="16"/>
                <w:szCs w:val="16"/>
              </w:rPr>
            </w:pPr>
          </w:p>
        </w:tc>
        <w:tc>
          <w:tcPr>
            <w:tcW w:w="167" w:type="pct"/>
            <w:shd w:val="clear" w:color="auto" w:fill="FFFFFF"/>
          </w:tcPr>
          <w:p w14:paraId="57B3D95A"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750" w:type="pct"/>
            <w:shd w:val="clear" w:color="auto" w:fill="F2F2F2"/>
          </w:tcPr>
          <w:p w14:paraId="29A63E6B"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462" w:type="pct"/>
            <w:shd w:val="clear" w:color="auto" w:fill="F2F2F2"/>
          </w:tcPr>
          <w:p w14:paraId="69B557D9"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2 276 497</w:t>
            </w:r>
            <w:r>
              <w:rPr>
                <w:rFonts w:ascii="Arial" w:hAnsi="Arial" w:cs="Arial"/>
                <w:sz w:val="16"/>
                <w:szCs w:val="16"/>
              </w:rPr>
              <w:t> </w:t>
            </w:r>
            <w:r w:rsidRPr="005D0686">
              <w:rPr>
                <w:rFonts w:ascii="Arial" w:hAnsi="Arial" w:cs="Arial"/>
                <w:sz w:val="16"/>
                <w:szCs w:val="16"/>
              </w:rPr>
              <w:t>630</w:t>
            </w:r>
          </w:p>
          <w:p w14:paraId="6CF81CE3" w14:textId="77777777" w:rsidR="004E3242" w:rsidRPr="004E3242" w:rsidRDefault="004E3242" w:rsidP="004E3242">
            <w:pPr>
              <w:spacing w:before="20" w:after="20"/>
              <w:jc w:val="center"/>
              <w:rPr>
                <w:rFonts w:ascii="Arial" w:hAnsi="Arial" w:cs="Arial"/>
                <w:sz w:val="16"/>
                <w:szCs w:val="16"/>
              </w:rPr>
            </w:pPr>
          </w:p>
        </w:tc>
      </w:tr>
      <w:tr w:rsidR="004E3242" w:rsidRPr="004E3242" w14:paraId="2158F2DE" w14:textId="77777777" w:rsidTr="00AA7998">
        <w:trPr>
          <w:gridAfter w:val="1"/>
          <w:wAfter w:w="136" w:type="pct"/>
          <w:trHeight w:val="141"/>
        </w:trPr>
        <w:tc>
          <w:tcPr>
            <w:tcW w:w="401" w:type="pct"/>
            <w:shd w:val="clear" w:color="auto" w:fill="F2F2F2"/>
          </w:tcPr>
          <w:p w14:paraId="1075F989" w14:textId="77777777" w:rsidR="004E3242" w:rsidRPr="004E3242" w:rsidRDefault="004E3242" w:rsidP="004E3242">
            <w:pPr>
              <w:spacing w:before="20" w:after="20"/>
              <w:jc w:val="center"/>
              <w:rPr>
                <w:rFonts w:ascii="Arial" w:hAnsi="Arial" w:cs="Arial"/>
                <w:color w:val="000000"/>
                <w:sz w:val="16"/>
                <w:szCs w:val="16"/>
              </w:rPr>
            </w:pPr>
            <w:r w:rsidRPr="004E3242">
              <w:rPr>
                <w:rFonts w:ascii="Arial" w:hAnsi="Arial" w:cs="Arial"/>
                <w:color w:val="000000"/>
                <w:sz w:val="16"/>
                <w:szCs w:val="16"/>
              </w:rPr>
              <w:t>044</w:t>
            </w:r>
          </w:p>
        </w:tc>
        <w:tc>
          <w:tcPr>
            <w:tcW w:w="782" w:type="pct"/>
            <w:shd w:val="clear" w:color="auto" w:fill="F2F2F2"/>
          </w:tcPr>
          <w:p w14:paraId="18F2BB43"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117 956</w:t>
            </w:r>
            <w:r>
              <w:rPr>
                <w:rFonts w:ascii="Arial" w:hAnsi="Arial" w:cs="Arial"/>
                <w:sz w:val="16"/>
                <w:szCs w:val="16"/>
              </w:rPr>
              <w:t> </w:t>
            </w:r>
            <w:r w:rsidRPr="005D0686">
              <w:rPr>
                <w:rFonts w:ascii="Arial" w:hAnsi="Arial" w:cs="Arial"/>
                <w:sz w:val="16"/>
                <w:szCs w:val="16"/>
              </w:rPr>
              <w:t>850</w:t>
            </w:r>
          </w:p>
          <w:p w14:paraId="3306BF8C" w14:textId="77777777" w:rsidR="004E3242" w:rsidRPr="004E3242" w:rsidRDefault="004E3242" w:rsidP="004E3242">
            <w:pPr>
              <w:spacing w:before="20" w:after="20"/>
              <w:jc w:val="center"/>
              <w:rPr>
                <w:rFonts w:ascii="Arial" w:hAnsi="Arial" w:cs="Arial"/>
                <w:color w:val="000000"/>
                <w:sz w:val="16"/>
                <w:szCs w:val="16"/>
              </w:rPr>
            </w:pPr>
          </w:p>
        </w:tc>
        <w:tc>
          <w:tcPr>
            <w:tcW w:w="185" w:type="pct"/>
            <w:shd w:val="clear" w:color="auto" w:fill="FFFFFF"/>
          </w:tcPr>
          <w:p w14:paraId="24EF3F45" w14:textId="77777777" w:rsidR="004E3242" w:rsidRPr="004E3242" w:rsidRDefault="004E3242" w:rsidP="004E3242">
            <w:pPr>
              <w:spacing w:before="20" w:after="20"/>
              <w:jc w:val="center"/>
              <w:rPr>
                <w:rFonts w:ascii="Arial" w:hAnsi="Arial" w:cs="Arial"/>
                <w:b/>
                <w:color w:val="FFFFFF"/>
                <w:sz w:val="16"/>
                <w:szCs w:val="16"/>
              </w:rPr>
            </w:pPr>
          </w:p>
        </w:tc>
        <w:tc>
          <w:tcPr>
            <w:tcW w:w="363" w:type="pct"/>
            <w:gridSpan w:val="2"/>
            <w:shd w:val="clear" w:color="auto" w:fill="D6E3BC"/>
          </w:tcPr>
          <w:p w14:paraId="095AF2A4"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650" w:type="pct"/>
            <w:gridSpan w:val="2"/>
            <w:shd w:val="clear" w:color="auto" w:fill="D6E3BC"/>
          </w:tcPr>
          <w:p w14:paraId="011B3661"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2 276 497</w:t>
            </w:r>
            <w:r>
              <w:rPr>
                <w:rFonts w:ascii="Arial" w:hAnsi="Arial" w:cs="Arial"/>
                <w:sz w:val="16"/>
                <w:szCs w:val="16"/>
              </w:rPr>
              <w:t> </w:t>
            </w:r>
            <w:r w:rsidRPr="005D0686">
              <w:rPr>
                <w:rFonts w:ascii="Arial" w:hAnsi="Arial" w:cs="Arial"/>
                <w:sz w:val="16"/>
                <w:szCs w:val="16"/>
              </w:rPr>
              <w:t>630</w:t>
            </w:r>
          </w:p>
          <w:p w14:paraId="0C01CE94" w14:textId="77777777" w:rsidR="004E3242" w:rsidRPr="004E3242" w:rsidRDefault="004E3242" w:rsidP="004E3242">
            <w:pPr>
              <w:spacing w:before="20" w:after="20"/>
              <w:jc w:val="center"/>
              <w:rPr>
                <w:rFonts w:ascii="Arial" w:hAnsi="Arial" w:cs="Arial"/>
                <w:sz w:val="16"/>
                <w:szCs w:val="16"/>
              </w:rPr>
            </w:pPr>
          </w:p>
        </w:tc>
        <w:tc>
          <w:tcPr>
            <w:tcW w:w="188" w:type="pct"/>
            <w:shd w:val="clear" w:color="auto" w:fill="FFFFFF"/>
          </w:tcPr>
          <w:p w14:paraId="3C5EC51B" w14:textId="77777777" w:rsidR="004E3242" w:rsidRPr="004E3242" w:rsidRDefault="004E3242" w:rsidP="004E3242">
            <w:pPr>
              <w:spacing w:before="20" w:after="20"/>
              <w:jc w:val="center"/>
              <w:rPr>
                <w:rFonts w:ascii="Arial" w:hAnsi="Arial" w:cs="Arial"/>
                <w:b/>
                <w:color w:val="FFFFFF"/>
                <w:sz w:val="16"/>
                <w:szCs w:val="16"/>
              </w:rPr>
            </w:pPr>
          </w:p>
        </w:tc>
        <w:tc>
          <w:tcPr>
            <w:tcW w:w="455" w:type="pct"/>
            <w:shd w:val="clear" w:color="auto" w:fill="D6E3BC"/>
          </w:tcPr>
          <w:p w14:paraId="1ABC6AC6"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461" w:type="pct"/>
            <w:shd w:val="clear" w:color="auto" w:fill="D6E3BC"/>
          </w:tcPr>
          <w:p w14:paraId="4958F483"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2 276 497</w:t>
            </w:r>
            <w:r>
              <w:rPr>
                <w:rFonts w:ascii="Arial" w:hAnsi="Arial" w:cs="Arial"/>
                <w:sz w:val="16"/>
                <w:szCs w:val="16"/>
              </w:rPr>
              <w:t> </w:t>
            </w:r>
            <w:r w:rsidRPr="005D0686">
              <w:rPr>
                <w:rFonts w:ascii="Arial" w:hAnsi="Arial" w:cs="Arial"/>
                <w:sz w:val="16"/>
                <w:szCs w:val="16"/>
              </w:rPr>
              <w:t>630</w:t>
            </w:r>
          </w:p>
          <w:p w14:paraId="74A92379" w14:textId="77777777" w:rsidR="004E3242" w:rsidRPr="004E3242" w:rsidRDefault="004E3242" w:rsidP="004E3242">
            <w:pPr>
              <w:spacing w:before="20" w:after="20"/>
              <w:jc w:val="center"/>
              <w:rPr>
                <w:rFonts w:ascii="Arial" w:hAnsi="Arial" w:cs="Arial"/>
                <w:sz w:val="16"/>
                <w:szCs w:val="16"/>
              </w:rPr>
            </w:pPr>
          </w:p>
        </w:tc>
        <w:tc>
          <w:tcPr>
            <w:tcW w:w="167" w:type="pct"/>
            <w:shd w:val="clear" w:color="auto" w:fill="FFFFFF"/>
          </w:tcPr>
          <w:p w14:paraId="17C2C9A7" w14:textId="77777777" w:rsidR="004E3242" w:rsidRPr="004E3242" w:rsidRDefault="004E3242" w:rsidP="004E3242">
            <w:pPr>
              <w:spacing w:before="20" w:after="20"/>
              <w:jc w:val="center"/>
              <w:rPr>
                <w:rFonts w:ascii="Arial" w:hAnsi="Arial" w:cs="Arial"/>
                <w:b/>
                <w:color w:val="FFFFFF"/>
                <w:sz w:val="16"/>
                <w:szCs w:val="16"/>
              </w:rPr>
            </w:pPr>
          </w:p>
        </w:tc>
        <w:tc>
          <w:tcPr>
            <w:tcW w:w="750" w:type="pct"/>
            <w:shd w:val="clear" w:color="auto" w:fill="D6E3BC"/>
          </w:tcPr>
          <w:p w14:paraId="26BEC657"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462" w:type="pct"/>
            <w:shd w:val="clear" w:color="auto" w:fill="D6E3BC"/>
          </w:tcPr>
          <w:p w14:paraId="7FCBB3B2"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2 276 497</w:t>
            </w:r>
            <w:r>
              <w:rPr>
                <w:rFonts w:ascii="Arial" w:hAnsi="Arial" w:cs="Arial"/>
                <w:sz w:val="16"/>
                <w:szCs w:val="16"/>
              </w:rPr>
              <w:t> </w:t>
            </w:r>
            <w:r w:rsidRPr="005D0686">
              <w:rPr>
                <w:rFonts w:ascii="Arial" w:hAnsi="Arial" w:cs="Arial"/>
                <w:sz w:val="16"/>
                <w:szCs w:val="16"/>
              </w:rPr>
              <w:t>630</w:t>
            </w:r>
          </w:p>
          <w:p w14:paraId="44B9A76E" w14:textId="77777777" w:rsidR="004E3242" w:rsidRPr="004E3242" w:rsidRDefault="004E3242" w:rsidP="004E3242">
            <w:pPr>
              <w:spacing w:before="20" w:after="20"/>
              <w:jc w:val="center"/>
              <w:rPr>
                <w:rFonts w:ascii="Arial" w:hAnsi="Arial" w:cs="Arial"/>
                <w:sz w:val="16"/>
                <w:szCs w:val="16"/>
              </w:rPr>
            </w:pPr>
          </w:p>
        </w:tc>
      </w:tr>
      <w:tr w:rsidR="004E3242" w:rsidRPr="004E3242" w14:paraId="2EDD89DD" w14:textId="77777777" w:rsidTr="00AA7998">
        <w:trPr>
          <w:trHeight w:val="64"/>
        </w:trPr>
        <w:tc>
          <w:tcPr>
            <w:tcW w:w="401" w:type="pct"/>
            <w:shd w:val="clear" w:color="auto" w:fill="D6E3BC"/>
          </w:tcPr>
          <w:p w14:paraId="6C69E232" w14:textId="77777777" w:rsidR="004E3242" w:rsidRPr="004E3242" w:rsidRDefault="004E3242" w:rsidP="004E3242">
            <w:pPr>
              <w:spacing w:before="20" w:after="20"/>
              <w:jc w:val="center"/>
              <w:rPr>
                <w:rFonts w:ascii="Arial" w:hAnsi="Arial" w:cs="Arial"/>
                <w:sz w:val="16"/>
                <w:szCs w:val="16"/>
              </w:rPr>
            </w:pPr>
            <w:r w:rsidRPr="004E3242">
              <w:rPr>
                <w:rFonts w:ascii="Arial" w:hAnsi="Arial" w:cs="Arial"/>
                <w:sz w:val="16"/>
                <w:szCs w:val="16"/>
              </w:rPr>
              <w:t>Razem</w:t>
            </w:r>
          </w:p>
        </w:tc>
        <w:tc>
          <w:tcPr>
            <w:tcW w:w="782" w:type="pct"/>
            <w:shd w:val="clear" w:color="auto" w:fill="D6E3BC"/>
          </w:tcPr>
          <w:p w14:paraId="3517972B" w14:textId="77777777" w:rsidR="005D0686" w:rsidRDefault="005D0686" w:rsidP="004E3242">
            <w:pPr>
              <w:spacing w:before="20" w:after="20"/>
              <w:jc w:val="center"/>
              <w:rPr>
                <w:rFonts w:ascii="Arial" w:hAnsi="Arial" w:cs="Arial"/>
                <w:sz w:val="16"/>
                <w:szCs w:val="16"/>
              </w:rPr>
            </w:pPr>
            <w:r w:rsidRPr="005D0686">
              <w:rPr>
                <w:rFonts w:ascii="Arial" w:hAnsi="Arial" w:cs="Arial"/>
                <w:sz w:val="16"/>
                <w:szCs w:val="16"/>
              </w:rPr>
              <w:t>2 276 497</w:t>
            </w:r>
            <w:r>
              <w:rPr>
                <w:rFonts w:ascii="Arial" w:hAnsi="Arial" w:cs="Arial"/>
                <w:sz w:val="16"/>
                <w:szCs w:val="16"/>
              </w:rPr>
              <w:t> </w:t>
            </w:r>
            <w:r w:rsidRPr="005D0686">
              <w:rPr>
                <w:rFonts w:ascii="Arial" w:hAnsi="Arial" w:cs="Arial"/>
                <w:sz w:val="16"/>
                <w:szCs w:val="16"/>
              </w:rPr>
              <w:t>630</w:t>
            </w:r>
          </w:p>
          <w:p w14:paraId="650F21F6" w14:textId="77777777" w:rsidR="004E3242" w:rsidRPr="004E3242" w:rsidRDefault="004E3242" w:rsidP="004E3242">
            <w:pPr>
              <w:spacing w:before="20" w:after="20"/>
              <w:jc w:val="center"/>
              <w:rPr>
                <w:rFonts w:ascii="Arial" w:hAnsi="Arial" w:cs="Arial"/>
                <w:sz w:val="16"/>
                <w:szCs w:val="16"/>
              </w:rPr>
            </w:pPr>
          </w:p>
        </w:tc>
        <w:tc>
          <w:tcPr>
            <w:tcW w:w="185" w:type="pct"/>
            <w:shd w:val="clear" w:color="auto" w:fill="FFFFFF"/>
          </w:tcPr>
          <w:p w14:paraId="1096D64D" w14:textId="77777777" w:rsidR="004E3242" w:rsidRPr="004E3242" w:rsidRDefault="004E3242" w:rsidP="004E3242">
            <w:pPr>
              <w:spacing w:before="20" w:after="20"/>
              <w:jc w:val="center"/>
              <w:rPr>
                <w:rFonts w:ascii="Arial" w:hAnsi="Arial" w:cs="Arial"/>
                <w:sz w:val="16"/>
                <w:szCs w:val="16"/>
              </w:rPr>
            </w:pPr>
          </w:p>
        </w:tc>
        <w:tc>
          <w:tcPr>
            <w:tcW w:w="77" w:type="pct"/>
            <w:shd w:val="clear" w:color="auto" w:fill="FFFFFF"/>
          </w:tcPr>
          <w:p w14:paraId="05A80C16" w14:textId="77777777" w:rsidR="004E3242" w:rsidRPr="004E3242" w:rsidRDefault="004E3242" w:rsidP="004E3242">
            <w:pPr>
              <w:spacing w:before="20" w:after="20"/>
              <w:jc w:val="center"/>
              <w:rPr>
                <w:rFonts w:ascii="Arial" w:hAnsi="Arial" w:cs="Arial"/>
                <w:sz w:val="16"/>
                <w:szCs w:val="16"/>
              </w:rPr>
            </w:pPr>
          </w:p>
        </w:tc>
        <w:tc>
          <w:tcPr>
            <w:tcW w:w="791" w:type="pct"/>
            <w:gridSpan w:val="2"/>
            <w:shd w:val="clear" w:color="auto" w:fill="FFFFFF"/>
          </w:tcPr>
          <w:p w14:paraId="1AE45FBE" w14:textId="77777777" w:rsidR="004E3242" w:rsidRPr="004E3242" w:rsidRDefault="004E3242" w:rsidP="004E3242">
            <w:pPr>
              <w:spacing w:before="20" w:after="20"/>
              <w:jc w:val="center"/>
              <w:rPr>
                <w:rFonts w:ascii="Arial" w:hAnsi="Arial" w:cs="Arial"/>
                <w:sz w:val="16"/>
                <w:szCs w:val="16"/>
              </w:rPr>
            </w:pPr>
          </w:p>
        </w:tc>
        <w:tc>
          <w:tcPr>
            <w:tcW w:w="2764" w:type="pct"/>
            <w:gridSpan w:val="8"/>
            <w:shd w:val="clear" w:color="auto" w:fill="FFFFFF"/>
          </w:tcPr>
          <w:p w14:paraId="4639B4E5" w14:textId="77777777" w:rsidR="004E3242" w:rsidRPr="004E3242" w:rsidRDefault="004E3242" w:rsidP="004E3242">
            <w:pPr>
              <w:spacing w:before="20" w:after="20"/>
              <w:jc w:val="center"/>
              <w:rPr>
                <w:rFonts w:ascii="Arial" w:hAnsi="Arial" w:cs="Arial"/>
                <w:sz w:val="16"/>
                <w:szCs w:val="16"/>
              </w:rPr>
            </w:pPr>
          </w:p>
        </w:tc>
      </w:tr>
    </w:tbl>
    <w:p w14:paraId="03FEA081" w14:textId="77777777" w:rsidR="004E3242" w:rsidRPr="004E3242" w:rsidRDefault="004E3242" w:rsidP="004E3242">
      <w:pPr>
        <w:spacing w:after="120" w:line="280" w:lineRule="atLeast"/>
        <w:jc w:val="both"/>
        <w:rPr>
          <w:rFonts w:ascii="Arial" w:hAnsi="Arial" w:cs="Arial"/>
          <w:b/>
          <w:spacing w:val="4"/>
          <w:sz w:val="20"/>
          <w:szCs w:val="20"/>
        </w:rPr>
        <w:sectPr w:rsidR="004E3242" w:rsidRPr="004E3242" w:rsidSect="00C73ABE">
          <w:pgSz w:w="16838" w:h="11906" w:orient="landscape"/>
          <w:pgMar w:top="851" w:right="851" w:bottom="851" w:left="993" w:header="709" w:footer="159" w:gutter="0"/>
          <w:cols w:space="708"/>
          <w:titlePg/>
          <w:docGrid w:linePitch="360"/>
        </w:sectPr>
      </w:pPr>
    </w:p>
    <w:p w14:paraId="5A6037B3" w14:textId="77777777" w:rsidR="004E3242" w:rsidRPr="004E3242" w:rsidRDefault="004E3242" w:rsidP="004E3242">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404" w:name="_Toc375208281"/>
      <w:bookmarkStart w:id="405" w:name="_Toc375299835"/>
      <w:bookmarkStart w:id="406" w:name="_Toc375308889"/>
      <w:bookmarkStart w:id="407" w:name="_Toc375208282"/>
      <w:bookmarkStart w:id="408" w:name="_Toc375299836"/>
      <w:bookmarkStart w:id="409" w:name="_Toc375308890"/>
      <w:bookmarkStart w:id="410" w:name="_Toc375208283"/>
      <w:bookmarkStart w:id="411" w:name="_Toc375299837"/>
      <w:bookmarkStart w:id="412" w:name="_Toc375308891"/>
      <w:bookmarkStart w:id="413" w:name="_Toc375208284"/>
      <w:bookmarkStart w:id="414" w:name="_Toc375299838"/>
      <w:bookmarkStart w:id="415" w:name="_Toc375308892"/>
      <w:bookmarkStart w:id="416" w:name="_Toc369696163"/>
      <w:bookmarkStart w:id="417" w:name="_Toc83810568"/>
      <w:bookmarkEnd w:id="404"/>
      <w:bookmarkEnd w:id="405"/>
      <w:bookmarkEnd w:id="406"/>
      <w:bookmarkEnd w:id="407"/>
      <w:bookmarkEnd w:id="408"/>
      <w:bookmarkEnd w:id="409"/>
      <w:bookmarkEnd w:id="410"/>
      <w:bookmarkEnd w:id="411"/>
      <w:bookmarkEnd w:id="412"/>
      <w:bookmarkEnd w:id="413"/>
      <w:bookmarkEnd w:id="414"/>
      <w:bookmarkEnd w:id="415"/>
      <w:r w:rsidRPr="004E3242">
        <w:rPr>
          <w:rFonts w:ascii="Arial" w:hAnsi="Arial"/>
          <w:smallCaps/>
          <w:color w:val="000000"/>
          <w:spacing w:val="15"/>
          <w:sz w:val="24"/>
          <w:szCs w:val="24"/>
          <w:u w:color="A8C743"/>
          <w:lang w:eastAsia="pl-PL"/>
        </w:rPr>
        <w:lastRenderedPageBreak/>
        <w:t xml:space="preserve">Oś priorytetowa vii: </w:t>
      </w:r>
      <w:bookmarkEnd w:id="416"/>
      <w:r w:rsidRPr="004E3242">
        <w:rPr>
          <w:rFonts w:ascii="Arial" w:hAnsi="Arial"/>
          <w:smallCaps/>
          <w:color w:val="000000"/>
          <w:spacing w:val="15"/>
          <w:sz w:val="24"/>
          <w:szCs w:val="24"/>
          <w:u w:color="A8C743"/>
          <w:lang w:eastAsia="pl-PL"/>
        </w:rPr>
        <w:t>poprawa bezpieczeństwa energetycznego</w:t>
      </w:r>
      <w:bookmarkEnd w:id="417"/>
    </w:p>
    <w:p w14:paraId="3845A8C4" w14:textId="77777777" w:rsidR="004E3242" w:rsidRPr="004E3242" w:rsidRDefault="004E3242" w:rsidP="004E3242">
      <w:pPr>
        <w:keepLines/>
        <w:pBdr>
          <w:bottom w:val="single" w:sz="4" w:space="1" w:color="669900"/>
        </w:pBdr>
        <w:spacing w:after="120"/>
        <w:jc w:val="both"/>
        <w:rPr>
          <w:rFonts w:ascii="Arial" w:hAnsi="Arial" w:cs="Arial"/>
          <w:sz w:val="20"/>
          <w:szCs w:val="20"/>
        </w:rPr>
      </w:pPr>
      <w:r w:rsidRPr="004E3242">
        <w:rPr>
          <w:rFonts w:ascii="Arial" w:hAnsi="Arial" w:cs="Arial"/>
          <w:sz w:val="20"/>
          <w:szCs w:val="20"/>
        </w:rPr>
        <w:t>Dana oś priorytetowa jest przeznaczona do finansowania wyłącznie z jednego funduszu (tj. Europejskiego Funduszu Rozwoju Regionalnego) i obejmuje zakresem interwencji wybrany priorytet inwestycyjny w ramach jednego celu tematycznego 7. Jest ona dedykowana dwóm kategoriom regionów, tj. regionom słabiej i lepiej rozwiniętym.</w:t>
      </w:r>
    </w:p>
    <w:p w14:paraId="63683FC4" w14:textId="77777777" w:rsidR="004E3242" w:rsidRPr="004E3242" w:rsidRDefault="004E3242" w:rsidP="004E3242">
      <w:pPr>
        <w:keepLines/>
        <w:pBdr>
          <w:bottom w:val="single" w:sz="4" w:space="1" w:color="669900"/>
        </w:pBdr>
        <w:spacing w:after="120"/>
        <w:jc w:val="both"/>
        <w:rPr>
          <w:rFonts w:ascii="Arial" w:hAnsi="Arial" w:cs="Arial"/>
          <w:sz w:val="20"/>
          <w:szCs w:val="20"/>
        </w:rPr>
      </w:pPr>
      <w:r w:rsidRPr="004E3242">
        <w:rPr>
          <w:rFonts w:ascii="Arial" w:hAnsi="Arial" w:cs="Arial"/>
          <w:sz w:val="20"/>
          <w:szCs w:val="20"/>
        </w:rPr>
        <w:t>Dominacja w POIŚ środków FS oraz ograniczoność środków EFRR zadecydowały o odstąpieniu od wyodrębniania osi dedykowanych Mazowszu (który obecnie klasyfikowany jest jako region lepiej rozwinięty). Ponieważ kategoryzacja na regiony ma zastosowanie wyłącznie w odniesieniu do funduszy strukturalnych (w tym przypadku EFRR) oraz z uwagi na ograniczony zakres interwencji tego funduszu w ramach POIŚ i relatywnie niską alokację na region lepiej rozwinięty, nie przewidziano wyodrębniania osi priorytetowych dedykowanych Mazowszu, region ten został uwzględniony w już istniejących osiach, zachowując jednak własną linie budżetową i jemu właściwe poziomy wsparcia UE. Takie podejście jest optymalne z punktu widzenia zarządzania poszczególnymi osiami priorytetowymi.</w:t>
      </w:r>
    </w:p>
    <w:p w14:paraId="316336DE"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bCs/>
          <w:smallCaps/>
          <w:color w:val="669900"/>
          <w:spacing w:val="10"/>
          <w:sz w:val="24"/>
          <w:szCs w:val="24"/>
          <w:lang w:eastAsia="pl-PL"/>
        </w:rPr>
        <w:t>PRIORYTET INWESTYCYJNY</w:t>
      </w:r>
      <w:r w:rsidRPr="004E3242">
        <w:rPr>
          <w:rFonts w:ascii="Arial" w:eastAsia="Times New Roman" w:hAnsi="Arial"/>
          <w:smallCaps/>
          <w:color w:val="669900"/>
          <w:spacing w:val="4"/>
          <w:sz w:val="24"/>
          <w:szCs w:val="24"/>
          <w:lang w:eastAsia="pl-PL"/>
        </w:rPr>
        <w:t xml:space="preserve"> 7e. </w:t>
      </w:r>
      <w:r w:rsidRPr="004E3242">
        <w:rPr>
          <w:rFonts w:ascii="Arial" w:eastAsia="Times New Roman" w:hAnsi="Arial"/>
          <w:smallCaps/>
          <w:color w:val="669900"/>
          <w:spacing w:val="10"/>
          <w:sz w:val="24"/>
          <w:szCs w:val="24"/>
          <w:lang w:eastAsia="pl-PL"/>
        </w:rPr>
        <w:t xml:space="preserve">Zwiększenie efektywności energetycznej i bezpieczeństwa dostaw poprzez rozwój inteligentnych systemów dystrybucji, magazynowania i </w:t>
      </w:r>
      <w:proofErr w:type="spellStart"/>
      <w:r w:rsidRPr="004E3242">
        <w:rPr>
          <w:rFonts w:ascii="Arial" w:eastAsia="Times New Roman" w:hAnsi="Arial"/>
          <w:smallCaps/>
          <w:color w:val="669900"/>
          <w:spacing w:val="10"/>
          <w:sz w:val="24"/>
          <w:szCs w:val="24"/>
          <w:lang w:eastAsia="pl-PL"/>
        </w:rPr>
        <w:t>przesyłu</w:t>
      </w:r>
      <w:proofErr w:type="spellEnd"/>
      <w:r w:rsidRPr="004E3242">
        <w:rPr>
          <w:rFonts w:ascii="Arial" w:eastAsia="Times New Roman" w:hAnsi="Arial"/>
          <w:smallCaps/>
          <w:color w:val="669900"/>
          <w:spacing w:val="10"/>
          <w:sz w:val="24"/>
          <w:szCs w:val="24"/>
          <w:lang w:eastAsia="pl-PL"/>
        </w:rPr>
        <w:t xml:space="preserve"> energii oraz poprzez integrację rozproszonego wytwarzania energii ze źródeł odnawialnych</w:t>
      </w:r>
    </w:p>
    <w:p w14:paraId="463CB55F"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2206C55F" w14:textId="77777777" w:rsidR="004E3242" w:rsidRPr="004E3242" w:rsidRDefault="004E3242" w:rsidP="004E3242">
      <w:pPr>
        <w:autoSpaceDE w:val="0"/>
        <w:autoSpaceDN w:val="0"/>
        <w:adjustRightInd w:val="0"/>
        <w:spacing w:after="120" w:line="280" w:lineRule="atLeast"/>
        <w:jc w:val="both"/>
        <w:rPr>
          <w:rFonts w:ascii="Arial" w:hAnsi="Arial" w:cs="Arial"/>
          <w:spacing w:val="4"/>
          <w:sz w:val="20"/>
          <w:szCs w:val="20"/>
        </w:rPr>
      </w:pPr>
      <w:r w:rsidRPr="004E3242">
        <w:rPr>
          <w:rFonts w:ascii="Arial" w:hAnsi="Arial" w:cs="Arial"/>
          <w:spacing w:val="4"/>
          <w:sz w:val="20"/>
          <w:szCs w:val="20"/>
        </w:rPr>
        <w:t>Wzmocniona infrastruktura bezpieczeństwa energetycznego kraju</w:t>
      </w:r>
    </w:p>
    <w:p w14:paraId="78CE8867"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2653CEC8" w14:textId="77777777" w:rsidR="004E3242" w:rsidRPr="004E3242" w:rsidRDefault="004E3242" w:rsidP="004E3242">
      <w:pPr>
        <w:autoSpaceDE w:val="0"/>
        <w:autoSpaceDN w:val="0"/>
        <w:adjustRightInd w:val="0"/>
        <w:spacing w:after="120" w:line="280" w:lineRule="atLeast"/>
        <w:jc w:val="both"/>
        <w:rPr>
          <w:rFonts w:ascii="Arial" w:hAnsi="Arial" w:cs="Arial"/>
          <w:spacing w:val="4"/>
          <w:sz w:val="20"/>
          <w:szCs w:val="20"/>
        </w:rPr>
      </w:pPr>
      <w:r w:rsidRPr="004E3242">
        <w:rPr>
          <w:rFonts w:ascii="Arial" w:hAnsi="Arial" w:cs="Arial"/>
          <w:spacing w:val="4"/>
          <w:sz w:val="20"/>
          <w:szCs w:val="20"/>
        </w:rPr>
        <w:t xml:space="preserve">Realizacja priorytetu inwestycyjnego przyczyni się do wzrostu bezpieczeństwa energetycznego poprzez zabezpieczenie </w:t>
      </w:r>
      <w:proofErr w:type="spellStart"/>
      <w:r w:rsidRPr="004E3242">
        <w:rPr>
          <w:rFonts w:ascii="Arial" w:hAnsi="Arial" w:cs="Arial"/>
          <w:spacing w:val="4"/>
          <w:sz w:val="20"/>
          <w:szCs w:val="20"/>
        </w:rPr>
        <w:t>przesyłu</w:t>
      </w:r>
      <w:proofErr w:type="spellEnd"/>
      <w:r w:rsidRPr="004E3242">
        <w:rPr>
          <w:rFonts w:ascii="Arial" w:hAnsi="Arial" w:cs="Arial"/>
          <w:spacing w:val="4"/>
          <w:sz w:val="20"/>
          <w:szCs w:val="20"/>
        </w:rPr>
        <w:t xml:space="preserve"> i dystrybucji energii oraz zwiększenia bezpieczeństwa gazowego</w:t>
      </w:r>
    </w:p>
    <w:p w14:paraId="78308FC4"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549"/>
        <w:gridCol w:w="1792"/>
        <w:gridCol w:w="1118"/>
        <w:gridCol w:w="977"/>
        <w:gridCol w:w="832"/>
        <w:gridCol w:w="834"/>
        <w:gridCol w:w="1057"/>
        <w:gridCol w:w="880"/>
        <w:gridCol w:w="1247"/>
      </w:tblGrid>
      <w:tr w:rsidR="004E3242" w:rsidRPr="004E3242" w14:paraId="7670BC30" w14:textId="77777777" w:rsidTr="00AA7998">
        <w:tc>
          <w:tcPr>
            <w:tcW w:w="305" w:type="pct"/>
            <w:shd w:val="clear" w:color="auto" w:fill="99CC00"/>
            <w:vAlign w:val="center"/>
          </w:tcPr>
          <w:p w14:paraId="7A084C7C"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74" w:type="pct"/>
            <w:shd w:val="clear" w:color="auto" w:fill="99CC00"/>
            <w:vAlign w:val="center"/>
          </w:tcPr>
          <w:p w14:paraId="2B6B1BAC"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611" w:type="pct"/>
            <w:shd w:val="clear" w:color="auto" w:fill="99CC00"/>
            <w:vAlign w:val="center"/>
          </w:tcPr>
          <w:p w14:paraId="47115B3E"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7FE6377B"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3DEB615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0A0249F5"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4" w:type="pct"/>
            <w:shd w:val="clear" w:color="auto" w:fill="99CC00"/>
            <w:vAlign w:val="center"/>
          </w:tcPr>
          <w:p w14:paraId="14DBFF71"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4" w:type="pct"/>
            <w:shd w:val="clear" w:color="auto" w:fill="99CC00"/>
            <w:vAlign w:val="center"/>
          </w:tcPr>
          <w:p w14:paraId="56E357CF"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71" w:type="pct"/>
            <w:shd w:val="clear" w:color="auto" w:fill="99CC00"/>
            <w:vAlign w:val="center"/>
          </w:tcPr>
          <w:p w14:paraId="6AAC7E2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30912D80" w14:textId="77777777" w:rsidTr="00AA7998">
        <w:tc>
          <w:tcPr>
            <w:tcW w:w="305" w:type="pct"/>
            <w:shd w:val="clear" w:color="auto" w:fill="F2F2F2"/>
            <w:vAlign w:val="center"/>
          </w:tcPr>
          <w:p w14:paraId="5DF080B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974" w:type="pct"/>
            <w:shd w:val="clear" w:color="auto" w:fill="F2F2F2"/>
            <w:vAlign w:val="center"/>
          </w:tcPr>
          <w:p w14:paraId="6E86A8F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Indeks </w:t>
            </w:r>
            <w:proofErr w:type="spellStart"/>
            <w:r w:rsidRPr="004E3242">
              <w:rPr>
                <w:rFonts w:ascii="Arial" w:hAnsi="Arial" w:cs="Arial"/>
                <w:spacing w:val="4"/>
                <w:sz w:val="16"/>
                <w:szCs w:val="16"/>
              </w:rPr>
              <w:t>Herfindahl`a-Hirschman`a</w:t>
            </w:r>
            <w:proofErr w:type="spellEnd"/>
            <w:r w:rsidRPr="004E3242">
              <w:rPr>
                <w:rFonts w:ascii="Arial" w:hAnsi="Arial" w:cs="Arial"/>
                <w:spacing w:val="4"/>
                <w:sz w:val="16"/>
                <w:szCs w:val="16"/>
              </w:rPr>
              <w:t xml:space="preserve"> - Dywersyfikacja (HHI-D) dla sektora gazowego</w:t>
            </w:r>
            <w:r w:rsidRPr="004E3242">
              <w:rPr>
                <w:rFonts w:ascii="Arial" w:hAnsi="Arial" w:cs="Arial"/>
                <w:spacing w:val="4"/>
                <w:sz w:val="16"/>
                <w:szCs w:val="16"/>
                <w:vertAlign w:val="superscript"/>
              </w:rPr>
              <w:footnoteReference w:id="81"/>
            </w:r>
          </w:p>
        </w:tc>
        <w:tc>
          <w:tcPr>
            <w:tcW w:w="611" w:type="pct"/>
            <w:shd w:val="clear" w:color="auto" w:fill="F2F2F2"/>
            <w:vAlign w:val="center"/>
          </w:tcPr>
          <w:p w14:paraId="3F0C3C28"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proporcja</w:t>
            </w:r>
          </w:p>
        </w:tc>
        <w:tc>
          <w:tcPr>
            <w:tcW w:w="534" w:type="pct"/>
            <w:shd w:val="clear" w:color="auto" w:fill="F2F2F2"/>
            <w:vAlign w:val="center"/>
          </w:tcPr>
          <w:p w14:paraId="536CA84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/lepiej rozwinięte</w:t>
            </w:r>
          </w:p>
        </w:tc>
        <w:tc>
          <w:tcPr>
            <w:tcW w:w="458" w:type="pct"/>
            <w:shd w:val="clear" w:color="auto" w:fill="F2F2F2"/>
            <w:vAlign w:val="center"/>
          </w:tcPr>
          <w:p w14:paraId="0A801B76" w14:textId="77777777" w:rsidR="004E3242" w:rsidRPr="004E3242" w:rsidRDefault="004E3242" w:rsidP="004E3242">
            <w:pPr>
              <w:spacing w:before="60" w:after="60" w:line="240" w:lineRule="auto"/>
              <w:jc w:val="center"/>
              <w:rPr>
                <w:rFonts w:ascii="Arial" w:hAnsi="Arial" w:cs="Arial"/>
                <w:spacing w:val="4"/>
                <w:sz w:val="16"/>
                <w:szCs w:val="16"/>
                <w:highlight w:val="yellow"/>
              </w:rPr>
            </w:pPr>
            <w:r w:rsidRPr="004E3242">
              <w:rPr>
                <w:rFonts w:ascii="Arial" w:hAnsi="Arial" w:cs="Arial"/>
                <w:spacing w:val="4"/>
                <w:sz w:val="16"/>
                <w:szCs w:val="16"/>
              </w:rPr>
              <w:t>0,5</w:t>
            </w:r>
          </w:p>
        </w:tc>
        <w:tc>
          <w:tcPr>
            <w:tcW w:w="458" w:type="pct"/>
            <w:shd w:val="clear" w:color="auto" w:fill="F2F2F2"/>
            <w:vAlign w:val="center"/>
          </w:tcPr>
          <w:p w14:paraId="6FAA40C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7183F3FF" w14:textId="77777777" w:rsidR="004E3242" w:rsidRPr="004E3242" w:rsidDel="00C16D98" w:rsidRDefault="004E3242" w:rsidP="004E3242">
            <w:pPr>
              <w:spacing w:before="60" w:after="60" w:line="240" w:lineRule="auto"/>
              <w:jc w:val="center"/>
              <w:rPr>
                <w:rFonts w:ascii="Arial" w:hAnsi="Arial" w:cs="Arial"/>
                <w:spacing w:val="4"/>
                <w:sz w:val="16"/>
                <w:szCs w:val="16"/>
                <w:highlight w:val="yellow"/>
              </w:rPr>
            </w:pPr>
            <w:r w:rsidRPr="004E3242">
              <w:rPr>
                <w:rFonts w:ascii="Arial" w:hAnsi="Arial" w:cs="Arial"/>
                <w:spacing w:val="4"/>
                <w:sz w:val="16"/>
                <w:szCs w:val="16"/>
              </w:rPr>
              <w:t>0,2</w:t>
            </w:r>
          </w:p>
        </w:tc>
        <w:tc>
          <w:tcPr>
            <w:tcW w:w="454" w:type="pct"/>
            <w:shd w:val="clear" w:color="auto" w:fill="F2F2F2"/>
            <w:vAlign w:val="center"/>
          </w:tcPr>
          <w:p w14:paraId="6E34787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MG</w:t>
            </w:r>
          </w:p>
        </w:tc>
        <w:tc>
          <w:tcPr>
            <w:tcW w:w="671" w:type="pct"/>
            <w:shd w:val="clear" w:color="auto" w:fill="F2F2F2"/>
            <w:vAlign w:val="center"/>
          </w:tcPr>
          <w:p w14:paraId="6DFD7C29" w14:textId="77777777" w:rsidR="004E3242" w:rsidRPr="004E3242" w:rsidRDefault="004E3242" w:rsidP="004E3242">
            <w:pPr>
              <w:spacing w:before="60" w:after="60" w:line="240" w:lineRule="auto"/>
              <w:ind w:right="-11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r w:rsidR="004E3242" w:rsidRPr="004E3242" w14:paraId="707F1CA3" w14:textId="77777777" w:rsidTr="00AA7998">
        <w:tc>
          <w:tcPr>
            <w:tcW w:w="305" w:type="pct"/>
            <w:shd w:val="clear" w:color="auto" w:fill="F2F2F2"/>
            <w:vAlign w:val="center"/>
          </w:tcPr>
          <w:p w14:paraId="4C8B640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974" w:type="pct"/>
            <w:shd w:val="clear" w:color="auto" w:fill="F2F2F2"/>
            <w:vAlign w:val="center"/>
          </w:tcPr>
          <w:p w14:paraId="1A8993A0"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Ilość energii elektrycznej niedostarczonej przez system przesyłowy elektroenergetyczny</w:t>
            </w:r>
          </w:p>
        </w:tc>
        <w:tc>
          <w:tcPr>
            <w:tcW w:w="611" w:type="pct"/>
            <w:shd w:val="clear" w:color="auto" w:fill="F2F2F2"/>
            <w:vAlign w:val="center"/>
          </w:tcPr>
          <w:p w14:paraId="2AF1193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MWh/rok</w:t>
            </w:r>
          </w:p>
        </w:tc>
        <w:tc>
          <w:tcPr>
            <w:tcW w:w="534" w:type="pct"/>
            <w:shd w:val="clear" w:color="auto" w:fill="F2F2F2"/>
            <w:vAlign w:val="center"/>
          </w:tcPr>
          <w:p w14:paraId="7E626198"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/lepiej rozwinięte</w:t>
            </w:r>
          </w:p>
        </w:tc>
        <w:tc>
          <w:tcPr>
            <w:tcW w:w="458" w:type="pct"/>
            <w:shd w:val="clear" w:color="auto" w:fill="F2F2F2"/>
            <w:vAlign w:val="center"/>
          </w:tcPr>
          <w:p w14:paraId="1F47110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95.9</w:t>
            </w:r>
            <w:r w:rsidRPr="004E3242">
              <w:rPr>
                <w:rFonts w:ascii="Arial" w:hAnsi="Arial" w:cs="Arial"/>
                <w:spacing w:val="4"/>
                <w:sz w:val="16"/>
                <w:szCs w:val="16"/>
                <w:vertAlign w:val="superscript"/>
              </w:rPr>
              <w:footnoteReference w:id="82"/>
            </w:r>
          </w:p>
        </w:tc>
        <w:tc>
          <w:tcPr>
            <w:tcW w:w="458" w:type="pct"/>
            <w:shd w:val="clear" w:color="auto" w:fill="F2F2F2"/>
            <w:vAlign w:val="center"/>
          </w:tcPr>
          <w:p w14:paraId="04645F4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534" w:type="pct"/>
            <w:shd w:val="clear" w:color="auto" w:fill="F2F2F2"/>
            <w:vAlign w:val="center"/>
          </w:tcPr>
          <w:p w14:paraId="19A71F2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średnia przerw awaryjnych z okresu 6-cio letniego (tj. lat 2017-2022) na poziomie 95 MWh/rok</w:t>
            </w:r>
          </w:p>
        </w:tc>
        <w:tc>
          <w:tcPr>
            <w:tcW w:w="454" w:type="pct"/>
            <w:shd w:val="clear" w:color="auto" w:fill="F2F2F2"/>
            <w:vAlign w:val="center"/>
          </w:tcPr>
          <w:p w14:paraId="3B63BDA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MG na postawie danych PSE SA</w:t>
            </w:r>
          </w:p>
        </w:tc>
        <w:tc>
          <w:tcPr>
            <w:tcW w:w="671" w:type="pct"/>
            <w:shd w:val="clear" w:color="auto" w:fill="F2F2F2"/>
            <w:vAlign w:val="center"/>
          </w:tcPr>
          <w:p w14:paraId="7C70050F" w14:textId="77777777" w:rsidR="004E3242" w:rsidRPr="004E3242" w:rsidRDefault="004E3242" w:rsidP="004E3242">
            <w:pPr>
              <w:spacing w:before="60" w:after="60" w:line="240" w:lineRule="auto"/>
              <w:ind w:right="-110"/>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bl>
    <w:p w14:paraId="577A93B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Zakres interwencji</w:t>
      </w:r>
    </w:p>
    <w:p w14:paraId="1481F973"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z w:val="20"/>
          <w:szCs w:val="20"/>
        </w:rPr>
        <w:t xml:space="preserve">W celu zwiększenia bezpieczeństwa energetycznego kraju planuje się, że wspierane będą inwestycje w tzw. „inteligentną” infrastrukturę w sektorze gazowym i elektroenergetycznym. Obecny stan infrastruktury sieciowej nie zapewnia efektywnego funkcjonowania rynku energii elektrycznej oraz gazu ziemnego. Stan infrastruktury gazowej uniemożliwia w pewnych przypadkach szybką </w:t>
      </w:r>
      <w:r w:rsidRPr="004E3242">
        <w:rPr>
          <w:rFonts w:ascii="Arial" w:hAnsi="Arial" w:cs="Arial"/>
          <w:sz w:val="20"/>
          <w:szCs w:val="20"/>
        </w:rPr>
        <w:br/>
        <w:t xml:space="preserve">i efektywną reakcję na zakłócenia w dostawach. W tym kontekście, dużego znaczenia nabiera intensyfikacja prac na rzecz budowy i przebudowy tej infrastruktury oraz dywersyfikacja dróg zaopatrzenia w gaz ziemny poprzez przebudowę możliwości </w:t>
      </w:r>
      <w:proofErr w:type="spellStart"/>
      <w:r w:rsidRPr="004E3242">
        <w:rPr>
          <w:rFonts w:ascii="Arial" w:hAnsi="Arial" w:cs="Arial"/>
          <w:sz w:val="20"/>
          <w:szCs w:val="20"/>
        </w:rPr>
        <w:t>regazyfikacyjnych</w:t>
      </w:r>
      <w:proofErr w:type="spellEnd"/>
      <w:r w:rsidRPr="004E3242">
        <w:rPr>
          <w:rFonts w:ascii="Arial" w:hAnsi="Arial" w:cs="Arial"/>
          <w:sz w:val="20"/>
          <w:szCs w:val="20"/>
        </w:rPr>
        <w:t xml:space="preserve"> terminala</w:t>
      </w:r>
      <w:r w:rsidR="00604D89">
        <w:rPr>
          <w:rFonts w:ascii="Arial" w:hAnsi="Arial" w:cs="Arial"/>
          <w:sz w:val="20"/>
          <w:szCs w:val="20"/>
        </w:rPr>
        <w:t xml:space="preserve"> </w:t>
      </w:r>
      <w:r w:rsidRPr="004E3242">
        <w:rPr>
          <w:rFonts w:ascii="Arial" w:hAnsi="Arial" w:cs="Arial"/>
          <w:sz w:val="20"/>
          <w:szCs w:val="20"/>
        </w:rPr>
        <w:t>LNG</w:t>
      </w:r>
      <w:r w:rsidRPr="004E3242">
        <w:rPr>
          <w:rFonts w:ascii="Arial" w:hAnsi="Arial" w:cs="Arial"/>
        </w:rPr>
        <w:t xml:space="preserve">. </w:t>
      </w:r>
    </w:p>
    <w:p w14:paraId="594B7111"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System energetycznych sieci dystrybucyjnych i przesyłowych w Polsce jest w znacznym stopniu zamortyzowany. Co więcej, eksploatowana infrastruktura przesyłowa i dystrybucyjna jest już mocno przestarzała. Dlatego istnieje potrzeba wsparcia rozwoju sieci przesyłowych </w:t>
      </w:r>
      <w:r w:rsidRPr="004E3242">
        <w:rPr>
          <w:rFonts w:ascii="Arial" w:hAnsi="Arial" w:cs="Arial"/>
          <w:spacing w:val="4"/>
          <w:sz w:val="20"/>
          <w:szCs w:val="20"/>
        </w:rPr>
        <w:br/>
        <w:t xml:space="preserve">i dystrybucyjnych z wykorzystaniem funkcjonalności sieci inteligentnej tzw. </w:t>
      </w:r>
      <w:r w:rsidRPr="004E3242">
        <w:rPr>
          <w:rFonts w:ascii="Arial" w:hAnsi="Arial" w:cs="Arial"/>
          <w:i/>
          <w:spacing w:val="4"/>
          <w:sz w:val="20"/>
          <w:szCs w:val="20"/>
        </w:rPr>
        <w:t xml:space="preserve">smart </w:t>
      </w:r>
      <w:proofErr w:type="spellStart"/>
      <w:r w:rsidRPr="004E3242">
        <w:rPr>
          <w:rFonts w:ascii="Arial" w:hAnsi="Arial" w:cs="Arial"/>
          <w:i/>
          <w:spacing w:val="4"/>
          <w:sz w:val="20"/>
          <w:szCs w:val="20"/>
        </w:rPr>
        <w:t>grid</w:t>
      </w:r>
      <w:proofErr w:type="spellEnd"/>
      <w:r w:rsidRPr="004E3242">
        <w:rPr>
          <w:rFonts w:ascii="Arial" w:hAnsi="Arial" w:cs="Arial"/>
          <w:i/>
          <w:spacing w:val="4"/>
          <w:sz w:val="20"/>
          <w:szCs w:val="20"/>
        </w:rPr>
        <w:t xml:space="preserve">, </w:t>
      </w:r>
      <w:r w:rsidRPr="004E3242">
        <w:rPr>
          <w:rFonts w:ascii="Arial" w:hAnsi="Arial" w:cs="Arial"/>
          <w:spacing w:val="4"/>
          <w:sz w:val="20"/>
          <w:szCs w:val="20"/>
        </w:rPr>
        <w:t xml:space="preserve">poprzez ich budowę oraz przebudowę w celu zapewnienia sprawnego funkcjonowania Krajowego Systemu Energetycznego. Wsparcie infrastruktury energetycznej z wykorzystaniem funkcjonalności sieci inteligentnej, które zostaną uznane za istotne ze względu na uwarunkowania techniczne </w:t>
      </w:r>
      <w:r w:rsidRPr="004E3242">
        <w:rPr>
          <w:rFonts w:ascii="Arial" w:hAnsi="Arial" w:cs="Arial"/>
          <w:spacing w:val="4"/>
          <w:sz w:val="20"/>
          <w:szCs w:val="20"/>
        </w:rPr>
        <w:br/>
        <w:t>i ekonomiczne realizacji projektu, będzie miało</w:t>
      </w:r>
      <w:r w:rsidRPr="004E3242">
        <w:rPr>
          <w:rFonts w:ascii="Arial" w:hAnsi="Arial" w:cs="Arial"/>
          <w:i/>
          <w:spacing w:val="4"/>
          <w:sz w:val="20"/>
          <w:szCs w:val="20"/>
        </w:rPr>
        <w:t xml:space="preserve"> </w:t>
      </w:r>
      <w:r w:rsidRPr="004E3242">
        <w:rPr>
          <w:rFonts w:ascii="Arial" w:hAnsi="Arial" w:cs="Arial"/>
          <w:spacing w:val="4"/>
          <w:sz w:val="20"/>
          <w:szCs w:val="20"/>
        </w:rPr>
        <w:t xml:space="preserve">wpływ na poprawę bezpieczeństwa energetycznego kraju. </w:t>
      </w:r>
      <w:r w:rsidRPr="004E3242">
        <w:rPr>
          <w:rFonts w:ascii="Arial" w:hAnsi="Arial" w:cs="Arial"/>
          <w:sz w:val="20"/>
          <w:szCs w:val="20"/>
        </w:rPr>
        <w:t xml:space="preserve">Wobec powyższego, w ramach danego priorytetu inwestycyjnego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w:t>
      </w:r>
      <w:r w:rsidRPr="004E3242">
        <w:rPr>
          <w:rFonts w:ascii="Arial" w:hAnsi="Arial" w:cs="Arial"/>
          <w:spacing w:val="4"/>
          <w:sz w:val="20"/>
          <w:szCs w:val="20"/>
        </w:rPr>
        <w:t xml:space="preserve">w zakresie sieci elektroenergetycznej projekt implementujący co najmniej dwie z funkcjonalności </w:t>
      </w:r>
      <w:r w:rsidRPr="004E3242">
        <w:rPr>
          <w:rFonts w:ascii="Arial" w:hAnsi="Arial" w:cs="Arial"/>
          <w:i/>
          <w:spacing w:val="4"/>
          <w:sz w:val="20"/>
          <w:szCs w:val="20"/>
        </w:rPr>
        <w:t xml:space="preserve">smart </w:t>
      </w:r>
      <w:proofErr w:type="spellStart"/>
      <w:r w:rsidRPr="004E3242">
        <w:rPr>
          <w:rFonts w:ascii="Arial" w:hAnsi="Arial" w:cs="Arial"/>
          <w:i/>
          <w:spacing w:val="4"/>
          <w:sz w:val="20"/>
          <w:szCs w:val="20"/>
        </w:rPr>
        <w:t>grid</w:t>
      </w:r>
      <w:proofErr w:type="spellEnd"/>
      <w:r w:rsidRPr="004E3242">
        <w:rPr>
          <w:rFonts w:ascii="Arial" w:hAnsi="Arial" w:cs="Arial"/>
          <w:i/>
          <w:spacing w:val="4"/>
          <w:sz w:val="20"/>
          <w:szCs w:val="20"/>
        </w:rPr>
        <w:t xml:space="preserve"> </w:t>
      </w:r>
      <w:r w:rsidRPr="004E3242">
        <w:rPr>
          <w:rFonts w:ascii="Arial" w:hAnsi="Arial" w:cs="Arial"/>
          <w:spacing w:val="4"/>
          <w:sz w:val="20"/>
          <w:szCs w:val="20"/>
        </w:rPr>
        <w:t>będzie uważany za kwalifikowany do dofinansowania.</w:t>
      </w:r>
      <w:r w:rsidRPr="004E3242">
        <w:rPr>
          <w:rFonts w:ascii="Arial" w:hAnsi="Arial" w:cs="Arial"/>
          <w:spacing w:val="4"/>
          <w:sz w:val="20"/>
          <w:szCs w:val="20"/>
          <w:vertAlign w:val="superscript"/>
        </w:rPr>
        <w:footnoteReference w:id="83"/>
      </w:r>
    </w:p>
    <w:p w14:paraId="3E3D6D2C"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z w:val="20"/>
          <w:szCs w:val="20"/>
        </w:rPr>
        <w:t xml:space="preserve">Na potrzeby realizacji projektów w sektorze gazownictwa zawierających funkcjonalność </w:t>
      </w:r>
      <w:r w:rsidRPr="004E3242">
        <w:rPr>
          <w:rFonts w:ascii="Arial" w:hAnsi="Arial" w:cs="Arial"/>
          <w:i/>
          <w:sz w:val="20"/>
          <w:szCs w:val="20"/>
        </w:rPr>
        <w:t>smart</w:t>
      </w:r>
      <w:r w:rsidRPr="004E3242">
        <w:rPr>
          <w:rFonts w:ascii="Arial" w:hAnsi="Arial" w:cs="Arial"/>
          <w:sz w:val="20"/>
          <w:szCs w:val="20"/>
        </w:rPr>
        <w:t xml:space="preserve"> przyjmuje się, że </w:t>
      </w:r>
      <w:r w:rsidRPr="004E3242">
        <w:rPr>
          <w:rFonts w:ascii="Arial" w:hAnsi="Arial" w:cs="Arial"/>
          <w:i/>
          <w:sz w:val="20"/>
          <w:szCs w:val="20"/>
        </w:rPr>
        <w:t xml:space="preserve">smart </w:t>
      </w:r>
      <w:proofErr w:type="spellStart"/>
      <w:r w:rsidRPr="004E3242">
        <w:rPr>
          <w:rFonts w:ascii="Arial" w:hAnsi="Arial" w:cs="Arial"/>
          <w:i/>
          <w:sz w:val="20"/>
          <w:szCs w:val="20"/>
        </w:rPr>
        <w:t>grid</w:t>
      </w:r>
      <w:proofErr w:type="spellEnd"/>
      <w:r w:rsidRPr="004E3242">
        <w:rPr>
          <w:rFonts w:ascii="Arial" w:hAnsi="Arial" w:cs="Arial"/>
          <w:sz w:val="20"/>
          <w:szCs w:val="20"/>
        </w:rPr>
        <w:t xml:space="preserve"> to </w:t>
      </w:r>
      <w:r w:rsidRPr="004E3242">
        <w:rPr>
          <w:rFonts w:ascii="Arial" w:hAnsi="Arial" w:cs="Arial"/>
          <w:iCs/>
          <w:sz w:val="20"/>
          <w:szCs w:val="20"/>
        </w:rPr>
        <w:t>inteligentne sieci gazow</w:t>
      </w:r>
      <w:r w:rsidR="007D5289">
        <w:rPr>
          <w:rFonts w:ascii="Arial" w:hAnsi="Arial" w:cs="Arial"/>
          <w:iCs/>
          <w:sz w:val="20"/>
          <w:szCs w:val="20"/>
        </w:rPr>
        <w:t>e</w:t>
      </w:r>
      <w:r w:rsidRPr="004E3242">
        <w:rPr>
          <w:rFonts w:ascii="Arial" w:hAnsi="Arial" w:cs="Arial"/>
          <w:iCs/>
          <w:sz w:val="20"/>
          <w:szCs w:val="20"/>
        </w:rPr>
        <w:t xml:space="preserve"> tj. sieci gazu wraz ze zintegrowanymi technologiami IT, które umożliwiają integrację działań uczestników rynku gazu w procesach </w:t>
      </w:r>
      <w:proofErr w:type="spellStart"/>
      <w:r w:rsidRPr="004E3242">
        <w:rPr>
          <w:rFonts w:ascii="Arial" w:hAnsi="Arial" w:cs="Arial"/>
          <w:iCs/>
          <w:sz w:val="20"/>
          <w:szCs w:val="20"/>
        </w:rPr>
        <w:t>przesyłu</w:t>
      </w:r>
      <w:proofErr w:type="spellEnd"/>
      <w:r w:rsidRPr="004E3242">
        <w:rPr>
          <w:rFonts w:ascii="Arial" w:hAnsi="Arial" w:cs="Arial"/>
          <w:iCs/>
          <w:sz w:val="20"/>
          <w:szCs w:val="20"/>
        </w:rPr>
        <w:t xml:space="preserve">, dystrybucji, magazynowania i wykorzystania gazu. W szczególności inteligentne sieci powinny pozwalać na zwiększenie niezawodności dostaw gazu ziemnego, zapewnienie ciągłego, bezpiecznego i efektywnego kosztowo dostępu do gazu, a także powinny zapewniać możliwości techniczne w zakresie oferowania klientom nowych usług, które optymalizują zużycie gazu i wpływają na poprawę skuteczności usług świadczonych obecnie. Dodatkowym atutem będzie możliwość integracji i synergii działania z innymi systemami </w:t>
      </w:r>
      <w:proofErr w:type="spellStart"/>
      <w:r w:rsidRPr="004E3242">
        <w:rPr>
          <w:rFonts w:ascii="Arial" w:hAnsi="Arial" w:cs="Arial"/>
          <w:iCs/>
          <w:sz w:val="20"/>
          <w:szCs w:val="20"/>
        </w:rPr>
        <w:t>przesyłu</w:t>
      </w:r>
      <w:proofErr w:type="spellEnd"/>
      <w:r w:rsidRPr="004E3242">
        <w:rPr>
          <w:rFonts w:ascii="Arial" w:hAnsi="Arial" w:cs="Arial"/>
          <w:iCs/>
          <w:sz w:val="20"/>
          <w:szCs w:val="20"/>
        </w:rPr>
        <w:t xml:space="preserve"> energii.</w:t>
      </w:r>
      <w:r w:rsidRPr="004E3242">
        <w:rPr>
          <w:rFonts w:ascii="Arial" w:hAnsi="Arial" w:cs="Arial"/>
          <w:i/>
          <w:spacing w:val="4"/>
          <w:sz w:val="20"/>
          <w:szCs w:val="20"/>
        </w:rPr>
        <w:t xml:space="preserve"> Smart </w:t>
      </w:r>
      <w:proofErr w:type="spellStart"/>
      <w:r w:rsidRPr="004E3242">
        <w:rPr>
          <w:rFonts w:ascii="Arial" w:hAnsi="Arial" w:cs="Arial"/>
          <w:i/>
          <w:spacing w:val="4"/>
          <w:sz w:val="20"/>
          <w:szCs w:val="20"/>
        </w:rPr>
        <w:t>grid</w:t>
      </w:r>
      <w:proofErr w:type="spellEnd"/>
      <w:r w:rsidRPr="004E3242">
        <w:rPr>
          <w:rFonts w:ascii="Arial" w:hAnsi="Arial" w:cs="Arial"/>
          <w:spacing w:val="4"/>
          <w:sz w:val="20"/>
          <w:szCs w:val="20"/>
        </w:rPr>
        <w:t xml:space="preserve"> powinna także umożliwiać aktywne uczestnictwo użytkowników końcowych w zwiększeniu efektywności funkcjonowania sieci gazowych. Wobec powyższego, w ramach danego priorytetu inwestycyjnego </w:t>
      </w:r>
      <w:proofErr w:type="spellStart"/>
      <w:r w:rsidRPr="004E3242">
        <w:rPr>
          <w:rFonts w:ascii="Arial" w:hAnsi="Arial" w:cs="Arial"/>
          <w:spacing w:val="4"/>
          <w:sz w:val="20"/>
          <w:szCs w:val="20"/>
        </w:rPr>
        <w:lastRenderedPageBreak/>
        <w:t>POIiŚ</w:t>
      </w:r>
      <w:proofErr w:type="spellEnd"/>
      <w:r w:rsidRPr="004E3242">
        <w:rPr>
          <w:rFonts w:ascii="Arial" w:hAnsi="Arial" w:cs="Arial"/>
          <w:spacing w:val="4"/>
          <w:sz w:val="20"/>
          <w:szCs w:val="20"/>
        </w:rPr>
        <w:t xml:space="preserve"> w zakresie sieci gazowej projekt implementujący co najmniej jedną z funkcjonalności smart </w:t>
      </w:r>
      <w:proofErr w:type="spellStart"/>
      <w:r w:rsidRPr="004E3242">
        <w:rPr>
          <w:rFonts w:ascii="Arial" w:hAnsi="Arial" w:cs="Arial"/>
          <w:spacing w:val="4"/>
          <w:sz w:val="20"/>
          <w:szCs w:val="20"/>
        </w:rPr>
        <w:t>grid</w:t>
      </w:r>
      <w:proofErr w:type="spellEnd"/>
      <w:r w:rsidRPr="004E3242">
        <w:rPr>
          <w:rFonts w:ascii="Arial" w:hAnsi="Arial" w:cs="Arial"/>
          <w:spacing w:val="4"/>
          <w:sz w:val="20"/>
          <w:szCs w:val="20"/>
        </w:rPr>
        <w:t xml:space="preserve"> będzie uważany za kwalifikowany do dofinansowania.</w:t>
      </w:r>
      <w:r w:rsidRPr="004E3242">
        <w:rPr>
          <w:rFonts w:ascii="Arial" w:hAnsi="Arial" w:cs="Arial"/>
          <w:spacing w:val="4"/>
          <w:sz w:val="20"/>
          <w:szCs w:val="20"/>
          <w:vertAlign w:val="superscript"/>
        </w:rPr>
        <w:footnoteReference w:id="84"/>
      </w:r>
    </w:p>
    <w:p w14:paraId="5591FC36" w14:textId="77777777" w:rsidR="004E3242" w:rsidRPr="004E3242" w:rsidRDefault="004E3242" w:rsidP="004E3242">
      <w:pPr>
        <w:autoSpaceDE w:val="0"/>
        <w:autoSpaceDN w:val="0"/>
        <w:adjustRightInd w:val="0"/>
        <w:spacing w:before="120" w:after="120"/>
        <w:jc w:val="both"/>
        <w:rPr>
          <w:rFonts w:ascii="EUAlbertina" w:hAnsi="EUAlbertina"/>
        </w:rPr>
      </w:pPr>
      <w:r w:rsidRPr="004E3242">
        <w:rPr>
          <w:rFonts w:ascii="Arial" w:hAnsi="Arial" w:cs="Arial"/>
          <w:spacing w:val="4"/>
          <w:sz w:val="20"/>
          <w:szCs w:val="20"/>
        </w:rPr>
        <w:t xml:space="preserve">W przypadku sieci elektroenergetycznych na potrzeby realizacji takich projektów zawierających funkcjonalność </w:t>
      </w:r>
      <w:r w:rsidRPr="004E3242">
        <w:rPr>
          <w:rFonts w:ascii="Arial" w:hAnsi="Arial" w:cs="Arial"/>
          <w:i/>
          <w:spacing w:val="4"/>
          <w:sz w:val="20"/>
          <w:szCs w:val="20"/>
        </w:rPr>
        <w:t>smart</w:t>
      </w:r>
      <w:r w:rsidRPr="004E3242">
        <w:rPr>
          <w:rFonts w:ascii="Arial" w:hAnsi="Arial" w:cs="Arial"/>
          <w:spacing w:val="4"/>
          <w:sz w:val="20"/>
          <w:szCs w:val="20"/>
        </w:rPr>
        <w:t xml:space="preserve"> przyjmuje się, że </w:t>
      </w:r>
      <w:r w:rsidRPr="004E3242">
        <w:rPr>
          <w:rFonts w:ascii="Arial" w:hAnsi="Arial" w:cs="Arial"/>
          <w:i/>
          <w:spacing w:val="4"/>
          <w:sz w:val="20"/>
          <w:szCs w:val="20"/>
        </w:rPr>
        <w:t xml:space="preserve">smart </w:t>
      </w:r>
      <w:proofErr w:type="spellStart"/>
      <w:r w:rsidRPr="004E3242">
        <w:rPr>
          <w:rFonts w:ascii="Arial" w:hAnsi="Arial" w:cs="Arial"/>
          <w:i/>
          <w:spacing w:val="4"/>
          <w:sz w:val="20"/>
          <w:szCs w:val="20"/>
        </w:rPr>
        <w:t>grid</w:t>
      </w:r>
      <w:proofErr w:type="spellEnd"/>
      <w:r w:rsidRPr="004E3242">
        <w:rPr>
          <w:rFonts w:ascii="Arial" w:hAnsi="Arial" w:cs="Arial"/>
          <w:i/>
          <w:spacing w:val="4"/>
          <w:sz w:val="20"/>
          <w:szCs w:val="20"/>
        </w:rPr>
        <w:t xml:space="preserve"> </w:t>
      </w:r>
      <w:r w:rsidRPr="004E3242">
        <w:rPr>
          <w:rFonts w:ascii="Arial" w:hAnsi="Arial" w:cs="Arial"/>
          <w:spacing w:val="4"/>
          <w:sz w:val="20"/>
          <w:szCs w:val="20"/>
        </w:rPr>
        <w:t xml:space="preserve">to sieć elektroenergetyczna, która może w sposób efektywny kosztowo i funkcjonalnie integrować zachowania i działania wszystkich przyłączonych do niej użytkowników – w tym również wytwórców, odbiorców oraz użytkowników, będących zarazem wytwórcami i odbiorcami – w celu zapewnienia efektywnego </w:t>
      </w:r>
      <w:r w:rsidRPr="004E3242">
        <w:rPr>
          <w:rFonts w:ascii="Arial" w:hAnsi="Arial" w:cs="Arial"/>
          <w:spacing w:val="4"/>
          <w:sz w:val="20"/>
          <w:szCs w:val="20"/>
        </w:rPr>
        <w:br/>
        <w:t>i zrównoważonego pod względem ekonomicznym systemu energetycznego, o niskim poziomie strat oraz wysokim poziomie jakości oraz bezpieczeństwa dostaw i ochrony.</w:t>
      </w:r>
    </w:p>
    <w:p w14:paraId="5C858B8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Biorąc to pod uwagę, przewiduje się wsparcie w szczególności następujących obszarów:</w:t>
      </w:r>
    </w:p>
    <w:p w14:paraId="0A472ADE" w14:textId="77777777" w:rsidR="004E3242" w:rsidRPr="004E3242" w:rsidRDefault="004E3242" w:rsidP="00B345B6">
      <w:pPr>
        <w:numPr>
          <w:ilvl w:val="0"/>
          <w:numId w:val="13"/>
        </w:numPr>
        <w:spacing w:before="120" w:after="120"/>
        <w:jc w:val="both"/>
        <w:rPr>
          <w:rFonts w:ascii="Arial" w:hAnsi="Arial" w:cs="Arial"/>
          <w:i/>
          <w:spacing w:val="4"/>
          <w:sz w:val="20"/>
          <w:szCs w:val="20"/>
        </w:rPr>
      </w:pPr>
      <w:r w:rsidRPr="004E3242">
        <w:rPr>
          <w:rFonts w:ascii="Arial" w:hAnsi="Arial" w:cs="Arial"/>
          <w:spacing w:val="4"/>
          <w:sz w:val="20"/>
          <w:szCs w:val="20"/>
        </w:rPr>
        <w:t xml:space="preserve">budowa i/lub przebudowa sieci przesyłowych i dystrybucyjnych gazu ziemnego wraz </w:t>
      </w:r>
      <w:r w:rsidRPr="004E3242">
        <w:rPr>
          <w:rFonts w:ascii="Arial" w:hAnsi="Arial" w:cs="Arial"/>
          <w:spacing w:val="4"/>
          <w:sz w:val="20"/>
          <w:szCs w:val="20"/>
        </w:rPr>
        <w:br/>
        <w:t>z infrastrukturą wsparcia dla systemu</w:t>
      </w:r>
      <w:r w:rsidRPr="004E3242">
        <w:rPr>
          <w:rFonts w:ascii="Arial" w:hAnsi="Arial" w:cs="Arial"/>
          <w:spacing w:val="4"/>
          <w:sz w:val="20"/>
          <w:szCs w:val="20"/>
          <w:vertAlign w:val="superscript"/>
        </w:rPr>
        <w:footnoteReference w:id="85"/>
      </w:r>
      <w:r w:rsidRPr="004E3242">
        <w:rPr>
          <w:rFonts w:ascii="Arial" w:hAnsi="Arial" w:cs="Arial"/>
          <w:spacing w:val="4"/>
          <w:sz w:val="20"/>
          <w:szCs w:val="20"/>
        </w:rPr>
        <w:t xml:space="preserve"> z wykorzystaniem technologii </w:t>
      </w:r>
      <w:r w:rsidRPr="004E3242">
        <w:rPr>
          <w:rFonts w:ascii="Arial" w:hAnsi="Arial" w:cs="Arial"/>
          <w:i/>
          <w:spacing w:val="4"/>
          <w:sz w:val="20"/>
          <w:szCs w:val="20"/>
        </w:rPr>
        <w:t>smart;</w:t>
      </w:r>
    </w:p>
    <w:p w14:paraId="6744322E" w14:textId="77777777" w:rsidR="004E3242" w:rsidRPr="004E3242" w:rsidRDefault="004E3242" w:rsidP="00B345B6">
      <w:pPr>
        <w:numPr>
          <w:ilvl w:val="0"/>
          <w:numId w:val="13"/>
        </w:numPr>
        <w:spacing w:before="120" w:after="120"/>
        <w:jc w:val="both"/>
        <w:rPr>
          <w:rFonts w:ascii="Arial" w:hAnsi="Arial" w:cs="Arial"/>
          <w:spacing w:val="4"/>
          <w:sz w:val="20"/>
          <w:szCs w:val="20"/>
        </w:rPr>
      </w:pPr>
      <w:r w:rsidRPr="004E3242">
        <w:rPr>
          <w:rFonts w:ascii="Arial" w:hAnsi="Arial" w:cs="Arial"/>
          <w:spacing w:val="4"/>
          <w:sz w:val="20"/>
          <w:szCs w:val="20"/>
        </w:rPr>
        <w:t xml:space="preserve">budowa i/lub przebudowa sieci przesyłowych i dystrybucyjnych energii elektrycznej z wykorzystaniem technologii </w:t>
      </w:r>
      <w:r w:rsidRPr="004E3242">
        <w:rPr>
          <w:rFonts w:ascii="Arial" w:hAnsi="Arial" w:cs="Arial"/>
          <w:i/>
          <w:spacing w:val="4"/>
          <w:sz w:val="20"/>
          <w:szCs w:val="20"/>
        </w:rPr>
        <w:t>smart;</w:t>
      </w:r>
    </w:p>
    <w:p w14:paraId="3E45FD01" w14:textId="77777777" w:rsidR="004E3242" w:rsidRDefault="004E3242" w:rsidP="00B345B6">
      <w:pPr>
        <w:numPr>
          <w:ilvl w:val="0"/>
          <w:numId w:val="13"/>
        </w:numPr>
        <w:spacing w:before="120" w:after="120"/>
        <w:jc w:val="both"/>
        <w:rPr>
          <w:rFonts w:ascii="Arial" w:hAnsi="Arial" w:cs="Arial"/>
          <w:spacing w:val="4"/>
          <w:sz w:val="20"/>
          <w:szCs w:val="20"/>
        </w:rPr>
      </w:pPr>
      <w:r w:rsidRPr="004E3242">
        <w:rPr>
          <w:rFonts w:ascii="Arial" w:hAnsi="Arial" w:cs="Arial"/>
          <w:spacing w:val="4"/>
          <w:sz w:val="20"/>
          <w:szCs w:val="20"/>
        </w:rPr>
        <w:t xml:space="preserve">przebudowa możliwości </w:t>
      </w:r>
      <w:proofErr w:type="spellStart"/>
      <w:r w:rsidRPr="004E3242">
        <w:rPr>
          <w:rFonts w:ascii="Arial" w:hAnsi="Arial" w:cs="Arial"/>
          <w:spacing w:val="4"/>
          <w:sz w:val="20"/>
          <w:szCs w:val="20"/>
        </w:rPr>
        <w:t>regazyfikacji</w:t>
      </w:r>
      <w:proofErr w:type="spellEnd"/>
      <w:r w:rsidRPr="004E3242">
        <w:rPr>
          <w:rFonts w:ascii="Arial" w:hAnsi="Arial" w:cs="Arial"/>
          <w:spacing w:val="4"/>
          <w:sz w:val="20"/>
          <w:szCs w:val="20"/>
        </w:rPr>
        <w:t xml:space="preserve"> terminala LNG.</w:t>
      </w:r>
    </w:p>
    <w:p w14:paraId="1E07F79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32B228BC" w14:textId="77777777" w:rsidR="004E3242" w:rsidRPr="004E3242" w:rsidRDefault="004E3242" w:rsidP="004E3242">
      <w:pPr>
        <w:widowControl w:val="0"/>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Głównym beneficjentem w ramach priorytetu inwestycyjnego będą przedsiębiorstwa energetyczne, prowadzące działalność </w:t>
      </w:r>
      <w:proofErr w:type="spellStart"/>
      <w:r w:rsidRPr="004E3242">
        <w:rPr>
          <w:rFonts w:ascii="Arial" w:hAnsi="Arial" w:cs="Arial"/>
          <w:sz w:val="20"/>
          <w:szCs w:val="20"/>
        </w:rPr>
        <w:t>przesyłu</w:t>
      </w:r>
      <w:proofErr w:type="spellEnd"/>
      <w:r w:rsidRPr="004E3242">
        <w:rPr>
          <w:rFonts w:ascii="Arial" w:hAnsi="Arial" w:cs="Arial"/>
          <w:sz w:val="20"/>
          <w:szCs w:val="20"/>
        </w:rPr>
        <w:t xml:space="preserve">, dystrybucji, </w:t>
      </w:r>
      <w:proofErr w:type="spellStart"/>
      <w:r w:rsidRPr="004E3242">
        <w:rPr>
          <w:rFonts w:ascii="Arial" w:hAnsi="Arial" w:cs="Arial"/>
          <w:sz w:val="20"/>
          <w:szCs w:val="20"/>
        </w:rPr>
        <w:t>regazyfikacji</w:t>
      </w:r>
      <w:proofErr w:type="spellEnd"/>
      <w:r w:rsidRPr="004E3242">
        <w:rPr>
          <w:rFonts w:ascii="Arial" w:hAnsi="Arial" w:cs="Arial"/>
          <w:sz w:val="20"/>
          <w:szCs w:val="20"/>
        </w:rPr>
        <w:t xml:space="preserve"> gazu ziemnego oraz przedsiębiorstwa energetyczne zajmujące się </w:t>
      </w:r>
      <w:proofErr w:type="spellStart"/>
      <w:r w:rsidRPr="004E3242">
        <w:rPr>
          <w:rFonts w:ascii="Arial" w:hAnsi="Arial" w:cs="Arial"/>
          <w:sz w:val="20"/>
          <w:szCs w:val="20"/>
        </w:rPr>
        <w:t>przesyłem</w:t>
      </w:r>
      <w:proofErr w:type="spellEnd"/>
      <w:r w:rsidRPr="004E3242">
        <w:rPr>
          <w:rFonts w:ascii="Arial" w:hAnsi="Arial" w:cs="Arial"/>
          <w:sz w:val="20"/>
          <w:szCs w:val="20"/>
        </w:rPr>
        <w:t xml:space="preserve"> i dystrybucją energii elektrycznej. </w:t>
      </w:r>
    </w:p>
    <w:p w14:paraId="77D175B5" w14:textId="77777777" w:rsidR="004E3242" w:rsidRPr="004E3242" w:rsidRDefault="004E3242" w:rsidP="004E3242">
      <w:pPr>
        <w:widowControl w:val="0"/>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Z uwagi na to, że interwencja będzie miała charakter horyzontalny i dotyczyła całego kraju grupami docelowymi będą użytkownicy korzystający z sieci gazowej i elektroenergetycznych.</w:t>
      </w:r>
    </w:p>
    <w:p w14:paraId="399D908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6CBF24FF"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Dotyczy to głównie terenów wiejskich, które charakteryzują się wysokim stopniem awaryjności sieci dystrybucyjnej, bądź brakiem tych sieci. </w:t>
      </w:r>
      <w:r w:rsidRPr="004E3242">
        <w:rPr>
          <w:rFonts w:ascii="Arial" w:hAnsi="Arial" w:cs="Arial"/>
          <w:spacing w:val="4"/>
          <w:sz w:val="20"/>
          <w:szCs w:val="20"/>
          <w:lang w:val="x-none"/>
        </w:rPr>
        <w:t>R</w:t>
      </w:r>
      <w:r w:rsidRPr="004E3242">
        <w:rPr>
          <w:rFonts w:ascii="Arial" w:hAnsi="Arial" w:cs="Arial"/>
          <w:spacing w:val="4"/>
          <w:sz w:val="20"/>
          <w:szCs w:val="20"/>
        </w:rPr>
        <w:t xml:space="preserve">ealizacja inwestycji infrastrukturalnych w zakresie bezpieczeństwa energetycznego będzie uwzględniać potencjał istniejącej infrastruktury. Eksploatowana infrastruktura przesyłowa i dystrybucyjna jest już mocno przestarzała na terenie całego kraju, a obszarami najbardziej niedoinwestowanymi w zakresie infrastruktury energetycznej zgodnie z KPZK są: Pomorze oraz województwa Polski Wschodniej. </w:t>
      </w:r>
    </w:p>
    <w:p w14:paraId="7BFB382E"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W ramach priorytetu inwestycyjnego przewiduje się wydzielenie puli środków przeznaczonej na wsparcie województwa mazowieckiego. Wynika to z faktu, że zgodnie z rozporządzeniem ramowym Mazowsze objęte zostało w okresie programowania 2014-2020 innymi zasadami wsparcia ze środków EFRR</w:t>
      </w:r>
      <w:r w:rsidRPr="004E3242">
        <w:rPr>
          <w:rFonts w:ascii="Arial" w:hAnsi="Arial" w:cs="Arial"/>
          <w:sz w:val="20"/>
          <w:szCs w:val="20"/>
          <w:vertAlign w:val="superscript"/>
        </w:rPr>
        <w:footnoteReference w:id="86"/>
      </w:r>
      <w:r w:rsidRPr="004E3242">
        <w:rPr>
          <w:rFonts w:ascii="Arial" w:hAnsi="Arial" w:cs="Arial"/>
          <w:sz w:val="20"/>
          <w:szCs w:val="20"/>
        </w:rPr>
        <w:t xml:space="preserve">. Obszary te wymagają przebudowy sieci przesyłowej, w tym zamknięcia pierścieni sieci 400 </w:t>
      </w:r>
      <w:proofErr w:type="spellStart"/>
      <w:r w:rsidRPr="004E3242">
        <w:rPr>
          <w:rFonts w:ascii="Arial" w:hAnsi="Arial" w:cs="Arial"/>
          <w:sz w:val="20"/>
          <w:szCs w:val="20"/>
        </w:rPr>
        <w:t>kV</w:t>
      </w:r>
      <w:proofErr w:type="spellEnd"/>
      <w:r w:rsidRPr="004E3242">
        <w:rPr>
          <w:rFonts w:ascii="Arial" w:hAnsi="Arial" w:cs="Arial"/>
          <w:sz w:val="20"/>
          <w:szCs w:val="20"/>
        </w:rPr>
        <w:t>, zwiększających pewność zasilania odbiorców o wysokich wymaganiach co do jakości zasilania.</w:t>
      </w:r>
    </w:p>
    <w:p w14:paraId="6FA72C20" w14:textId="77777777" w:rsidR="004E3242" w:rsidRPr="004E3242" w:rsidRDefault="004E3242" w:rsidP="004E3242">
      <w:pPr>
        <w:autoSpaceDE w:val="0"/>
        <w:autoSpaceDN w:val="0"/>
        <w:adjustRightInd w:val="0"/>
        <w:spacing w:before="120" w:after="120"/>
        <w:jc w:val="both"/>
        <w:rPr>
          <w:rFonts w:ascii="Arial" w:hAnsi="Arial" w:cs="Arial"/>
          <w:i/>
          <w:spacing w:val="4"/>
          <w:sz w:val="20"/>
          <w:szCs w:val="20"/>
        </w:rPr>
      </w:pPr>
      <w:r w:rsidRPr="004E3242">
        <w:rPr>
          <w:rFonts w:ascii="Arial" w:hAnsi="Arial" w:cs="Arial"/>
          <w:spacing w:val="4"/>
          <w:sz w:val="20"/>
          <w:szCs w:val="20"/>
        </w:rPr>
        <w:lastRenderedPageBreak/>
        <w:t xml:space="preserve">Poprawa bezpieczeństwa energetycznego ma charakter wielowymiarowy i będzie uwarunkowane prowadzeniem interwencji w różnych obszarach sektorowych. Zapewnienie bezpieczeństwa energetycznego ma duże znaczenie dla rozwoju gospodarczego, likwidacji barier rozwojowych oraz podnoszenia konkurencyjności w wymiarze krajowym oraz poszczególnych terytoriów. Dodatkowo należy podkreślić, że zwiększenie bezpieczeństwa energetycznego ma istotne uwarunkowania terytorialne z uwagi na terytorialne luki gęstości sieci energetycznych różnicujące sytuację w zakresie stabilności i pewności dostaw energii na poszczególnych obszarach kraju. </w:t>
      </w:r>
    </w:p>
    <w:p w14:paraId="7B54CBB8"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Działania w ramach priorytetu inwestycyjnego będą miały nie tylko znaczenie krajowe, ale również przyczynią się do integracji systemu elektroenergetycznego i budowy bezpiecznych rynków energii poza granicami. W szczególności, będą miały wpływ na podniesienie bezpieczeństwa energetycznego na obszarze Morza Bałtyckiego, korespondując z celami SUE RMB przyjętymi w ramach OP ENERGY </w:t>
      </w:r>
      <w:r w:rsidRPr="004E3242">
        <w:rPr>
          <w:rFonts w:ascii="Arial" w:hAnsi="Arial" w:cs="Arial"/>
          <w:i/>
          <w:spacing w:val="4"/>
          <w:sz w:val="20"/>
          <w:szCs w:val="20"/>
        </w:rPr>
        <w:t>Poprawa dostępu do wydajnych oraz bezpiecznych rynków energii</w:t>
      </w:r>
      <w:r w:rsidRPr="004E3242">
        <w:rPr>
          <w:rFonts w:ascii="Arial" w:hAnsi="Arial" w:cs="Arial"/>
          <w:spacing w:val="4"/>
          <w:sz w:val="20"/>
          <w:szCs w:val="20"/>
        </w:rPr>
        <w:t>. Przebudowa terminala LNG w Polsce oraz przebudowa transgranicznych połączeń gazowych sprzyjać będzie budowie wspólnego rynku gazu i zwiększaniu poziomu bezpieczeństwa energetycznego na obszarze makroregionu, poprzez dywersyfikację dostaw tego nośnika oraz budowie wspólnego rynku gazu na poziomie UE.</w:t>
      </w:r>
    </w:p>
    <w:p w14:paraId="7F185B0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64695896" w14:textId="50A24047" w:rsidR="004E3242" w:rsidRPr="004E3242" w:rsidRDefault="004E3242" w:rsidP="004E3242">
      <w:pPr>
        <w:widowControl w:val="0"/>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W ramach priorytetu inwestycyjnego wsparciem objęte zostaną projekty wyłaniane w trybie postępowania pozakonkursowego, </w:t>
      </w:r>
      <w:r w:rsidR="00BA4135" w:rsidRPr="00B804B6">
        <w:rPr>
          <w:rFonts w:ascii="Arial" w:hAnsi="Arial" w:cs="Arial"/>
          <w:sz w:val="20"/>
          <w:szCs w:val="20"/>
        </w:rPr>
        <w:t xml:space="preserve">w tym także te, </w:t>
      </w:r>
      <w:r w:rsidRPr="004E3242">
        <w:rPr>
          <w:rFonts w:ascii="Arial" w:hAnsi="Arial" w:cs="Arial"/>
          <w:sz w:val="20"/>
          <w:szCs w:val="20"/>
        </w:rPr>
        <w:t xml:space="preserve">które zostały przygotowane w tzw. formule </w:t>
      </w:r>
      <w:proofErr w:type="spellStart"/>
      <w:r w:rsidRPr="004E3242">
        <w:rPr>
          <w:rFonts w:ascii="Arial" w:hAnsi="Arial" w:cs="Arial"/>
          <w:i/>
          <w:sz w:val="20"/>
          <w:szCs w:val="20"/>
        </w:rPr>
        <w:t>project</w:t>
      </w:r>
      <w:proofErr w:type="spellEnd"/>
      <w:r w:rsidRPr="004E3242">
        <w:rPr>
          <w:rFonts w:ascii="Arial" w:hAnsi="Arial" w:cs="Arial"/>
          <w:i/>
          <w:sz w:val="20"/>
          <w:szCs w:val="20"/>
        </w:rPr>
        <w:t xml:space="preserve"> </w:t>
      </w:r>
      <w:proofErr w:type="spellStart"/>
      <w:r w:rsidRPr="004E3242">
        <w:rPr>
          <w:rFonts w:ascii="Arial" w:hAnsi="Arial" w:cs="Arial"/>
          <w:i/>
          <w:sz w:val="20"/>
          <w:szCs w:val="20"/>
        </w:rPr>
        <w:t>pipeline</w:t>
      </w:r>
      <w:proofErr w:type="spellEnd"/>
      <w:r w:rsidRPr="004E3242">
        <w:rPr>
          <w:rFonts w:ascii="Arial" w:hAnsi="Arial" w:cs="Arial"/>
          <w:sz w:val="20"/>
          <w:szCs w:val="20"/>
        </w:rPr>
        <w:t xml:space="preserve">. Zastosowanie ww. trybu ze względu na specyfikę obszaru wsparcia umożliwi precyzyjne skierowanie środków na zdiagnozowane potrzeby dotyczące infrastruktury energetycznej oraz przyczyni się </w:t>
      </w:r>
      <w:r w:rsidRPr="004E3242">
        <w:rPr>
          <w:rFonts w:ascii="Arial" w:hAnsi="Arial" w:cs="Arial"/>
          <w:sz w:val="20"/>
          <w:szCs w:val="20"/>
        </w:rPr>
        <w:br/>
        <w:t xml:space="preserve">w optymalny sposób do osiągnięcia celu priorytetu inwestycyjnego, tj. wzrostu bezpieczeństwa energetycznego. </w:t>
      </w:r>
      <w:r w:rsidR="00BA4135" w:rsidRPr="00DE7EA4">
        <w:rPr>
          <w:rFonts w:ascii="Arial" w:hAnsi="Arial" w:cs="Arial"/>
          <w:sz w:val="20"/>
          <w:szCs w:val="20"/>
        </w:rPr>
        <w:t>Dopuszczalny jest także wybór projektów w trybie konkursowym</w:t>
      </w:r>
      <w:r w:rsidR="00BA4135">
        <w:rPr>
          <w:rFonts w:ascii="Arial" w:hAnsi="Arial" w:cs="Arial"/>
          <w:sz w:val="20"/>
          <w:szCs w:val="20"/>
        </w:rPr>
        <w:t>.</w:t>
      </w:r>
    </w:p>
    <w:p w14:paraId="3878571F" w14:textId="77777777" w:rsidR="004E3242" w:rsidRPr="004E3242" w:rsidRDefault="004E3242" w:rsidP="004E3242">
      <w:pPr>
        <w:widowControl w:val="0"/>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Dla projektów realizowanych w ramach przedmiotowego priorytetu inwestycyjnego nie planuje się wprowadzenia obligatoryjnego wymogu, dotyczącego zwiększenia możliwości przyłączania nowych odnawialnych źródeł do sieci elektroenergetycznej, jednakże takie projekty będą traktowane w sposób preferencyjny na etapie oceny.</w:t>
      </w:r>
    </w:p>
    <w:p w14:paraId="7BB317ED"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Projekty energetyczne ujęte na liście PCI (Project of </w:t>
      </w:r>
      <w:proofErr w:type="spellStart"/>
      <w:r w:rsidRPr="004E3242">
        <w:rPr>
          <w:rFonts w:ascii="Arial" w:hAnsi="Arial" w:cs="Arial"/>
          <w:sz w:val="20"/>
          <w:szCs w:val="20"/>
        </w:rPr>
        <w:t>Common</w:t>
      </w:r>
      <w:proofErr w:type="spellEnd"/>
      <w:r w:rsidRPr="004E3242">
        <w:rPr>
          <w:rFonts w:ascii="Arial" w:hAnsi="Arial" w:cs="Arial"/>
          <w:sz w:val="20"/>
          <w:szCs w:val="20"/>
        </w:rPr>
        <w:t xml:space="preserve"> </w:t>
      </w:r>
      <w:proofErr w:type="spellStart"/>
      <w:r w:rsidRPr="004E3242">
        <w:rPr>
          <w:rFonts w:ascii="Arial" w:hAnsi="Arial" w:cs="Arial"/>
          <w:sz w:val="20"/>
          <w:szCs w:val="20"/>
        </w:rPr>
        <w:t>Interest</w:t>
      </w:r>
      <w:proofErr w:type="spellEnd"/>
      <w:r w:rsidRPr="004E3242">
        <w:rPr>
          <w:rFonts w:ascii="Arial" w:hAnsi="Arial" w:cs="Arial"/>
          <w:sz w:val="20"/>
          <w:szCs w:val="20"/>
        </w:rPr>
        <w:t xml:space="preserve">) będą mogły ubiegać się </w:t>
      </w:r>
      <w:r w:rsidRPr="004E3242">
        <w:rPr>
          <w:rFonts w:ascii="Arial" w:hAnsi="Arial" w:cs="Arial"/>
          <w:sz w:val="20"/>
          <w:szCs w:val="20"/>
        </w:rPr>
        <w:br/>
        <w:t>o dofinansowanie w ramach instrument KE Łącząc Europe (</w:t>
      </w:r>
      <w:proofErr w:type="spellStart"/>
      <w:r w:rsidRPr="004E3242">
        <w:rPr>
          <w:rFonts w:ascii="Arial" w:hAnsi="Arial" w:cs="Arial"/>
          <w:sz w:val="20"/>
          <w:szCs w:val="20"/>
        </w:rPr>
        <w:t>Connecting</w:t>
      </w:r>
      <w:proofErr w:type="spellEnd"/>
      <w:r w:rsidRPr="004E3242">
        <w:rPr>
          <w:rFonts w:ascii="Arial" w:hAnsi="Arial" w:cs="Arial"/>
          <w:sz w:val="20"/>
          <w:szCs w:val="20"/>
        </w:rPr>
        <w:t xml:space="preserve"> </w:t>
      </w:r>
      <w:proofErr w:type="spellStart"/>
      <w:r w:rsidRPr="004E3242">
        <w:rPr>
          <w:rFonts w:ascii="Arial" w:hAnsi="Arial" w:cs="Arial"/>
          <w:sz w:val="20"/>
          <w:szCs w:val="20"/>
        </w:rPr>
        <w:t>EuropeFacility</w:t>
      </w:r>
      <w:proofErr w:type="spellEnd"/>
      <w:r w:rsidRPr="004E3242">
        <w:rPr>
          <w:rFonts w:ascii="Arial" w:hAnsi="Arial" w:cs="Arial"/>
          <w:sz w:val="20"/>
          <w:szCs w:val="20"/>
        </w:rPr>
        <w:t xml:space="preserve"> – CEF).  </w:t>
      </w:r>
      <w:r w:rsidRPr="004E3242">
        <w:rPr>
          <w:rFonts w:ascii="Arial" w:hAnsi="Arial" w:cs="Arial"/>
          <w:sz w:val="20"/>
          <w:szCs w:val="20"/>
        </w:rPr>
        <w:br/>
        <w:t xml:space="preserve">W przypadku nie otrzymania wsparcia ze środków CEF projekty te będą mogły ubiegać się </w:t>
      </w:r>
      <w:r w:rsidRPr="004E3242">
        <w:rPr>
          <w:rFonts w:ascii="Arial" w:hAnsi="Arial" w:cs="Arial"/>
          <w:sz w:val="20"/>
          <w:szCs w:val="20"/>
        </w:rPr>
        <w:br/>
        <w:t>o dofinansowanie w ramach POIS pod warunkiem spełniania założeń Umowy Partnerstwa.</w:t>
      </w:r>
    </w:p>
    <w:p w14:paraId="20A9CCDF" w14:textId="77777777" w:rsidR="004E3242" w:rsidRDefault="004E3242" w:rsidP="004E3242">
      <w:pPr>
        <w:widowControl w:val="0"/>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priorytetu inwestycyjnego. Kryteria będą precyzyjne, mierzalne i obiektywne. </w:t>
      </w:r>
      <w:r w:rsidRPr="004E3242">
        <w:rPr>
          <w:rFonts w:ascii="Arial" w:hAnsi="Arial" w:cs="Arial"/>
          <w:spacing w:val="4"/>
          <w:sz w:val="20"/>
        </w:rPr>
        <w:t xml:space="preserve">Dodatkowo dopuszcza się możliwość nadania </w:t>
      </w:r>
      <w:r w:rsidRPr="004E3242">
        <w:rPr>
          <w:rFonts w:ascii="Arial" w:hAnsi="Arial" w:cs="Arial"/>
          <w:sz w:val="20"/>
          <w:szCs w:val="20"/>
        </w:rPr>
        <w:t>kryteriom merytorycznym odpowiedniej punktacji oraz określonych wag punktowych.</w:t>
      </w:r>
    </w:p>
    <w:p w14:paraId="2D253E89" w14:textId="77777777" w:rsidR="00684EE4" w:rsidRPr="004E3242" w:rsidRDefault="005E530E" w:rsidP="004E3242">
      <w:pPr>
        <w:widowControl w:val="0"/>
        <w:autoSpaceDE w:val="0"/>
        <w:autoSpaceDN w:val="0"/>
        <w:adjustRightInd w:val="0"/>
        <w:spacing w:before="120" w:after="120"/>
        <w:jc w:val="both"/>
        <w:rPr>
          <w:rFonts w:ascii="Arial" w:hAnsi="Arial" w:cs="Arial"/>
          <w:sz w:val="20"/>
          <w:szCs w:val="20"/>
        </w:rPr>
      </w:pPr>
      <w:r w:rsidRPr="005E530E">
        <w:rPr>
          <w:rFonts w:ascii="Arial" w:hAnsi="Arial" w:cs="Arial"/>
          <w:sz w:val="20"/>
          <w:szCs w:val="20"/>
        </w:rPr>
        <w:t xml:space="preserve">Szczegółowe informacje nt. założeń koordynacji i podziału interwencji pomiędzy </w:t>
      </w:r>
      <w:proofErr w:type="spellStart"/>
      <w:r w:rsidRPr="005E530E">
        <w:rPr>
          <w:rFonts w:ascii="Arial" w:hAnsi="Arial" w:cs="Arial"/>
          <w:sz w:val="20"/>
          <w:szCs w:val="20"/>
        </w:rPr>
        <w:t>POIiŚ</w:t>
      </w:r>
      <w:proofErr w:type="spellEnd"/>
      <w:r w:rsidRPr="005E530E">
        <w:rPr>
          <w:rFonts w:ascii="Arial" w:hAnsi="Arial" w:cs="Arial"/>
          <w:sz w:val="20"/>
          <w:szCs w:val="20"/>
        </w:rPr>
        <w:t xml:space="preserve"> a innymi programami i instrumentami wsparcia opisane zostały w rozdziale 8 </w:t>
      </w:r>
      <w:proofErr w:type="spellStart"/>
      <w:r w:rsidRPr="005E530E">
        <w:rPr>
          <w:rFonts w:ascii="Arial" w:hAnsi="Arial" w:cs="Arial"/>
          <w:sz w:val="20"/>
          <w:szCs w:val="20"/>
        </w:rPr>
        <w:t>POIiŚ</w:t>
      </w:r>
      <w:proofErr w:type="spellEnd"/>
      <w:r w:rsidRPr="005E530E">
        <w:rPr>
          <w:rFonts w:ascii="Arial" w:hAnsi="Arial" w:cs="Arial"/>
          <w:sz w:val="20"/>
          <w:szCs w:val="20"/>
        </w:rPr>
        <w:t>.</w:t>
      </w:r>
    </w:p>
    <w:p w14:paraId="08DCD81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1B5B181E" w14:textId="77777777" w:rsidR="004E3242" w:rsidRPr="004E3242" w:rsidRDefault="004E3242" w:rsidP="004E3242">
      <w:pPr>
        <w:widowControl w:val="0"/>
        <w:autoSpaceDE w:val="0"/>
        <w:autoSpaceDN w:val="0"/>
        <w:adjustRightInd w:val="0"/>
        <w:spacing w:before="120" w:after="120"/>
        <w:jc w:val="both"/>
        <w:rPr>
          <w:rFonts w:ascii="Arial" w:hAnsi="Arial" w:cs="Arial"/>
          <w:sz w:val="20"/>
          <w:szCs w:val="20"/>
        </w:rPr>
      </w:pPr>
      <w:r w:rsidRPr="004E3242">
        <w:rPr>
          <w:rFonts w:ascii="Arial" w:hAnsi="Arial" w:cs="Arial"/>
          <w:spacing w:val="4"/>
          <w:sz w:val="20"/>
          <w:szCs w:val="20"/>
        </w:rPr>
        <w:t>W ramach priorytetu inwestycyjnego nie przewiduje się wsparcia w formie instrumentów finansowych</w:t>
      </w:r>
      <w:r w:rsidRPr="004E3242">
        <w:rPr>
          <w:rFonts w:ascii="Arial" w:hAnsi="Arial" w:cs="Arial"/>
          <w:sz w:val="20"/>
          <w:szCs w:val="20"/>
        </w:rPr>
        <w:t>. Priorytet objęty jest zasadami pomocy publicznej.</w:t>
      </w:r>
    </w:p>
    <w:p w14:paraId="10B8F2FF" w14:textId="77777777" w:rsidR="004E3242" w:rsidRPr="004E3242" w:rsidRDefault="004E3242" w:rsidP="004E3242">
      <w:pPr>
        <w:widowControl w:val="0"/>
        <w:autoSpaceDE w:val="0"/>
        <w:autoSpaceDN w:val="0"/>
        <w:adjustRightInd w:val="0"/>
        <w:spacing w:after="120"/>
        <w:jc w:val="both"/>
        <w:rPr>
          <w:rFonts w:ascii="Arial" w:hAnsi="Arial" w:cs="Arial"/>
          <w:sz w:val="20"/>
          <w:szCs w:val="20"/>
        </w:rPr>
      </w:pPr>
      <w:r w:rsidRPr="004E3242">
        <w:t xml:space="preserve">W </w:t>
      </w:r>
      <w:r w:rsidRPr="004E3242">
        <w:rPr>
          <w:rFonts w:ascii="Arial" w:hAnsi="Arial" w:cs="Arial"/>
          <w:sz w:val="20"/>
          <w:szCs w:val="20"/>
        </w:rPr>
        <w:t xml:space="preserve">przypadku operatorów </w:t>
      </w:r>
      <w:proofErr w:type="spellStart"/>
      <w:r w:rsidRPr="004E3242">
        <w:rPr>
          <w:rFonts w:ascii="Arial" w:hAnsi="Arial" w:cs="Arial"/>
          <w:sz w:val="20"/>
          <w:szCs w:val="20"/>
        </w:rPr>
        <w:t>przesyłu</w:t>
      </w:r>
      <w:proofErr w:type="spellEnd"/>
      <w:r w:rsidRPr="004E3242">
        <w:rPr>
          <w:rFonts w:ascii="Arial" w:hAnsi="Arial" w:cs="Arial"/>
          <w:sz w:val="20"/>
          <w:szCs w:val="20"/>
        </w:rPr>
        <w:t xml:space="preserve">, dystrybucji, a także </w:t>
      </w:r>
      <w:r w:rsidRPr="004E3242">
        <w:rPr>
          <w:rFonts w:ascii="Arial" w:hAnsi="Arial" w:cs="Arial"/>
          <w:spacing w:val="4"/>
          <w:sz w:val="20"/>
          <w:szCs w:val="20"/>
        </w:rPr>
        <w:t>terminala LNG</w:t>
      </w:r>
      <w:r w:rsidRPr="004E3242">
        <w:rPr>
          <w:rFonts w:ascii="Arial" w:hAnsi="Arial" w:cs="Arial"/>
          <w:sz w:val="20"/>
          <w:szCs w:val="20"/>
        </w:rPr>
        <w:t xml:space="preserve"> – podmiotów w pełni regulowanych, najbardziej właściwym instrumentem zapewniającym ograniczenie podnoszenia opłat przesyłowych, dystrybucyjnych, </w:t>
      </w:r>
      <w:r w:rsidR="00E3377E">
        <w:rPr>
          <w:rFonts w:ascii="Arial" w:hAnsi="Arial" w:cs="Arial"/>
          <w:sz w:val="20"/>
          <w:szCs w:val="20"/>
        </w:rPr>
        <w:t xml:space="preserve">dla </w:t>
      </w:r>
      <w:r w:rsidRPr="004E3242">
        <w:rPr>
          <w:rFonts w:ascii="Arial" w:hAnsi="Arial" w:cs="Arial"/>
          <w:sz w:val="20"/>
          <w:szCs w:val="20"/>
        </w:rPr>
        <w:t>uczestników rynku energii są bezpośrednie dotacje bezzwrotne, przy uwzględnieniu obowiązujących zasad pomocy publicznej dla realizowanych przedsięwzięć.</w:t>
      </w:r>
    </w:p>
    <w:p w14:paraId="224EC7A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Zakres wykorzystania dużych projektów</w:t>
      </w:r>
    </w:p>
    <w:p w14:paraId="434F03AD"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Na etapie programowania zostały zidentyfikowane potencjalne duże projekty, zgodnie z art. 100 rozporządzenia ogólnego. Projekty te zostaną przedłożone do notyfikacji bądź do zatwierdzenia przez KE w terminach określonych w Rozdziale 12. Termin zawarcia pierwszej umowy na wykonanie prac lub podpisania umowy PPP (o ile właściwe), jest/będzie zgodny z art. 102 ust. 3 rozporządzenia ogólnego. Po przygotowaniu kompletnej dokumentacji projektowej możliwe będzie precyzyjne określenie zakresu rzeczowego oraz szacowanych kosztów tych projektów.</w:t>
      </w:r>
    </w:p>
    <w:p w14:paraId="494CD6CB"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Realizacja dużych projektów w znaczący sposób przyczyni się do osiągnięcia celów szczegółowych danego priorytetu inwestycyjnego, tj. zwiększenia bezpieczeństwa energetycznego kraju, poprzez rozwój infrastruktury w sektorze gazowym i elektroenergetycznym. W wyniku realizacji przedmiotowych inwestycji nastąpi wzrost możliwości</w:t>
      </w:r>
      <w:r w:rsidR="00E3377E" w:rsidRPr="00E3377E">
        <w:t xml:space="preserve"> </w:t>
      </w:r>
      <w:proofErr w:type="spellStart"/>
      <w:r w:rsidRPr="004E3242">
        <w:rPr>
          <w:rFonts w:ascii="Arial" w:eastAsia="Cambria" w:hAnsi="Arial" w:cs="Arial"/>
          <w:spacing w:val="4"/>
          <w:sz w:val="20"/>
          <w:szCs w:val="20"/>
        </w:rPr>
        <w:t>przesyłu</w:t>
      </w:r>
      <w:proofErr w:type="spellEnd"/>
      <w:r w:rsidRPr="004E3242">
        <w:rPr>
          <w:rFonts w:ascii="Arial" w:eastAsia="Cambria" w:hAnsi="Arial" w:cs="Arial"/>
          <w:spacing w:val="4"/>
          <w:sz w:val="20"/>
          <w:szCs w:val="20"/>
        </w:rPr>
        <w:t xml:space="preserve"> gazu oraz energii elektrycznej.</w:t>
      </w:r>
    </w:p>
    <w:p w14:paraId="23D90682" w14:textId="77777777" w:rsidR="004E3242" w:rsidRPr="004E3242" w:rsidRDefault="004E3242" w:rsidP="004E3242">
      <w:pPr>
        <w:spacing w:before="120" w:after="120"/>
        <w:jc w:val="both"/>
        <w:rPr>
          <w:rFonts w:ascii="Arial" w:eastAsia="Cambria" w:hAnsi="Arial" w:cs="Arial"/>
          <w:spacing w:val="4"/>
          <w:sz w:val="20"/>
          <w:szCs w:val="20"/>
        </w:rPr>
      </w:pPr>
      <w:r w:rsidRPr="004E3242">
        <w:rPr>
          <w:rFonts w:ascii="Arial" w:eastAsia="Cambria" w:hAnsi="Arial" w:cs="Arial"/>
          <w:spacing w:val="4"/>
          <w:sz w:val="20"/>
          <w:szCs w:val="20"/>
        </w:rPr>
        <w:t>Jednocześnie nie można wykluczyć, że projekty duże zostaną zidentyfikowane również na etapie wdrażania.</w:t>
      </w:r>
    </w:p>
    <w:p w14:paraId="57DB7E1F"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1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2551"/>
        <w:gridCol w:w="986"/>
        <w:gridCol w:w="858"/>
        <w:gridCol w:w="1133"/>
        <w:gridCol w:w="994"/>
        <w:gridCol w:w="984"/>
        <w:gridCol w:w="1281"/>
      </w:tblGrid>
      <w:tr w:rsidR="004E3242" w:rsidRPr="004E3242" w14:paraId="62EFCB9A" w14:textId="77777777" w:rsidTr="00AA7998">
        <w:tc>
          <w:tcPr>
            <w:tcW w:w="286" w:type="pct"/>
            <w:shd w:val="clear" w:color="auto" w:fill="99CC00"/>
            <w:vAlign w:val="center"/>
          </w:tcPr>
          <w:p w14:paraId="1A823D63"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368" w:type="pct"/>
            <w:shd w:val="clear" w:color="auto" w:fill="99CC00"/>
            <w:vAlign w:val="center"/>
          </w:tcPr>
          <w:p w14:paraId="1179B57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9" w:type="pct"/>
            <w:shd w:val="clear" w:color="auto" w:fill="99CC00"/>
            <w:vAlign w:val="center"/>
          </w:tcPr>
          <w:p w14:paraId="0532658E"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60" w:type="pct"/>
            <w:shd w:val="clear" w:color="auto" w:fill="99CC00"/>
            <w:vAlign w:val="center"/>
          </w:tcPr>
          <w:p w14:paraId="796EA038"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608" w:type="pct"/>
            <w:shd w:val="clear" w:color="auto" w:fill="99CC00"/>
            <w:vAlign w:val="center"/>
          </w:tcPr>
          <w:p w14:paraId="240587EB"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3" w:type="pct"/>
            <w:shd w:val="clear" w:color="auto" w:fill="99CC00"/>
            <w:vAlign w:val="center"/>
          </w:tcPr>
          <w:p w14:paraId="033C1AB7"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28" w:type="pct"/>
            <w:shd w:val="clear" w:color="auto" w:fill="99CC00"/>
            <w:vAlign w:val="center"/>
          </w:tcPr>
          <w:p w14:paraId="33D997E0"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87" w:type="pct"/>
            <w:shd w:val="clear" w:color="auto" w:fill="99CC00"/>
            <w:vAlign w:val="center"/>
          </w:tcPr>
          <w:p w14:paraId="3DA44B7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7A7A6D2" w14:textId="77777777" w:rsidTr="00AA7998">
        <w:tc>
          <w:tcPr>
            <w:tcW w:w="286" w:type="pct"/>
            <w:vMerge w:val="restart"/>
            <w:shd w:val="clear" w:color="auto" w:fill="F2F2F2"/>
            <w:vAlign w:val="center"/>
          </w:tcPr>
          <w:p w14:paraId="2462B5B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368" w:type="pct"/>
            <w:vMerge w:val="restart"/>
            <w:shd w:val="clear" w:color="auto" w:fill="F2F2F2"/>
            <w:vAlign w:val="center"/>
          </w:tcPr>
          <w:p w14:paraId="79E17D4C"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t>Długość nowo wybudowanych lub zmodernizowanych gazociągów przesyłowych lub dystrybucyjnych</w:t>
            </w:r>
          </w:p>
        </w:tc>
        <w:tc>
          <w:tcPr>
            <w:tcW w:w="529" w:type="pct"/>
            <w:vMerge w:val="restart"/>
            <w:shd w:val="clear" w:color="auto" w:fill="F2F2F2"/>
            <w:vAlign w:val="center"/>
          </w:tcPr>
          <w:p w14:paraId="5A90D4A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Km</w:t>
            </w:r>
          </w:p>
        </w:tc>
        <w:tc>
          <w:tcPr>
            <w:tcW w:w="460" w:type="pct"/>
            <w:vMerge w:val="restart"/>
            <w:shd w:val="clear" w:color="auto" w:fill="F2F2F2"/>
            <w:vAlign w:val="center"/>
          </w:tcPr>
          <w:p w14:paraId="013BEBA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72CC5AB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3" w:type="pct"/>
            <w:shd w:val="clear" w:color="auto" w:fill="F2F2F2"/>
            <w:vAlign w:val="center"/>
          </w:tcPr>
          <w:p w14:paraId="24C0A0F5" w14:textId="77777777" w:rsidR="00E3377E" w:rsidRDefault="00E3377E" w:rsidP="004E3242">
            <w:pPr>
              <w:autoSpaceDE w:val="0"/>
              <w:autoSpaceDN w:val="0"/>
              <w:adjustRightInd w:val="0"/>
              <w:spacing w:before="60" w:after="60" w:line="240" w:lineRule="auto"/>
              <w:jc w:val="center"/>
              <w:rPr>
                <w:rFonts w:ascii="Arial" w:hAnsi="Arial" w:cs="Arial"/>
                <w:spacing w:val="4"/>
                <w:sz w:val="16"/>
                <w:szCs w:val="16"/>
              </w:rPr>
            </w:pPr>
          </w:p>
          <w:p w14:paraId="0CEB95DF" w14:textId="77777777" w:rsidR="004E3242" w:rsidRPr="004E3242" w:rsidRDefault="005E7A41"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1 135</w:t>
            </w:r>
          </w:p>
        </w:tc>
        <w:tc>
          <w:tcPr>
            <w:tcW w:w="528" w:type="pct"/>
            <w:shd w:val="clear" w:color="auto" w:fill="F2F2F2"/>
            <w:vAlign w:val="center"/>
          </w:tcPr>
          <w:p w14:paraId="44E14EB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87" w:type="pct"/>
            <w:shd w:val="clear" w:color="auto" w:fill="F2F2F2"/>
            <w:vAlign w:val="center"/>
          </w:tcPr>
          <w:p w14:paraId="1294F5D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254264B2" w14:textId="77777777" w:rsidTr="00AA7998">
        <w:tc>
          <w:tcPr>
            <w:tcW w:w="286" w:type="pct"/>
            <w:vMerge/>
            <w:shd w:val="clear" w:color="auto" w:fill="F2F2F2"/>
            <w:vAlign w:val="center"/>
          </w:tcPr>
          <w:p w14:paraId="75B7BA3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1368" w:type="pct"/>
            <w:vMerge/>
            <w:shd w:val="clear" w:color="auto" w:fill="F2F2F2"/>
            <w:vAlign w:val="center"/>
          </w:tcPr>
          <w:p w14:paraId="246F36BB" w14:textId="77777777" w:rsidR="004E3242" w:rsidRPr="004E3242" w:rsidRDefault="004E3242" w:rsidP="004E3242">
            <w:pPr>
              <w:autoSpaceDE w:val="0"/>
              <w:autoSpaceDN w:val="0"/>
              <w:adjustRightInd w:val="0"/>
              <w:spacing w:before="60" w:after="60" w:line="240" w:lineRule="auto"/>
              <w:jc w:val="both"/>
              <w:rPr>
                <w:rFonts w:ascii="Arial" w:hAnsi="Arial" w:cs="Arial"/>
                <w:sz w:val="16"/>
                <w:szCs w:val="16"/>
              </w:rPr>
            </w:pPr>
          </w:p>
        </w:tc>
        <w:tc>
          <w:tcPr>
            <w:tcW w:w="529" w:type="pct"/>
            <w:vMerge/>
            <w:shd w:val="clear" w:color="auto" w:fill="F2F2F2"/>
            <w:vAlign w:val="center"/>
          </w:tcPr>
          <w:p w14:paraId="599375AE"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p>
        </w:tc>
        <w:tc>
          <w:tcPr>
            <w:tcW w:w="460" w:type="pct"/>
            <w:vMerge/>
            <w:shd w:val="clear" w:color="auto" w:fill="F2F2F2"/>
            <w:vAlign w:val="center"/>
          </w:tcPr>
          <w:p w14:paraId="09167493"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608" w:type="pct"/>
            <w:shd w:val="clear" w:color="auto" w:fill="F2F2F2"/>
            <w:vAlign w:val="center"/>
          </w:tcPr>
          <w:p w14:paraId="3D82CF2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3" w:type="pct"/>
            <w:shd w:val="clear" w:color="auto" w:fill="F2F2F2"/>
            <w:vAlign w:val="center"/>
          </w:tcPr>
          <w:p w14:paraId="5E518A91" w14:textId="77777777" w:rsidR="00E3377E" w:rsidRDefault="00E3377E" w:rsidP="004E3242">
            <w:pPr>
              <w:autoSpaceDE w:val="0"/>
              <w:autoSpaceDN w:val="0"/>
              <w:adjustRightInd w:val="0"/>
              <w:spacing w:before="60" w:after="60" w:line="240" w:lineRule="auto"/>
              <w:jc w:val="center"/>
              <w:rPr>
                <w:rFonts w:ascii="Arial" w:hAnsi="Arial" w:cs="Arial"/>
                <w:spacing w:val="4"/>
                <w:sz w:val="16"/>
                <w:szCs w:val="16"/>
              </w:rPr>
            </w:pPr>
          </w:p>
          <w:p w14:paraId="793DCB7E" w14:textId="77777777" w:rsidR="004E3242" w:rsidRPr="004E3242" w:rsidDel="00693F9E" w:rsidRDefault="005E7A41"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173</w:t>
            </w:r>
          </w:p>
        </w:tc>
        <w:tc>
          <w:tcPr>
            <w:tcW w:w="528" w:type="pct"/>
            <w:shd w:val="clear" w:color="auto" w:fill="F2F2F2"/>
            <w:vAlign w:val="center"/>
          </w:tcPr>
          <w:p w14:paraId="52B4936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87" w:type="pct"/>
            <w:shd w:val="clear" w:color="auto" w:fill="F2F2F2"/>
            <w:vAlign w:val="center"/>
          </w:tcPr>
          <w:p w14:paraId="7488200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7D9AA4A" w14:textId="77777777" w:rsidTr="00AA7998">
        <w:tc>
          <w:tcPr>
            <w:tcW w:w="286" w:type="pct"/>
            <w:vMerge w:val="restart"/>
            <w:shd w:val="clear" w:color="auto" w:fill="F2F2F2"/>
            <w:vAlign w:val="center"/>
          </w:tcPr>
          <w:p w14:paraId="7F1DCFB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368" w:type="pct"/>
            <w:vMerge w:val="restart"/>
            <w:shd w:val="clear" w:color="auto" w:fill="F2F2F2"/>
            <w:vAlign w:val="center"/>
          </w:tcPr>
          <w:p w14:paraId="35B66B29"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br w:type="page"/>
              <w:t>Długość nowo wybudowanych lub zmodernizowanych elektroenergetycznych sieci przesyłowych</w:t>
            </w:r>
            <w:r w:rsidRPr="004E3242">
              <w:rPr>
                <w:rFonts w:ascii="Arial" w:hAnsi="Arial" w:cs="Arial"/>
                <w:sz w:val="16"/>
                <w:szCs w:val="16"/>
              </w:rPr>
              <w:br w:type="page"/>
              <w:t xml:space="preserve"> lub dystrybucyjnych</w:t>
            </w:r>
          </w:p>
        </w:tc>
        <w:tc>
          <w:tcPr>
            <w:tcW w:w="529" w:type="pct"/>
            <w:vMerge w:val="restart"/>
            <w:shd w:val="clear" w:color="auto" w:fill="F2F2F2"/>
            <w:vAlign w:val="center"/>
          </w:tcPr>
          <w:p w14:paraId="3239C90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Km</w:t>
            </w:r>
          </w:p>
        </w:tc>
        <w:tc>
          <w:tcPr>
            <w:tcW w:w="460" w:type="pct"/>
            <w:vMerge w:val="restart"/>
            <w:shd w:val="clear" w:color="auto" w:fill="F2F2F2"/>
            <w:vAlign w:val="center"/>
          </w:tcPr>
          <w:p w14:paraId="6DE2EAA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355147A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3" w:type="pct"/>
            <w:shd w:val="clear" w:color="auto" w:fill="F2F2F2"/>
            <w:vAlign w:val="center"/>
          </w:tcPr>
          <w:p w14:paraId="0A36F863" w14:textId="77777777" w:rsidR="000039BD" w:rsidRDefault="000039BD" w:rsidP="004E3242">
            <w:pPr>
              <w:autoSpaceDE w:val="0"/>
              <w:autoSpaceDN w:val="0"/>
              <w:adjustRightInd w:val="0"/>
              <w:spacing w:before="60" w:after="60" w:line="240" w:lineRule="auto"/>
              <w:jc w:val="center"/>
              <w:rPr>
                <w:rFonts w:ascii="Arial" w:hAnsi="Arial" w:cs="Arial"/>
                <w:spacing w:val="4"/>
                <w:sz w:val="16"/>
                <w:szCs w:val="16"/>
              </w:rPr>
            </w:pPr>
          </w:p>
          <w:p w14:paraId="79E3A735" w14:textId="77777777" w:rsidR="004E3242" w:rsidRPr="004E3242" w:rsidRDefault="005E7A41"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670</w:t>
            </w:r>
          </w:p>
        </w:tc>
        <w:tc>
          <w:tcPr>
            <w:tcW w:w="528" w:type="pct"/>
            <w:shd w:val="clear" w:color="auto" w:fill="F2F2F2"/>
            <w:vAlign w:val="center"/>
          </w:tcPr>
          <w:p w14:paraId="2D9293C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87" w:type="pct"/>
            <w:shd w:val="clear" w:color="auto" w:fill="F2F2F2"/>
            <w:vAlign w:val="center"/>
          </w:tcPr>
          <w:p w14:paraId="6B3B954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6B4F134" w14:textId="77777777" w:rsidTr="00AA7998">
        <w:tc>
          <w:tcPr>
            <w:tcW w:w="286" w:type="pct"/>
            <w:vMerge/>
            <w:shd w:val="clear" w:color="auto" w:fill="F2F2F2"/>
            <w:vAlign w:val="center"/>
          </w:tcPr>
          <w:p w14:paraId="2466C46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1368" w:type="pct"/>
            <w:vMerge/>
            <w:shd w:val="clear" w:color="auto" w:fill="F2F2F2"/>
            <w:vAlign w:val="center"/>
          </w:tcPr>
          <w:p w14:paraId="1589965C" w14:textId="77777777" w:rsidR="004E3242" w:rsidRPr="004E3242" w:rsidRDefault="004E3242" w:rsidP="004E3242">
            <w:pPr>
              <w:autoSpaceDE w:val="0"/>
              <w:autoSpaceDN w:val="0"/>
              <w:adjustRightInd w:val="0"/>
              <w:spacing w:before="60" w:after="60" w:line="240" w:lineRule="auto"/>
              <w:jc w:val="both"/>
              <w:rPr>
                <w:rFonts w:ascii="Arial" w:hAnsi="Arial" w:cs="Arial"/>
                <w:sz w:val="16"/>
                <w:szCs w:val="16"/>
              </w:rPr>
            </w:pPr>
          </w:p>
        </w:tc>
        <w:tc>
          <w:tcPr>
            <w:tcW w:w="529" w:type="pct"/>
            <w:vMerge/>
            <w:shd w:val="clear" w:color="auto" w:fill="F2F2F2"/>
            <w:vAlign w:val="center"/>
          </w:tcPr>
          <w:p w14:paraId="5A5A1353"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p>
        </w:tc>
        <w:tc>
          <w:tcPr>
            <w:tcW w:w="460" w:type="pct"/>
            <w:vMerge/>
            <w:shd w:val="clear" w:color="auto" w:fill="F2F2F2"/>
            <w:vAlign w:val="center"/>
          </w:tcPr>
          <w:p w14:paraId="4CA4311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608" w:type="pct"/>
            <w:shd w:val="clear" w:color="auto" w:fill="F2F2F2"/>
            <w:vAlign w:val="center"/>
          </w:tcPr>
          <w:p w14:paraId="51FB31D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3" w:type="pct"/>
            <w:shd w:val="clear" w:color="auto" w:fill="F2F2F2"/>
            <w:vAlign w:val="center"/>
          </w:tcPr>
          <w:p w14:paraId="2CB2F432" w14:textId="77777777" w:rsidR="000039BD" w:rsidRDefault="000039BD" w:rsidP="004E3242">
            <w:pPr>
              <w:autoSpaceDE w:val="0"/>
              <w:autoSpaceDN w:val="0"/>
              <w:adjustRightInd w:val="0"/>
              <w:spacing w:before="60" w:after="60" w:line="240" w:lineRule="auto"/>
              <w:jc w:val="center"/>
              <w:rPr>
                <w:rFonts w:ascii="Arial" w:hAnsi="Arial" w:cs="Arial"/>
                <w:spacing w:val="4"/>
                <w:sz w:val="16"/>
                <w:szCs w:val="16"/>
              </w:rPr>
            </w:pPr>
          </w:p>
          <w:p w14:paraId="684EF0C3" w14:textId="77777777" w:rsidR="004E3242" w:rsidRPr="004E3242" w:rsidDel="00693F9E" w:rsidRDefault="005E7A41" w:rsidP="004E3242">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183</w:t>
            </w:r>
          </w:p>
        </w:tc>
        <w:tc>
          <w:tcPr>
            <w:tcW w:w="528" w:type="pct"/>
            <w:shd w:val="clear" w:color="auto" w:fill="F2F2F2"/>
            <w:vAlign w:val="center"/>
          </w:tcPr>
          <w:p w14:paraId="3777576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87" w:type="pct"/>
            <w:shd w:val="clear" w:color="auto" w:fill="F2F2F2"/>
            <w:vAlign w:val="center"/>
          </w:tcPr>
          <w:p w14:paraId="78621B0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4A3FD941" w14:textId="77777777" w:rsidTr="00AA7998">
        <w:tc>
          <w:tcPr>
            <w:tcW w:w="286" w:type="pct"/>
            <w:shd w:val="clear" w:color="auto" w:fill="F2F2F2"/>
            <w:vAlign w:val="center"/>
          </w:tcPr>
          <w:p w14:paraId="4696415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1368" w:type="pct"/>
            <w:shd w:val="clear" w:color="auto" w:fill="F2F2F2"/>
            <w:vAlign w:val="center"/>
          </w:tcPr>
          <w:p w14:paraId="0D5489B6" w14:textId="77777777" w:rsidR="004E3242" w:rsidRPr="004E3242" w:rsidRDefault="004E3242" w:rsidP="004E3242">
            <w:pPr>
              <w:autoSpaceDE w:val="0"/>
              <w:autoSpaceDN w:val="0"/>
              <w:adjustRightInd w:val="0"/>
              <w:spacing w:before="60" w:after="60" w:line="240" w:lineRule="auto"/>
              <w:jc w:val="both"/>
              <w:rPr>
                <w:rFonts w:ascii="Arial" w:hAnsi="Arial" w:cs="Arial"/>
                <w:sz w:val="16"/>
                <w:szCs w:val="16"/>
              </w:rPr>
            </w:pPr>
            <w:r w:rsidRPr="004E3242">
              <w:rPr>
                <w:rFonts w:ascii="Arial" w:hAnsi="Arial" w:cs="Arial"/>
                <w:sz w:val="16"/>
                <w:szCs w:val="16"/>
              </w:rPr>
              <w:t>Dodatkowa roczna zdolność terminala LNG do odbioru gazu dostarczanego drogą morską</w:t>
            </w:r>
            <w:r w:rsidRPr="004E3242">
              <w:rPr>
                <w:rFonts w:ascii="Arial" w:hAnsi="Arial" w:cs="Arial"/>
                <w:sz w:val="16"/>
                <w:szCs w:val="16"/>
                <w:vertAlign w:val="superscript"/>
              </w:rPr>
              <w:footnoteReference w:id="87"/>
            </w:r>
          </w:p>
        </w:tc>
        <w:tc>
          <w:tcPr>
            <w:tcW w:w="529" w:type="pct"/>
            <w:shd w:val="clear" w:color="auto" w:fill="F2F2F2"/>
            <w:vAlign w:val="center"/>
          </w:tcPr>
          <w:p w14:paraId="7F33B0F4"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mln m</w:t>
            </w:r>
            <w:r w:rsidRPr="004E3242">
              <w:rPr>
                <w:rFonts w:ascii="Arial" w:hAnsi="Arial" w:cs="Arial"/>
                <w:sz w:val="16"/>
                <w:szCs w:val="16"/>
                <w:vertAlign w:val="superscript"/>
              </w:rPr>
              <w:t>3</w:t>
            </w:r>
          </w:p>
        </w:tc>
        <w:tc>
          <w:tcPr>
            <w:tcW w:w="460" w:type="pct"/>
            <w:shd w:val="clear" w:color="auto" w:fill="F2F2F2"/>
            <w:vAlign w:val="center"/>
          </w:tcPr>
          <w:p w14:paraId="7D18766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2E84221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3" w:type="pct"/>
            <w:shd w:val="clear" w:color="auto" w:fill="F2F2F2"/>
            <w:vAlign w:val="center"/>
          </w:tcPr>
          <w:p w14:paraId="1E1DAFB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2 400</w:t>
            </w:r>
          </w:p>
        </w:tc>
        <w:tc>
          <w:tcPr>
            <w:tcW w:w="528" w:type="pct"/>
            <w:shd w:val="clear" w:color="auto" w:fill="F2F2F2"/>
            <w:vAlign w:val="center"/>
          </w:tcPr>
          <w:p w14:paraId="73EBD38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687" w:type="pct"/>
            <w:shd w:val="clear" w:color="auto" w:fill="F2F2F2"/>
            <w:vAlign w:val="center"/>
          </w:tcPr>
          <w:p w14:paraId="391DE0A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0E7E7F1D" w14:textId="77777777" w:rsidR="004E3242" w:rsidRPr="004E3242" w:rsidRDefault="004E3242" w:rsidP="004E3242">
      <w:pPr>
        <w:spacing w:after="120" w:line="360" w:lineRule="auto"/>
        <w:jc w:val="both"/>
        <w:rPr>
          <w:rFonts w:ascii="Arial" w:hAnsi="Arial" w:cs="Arial"/>
          <w:b/>
          <w:spacing w:val="4"/>
          <w:sz w:val="20"/>
          <w:szCs w:val="20"/>
        </w:rPr>
        <w:sectPr w:rsidR="004E3242" w:rsidRPr="004E3242" w:rsidSect="00C73ABE">
          <w:pgSz w:w="11906" w:h="16838"/>
          <w:pgMar w:top="1418" w:right="1418" w:bottom="1418" w:left="1418" w:header="709" w:footer="709" w:gutter="0"/>
          <w:cols w:space="708"/>
          <w:titlePg/>
          <w:docGrid w:linePitch="360"/>
        </w:sectPr>
      </w:pPr>
    </w:p>
    <w:p w14:paraId="25DF2F9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Ramy wykonania</w:t>
      </w:r>
    </w:p>
    <w:tbl>
      <w:tblPr>
        <w:tblW w:w="5033" w:type="pct"/>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63"/>
        <w:gridCol w:w="1270"/>
        <w:gridCol w:w="2114"/>
        <w:gridCol w:w="711"/>
        <w:gridCol w:w="977"/>
        <w:gridCol w:w="986"/>
        <w:gridCol w:w="1267"/>
        <w:gridCol w:w="1412"/>
        <w:gridCol w:w="986"/>
        <w:gridCol w:w="5167"/>
      </w:tblGrid>
      <w:tr w:rsidR="004E3242" w:rsidRPr="004E3242" w14:paraId="3DCD8533" w14:textId="77777777" w:rsidTr="00AA7998">
        <w:tc>
          <w:tcPr>
            <w:tcW w:w="182" w:type="pct"/>
            <w:shd w:val="clear" w:color="auto" w:fill="99CC00"/>
            <w:vAlign w:val="center"/>
          </w:tcPr>
          <w:p w14:paraId="7E3256B9"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411" w:type="pct"/>
            <w:shd w:val="clear" w:color="auto" w:fill="99CC00"/>
            <w:vAlign w:val="center"/>
          </w:tcPr>
          <w:p w14:paraId="6C35FC5A"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684" w:type="pct"/>
            <w:shd w:val="clear" w:color="auto" w:fill="99CC00"/>
            <w:vAlign w:val="center"/>
          </w:tcPr>
          <w:p w14:paraId="6E1F005A"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230" w:type="pct"/>
            <w:shd w:val="clear" w:color="auto" w:fill="99CC00"/>
            <w:vAlign w:val="center"/>
          </w:tcPr>
          <w:p w14:paraId="365D800C"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 miary</w:t>
            </w:r>
          </w:p>
        </w:tc>
        <w:tc>
          <w:tcPr>
            <w:tcW w:w="316" w:type="pct"/>
            <w:shd w:val="clear" w:color="auto" w:fill="99CC00"/>
            <w:vAlign w:val="center"/>
          </w:tcPr>
          <w:p w14:paraId="3C060FDF"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319" w:type="pct"/>
            <w:shd w:val="clear" w:color="auto" w:fill="99CC00"/>
            <w:vAlign w:val="center"/>
          </w:tcPr>
          <w:p w14:paraId="4F9BAABD"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10" w:type="pct"/>
            <w:shd w:val="clear" w:color="auto" w:fill="99CC00"/>
            <w:vAlign w:val="center"/>
          </w:tcPr>
          <w:p w14:paraId="21F1EE80"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457" w:type="pct"/>
            <w:shd w:val="clear" w:color="auto" w:fill="99CC00"/>
            <w:vAlign w:val="center"/>
          </w:tcPr>
          <w:p w14:paraId="5957762C"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319" w:type="pct"/>
            <w:shd w:val="clear" w:color="auto" w:fill="99CC00"/>
            <w:vAlign w:val="center"/>
          </w:tcPr>
          <w:p w14:paraId="0B5D4F61"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672" w:type="pct"/>
            <w:shd w:val="clear" w:color="auto" w:fill="99CC00"/>
            <w:vAlign w:val="center"/>
          </w:tcPr>
          <w:p w14:paraId="15BAE41A"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22F64042" w14:textId="77777777" w:rsidTr="00AA7998">
        <w:trPr>
          <w:trHeight w:val="116"/>
        </w:trPr>
        <w:tc>
          <w:tcPr>
            <w:tcW w:w="182" w:type="pct"/>
            <w:vMerge w:val="restart"/>
            <w:shd w:val="clear" w:color="auto" w:fill="F2F2F2"/>
            <w:vAlign w:val="center"/>
          </w:tcPr>
          <w:p w14:paraId="107BC182"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1.</w:t>
            </w:r>
          </w:p>
        </w:tc>
        <w:tc>
          <w:tcPr>
            <w:tcW w:w="411" w:type="pct"/>
            <w:vMerge w:val="restart"/>
            <w:shd w:val="clear" w:color="auto" w:fill="F2F2F2"/>
            <w:vAlign w:val="center"/>
          </w:tcPr>
          <w:p w14:paraId="76BB52BE"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Wskaźnik finansowy</w:t>
            </w:r>
          </w:p>
        </w:tc>
        <w:tc>
          <w:tcPr>
            <w:tcW w:w="684" w:type="pct"/>
            <w:vMerge w:val="restart"/>
            <w:shd w:val="clear" w:color="auto" w:fill="F2F2F2"/>
            <w:vAlign w:val="center"/>
          </w:tcPr>
          <w:p w14:paraId="0B623DE9" w14:textId="77777777" w:rsidR="004E3242" w:rsidRPr="004E3242" w:rsidRDefault="004E3242" w:rsidP="004E3242">
            <w:pPr>
              <w:spacing w:before="20" w:after="20" w:line="240" w:lineRule="auto"/>
              <w:jc w:val="both"/>
              <w:rPr>
                <w:rFonts w:ascii="Arial" w:hAnsi="Arial" w:cs="Arial"/>
                <w:sz w:val="16"/>
                <w:szCs w:val="16"/>
              </w:rPr>
            </w:pPr>
            <w:r w:rsidRPr="004E3242">
              <w:rPr>
                <w:rFonts w:ascii="Arial" w:hAnsi="Arial" w:cs="Arial"/>
                <w:sz w:val="16"/>
                <w:szCs w:val="16"/>
              </w:rPr>
              <w:t>Całkowita kwota certyfikowanych wydatków kwalifikowalnych</w:t>
            </w:r>
            <w:r w:rsidRPr="004E3242">
              <w:rPr>
                <w:rFonts w:ascii="Arial" w:hAnsi="Arial" w:cs="Arial"/>
                <w:sz w:val="16"/>
                <w:szCs w:val="16"/>
                <w:vertAlign w:val="superscript"/>
              </w:rPr>
              <w:footnoteReference w:id="88"/>
            </w:r>
          </w:p>
        </w:tc>
        <w:tc>
          <w:tcPr>
            <w:tcW w:w="230" w:type="pct"/>
            <w:vMerge w:val="restart"/>
            <w:shd w:val="clear" w:color="auto" w:fill="F2F2F2"/>
            <w:vAlign w:val="center"/>
          </w:tcPr>
          <w:p w14:paraId="52EDC2EC"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EUR</w:t>
            </w:r>
          </w:p>
        </w:tc>
        <w:tc>
          <w:tcPr>
            <w:tcW w:w="316" w:type="pct"/>
            <w:vMerge w:val="restart"/>
            <w:shd w:val="clear" w:color="auto" w:fill="F2F2F2"/>
            <w:vAlign w:val="center"/>
          </w:tcPr>
          <w:p w14:paraId="065BC92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19" w:type="pct"/>
            <w:shd w:val="clear" w:color="auto" w:fill="F2F2F2"/>
            <w:vAlign w:val="center"/>
          </w:tcPr>
          <w:p w14:paraId="0A419D5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410" w:type="pct"/>
            <w:shd w:val="clear" w:color="auto" w:fill="F2F2F2"/>
            <w:vAlign w:val="center"/>
          </w:tcPr>
          <w:p w14:paraId="123DCBDB" w14:textId="77777777" w:rsidR="004E3242" w:rsidRPr="004E3242" w:rsidDel="00A06078" w:rsidRDefault="004E3242" w:rsidP="004E3242">
            <w:pPr>
              <w:spacing w:before="20" w:after="20" w:line="240" w:lineRule="auto"/>
              <w:jc w:val="center"/>
              <w:rPr>
                <w:rFonts w:ascii="Arial" w:hAnsi="Arial" w:cs="Arial"/>
                <w:spacing w:val="4"/>
                <w:sz w:val="16"/>
                <w:szCs w:val="16"/>
                <w:highlight w:val="yellow"/>
              </w:rPr>
            </w:pPr>
            <w:r w:rsidRPr="004E3242">
              <w:rPr>
                <w:rFonts w:ascii="Arial" w:hAnsi="Arial" w:cs="Arial"/>
                <w:spacing w:val="4"/>
                <w:sz w:val="16"/>
                <w:szCs w:val="16"/>
              </w:rPr>
              <w:t>114 330 228</w:t>
            </w:r>
          </w:p>
        </w:tc>
        <w:tc>
          <w:tcPr>
            <w:tcW w:w="457" w:type="pct"/>
            <w:shd w:val="clear" w:color="auto" w:fill="F2F2F2"/>
            <w:vAlign w:val="center"/>
          </w:tcPr>
          <w:p w14:paraId="67C23B57" w14:textId="77777777" w:rsidR="004E3242" w:rsidRPr="004E3242" w:rsidRDefault="004E3242" w:rsidP="004E3242">
            <w:pPr>
              <w:spacing w:before="20" w:after="20" w:line="240" w:lineRule="auto"/>
              <w:jc w:val="center"/>
              <w:rPr>
                <w:rFonts w:ascii="Arial" w:hAnsi="Arial" w:cs="Arial"/>
                <w:spacing w:val="4"/>
                <w:sz w:val="16"/>
                <w:szCs w:val="16"/>
                <w:highlight w:val="yellow"/>
              </w:rPr>
            </w:pPr>
            <w:r w:rsidRPr="004E3242">
              <w:rPr>
                <w:rFonts w:ascii="Arial" w:hAnsi="Arial" w:cs="Arial"/>
                <w:spacing w:val="4"/>
                <w:sz w:val="16"/>
                <w:szCs w:val="16"/>
              </w:rPr>
              <w:t>1 143 302 280</w:t>
            </w:r>
          </w:p>
        </w:tc>
        <w:tc>
          <w:tcPr>
            <w:tcW w:w="319" w:type="pct"/>
            <w:shd w:val="clear" w:color="auto" w:fill="F2F2F2"/>
            <w:vAlign w:val="center"/>
          </w:tcPr>
          <w:p w14:paraId="216B6DF2"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672" w:type="pct"/>
            <w:shd w:val="clear" w:color="auto" w:fill="F2F2F2"/>
            <w:vAlign w:val="center"/>
          </w:tcPr>
          <w:p w14:paraId="3165A1A0"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40C3D673" w14:textId="77777777" w:rsidTr="00AA7998">
        <w:tc>
          <w:tcPr>
            <w:tcW w:w="182" w:type="pct"/>
            <w:vMerge/>
            <w:shd w:val="clear" w:color="auto" w:fill="F2F2F2"/>
            <w:vAlign w:val="center"/>
          </w:tcPr>
          <w:p w14:paraId="5C0BE23E" w14:textId="77777777" w:rsidR="004E3242" w:rsidRPr="004E3242" w:rsidRDefault="004E3242" w:rsidP="004E3242">
            <w:pPr>
              <w:spacing w:before="20" w:after="20" w:line="240" w:lineRule="auto"/>
              <w:jc w:val="center"/>
              <w:rPr>
                <w:rFonts w:ascii="Arial" w:hAnsi="Arial" w:cs="Arial"/>
                <w:sz w:val="16"/>
                <w:szCs w:val="16"/>
              </w:rPr>
            </w:pPr>
          </w:p>
        </w:tc>
        <w:tc>
          <w:tcPr>
            <w:tcW w:w="411" w:type="pct"/>
            <w:vMerge/>
            <w:shd w:val="clear" w:color="auto" w:fill="F2F2F2"/>
            <w:vAlign w:val="center"/>
          </w:tcPr>
          <w:p w14:paraId="4EF33C30" w14:textId="77777777" w:rsidR="004E3242" w:rsidRPr="004E3242" w:rsidRDefault="004E3242" w:rsidP="004E3242">
            <w:pPr>
              <w:spacing w:before="20" w:after="20" w:line="240" w:lineRule="auto"/>
              <w:jc w:val="center"/>
              <w:rPr>
                <w:rFonts w:ascii="Arial" w:hAnsi="Arial" w:cs="Arial"/>
                <w:sz w:val="16"/>
                <w:szCs w:val="16"/>
              </w:rPr>
            </w:pPr>
          </w:p>
        </w:tc>
        <w:tc>
          <w:tcPr>
            <w:tcW w:w="684" w:type="pct"/>
            <w:vMerge/>
            <w:shd w:val="clear" w:color="auto" w:fill="F2F2F2"/>
            <w:vAlign w:val="center"/>
          </w:tcPr>
          <w:p w14:paraId="6458EB35" w14:textId="77777777" w:rsidR="004E3242" w:rsidRPr="004E3242" w:rsidRDefault="004E3242" w:rsidP="004E3242">
            <w:pPr>
              <w:spacing w:before="20" w:after="20" w:line="240" w:lineRule="auto"/>
              <w:jc w:val="both"/>
              <w:rPr>
                <w:rFonts w:ascii="Arial" w:hAnsi="Arial" w:cs="Arial"/>
                <w:sz w:val="16"/>
                <w:szCs w:val="16"/>
              </w:rPr>
            </w:pPr>
          </w:p>
        </w:tc>
        <w:tc>
          <w:tcPr>
            <w:tcW w:w="230" w:type="pct"/>
            <w:vMerge/>
            <w:shd w:val="clear" w:color="auto" w:fill="F2F2F2"/>
            <w:vAlign w:val="center"/>
          </w:tcPr>
          <w:p w14:paraId="42442E10" w14:textId="77777777" w:rsidR="004E3242" w:rsidRPr="004E3242" w:rsidDel="00420B86" w:rsidRDefault="004E3242" w:rsidP="004E3242">
            <w:pPr>
              <w:spacing w:before="20" w:after="20" w:line="240" w:lineRule="auto"/>
              <w:jc w:val="center"/>
              <w:rPr>
                <w:rFonts w:ascii="Arial" w:hAnsi="Arial" w:cs="Arial"/>
                <w:spacing w:val="4"/>
                <w:sz w:val="16"/>
                <w:szCs w:val="16"/>
              </w:rPr>
            </w:pPr>
          </w:p>
        </w:tc>
        <w:tc>
          <w:tcPr>
            <w:tcW w:w="316" w:type="pct"/>
            <w:vMerge/>
            <w:shd w:val="clear" w:color="auto" w:fill="F2F2F2"/>
            <w:vAlign w:val="center"/>
          </w:tcPr>
          <w:p w14:paraId="4CA80589" w14:textId="77777777" w:rsidR="004E3242" w:rsidRPr="004E3242" w:rsidRDefault="004E3242" w:rsidP="004E3242">
            <w:pPr>
              <w:spacing w:before="20" w:after="20" w:line="240" w:lineRule="auto"/>
              <w:jc w:val="center"/>
              <w:rPr>
                <w:rFonts w:ascii="Arial" w:hAnsi="Arial" w:cs="Arial"/>
                <w:spacing w:val="4"/>
                <w:sz w:val="16"/>
                <w:szCs w:val="16"/>
              </w:rPr>
            </w:pPr>
          </w:p>
        </w:tc>
        <w:tc>
          <w:tcPr>
            <w:tcW w:w="319" w:type="pct"/>
            <w:shd w:val="clear" w:color="auto" w:fill="F2F2F2"/>
            <w:vAlign w:val="center"/>
          </w:tcPr>
          <w:p w14:paraId="64E93DEC"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410" w:type="pct"/>
            <w:shd w:val="clear" w:color="auto" w:fill="F2F2F2"/>
            <w:vAlign w:val="center"/>
          </w:tcPr>
          <w:p w14:paraId="62F968D0"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3 524 133</w:t>
            </w:r>
          </w:p>
        </w:tc>
        <w:tc>
          <w:tcPr>
            <w:tcW w:w="457" w:type="pct"/>
            <w:shd w:val="clear" w:color="auto" w:fill="F2F2F2"/>
            <w:vAlign w:val="center"/>
          </w:tcPr>
          <w:p w14:paraId="1536EAD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35 241 329</w:t>
            </w:r>
          </w:p>
        </w:tc>
        <w:tc>
          <w:tcPr>
            <w:tcW w:w="319" w:type="pct"/>
            <w:shd w:val="clear" w:color="auto" w:fill="F2F2F2"/>
            <w:vAlign w:val="center"/>
          </w:tcPr>
          <w:p w14:paraId="76DC6743"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672" w:type="pct"/>
            <w:shd w:val="clear" w:color="auto" w:fill="F2F2F2"/>
            <w:vAlign w:val="center"/>
          </w:tcPr>
          <w:p w14:paraId="00726CC8"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51D95679" w14:textId="77777777" w:rsidTr="00AA7998">
        <w:trPr>
          <w:trHeight w:val="1403"/>
        </w:trPr>
        <w:tc>
          <w:tcPr>
            <w:tcW w:w="182" w:type="pct"/>
            <w:vMerge w:val="restart"/>
            <w:shd w:val="clear" w:color="auto" w:fill="F2F2F2"/>
            <w:vAlign w:val="center"/>
          </w:tcPr>
          <w:p w14:paraId="3406D08C"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2.</w:t>
            </w:r>
          </w:p>
        </w:tc>
        <w:tc>
          <w:tcPr>
            <w:tcW w:w="411" w:type="pct"/>
            <w:vMerge w:val="restart"/>
            <w:shd w:val="clear" w:color="auto" w:fill="F2F2F2"/>
            <w:vAlign w:val="center"/>
          </w:tcPr>
          <w:p w14:paraId="047B56D7"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Wskaźnik produktu</w:t>
            </w:r>
          </w:p>
        </w:tc>
        <w:tc>
          <w:tcPr>
            <w:tcW w:w="684" w:type="pct"/>
            <w:vMerge w:val="restart"/>
            <w:shd w:val="clear" w:color="auto" w:fill="F2F2F2"/>
            <w:vAlign w:val="center"/>
          </w:tcPr>
          <w:p w14:paraId="0ABF30A1"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z w:val="16"/>
                <w:szCs w:val="16"/>
              </w:rPr>
              <w:t>Długość nowo wybudowanych lub zmodernizowanych gazociągów przesyłowych lub dystrybucyjnych</w:t>
            </w:r>
          </w:p>
        </w:tc>
        <w:tc>
          <w:tcPr>
            <w:tcW w:w="230" w:type="pct"/>
            <w:vMerge w:val="restart"/>
            <w:shd w:val="clear" w:color="auto" w:fill="F2F2F2"/>
            <w:vAlign w:val="center"/>
          </w:tcPr>
          <w:p w14:paraId="63B93EA4"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km</w:t>
            </w:r>
          </w:p>
        </w:tc>
        <w:tc>
          <w:tcPr>
            <w:tcW w:w="316" w:type="pct"/>
            <w:vMerge w:val="restart"/>
            <w:shd w:val="clear" w:color="auto" w:fill="F2F2F2"/>
            <w:vAlign w:val="center"/>
          </w:tcPr>
          <w:p w14:paraId="54A51595"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19" w:type="pct"/>
            <w:shd w:val="clear" w:color="auto" w:fill="F2F2F2"/>
            <w:vAlign w:val="center"/>
          </w:tcPr>
          <w:p w14:paraId="5C39E692"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w:t>
            </w:r>
          </w:p>
          <w:p w14:paraId="344F490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410" w:type="pct"/>
            <w:shd w:val="clear" w:color="auto" w:fill="F2F2F2"/>
            <w:vAlign w:val="center"/>
          </w:tcPr>
          <w:p w14:paraId="60B17126"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0</w:t>
            </w:r>
          </w:p>
        </w:tc>
        <w:tc>
          <w:tcPr>
            <w:tcW w:w="457" w:type="pct"/>
            <w:shd w:val="clear" w:color="auto" w:fill="F2F2F2"/>
            <w:vAlign w:val="center"/>
          </w:tcPr>
          <w:p w14:paraId="124EB652" w14:textId="77777777" w:rsidR="000039BD" w:rsidRDefault="000039BD" w:rsidP="004E3242">
            <w:pPr>
              <w:spacing w:before="20" w:after="20" w:line="240" w:lineRule="auto"/>
              <w:jc w:val="center"/>
              <w:rPr>
                <w:rFonts w:ascii="Arial" w:hAnsi="Arial" w:cs="Arial"/>
                <w:spacing w:val="4"/>
                <w:sz w:val="16"/>
                <w:szCs w:val="16"/>
              </w:rPr>
            </w:pPr>
          </w:p>
          <w:p w14:paraId="70B51066" w14:textId="77777777" w:rsidR="004E3242" w:rsidRPr="004E3242" w:rsidRDefault="005E7A41" w:rsidP="004E3242">
            <w:pPr>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1 135</w:t>
            </w:r>
          </w:p>
        </w:tc>
        <w:tc>
          <w:tcPr>
            <w:tcW w:w="319" w:type="pct"/>
            <w:shd w:val="clear" w:color="auto" w:fill="F2F2F2"/>
            <w:vAlign w:val="center"/>
          </w:tcPr>
          <w:p w14:paraId="6D430420"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SL 2014</w:t>
            </w:r>
          </w:p>
        </w:tc>
        <w:tc>
          <w:tcPr>
            <w:tcW w:w="1672" w:type="pct"/>
            <w:shd w:val="clear" w:color="auto" w:fill="F2F2F2"/>
            <w:vAlign w:val="center"/>
          </w:tcPr>
          <w:p w14:paraId="3F022F32"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z w:val="16"/>
                <w:szCs w:val="16"/>
              </w:rPr>
              <w:t xml:space="preserve">Wskaźnik jest najlepszym miernikiem odzwierciedlającym charakter wsparcia w ramach osi, gdyż w zakresie poprawy infrastruktury transportowej w sektorze gazu ziemnego miernik ten określi zwiększenie możliwości przesyłania tego paliwa nie tylko wewnątrz kraju, ale również pomiędzy systemami w UE. Gazociągi przesyłowe zapewniają magistralę dla szerokiego przepływu gazu, zaś gazociągi dystrybucyjne pełnić mogą funkcje wspierające w stosunku do </w:t>
            </w:r>
            <w:proofErr w:type="spellStart"/>
            <w:r w:rsidRPr="004E3242">
              <w:rPr>
                <w:rFonts w:ascii="Arial" w:hAnsi="Arial" w:cs="Arial"/>
                <w:sz w:val="16"/>
                <w:szCs w:val="16"/>
              </w:rPr>
              <w:t>przesyłu</w:t>
            </w:r>
            <w:proofErr w:type="spellEnd"/>
            <w:r w:rsidRPr="004E3242">
              <w:rPr>
                <w:rFonts w:ascii="Arial" w:hAnsi="Arial" w:cs="Arial"/>
                <w:sz w:val="16"/>
                <w:szCs w:val="16"/>
              </w:rPr>
              <w:t xml:space="preserve"> poprawiając szczelność oraz funkcjonalność sieci. Wraz ze wskaźnikiem „Długość nowo wybudowanych lub zmodernizowanych elektroenergetycznych sieci przesyłowych lub dystrybucyjnych” reprezentuje większość alokacji na priorytet.</w:t>
            </w:r>
          </w:p>
        </w:tc>
      </w:tr>
      <w:tr w:rsidR="004E3242" w:rsidRPr="004E3242" w14:paraId="3D0C10A9" w14:textId="77777777" w:rsidTr="00AA7998">
        <w:tc>
          <w:tcPr>
            <w:tcW w:w="182" w:type="pct"/>
            <w:vMerge/>
            <w:shd w:val="clear" w:color="auto" w:fill="F2F2F2"/>
            <w:vAlign w:val="center"/>
          </w:tcPr>
          <w:p w14:paraId="19D73A79" w14:textId="77777777" w:rsidR="004E3242" w:rsidRPr="004E3242" w:rsidRDefault="004E3242" w:rsidP="004E3242">
            <w:pPr>
              <w:spacing w:before="20" w:after="20" w:line="240" w:lineRule="auto"/>
              <w:jc w:val="center"/>
              <w:rPr>
                <w:rFonts w:ascii="Arial" w:hAnsi="Arial" w:cs="Arial"/>
                <w:sz w:val="16"/>
                <w:szCs w:val="16"/>
              </w:rPr>
            </w:pPr>
          </w:p>
        </w:tc>
        <w:tc>
          <w:tcPr>
            <w:tcW w:w="411" w:type="pct"/>
            <w:vMerge/>
            <w:shd w:val="clear" w:color="auto" w:fill="F2F2F2"/>
            <w:vAlign w:val="center"/>
          </w:tcPr>
          <w:p w14:paraId="70EAF79D" w14:textId="77777777" w:rsidR="004E3242" w:rsidRPr="004E3242" w:rsidRDefault="004E3242" w:rsidP="004E3242">
            <w:pPr>
              <w:spacing w:before="20" w:after="20" w:line="240" w:lineRule="auto"/>
              <w:jc w:val="center"/>
              <w:rPr>
                <w:rFonts w:ascii="Arial" w:hAnsi="Arial" w:cs="Arial"/>
                <w:sz w:val="16"/>
                <w:szCs w:val="16"/>
              </w:rPr>
            </w:pPr>
          </w:p>
        </w:tc>
        <w:tc>
          <w:tcPr>
            <w:tcW w:w="684" w:type="pct"/>
            <w:vMerge/>
            <w:shd w:val="clear" w:color="auto" w:fill="F2F2F2"/>
            <w:vAlign w:val="center"/>
          </w:tcPr>
          <w:p w14:paraId="012A4311" w14:textId="77777777" w:rsidR="004E3242" w:rsidRPr="004E3242" w:rsidRDefault="004E3242" w:rsidP="004E3242">
            <w:pPr>
              <w:spacing w:before="20" w:after="20" w:line="240" w:lineRule="auto"/>
              <w:jc w:val="both"/>
              <w:rPr>
                <w:rFonts w:ascii="Arial" w:hAnsi="Arial" w:cs="Arial"/>
                <w:sz w:val="16"/>
                <w:szCs w:val="16"/>
              </w:rPr>
            </w:pPr>
          </w:p>
        </w:tc>
        <w:tc>
          <w:tcPr>
            <w:tcW w:w="230" w:type="pct"/>
            <w:vMerge/>
            <w:shd w:val="clear" w:color="auto" w:fill="F2F2F2"/>
            <w:vAlign w:val="center"/>
          </w:tcPr>
          <w:p w14:paraId="4D5B8E8F" w14:textId="77777777" w:rsidR="004E3242" w:rsidRPr="004E3242" w:rsidRDefault="004E3242" w:rsidP="004E3242">
            <w:pPr>
              <w:spacing w:before="20" w:after="20" w:line="240" w:lineRule="auto"/>
              <w:jc w:val="center"/>
              <w:rPr>
                <w:rFonts w:ascii="Arial" w:hAnsi="Arial" w:cs="Arial"/>
                <w:spacing w:val="4"/>
                <w:sz w:val="16"/>
                <w:szCs w:val="16"/>
              </w:rPr>
            </w:pPr>
          </w:p>
        </w:tc>
        <w:tc>
          <w:tcPr>
            <w:tcW w:w="316" w:type="pct"/>
            <w:vMerge/>
            <w:shd w:val="clear" w:color="auto" w:fill="F2F2F2"/>
            <w:vAlign w:val="center"/>
          </w:tcPr>
          <w:p w14:paraId="4C78E44F" w14:textId="77777777" w:rsidR="004E3242" w:rsidRPr="004E3242" w:rsidRDefault="004E3242" w:rsidP="004E3242">
            <w:pPr>
              <w:spacing w:before="20" w:after="20" w:line="240" w:lineRule="auto"/>
              <w:jc w:val="center"/>
              <w:rPr>
                <w:rFonts w:ascii="Arial" w:hAnsi="Arial" w:cs="Arial"/>
                <w:spacing w:val="4"/>
                <w:sz w:val="16"/>
                <w:szCs w:val="16"/>
              </w:rPr>
            </w:pPr>
          </w:p>
        </w:tc>
        <w:tc>
          <w:tcPr>
            <w:tcW w:w="319" w:type="pct"/>
            <w:shd w:val="clear" w:color="auto" w:fill="F2F2F2"/>
            <w:vAlign w:val="center"/>
          </w:tcPr>
          <w:p w14:paraId="54DB8044"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410" w:type="pct"/>
            <w:shd w:val="clear" w:color="auto" w:fill="F2F2F2"/>
            <w:vAlign w:val="center"/>
          </w:tcPr>
          <w:p w14:paraId="03D49B2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0</w:t>
            </w:r>
          </w:p>
        </w:tc>
        <w:tc>
          <w:tcPr>
            <w:tcW w:w="457" w:type="pct"/>
            <w:shd w:val="clear" w:color="auto" w:fill="F2F2F2"/>
            <w:vAlign w:val="center"/>
          </w:tcPr>
          <w:p w14:paraId="0E51EB76" w14:textId="77777777" w:rsidR="000039BD" w:rsidRDefault="000039BD" w:rsidP="004E3242">
            <w:pPr>
              <w:spacing w:before="20" w:after="20" w:line="240" w:lineRule="auto"/>
              <w:jc w:val="center"/>
              <w:rPr>
                <w:rFonts w:ascii="Arial" w:hAnsi="Arial" w:cs="Arial"/>
                <w:spacing w:val="4"/>
                <w:sz w:val="16"/>
                <w:szCs w:val="16"/>
              </w:rPr>
            </w:pPr>
          </w:p>
          <w:p w14:paraId="77C2C6BC" w14:textId="77777777" w:rsidR="004E3242" w:rsidRPr="004E3242" w:rsidDel="00693F9E" w:rsidRDefault="005E7A41" w:rsidP="004E3242">
            <w:pPr>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173</w:t>
            </w:r>
          </w:p>
        </w:tc>
        <w:tc>
          <w:tcPr>
            <w:tcW w:w="319" w:type="pct"/>
            <w:shd w:val="clear" w:color="auto" w:fill="F2F2F2"/>
            <w:vAlign w:val="center"/>
          </w:tcPr>
          <w:p w14:paraId="064F1555"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1672" w:type="pct"/>
            <w:shd w:val="clear" w:color="auto" w:fill="F2F2F2"/>
            <w:vAlign w:val="center"/>
          </w:tcPr>
          <w:p w14:paraId="22F21B3F"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z w:val="16"/>
                <w:szCs w:val="16"/>
              </w:rPr>
              <w:t xml:space="preserve">Wskaźnik jest najlepszym miernikiem odzwierciedlającym charakter wsparcia w ramach osi, gdyż w zakresie poprawy infrastruktury transportowej w sektorze gazu ziemnego miernik ten określi zwiększenie możliwości przesyłania tego paliwa nie tylko wewnątrz kraju, ale również pomiędzy systemami w UE. Gazociągi przesyłowe zapewniają magistralę dla szerokiego przepływu gazu, zaś gazociągi dystrybucyjne pełnić mogą funkcje wspierające w stosunku do </w:t>
            </w:r>
            <w:proofErr w:type="spellStart"/>
            <w:r w:rsidRPr="004E3242">
              <w:rPr>
                <w:rFonts w:ascii="Arial" w:hAnsi="Arial" w:cs="Arial"/>
                <w:sz w:val="16"/>
                <w:szCs w:val="16"/>
              </w:rPr>
              <w:t>przesyłu</w:t>
            </w:r>
            <w:proofErr w:type="spellEnd"/>
            <w:r w:rsidRPr="004E3242">
              <w:rPr>
                <w:rFonts w:ascii="Arial" w:hAnsi="Arial" w:cs="Arial"/>
                <w:sz w:val="16"/>
                <w:szCs w:val="16"/>
              </w:rPr>
              <w:t xml:space="preserve"> poprawiając szczelność oraz funkcjonalność sieci. Wraz ze wskaźnikiem „Długość nowo wybudowanych lub zmodernizowanych elektroenergetycznych sieci przesyłowych lub dystrybucyjnych” reprezentuje większość alokacji na priorytet.</w:t>
            </w:r>
          </w:p>
        </w:tc>
      </w:tr>
      <w:tr w:rsidR="004E3242" w:rsidRPr="004E3242" w14:paraId="7FE4FD0B" w14:textId="77777777" w:rsidTr="00AA7998">
        <w:tc>
          <w:tcPr>
            <w:tcW w:w="182" w:type="pct"/>
            <w:vMerge w:val="restart"/>
            <w:shd w:val="clear" w:color="auto" w:fill="F2F2F2"/>
            <w:vAlign w:val="center"/>
          </w:tcPr>
          <w:p w14:paraId="12E7F5E5"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3.</w:t>
            </w:r>
          </w:p>
        </w:tc>
        <w:tc>
          <w:tcPr>
            <w:tcW w:w="411" w:type="pct"/>
            <w:vMerge w:val="restart"/>
            <w:shd w:val="clear" w:color="auto" w:fill="F2F2F2"/>
            <w:vAlign w:val="center"/>
          </w:tcPr>
          <w:p w14:paraId="67D10524"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Kluczowy etap wdrożeniowy</w:t>
            </w:r>
          </w:p>
        </w:tc>
        <w:tc>
          <w:tcPr>
            <w:tcW w:w="684" w:type="pct"/>
            <w:vMerge w:val="restart"/>
            <w:shd w:val="clear" w:color="auto" w:fill="F2F2F2"/>
            <w:vAlign w:val="center"/>
          </w:tcPr>
          <w:p w14:paraId="58BF23B2"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z w:val="16"/>
                <w:szCs w:val="16"/>
              </w:rPr>
              <w:t>Długość nowo budowanych lub modernizowanych gazociągów przesyłowych lub dystrybucyjnych</w:t>
            </w:r>
            <w:r w:rsidRPr="004E3242" w:rsidDel="00453FB0">
              <w:rPr>
                <w:rFonts w:ascii="Arial" w:hAnsi="Arial" w:cs="Arial"/>
                <w:sz w:val="16"/>
                <w:szCs w:val="16"/>
              </w:rPr>
              <w:t xml:space="preserve"> </w:t>
            </w:r>
            <w:r w:rsidRPr="004E3242">
              <w:rPr>
                <w:rFonts w:ascii="Arial" w:hAnsi="Arial" w:cs="Arial"/>
                <w:sz w:val="16"/>
                <w:szCs w:val="16"/>
              </w:rPr>
              <w:t>wg zawartych umów o dofinansowanie</w:t>
            </w:r>
          </w:p>
        </w:tc>
        <w:tc>
          <w:tcPr>
            <w:tcW w:w="230" w:type="pct"/>
            <w:vMerge w:val="restart"/>
            <w:shd w:val="clear" w:color="auto" w:fill="F2F2F2"/>
            <w:vAlign w:val="center"/>
          </w:tcPr>
          <w:p w14:paraId="37C959E7" w14:textId="77777777" w:rsidR="004E3242" w:rsidRPr="004E3242" w:rsidRDefault="004E3242" w:rsidP="004E3242">
            <w:pPr>
              <w:spacing w:before="20" w:after="20" w:line="240" w:lineRule="auto"/>
              <w:rPr>
                <w:rFonts w:ascii="Arial" w:hAnsi="Arial" w:cs="Arial"/>
                <w:spacing w:val="4"/>
                <w:sz w:val="16"/>
                <w:szCs w:val="16"/>
              </w:rPr>
            </w:pPr>
            <w:r w:rsidRPr="004E3242">
              <w:rPr>
                <w:rFonts w:ascii="Arial" w:hAnsi="Arial" w:cs="Arial"/>
                <w:spacing w:val="4"/>
                <w:sz w:val="16"/>
                <w:szCs w:val="16"/>
              </w:rPr>
              <w:t>km</w:t>
            </w:r>
          </w:p>
        </w:tc>
        <w:tc>
          <w:tcPr>
            <w:tcW w:w="316" w:type="pct"/>
            <w:vMerge w:val="restart"/>
            <w:shd w:val="clear" w:color="auto" w:fill="F2F2F2"/>
            <w:vAlign w:val="center"/>
          </w:tcPr>
          <w:p w14:paraId="428ABE85"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19" w:type="pct"/>
            <w:shd w:val="clear" w:color="auto" w:fill="F2F2F2"/>
            <w:vAlign w:val="center"/>
          </w:tcPr>
          <w:p w14:paraId="5FBBD8B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w:t>
            </w:r>
          </w:p>
          <w:p w14:paraId="4475F3F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410" w:type="pct"/>
            <w:shd w:val="clear" w:color="auto" w:fill="F2F2F2"/>
            <w:vAlign w:val="center"/>
          </w:tcPr>
          <w:p w14:paraId="7C1D44DC" w14:textId="77777777" w:rsidR="000039BD" w:rsidRDefault="000039BD" w:rsidP="004E3242">
            <w:pPr>
              <w:spacing w:before="20" w:after="20" w:line="240" w:lineRule="auto"/>
              <w:jc w:val="center"/>
              <w:rPr>
                <w:rFonts w:ascii="Arial" w:hAnsi="Arial" w:cs="Arial"/>
                <w:spacing w:val="4"/>
                <w:sz w:val="16"/>
                <w:szCs w:val="16"/>
              </w:rPr>
            </w:pPr>
          </w:p>
          <w:p w14:paraId="09E7AEFA" w14:textId="77777777" w:rsidR="004E3242" w:rsidRPr="004E3242" w:rsidRDefault="000039BD" w:rsidP="004E3242">
            <w:pPr>
              <w:spacing w:before="20" w:after="20" w:line="240" w:lineRule="auto"/>
              <w:jc w:val="center"/>
              <w:rPr>
                <w:rFonts w:ascii="Arial" w:hAnsi="Arial" w:cs="Arial"/>
                <w:spacing w:val="4"/>
                <w:sz w:val="16"/>
                <w:szCs w:val="16"/>
              </w:rPr>
            </w:pPr>
            <w:r w:rsidRPr="000039BD">
              <w:rPr>
                <w:rFonts w:ascii="Arial" w:hAnsi="Arial" w:cs="Arial"/>
                <w:spacing w:val="4"/>
                <w:sz w:val="16"/>
                <w:szCs w:val="16"/>
              </w:rPr>
              <w:t>538</w:t>
            </w:r>
          </w:p>
        </w:tc>
        <w:tc>
          <w:tcPr>
            <w:tcW w:w="457" w:type="pct"/>
            <w:shd w:val="clear" w:color="auto" w:fill="F2F2F2"/>
            <w:vAlign w:val="center"/>
          </w:tcPr>
          <w:p w14:paraId="18305476"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t>
            </w:r>
          </w:p>
        </w:tc>
        <w:tc>
          <w:tcPr>
            <w:tcW w:w="319" w:type="pct"/>
            <w:shd w:val="clear" w:color="auto" w:fill="F2F2F2"/>
            <w:vAlign w:val="center"/>
          </w:tcPr>
          <w:p w14:paraId="1124E9B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672" w:type="pct"/>
            <w:shd w:val="clear" w:color="auto" w:fill="F2F2F2"/>
            <w:vAlign w:val="center"/>
          </w:tcPr>
          <w:p w14:paraId="5026E9D2"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KEW uzasadniony charakterem planowanych inwestycji (długi czas przygotowania i realizacji)</w:t>
            </w:r>
          </w:p>
        </w:tc>
      </w:tr>
      <w:tr w:rsidR="004E3242" w:rsidRPr="004E3242" w14:paraId="314E4AE7" w14:textId="77777777" w:rsidTr="00AA7998">
        <w:tc>
          <w:tcPr>
            <w:tcW w:w="182" w:type="pct"/>
            <w:vMerge/>
            <w:shd w:val="clear" w:color="auto" w:fill="F2F2F2"/>
            <w:vAlign w:val="center"/>
          </w:tcPr>
          <w:p w14:paraId="0ECC9472" w14:textId="77777777" w:rsidR="004E3242" w:rsidRPr="004E3242" w:rsidDel="00453FB0" w:rsidRDefault="004E3242" w:rsidP="004E3242">
            <w:pPr>
              <w:spacing w:before="20" w:after="20" w:line="240" w:lineRule="auto"/>
              <w:jc w:val="center"/>
              <w:rPr>
                <w:rFonts w:ascii="Arial" w:hAnsi="Arial" w:cs="Arial"/>
                <w:sz w:val="16"/>
                <w:szCs w:val="16"/>
              </w:rPr>
            </w:pPr>
          </w:p>
        </w:tc>
        <w:tc>
          <w:tcPr>
            <w:tcW w:w="411" w:type="pct"/>
            <w:vMerge/>
            <w:shd w:val="clear" w:color="auto" w:fill="F2F2F2"/>
            <w:vAlign w:val="center"/>
          </w:tcPr>
          <w:p w14:paraId="5967A038" w14:textId="77777777" w:rsidR="004E3242" w:rsidRPr="004E3242" w:rsidRDefault="004E3242" w:rsidP="004E3242">
            <w:pPr>
              <w:spacing w:before="20" w:after="20" w:line="240" w:lineRule="auto"/>
              <w:jc w:val="center"/>
              <w:rPr>
                <w:rFonts w:ascii="Arial" w:hAnsi="Arial" w:cs="Arial"/>
                <w:sz w:val="16"/>
                <w:szCs w:val="16"/>
              </w:rPr>
            </w:pPr>
          </w:p>
        </w:tc>
        <w:tc>
          <w:tcPr>
            <w:tcW w:w="684" w:type="pct"/>
            <w:vMerge/>
            <w:shd w:val="clear" w:color="auto" w:fill="F2F2F2"/>
            <w:vAlign w:val="center"/>
          </w:tcPr>
          <w:p w14:paraId="777A7721" w14:textId="77777777" w:rsidR="004E3242" w:rsidRPr="004E3242" w:rsidDel="00453FB0" w:rsidRDefault="004E3242" w:rsidP="004E3242">
            <w:pPr>
              <w:spacing w:before="20" w:after="20" w:line="240" w:lineRule="auto"/>
              <w:jc w:val="center"/>
              <w:rPr>
                <w:rFonts w:ascii="Arial" w:hAnsi="Arial" w:cs="Arial"/>
                <w:sz w:val="16"/>
                <w:szCs w:val="16"/>
              </w:rPr>
            </w:pPr>
          </w:p>
        </w:tc>
        <w:tc>
          <w:tcPr>
            <w:tcW w:w="230" w:type="pct"/>
            <w:vMerge/>
            <w:shd w:val="clear" w:color="auto" w:fill="F2F2F2"/>
            <w:vAlign w:val="center"/>
          </w:tcPr>
          <w:p w14:paraId="303937AF" w14:textId="77777777" w:rsidR="004E3242" w:rsidRPr="004E3242" w:rsidRDefault="004E3242" w:rsidP="004E3242">
            <w:pPr>
              <w:spacing w:before="20" w:after="20" w:line="240" w:lineRule="auto"/>
              <w:jc w:val="center"/>
              <w:rPr>
                <w:rFonts w:ascii="Arial" w:hAnsi="Arial" w:cs="Arial"/>
                <w:spacing w:val="4"/>
                <w:sz w:val="16"/>
                <w:szCs w:val="16"/>
              </w:rPr>
            </w:pPr>
          </w:p>
        </w:tc>
        <w:tc>
          <w:tcPr>
            <w:tcW w:w="316" w:type="pct"/>
            <w:vMerge/>
            <w:shd w:val="clear" w:color="auto" w:fill="F2F2F2"/>
            <w:vAlign w:val="center"/>
          </w:tcPr>
          <w:p w14:paraId="1E19F072" w14:textId="77777777" w:rsidR="004E3242" w:rsidRPr="004E3242" w:rsidRDefault="004E3242" w:rsidP="004E3242">
            <w:pPr>
              <w:spacing w:before="20" w:after="20" w:line="240" w:lineRule="auto"/>
              <w:jc w:val="center"/>
              <w:rPr>
                <w:rFonts w:ascii="Arial" w:hAnsi="Arial" w:cs="Arial"/>
                <w:spacing w:val="4"/>
                <w:sz w:val="16"/>
                <w:szCs w:val="16"/>
              </w:rPr>
            </w:pPr>
          </w:p>
        </w:tc>
        <w:tc>
          <w:tcPr>
            <w:tcW w:w="319" w:type="pct"/>
            <w:shd w:val="clear" w:color="auto" w:fill="F2F2F2"/>
            <w:vAlign w:val="center"/>
          </w:tcPr>
          <w:p w14:paraId="6429FDE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410" w:type="pct"/>
            <w:shd w:val="clear" w:color="auto" w:fill="F2F2F2"/>
            <w:vAlign w:val="center"/>
          </w:tcPr>
          <w:p w14:paraId="39FEABD6" w14:textId="77777777" w:rsidR="000039BD" w:rsidRDefault="000039BD" w:rsidP="004E3242">
            <w:pPr>
              <w:spacing w:before="20" w:after="20" w:line="240" w:lineRule="auto"/>
              <w:jc w:val="center"/>
              <w:rPr>
                <w:rFonts w:ascii="Arial" w:hAnsi="Arial" w:cs="Arial"/>
                <w:spacing w:val="4"/>
                <w:sz w:val="16"/>
                <w:szCs w:val="16"/>
              </w:rPr>
            </w:pPr>
          </w:p>
          <w:p w14:paraId="7A130290" w14:textId="77777777" w:rsidR="004E3242" w:rsidRPr="004E3242" w:rsidRDefault="000039BD" w:rsidP="004E3242">
            <w:pPr>
              <w:spacing w:before="20" w:after="20" w:line="240" w:lineRule="auto"/>
              <w:jc w:val="center"/>
              <w:rPr>
                <w:rFonts w:ascii="Arial" w:hAnsi="Arial" w:cs="Arial"/>
                <w:spacing w:val="4"/>
                <w:sz w:val="16"/>
                <w:szCs w:val="16"/>
              </w:rPr>
            </w:pPr>
            <w:r w:rsidRPr="000039BD">
              <w:rPr>
                <w:rFonts w:ascii="Arial" w:hAnsi="Arial" w:cs="Arial"/>
                <w:spacing w:val="4"/>
                <w:sz w:val="16"/>
                <w:szCs w:val="16"/>
              </w:rPr>
              <w:t>24</w:t>
            </w:r>
          </w:p>
        </w:tc>
        <w:tc>
          <w:tcPr>
            <w:tcW w:w="457" w:type="pct"/>
            <w:shd w:val="clear" w:color="auto" w:fill="F2F2F2"/>
            <w:vAlign w:val="center"/>
          </w:tcPr>
          <w:p w14:paraId="465635A3"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t>
            </w:r>
          </w:p>
        </w:tc>
        <w:tc>
          <w:tcPr>
            <w:tcW w:w="319" w:type="pct"/>
            <w:shd w:val="clear" w:color="auto" w:fill="F2F2F2"/>
            <w:vAlign w:val="center"/>
          </w:tcPr>
          <w:p w14:paraId="74549AA2"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672" w:type="pct"/>
            <w:shd w:val="clear" w:color="auto" w:fill="F2F2F2"/>
            <w:vAlign w:val="center"/>
          </w:tcPr>
          <w:p w14:paraId="6CBD32AF"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KEW uzasadniony charakterem planowanych inwestycji (długi czas przygotowania i realizacji)</w:t>
            </w:r>
          </w:p>
        </w:tc>
      </w:tr>
      <w:tr w:rsidR="00DB54B7" w:rsidRPr="004E3242" w14:paraId="6047ABCF" w14:textId="77777777" w:rsidTr="00AA7998">
        <w:tc>
          <w:tcPr>
            <w:tcW w:w="182" w:type="pct"/>
            <w:vMerge w:val="restart"/>
            <w:shd w:val="clear" w:color="auto" w:fill="F2F2F2"/>
            <w:vAlign w:val="center"/>
          </w:tcPr>
          <w:p w14:paraId="239C45FA" w14:textId="77777777" w:rsidR="00DB54B7" w:rsidRPr="004E3242" w:rsidDel="00453FB0" w:rsidRDefault="00DB54B7" w:rsidP="004E3242">
            <w:pPr>
              <w:spacing w:before="20" w:after="20" w:line="240" w:lineRule="auto"/>
              <w:jc w:val="center"/>
              <w:rPr>
                <w:rFonts w:ascii="Arial" w:hAnsi="Arial" w:cs="Arial"/>
                <w:sz w:val="16"/>
                <w:szCs w:val="16"/>
              </w:rPr>
            </w:pPr>
            <w:r w:rsidRPr="004E3242">
              <w:rPr>
                <w:rFonts w:ascii="Arial" w:hAnsi="Arial" w:cs="Arial"/>
                <w:sz w:val="16"/>
                <w:szCs w:val="16"/>
              </w:rPr>
              <w:t>4.</w:t>
            </w:r>
          </w:p>
        </w:tc>
        <w:tc>
          <w:tcPr>
            <w:tcW w:w="411" w:type="pct"/>
            <w:vMerge w:val="restart"/>
            <w:shd w:val="clear" w:color="auto" w:fill="F2F2F2"/>
            <w:vAlign w:val="center"/>
          </w:tcPr>
          <w:p w14:paraId="3D355B4A" w14:textId="77777777" w:rsidR="00DB54B7" w:rsidRPr="004E3242" w:rsidRDefault="00DB54B7" w:rsidP="004E3242">
            <w:pPr>
              <w:spacing w:before="20" w:after="20" w:line="240" w:lineRule="auto"/>
              <w:jc w:val="center"/>
              <w:rPr>
                <w:rFonts w:ascii="Arial" w:hAnsi="Arial" w:cs="Arial"/>
                <w:sz w:val="16"/>
                <w:szCs w:val="16"/>
              </w:rPr>
            </w:pPr>
            <w:r w:rsidRPr="004E3242">
              <w:rPr>
                <w:rFonts w:ascii="Arial" w:hAnsi="Arial" w:cs="Arial"/>
                <w:sz w:val="16"/>
                <w:szCs w:val="16"/>
              </w:rPr>
              <w:t>Wskaźnik produktu</w:t>
            </w:r>
          </w:p>
        </w:tc>
        <w:tc>
          <w:tcPr>
            <w:tcW w:w="684" w:type="pct"/>
            <w:vMerge w:val="restart"/>
            <w:shd w:val="clear" w:color="auto" w:fill="F2F2F2"/>
            <w:vAlign w:val="center"/>
          </w:tcPr>
          <w:p w14:paraId="42FC0D0F" w14:textId="77777777" w:rsidR="00DB54B7" w:rsidRPr="004E3242" w:rsidDel="00453FB0" w:rsidRDefault="00DB54B7" w:rsidP="004E3242">
            <w:pPr>
              <w:spacing w:before="20" w:after="20" w:line="240" w:lineRule="auto"/>
              <w:rPr>
                <w:rFonts w:ascii="Arial" w:hAnsi="Arial" w:cs="Arial"/>
                <w:sz w:val="16"/>
                <w:szCs w:val="16"/>
              </w:rPr>
            </w:pPr>
            <w:r w:rsidRPr="004E3242">
              <w:rPr>
                <w:rFonts w:ascii="Arial" w:hAnsi="Arial" w:cs="Arial"/>
                <w:sz w:val="16"/>
                <w:szCs w:val="16"/>
              </w:rPr>
              <w:t xml:space="preserve">Długość nowo wybudowanych lub zmodernizowanych elektroenergetycznych </w:t>
            </w:r>
            <w:r w:rsidRPr="004E3242">
              <w:rPr>
                <w:rFonts w:ascii="Arial" w:hAnsi="Arial" w:cs="Arial"/>
                <w:sz w:val="16"/>
                <w:szCs w:val="16"/>
              </w:rPr>
              <w:lastRenderedPageBreak/>
              <w:t>sieci przesyłowych lub dystrybucyjnych</w:t>
            </w:r>
          </w:p>
        </w:tc>
        <w:tc>
          <w:tcPr>
            <w:tcW w:w="230" w:type="pct"/>
            <w:vMerge w:val="restart"/>
            <w:shd w:val="clear" w:color="auto" w:fill="F2F2F2"/>
            <w:vAlign w:val="center"/>
          </w:tcPr>
          <w:p w14:paraId="5A8DD6DC"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lastRenderedPageBreak/>
              <w:t>km</w:t>
            </w:r>
          </w:p>
        </w:tc>
        <w:tc>
          <w:tcPr>
            <w:tcW w:w="316" w:type="pct"/>
            <w:vMerge w:val="restart"/>
            <w:shd w:val="clear" w:color="auto" w:fill="F2F2F2"/>
            <w:vAlign w:val="center"/>
          </w:tcPr>
          <w:p w14:paraId="0E788AAB"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19" w:type="pct"/>
            <w:shd w:val="clear" w:color="auto" w:fill="F2F2F2"/>
            <w:vAlign w:val="center"/>
          </w:tcPr>
          <w:p w14:paraId="416C864E"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w:t>
            </w:r>
          </w:p>
          <w:p w14:paraId="7B694369"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410" w:type="pct"/>
            <w:shd w:val="clear" w:color="auto" w:fill="F2F2F2"/>
            <w:vAlign w:val="center"/>
          </w:tcPr>
          <w:p w14:paraId="104C14A0"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0</w:t>
            </w:r>
          </w:p>
        </w:tc>
        <w:tc>
          <w:tcPr>
            <w:tcW w:w="457" w:type="pct"/>
            <w:shd w:val="clear" w:color="auto" w:fill="F2F2F2"/>
            <w:vAlign w:val="center"/>
          </w:tcPr>
          <w:p w14:paraId="51BFECCE" w14:textId="77777777" w:rsidR="00DB54B7" w:rsidRDefault="00DB54B7" w:rsidP="004E3242">
            <w:pPr>
              <w:spacing w:before="20" w:after="20" w:line="240" w:lineRule="auto"/>
              <w:jc w:val="center"/>
              <w:rPr>
                <w:rFonts w:ascii="Arial" w:hAnsi="Arial" w:cs="Arial"/>
                <w:spacing w:val="4"/>
                <w:sz w:val="16"/>
                <w:szCs w:val="16"/>
              </w:rPr>
            </w:pPr>
          </w:p>
          <w:p w14:paraId="4AEC7AE5" w14:textId="77777777" w:rsidR="00DB54B7" w:rsidRPr="004E3242" w:rsidRDefault="00DB54B7" w:rsidP="004E3242">
            <w:pPr>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670</w:t>
            </w:r>
          </w:p>
        </w:tc>
        <w:tc>
          <w:tcPr>
            <w:tcW w:w="319" w:type="pct"/>
            <w:shd w:val="clear" w:color="auto" w:fill="F2F2F2"/>
            <w:vAlign w:val="center"/>
          </w:tcPr>
          <w:p w14:paraId="6D3377C8" w14:textId="77777777" w:rsidR="00DB54B7" w:rsidRPr="004E3242" w:rsidRDefault="00DB54B7" w:rsidP="004E3242">
            <w:pPr>
              <w:spacing w:before="20" w:after="20" w:line="240" w:lineRule="auto"/>
              <w:jc w:val="center"/>
              <w:rPr>
                <w:sz w:val="16"/>
                <w:szCs w:val="16"/>
              </w:rPr>
            </w:pPr>
            <w:r w:rsidRPr="004E3242">
              <w:rPr>
                <w:sz w:val="16"/>
                <w:szCs w:val="16"/>
              </w:rPr>
              <w:t>SL 2014</w:t>
            </w:r>
          </w:p>
        </w:tc>
        <w:tc>
          <w:tcPr>
            <w:tcW w:w="1672" w:type="pct"/>
            <w:shd w:val="clear" w:color="auto" w:fill="F2F2F2"/>
            <w:vAlign w:val="center"/>
          </w:tcPr>
          <w:p w14:paraId="6A8736A1" w14:textId="77777777" w:rsidR="00DB54B7" w:rsidRPr="004E3242" w:rsidRDefault="00DB54B7"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 xml:space="preserve">Wskaźnik odzwierciedla logikę wsparcia w ramach osi w zakresie sektora elektroenergetycznego. Wraz ze wskaźnikiem „Długość nowo wybudowanych lub zmodernizowanych gazociągów przesyłowych lub dystrybucyjnych” reprezentuje większość </w:t>
            </w:r>
            <w:r w:rsidRPr="004E3242">
              <w:rPr>
                <w:rFonts w:ascii="Arial" w:hAnsi="Arial" w:cs="Arial"/>
                <w:spacing w:val="4"/>
                <w:sz w:val="16"/>
                <w:szCs w:val="16"/>
              </w:rPr>
              <w:lastRenderedPageBreak/>
              <w:t>alokacji na priorytet.</w:t>
            </w:r>
          </w:p>
        </w:tc>
      </w:tr>
      <w:tr w:rsidR="00DB54B7" w:rsidRPr="004E3242" w14:paraId="7726E05D" w14:textId="77777777" w:rsidTr="00AA7998">
        <w:tc>
          <w:tcPr>
            <w:tcW w:w="182" w:type="pct"/>
            <w:vMerge/>
            <w:shd w:val="clear" w:color="auto" w:fill="F2F2F2"/>
            <w:vAlign w:val="center"/>
          </w:tcPr>
          <w:p w14:paraId="3896FE90" w14:textId="77777777" w:rsidR="00DB54B7" w:rsidRPr="004E3242" w:rsidDel="00453FB0" w:rsidRDefault="00DB54B7" w:rsidP="004E3242">
            <w:pPr>
              <w:spacing w:before="20" w:after="20" w:line="240" w:lineRule="auto"/>
              <w:jc w:val="center"/>
              <w:rPr>
                <w:rFonts w:ascii="Arial" w:hAnsi="Arial" w:cs="Arial"/>
                <w:sz w:val="16"/>
                <w:szCs w:val="16"/>
              </w:rPr>
            </w:pPr>
          </w:p>
        </w:tc>
        <w:tc>
          <w:tcPr>
            <w:tcW w:w="411" w:type="pct"/>
            <w:vMerge/>
            <w:shd w:val="clear" w:color="auto" w:fill="F2F2F2"/>
            <w:vAlign w:val="center"/>
          </w:tcPr>
          <w:p w14:paraId="13B0B667" w14:textId="77777777" w:rsidR="00DB54B7" w:rsidRPr="004E3242" w:rsidRDefault="00DB54B7" w:rsidP="004E3242">
            <w:pPr>
              <w:spacing w:before="20" w:after="20" w:line="240" w:lineRule="auto"/>
              <w:jc w:val="center"/>
              <w:rPr>
                <w:rFonts w:ascii="Arial" w:hAnsi="Arial" w:cs="Arial"/>
                <w:sz w:val="16"/>
                <w:szCs w:val="16"/>
              </w:rPr>
            </w:pPr>
          </w:p>
        </w:tc>
        <w:tc>
          <w:tcPr>
            <w:tcW w:w="684" w:type="pct"/>
            <w:vMerge/>
            <w:shd w:val="clear" w:color="auto" w:fill="F2F2F2"/>
            <w:vAlign w:val="center"/>
          </w:tcPr>
          <w:p w14:paraId="7D5249F5" w14:textId="77777777" w:rsidR="00DB54B7" w:rsidRPr="004E3242" w:rsidDel="00453FB0" w:rsidRDefault="00DB54B7" w:rsidP="004E3242">
            <w:pPr>
              <w:spacing w:before="20" w:after="20" w:line="240" w:lineRule="auto"/>
              <w:jc w:val="center"/>
              <w:rPr>
                <w:rFonts w:ascii="Arial" w:hAnsi="Arial" w:cs="Arial"/>
                <w:sz w:val="16"/>
                <w:szCs w:val="16"/>
              </w:rPr>
            </w:pPr>
          </w:p>
        </w:tc>
        <w:tc>
          <w:tcPr>
            <w:tcW w:w="230" w:type="pct"/>
            <w:vMerge/>
            <w:shd w:val="clear" w:color="auto" w:fill="F2F2F2"/>
            <w:vAlign w:val="center"/>
          </w:tcPr>
          <w:p w14:paraId="58EC3337" w14:textId="77777777" w:rsidR="00DB54B7" w:rsidRPr="004E3242" w:rsidRDefault="00DB54B7" w:rsidP="004E3242">
            <w:pPr>
              <w:spacing w:before="20" w:after="20" w:line="240" w:lineRule="auto"/>
              <w:jc w:val="center"/>
              <w:rPr>
                <w:rFonts w:ascii="Arial" w:hAnsi="Arial" w:cs="Arial"/>
                <w:spacing w:val="4"/>
                <w:sz w:val="16"/>
                <w:szCs w:val="16"/>
              </w:rPr>
            </w:pPr>
          </w:p>
        </w:tc>
        <w:tc>
          <w:tcPr>
            <w:tcW w:w="316" w:type="pct"/>
            <w:vMerge/>
            <w:shd w:val="clear" w:color="auto" w:fill="F2F2F2"/>
            <w:vAlign w:val="center"/>
          </w:tcPr>
          <w:p w14:paraId="78759E84" w14:textId="77777777" w:rsidR="00DB54B7" w:rsidRPr="004E3242" w:rsidRDefault="00DB54B7" w:rsidP="004E3242">
            <w:pPr>
              <w:spacing w:before="20" w:after="20" w:line="240" w:lineRule="auto"/>
              <w:jc w:val="center"/>
              <w:rPr>
                <w:rFonts w:ascii="Arial" w:hAnsi="Arial" w:cs="Arial"/>
                <w:spacing w:val="4"/>
                <w:sz w:val="16"/>
                <w:szCs w:val="16"/>
              </w:rPr>
            </w:pPr>
          </w:p>
        </w:tc>
        <w:tc>
          <w:tcPr>
            <w:tcW w:w="319" w:type="pct"/>
            <w:shd w:val="clear" w:color="auto" w:fill="F2F2F2"/>
            <w:vAlign w:val="center"/>
          </w:tcPr>
          <w:p w14:paraId="534F307A"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410" w:type="pct"/>
            <w:shd w:val="clear" w:color="auto" w:fill="F2F2F2"/>
            <w:vAlign w:val="center"/>
          </w:tcPr>
          <w:p w14:paraId="2003A259"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0</w:t>
            </w:r>
          </w:p>
        </w:tc>
        <w:tc>
          <w:tcPr>
            <w:tcW w:w="457" w:type="pct"/>
            <w:shd w:val="clear" w:color="auto" w:fill="F2F2F2"/>
            <w:vAlign w:val="center"/>
          </w:tcPr>
          <w:p w14:paraId="4677E4A2" w14:textId="77777777" w:rsidR="00DB54B7" w:rsidRDefault="00DB54B7" w:rsidP="004E3242">
            <w:pPr>
              <w:spacing w:before="20" w:after="20" w:line="240" w:lineRule="auto"/>
              <w:jc w:val="center"/>
              <w:rPr>
                <w:rFonts w:ascii="Arial" w:hAnsi="Arial" w:cs="Arial"/>
                <w:spacing w:val="4"/>
                <w:sz w:val="16"/>
                <w:szCs w:val="16"/>
              </w:rPr>
            </w:pPr>
          </w:p>
          <w:p w14:paraId="008AEC74" w14:textId="77777777" w:rsidR="00DB54B7" w:rsidRPr="004E3242" w:rsidRDefault="00DB54B7" w:rsidP="004E3242">
            <w:pPr>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5E7A41">
              <w:rPr>
                <w:rFonts w:ascii="Arial" w:hAnsi="Arial" w:cs="Arial"/>
                <w:spacing w:val="4"/>
                <w:sz w:val="16"/>
                <w:szCs w:val="16"/>
              </w:rPr>
              <w:t>183</w:t>
            </w:r>
          </w:p>
        </w:tc>
        <w:tc>
          <w:tcPr>
            <w:tcW w:w="319" w:type="pct"/>
            <w:shd w:val="clear" w:color="auto" w:fill="F2F2F2"/>
            <w:vAlign w:val="center"/>
          </w:tcPr>
          <w:p w14:paraId="6C9DCA32" w14:textId="77777777" w:rsidR="00DB54B7" w:rsidRPr="004E3242" w:rsidRDefault="00DB54B7" w:rsidP="004E3242">
            <w:pPr>
              <w:spacing w:before="20" w:after="20" w:line="240" w:lineRule="auto"/>
              <w:jc w:val="center"/>
              <w:rPr>
                <w:sz w:val="16"/>
                <w:szCs w:val="16"/>
              </w:rPr>
            </w:pPr>
            <w:r w:rsidRPr="004E3242">
              <w:rPr>
                <w:sz w:val="16"/>
                <w:szCs w:val="16"/>
              </w:rPr>
              <w:t>SL 2014</w:t>
            </w:r>
          </w:p>
        </w:tc>
        <w:tc>
          <w:tcPr>
            <w:tcW w:w="1672" w:type="pct"/>
            <w:shd w:val="clear" w:color="auto" w:fill="F2F2F2"/>
            <w:vAlign w:val="center"/>
          </w:tcPr>
          <w:p w14:paraId="7C62D8DF" w14:textId="77777777" w:rsidR="00DB54B7" w:rsidRPr="004E3242" w:rsidRDefault="00DB54B7"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Wskaźnik odzwierciedla logikę wsparcia w ramach osi w zakresie sektora elektroenergetycznego. Wraz ze wskaźnikiem „Długość nowo wybudowanych lub zmodernizowanych gazociągów przesyłowych lub dystrybucyjnych” reprezentuje większość alokacji na priorytet.</w:t>
            </w:r>
          </w:p>
        </w:tc>
      </w:tr>
      <w:tr w:rsidR="00DB54B7" w:rsidRPr="004E3242" w14:paraId="61E7DB6A" w14:textId="77777777" w:rsidTr="00AA7998">
        <w:tc>
          <w:tcPr>
            <w:tcW w:w="182" w:type="pct"/>
            <w:vMerge w:val="restart"/>
            <w:shd w:val="clear" w:color="auto" w:fill="F2F2F2"/>
            <w:vAlign w:val="center"/>
          </w:tcPr>
          <w:p w14:paraId="297A4BA5" w14:textId="77777777" w:rsidR="00DB54B7" w:rsidRPr="004E3242" w:rsidDel="00453FB0" w:rsidRDefault="00DB54B7" w:rsidP="004E3242">
            <w:pPr>
              <w:spacing w:before="20" w:after="20" w:line="240" w:lineRule="auto"/>
              <w:jc w:val="center"/>
              <w:rPr>
                <w:rFonts w:ascii="Arial" w:hAnsi="Arial" w:cs="Arial"/>
                <w:sz w:val="16"/>
                <w:szCs w:val="16"/>
              </w:rPr>
            </w:pPr>
            <w:r w:rsidRPr="004E3242">
              <w:rPr>
                <w:rFonts w:ascii="Arial" w:hAnsi="Arial" w:cs="Arial"/>
                <w:sz w:val="16"/>
                <w:szCs w:val="16"/>
              </w:rPr>
              <w:t>5.</w:t>
            </w:r>
          </w:p>
        </w:tc>
        <w:tc>
          <w:tcPr>
            <w:tcW w:w="411" w:type="pct"/>
            <w:vMerge w:val="restart"/>
            <w:shd w:val="clear" w:color="auto" w:fill="F2F2F2"/>
            <w:vAlign w:val="center"/>
          </w:tcPr>
          <w:p w14:paraId="53B4B628" w14:textId="77777777" w:rsidR="00DB54B7" w:rsidRPr="004E3242" w:rsidRDefault="00DB54B7" w:rsidP="004E3242">
            <w:pPr>
              <w:spacing w:before="20" w:after="20" w:line="240" w:lineRule="auto"/>
              <w:jc w:val="center"/>
              <w:rPr>
                <w:rFonts w:ascii="Arial" w:hAnsi="Arial" w:cs="Arial"/>
                <w:sz w:val="16"/>
                <w:szCs w:val="16"/>
              </w:rPr>
            </w:pPr>
            <w:r w:rsidRPr="004E3242">
              <w:rPr>
                <w:rFonts w:ascii="Arial" w:hAnsi="Arial" w:cs="Arial"/>
                <w:sz w:val="16"/>
                <w:szCs w:val="16"/>
              </w:rPr>
              <w:t>Kluczowy etap wdrożeniowy</w:t>
            </w:r>
          </w:p>
        </w:tc>
        <w:tc>
          <w:tcPr>
            <w:tcW w:w="684" w:type="pct"/>
            <w:vMerge w:val="restart"/>
            <w:shd w:val="clear" w:color="auto" w:fill="F2F2F2"/>
            <w:vAlign w:val="center"/>
          </w:tcPr>
          <w:p w14:paraId="56BD05BB" w14:textId="77777777" w:rsidR="00DB54B7" w:rsidRPr="004E3242" w:rsidDel="00453FB0" w:rsidRDefault="00DB54B7" w:rsidP="004E3242">
            <w:pPr>
              <w:spacing w:before="20" w:after="20" w:line="240" w:lineRule="auto"/>
              <w:rPr>
                <w:rFonts w:ascii="Arial" w:hAnsi="Arial" w:cs="Arial"/>
                <w:sz w:val="16"/>
                <w:szCs w:val="16"/>
              </w:rPr>
            </w:pPr>
            <w:r w:rsidRPr="004E3242">
              <w:rPr>
                <w:rFonts w:ascii="Arial" w:hAnsi="Arial" w:cs="Arial"/>
                <w:sz w:val="16"/>
                <w:szCs w:val="16"/>
              </w:rPr>
              <w:t>Długość nowo budowanych lub modernizowanych elektroenergetycznych sieci przesyłowych</w:t>
            </w:r>
            <w:r w:rsidRPr="004E3242">
              <w:rPr>
                <w:rFonts w:ascii="Arial" w:hAnsi="Arial" w:cs="Arial"/>
                <w:sz w:val="16"/>
                <w:szCs w:val="16"/>
              </w:rPr>
              <w:br w:type="page"/>
              <w:t xml:space="preserve"> lub dystrybucyjnych wg zawartych umów o dofinansowanie</w:t>
            </w:r>
          </w:p>
        </w:tc>
        <w:tc>
          <w:tcPr>
            <w:tcW w:w="230" w:type="pct"/>
            <w:vMerge w:val="restart"/>
            <w:shd w:val="clear" w:color="auto" w:fill="F2F2F2"/>
            <w:vAlign w:val="center"/>
          </w:tcPr>
          <w:p w14:paraId="2C91B1AC"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km</w:t>
            </w:r>
          </w:p>
        </w:tc>
        <w:tc>
          <w:tcPr>
            <w:tcW w:w="316" w:type="pct"/>
            <w:vMerge w:val="restart"/>
            <w:shd w:val="clear" w:color="auto" w:fill="F2F2F2"/>
            <w:vAlign w:val="center"/>
          </w:tcPr>
          <w:p w14:paraId="6C59EC0C"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19" w:type="pct"/>
            <w:shd w:val="clear" w:color="auto" w:fill="F2F2F2"/>
            <w:vAlign w:val="center"/>
          </w:tcPr>
          <w:p w14:paraId="50C17D06"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w:t>
            </w:r>
          </w:p>
          <w:p w14:paraId="29E621FA"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410" w:type="pct"/>
            <w:shd w:val="clear" w:color="auto" w:fill="F2F2F2"/>
            <w:vAlign w:val="center"/>
          </w:tcPr>
          <w:p w14:paraId="7CB242A4" w14:textId="77777777" w:rsidR="00DB54B7" w:rsidRDefault="00DB54B7" w:rsidP="004E3242">
            <w:pPr>
              <w:spacing w:before="20" w:after="20" w:line="240" w:lineRule="auto"/>
              <w:jc w:val="center"/>
              <w:rPr>
                <w:rFonts w:ascii="Arial" w:hAnsi="Arial" w:cs="Arial"/>
                <w:spacing w:val="4"/>
                <w:sz w:val="16"/>
                <w:szCs w:val="16"/>
              </w:rPr>
            </w:pPr>
          </w:p>
          <w:p w14:paraId="5DB39113" w14:textId="77777777" w:rsidR="00DB54B7" w:rsidRPr="004E3242" w:rsidRDefault="00DB54B7" w:rsidP="004E3242">
            <w:pPr>
              <w:spacing w:before="20" w:after="20" w:line="240" w:lineRule="auto"/>
              <w:jc w:val="center"/>
              <w:rPr>
                <w:rFonts w:ascii="Arial" w:hAnsi="Arial" w:cs="Arial"/>
                <w:spacing w:val="4"/>
                <w:sz w:val="16"/>
                <w:szCs w:val="16"/>
              </w:rPr>
            </w:pPr>
            <w:r w:rsidRPr="000039BD">
              <w:rPr>
                <w:rFonts w:ascii="Arial" w:hAnsi="Arial" w:cs="Arial"/>
                <w:spacing w:val="4"/>
                <w:sz w:val="16"/>
                <w:szCs w:val="16"/>
              </w:rPr>
              <w:t>347</w:t>
            </w:r>
          </w:p>
        </w:tc>
        <w:tc>
          <w:tcPr>
            <w:tcW w:w="457" w:type="pct"/>
            <w:shd w:val="clear" w:color="auto" w:fill="F2F2F2"/>
            <w:vAlign w:val="center"/>
          </w:tcPr>
          <w:p w14:paraId="4CD17DB6"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t>
            </w:r>
          </w:p>
        </w:tc>
        <w:tc>
          <w:tcPr>
            <w:tcW w:w="319" w:type="pct"/>
            <w:shd w:val="clear" w:color="auto" w:fill="F2F2F2"/>
            <w:vAlign w:val="center"/>
          </w:tcPr>
          <w:p w14:paraId="1BD099F8" w14:textId="77777777" w:rsidR="00DB54B7" w:rsidRPr="004E3242" w:rsidRDefault="00DB54B7" w:rsidP="004E3242">
            <w:pPr>
              <w:spacing w:before="20" w:after="20" w:line="240" w:lineRule="auto"/>
              <w:jc w:val="center"/>
              <w:rPr>
                <w:sz w:val="16"/>
                <w:szCs w:val="16"/>
              </w:rPr>
            </w:pPr>
            <w:r w:rsidRPr="004E3242">
              <w:rPr>
                <w:rFonts w:ascii="Arial" w:hAnsi="Arial" w:cs="Arial"/>
                <w:spacing w:val="4"/>
                <w:sz w:val="16"/>
                <w:szCs w:val="16"/>
              </w:rPr>
              <w:t>dane instytucji zgromadzone w SL 2014</w:t>
            </w:r>
          </w:p>
        </w:tc>
        <w:tc>
          <w:tcPr>
            <w:tcW w:w="1672" w:type="pct"/>
            <w:shd w:val="clear" w:color="auto" w:fill="F2F2F2"/>
            <w:vAlign w:val="center"/>
          </w:tcPr>
          <w:p w14:paraId="2CAF7352" w14:textId="77777777" w:rsidR="00DB54B7" w:rsidRPr="004E3242" w:rsidRDefault="00DB54B7"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KEW uzasadniony charakterem planowanych inwestycji (długi czas przygotowania i realizacji)</w:t>
            </w:r>
          </w:p>
        </w:tc>
      </w:tr>
      <w:tr w:rsidR="00DB54B7" w:rsidRPr="004E3242" w14:paraId="65FAD4BC" w14:textId="77777777" w:rsidTr="00AA7998">
        <w:tc>
          <w:tcPr>
            <w:tcW w:w="182" w:type="pct"/>
            <w:vMerge/>
            <w:shd w:val="clear" w:color="auto" w:fill="F2F2F2"/>
            <w:vAlign w:val="center"/>
          </w:tcPr>
          <w:p w14:paraId="16D96E6B" w14:textId="77777777" w:rsidR="00DB54B7" w:rsidRPr="004E3242" w:rsidDel="00453FB0" w:rsidRDefault="00DB54B7" w:rsidP="004E3242">
            <w:pPr>
              <w:spacing w:before="20" w:after="20" w:line="240" w:lineRule="auto"/>
              <w:jc w:val="center"/>
              <w:rPr>
                <w:rFonts w:ascii="Arial" w:hAnsi="Arial" w:cs="Arial"/>
                <w:sz w:val="16"/>
                <w:szCs w:val="16"/>
              </w:rPr>
            </w:pPr>
          </w:p>
        </w:tc>
        <w:tc>
          <w:tcPr>
            <w:tcW w:w="411" w:type="pct"/>
            <w:vMerge/>
            <w:shd w:val="clear" w:color="auto" w:fill="F2F2F2"/>
            <w:vAlign w:val="center"/>
          </w:tcPr>
          <w:p w14:paraId="2E6DAA7B" w14:textId="77777777" w:rsidR="00DB54B7" w:rsidRPr="004E3242" w:rsidRDefault="00DB54B7" w:rsidP="004E3242">
            <w:pPr>
              <w:spacing w:before="20" w:after="20" w:line="240" w:lineRule="auto"/>
              <w:jc w:val="center"/>
              <w:rPr>
                <w:rFonts w:ascii="Arial" w:hAnsi="Arial" w:cs="Arial"/>
                <w:sz w:val="16"/>
                <w:szCs w:val="16"/>
              </w:rPr>
            </w:pPr>
          </w:p>
        </w:tc>
        <w:tc>
          <w:tcPr>
            <w:tcW w:w="684" w:type="pct"/>
            <w:vMerge/>
            <w:shd w:val="clear" w:color="auto" w:fill="F2F2F2"/>
            <w:vAlign w:val="center"/>
          </w:tcPr>
          <w:p w14:paraId="4031FF95" w14:textId="77777777" w:rsidR="00DB54B7" w:rsidRPr="004E3242" w:rsidDel="00453FB0" w:rsidRDefault="00DB54B7" w:rsidP="004E3242">
            <w:pPr>
              <w:spacing w:before="20" w:after="20" w:line="240" w:lineRule="auto"/>
              <w:jc w:val="center"/>
              <w:rPr>
                <w:rFonts w:ascii="Arial" w:hAnsi="Arial" w:cs="Arial"/>
                <w:sz w:val="16"/>
                <w:szCs w:val="16"/>
              </w:rPr>
            </w:pPr>
          </w:p>
        </w:tc>
        <w:tc>
          <w:tcPr>
            <w:tcW w:w="230" w:type="pct"/>
            <w:vMerge/>
            <w:shd w:val="clear" w:color="auto" w:fill="F2F2F2"/>
            <w:vAlign w:val="center"/>
          </w:tcPr>
          <w:p w14:paraId="5926DB3B" w14:textId="77777777" w:rsidR="00DB54B7" w:rsidRPr="004E3242" w:rsidRDefault="00DB54B7" w:rsidP="004E3242">
            <w:pPr>
              <w:spacing w:before="20" w:after="20" w:line="240" w:lineRule="auto"/>
              <w:jc w:val="center"/>
              <w:rPr>
                <w:rFonts w:ascii="Arial" w:hAnsi="Arial" w:cs="Arial"/>
                <w:spacing w:val="4"/>
                <w:sz w:val="16"/>
                <w:szCs w:val="16"/>
              </w:rPr>
            </w:pPr>
          </w:p>
        </w:tc>
        <w:tc>
          <w:tcPr>
            <w:tcW w:w="316" w:type="pct"/>
            <w:vMerge/>
            <w:shd w:val="clear" w:color="auto" w:fill="F2F2F2"/>
            <w:vAlign w:val="center"/>
          </w:tcPr>
          <w:p w14:paraId="42B55A0C" w14:textId="77777777" w:rsidR="00DB54B7" w:rsidRPr="004E3242" w:rsidRDefault="00DB54B7" w:rsidP="004E3242">
            <w:pPr>
              <w:spacing w:before="20" w:after="20" w:line="240" w:lineRule="auto"/>
              <w:jc w:val="center"/>
              <w:rPr>
                <w:rFonts w:ascii="Arial" w:hAnsi="Arial" w:cs="Arial"/>
                <w:spacing w:val="4"/>
                <w:sz w:val="16"/>
                <w:szCs w:val="16"/>
              </w:rPr>
            </w:pPr>
          </w:p>
        </w:tc>
        <w:tc>
          <w:tcPr>
            <w:tcW w:w="319" w:type="pct"/>
            <w:shd w:val="clear" w:color="auto" w:fill="F2F2F2"/>
            <w:vAlign w:val="center"/>
          </w:tcPr>
          <w:p w14:paraId="424C629D"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410" w:type="pct"/>
            <w:shd w:val="clear" w:color="auto" w:fill="F2F2F2"/>
            <w:vAlign w:val="center"/>
          </w:tcPr>
          <w:p w14:paraId="076FFC3A" w14:textId="77777777" w:rsidR="00DB54B7" w:rsidRDefault="00DB54B7" w:rsidP="004E3242">
            <w:pPr>
              <w:spacing w:before="20" w:after="20" w:line="240" w:lineRule="auto"/>
              <w:jc w:val="center"/>
              <w:rPr>
                <w:rFonts w:ascii="Arial" w:hAnsi="Arial" w:cs="Arial"/>
                <w:spacing w:val="4"/>
                <w:sz w:val="16"/>
                <w:szCs w:val="16"/>
              </w:rPr>
            </w:pPr>
          </w:p>
          <w:p w14:paraId="6E2BF2B7" w14:textId="77777777" w:rsidR="00DB54B7" w:rsidRPr="004E3242" w:rsidRDefault="00DB54B7" w:rsidP="004E3242">
            <w:pPr>
              <w:spacing w:before="20" w:after="20" w:line="240" w:lineRule="auto"/>
              <w:jc w:val="center"/>
              <w:rPr>
                <w:rFonts w:ascii="Arial" w:hAnsi="Arial" w:cs="Arial"/>
                <w:spacing w:val="4"/>
                <w:sz w:val="16"/>
                <w:szCs w:val="16"/>
              </w:rPr>
            </w:pPr>
            <w:r w:rsidRPr="000039BD">
              <w:rPr>
                <w:rFonts w:ascii="Arial" w:hAnsi="Arial" w:cs="Arial"/>
                <w:spacing w:val="4"/>
                <w:sz w:val="16"/>
                <w:szCs w:val="16"/>
              </w:rPr>
              <w:t>83</w:t>
            </w:r>
          </w:p>
        </w:tc>
        <w:tc>
          <w:tcPr>
            <w:tcW w:w="457" w:type="pct"/>
            <w:shd w:val="clear" w:color="auto" w:fill="F2F2F2"/>
            <w:vAlign w:val="center"/>
          </w:tcPr>
          <w:p w14:paraId="270B58C8" w14:textId="77777777" w:rsidR="00DB54B7" w:rsidRPr="004E3242" w:rsidRDefault="00DB54B7"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w:t>
            </w:r>
          </w:p>
        </w:tc>
        <w:tc>
          <w:tcPr>
            <w:tcW w:w="319" w:type="pct"/>
            <w:shd w:val="clear" w:color="auto" w:fill="F2F2F2"/>
            <w:vAlign w:val="center"/>
          </w:tcPr>
          <w:p w14:paraId="7959C5B2" w14:textId="77777777" w:rsidR="00DB54B7" w:rsidRPr="004E3242" w:rsidRDefault="00DB54B7" w:rsidP="004E3242">
            <w:pPr>
              <w:spacing w:before="20" w:after="20" w:line="240" w:lineRule="auto"/>
              <w:jc w:val="center"/>
              <w:rPr>
                <w:sz w:val="16"/>
                <w:szCs w:val="16"/>
              </w:rPr>
            </w:pPr>
            <w:r w:rsidRPr="004E3242">
              <w:rPr>
                <w:rFonts w:ascii="Arial" w:hAnsi="Arial" w:cs="Arial"/>
                <w:spacing w:val="4"/>
                <w:sz w:val="16"/>
                <w:szCs w:val="16"/>
              </w:rPr>
              <w:t>dane instytucji zgromadzone w SL 2014</w:t>
            </w:r>
          </w:p>
        </w:tc>
        <w:tc>
          <w:tcPr>
            <w:tcW w:w="1672" w:type="pct"/>
            <w:shd w:val="clear" w:color="auto" w:fill="F2F2F2"/>
            <w:vAlign w:val="center"/>
          </w:tcPr>
          <w:p w14:paraId="04024417" w14:textId="77777777" w:rsidR="00DB54B7" w:rsidRPr="004E3242" w:rsidRDefault="00DB54B7" w:rsidP="004E3242">
            <w:pPr>
              <w:spacing w:before="20" w:after="20" w:line="240" w:lineRule="auto"/>
              <w:jc w:val="both"/>
              <w:rPr>
                <w:rFonts w:ascii="Arial" w:hAnsi="Arial" w:cs="Arial"/>
                <w:spacing w:val="4"/>
                <w:sz w:val="16"/>
                <w:szCs w:val="16"/>
              </w:rPr>
            </w:pPr>
            <w:r w:rsidRPr="004E3242">
              <w:rPr>
                <w:rFonts w:ascii="Arial" w:hAnsi="Arial" w:cs="Arial"/>
                <w:spacing w:val="4"/>
                <w:sz w:val="16"/>
                <w:szCs w:val="16"/>
              </w:rPr>
              <w:t>KEW uzasadniony charakterem planowanych inwestycji (długi czas przygotowania i realizacji)</w:t>
            </w:r>
          </w:p>
        </w:tc>
      </w:tr>
    </w:tbl>
    <w:p w14:paraId="62C01AD8" w14:textId="77777777" w:rsidR="004E3242" w:rsidRPr="004E3242" w:rsidRDefault="004E3242" w:rsidP="004E3242">
      <w:pPr>
        <w:spacing w:after="0" w:line="240" w:lineRule="auto"/>
        <w:jc w:val="both"/>
        <w:rPr>
          <w:rFonts w:ascii="Arial" w:hAnsi="Arial" w:cs="Arial"/>
          <w:bCs/>
          <w:smallCaps/>
          <w:color w:val="669900"/>
          <w:spacing w:val="4"/>
          <w:sz w:val="20"/>
          <w:szCs w:val="20"/>
        </w:rPr>
      </w:pPr>
    </w:p>
    <w:p w14:paraId="7ED2B58B" w14:textId="77777777" w:rsidR="004E3242" w:rsidRPr="004E3242" w:rsidRDefault="004E3242" w:rsidP="004E3242">
      <w:pPr>
        <w:spacing w:after="0" w:line="240" w:lineRule="auto"/>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Kategorie Interwencji (EUR)</w:t>
      </w:r>
    </w:p>
    <w:p w14:paraId="748B96F8" w14:textId="77777777" w:rsidR="004E3242" w:rsidRPr="004E3242" w:rsidRDefault="004E3242" w:rsidP="004E3242">
      <w:pPr>
        <w:spacing w:after="0" w:line="240" w:lineRule="auto"/>
        <w:jc w:val="both"/>
        <w:rPr>
          <w:rFonts w:ascii="Arial" w:hAnsi="Arial" w:cs="Arial"/>
          <w:bCs/>
          <w:smallCaps/>
          <w:color w:val="669900"/>
          <w:spacing w:val="4"/>
          <w:sz w:val="20"/>
          <w:szCs w:val="20"/>
        </w:rPr>
      </w:pPr>
    </w:p>
    <w:tbl>
      <w:tblPr>
        <w:tblW w:w="5312" w:type="pct"/>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852"/>
        <w:gridCol w:w="1132"/>
        <w:gridCol w:w="1279"/>
        <w:gridCol w:w="571"/>
        <w:gridCol w:w="992"/>
        <w:gridCol w:w="662"/>
        <w:gridCol w:w="754"/>
        <w:gridCol w:w="1275"/>
        <w:gridCol w:w="179"/>
        <w:gridCol w:w="245"/>
        <w:gridCol w:w="992"/>
        <w:gridCol w:w="1275"/>
        <w:gridCol w:w="1275"/>
        <w:gridCol w:w="564"/>
        <w:gridCol w:w="995"/>
        <w:gridCol w:w="1275"/>
        <w:gridCol w:w="1210"/>
        <w:gridCol w:w="783"/>
      </w:tblGrid>
      <w:tr w:rsidR="004E3242" w:rsidRPr="004E3242" w14:paraId="519DF4B7" w14:textId="77777777" w:rsidTr="00AA7998">
        <w:trPr>
          <w:gridAfter w:val="1"/>
          <w:wAfter w:w="240" w:type="pct"/>
          <w:trHeight w:val="149"/>
        </w:trPr>
        <w:tc>
          <w:tcPr>
            <w:tcW w:w="1000" w:type="pct"/>
            <w:gridSpan w:val="3"/>
            <w:shd w:val="clear" w:color="auto" w:fill="99CC00"/>
          </w:tcPr>
          <w:p w14:paraId="2A2BA381"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Obszar interwencji</w:t>
            </w:r>
          </w:p>
        </w:tc>
        <w:tc>
          <w:tcPr>
            <w:tcW w:w="175" w:type="pct"/>
            <w:shd w:val="clear" w:color="auto" w:fill="FFFFFF"/>
          </w:tcPr>
          <w:p w14:paraId="672C45A2"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1129" w:type="pct"/>
            <w:gridSpan w:val="4"/>
            <w:shd w:val="clear" w:color="auto" w:fill="99CC00"/>
          </w:tcPr>
          <w:p w14:paraId="2878336A"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Forma finansowania</w:t>
            </w:r>
          </w:p>
        </w:tc>
        <w:tc>
          <w:tcPr>
            <w:tcW w:w="130" w:type="pct"/>
            <w:gridSpan w:val="2"/>
            <w:shd w:val="clear" w:color="auto" w:fill="FFFFFF"/>
          </w:tcPr>
          <w:p w14:paraId="26594200"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1086" w:type="pct"/>
            <w:gridSpan w:val="3"/>
            <w:shd w:val="clear" w:color="auto" w:fill="99CC00"/>
          </w:tcPr>
          <w:p w14:paraId="4945C155"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Terytorium</w:t>
            </w:r>
          </w:p>
        </w:tc>
        <w:tc>
          <w:tcPr>
            <w:tcW w:w="173" w:type="pct"/>
            <w:shd w:val="clear" w:color="auto" w:fill="FFFFFF"/>
          </w:tcPr>
          <w:p w14:paraId="1416B0B9"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1067" w:type="pct"/>
            <w:gridSpan w:val="3"/>
            <w:shd w:val="clear" w:color="auto" w:fill="99CC00"/>
          </w:tcPr>
          <w:p w14:paraId="458670B0"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Mechanizmy realizacji wymiaru terytorialnego</w:t>
            </w:r>
          </w:p>
        </w:tc>
      </w:tr>
      <w:tr w:rsidR="004E3242" w:rsidRPr="004E3242" w14:paraId="4D29A5E2" w14:textId="77777777" w:rsidTr="00AA7998">
        <w:trPr>
          <w:gridAfter w:val="1"/>
          <w:wAfter w:w="240" w:type="pct"/>
          <w:trHeight w:val="200"/>
        </w:trPr>
        <w:tc>
          <w:tcPr>
            <w:tcW w:w="261" w:type="pct"/>
            <w:vMerge w:val="restart"/>
            <w:shd w:val="clear" w:color="auto" w:fill="99CC00"/>
          </w:tcPr>
          <w:p w14:paraId="33C1F616"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739" w:type="pct"/>
            <w:gridSpan w:val="2"/>
            <w:shd w:val="clear" w:color="auto" w:fill="99CC00"/>
          </w:tcPr>
          <w:p w14:paraId="330A6928"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75" w:type="pct"/>
            <w:shd w:val="clear" w:color="auto" w:fill="FFFFFF"/>
          </w:tcPr>
          <w:p w14:paraId="31710218"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04" w:type="pct"/>
            <w:vMerge w:val="restart"/>
            <w:shd w:val="clear" w:color="auto" w:fill="99CC00"/>
          </w:tcPr>
          <w:p w14:paraId="576A0F09"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25" w:type="pct"/>
            <w:gridSpan w:val="3"/>
            <w:shd w:val="clear" w:color="auto" w:fill="99CC00"/>
          </w:tcPr>
          <w:p w14:paraId="1ACFAE94"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30" w:type="pct"/>
            <w:gridSpan w:val="2"/>
            <w:shd w:val="clear" w:color="auto" w:fill="FFFFFF"/>
          </w:tcPr>
          <w:p w14:paraId="2C69233B"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04" w:type="pct"/>
            <w:vMerge w:val="restart"/>
            <w:shd w:val="clear" w:color="auto" w:fill="99CC00"/>
          </w:tcPr>
          <w:p w14:paraId="58796281"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782" w:type="pct"/>
            <w:gridSpan w:val="2"/>
            <w:shd w:val="clear" w:color="auto" w:fill="99CC00"/>
          </w:tcPr>
          <w:p w14:paraId="43C4C10F"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73" w:type="pct"/>
            <w:shd w:val="clear" w:color="auto" w:fill="FFFFFF"/>
          </w:tcPr>
          <w:p w14:paraId="6E2F4040"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05" w:type="pct"/>
            <w:vMerge w:val="restart"/>
            <w:shd w:val="clear" w:color="auto" w:fill="99CC00"/>
          </w:tcPr>
          <w:p w14:paraId="25C0D55B"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762" w:type="pct"/>
            <w:gridSpan w:val="2"/>
            <w:shd w:val="clear" w:color="auto" w:fill="99CC00"/>
          </w:tcPr>
          <w:p w14:paraId="71C5D281"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Kwota</w:t>
            </w:r>
          </w:p>
        </w:tc>
      </w:tr>
      <w:tr w:rsidR="004E3242" w:rsidRPr="004E3242" w14:paraId="2442BE46" w14:textId="77777777" w:rsidTr="00AA7998">
        <w:trPr>
          <w:gridAfter w:val="1"/>
          <w:wAfter w:w="240" w:type="pct"/>
          <w:trHeight w:val="239"/>
        </w:trPr>
        <w:tc>
          <w:tcPr>
            <w:tcW w:w="261" w:type="pct"/>
            <w:vMerge/>
            <w:shd w:val="clear" w:color="auto" w:fill="365F91"/>
          </w:tcPr>
          <w:p w14:paraId="51CDB53A"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47" w:type="pct"/>
            <w:shd w:val="clear" w:color="auto" w:fill="99CC00"/>
          </w:tcPr>
          <w:p w14:paraId="5BAE6203"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392" w:type="pct"/>
            <w:shd w:val="clear" w:color="auto" w:fill="99CC00"/>
          </w:tcPr>
          <w:p w14:paraId="4BF2F52A"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75" w:type="pct"/>
            <w:shd w:val="clear" w:color="auto" w:fill="FFFFFF"/>
          </w:tcPr>
          <w:p w14:paraId="42B43190"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04" w:type="pct"/>
            <w:vMerge/>
            <w:shd w:val="clear" w:color="auto" w:fill="99CC00"/>
          </w:tcPr>
          <w:p w14:paraId="15DE2AF8"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434" w:type="pct"/>
            <w:gridSpan w:val="2"/>
            <w:shd w:val="clear" w:color="auto" w:fill="99CC00"/>
          </w:tcPr>
          <w:p w14:paraId="072334C7"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391" w:type="pct"/>
            <w:shd w:val="clear" w:color="auto" w:fill="99CC00"/>
          </w:tcPr>
          <w:p w14:paraId="6CAC711C"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30" w:type="pct"/>
            <w:gridSpan w:val="2"/>
            <w:shd w:val="clear" w:color="auto" w:fill="FFFFFF"/>
          </w:tcPr>
          <w:p w14:paraId="2E7C2F91"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04" w:type="pct"/>
            <w:vMerge/>
            <w:shd w:val="clear" w:color="auto" w:fill="99CC00"/>
          </w:tcPr>
          <w:p w14:paraId="6D3992D5"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91" w:type="pct"/>
            <w:shd w:val="clear" w:color="auto" w:fill="99CC00"/>
          </w:tcPr>
          <w:p w14:paraId="54C2E851"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391" w:type="pct"/>
            <w:shd w:val="clear" w:color="auto" w:fill="99CC00"/>
          </w:tcPr>
          <w:p w14:paraId="54575DD7"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73" w:type="pct"/>
            <w:shd w:val="clear" w:color="auto" w:fill="FFFFFF"/>
          </w:tcPr>
          <w:p w14:paraId="36B7E8F5"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05" w:type="pct"/>
            <w:vMerge/>
            <w:shd w:val="clear" w:color="auto" w:fill="99CC00"/>
          </w:tcPr>
          <w:p w14:paraId="4870CF67" w14:textId="77777777" w:rsidR="004E3242" w:rsidRPr="004E3242" w:rsidRDefault="004E3242" w:rsidP="004E3242">
            <w:pPr>
              <w:spacing w:before="20" w:after="20" w:line="240" w:lineRule="auto"/>
              <w:jc w:val="center"/>
              <w:rPr>
                <w:rFonts w:ascii="Arial" w:hAnsi="Arial" w:cs="Arial"/>
                <w:color w:val="FFFFFF"/>
                <w:sz w:val="16"/>
                <w:szCs w:val="16"/>
              </w:rPr>
            </w:pPr>
          </w:p>
        </w:tc>
        <w:tc>
          <w:tcPr>
            <w:tcW w:w="391" w:type="pct"/>
            <w:shd w:val="clear" w:color="auto" w:fill="99CC00"/>
          </w:tcPr>
          <w:p w14:paraId="2AD17870"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371" w:type="pct"/>
            <w:shd w:val="clear" w:color="auto" w:fill="99CC00"/>
          </w:tcPr>
          <w:p w14:paraId="4106283F"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r>
      <w:tr w:rsidR="004E3242" w:rsidRPr="004E3242" w14:paraId="3791CE00" w14:textId="77777777" w:rsidTr="00AA7998">
        <w:trPr>
          <w:gridAfter w:val="1"/>
          <w:wAfter w:w="240" w:type="pct"/>
          <w:trHeight w:val="124"/>
        </w:trPr>
        <w:tc>
          <w:tcPr>
            <w:tcW w:w="261" w:type="pct"/>
            <w:shd w:val="clear" w:color="auto" w:fill="F2F2F2"/>
          </w:tcPr>
          <w:p w14:paraId="2F8A3E8D"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005</w:t>
            </w:r>
          </w:p>
        </w:tc>
        <w:tc>
          <w:tcPr>
            <w:tcW w:w="347" w:type="pct"/>
            <w:shd w:val="clear" w:color="auto" w:fill="F2F2F2"/>
          </w:tcPr>
          <w:p w14:paraId="658E66C3"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311 000 000</w:t>
            </w:r>
          </w:p>
        </w:tc>
        <w:tc>
          <w:tcPr>
            <w:tcW w:w="392" w:type="pct"/>
            <w:shd w:val="clear" w:color="auto" w:fill="F2F2F2"/>
          </w:tcPr>
          <w:p w14:paraId="230921E1"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9 000 000</w:t>
            </w:r>
          </w:p>
        </w:tc>
        <w:tc>
          <w:tcPr>
            <w:tcW w:w="175" w:type="pct"/>
            <w:shd w:val="clear" w:color="auto" w:fill="FFFFFF"/>
          </w:tcPr>
          <w:p w14:paraId="306582D1"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304" w:type="pct"/>
            <w:shd w:val="clear" w:color="auto" w:fill="F2F2F2"/>
          </w:tcPr>
          <w:p w14:paraId="415849BE"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01</w:t>
            </w:r>
          </w:p>
        </w:tc>
        <w:tc>
          <w:tcPr>
            <w:tcW w:w="434" w:type="pct"/>
            <w:gridSpan w:val="2"/>
            <w:shd w:val="clear" w:color="auto" w:fill="F2F2F2"/>
          </w:tcPr>
          <w:p w14:paraId="7311D23D"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971 806 937</w:t>
            </w:r>
          </w:p>
        </w:tc>
        <w:tc>
          <w:tcPr>
            <w:tcW w:w="391" w:type="pct"/>
            <w:shd w:val="clear" w:color="auto" w:fill="F2F2F2"/>
          </w:tcPr>
          <w:p w14:paraId="0DBB74A9"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28 193 063</w:t>
            </w:r>
          </w:p>
        </w:tc>
        <w:tc>
          <w:tcPr>
            <w:tcW w:w="130" w:type="pct"/>
            <w:gridSpan w:val="2"/>
            <w:shd w:val="clear" w:color="auto" w:fill="FFFFFF"/>
          </w:tcPr>
          <w:p w14:paraId="6B772CAB"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304" w:type="pct"/>
            <w:shd w:val="clear" w:color="auto" w:fill="F2F2F2"/>
          </w:tcPr>
          <w:p w14:paraId="55F97B94"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391" w:type="pct"/>
            <w:shd w:val="clear" w:color="auto" w:fill="F2F2F2"/>
          </w:tcPr>
          <w:p w14:paraId="5F06C67D"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971 806 937</w:t>
            </w:r>
          </w:p>
        </w:tc>
        <w:tc>
          <w:tcPr>
            <w:tcW w:w="391" w:type="pct"/>
            <w:shd w:val="clear" w:color="auto" w:fill="F2F2F2"/>
          </w:tcPr>
          <w:p w14:paraId="21F98E91"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28 193 063</w:t>
            </w:r>
          </w:p>
        </w:tc>
        <w:tc>
          <w:tcPr>
            <w:tcW w:w="173" w:type="pct"/>
            <w:shd w:val="clear" w:color="auto" w:fill="FFFFFF"/>
          </w:tcPr>
          <w:p w14:paraId="7DDF0C64" w14:textId="77777777" w:rsidR="004E3242" w:rsidRPr="004E3242" w:rsidRDefault="004E3242" w:rsidP="004E3242">
            <w:pPr>
              <w:suppressAutoHyphens/>
              <w:spacing w:before="20" w:after="20" w:line="240" w:lineRule="auto"/>
              <w:jc w:val="center"/>
              <w:rPr>
                <w:rFonts w:ascii="Arial" w:hAnsi="Arial" w:cs="Arial"/>
                <w:sz w:val="16"/>
                <w:szCs w:val="16"/>
              </w:rPr>
            </w:pPr>
          </w:p>
        </w:tc>
        <w:tc>
          <w:tcPr>
            <w:tcW w:w="305" w:type="pct"/>
            <w:shd w:val="clear" w:color="auto" w:fill="F2F2F2"/>
          </w:tcPr>
          <w:p w14:paraId="70EB4F9C" w14:textId="77777777" w:rsidR="004E3242" w:rsidRPr="004E3242" w:rsidRDefault="004E3242" w:rsidP="004E3242">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391" w:type="pct"/>
            <w:shd w:val="clear" w:color="auto" w:fill="F2F2F2"/>
          </w:tcPr>
          <w:p w14:paraId="0E5A1A79"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971 806 937</w:t>
            </w:r>
          </w:p>
        </w:tc>
        <w:tc>
          <w:tcPr>
            <w:tcW w:w="371" w:type="pct"/>
            <w:shd w:val="clear" w:color="auto" w:fill="F2F2F2"/>
          </w:tcPr>
          <w:p w14:paraId="31B63EBE"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28 193 063</w:t>
            </w:r>
          </w:p>
        </w:tc>
      </w:tr>
      <w:tr w:rsidR="004E3242" w:rsidRPr="004E3242" w14:paraId="3842EDF8" w14:textId="77777777" w:rsidTr="00AA7998">
        <w:trPr>
          <w:gridAfter w:val="1"/>
          <w:wAfter w:w="240" w:type="pct"/>
          <w:trHeight w:val="64"/>
        </w:trPr>
        <w:tc>
          <w:tcPr>
            <w:tcW w:w="261" w:type="pct"/>
            <w:shd w:val="clear" w:color="auto" w:fill="F2F2F2"/>
          </w:tcPr>
          <w:p w14:paraId="6F989AB5"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006</w:t>
            </w:r>
          </w:p>
        </w:tc>
        <w:tc>
          <w:tcPr>
            <w:tcW w:w="347" w:type="pct"/>
            <w:shd w:val="clear" w:color="auto" w:fill="F2F2F2"/>
          </w:tcPr>
          <w:p w14:paraId="4C74013F"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58 300 000</w:t>
            </w:r>
          </w:p>
        </w:tc>
        <w:tc>
          <w:tcPr>
            <w:tcW w:w="392" w:type="pct"/>
            <w:shd w:val="clear" w:color="auto" w:fill="F2F2F2"/>
          </w:tcPr>
          <w:p w14:paraId="1960B285"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1 700 000</w:t>
            </w:r>
          </w:p>
        </w:tc>
        <w:tc>
          <w:tcPr>
            <w:tcW w:w="175" w:type="pct"/>
            <w:shd w:val="clear" w:color="auto" w:fill="FFFFFF"/>
          </w:tcPr>
          <w:p w14:paraId="2DAD499F"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304" w:type="pct"/>
            <w:shd w:val="clear" w:color="auto" w:fill="D6E3BC"/>
          </w:tcPr>
          <w:p w14:paraId="6BEE202B"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434" w:type="pct"/>
            <w:gridSpan w:val="2"/>
            <w:shd w:val="clear" w:color="auto" w:fill="D6E3BC"/>
          </w:tcPr>
          <w:p w14:paraId="2954EF6F"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971 806 937</w:t>
            </w:r>
          </w:p>
        </w:tc>
        <w:tc>
          <w:tcPr>
            <w:tcW w:w="391" w:type="pct"/>
            <w:shd w:val="clear" w:color="auto" w:fill="D6E3BC"/>
          </w:tcPr>
          <w:p w14:paraId="3A7238AF"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28 193 063</w:t>
            </w:r>
          </w:p>
        </w:tc>
        <w:tc>
          <w:tcPr>
            <w:tcW w:w="130" w:type="pct"/>
            <w:gridSpan w:val="2"/>
            <w:shd w:val="clear" w:color="auto" w:fill="FFFFFF"/>
          </w:tcPr>
          <w:p w14:paraId="4AF576BA"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304" w:type="pct"/>
            <w:shd w:val="clear" w:color="auto" w:fill="D6E3BC"/>
          </w:tcPr>
          <w:p w14:paraId="45D89FA7"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391" w:type="pct"/>
            <w:shd w:val="clear" w:color="auto" w:fill="D6E3BC"/>
          </w:tcPr>
          <w:p w14:paraId="22719A98"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971 806 937</w:t>
            </w:r>
          </w:p>
        </w:tc>
        <w:tc>
          <w:tcPr>
            <w:tcW w:w="391" w:type="pct"/>
            <w:shd w:val="clear" w:color="auto" w:fill="D6E3BC"/>
          </w:tcPr>
          <w:p w14:paraId="7B447349"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28 193 063</w:t>
            </w:r>
          </w:p>
        </w:tc>
        <w:tc>
          <w:tcPr>
            <w:tcW w:w="173" w:type="pct"/>
            <w:shd w:val="clear" w:color="auto" w:fill="FFFFFF"/>
          </w:tcPr>
          <w:p w14:paraId="0C07AEF5" w14:textId="77777777" w:rsidR="004E3242" w:rsidRPr="004E3242" w:rsidRDefault="004E3242" w:rsidP="004E3242">
            <w:pPr>
              <w:spacing w:before="20" w:after="20" w:line="240" w:lineRule="auto"/>
              <w:jc w:val="center"/>
              <w:rPr>
                <w:rFonts w:ascii="Arial" w:hAnsi="Arial" w:cs="Arial"/>
                <w:b/>
                <w:color w:val="FFFFFF"/>
                <w:sz w:val="16"/>
                <w:szCs w:val="16"/>
              </w:rPr>
            </w:pPr>
          </w:p>
        </w:tc>
        <w:tc>
          <w:tcPr>
            <w:tcW w:w="305" w:type="pct"/>
            <w:shd w:val="clear" w:color="auto" w:fill="D6E3BC"/>
          </w:tcPr>
          <w:p w14:paraId="1DCFB52A"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391" w:type="pct"/>
            <w:shd w:val="clear" w:color="auto" w:fill="D6E3BC"/>
          </w:tcPr>
          <w:p w14:paraId="4465BCA9"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971 806 937</w:t>
            </w:r>
          </w:p>
        </w:tc>
        <w:tc>
          <w:tcPr>
            <w:tcW w:w="371" w:type="pct"/>
            <w:shd w:val="clear" w:color="auto" w:fill="D6E3BC"/>
          </w:tcPr>
          <w:p w14:paraId="0E038646"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28 193 063</w:t>
            </w:r>
          </w:p>
        </w:tc>
      </w:tr>
      <w:tr w:rsidR="004E3242" w:rsidRPr="004E3242" w14:paraId="0491A783" w14:textId="77777777" w:rsidTr="00AA7998">
        <w:tc>
          <w:tcPr>
            <w:tcW w:w="261" w:type="pct"/>
            <w:shd w:val="clear" w:color="auto" w:fill="F2F2F2"/>
          </w:tcPr>
          <w:p w14:paraId="7AB001F5"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007</w:t>
            </w:r>
          </w:p>
        </w:tc>
        <w:tc>
          <w:tcPr>
            <w:tcW w:w="347" w:type="pct"/>
            <w:shd w:val="clear" w:color="auto" w:fill="F2F2F2"/>
          </w:tcPr>
          <w:p w14:paraId="4D47FD0E"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184 600 000</w:t>
            </w:r>
          </w:p>
        </w:tc>
        <w:tc>
          <w:tcPr>
            <w:tcW w:w="392" w:type="pct"/>
            <w:shd w:val="clear" w:color="auto" w:fill="F2F2F2"/>
          </w:tcPr>
          <w:p w14:paraId="5DC3CF09"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5 400 000</w:t>
            </w:r>
          </w:p>
        </w:tc>
        <w:tc>
          <w:tcPr>
            <w:tcW w:w="175" w:type="pct"/>
            <w:shd w:val="clear" w:color="auto" w:fill="FFFFFF"/>
          </w:tcPr>
          <w:p w14:paraId="3BEA7B04" w14:textId="77777777" w:rsidR="004E3242" w:rsidRPr="004E3242" w:rsidRDefault="004E3242" w:rsidP="004E3242">
            <w:pPr>
              <w:spacing w:before="20" w:after="20" w:line="240" w:lineRule="auto"/>
              <w:jc w:val="center"/>
              <w:rPr>
                <w:rFonts w:ascii="Arial" w:hAnsi="Arial" w:cs="Arial"/>
                <w:b/>
                <w:sz w:val="16"/>
                <w:szCs w:val="16"/>
              </w:rPr>
            </w:pPr>
          </w:p>
        </w:tc>
        <w:tc>
          <w:tcPr>
            <w:tcW w:w="507" w:type="pct"/>
            <w:gridSpan w:val="2"/>
            <w:shd w:val="clear" w:color="auto" w:fill="FFFFFF"/>
          </w:tcPr>
          <w:p w14:paraId="2D7E0DC3" w14:textId="77777777" w:rsidR="004E3242" w:rsidRPr="004E3242" w:rsidRDefault="004E3242" w:rsidP="004E3242">
            <w:pPr>
              <w:spacing w:before="20" w:after="20" w:line="240" w:lineRule="auto"/>
              <w:jc w:val="center"/>
              <w:rPr>
                <w:rFonts w:ascii="Arial" w:hAnsi="Arial" w:cs="Arial"/>
                <w:b/>
                <w:sz w:val="16"/>
                <w:szCs w:val="16"/>
              </w:rPr>
            </w:pPr>
          </w:p>
        </w:tc>
        <w:tc>
          <w:tcPr>
            <w:tcW w:w="677" w:type="pct"/>
            <w:gridSpan w:val="3"/>
            <w:shd w:val="clear" w:color="auto" w:fill="FFFFFF"/>
          </w:tcPr>
          <w:p w14:paraId="57E2CC5A" w14:textId="77777777" w:rsidR="004E3242" w:rsidRPr="004E3242" w:rsidRDefault="004E3242" w:rsidP="004E3242">
            <w:pPr>
              <w:spacing w:before="20" w:after="20" w:line="240" w:lineRule="auto"/>
              <w:jc w:val="center"/>
              <w:rPr>
                <w:rFonts w:ascii="Arial" w:hAnsi="Arial" w:cs="Arial"/>
                <w:b/>
                <w:sz w:val="16"/>
                <w:szCs w:val="16"/>
              </w:rPr>
            </w:pPr>
          </w:p>
        </w:tc>
        <w:tc>
          <w:tcPr>
            <w:tcW w:w="2641" w:type="pct"/>
            <w:gridSpan w:val="9"/>
            <w:vMerge w:val="restart"/>
            <w:shd w:val="clear" w:color="auto" w:fill="FFFFFF"/>
          </w:tcPr>
          <w:p w14:paraId="32C682B8" w14:textId="77777777" w:rsidR="004E3242" w:rsidRPr="004E3242" w:rsidRDefault="004E3242" w:rsidP="004E3242">
            <w:pPr>
              <w:spacing w:before="20" w:after="20" w:line="240" w:lineRule="auto"/>
              <w:jc w:val="center"/>
              <w:rPr>
                <w:rFonts w:ascii="Arial" w:hAnsi="Arial" w:cs="Arial"/>
                <w:b/>
                <w:sz w:val="16"/>
                <w:szCs w:val="16"/>
              </w:rPr>
            </w:pPr>
          </w:p>
        </w:tc>
      </w:tr>
      <w:tr w:rsidR="004E3242" w:rsidRPr="004E3242" w14:paraId="6C0A47D4" w14:textId="77777777" w:rsidTr="00AA7998">
        <w:tc>
          <w:tcPr>
            <w:tcW w:w="261" w:type="pct"/>
            <w:shd w:val="clear" w:color="auto" w:fill="F2F2F2"/>
          </w:tcPr>
          <w:p w14:paraId="62D3F7D2"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008</w:t>
            </w:r>
          </w:p>
        </w:tc>
        <w:tc>
          <w:tcPr>
            <w:tcW w:w="347" w:type="pct"/>
            <w:shd w:val="clear" w:color="auto" w:fill="F2F2F2"/>
          </w:tcPr>
          <w:p w14:paraId="78D72C12"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417 906 937</w:t>
            </w:r>
          </w:p>
        </w:tc>
        <w:tc>
          <w:tcPr>
            <w:tcW w:w="392" w:type="pct"/>
            <w:shd w:val="clear" w:color="auto" w:fill="F2F2F2"/>
          </w:tcPr>
          <w:p w14:paraId="71C2A73F" w14:textId="77777777" w:rsidR="004E3242" w:rsidRPr="004E3242" w:rsidRDefault="004E3242" w:rsidP="004E3242">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12 093 063</w:t>
            </w:r>
          </w:p>
        </w:tc>
        <w:tc>
          <w:tcPr>
            <w:tcW w:w="175" w:type="pct"/>
            <w:shd w:val="clear" w:color="auto" w:fill="FFFFFF"/>
          </w:tcPr>
          <w:p w14:paraId="53970DB4" w14:textId="77777777" w:rsidR="004E3242" w:rsidRPr="004E3242" w:rsidRDefault="004E3242" w:rsidP="004E3242">
            <w:pPr>
              <w:spacing w:before="20" w:after="20" w:line="240" w:lineRule="auto"/>
              <w:jc w:val="center"/>
              <w:rPr>
                <w:rFonts w:ascii="Arial" w:hAnsi="Arial" w:cs="Arial"/>
                <w:b/>
                <w:sz w:val="16"/>
                <w:szCs w:val="16"/>
              </w:rPr>
            </w:pPr>
          </w:p>
        </w:tc>
        <w:tc>
          <w:tcPr>
            <w:tcW w:w="507" w:type="pct"/>
            <w:gridSpan w:val="2"/>
            <w:shd w:val="clear" w:color="auto" w:fill="FFFFFF"/>
          </w:tcPr>
          <w:p w14:paraId="64F588EE" w14:textId="77777777" w:rsidR="004E3242" w:rsidRPr="004E3242" w:rsidRDefault="004E3242" w:rsidP="004E3242">
            <w:pPr>
              <w:spacing w:before="20" w:after="20" w:line="240" w:lineRule="auto"/>
              <w:jc w:val="center"/>
              <w:rPr>
                <w:rFonts w:ascii="Arial" w:hAnsi="Arial" w:cs="Arial"/>
                <w:b/>
                <w:sz w:val="16"/>
                <w:szCs w:val="16"/>
              </w:rPr>
            </w:pPr>
          </w:p>
        </w:tc>
        <w:tc>
          <w:tcPr>
            <w:tcW w:w="677" w:type="pct"/>
            <w:gridSpan w:val="3"/>
            <w:shd w:val="clear" w:color="auto" w:fill="FFFFFF"/>
          </w:tcPr>
          <w:p w14:paraId="3A930ACC" w14:textId="77777777" w:rsidR="004E3242" w:rsidRPr="004E3242" w:rsidRDefault="004E3242" w:rsidP="004E3242">
            <w:pPr>
              <w:spacing w:before="20" w:after="20" w:line="240" w:lineRule="auto"/>
              <w:jc w:val="center"/>
              <w:rPr>
                <w:rFonts w:ascii="Arial" w:hAnsi="Arial" w:cs="Arial"/>
                <w:b/>
                <w:sz w:val="16"/>
                <w:szCs w:val="16"/>
              </w:rPr>
            </w:pPr>
          </w:p>
        </w:tc>
        <w:tc>
          <w:tcPr>
            <w:tcW w:w="2641" w:type="pct"/>
            <w:gridSpan w:val="9"/>
            <w:vMerge/>
            <w:shd w:val="clear" w:color="auto" w:fill="FFFFFF"/>
          </w:tcPr>
          <w:p w14:paraId="36120303" w14:textId="77777777" w:rsidR="004E3242" w:rsidRPr="004E3242" w:rsidRDefault="004E3242" w:rsidP="004E3242">
            <w:pPr>
              <w:spacing w:before="20" w:after="20" w:line="240" w:lineRule="auto"/>
              <w:jc w:val="center"/>
              <w:rPr>
                <w:rFonts w:ascii="Arial" w:hAnsi="Arial" w:cs="Arial"/>
                <w:b/>
                <w:sz w:val="16"/>
                <w:szCs w:val="16"/>
              </w:rPr>
            </w:pPr>
          </w:p>
        </w:tc>
      </w:tr>
      <w:tr w:rsidR="004E3242" w:rsidRPr="004E3242" w14:paraId="79F64A4E" w14:textId="77777777" w:rsidTr="00AA7998">
        <w:tc>
          <w:tcPr>
            <w:tcW w:w="261" w:type="pct"/>
            <w:shd w:val="clear" w:color="auto" w:fill="D6E3BC"/>
          </w:tcPr>
          <w:p w14:paraId="617283A1"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347" w:type="pct"/>
            <w:shd w:val="clear" w:color="auto" w:fill="D6E3BC"/>
          </w:tcPr>
          <w:p w14:paraId="01309BD2"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971 806 937</w:t>
            </w:r>
          </w:p>
        </w:tc>
        <w:tc>
          <w:tcPr>
            <w:tcW w:w="392" w:type="pct"/>
            <w:shd w:val="clear" w:color="auto" w:fill="D6E3BC"/>
          </w:tcPr>
          <w:p w14:paraId="40D68315" w14:textId="77777777" w:rsidR="004E3242" w:rsidRPr="004E3242" w:rsidRDefault="004E3242" w:rsidP="004E3242">
            <w:pPr>
              <w:spacing w:before="20" w:after="20" w:line="240" w:lineRule="auto"/>
              <w:jc w:val="center"/>
              <w:rPr>
                <w:rFonts w:ascii="Arial" w:hAnsi="Arial" w:cs="Arial"/>
                <w:sz w:val="16"/>
                <w:szCs w:val="16"/>
              </w:rPr>
            </w:pPr>
            <w:r w:rsidRPr="004E3242">
              <w:rPr>
                <w:rFonts w:ascii="Arial" w:hAnsi="Arial" w:cs="Arial"/>
                <w:sz w:val="16"/>
                <w:szCs w:val="16"/>
              </w:rPr>
              <w:t>28 193 063</w:t>
            </w:r>
          </w:p>
        </w:tc>
        <w:tc>
          <w:tcPr>
            <w:tcW w:w="175" w:type="pct"/>
            <w:shd w:val="clear" w:color="auto" w:fill="FFFFFF"/>
          </w:tcPr>
          <w:p w14:paraId="006F9486" w14:textId="77777777" w:rsidR="004E3242" w:rsidRPr="004E3242" w:rsidRDefault="004E3242" w:rsidP="004E3242">
            <w:pPr>
              <w:spacing w:before="20" w:after="20" w:line="240" w:lineRule="auto"/>
              <w:jc w:val="center"/>
              <w:rPr>
                <w:rFonts w:ascii="Arial" w:hAnsi="Arial" w:cs="Arial"/>
                <w:b/>
                <w:sz w:val="16"/>
                <w:szCs w:val="16"/>
              </w:rPr>
            </w:pPr>
          </w:p>
        </w:tc>
        <w:tc>
          <w:tcPr>
            <w:tcW w:w="507" w:type="pct"/>
            <w:gridSpan w:val="2"/>
            <w:shd w:val="clear" w:color="auto" w:fill="FFFFFF"/>
          </w:tcPr>
          <w:p w14:paraId="53A19A17" w14:textId="77777777" w:rsidR="004E3242" w:rsidRPr="004E3242" w:rsidRDefault="004E3242" w:rsidP="004E3242">
            <w:pPr>
              <w:spacing w:before="20" w:after="20" w:line="240" w:lineRule="auto"/>
              <w:jc w:val="center"/>
              <w:rPr>
                <w:rFonts w:ascii="Arial" w:hAnsi="Arial" w:cs="Arial"/>
                <w:b/>
                <w:sz w:val="16"/>
                <w:szCs w:val="16"/>
              </w:rPr>
            </w:pPr>
          </w:p>
        </w:tc>
        <w:tc>
          <w:tcPr>
            <w:tcW w:w="677" w:type="pct"/>
            <w:gridSpan w:val="3"/>
            <w:shd w:val="clear" w:color="auto" w:fill="FFFFFF"/>
          </w:tcPr>
          <w:p w14:paraId="79A15425" w14:textId="77777777" w:rsidR="004E3242" w:rsidRPr="004E3242" w:rsidRDefault="004E3242" w:rsidP="004E3242">
            <w:pPr>
              <w:spacing w:before="20" w:after="20" w:line="240" w:lineRule="auto"/>
              <w:jc w:val="center"/>
              <w:rPr>
                <w:rFonts w:ascii="Arial" w:hAnsi="Arial" w:cs="Arial"/>
                <w:b/>
                <w:sz w:val="16"/>
                <w:szCs w:val="16"/>
              </w:rPr>
            </w:pPr>
          </w:p>
        </w:tc>
        <w:tc>
          <w:tcPr>
            <w:tcW w:w="2641" w:type="pct"/>
            <w:gridSpan w:val="9"/>
            <w:vMerge/>
            <w:shd w:val="clear" w:color="auto" w:fill="FFFFFF"/>
          </w:tcPr>
          <w:p w14:paraId="3D261B68" w14:textId="77777777" w:rsidR="004E3242" w:rsidRPr="004E3242" w:rsidRDefault="004E3242" w:rsidP="004E3242">
            <w:pPr>
              <w:spacing w:before="20" w:after="20" w:line="240" w:lineRule="auto"/>
              <w:jc w:val="center"/>
              <w:rPr>
                <w:rFonts w:ascii="Arial" w:hAnsi="Arial" w:cs="Arial"/>
                <w:b/>
                <w:sz w:val="16"/>
                <w:szCs w:val="16"/>
              </w:rPr>
            </w:pPr>
          </w:p>
        </w:tc>
      </w:tr>
    </w:tbl>
    <w:p w14:paraId="788D9741" w14:textId="77777777" w:rsidR="004E3242" w:rsidRPr="004E3242" w:rsidRDefault="004E3242" w:rsidP="004E3242">
      <w:pPr>
        <w:spacing w:before="20" w:after="20" w:line="240" w:lineRule="auto"/>
        <w:jc w:val="both"/>
        <w:rPr>
          <w:rFonts w:ascii="Arial" w:hAnsi="Arial" w:cs="Arial"/>
          <w:b/>
          <w:spacing w:val="4"/>
          <w:sz w:val="20"/>
          <w:szCs w:val="20"/>
        </w:rPr>
        <w:sectPr w:rsidR="004E3242" w:rsidRPr="004E3242" w:rsidSect="00C73ABE">
          <w:pgSz w:w="16838" w:h="11906" w:orient="landscape"/>
          <w:pgMar w:top="709" w:right="851" w:bottom="709" w:left="851" w:header="709" w:footer="709" w:gutter="0"/>
          <w:cols w:space="708"/>
          <w:titlePg/>
          <w:docGrid w:linePitch="360"/>
        </w:sectPr>
      </w:pPr>
    </w:p>
    <w:p w14:paraId="6AF0A1CE" w14:textId="77777777" w:rsidR="004E3242" w:rsidRPr="004E3242" w:rsidRDefault="004E3242" w:rsidP="004E3242">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418" w:name="_Toc375208286"/>
      <w:bookmarkStart w:id="419" w:name="_Toc375299840"/>
      <w:bookmarkStart w:id="420" w:name="_Toc375308894"/>
      <w:bookmarkStart w:id="421" w:name="_Toc369696164"/>
      <w:bookmarkStart w:id="422" w:name="_Toc83810569"/>
      <w:bookmarkEnd w:id="418"/>
      <w:bookmarkEnd w:id="419"/>
      <w:bookmarkEnd w:id="420"/>
      <w:r w:rsidRPr="004E3242">
        <w:rPr>
          <w:rFonts w:ascii="Arial" w:hAnsi="Arial"/>
          <w:smallCaps/>
          <w:color w:val="000000"/>
          <w:spacing w:val="15"/>
          <w:sz w:val="24"/>
          <w:szCs w:val="24"/>
          <w:u w:color="A8C743"/>
          <w:lang w:eastAsia="pl-PL"/>
        </w:rPr>
        <w:lastRenderedPageBreak/>
        <w:t xml:space="preserve">Oś priorytetowa viii: ochrona dziedzictwa kulturowego </w:t>
      </w:r>
      <w:r w:rsidRPr="004E3242">
        <w:rPr>
          <w:rFonts w:ascii="Arial" w:hAnsi="Arial"/>
          <w:smallCaps/>
          <w:color w:val="000000"/>
          <w:spacing w:val="15"/>
          <w:sz w:val="24"/>
          <w:szCs w:val="24"/>
          <w:u w:color="A8C743"/>
          <w:lang w:eastAsia="pl-PL"/>
        </w:rPr>
        <w:br/>
        <w:t>i rozwój zasobów kultury</w:t>
      </w:r>
      <w:bookmarkEnd w:id="421"/>
      <w:bookmarkEnd w:id="422"/>
    </w:p>
    <w:p w14:paraId="2C7C4C28" w14:textId="77777777" w:rsidR="004E3242" w:rsidRPr="004E3242" w:rsidRDefault="004E3242" w:rsidP="004E3242">
      <w:pPr>
        <w:spacing w:before="120" w:after="120"/>
        <w:jc w:val="both"/>
        <w:rPr>
          <w:rFonts w:ascii="Arial" w:hAnsi="Arial" w:cs="Arial"/>
          <w:spacing w:val="4"/>
          <w:sz w:val="20"/>
          <w:szCs w:val="20"/>
        </w:rPr>
      </w:pPr>
    </w:p>
    <w:p w14:paraId="378258CC"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Dana oś priorytetowa jest przeznaczona do finansowania wyłącznie z jednego funduszu </w:t>
      </w:r>
      <w:r w:rsidRPr="004E3242">
        <w:rPr>
          <w:rFonts w:ascii="Arial" w:hAnsi="Arial" w:cs="Arial"/>
          <w:spacing w:val="4"/>
          <w:sz w:val="20"/>
          <w:szCs w:val="20"/>
        </w:rPr>
        <w:br/>
        <w:t>(tj. Europejskiego Funduszu Rozwoju Regionalnego) i obejmuje zakresem interwencji wybrany priorytet inwestycyjny w ramach jednego celu tematycznego 6. Jest ona dedykowana dwóm kategoriom regionów, tj. regionom słabiej i lepiej rozwiniętym.</w:t>
      </w:r>
    </w:p>
    <w:p w14:paraId="1E9561C7"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Dominacja w POIŚ środków FS oraz ograniczoność środków EFRR zadecydowały o odstąpieniu od wyodrębniania osi dedykowanych Mazowszu (który obecnie klasyfikowany jest jako region lepiej rozwinięty). Ponieważ kategoryzacja na regiony ma zastosowanie wyłącznie w odniesieniu do funduszy strukturalnych (w tym przypadku EFRR) oraz z uwagi na ograniczony zakres interwencji tego funduszu w ramach POIŚ i relatywnie niską alokację na region lepiej rozwinięty, nie przewidziano wyodrębniania osi priorytetowych dedykowanych Mazowszu. Region ten został uwzględniony w jednej osi, zachowując jednak własną linie budżetową i jemu właściwe poziomy wsparcia UE. Takie podejście jest optymalne z punktu widzenia zarządzania poszczególnymi osiami priorytetowymi.</w:t>
      </w:r>
    </w:p>
    <w:p w14:paraId="63D4D6B3"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4E3242">
        <w:rPr>
          <w:rFonts w:ascii="Arial" w:eastAsia="Times New Roman" w:hAnsi="Arial"/>
          <w:smallCaps/>
          <w:color w:val="669900"/>
          <w:spacing w:val="10"/>
          <w:sz w:val="24"/>
          <w:szCs w:val="24"/>
          <w:lang w:eastAsia="pl-PL"/>
        </w:rPr>
        <w:t xml:space="preserve">PRIORYTET INWESTYCYJNY 6 c) Zachowanie, ochrona, promowanie i rozwój dziedzictwa naturalnego i kulturowego </w:t>
      </w:r>
    </w:p>
    <w:p w14:paraId="773D6ED6"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0AD1F17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Lepsza dostępność infrastruktury kultury i dziedzictwa kulturowego oraz wzrost kompetencji kulturowych społeczeństwa jako ważnych elementów konkurencyjności gospodarki</w:t>
      </w:r>
    </w:p>
    <w:p w14:paraId="33294776"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51A73C8D"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Rezultatem interwencji będzie poprawa uczestnictwa społeczeństwa w kulturze skutkująca wzrostem poziomu kompetencji kulturowych oraz postaw kreatywnych, jako ważnych elementów poprawy konkurencyjności gospodarki</w:t>
      </w:r>
    </w:p>
    <w:p w14:paraId="17CAE06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55"/>
        <w:gridCol w:w="1818"/>
        <w:gridCol w:w="994"/>
        <w:gridCol w:w="992"/>
        <w:gridCol w:w="851"/>
        <w:gridCol w:w="851"/>
        <w:gridCol w:w="994"/>
        <w:gridCol w:w="849"/>
        <w:gridCol w:w="1382"/>
      </w:tblGrid>
      <w:tr w:rsidR="004E3242" w:rsidRPr="004E3242" w14:paraId="599B7841" w14:textId="77777777" w:rsidTr="00AA7998">
        <w:tc>
          <w:tcPr>
            <w:tcW w:w="299" w:type="pct"/>
            <w:shd w:val="clear" w:color="auto" w:fill="99CC00"/>
            <w:vAlign w:val="center"/>
          </w:tcPr>
          <w:p w14:paraId="5D0F16C5"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979" w:type="pct"/>
            <w:shd w:val="clear" w:color="auto" w:fill="99CC00"/>
            <w:vAlign w:val="center"/>
          </w:tcPr>
          <w:p w14:paraId="26E9777B"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65998372"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4" w:type="pct"/>
            <w:shd w:val="clear" w:color="auto" w:fill="99CC00"/>
            <w:vAlign w:val="center"/>
          </w:tcPr>
          <w:p w14:paraId="4D549D7B"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8" w:type="pct"/>
            <w:shd w:val="clear" w:color="auto" w:fill="99CC00"/>
            <w:vAlign w:val="center"/>
          </w:tcPr>
          <w:p w14:paraId="422A5532"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58" w:type="pct"/>
            <w:shd w:val="clear" w:color="auto" w:fill="99CC00"/>
            <w:vAlign w:val="center"/>
          </w:tcPr>
          <w:p w14:paraId="6D132D03"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35" w:type="pct"/>
            <w:shd w:val="clear" w:color="auto" w:fill="99CC00"/>
            <w:vAlign w:val="center"/>
          </w:tcPr>
          <w:p w14:paraId="13B2C1BB"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457" w:type="pct"/>
            <w:shd w:val="clear" w:color="auto" w:fill="99CC00"/>
            <w:vAlign w:val="center"/>
          </w:tcPr>
          <w:p w14:paraId="4BBEDD4D"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4" w:type="pct"/>
            <w:shd w:val="clear" w:color="auto" w:fill="99CC00"/>
            <w:vAlign w:val="center"/>
          </w:tcPr>
          <w:p w14:paraId="743CBFEA" w14:textId="77777777" w:rsidR="004E3242" w:rsidRPr="004E3242" w:rsidRDefault="004E3242" w:rsidP="004E3242">
            <w:pPr>
              <w:spacing w:before="60" w:after="60"/>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7CDDF46C" w14:textId="77777777" w:rsidTr="00AA7998">
        <w:tc>
          <w:tcPr>
            <w:tcW w:w="299" w:type="pct"/>
            <w:shd w:val="clear" w:color="auto" w:fill="F2F2F2"/>
            <w:vAlign w:val="center"/>
          </w:tcPr>
          <w:p w14:paraId="3C61466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1.</w:t>
            </w:r>
          </w:p>
        </w:tc>
        <w:tc>
          <w:tcPr>
            <w:tcW w:w="979" w:type="pct"/>
            <w:shd w:val="clear" w:color="auto" w:fill="F2F2F2"/>
            <w:vAlign w:val="center"/>
          </w:tcPr>
          <w:p w14:paraId="7AD5DF3C" w14:textId="77777777" w:rsidR="004E3242" w:rsidRPr="004E3242" w:rsidRDefault="004E3242" w:rsidP="004E3242">
            <w:pPr>
              <w:spacing w:before="60" w:after="60"/>
              <w:jc w:val="both"/>
              <w:rPr>
                <w:rFonts w:ascii="Arial" w:hAnsi="Arial" w:cs="Arial"/>
                <w:spacing w:val="4"/>
                <w:sz w:val="16"/>
                <w:szCs w:val="16"/>
              </w:rPr>
            </w:pPr>
            <w:r w:rsidRPr="004E3242">
              <w:rPr>
                <w:rFonts w:ascii="Arial" w:hAnsi="Arial" w:cs="Arial"/>
                <w:spacing w:val="4"/>
                <w:sz w:val="16"/>
                <w:szCs w:val="16"/>
              </w:rPr>
              <w:t>Odsetek osób uczestniczących w wybranych obszarach kultury</w:t>
            </w:r>
          </w:p>
        </w:tc>
        <w:tc>
          <w:tcPr>
            <w:tcW w:w="535" w:type="pct"/>
            <w:shd w:val="clear" w:color="auto" w:fill="F2F2F2"/>
            <w:vAlign w:val="center"/>
          </w:tcPr>
          <w:p w14:paraId="79E2057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w:t>
            </w:r>
          </w:p>
        </w:tc>
        <w:tc>
          <w:tcPr>
            <w:tcW w:w="534" w:type="pct"/>
            <w:shd w:val="clear" w:color="auto" w:fill="F2F2F2"/>
            <w:vAlign w:val="center"/>
          </w:tcPr>
          <w:p w14:paraId="6EF9A6FC"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 /lepiej rozwinięte</w:t>
            </w:r>
          </w:p>
        </w:tc>
        <w:tc>
          <w:tcPr>
            <w:tcW w:w="458" w:type="pct"/>
            <w:shd w:val="clear" w:color="auto" w:fill="F2F2F2"/>
            <w:vAlign w:val="center"/>
          </w:tcPr>
          <w:p w14:paraId="7A880742"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31</w:t>
            </w:r>
          </w:p>
        </w:tc>
        <w:tc>
          <w:tcPr>
            <w:tcW w:w="458" w:type="pct"/>
            <w:shd w:val="clear" w:color="auto" w:fill="F2F2F2"/>
            <w:vAlign w:val="center"/>
          </w:tcPr>
          <w:p w14:paraId="4F8B569A"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2012</w:t>
            </w:r>
          </w:p>
        </w:tc>
        <w:tc>
          <w:tcPr>
            <w:tcW w:w="535" w:type="pct"/>
            <w:shd w:val="clear" w:color="auto" w:fill="F2F2F2"/>
            <w:vAlign w:val="center"/>
          </w:tcPr>
          <w:p w14:paraId="2F8633E1" w14:textId="77777777" w:rsidR="004E3242" w:rsidRPr="004E3242" w:rsidRDefault="00CA02AA" w:rsidP="004E3242">
            <w:pPr>
              <w:spacing w:before="60" w:after="60"/>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39</w:t>
            </w:r>
            <w:r>
              <w:rPr>
                <w:rFonts w:ascii="Arial" w:hAnsi="Arial" w:cs="Arial"/>
                <w:spacing w:val="4"/>
                <w:sz w:val="16"/>
                <w:szCs w:val="16"/>
              </w:rPr>
              <w:t xml:space="preserve"> </w:t>
            </w:r>
          </w:p>
        </w:tc>
        <w:tc>
          <w:tcPr>
            <w:tcW w:w="457" w:type="pct"/>
            <w:shd w:val="clear" w:color="auto" w:fill="F2F2F2"/>
            <w:vAlign w:val="center"/>
          </w:tcPr>
          <w:p w14:paraId="4A8101B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 xml:space="preserve">CBOS na zlecenie </w:t>
            </w:r>
            <w:proofErr w:type="spellStart"/>
            <w:r w:rsidRPr="004E3242">
              <w:rPr>
                <w:rFonts w:ascii="Arial" w:hAnsi="Arial" w:cs="Arial"/>
                <w:spacing w:val="4"/>
                <w:sz w:val="16"/>
                <w:szCs w:val="16"/>
              </w:rPr>
              <w:t>MKiDN</w:t>
            </w:r>
            <w:proofErr w:type="spellEnd"/>
          </w:p>
        </w:tc>
        <w:tc>
          <w:tcPr>
            <w:tcW w:w="744" w:type="pct"/>
            <w:shd w:val="clear" w:color="auto" w:fill="F2F2F2"/>
            <w:vAlign w:val="center"/>
          </w:tcPr>
          <w:p w14:paraId="522BFEE2" w14:textId="77777777" w:rsidR="004E3242" w:rsidRPr="004E3242" w:rsidRDefault="004E3242" w:rsidP="004E3242">
            <w:pPr>
              <w:spacing w:before="60" w:after="60"/>
              <w:ind w:right="-181"/>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7FB7F3B3" w14:textId="77777777" w:rsidTr="00AA7998">
        <w:tc>
          <w:tcPr>
            <w:tcW w:w="299" w:type="pct"/>
            <w:shd w:val="clear" w:color="auto" w:fill="F2F2F2"/>
            <w:vAlign w:val="center"/>
          </w:tcPr>
          <w:p w14:paraId="69F6C8A5"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w:t>
            </w:r>
          </w:p>
        </w:tc>
        <w:tc>
          <w:tcPr>
            <w:tcW w:w="979" w:type="pct"/>
            <w:shd w:val="clear" w:color="auto" w:fill="F2F2F2"/>
            <w:vAlign w:val="center"/>
          </w:tcPr>
          <w:p w14:paraId="3B7C540F"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Zwiedzający muzea i oddziały muzealne na 1000 mieszkańców</w:t>
            </w:r>
          </w:p>
        </w:tc>
        <w:tc>
          <w:tcPr>
            <w:tcW w:w="535" w:type="pct"/>
            <w:shd w:val="clear" w:color="auto" w:fill="F2F2F2"/>
            <w:vAlign w:val="center"/>
          </w:tcPr>
          <w:p w14:paraId="2BB18F6E"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osoby</w:t>
            </w:r>
          </w:p>
        </w:tc>
        <w:tc>
          <w:tcPr>
            <w:tcW w:w="534" w:type="pct"/>
            <w:shd w:val="clear" w:color="auto" w:fill="F2F2F2"/>
            <w:vAlign w:val="center"/>
          </w:tcPr>
          <w:p w14:paraId="55D8297B"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słabiej /lepiej rozwinięte</w:t>
            </w:r>
          </w:p>
        </w:tc>
        <w:tc>
          <w:tcPr>
            <w:tcW w:w="458" w:type="pct"/>
            <w:shd w:val="clear" w:color="auto" w:fill="F2F2F2"/>
            <w:vAlign w:val="center"/>
          </w:tcPr>
          <w:p w14:paraId="60BC283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693</w:t>
            </w:r>
          </w:p>
        </w:tc>
        <w:tc>
          <w:tcPr>
            <w:tcW w:w="458" w:type="pct"/>
            <w:shd w:val="clear" w:color="auto" w:fill="F2F2F2"/>
            <w:vAlign w:val="center"/>
          </w:tcPr>
          <w:p w14:paraId="2D5F288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2012</w:t>
            </w:r>
          </w:p>
        </w:tc>
        <w:tc>
          <w:tcPr>
            <w:tcW w:w="535" w:type="pct"/>
            <w:shd w:val="clear" w:color="auto" w:fill="F2F2F2"/>
            <w:vAlign w:val="center"/>
          </w:tcPr>
          <w:p w14:paraId="36A2DAD9"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nie mniej niż w roku bazowym</w:t>
            </w:r>
          </w:p>
        </w:tc>
        <w:tc>
          <w:tcPr>
            <w:tcW w:w="457" w:type="pct"/>
            <w:shd w:val="clear" w:color="auto" w:fill="F2F2F2"/>
            <w:vAlign w:val="center"/>
          </w:tcPr>
          <w:p w14:paraId="20B290D3" w14:textId="77777777" w:rsidR="004E3242" w:rsidRPr="004E3242" w:rsidRDefault="004E3242" w:rsidP="004E3242">
            <w:pPr>
              <w:spacing w:before="60" w:after="60"/>
              <w:jc w:val="center"/>
              <w:rPr>
                <w:rFonts w:ascii="Arial" w:hAnsi="Arial" w:cs="Arial"/>
                <w:spacing w:val="4"/>
                <w:sz w:val="16"/>
                <w:szCs w:val="16"/>
              </w:rPr>
            </w:pPr>
            <w:r w:rsidRPr="004E3242">
              <w:rPr>
                <w:rFonts w:ascii="Arial" w:hAnsi="Arial" w:cs="Arial"/>
                <w:spacing w:val="4"/>
                <w:sz w:val="16"/>
                <w:szCs w:val="16"/>
              </w:rPr>
              <w:t>GUS</w:t>
            </w:r>
          </w:p>
        </w:tc>
        <w:tc>
          <w:tcPr>
            <w:tcW w:w="744" w:type="pct"/>
            <w:shd w:val="clear" w:color="auto" w:fill="F2F2F2"/>
            <w:vAlign w:val="center"/>
          </w:tcPr>
          <w:p w14:paraId="7D6AA7E5" w14:textId="77777777" w:rsidR="004E3242" w:rsidRPr="004E3242" w:rsidRDefault="004E3242" w:rsidP="004E3242">
            <w:pPr>
              <w:spacing w:before="60" w:after="60"/>
              <w:ind w:right="-181"/>
              <w:jc w:val="center"/>
              <w:rPr>
                <w:rFonts w:ascii="Arial" w:hAnsi="Arial" w:cs="Arial"/>
                <w:spacing w:val="4"/>
                <w:sz w:val="16"/>
                <w:szCs w:val="16"/>
              </w:rPr>
            </w:pPr>
            <w:r w:rsidRPr="004E3242">
              <w:rPr>
                <w:rFonts w:ascii="Arial" w:hAnsi="Arial" w:cs="Arial"/>
                <w:spacing w:val="4"/>
                <w:sz w:val="16"/>
                <w:szCs w:val="16"/>
              </w:rPr>
              <w:t>Rocznie</w:t>
            </w:r>
          </w:p>
        </w:tc>
      </w:tr>
    </w:tbl>
    <w:p w14:paraId="4F0D0F70" w14:textId="77777777" w:rsidR="004E3242" w:rsidRPr="004E3242" w:rsidRDefault="004E3242" w:rsidP="004E3242">
      <w:pPr>
        <w:spacing w:after="120" w:line="280" w:lineRule="atLeast"/>
        <w:jc w:val="both"/>
        <w:rPr>
          <w:rFonts w:ascii="Arial" w:hAnsi="Arial" w:cs="Arial"/>
          <w:spacing w:val="4"/>
          <w:sz w:val="20"/>
          <w:szCs w:val="20"/>
        </w:rPr>
      </w:pPr>
    </w:p>
    <w:p w14:paraId="43162DCE"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Zakres interwencji </w:t>
      </w:r>
    </w:p>
    <w:p w14:paraId="44E803D0" w14:textId="77777777" w:rsidR="00B84B00" w:rsidRDefault="004E3242" w:rsidP="00B84B00">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priorytetu inwestycyjnego wsparciem objęte będą kompleksowe zadania związane </w:t>
      </w:r>
      <w:r w:rsidRPr="004E3242">
        <w:rPr>
          <w:rFonts w:ascii="Arial" w:hAnsi="Arial" w:cs="Arial"/>
          <w:spacing w:val="4"/>
          <w:sz w:val="20"/>
          <w:szCs w:val="20"/>
        </w:rPr>
        <w:br/>
        <w:t xml:space="preserve">z ochroną i udostępnieniem, w tym turystycznym, zabytków o znaczeniu ogólnopolskim </w:t>
      </w:r>
      <w:r w:rsidRPr="004E3242">
        <w:rPr>
          <w:rFonts w:ascii="Arial" w:hAnsi="Arial" w:cs="Arial"/>
          <w:spacing w:val="4"/>
          <w:sz w:val="20"/>
          <w:szCs w:val="20"/>
        </w:rPr>
        <w:br/>
        <w:t xml:space="preserve">i światowym, w tym znajdujących się na liście Światowego Dziedzictwa UNESCO i liście obiektów uznanych przez Prezydenta RP za Pomniki Historii. Przewiduje się również realizację projektów dotyczących rozwoju zasobów kultury jako miejsc prezentacji dziedzictwa kulturowego, w tym </w:t>
      </w:r>
      <w:r w:rsidRPr="004E3242">
        <w:rPr>
          <w:rFonts w:ascii="Arial" w:hAnsi="Arial" w:cs="Arial"/>
          <w:spacing w:val="4"/>
          <w:sz w:val="20"/>
          <w:szCs w:val="20"/>
        </w:rPr>
        <w:lastRenderedPageBreak/>
        <w:t xml:space="preserve">poprzez poprawę standardów funkcjonowania instytucji kultury, pełniących rolę kulturotwórczą </w:t>
      </w:r>
      <w:r w:rsidRPr="004E3242">
        <w:rPr>
          <w:rFonts w:ascii="Arial" w:hAnsi="Arial" w:cs="Arial"/>
          <w:spacing w:val="4"/>
          <w:sz w:val="20"/>
          <w:szCs w:val="20"/>
        </w:rPr>
        <w:br/>
        <w:t>i rolę ośrodków życia kulturalnego w wielu miastach Polski. Wspierane będą również nowoczesne rozwiązania w zakresie dostępu do kultury.</w:t>
      </w:r>
    </w:p>
    <w:p w14:paraId="13E7237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 ramach inwestycji odnoszących się do ochrony dziedzictwa kulturowego wspierane będą projekty z zakresu ochrony, zachowania i udostępnienia, w tym turystycznego, zabytkowych obiektów o znaczeniu ponadregionalnym, dotyczące renowacji zabytków nieruchomych wraz </w:t>
      </w:r>
      <w:r w:rsidRPr="004E3242">
        <w:rPr>
          <w:rFonts w:ascii="Arial" w:hAnsi="Arial" w:cs="Arial"/>
          <w:spacing w:val="4"/>
          <w:sz w:val="20"/>
          <w:szCs w:val="20"/>
        </w:rPr>
        <w:br/>
        <w:t xml:space="preserve">z otoczeniem, konserwacji zabytków ruchomych i ich digitalizacji (w przypadkach kiedy została ujęta jako element projektu). W ramach przedsięwzięć odnoszących się do rozwoju zasobów kultury realizowane będą działania dotyczące zwiększenia dostępu do zasobów kultury, poprawy jakości funkcjonowania instytucji kultury, w tym poprzez podnoszenie standardów infrastruktury oraz zakup trwałego wyposażenia do prowadzenia działalności kulturalnej i edukacyjnej. </w:t>
      </w:r>
      <w:r w:rsidRPr="004E3242">
        <w:rPr>
          <w:rFonts w:ascii="Arial" w:hAnsi="Arial" w:cs="Arial"/>
          <w:spacing w:val="4"/>
          <w:sz w:val="20"/>
          <w:szCs w:val="20"/>
        </w:rPr>
        <w:br/>
      </w:r>
      <w:r w:rsidRPr="004E3242">
        <w:rPr>
          <w:rFonts w:ascii="Arial" w:hAnsi="Arial" w:cs="Arial"/>
          <w:iCs/>
          <w:sz w:val="20"/>
        </w:rPr>
        <w:t>W ramach VIII osi priorytetowej wparcie nie będzie kierowane na budowę od podstaw nowej infrastruktury kulturalnej. W ramach realizowanych projektów możliwa zaś będzie m.in. przebudowa</w:t>
      </w:r>
      <w:r w:rsidR="00F42222">
        <w:rPr>
          <w:rFonts w:ascii="Arial" w:hAnsi="Arial" w:cs="Arial"/>
          <w:iCs/>
          <w:sz w:val="20"/>
        </w:rPr>
        <w:t xml:space="preserve"> </w:t>
      </w:r>
      <w:r w:rsidRPr="004E3242">
        <w:rPr>
          <w:rFonts w:ascii="Arial" w:hAnsi="Arial" w:cs="Arial"/>
          <w:iCs/>
          <w:sz w:val="20"/>
        </w:rPr>
        <w:t>i rozbudowa istniejących instytucji kultury i edukacyjnych</w:t>
      </w:r>
      <w:r w:rsidRPr="004E3242">
        <w:rPr>
          <w:rFonts w:ascii="Arial" w:hAnsi="Arial" w:cs="Arial"/>
          <w:i/>
          <w:iCs/>
          <w:sz w:val="20"/>
        </w:rPr>
        <w:t>.</w:t>
      </w:r>
      <w:r w:rsidRPr="004E3242">
        <w:rPr>
          <w:rFonts w:ascii="Arial" w:hAnsi="Arial" w:cs="Arial"/>
          <w:i/>
          <w:iCs/>
          <w:color w:val="FF0000"/>
          <w:sz w:val="20"/>
        </w:rPr>
        <w:t xml:space="preserve"> </w:t>
      </w:r>
      <w:r w:rsidRPr="004E3242">
        <w:rPr>
          <w:rFonts w:ascii="Arial" w:hAnsi="Arial" w:cs="Arial"/>
          <w:spacing w:val="4"/>
          <w:sz w:val="20"/>
          <w:szCs w:val="20"/>
        </w:rPr>
        <w:t xml:space="preserve">W ramach tego obszaru wsparcie uzyskają również szkoły i uczelnie artystyczne, które oferując m.in. przestrzeń dla działalności twórczej, wystawienniczej i in. spełniają rolę aktywnych instytucji kultury. Wspierane będą także projekty uzupełniające inwestycje infrastrukturalne o elementy związane z wykorzystaniem nowych technologii w obszarze kultury. </w:t>
      </w:r>
    </w:p>
    <w:p w14:paraId="2547A0EF"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Ponadto promowane będą projekty, których jednym z elementów są zmiany techniczne istniejącej infrastruktury, poprawiające dostępność dla osób niepełnosprawnych. Wsparcie będzie ukierunkowane na projekty, które będą spójne ze Strategią Europa 2020 i jej inicjatywami flagowymi. Inwestycje takie będą wspierać cele zrównoważonego rozwoju, a także będą przyczyniać się do włączenia społecznego poprzez kulturę, promować otwartość i różnorodność kulturową jako czynniki zwiększające mobilność społeczeństwa i budujące kapitał społeczny. </w:t>
      </w:r>
    </w:p>
    <w:p w14:paraId="47F5C678"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Ważne będzie także zastosowanie różnej gamy rozwiązań technicznych/technologicznych, wpływających na zmniejszenie kosztów utrzymania budynków. Ponadto kluczowa będzie zgodność projektów z krajowymi strategiami rozwoju oraz ich wpływ na osiąganie celów Strategii Europa 2020. </w:t>
      </w:r>
    </w:p>
    <w:p w14:paraId="3ACBB4AC" w14:textId="77777777" w:rsid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Efektem interwencji programu operacyjnego będzie poprawa warunków eksponowania </w:t>
      </w:r>
      <w:r w:rsidRPr="004E3242">
        <w:rPr>
          <w:rFonts w:ascii="Arial" w:hAnsi="Arial" w:cs="Arial"/>
          <w:spacing w:val="4"/>
          <w:sz w:val="20"/>
          <w:szCs w:val="20"/>
        </w:rPr>
        <w:br/>
        <w:t xml:space="preserve">i propagowania kluczowych elementów dziedzictwa kulturowego Polski oraz zasobów kultury, </w:t>
      </w:r>
      <w:r w:rsidRPr="004E3242">
        <w:rPr>
          <w:rFonts w:ascii="Arial" w:hAnsi="Arial" w:cs="Arial"/>
          <w:spacing w:val="4"/>
          <w:sz w:val="20"/>
          <w:szCs w:val="20"/>
        </w:rPr>
        <w:br/>
        <w:t>co będzie miało pozytywny wpływ na rozpoznawalność i atrakcyjność polskiej przestrzeni. Dbałość o obiekty dziedzictwa kulturowego będzie sprzyjać zachowaniu tradycji kulturowych mieszkańców, sprzyjać rozwojowi turystyki i wspomagać proces identyfikacji tożsamości kulturowej migrantów</w:t>
      </w:r>
      <w:r w:rsidRPr="004E3242">
        <w:rPr>
          <w:rFonts w:ascii="Arial" w:hAnsi="Arial" w:cs="Arial"/>
          <w:spacing w:val="4"/>
          <w:sz w:val="20"/>
          <w:szCs w:val="20"/>
          <w:vertAlign w:val="superscript"/>
        </w:rPr>
        <w:footnoteReference w:id="89"/>
      </w:r>
      <w:r w:rsidRPr="004E3242">
        <w:rPr>
          <w:rFonts w:ascii="Arial" w:hAnsi="Arial" w:cs="Arial"/>
          <w:spacing w:val="4"/>
          <w:sz w:val="20"/>
          <w:szCs w:val="20"/>
        </w:rPr>
        <w:t xml:space="preserve">, przyczyniając się do społeczno-gospodarczego rozwoju kraju. Jednocześnie projekty te będą charakteryzować się ciekawym programem edukacyjnym </w:t>
      </w:r>
      <w:r w:rsidRPr="004E3242">
        <w:rPr>
          <w:rFonts w:ascii="Arial" w:hAnsi="Arial" w:cs="Arial"/>
          <w:spacing w:val="4"/>
          <w:sz w:val="20"/>
          <w:szCs w:val="20"/>
        </w:rPr>
        <w:br/>
        <w:t xml:space="preserve">i kulturowym tak, aby wyrównywały możliwości dostępu do kultury, zwłaszcza w odniesieniu do grup </w:t>
      </w:r>
      <w:proofErr w:type="spellStart"/>
      <w:r w:rsidRPr="004E3242">
        <w:rPr>
          <w:rFonts w:ascii="Arial" w:hAnsi="Arial" w:cs="Arial"/>
          <w:spacing w:val="4"/>
          <w:sz w:val="20"/>
          <w:szCs w:val="20"/>
        </w:rPr>
        <w:t>defaworyzowanych</w:t>
      </w:r>
      <w:proofErr w:type="spellEnd"/>
      <w:r w:rsidRPr="004E3242">
        <w:rPr>
          <w:rFonts w:ascii="Arial" w:hAnsi="Arial" w:cs="Arial"/>
          <w:spacing w:val="4"/>
          <w:sz w:val="20"/>
          <w:szCs w:val="20"/>
        </w:rPr>
        <w:t>. Ponadto, projekty realizowane w ramach Priorytetu będą przyczyniać się do wzrostu kompetencji kulturowych oraz – w szczególności w odniesieniu do projektów związanych ze szkolnictwem artystycznym – do wzrostu kreatywności społeczeństwa (zwłaszcza przyszłych kadr przemysłów kultury i kreatywnych).</w:t>
      </w:r>
    </w:p>
    <w:p w14:paraId="33DF0479" w14:textId="77777777" w:rsidR="00AC0189" w:rsidRPr="004E3242" w:rsidRDefault="00AC0189" w:rsidP="004E3242">
      <w:pPr>
        <w:spacing w:before="120" w:after="120"/>
        <w:jc w:val="both"/>
        <w:rPr>
          <w:rFonts w:ascii="Arial" w:hAnsi="Arial" w:cs="Arial"/>
          <w:spacing w:val="4"/>
          <w:sz w:val="20"/>
          <w:szCs w:val="20"/>
        </w:rPr>
      </w:pPr>
      <w:r w:rsidRPr="00AC0189">
        <w:rPr>
          <w:rFonts w:ascii="Arial" w:hAnsi="Arial" w:cs="Arial"/>
          <w:spacing w:val="4"/>
          <w:sz w:val="20"/>
          <w:szCs w:val="20"/>
        </w:rPr>
        <w:t>.</w:t>
      </w:r>
    </w:p>
    <w:p w14:paraId="0DBB7592" w14:textId="77777777" w:rsidR="004E3242" w:rsidRPr="004E3242" w:rsidRDefault="004E3242" w:rsidP="004E3242">
      <w:pPr>
        <w:spacing w:before="120" w:after="120"/>
        <w:jc w:val="both"/>
        <w:rPr>
          <w:rFonts w:ascii="Arial" w:hAnsi="Arial" w:cs="Arial"/>
          <w:b/>
          <w:color w:val="8080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67"/>
        <w:gridCol w:w="2235"/>
        <w:gridCol w:w="993"/>
        <w:gridCol w:w="919"/>
        <w:gridCol w:w="1207"/>
        <w:gridCol w:w="995"/>
        <w:gridCol w:w="990"/>
        <w:gridCol w:w="1380"/>
      </w:tblGrid>
      <w:tr w:rsidR="004E3242" w:rsidRPr="004E3242" w14:paraId="7F11EC11" w14:textId="77777777" w:rsidTr="00AA7998">
        <w:tc>
          <w:tcPr>
            <w:tcW w:w="305" w:type="pct"/>
            <w:shd w:val="clear" w:color="auto" w:fill="99CC00"/>
            <w:vAlign w:val="center"/>
          </w:tcPr>
          <w:p w14:paraId="6B9A0CD2"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03" w:type="pct"/>
            <w:shd w:val="clear" w:color="auto" w:fill="99CC00"/>
            <w:vAlign w:val="center"/>
          </w:tcPr>
          <w:p w14:paraId="0FEAC9A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4" w:type="pct"/>
            <w:shd w:val="clear" w:color="auto" w:fill="99CC00"/>
            <w:vAlign w:val="center"/>
          </w:tcPr>
          <w:p w14:paraId="3D45EA59"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95" w:type="pct"/>
            <w:shd w:val="clear" w:color="auto" w:fill="99CC00"/>
            <w:vAlign w:val="center"/>
          </w:tcPr>
          <w:p w14:paraId="3E3C2F6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650" w:type="pct"/>
            <w:shd w:val="clear" w:color="auto" w:fill="99CC00"/>
            <w:vAlign w:val="center"/>
          </w:tcPr>
          <w:p w14:paraId="25F33871"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6" w:type="pct"/>
            <w:shd w:val="clear" w:color="auto" w:fill="99CC00"/>
            <w:vAlign w:val="center"/>
          </w:tcPr>
          <w:p w14:paraId="7EC91F7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3" w:type="pct"/>
            <w:shd w:val="clear" w:color="auto" w:fill="99CC00"/>
            <w:vAlign w:val="center"/>
          </w:tcPr>
          <w:p w14:paraId="04C8FEF6"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3" w:type="pct"/>
            <w:shd w:val="clear" w:color="auto" w:fill="99CC00"/>
            <w:vAlign w:val="center"/>
          </w:tcPr>
          <w:p w14:paraId="2DE9D80B" w14:textId="77777777" w:rsidR="004E3242" w:rsidRPr="004E3242" w:rsidRDefault="004E3242" w:rsidP="004E3242">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5D61BECF" w14:textId="77777777" w:rsidTr="00AA7998">
        <w:tc>
          <w:tcPr>
            <w:tcW w:w="305" w:type="pct"/>
            <w:vMerge w:val="restart"/>
            <w:shd w:val="clear" w:color="auto" w:fill="F2F2F2"/>
            <w:vAlign w:val="center"/>
          </w:tcPr>
          <w:p w14:paraId="6D9A52B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203" w:type="pct"/>
            <w:vMerge w:val="restart"/>
            <w:shd w:val="clear" w:color="auto" w:fill="F2F2F2"/>
            <w:vAlign w:val="center"/>
          </w:tcPr>
          <w:p w14:paraId="54643123"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Wzrost oczekiwanej liczby odwiedzin w objętych wsparciem obiektach dziedzictwa kulturowego </w:t>
            </w:r>
            <w:r w:rsidRPr="004E3242">
              <w:rPr>
                <w:rFonts w:ascii="Arial" w:hAnsi="Arial" w:cs="Arial"/>
                <w:spacing w:val="4"/>
                <w:sz w:val="16"/>
                <w:szCs w:val="16"/>
              </w:rPr>
              <w:br/>
              <w:t xml:space="preserve">i naturalnego oraz </w:t>
            </w:r>
            <w:r w:rsidRPr="004E3242">
              <w:rPr>
                <w:rFonts w:ascii="Arial" w:hAnsi="Arial" w:cs="Arial"/>
                <w:spacing w:val="4"/>
                <w:sz w:val="16"/>
                <w:szCs w:val="16"/>
              </w:rPr>
              <w:lastRenderedPageBreak/>
              <w:t>stanowiących atrakcje turystyczne (CI)</w:t>
            </w:r>
          </w:p>
        </w:tc>
        <w:tc>
          <w:tcPr>
            <w:tcW w:w="534" w:type="pct"/>
            <w:vMerge w:val="restart"/>
            <w:shd w:val="clear" w:color="auto" w:fill="F2F2F2"/>
            <w:vAlign w:val="center"/>
          </w:tcPr>
          <w:p w14:paraId="22BDF2E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odwiedziny/rok</w:t>
            </w:r>
          </w:p>
        </w:tc>
        <w:tc>
          <w:tcPr>
            <w:tcW w:w="495" w:type="pct"/>
            <w:vMerge w:val="restart"/>
            <w:shd w:val="clear" w:color="auto" w:fill="F2F2F2"/>
            <w:vAlign w:val="center"/>
          </w:tcPr>
          <w:p w14:paraId="6C1BF33C"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50" w:type="pct"/>
            <w:shd w:val="clear" w:color="auto" w:fill="F2F2F2"/>
            <w:vAlign w:val="center"/>
          </w:tcPr>
          <w:p w14:paraId="074F3FE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6" w:type="pct"/>
            <w:shd w:val="clear" w:color="auto" w:fill="F2F2F2"/>
            <w:vAlign w:val="center"/>
          </w:tcPr>
          <w:p w14:paraId="06536B8B" w14:textId="77777777" w:rsidR="004E3242" w:rsidRPr="004E3242" w:rsidRDefault="00CA02AA" w:rsidP="004E3242">
            <w:pPr>
              <w:autoSpaceDE w:val="0"/>
              <w:autoSpaceDN w:val="0"/>
              <w:adjustRightInd w:val="0"/>
              <w:spacing w:before="60" w:after="60" w:line="240" w:lineRule="auto"/>
              <w:jc w:val="center"/>
              <w:rPr>
                <w:rFonts w:ascii="Arial" w:hAnsi="Arial" w:cs="Arial"/>
                <w:spacing w:val="4"/>
                <w:sz w:val="16"/>
                <w:szCs w:val="16"/>
                <w:highlight w:val="yellow"/>
              </w:rPr>
            </w:pPr>
            <w:r>
              <w:rPr>
                <w:rFonts w:ascii="Arial" w:hAnsi="Arial" w:cs="Arial"/>
                <w:spacing w:val="4"/>
                <w:sz w:val="16"/>
                <w:szCs w:val="16"/>
                <w:lang w:eastAsia="pl-PL"/>
              </w:rPr>
              <w:t xml:space="preserve">  </w:t>
            </w:r>
            <w:r w:rsidRPr="00CA02AA">
              <w:rPr>
                <w:rFonts w:ascii="Arial" w:hAnsi="Arial" w:cs="Arial"/>
                <w:spacing w:val="4"/>
                <w:sz w:val="16"/>
                <w:szCs w:val="16"/>
                <w:lang w:eastAsia="pl-PL"/>
              </w:rPr>
              <w:t>3 954 300</w:t>
            </w:r>
          </w:p>
        </w:tc>
        <w:tc>
          <w:tcPr>
            <w:tcW w:w="533" w:type="pct"/>
            <w:shd w:val="clear" w:color="auto" w:fill="F2F2F2"/>
            <w:vAlign w:val="center"/>
          </w:tcPr>
          <w:p w14:paraId="4951792E"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SL 2014</w:t>
            </w:r>
          </w:p>
        </w:tc>
        <w:tc>
          <w:tcPr>
            <w:tcW w:w="743" w:type="pct"/>
            <w:shd w:val="clear" w:color="auto" w:fill="F2F2F2"/>
            <w:vAlign w:val="center"/>
          </w:tcPr>
          <w:p w14:paraId="55A2B0B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Rocznie (narastająco; wartość docelowa to łączny wzrost </w:t>
            </w:r>
            <w:r w:rsidRPr="004E3242">
              <w:rPr>
                <w:rFonts w:ascii="Arial" w:hAnsi="Arial" w:cs="Arial"/>
                <w:spacing w:val="4"/>
                <w:sz w:val="16"/>
                <w:szCs w:val="16"/>
              </w:rPr>
              <w:lastRenderedPageBreak/>
              <w:t>liczby odwiedzin w roku docelowym 2023)</w:t>
            </w:r>
          </w:p>
        </w:tc>
      </w:tr>
      <w:tr w:rsidR="004E3242" w:rsidRPr="004E3242" w14:paraId="01E69070" w14:textId="77777777" w:rsidTr="00AA7998">
        <w:tc>
          <w:tcPr>
            <w:tcW w:w="305" w:type="pct"/>
            <w:vMerge/>
            <w:shd w:val="clear" w:color="auto" w:fill="F2F2F2"/>
            <w:vAlign w:val="center"/>
          </w:tcPr>
          <w:p w14:paraId="09E1E7B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1203" w:type="pct"/>
            <w:vMerge/>
            <w:shd w:val="clear" w:color="auto" w:fill="F2F2F2"/>
            <w:vAlign w:val="center"/>
          </w:tcPr>
          <w:p w14:paraId="3A83FDA6"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p>
        </w:tc>
        <w:tc>
          <w:tcPr>
            <w:tcW w:w="534" w:type="pct"/>
            <w:vMerge/>
            <w:shd w:val="clear" w:color="auto" w:fill="F2F2F2"/>
            <w:vAlign w:val="center"/>
          </w:tcPr>
          <w:p w14:paraId="74A6A7C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495" w:type="pct"/>
            <w:vMerge/>
            <w:shd w:val="clear" w:color="auto" w:fill="F2F2F2"/>
            <w:vAlign w:val="center"/>
          </w:tcPr>
          <w:p w14:paraId="387FCC1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650" w:type="pct"/>
            <w:shd w:val="clear" w:color="auto" w:fill="F2F2F2"/>
            <w:vAlign w:val="center"/>
          </w:tcPr>
          <w:p w14:paraId="19C59B2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6" w:type="pct"/>
            <w:shd w:val="clear" w:color="auto" w:fill="F2F2F2"/>
            <w:vAlign w:val="center"/>
          </w:tcPr>
          <w:p w14:paraId="4CDDBFE5" w14:textId="77777777" w:rsidR="004E3242" w:rsidRPr="004E3242" w:rsidRDefault="00CA02AA" w:rsidP="004E3242">
            <w:pPr>
              <w:autoSpaceDE w:val="0"/>
              <w:autoSpaceDN w:val="0"/>
              <w:adjustRightInd w:val="0"/>
              <w:spacing w:before="60" w:after="60" w:line="240" w:lineRule="auto"/>
              <w:jc w:val="center"/>
              <w:rPr>
                <w:rFonts w:ascii="Arial" w:hAnsi="Arial" w:cs="Arial"/>
                <w:spacing w:val="4"/>
                <w:sz w:val="16"/>
                <w:szCs w:val="16"/>
                <w:highlight w:val="yellow"/>
              </w:rPr>
            </w:pPr>
            <w:r>
              <w:rPr>
                <w:rFonts w:ascii="Arial" w:hAnsi="Arial" w:cs="Arial"/>
                <w:spacing w:val="4"/>
                <w:sz w:val="16"/>
                <w:szCs w:val="16"/>
                <w:lang w:eastAsia="pl-PL"/>
              </w:rPr>
              <w:t xml:space="preserve">  </w:t>
            </w:r>
            <w:r w:rsidRPr="00CA02AA">
              <w:rPr>
                <w:rFonts w:ascii="Arial" w:hAnsi="Arial" w:cs="Arial"/>
                <w:spacing w:val="4"/>
                <w:sz w:val="16"/>
                <w:szCs w:val="16"/>
                <w:lang w:eastAsia="pl-PL"/>
              </w:rPr>
              <w:t>328 081</w:t>
            </w:r>
          </w:p>
        </w:tc>
        <w:tc>
          <w:tcPr>
            <w:tcW w:w="533" w:type="pct"/>
            <w:shd w:val="clear" w:color="auto" w:fill="F2F2F2"/>
            <w:vAlign w:val="center"/>
          </w:tcPr>
          <w:p w14:paraId="72178BC8"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0C5A5E76"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 (narastająco; wartość docelowa to łączny wzrost liczby odwiedzin w roku docelowym 2023)</w:t>
            </w:r>
          </w:p>
        </w:tc>
      </w:tr>
      <w:tr w:rsidR="004E3242" w:rsidRPr="004E3242" w14:paraId="6AE52C34" w14:textId="77777777" w:rsidTr="00AA7998">
        <w:tc>
          <w:tcPr>
            <w:tcW w:w="305" w:type="pct"/>
            <w:vMerge w:val="restart"/>
            <w:shd w:val="clear" w:color="auto" w:fill="F2F2F2"/>
            <w:vAlign w:val="center"/>
          </w:tcPr>
          <w:p w14:paraId="053FDBA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203" w:type="pct"/>
            <w:vMerge w:val="restart"/>
            <w:shd w:val="clear" w:color="auto" w:fill="F2F2F2"/>
            <w:vAlign w:val="center"/>
          </w:tcPr>
          <w:p w14:paraId="7DDB3E28" w14:textId="77777777" w:rsidR="004E3242" w:rsidRPr="004E3242" w:rsidRDefault="004E3242" w:rsidP="004E3242">
            <w:pPr>
              <w:autoSpaceDE w:val="0"/>
              <w:autoSpaceDN w:val="0"/>
              <w:adjustRightInd w:val="0"/>
              <w:spacing w:before="60" w:after="60" w:line="240" w:lineRule="auto"/>
              <w:jc w:val="both"/>
              <w:rPr>
                <w:rFonts w:ascii="Arial" w:hAnsi="Arial" w:cs="Arial"/>
                <w:sz w:val="16"/>
                <w:szCs w:val="16"/>
              </w:rPr>
            </w:pPr>
            <w:r w:rsidRPr="004E3242">
              <w:rPr>
                <w:rFonts w:ascii="Arial" w:hAnsi="Arial" w:cs="Arial"/>
                <w:sz w:val="16"/>
                <w:szCs w:val="16"/>
              </w:rPr>
              <w:t>Liczba obiektów kultury i dziedzictwa kulturowego objętych wsparciem</w:t>
            </w:r>
          </w:p>
        </w:tc>
        <w:tc>
          <w:tcPr>
            <w:tcW w:w="534" w:type="pct"/>
            <w:vMerge w:val="restart"/>
            <w:shd w:val="clear" w:color="auto" w:fill="F2F2F2"/>
            <w:vAlign w:val="center"/>
          </w:tcPr>
          <w:p w14:paraId="5EEC9236"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szt.</w:t>
            </w:r>
          </w:p>
        </w:tc>
        <w:tc>
          <w:tcPr>
            <w:tcW w:w="495" w:type="pct"/>
            <w:vMerge w:val="restart"/>
            <w:shd w:val="clear" w:color="auto" w:fill="F2F2F2"/>
            <w:vAlign w:val="center"/>
          </w:tcPr>
          <w:p w14:paraId="34B1FEC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50" w:type="pct"/>
            <w:shd w:val="clear" w:color="auto" w:fill="F2F2F2"/>
            <w:vAlign w:val="center"/>
          </w:tcPr>
          <w:p w14:paraId="2B87037D"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6" w:type="pct"/>
            <w:shd w:val="clear" w:color="auto" w:fill="F2F2F2"/>
            <w:vAlign w:val="center"/>
          </w:tcPr>
          <w:p w14:paraId="759D8FEC" w14:textId="77777777" w:rsidR="004E3242" w:rsidRPr="004E3242" w:rsidRDefault="00CA02AA" w:rsidP="004E3242">
            <w:pPr>
              <w:autoSpaceDE w:val="0"/>
              <w:autoSpaceDN w:val="0"/>
              <w:adjustRightInd w:val="0"/>
              <w:spacing w:before="60" w:after="60" w:line="240" w:lineRule="auto"/>
              <w:jc w:val="center"/>
              <w:rPr>
                <w:rFonts w:ascii="Arial" w:hAnsi="Arial" w:cs="Arial"/>
                <w:spacing w:val="4"/>
                <w:sz w:val="16"/>
                <w:szCs w:val="16"/>
                <w:highlight w:val="yellow"/>
              </w:rPr>
            </w:pPr>
            <w:r>
              <w:rPr>
                <w:rFonts w:ascii="Arial" w:hAnsi="Arial" w:cs="Arial"/>
                <w:spacing w:val="4"/>
                <w:sz w:val="16"/>
                <w:szCs w:val="16"/>
                <w:lang w:eastAsia="pl-PL"/>
              </w:rPr>
              <w:t xml:space="preserve"> </w:t>
            </w:r>
            <w:r w:rsidRPr="00CA02AA">
              <w:rPr>
                <w:rFonts w:ascii="Arial" w:hAnsi="Arial" w:cs="Arial"/>
                <w:spacing w:val="4"/>
                <w:sz w:val="16"/>
                <w:szCs w:val="16"/>
                <w:lang w:eastAsia="pl-PL"/>
              </w:rPr>
              <w:t>355</w:t>
            </w:r>
          </w:p>
        </w:tc>
        <w:tc>
          <w:tcPr>
            <w:tcW w:w="533" w:type="pct"/>
            <w:shd w:val="clear" w:color="auto" w:fill="F2F2F2"/>
            <w:vAlign w:val="center"/>
          </w:tcPr>
          <w:p w14:paraId="38A755CF"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0693B075"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2F48EBA5" w14:textId="77777777" w:rsidTr="00AA7998">
        <w:tc>
          <w:tcPr>
            <w:tcW w:w="305" w:type="pct"/>
            <w:vMerge/>
            <w:shd w:val="clear" w:color="auto" w:fill="F2F2F2"/>
            <w:vAlign w:val="center"/>
          </w:tcPr>
          <w:p w14:paraId="74DDAD7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1203" w:type="pct"/>
            <w:vMerge/>
            <w:shd w:val="clear" w:color="auto" w:fill="F2F2F2"/>
            <w:vAlign w:val="center"/>
          </w:tcPr>
          <w:p w14:paraId="7754A1B1" w14:textId="77777777" w:rsidR="004E3242" w:rsidRPr="004E3242" w:rsidRDefault="004E3242" w:rsidP="004E3242">
            <w:pPr>
              <w:autoSpaceDE w:val="0"/>
              <w:autoSpaceDN w:val="0"/>
              <w:adjustRightInd w:val="0"/>
              <w:spacing w:before="60" w:after="60" w:line="240" w:lineRule="auto"/>
              <w:jc w:val="both"/>
              <w:rPr>
                <w:rFonts w:ascii="Arial" w:hAnsi="Arial" w:cs="Arial"/>
                <w:sz w:val="16"/>
                <w:szCs w:val="16"/>
              </w:rPr>
            </w:pPr>
          </w:p>
        </w:tc>
        <w:tc>
          <w:tcPr>
            <w:tcW w:w="534" w:type="pct"/>
            <w:vMerge/>
            <w:shd w:val="clear" w:color="auto" w:fill="F2F2F2"/>
            <w:vAlign w:val="center"/>
          </w:tcPr>
          <w:p w14:paraId="04CC000F"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p>
        </w:tc>
        <w:tc>
          <w:tcPr>
            <w:tcW w:w="495" w:type="pct"/>
            <w:vMerge/>
            <w:shd w:val="clear" w:color="auto" w:fill="F2F2F2"/>
            <w:vAlign w:val="center"/>
          </w:tcPr>
          <w:p w14:paraId="212B039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650" w:type="pct"/>
            <w:shd w:val="clear" w:color="auto" w:fill="F2F2F2"/>
            <w:vAlign w:val="center"/>
          </w:tcPr>
          <w:p w14:paraId="0A34631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6" w:type="pct"/>
            <w:shd w:val="clear" w:color="auto" w:fill="F2F2F2"/>
            <w:vAlign w:val="center"/>
          </w:tcPr>
          <w:p w14:paraId="16C915B0" w14:textId="77777777" w:rsidR="004E3242" w:rsidRPr="004E3242" w:rsidRDefault="00CA02AA" w:rsidP="004E3242">
            <w:pPr>
              <w:autoSpaceDE w:val="0"/>
              <w:autoSpaceDN w:val="0"/>
              <w:adjustRightInd w:val="0"/>
              <w:spacing w:before="60" w:after="60" w:line="240" w:lineRule="auto"/>
              <w:jc w:val="center"/>
              <w:rPr>
                <w:rFonts w:ascii="Arial" w:hAnsi="Arial" w:cs="Arial"/>
                <w:spacing w:val="4"/>
                <w:sz w:val="16"/>
                <w:szCs w:val="16"/>
                <w:highlight w:val="yellow"/>
              </w:rPr>
            </w:pPr>
            <w:r>
              <w:rPr>
                <w:rFonts w:ascii="Arial" w:hAnsi="Arial" w:cs="Arial"/>
                <w:spacing w:val="4"/>
                <w:sz w:val="16"/>
                <w:szCs w:val="16"/>
                <w:lang w:eastAsia="pl-PL"/>
              </w:rPr>
              <w:t xml:space="preserve"> </w:t>
            </w:r>
            <w:r w:rsidRPr="00CA02AA">
              <w:rPr>
                <w:rFonts w:ascii="Arial" w:hAnsi="Arial" w:cs="Arial"/>
                <w:spacing w:val="4"/>
                <w:sz w:val="16"/>
                <w:szCs w:val="16"/>
                <w:lang w:eastAsia="pl-PL"/>
              </w:rPr>
              <w:t>34</w:t>
            </w:r>
          </w:p>
        </w:tc>
        <w:tc>
          <w:tcPr>
            <w:tcW w:w="533" w:type="pct"/>
            <w:shd w:val="clear" w:color="auto" w:fill="F2F2F2"/>
            <w:vAlign w:val="center"/>
          </w:tcPr>
          <w:p w14:paraId="3B51AF3E"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47BCC11A"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49153609" w14:textId="77777777" w:rsidTr="00AA7998">
        <w:tc>
          <w:tcPr>
            <w:tcW w:w="305" w:type="pct"/>
            <w:vMerge w:val="restart"/>
            <w:shd w:val="clear" w:color="auto" w:fill="F2F2F2"/>
            <w:vAlign w:val="center"/>
          </w:tcPr>
          <w:p w14:paraId="1B84F3AF"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3.</w:t>
            </w:r>
          </w:p>
        </w:tc>
        <w:tc>
          <w:tcPr>
            <w:tcW w:w="1203" w:type="pct"/>
            <w:vMerge w:val="restart"/>
            <w:shd w:val="clear" w:color="auto" w:fill="F2F2F2"/>
            <w:vAlign w:val="center"/>
          </w:tcPr>
          <w:p w14:paraId="568532C6" w14:textId="77777777" w:rsidR="004E3242" w:rsidRPr="004E3242" w:rsidRDefault="004E3242" w:rsidP="004E3242">
            <w:pPr>
              <w:autoSpaceDE w:val="0"/>
              <w:autoSpaceDN w:val="0"/>
              <w:adjustRightInd w:val="0"/>
              <w:spacing w:before="60" w:after="60" w:line="240" w:lineRule="auto"/>
              <w:jc w:val="both"/>
              <w:rPr>
                <w:rFonts w:ascii="Arial" w:hAnsi="Arial" w:cs="Arial"/>
                <w:spacing w:val="4"/>
                <w:sz w:val="16"/>
                <w:szCs w:val="16"/>
              </w:rPr>
            </w:pPr>
            <w:r w:rsidRPr="004E3242">
              <w:rPr>
                <w:rFonts w:ascii="Arial" w:hAnsi="Arial" w:cs="Arial"/>
                <w:sz w:val="16"/>
                <w:szCs w:val="16"/>
              </w:rPr>
              <w:t xml:space="preserve">Liczba osób korzystających </w:t>
            </w:r>
            <w:r w:rsidRPr="004E3242">
              <w:rPr>
                <w:rFonts w:ascii="Arial" w:hAnsi="Arial" w:cs="Arial"/>
                <w:sz w:val="16"/>
                <w:szCs w:val="16"/>
              </w:rPr>
              <w:br/>
              <w:t>z obiektów objętych wsparciem</w:t>
            </w:r>
          </w:p>
        </w:tc>
        <w:tc>
          <w:tcPr>
            <w:tcW w:w="534" w:type="pct"/>
            <w:vMerge w:val="restart"/>
            <w:shd w:val="clear" w:color="auto" w:fill="F2F2F2"/>
            <w:vAlign w:val="center"/>
          </w:tcPr>
          <w:p w14:paraId="4EF9CA9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osoby/rok</w:t>
            </w:r>
          </w:p>
        </w:tc>
        <w:tc>
          <w:tcPr>
            <w:tcW w:w="495" w:type="pct"/>
            <w:vMerge w:val="restart"/>
            <w:shd w:val="clear" w:color="auto" w:fill="F2F2F2"/>
            <w:vAlign w:val="center"/>
          </w:tcPr>
          <w:p w14:paraId="5FDDFBF0"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50" w:type="pct"/>
            <w:shd w:val="clear" w:color="auto" w:fill="F2F2F2"/>
            <w:vAlign w:val="center"/>
          </w:tcPr>
          <w:p w14:paraId="6217146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6" w:type="pct"/>
            <w:shd w:val="clear" w:color="auto" w:fill="F2F2F2"/>
            <w:vAlign w:val="center"/>
          </w:tcPr>
          <w:p w14:paraId="2A76BB0A" w14:textId="77777777" w:rsidR="00CA02AA" w:rsidRDefault="00CA02AA" w:rsidP="004E3242">
            <w:pPr>
              <w:autoSpaceDE w:val="0"/>
              <w:autoSpaceDN w:val="0"/>
              <w:adjustRightInd w:val="0"/>
              <w:spacing w:before="60" w:after="60" w:line="240" w:lineRule="auto"/>
              <w:jc w:val="center"/>
              <w:rPr>
                <w:rFonts w:ascii="Arial" w:hAnsi="Arial" w:cs="Arial"/>
                <w:spacing w:val="4"/>
                <w:sz w:val="16"/>
                <w:szCs w:val="16"/>
                <w:lang w:eastAsia="pl-PL"/>
              </w:rPr>
            </w:pPr>
            <w:r>
              <w:rPr>
                <w:rFonts w:ascii="Arial" w:hAnsi="Arial" w:cs="Arial"/>
                <w:spacing w:val="4"/>
                <w:sz w:val="16"/>
                <w:szCs w:val="16"/>
                <w:lang w:eastAsia="pl-PL"/>
              </w:rPr>
              <w:t xml:space="preserve">  </w:t>
            </w:r>
          </w:p>
          <w:p w14:paraId="27F23FA2" w14:textId="77777777" w:rsidR="004E3242" w:rsidRPr="004E3242" w:rsidRDefault="00CA02AA" w:rsidP="004E3242">
            <w:pPr>
              <w:autoSpaceDE w:val="0"/>
              <w:autoSpaceDN w:val="0"/>
              <w:adjustRightInd w:val="0"/>
              <w:spacing w:before="60" w:after="60" w:line="240" w:lineRule="auto"/>
              <w:jc w:val="center"/>
              <w:rPr>
                <w:rFonts w:ascii="Arial" w:hAnsi="Arial" w:cs="Arial"/>
                <w:spacing w:val="4"/>
                <w:sz w:val="16"/>
                <w:szCs w:val="16"/>
                <w:highlight w:val="yellow"/>
              </w:rPr>
            </w:pPr>
            <w:r w:rsidRPr="00CA02AA">
              <w:rPr>
                <w:rFonts w:ascii="Arial" w:hAnsi="Arial" w:cs="Arial"/>
                <w:spacing w:val="4"/>
                <w:sz w:val="16"/>
                <w:szCs w:val="16"/>
                <w:lang w:eastAsia="pl-PL"/>
              </w:rPr>
              <w:t>22 808 400</w:t>
            </w:r>
          </w:p>
        </w:tc>
        <w:tc>
          <w:tcPr>
            <w:tcW w:w="533" w:type="pct"/>
            <w:shd w:val="clear" w:color="auto" w:fill="F2F2F2"/>
            <w:vAlign w:val="center"/>
          </w:tcPr>
          <w:p w14:paraId="137FEAE4"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z w:val="16"/>
                <w:szCs w:val="16"/>
              </w:rPr>
              <w:t>SL 2014</w:t>
            </w:r>
          </w:p>
        </w:tc>
        <w:tc>
          <w:tcPr>
            <w:tcW w:w="743" w:type="pct"/>
            <w:shd w:val="clear" w:color="auto" w:fill="F2F2F2"/>
            <w:vAlign w:val="center"/>
          </w:tcPr>
          <w:p w14:paraId="2D62F9C8"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55A06AC9" w14:textId="77777777" w:rsidTr="00AA7998">
        <w:tc>
          <w:tcPr>
            <w:tcW w:w="305" w:type="pct"/>
            <w:vMerge/>
            <w:shd w:val="clear" w:color="auto" w:fill="F2F2F2"/>
            <w:vAlign w:val="center"/>
          </w:tcPr>
          <w:p w14:paraId="4DC6E2F1"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1203" w:type="pct"/>
            <w:vMerge/>
            <w:shd w:val="clear" w:color="auto" w:fill="F2F2F2"/>
            <w:vAlign w:val="center"/>
          </w:tcPr>
          <w:p w14:paraId="61FD1210"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p>
        </w:tc>
        <w:tc>
          <w:tcPr>
            <w:tcW w:w="534" w:type="pct"/>
            <w:vMerge/>
            <w:shd w:val="clear" w:color="auto" w:fill="F2F2F2"/>
            <w:vAlign w:val="center"/>
          </w:tcPr>
          <w:p w14:paraId="44AAD9D6"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p>
        </w:tc>
        <w:tc>
          <w:tcPr>
            <w:tcW w:w="495" w:type="pct"/>
            <w:vMerge/>
            <w:shd w:val="clear" w:color="auto" w:fill="F2F2F2"/>
            <w:vAlign w:val="center"/>
          </w:tcPr>
          <w:p w14:paraId="6973C167"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p>
        </w:tc>
        <w:tc>
          <w:tcPr>
            <w:tcW w:w="650" w:type="pct"/>
            <w:shd w:val="clear" w:color="auto" w:fill="F2F2F2"/>
            <w:vAlign w:val="center"/>
          </w:tcPr>
          <w:p w14:paraId="18CF8462"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6" w:type="pct"/>
            <w:shd w:val="clear" w:color="auto" w:fill="F2F2F2"/>
            <w:vAlign w:val="center"/>
          </w:tcPr>
          <w:p w14:paraId="6C164FA8" w14:textId="77777777" w:rsidR="004E3242" w:rsidRPr="004E3242" w:rsidRDefault="00CA02AA" w:rsidP="004E3242">
            <w:pPr>
              <w:autoSpaceDE w:val="0"/>
              <w:autoSpaceDN w:val="0"/>
              <w:adjustRightInd w:val="0"/>
              <w:spacing w:before="60" w:after="60" w:line="240" w:lineRule="auto"/>
              <w:jc w:val="center"/>
              <w:rPr>
                <w:rFonts w:ascii="Arial" w:hAnsi="Arial" w:cs="Arial"/>
                <w:spacing w:val="4"/>
                <w:sz w:val="16"/>
                <w:szCs w:val="16"/>
                <w:highlight w:val="yellow"/>
              </w:rPr>
            </w:pPr>
            <w:r>
              <w:rPr>
                <w:rFonts w:ascii="Arial" w:hAnsi="Arial" w:cs="Arial"/>
                <w:spacing w:val="4"/>
                <w:sz w:val="16"/>
                <w:szCs w:val="16"/>
                <w:lang w:eastAsia="pl-PL"/>
              </w:rPr>
              <w:t xml:space="preserve">  </w:t>
            </w:r>
            <w:r w:rsidRPr="00CA02AA">
              <w:rPr>
                <w:rFonts w:ascii="Arial" w:hAnsi="Arial" w:cs="Arial"/>
                <w:spacing w:val="4"/>
                <w:sz w:val="16"/>
                <w:szCs w:val="16"/>
                <w:lang w:eastAsia="pl-PL"/>
              </w:rPr>
              <w:t>4 341 100</w:t>
            </w:r>
          </w:p>
        </w:tc>
        <w:tc>
          <w:tcPr>
            <w:tcW w:w="533" w:type="pct"/>
            <w:shd w:val="clear" w:color="auto" w:fill="F2F2F2"/>
            <w:vAlign w:val="center"/>
          </w:tcPr>
          <w:p w14:paraId="2EFAD8BE" w14:textId="77777777" w:rsidR="004E3242" w:rsidRPr="004E3242" w:rsidRDefault="004E3242" w:rsidP="004E3242">
            <w:pPr>
              <w:autoSpaceDE w:val="0"/>
              <w:autoSpaceDN w:val="0"/>
              <w:adjustRightInd w:val="0"/>
              <w:spacing w:before="60" w:after="6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6859BC79" w14:textId="77777777" w:rsidR="004E3242" w:rsidRPr="004E3242" w:rsidRDefault="004E3242" w:rsidP="004E3242">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062D9264" w14:textId="77777777" w:rsidR="004E3242" w:rsidRPr="004E3242" w:rsidRDefault="004E3242" w:rsidP="004E3242">
      <w:pPr>
        <w:spacing w:after="120" w:line="280" w:lineRule="atLeast"/>
        <w:jc w:val="both"/>
        <w:rPr>
          <w:rFonts w:ascii="Arial" w:hAnsi="Arial" w:cs="Arial"/>
          <w:b/>
          <w:spacing w:val="4"/>
          <w:sz w:val="20"/>
          <w:szCs w:val="20"/>
        </w:rPr>
      </w:pPr>
    </w:p>
    <w:p w14:paraId="1D55B2F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7BC0514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Beneficjentami w ramach priorytetu inwestycyjnego będą instytucje kultury, archiwa państwowe, jednostki samorządu terytorialnego, szkoły i uczelnie artystyczne prowadzone i nadzorowane przez Ministra Kultury i Dziedzictwa Narodowego, kościoły i związki wyznaniowe, organizacje pozarządowe, podmioty zarządzające obiektami indywidualnie wpisanymi na Listę Dziedzictwa UNESCO. Wsparcie będą mogły uzyskać również partnerstwa projektowe zawiązane przez uprawnionych beneficjentów</w:t>
      </w:r>
    </w:p>
    <w:p w14:paraId="1BFAE191"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spacing w:val="4"/>
          <w:sz w:val="20"/>
          <w:szCs w:val="20"/>
        </w:rPr>
        <w:t xml:space="preserve">Grupami docelowymi wsparcia będą użytkownicy wspieranej infrastruktury, tj. mieszkańcy całej Polski oraz turyści (również zagraniczni). Infrastruktura ta zlokalizowana jest głównie na terenie miast wojewódzkich (i obszarów powiązanych z nimi funkcjonalnie) oraz w mniejszym stopniu w miastach regionalnych i </w:t>
      </w:r>
      <w:proofErr w:type="spellStart"/>
      <w:r w:rsidRPr="004E3242">
        <w:rPr>
          <w:rFonts w:ascii="Arial" w:hAnsi="Arial" w:cs="Arial"/>
          <w:spacing w:val="4"/>
          <w:sz w:val="20"/>
          <w:szCs w:val="20"/>
        </w:rPr>
        <w:t>subregionalnych</w:t>
      </w:r>
      <w:proofErr w:type="spellEnd"/>
      <w:r w:rsidRPr="004E3242">
        <w:rPr>
          <w:rFonts w:ascii="Arial" w:hAnsi="Arial" w:cs="Arial"/>
          <w:spacing w:val="4"/>
          <w:sz w:val="20"/>
          <w:szCs w:val="20"/>
        </w:rPr>
        <w:t>.</w:t>
      </w:r>
    </w:p>
    <w:p w14:paraId="02AC4A53" w14:textId="77777777" w:rsidR="00ED18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Terytorialny obszar realizacji </w:t>
      </w:r>
    </w:p>
    <w:p w14:paraId="26AC130B"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Wsparcie ma charakter horyzontalny i dotyczy całego kraju, ze szczególnym uwzględnieniem miast i ich obszarów funkcjonalnych. Ukierunkowanie wsparcia inwestycji kulturalnych dla dużych miast będzie oddziaływać na:</w:t>
      </w:r>
    </w:p>
    <w:p w14:paraId="32634C04" w14:textId="77777777" w:rsidR="004E3242" w:rsidRPr="004E3242" w:rsidRDefault="004E3242" w:rsidP="00B345B6">
      <w:pPr>
        <w:numPr>
          <w:ilvl w:val="0"/>
          <w:numId w:val="15"/>
        </w:numPr>
        <w:spacing w:before="120" w:after="120"/>
        <w:jc w:val="both"/>
        <w:rPr>
          <w:rFonts w:ascii="Arial" w:hAnsi="Arial" w:cs="Arial"/>
          <w:spacing w:val="4"/>
          <w:sz w:val="20"/>
          <w:szCs w:val="20"/>
        </w:rPr>
      </w:pPr>
      <w:r w:rsidRPr="004E3242">
        <w:rPr>
          <w:rFonts w:ascii="Arial" w:hAnsi="Arial" w:cs="Arial"/>
          <w:spacing w:val="4"/>
          <w:sz w:val="20"/>
          <w:szCs w:val="20"/>
        </w:rPr>
        <w:t>tworzenie wysokiej jakości oferty kulturalnej, wpływającej na atrakcyjność inwestycyjną, turystyczną i osiedleńczą miast. W miastach/metropoliach będzie zapewniona bogata i zróżnicowana oferta kulturalna, dostarczana przez uznane instytucje kultury, funkcjonujące w nowoczesnych, w pełni wyposażonych obiektach;</w:t>
      </w:r>
    </w:p>
    <w:p w14:paraId="2667F6B8" w14:textId="77777777" w:rsidR="004E3242" w:rsidRPr="004E3242" w:rsidRDefault="004E3242" w:rsidP="00B345B6">
      <w:pPr>
        <w:numPr>
          <w:ilvl w:val="0"/>
          <w:numId w:val="15"/>
        </w:numPr>
        <w:spacing w:before="120" w:after="120"/>
        <w:jc w:val="both"/>
        <w:rPr>
          <w:rFonts w:ascii="Arial" w:hAnsi="Arial" w:cs="Arial"/>
          <w:spacing w:val="4"/>
          <w:sz w:val="20"/>
          <w:szCs w:val="20"/>
        </w:rPr>
      </w:pPr>
      <w:r w:rsidRPr="004E3242">
        <w:rPr>
          <w:rFonts w:ascii="Arial" w:hAnsi="Arial" w:cs="Arial"/>
          <w:spacing w:val="4"/>
          <w:sz w:val="20"/>
          <w:szCs w:val="20"/>
        </w:rPr>
        <w:t>„ożywienie” przestrzeni miejskich poprzez różne formy ich zagospodarowania – poczynając od renowacji i nierzadko nadania nowych funkcji zabytkom, po zagospodarowanie współczesnych obiektów kultury;</w:t>
      </w:r>
    </w:p>
    <w:p w14:paraId="7D70AC55" w14:textId="77777777" w:rsidR="004E3242" w:rsidRPr="004E3242" w:rsidRDefault="004E3242" w:rsidP="00B345B6">
      <w:pPr>
        <w:numPr>
          <w:ilvl w:val="0"/>
          <w:numId w:val="15"/>
        </w:numPr>
        <w:spacing w:before="120" w:after="120"/>
        <w:jc w:val="both"/>
        <w:rPr>
          <w:rFonts w:ascii="Arial" w:hAnsi="Arial" w:cs="Arial"/>
          <w:spacing w:val="4"/>
          <w:sz w:val="20"/>
          <w:szCs w:val="20"/>
        </w:rPr>
      </w:pPr>
      <w:r w:rsidRPr="004E3242">
        <w:rPr>
          <w:rFonts w:ascii="Arial" w:hAnsi="Arial" w:cs="Arial"/>
          <w:spacing w:val="4"/>
          <w:sz w:val="20"/>
          <w:szCs w:val="20"/>
        </w:rPr>
        <w:t>budowanie potencjału społecznego i integracji społecznej poprzez zwiększenie dostępu do kultury oraz wysokiej jakości oferty kulturalnej;</w:t>
      </w:r>
    </w:p>
    <w:p w14:paraId="6690419F" w14:textId="77777777" w:rsidR="004E3242" w:rsidRPr="004E3242" w:rsidRDefault="004E3242" w:rsidP="00B345B6">
      <w:pPr>
        <w:numPr>
          <w:ilvl w:val="0"/>
          <w:numId w:val="15"/>
        </w:numPr>
        <w:spacing w:before="120" w:after="120"/>
        <w:jc w:val="both"/>
        <w:rPr>
          <w:rFonts w:ascii="Arial" w:hAnsi="Arial" w:cs="Arial"/>
          <w:spacing w:val="4"/>
          <w:sz w:val="20"/>
          <w:szCs w:val="20"/>
        </w:rPr>
      </w:pPr>
      <w:r w:rsidRPr="004E3242">
        <w:rPr>
          <w:rFonts w:ascii="Arial" w:hAnsi="Arial" w:cs="Arial"/>
          <w:spacing w:val="4"/>
          <w:sz w:val="20"/>
          <w:szCs w:val="20"/>
        </w:rPr>
        <w:t>podniesienie jakości oraz estetyki miejskich przestrzeni publicznych.</w:t>
      </w:r>
    </w:p>
    <w:p w14:paraId="47325DA2"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 xml:space="preserve">Wsparcie może dotyczyć również miast mniejszych, w tym regionalnych i </w:t>
      </w:r>
      <w:proofErr w:type="spellStart"/>
      <w:r w:rsidRPr="004E3242">
        <w:rPr>
          <w:rFonts w:ascii="Arial" w:hAnsi="Arial" w:cs="Arial"/>
          <w:spacing w:val="4"/>
          <w:sz w:val="20"/>
          <w:szCs w:val="20"/>
        </w:rPr>
        <w:t>subregionalnych</w:t>
      </w:r>
      <w:proofErr w:type="spellEnd"/>
      <w:r w:rsidRPr="004E3242">
        <w:rPr>
          <w:rFonts w:ascii="Arial" w:hAnsi="Arial" w:cs="Arial"/>
          <w:spacing w:val="4"/>
          <w:sz w:val="20"/>
          <w:szCs w:val="20"/>
        </w:rPr>
        <w:t xml:space="preserve">. </w:t>
      </w:r>
      <w:r w:rsidRPr="004E3242">
        <w:rPr>
          <w:rFonts w:ascii="Arial" w:hAnsi="Arial" w:cs="Arial"/>
          <w:spacing w:val="4"/>
          <w:sz w:val="20"/>
          <w:szCs w:val="20"/>
        </w:rPr>
        <w:br/>
      </w:r>
      <w:r w:rsidRPr="004E3242">
        <w:rPr>
          <w:rFonts w:ascii="Arial" w:hAnsi="Arial" w:cs="Arial"/>
          <w:sz w:val="20"/>
          <w:szCs w:val="20"/>
        </w:rPr>
        <w:t xml:space="preserve">W ramach priorytetu inwestycyjnego przewiduje się wydzielenie puli środków przeznaczonej na </w:t>
      </w:r>
      <w:r w:rsidRPr="004E3242">
        <w:rPr>
          <w:rFonts w:ascii="Arial" w:hAnsi="Arial" w:cs="Arial"/>
          <w:sz w:val="20"/>
          <w:szCs w:val="20"/>
        </w:rPr>
        <w:lastRenderedPageBreak/>
        <w:t>wsparcie województwa mazowieckiego. Wynika to z faktu, że zgodnie z rozporządzeniem ramowym, Mazowsze objęte zostało w okresie programowania 2014-2020 innymi zasadami wsparcia ze środków EFRR</w:t>
      </w:r>
      <w:r w:rsidRPr="004E3242">
        <w:rPr>
          <w:rFonts w:ascii="Arial" w:hAnsi="Arial" w:cs="Arial"/>
          <w:spacing w:val="4"/>
          <w:sz w:val="20"/>
          <w:szCs w:val="20"/>
        </w:rPr>
        <w:t>.</w:t>
      </w:r>
    </w:p>
    <w:p w14:paraId="723EE6C4"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pacing w:val="4"/>
          <w:sz w:val="20"/>
          <w:szCs w:val="20"/>
        </w:rPr>
        <w:t xml:space="preserve">Ochrona i promowanie dziedzictwa kulturowego będzie wzmacniać potencjał kulturowy kraju oraz będzie posiadać istotne znaczenie dla zachowania wspólnego dziedzictwa w wymiarze makroregionalnym i europejskim, przyczyniając się do budowy wspólnej przestrzeni kultury </w:t>
      </w:r>
      <w:r w:rsidRPr="004E3242">
        <w:rPr>
          <w:rFonts w:ascii="Arial" w:hAnsi="Arial" w:cs="Arial"/>
          <w:spacing w:val="4"/>
          <w:sz w:val="20"/>
          <w:szCs w:val="20"/>
        </w:rPr>
        <w:br/>
        <w:t>i tożsamości na obszarze Morza Bałtyckiego. Działania w tym zakresie będą spójne z priorytetami SUE RMB na rzecz poprawy dobrobytu w basenie Morza Bałtyckiego (</w:t>
      </w:r>
      <w:proofErr w:type="spellStart"/>
      <w:r w:rsidRPr="004E3242">
        <w:rPr>
          <w:rFonts w:ascii="Arial" w:hAnsi="Arial" w:cs="Arial"/>
          <w:i/>
          <w:spacing w:val="4"/>
          <w:sz w:val="20"/>
          <w:szCs w:val="20"/>
        </w:rPr>
        <w:t>Increase</w:t>
      </w:r>
      <w:proofErr w:type="spellEnd"/>
      <w:r w:rsidRPr="004E3242">
        <w:rPr>
          <w:rFonts w:ascii="Arial" w:hAnsi="Arial" w:cs="Arial"/>
          <w:i/>
          <w:spacing w:val="4"/>
          <w:sz w:val="20"/>
          <w:szCs w:val="20"/>
        </w:rPr>
        <w:t xml:space="preserve"> Prosperity</w:t>
      </w:r>
      <w:r w:rsidRPr="004E3242">
        <w:rPr>
          <w:rFonts w:ascii="Arial" w:hAnsi="Arial" w:cs="Arial"/>
          <w:spacing w:val="4"/>
          <w:sz w:val="20"/>
          <w:szCs w:val="20"/>
        </w:rPr>
        <w:t xml:space="preserve">) , m.in. poprzez narzędzia, jakie w tym zakresie dostarcza szeroko rozumiane dziedzictwo kulturowe (w tym marynistyczne) oraz poszukiwanie nowych obszarów współdziałania w jego ramach. Realizowane projekty będą przyczyniać się do osiągania celów określonych w ramach OP CULTURE, dotyczących rozwoju i promowania wspólnej kultury i tożsamości w makroregionie </w:t>
      </w:r>
      <w:r w:rsidRPr="004E3242">
        <w:rPr>
          <w:rFonts w:ascii="Arial" w:hAnsi="Arial" w:cs="Arial"/>
          <w:sz w:val="20"/>
          <w:szCs w:val="20"/>
        </w:rPr>
        <w:t>Morza Bałtyckiego.</w:t>
      </w:r>
    </w:p>
    <w:p w14:paraId="7227E20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wyboru projektów do dofinansowania </w:t>
      </w:r>
    </w:p>
    <w:p w14:paraId="7F16942F" w14:textId="77777777" w:rsidR="00B2240C" w:rsidRDefault="00B2240C" w:rsidP="004E3242">
      <w:pPr>
        <w:spacing w:before="120" w:after="120"/>
        <w:jc w:val="both"/>
        <w:rPr>
          <w:rFonts w:ascii="Arial" w:hAnsi="Arial" w:cs="Arial"/>
          <w:sz w:val="20"/>
        </w:rPr>
      </w:pPr>
      <w:r w:rsidRPr="00B2240C">
        <w:rPr>
          <w:rFonts w:ascii="Arial" w:hAnsi="Arial" w:cs="Arial"/>
          <w:sz w:val="20"/>
        </w:rPr>
        <w:t xml:space="preserve">W ramach priorytetu inwestycyjnego wsparciem objęte zostaną projekty wyłaniane w trybie konkursowym oraz pozakonkursowym. Zastosowanie konkretnego trybu będzie uzależnione od rodzaju projektów, które będą podlegały dofinansowaniu. Podstawowym trybem wyboru będzie tryb konkursowy. </w:t>
      </w:r>
    </w:p>
    <w:p w14:paraId="203FBC19"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 xml:space="preserve">Projekty realizowane w ramach VIII. osi priorytetowej będą przyczyniać się do osiągania wymiernych </w:t>
      </w:r>
      <w:r w:rsidRPr="004E3242">
        <w:rPr>
          <w:rFonts w:ascii="Arial" w:hAnsi="Arial" w:cs="Arial"/>
          <w:sz w:val="20"/>
        </w:rPr>
        <w:br/>
        <w:t>i trwałych korzyści społeczno-gospodarczych, w tym poprzez zwiększenie potencjału turystycznego, rozwój e-kultury oraz przemysłów kreatywnych i przemysłów kultury. Ponadto, projekty będą badane pod kątem zgodności z celami strategii terytorialnych, obowiązujących na obszarze planowanej interwencji.</w:t>
      </w:r>
    </w:p>
    <w:p w14:paraId="481FC9A6"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Przy wyborze projektów do dofinansowania w ramach VIII osi priorytetowej, obok elementów takich jak analiza ekonomiczna, analiza finansowa czy analiza ryzyka, ocenie podlegać będzie m.in.:</w:t>
      </w:r>
    </w:p>
    <w:p w14:paraId="0687B27C" w14:textId="77777777" w:rsidR="004E3242" w:rsidRPr="004E3242" w:rsidRDefault="004E3242" w:rsidP="00B345B6">
      <w:pPr>
        <w:numPr>
          <w:ilvl w:val="0"/>
          <w:numId w:val="14"/>
        </w:numPr>
        <w:spacing w:before="120" w:after="120"/>
        <w:jc w:val="both"/>
        <w:rPr>
          <w:rFonts w:ascii="Arial" w:hAnsi="Arial" w:cs="Arial"/>
          <w:sz w:val="20"/>
        </w:rPr>
      </w:pPr>
      <w:r w:rsidRPr="004E3242">
        <w:rPr>
          <w:rFonts w:ascii="Arial" w:hAnsi="Arial" w:cs="Arial"/>
          <w:sz w:val="20"/>
        </w:rPr>
        <w:t xml:space="preserve">Analiza popytu - wykazanie zapotrzebowania na dany projekt, w tym szacowanej liczby odwiedzających; </w:t>
      </w:r>
    </w:p>
    <w:p w14:paraId="1ED6F5F9" w14:textId="77777777" w:rsidR="004E3242" w:rsidRPr="004E3242" w:rsidRDefault="004E3242" w:rsidP="00B345B6">
      <w:pPr>
        <w:numPr>
          <w:ilvl w:val="0"/>
          <w:numId w:val="14"/>
        </w:numPr>
        <w:spacing w:before="120" w:after="120"/>
        <w:jc w:val="both"/>
        <w:rPr>
          <w:rFonts w:ascii="Arial" w:hAnsi="Arial" w:cs="Arial"/>
          <w:sz w:val="20"/>
        </w:rPr>
      </w:pPr>
      <w:r w:rsidRPr="004E3242">
        <w:rPr>
          <w:rFonts w:ascii="Arial" w:hAnsi="Arial" w:cs="Arial"/>
          <w:sz w:val="20"/>
        </w:rPr>
        <w:t xml:space="preserve">Realizacja priorytetów rozwoju kultury: </w:t>
      </w:r>
    </w:p>
    <w:p w14:paraId="37A70A67"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 xml:space="preserve">poprawa dostępności do kultury - tj. w wymiarze fizycznym udostępnienie nowych powierzchni do prowadzenia działalności kulturalnej, jak również budowanie świadomości i edukacji kulturalnej; </w:t>
      </w:r>
    </w:p>
    <w:p w14:paraId="1E46ED0F"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 xml:space="preserve">zachowanie dziedzictwa kulturowego (materialnego i niematerialnego) dla przyszłych pokoleń; </w:t>
      </w:r>
    </w:p>
    <w:p w14:paraId="2201118C"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 xml:space="preserve">umożliwienie nowych form uczestnictwa w kulturze - tworzenie warunków do rozwoju oferty kulturalnej odpowiadającej na nowe potrzeby w obszarze działalności kulturalnej wynikające z rozwoju technicznego oraz przemian społecznych we współczesnej gospodarce; </w:t>
      </w:r>
    </w:p>
    <w:p w14:paraId="1E0AEB13"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 xml:space="preserve">podniesienie atrakcyjności turystycznej kraju lub regionu. </w:t>
      </w:r>
    </w:p>
    <w:p w14:paraId="23E8E8C2" w14:textId="77777777" w:rsidR="004E3242" w:rsidRPr="004E3242" w:rsidRDefault="004E3242" w:rsidP="00B345B6">
      <w:pPr>
        <w:numPr>
          <w:ilvl w:val="0"/>
          <w:numId w:val="31"/>
        </w:numPr>
        <w:spacing w:before="120" w:after="120"/>
        <w:jc w:val="both"/>
        <w:rPr>
          <w:rFonts w:ascii="Arial" w:hAnsi="Arial" w:cs="Arial"/>
          <w:sz w:val="20"/>
        </w:rPr>
      </w:pPr>
      <w:r w:rsidRPr="004E3242">
        <w:rPr>
          <w:rFonts w:ascii="Arial" w:hAnsi="Arial" w:cs="Arial"/>
          <w:sz w:val="20"/>
        </w:rPr>
        <w:t xml:space="preserve">Zapewnienie trwałości efektów, w tym generowane efekty mnożnikowe - promowane będą rozwiązania wpływające na poprawę efektywności funkcjonowania obiektów/instytucji </w:t>
      </w:r>
      <w:r w:rsidRPr="004E3242">
        <w:rPr>
          <w:rFonts w:ascii="Arial" w:hAnsi="Arial" w:cs="Arial"/>
          <w:sz w:val="20"/>
        </w:rPr>
        <w:br/>
        <w:t xml:space="preserve">w długim okresie, w tym rozwiązania pozwalające na: </w:t>
      </w:r>
    </w:p>
    <w:p w14:paraId="39361E70"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 xml:space="preserve">obniżenie kosztów utrzymania na rzecz wydatków inwestycyjnych oraz na działalność kulturalną; </w:t>
      </w:r>
    </w:p>
    <w:p w14:paraId="6C3A7EDC"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 xml:space="preserve">zastosowanie rozwiązań energooszczędnych – zmniejszenie zapotrzebowania i zużycia energii, a przez to zmniejszenie ogólnych kosztów eksploatacji budynków; </w:t>
      </w:r>
    </w:p>
    <w:p w14:paraId="1B21A567"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lastRenderedPageBreak/>
        <w:t xml:space="preserve">dywersyfikację źródeł finansowania działalności – pozyskiwanie zewnętrznych źródeł finansowania; </w:t>
      </w:r>
    </w:p>
    <w:p w14:paraId="74D30E0C"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dodatnie efekty ekonomiczne – oddziaływanie na bezpośrednie otoczenie inwestycji;</w:t>
      </w:r>
    </w:p>
    <w:p w14:paraId="5FCED3F3" w14:textId="77777777" w:rsidR="004E3242" w:rsidRPr="004E3242" w:rsidRDefault="004E3242" w:rsidP="00B345B6">
      <w:pPr>
        <w:numPr>
          <w:ilvl w:val="0"/>
          <w:numId w:val="33"/>
        </w:numPr>
        <w:spacing w:before="120" w:after="120"/>
        <w:jc w:val="both"/>
        <w:rPr>
          <w:rFonts w:ascii="Arial" w:hAnsi="Arial" w:cs="Arial"/>
          <w:sz w:val="20"/>
        </w:rPr>
      </w:pPr>
      <w:r w:rsidRPr="004E3242">
        <w:rPr>
          <w:rFonts w:ascii="Arial" w:hAnsi="Arial" w:cs="Arial"/>
          <w:sz w:val="20"/>
        </w:rPr>
        <w:t>tworzenie nowych miejsc pracy.</w:t>
      </w:r>
    </w:p>
    <w:p w14:paraId="1CA5F935" w14:textId="77777777" w:rsidR="004E3242" w:rsidRPr="00B2240C" w:rsidRDefault="00B2240C" w:rsidP="00B2240C">
      <w:pPr>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 </w:t>
      </w:r>
      <w:r w:rsidRPr="00B2240C">
        <w:rPr>
          <w:rFonts w:ascii="Arial" w:hAnsi="Arial" w:cs="Arial"/>
          <w:sz w:val="20"/>
          <w:szCs w:val="20"/>
        </w:rPr>
        <w:t xml:space="preserve">Projekty realizowane w ramach priorytetu inwestycyjnego będą miały </w:t>
      </w:r>
      <w:r>
        <w:rPr>
          <w:rFonts w:ascii="Arial" w:hAnsi="Arial" w:cs="Arial"/>
          <w:sz w:val="20"/>
          <w:szCs w:val="20"/>
        </w:rPr>
        <w:t xml:space="preserve">charakter strategiczny, zgodny </w:t>
      </w:r>
      <w:r w:rsidRPr="00B2240C">
        <w:rPr>
          <w:rFonts w:ascii="Arial" w:hAnsi="Arial" w:cs="Arial"/>
          <w:sz w:val="20"/>
          <w:szCs w:val="20"/>
        </w:rPr>
        <w:t xml:space="preserve">z celami wsparcia osi priorytetowej. </w:t>
      </w:r>
      <w:r w:rsidR="004E3242" w:rsidRPr="004E3242">
        <w:rPr>
          <w:rFonts w:ascii="Arial" w:hAnsi="Arial" w:cs="Arial"/>
          <w:sz w:val="20"/>
          <w:szCs w:val="20"/>
        </w:rPr>
        <w:t xml:space="preserve">Projekty te będą dotyczyć zarówno ochrony dziedzictwa kulturowego oraz rozwoju zasobów kultury, jako miejsc prezentacji dziedzictwa kulturowego. Wspierane </w:t>
      </w:r>
      <w:r w:rsidR="004E3242" w:rsidRPr="004E3242">
        <w:rPr>
          <w:rFonts w:ascii="Arial" w:hAnsi="Arial" w:cs="Arial"/>
          <w:iCs/>
          <w:sz w:val="20"/>
          <w:szCs w:val="20"/>
        </w:rPr>
        <w:t>będą inwestycje o ponadregionalnym oddziaływaniu, wpływające na zwiększenie dostępu do kultury w znaczeniu terytorialnym oraz funkcjonalnym (np. udostepnienie zabytków dotychczas nie eksponowanych z uwagi na ich stan, udostepnienie nowej przestrzeni dla prezentacji dziedzictwa kulturowego, nowoczesne rozwiązania umożliwiające dostęp dla grup społecznych na różnym poziomie wykluczenia</w:t>
      </w:r>
      <w:r w:rsidR="004E3242" w:rsidRPr="004E3242">
        <w:rPr>
          <w:rFonts w:ascii="Arial" w:hAnsi="Arial" w:cs="Arial"/>
          <w:i/>
          <w:iCs/>
          <w:sz w:val="20"/>
          <w:szCs w:val="20"/>
        </w:rPr>
        <w:t xml:space="preserve">). </w:t>
      </w:r>
      <w:r w:rsidR="004E3242" w:rsidRPr="004E3242">
        <w:rPr>
          <w:rFonts w:ascii="Arial" w:hAnsi="Arial" w:cs="Arial"/>
          <w:iCs/>
          <w:sz w:val="20"/>
          <w:szCs w:val="20"/>
        </w:rPr>
        <w:t xml:space="preserve">Ponadto ważnym kryterium selekcji będzie sposób wykorzystania finansowanej infrastruktury, uwzględniający zwłaszcza kwestie dostosowania jej do nowoczesnych wymogów prowadzenia działalności kulturalnej i edukacyjnej oraz jakość dostarczanej oferty programowej. </w:t>
      </w:r>
      <w:r w:rsidR="004E3242" w:rsidRPr="004E3242">
        <w:rPr>
          <w:rFonts w:ascii="Arial" w:hAnsi="Arial" w:cs="Arial"/>
          <w:sz w:val="20"/>
          <w:szCs w:val="20"/>
        </w:rPr>
        <w:t xml:space="preserve">Taka ścieżka wyboru umożliwi realizację potrzeb inwestycyjnych w sektorze kultury oraz przyczyni się do osiągnięcia celów osi priorytetowej. </w:t>
      </w:r>
    </w:p>
    <w:p w14:paraId="26561742" w14:textId="77777777" w:rsidR="00684EE4"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 xml:space="preserve">Wybór projektów do dofinansowania będzie następował w wyniku oceny poszczególnych przedsięwzięć w oparciu o obiektywne kryteria zatwierdzone przez Komitet Monitorujący. Kryteria wyboru będą służyły zapewnieniu efektywnej i prawidłowej realizacji celów określonych dla osi priorytetowej. Kryteria będą precyzyjne, mierzalne i obiektywne. </w:t>
      </w:r>
      <w:r w:rsidRPr="004E3242">
        <w:rPr>
          <w:rFonts w:ascii="Arial" w:hAnsi="Arial" w:cs="Arial"/>
          <w:spacing w:val="4"/>
          <w:sz w:val="20"/>
        </w:rPr>
        <w:t xml:space="preserve">Dodatkowo dopuszcza się możliwość nadania </w:t>
      </w:r>
      <w:r w:rsidRPr="004E3242">
        <w:rPr>
          <w:rFonts w:ascii="Arial" w:hAnsi="Arial" w:cs="Arial"/>
          <w:spacing w:val="4"/>
          <w:sz w:val="20"/>
          <w:szCs w:val="20"/>
        </w:rPr>
        <w:t>kryteriom merytorycznym odpowiedniej punktacji oraz określonych wag punktowych.</w:t>
      </w:r>
    </w:p>
    <w:p w14:paraId="4FC710DF" w14:textId="77777777" w:rsidR="004E3242" w:rsidRPr="004E3242" w:rsidRDefault="005E530E" w:rsidP="004E3242">
      <w:pPr>
        <w:autoSpaceDE w:val="0"/>
        <w:autoSpaceDN w:val="0"/>
        <w:adjustRightInd w:val="0"/>
        <w:spacing w:before="120" w:after="120"/>
        <w:jc w:val="both"/>
        <w:rPr>
          <w:rFonts w:ascii="Arial" w:hAnsi="Arial" w:cs="Arial"/>
          <w:spacing w:val="4"/>
          <w:sz w:val="20"/>
          <w:szCs w:val="20"/>
        </w:rPr>
      </w:pPr>
      <w:r w:rsidRPr="005E530E">
        <w:rPr>
          <w:rFonts w:ascii="Arial" w:hAnsi="Arial" w:cs="Arial"/>
          <w:spacing w:val="4"/>
          <w:sz w:val="20"/>
          <w:szCs w:val="20"/>
        </w:rPr>
        <w:t xml:space="preserve">Szczegółowe informacje nt. założeń koordynacji i podziału interwencji pomiędzy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 xml:space="preserve"> a innymi programami i instrumentami wsparcia opisane zostały w rozdziale 8 </w:t>
      </w:r>
      <w:proofErr w:type="spellStart"/>
      <w:r w:rsidRPr="005E530E">
        <w:rPr>
          <w:rFonts w:ascii="Arial" w:hAnsi="Arial" w:cs="Arial"/>
          <w:spacing w:val="4"/>
          <w:sz w:val="20"/>
          <w:szCs w:val="20"/>
        </w:rPr>
        <w:t>POIiŚ</w:t>
      </w:r>
      <w:proofErr w:type="spellEnd"/>
      <w:r w:rsidRPr="005E530E">
        <w:rPr>
          <w:rFonts w:ascii="Arial" w:hAnsi="Arial" w:cs="Arial"/>
          <w:spacing w:val="4"/>
          <w:sz w:val="20"/>
          <w:szCs w:val="20"/>
        </w:rPr>
        <w:t>.</w:t>
      </w:r>
    </w:p>
    <w:p w14:paraId="22DF294F" w14:textId="77777777" w:rsidR="004E3242" w:rsidRPr="004E3242" w:rsidRDefault="004E3242" w:rsidP="004E3242">
      <w:pPr>
        <w:autoSpaceDE w:val="0"/>
        <w:autoSpaceDN w:val="0"/>
        <w:adjustRightInd w:val="0"/>
        <w:spacing w:before="120" w:after="120"/>
        <w:jc w:val="both"/>
        <w:rPr>
          <w:rFonts w:ascii="Arial" w:hAnsi="Arial" w:cs="Arial"/>
          <w:b/>
          <w:color w:val="808000"/>
          <w:spacing w:val="4"/>
          <w:sz w:val="20"/>
          <w:szCs w:val="20"/>
        </w:rPr>
      </w:pPr>
      <w:r w:rsidRPr="004E3242">
        <w:rPr>
          <w:rFonts w:ascii="Arial" w:hAnsi="Arial" w:cs="Arial"/>
          <w:bCs/>
          <w:smallCaps/>
          <w:color w:val="669900"/>
          <w:spacing w:val="4"/>
          <w:sz w:val="20"/>
          <w:szCs w:val="20"/>
        </w:rPr>
        <w:t>Zakres wykorzystania instrumentów finansowych</w:t>
      </w:r>
    </w:p>
    <w:p w14:paraId="66407D8F"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nie przewiduje się wsparcia w formie instrumentów finansowych.</w:t>
      </w:r>
    </w:p>
    <w:p w14:paraId="531DCA30"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pPr>
      <w:r w:rsidRPr="004E3242">
        <w:rPr>
          <w:rFonts w:ascii="Arial" w:hAnsi="Arial" w:cs="Arial"/>
          <w:spacing w:val="4"/>
          <w:sz w:val="20"/>
          <w:szCs w:val="20"/>
        </w:rPr>
        <w:t>W ramach priorytetu inwestycyjnego przewiduje się wyłączenie blokowe projektów z zakresu kultury.</w:t>
      </w:r>
    </w:p>
    <w:p w14:paraId="38E27B37"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dużych projektów</w:t>
      </w:r>
    </w:p>
    <w:p w14:paraId="639DB669" w14:textId="77777777" w:rsidR="00EE4A8B" w:rsidRDefault="00EE4A8B" w:rsidP="004E3242">
      <w:pPr>
        <w:spacing w:before="120" w:after="120"/>
        <w:jc w:val="both"/>
        <w:rPr>
          <w:rFonts w:ascii="Arial" w:eastAsia="Cambria" w:hAnsi="Arial" w:cs="Arial"/>
          <w:spacing w:val="4"/>
          <w:sz w:val="20"/>
          <w:szCs w:val="20"/>
        </w:rPr>
      </w:pPr>
      <w:r w:rsidRPr="00EE4A8B">
        <w:rPr>
          <w:rFonts w:ascii="Arial" w:eastAsia="Cambria" w:hAnsi="Arial" w:cs="Arial"/>
          <w:spacing w:val="4"/>
          <w:sz w:val="20"/>
          <w:szCs w:val="20"/>
        </w:rPr>
        <w:t>W ramach priorytetu inwestycyjnego nie przewiduje się realizacji dużych projektów.</w:t>
      </w:r>
    </w:p>
    <w:p w14:paraId="346BB449" w14:textId="77777777" w:rsidR="004E3242" w:rsidRPr="004E3242" w:rsidRDefault="004E3242" w:rsidP="004E3242">
      <w:pPr>
        <w:spacing w:before="120" w:after="120"/>
        <w:jc w:val="both"/>
        <w:rPr>
          <w:rFonts w:ascii="Arial" w:eastAsia="Cambria" w:hAnsi="Arial" w:cs="Arial"/>
          <w:spacing w:val="4"/>
          <w:sz w:val="20"/>
          <w:szCs w:val="20"/>
        </w:rPr>
      </w:pPr>
    </w:p>
    <w:p w14:paraId="22F01BB4" w14:textId="77777777" w:rsidR="004E3242" w:rsidRPr="004E3242" w:rsidRDefault="004E3242" w:rsidP="004E3242">
      <w:pPr>
        <w:spacing w:before="120" w:after="120"/>
        <w:jc w:val="both"/>
        <w:rPr>
          <w:rFonts w:ascii="Arial" w:eastAsia="Cambria" w:hAnsi="Arial" w:cs="Arial"/>
          <w:spacing w:val="4"/>
          <w:sz w:val="20"/>
          <w:szCs w:val="20"/>
        </w:rPr>
      </w:pPr>
    </w:p>
    <w:p w14:paraId="7063914B" w14:textId="77777777" w:rsidR="004E3242" w:rsidRPr="004E3242" w:rsidRDefault="004E3242" w:rsidP="004E3242">
      <w:pPr>
        <w:autoSpaceDE w:val="0"/>
        <w:autoSpaceDN w:val="0"/>
        <w:adjustRightInd w:val="0"/>
        <w:spacing w:before="120" w:after="120"/>
        <w:jc w:val="both"/>
        <w:rPr>
          <w:rFonts w:ascii="Arial" w:hAnsi="Arial" w:cs="Arial"/>
          <w:spacing w:val="4"/>
          <w:sz w:val="20"/>
          <w:szCs w:val="20"/>
        </w:rPr>
        <w:sectPr w:rsidR="004E3242" w:rsidRPr="004E3242" w:rsidSect="00C73ABE">
          <w:pgSz w:w="11906" w:h="16838"/>
          <w:pgMar w:top="1418" w:right="1418" w:bottom="1418" w:left="1418" w:header="709" w:footer="709" w:gutter="0"/>
          <w:cols w:space="708"/>
          <w:titlePg/>
          <w:docGrid w:linePitch="360"/>
        </w:sectPr>
      </w:pPr>
    </w:p>
    <w:p w14:paraId="36C9E055"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Ramy wykonania</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3"/>
        <w:gridCol w:w="1275"/>
        <w:gridCol w:w="1704"/>
        <w:gridCol w:w="1133"/>
        <w:gridCol w:w="993"/>
        <w:gridCol w:w="990"/>
        <w:gridCol w:w="993"/>
        <w:gridCol w:w="990"/>
        <w:gridCol w:w="993"/>
        <w:gridCol w:w="4956"/>
      </w:tblGrid>
      <w:tr w:rsidR="004E3242" w:rsidRPr="004E3242" w14:paraId="2156A567" w14:textId="77777777" w:rsidTr="00AA7998">
        <w:tc>
          <w:tcPr>
            <w:tcW w:w="183" w:type="pct"/>
            <w:shd w:val="clear" w:color="auto" w:fill="99CC00"/>
            <w:vAlign w:val="center"/>
          </w:tcPr>
          <w:p w14:paraId="79B000E8"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438" w:type="pct"/>
            <w:shd w:val="clear" w:color="auto" w:fill="99CC00"/>
            <w:vAlign w:val="center"/>
          </w:tcPr>
          <w:p w14:paraId="701FB0ED"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585" w:type="pct"/>
            <w:shd w:val="clear" w:color="auto" w:fill="99CC00"/>
            <w:vAlign w:val="center"/>
          </w:tcPr>
          <w:p w14:paraId="0AD35CA0"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389" w:type="pct"/>
            <w:shd w:val="clear" w:color="auto" w:fill="99CC00"/>
            <w:vAlign w:val="center"/>
          </w:tcPr>
          <w:p w14:paraId="69952896"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341" w:type="pct"/>
            <w:shd w:val="clear" w:color="auto" w:fill="99CC00"/>
            <w:vAlign w:val="center"/>
          </w:tcPr>
          <w:p w14:paraId="1A42E0C1"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340" w:type="pct"/>
            <w:shd w:val="clear" w:color="auto" w:fill="99CC00"/>
            <w:vAlign w:val="center"/>
          </w:tcPr>
          <w:p w14:paraId="12B512EC"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341" w:type="pct"/>
            <w:shd w:val="clear" w:color="auto" w:fill="99CC00"/>
            <w:vAlign w:val="center"/>
          </w:tcPr>
          <w:p w14:paraId="47A3B429"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340" w:type="pct"/>
            <w:shd w:val="clear" w:color="auto" w:fill="99CC00"/>
            <w:vAlign w:val="center"/>
          </w:tcPr>
          <w:p w14:paraId="6E436D39"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341" w:type="pct"/>
            <w:shd w:val="clear" w:color="auto" w:fill="99CC00"/>
            <w:vAlign w:val="center"/>
          </w:tcPr>
          <w:p w14:paraId="2BC205DD"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702" w:type="pct"/>
            <w:shd w:val="clear" w:color="auto" w:fill="99CC00"/>
            <w:vAlign w:val="center"/>
          </w:tcPr>
          <w:p w14:paraId="4D67C753" w14:textId="77777777" w:rsidR="004E3242" w:rsidRPr="004E3242" w:rsidRDefault="004E3242" w:rsidP="004E3242">
            <w:pPr>
              <w:spacing w:before="40" w:after="4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5BB846BD" w14:textId="77777777" w:rsidTr="00AA7998">
        <w:tc>
          <w:tcPr>
            <w:tcW w:w="183" w:type="pct"/>
            <w:vMerge w:val="restart"/>
            <w:shd w:val="clear" w:color="auto" w:fill="F2F2F2"/>
            <w:vAlign w:val="center"/>
          </w:tcPr>
          <w:p w14:paraId="141429A0"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1.</w:t>
            </w:r>
          </w:p>
        </w:tc>
        <w:tc>
          <w:tcPr>
            <w:tcW w:w="438" w:type="pct"/>
            <w:vMerge w:val="restart"/>
            <w:shd w:val="clear" w:color="auto" w:fill="F2F2F2"/>
            <w:vAlign w:val="center"/>
          </w:tcPr>
          <w:p w14:paraId="648DA45B"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Wskaźnik finansowy</w:t>
            </w:r>
          </w:p>
        </w:tc>
        <w:tc>
          <w:tcPr>
            <w:tcW w:w="585" w:type="pct"/>
            <w:vMerge w:val="restart"/>
            <w:shd w:val="clear" w:color="auto" w:fill="F2F2F2"/>
            <w:vAlign w:val="center"/>
          </w:tcPr>
          <w:p w14:paraId="28E730F8"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z w:val="16"/>
                <w:szCs w:val="16"/>
              </w:rPr>
              <w:t>Całkowita kwota certyfikowanych wydatków kwalifikowalnych</w:t>
            </w:r>
          </w:p>
        </w:tc>
        <w:tc>
          <w:tcPr>
            <w:tcW w:w="389" w:type="pct"/>
            <w:vMerge w:val="restart"/>
            <w:shd w:val="clear" w:color="auto" w:fill="F2F2F2"/>
            <w:vAlign w:val="center"/>
          </w:tcPr>
          <w:p w14:paraId="484E61E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EUR</w:t>
            </w:r>
          </w:p>
        </w:tc>
        <w:tc>
          <w:tcPr>
            <w:tcW w:w="341" w:type="pct"/>
            <w:vMerge w:val="restart"/>
            <w:shd w:val="clear" w:color="auto" w:fill="F2F2F2"/>
            <w:vAlign w:val="center"/>
          </w:tcPr>
          <w:p w14:paraId="020DA8A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40" w:type="pct"/>
            <w:shd w:val="clear" w:color="auto" w:fill="F2F2F2"/>
            <w:vAlign w:val="center"/>
          </w:tcPr>
          <w:p w14:paraId="610C56E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słabiej</w:t>
            </w:r>
          </w:p>
          <w:p w14:paraId="316DB668"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341" w:type="pct"/>
            <w:shd w:val="clear" w:color="auto" w:fill="F2F2F2"/>
            <w:vAlign w:val="center"/>
          </w:tcPr>
          <w:p w14:paraId="58FB74E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z w:val="16"/>
                <w:szCs w:val="16"/>
              </w:rPr>
              <w:t>88 938 386</w:t>
            </w:r>
          </w:p>
        </w:tc>
        <w:tc>
          <w:tcPr>
            <w:tcW w:w="340" w:type="pct"/>
            <w:shd w:val="clear" w:color="auto" w:fill="F2F2F2"/>
            <w:vAlign w:val="center"/>
          </w:tcPr>
          <w:p w14:paraId="41C0491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490 047 257</w:t>
            </w:r>
          </w:p>
        </w:tc>
        <w:tc>
          <w:tcPr>
            <w:tcW w:w="341" w:type="pct"/>
            <w:shd w:val="clear" w:color="auto" w:fill="F2F2F2"/>
            <w:vAlign w:val="center"/>
          </w:tcPr>
          <w:p w14:paraId="08C1A1C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702" w:type="pct"/>
            <w:shd w:val="clear" w:color="auto" w:fill="F2F2F2"/>
            <w:vAlign w:val="center"/>
          </w:tcPr>
          <w:p w14:paraId="0768D4CC"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7290511F" w14:textId="77777777" w:rsidTr="00AA7998">
        <w:tc>
          <w:tcPr>
            <w:tcW w:w="183" w:type="pct"/>
            <w:vMerge/>
            <w:shd w:val="clear" w:color="auto" w:fill="F2F2F2"/>
            <w:vAlign w:val="center"/>
          </w:tcPr>
          <w:p w14:paraId="477E9614" w14:textId="77777777" w:rsidR="004E3242" w:rsidRPr="004E3242" w:rsidRDefault="004E3242" w:rsidP="004E3242">
            <w:pPr>
              <w:spacing w:before="40" w:after="40" w:line="240" w:lineRule="auto"/>
              <w:jc w:val="center"/>
              <w:rPr>
                <w:rFonts w:ascii="Arial" w:hAnsi="Arial" w:cs="Arial"/>
                <w:sz w:val="16"/>
                <w:szCs w:val="16"/>
              </w:rPr>
            </w:pPr>
          </w:p>
        </w:tc>
        <w:tc>
          <w:tcPr>
            <w:tcW w:w="438" w:type="pct"/>
            <w:vMerge/>
            <w:shd w:val="clear" w:color="auto" w:fill="F2F2F2"/>
            <w:vAlign w:val="center"/>
          </w:tcPr>
          <w:p w14:paraId="5E5059CD" w14:textId="77777777" w:rsidR="004E3242" w:rsidRPr="004E3242" w:rsidRDefault="004E3242" w:rsidP="004E3242">
            <w:pPr>
              <w:spacing w:before="40" w:after="40" w:line="240" w:lineRule="auto"/>
              <w:jc w:val="center"/>
              <w:rPr>
                <w:rFonts w:ascii="Arial" w:hAnsi="Arial" w:cs="Arial"/>
                <w:sz w:val="16"/>
                <w:szCs w:val="16"/>
              </w:rPr>
            </w:pPr>
          </w:p>
        </w:tc>
        <w:tc>
          <w:tcPr>
            <w:tcW w:w="585" w:type="pct"/>
            <w:vMerge/>
            <w:shd w:val="clear" w:color="auto" w:fill="F2F2F2"/>
            <w:vAlign w:val="center"/>
          </w:tcPr>
          <w:p w14:paraId="4B91F3D3" w14:textId="77777777" w:rsidR="004E3242" w:rsidRPr="004E3242" w:rsidRDefault="004E3242" w:rsidP="004E3242">
            <w:pPr>
              <w:spacing w:before="40" w:after="40" w:line="240" w:lineRule="auto"/>
              <w:jc w:val="both"/>
              <w:rPr>
                <w:rFonts w:ascii="Arial" w:hAnsi="Arial" w:cs="Arial"/>
                <w:sz w:val="16"/>
                <w:szCs w:val="16"/>
              </w:rPr>
            </w:pPr>
          </w:p>
        </w:tc>
        <w:tc>
          <w:tcPr>
            <w:tcW w:w="389" w:type="pct"/>
            <w:vMerge/>
            <w:shd w:val="clear" w:color="auto" w:fill="F2F2F2"/>
            <w:vAlign w:val="center"/>
          </w:tcPr>
          <w:p w14:paraId="3943C423" w14:textId="77777777" w:rsidR="004E3242" w:rsidRPr="004E3242" w:rsidRDefault="004E3242" w:rsidP="004E3242">
            <w:pPr>
              <w:spacing w:before="40" w:after="40" w:line="240" w:lineRule="auto"/>
              <w:jc w:val="center"/>
              <w:rPr>
                <w:rFonts w:ascii="Arial" w:hAnsi="Arial" w:cs="Arial"/>
                <w:spacing w:val="4"/>
                <w:sz w:val="16"/>
                <w:szCs w:val="16"/>
              </w:rPr>
            </w:pPr>
          </w:p>
        </w:tc>
        <w:tc>
          <w:tcPr>
            <w:tcW w:w="341" w:type="pct"/>
            <w:vMerge/>
            <w:shd w:val="clear" w:color="auto" w:fill="F2F2F2"/>
            <w:vAlign w:val="center"/>
          </w:tcPr>
          <w:p w14:paraId="77C84E6D" w14:textId="77777777" w:rsidR="004E3242" w:rsidRPr="004E3242" w:rsidRDefault="004E3242" w:rsidP="004E3242">
            <w:pPr>
              <w:spacing w:before="40" w:after="40" w:line="240" w:lineRule="auto"/>
              <w:jc w:val="center"/>
              <w:rPr>
                <w:rFonts w:ascii="Arial" w:hAnsi="Arial" w:cs="Arial"/>
                <w:spacing w:val="4"/>
                <w:sz w:val="16"/>
                <w:szCs w:val="16"/>
              </w:rPr>
            </w:pPr>
          </w:p>
        </w:tc>
        <w:tc>
          <w:tcPr>
            <w:tcW w:w="340" w:type="pct"/>
            <w:shd w:val="clear" w:color="auto" w:fill="F2F2F2"/>
            <w:vAlign w:val="center"/>
          </w:tcPr>
          <w:p w14:paraId="5A759206"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341" w:type="pct"/>
            <w:shd w:val="clear" w:color="auto" w:fill="F2F2F2"/>
            <w:vAlign w:val="center"/>
          </w:tcPr>
          <w:p w14:paraId="6B6FD5B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z w:val="16"/>
                <w:szCs w:val="16"/>
              </w:rPr>
              <w:t>12 764 650</w:t>
            </w:r>
          </w:p>
        </w:tc>
        <w:tc>
          <w:tcPr>
            <w:tcW w:w="340" w:type="pct"/>
            <w:shd w:val="clear" w:color="auto" w:fill="F2F2F2"/>
            <w:vAlign w:val="center"/>
          </w:tcPr>
          <w:p w14:paraId="3C665F50" w14:textId="77777777" w:rsidR="004E3242" w:rsidRPr="004E3242" w:rsidDel="00452E32" w:rsidRDefault="004E3242" w:rsidP="004E3242">
            <w:pPr>
              <w:spacing w:before="40" w:after="40" w:line="240" w:lineRule="auto"/>
              <w:jc w:val="center"/>
              <w:rPr>
                <w:rFonts w:ascii="Arial" w:hAnsi="Arial" w:cs="Arial"/>
                <w:spacing w:val="4"/>
                <w:sz w:val="16"/>
                <w:szCs w:val="16"/>
                <w:highlight w:val="yellow"/>
              </w:rPr>
            </w:pPr>
            <w:r w:rsidRPr="004E3242">
              <w:rPr>
                <w:rFonts w:ascii="Arial" w:hAnsi="Arial" w:cs="Arial"/>
                <w:spacing w:val="4"/>
                <w:sz w:val="16"/>
                <w:szCs w:val="16"/>
              </w:rPr>
              <w:t>63 449 792</w:t>
            </w:r>
          </w:p>
        </w:tc>
        <w:tc>
          <w:tcPr>
            <w:tcW w:w="341" w:type="pct"/>
            <w:shd w:val="clear" w:color="auto" w:fill="F2F2F2"/>
            <w:vAlign w:val="center"/>
          </w:tcPr>
          <w:p w14:paraId="3E6362E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702" w:type="pct"/>
            <w:shd w:val="clear" w:color="auto" w:fill="F2F2F2"/>
            <w:vAlign w:val="center"/>
          </w:tcPr>
          <w:p w14:paraId="05D5B513"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4ED5AE42" w14:textId="77777777" w:rsidTr="00AA7998">
        <w:tc>
          <w:tcPr>
            <w:tcW w:w="183" w:type="pct"/>
            <w:vMerge w:val="restart"/>
            <w:shd w:val="clear" w:color="auto" w:fill="F2F2F2"/>
            <w:vAlign w:val="center"/>
          </w:tcPr>
          <w:p w14:paraId="25850D72"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2.</w:t>
            </w:r>
          </w:p>
        </w:tc>
        <w:tc>
          <w:tcPr>
            <w:tcW w:w="438" w:type="pct"/>
            <w:vMerge w:val="restart"/>
            <w:shd w:val="clear" w:color="auto" w:fill="F2F2F2"/>
            <w:vAlign w:val="center"/>
          </w:tcPr>
          <w:p w14:paraId="7C61999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Wskaźnik produktu</w:t>
            </w:r>
          </w:p>
        </w:tc>
        <w:tc>
          <w:tcPr>
            <w:tcW w:w="585" w:type="pct"/>
            <w:vMerge w:val="restart"/>
            <w:shd w:val="clear" w:color="auto" w:fill="F2F2F2"/>
            <w:vAlign w:val="center"/>
          </w:tcPr>
          <w:p w14:paraId="474D30A2"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Liczba obiektów kultury i dziedzictwa kulturowego objętych wsparciem</w:t>
            </w:r>
          </w:p>
        </w:tc>
        <w:tc>
          <w:tcPr>
            <w:tcW w:w="389" w:type="pct"/>
            <w:vMerge w:val="restart"/>
            <w:shd w:val="clear" w:color="auto" w:fill="F2F2F2"/>
            <w:vAlign w:val="center"/>
          </w:tcPr>
          <w:p w14:paraId="774F927C"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szt.</w:t>
            </w:r>
          </w:p>
        </w:tc>
        <w:tc>
          <w:tcPr>
            <w:tcW w:w="341" w:type="pct"/>
            <w:vMerge w:val="restart"/>
            <w:shd w:val="clear" w:color="auto" w:fill="F2F2F2"/>
            <w:vAlign w:val="center"/>
          </w:tcPr>
          <w:p w14:paraId="42B3A4D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40" w:type="pct"/>
            <w:shd w:val="clear" w:color="auto" w:fill="F2F2F2"/>
            <w:vAlign w:val="center"/>
          </w:tcPr>
          <w:p w14:paraId="00C8C26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słabiej</w:t>
            </w:r>
          </w:p>
          <w:p w14:paraId="30D59BA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341" w:type="pct"/>
            <w:shd w:val="clear" w:color="auto" w:fill="F2F2F2"/>
            <w:vAlign w:val="center"/>
          </w:tcPr>
          <w:p w14:paraId="0DC1AAD8"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0</w:t>
            </w:r>
          </w:p>
        </w:tc>
        <w:tc>
          <w:tcPr>
            <w:tcW w:w="340" w:type="pct"/>
            <w:shd w:val="clear" w:color="auto" w:fill="F2F2F2"/>
            <w:vAlign w:val="center"/>
          </w:tcPr>
          <w:p w14:paraId="59C3D687" w14:textId="77777777" w:rsidR="004E3242" w:rsidRPr="004E3242" w:rsidRDefault="00CA02AA" w:rsidP="004E3242">
            <w:pPr>
              <w:spacing w:before="40" w:after="40" w:line="240" w:lineRule="auto"/>
              <w:jc w:val="center"/>
              <w:rPr>
                <w:rFonts w:ascii="Arial" w:hAnsi="Arial" w:cs="Arial"/>
                <w:spacing w:val="4"/>
                <w:sz w:val="16"/>
                <w:szCs w:val="16"/>
                <w:highlight w:val="yellow"/>
              </w:rPr>
            </w:pPr>
            <w:r>
              <w:rPr>
                <w:rFonts w:ascii="Arial" w:hAnsi="Arial" w:cs="Arial"/>
                <w:spacing w:val="4"/>
                <w:sz w:val="16"/>
                <w:szCs w:val="16"/>
                <w:lang w:eastAsia="pl-PL"/>
              </w:rPr>
              <w:t xml:space="preserve"> </w:t>
            </w:r>
            <w:r w:rsidRPr="00CA02AA">
              <w:rPr>
                <w:rFonts w:ascii="Arial" w:hAnsi="Arial" w:cs="Arial"/>
                <w:spacing w:val="4"/>
                <w:sz w:val="16"/>
                <w:szCs w:val="16"/>
                <w:lang w:eastAsia="pl-PL"/>
              </w:rPr>
              <w:t>355</w:t>
            </w:r>
          </w:p>
        </w:tc>
        <w:tc>
          <w:tcPr>
            <w:tcW w:w="341" w:type="pct"/>
            <w:shd w:val="clear" w:color="auto" w:fill="F2F2F2"/>
            <w:vAlign w:val="center"/>
          </w:tcPr>
          <w:p w14:paraId="4909E82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702" w:type="pct"/>
            <w:shd w:val="clear" w:color="auto" w:fill="F2F2F2"/>
            <w:vAlign w:val="center"/>
          </w:tcPr>
          <w:p w14:paraId="1C1AE526"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Wskaźnik obrazuje najważniejsze informacje dotyczące postępu we wdrażaniu i jest najbardziej reprezentatywny dla całej osi priorytetowej (tj. obrazuje wsparcie dla ponad 50% alokacji finansowej przeznaczonej na oś priorytetową) Wskaźnik ten odzwierciedla typy projektów, jakie będą wspierane w ramach osi.</w:t>
            </w:r>
          </w:p>
        </w:tc>
      </w:tr>
      <w:tr w:rsidR="004E3242" w:rsidRPr="004E3242" w14:paraId="4081CF07" w14:textId="77777777" w:rsidTr="00AA7998">
        <w:tc>
          <w:tcPr>
            <w:tcW w:w="183" w:type="pct"/>
            <w:vMerge/>
            <w:shd w:val="clear" w:color="auto" w:fill="F2F2F2"/>
            <w:vAlign w:val="center"/>
          </w:tcPr>
          <w:p w14:paraId="768AF071" w14:textId="77777777" w:rsidR="004E3242" w:rsidRPr="004E3242" w:rsidRDefault="004E3242" w:rsidP="004E3242">
            <w:pPr>
              <w:spacing w:before="40" w:after="40" w:line="240" w:lineRule="auto"/>
              <w:jc w:val="center"/>
              <w:rPr>
                <w:rFonts w:ascii="Arial" w:hAnsi="Arial" w:cs="Arial"/>
                <w:spacing w:val="4"/>
                <w:sz w:val="16"/>
                <w:szCs w:val="16"/>
              </w:rPr>
            </w:pPr>
          </w:p>
        </w:tc>
        <w:tc>
          <w:tcPr>
            <w:tcW w:w="438" w:type="pct"/>
            <w:vMerge/>
            <w:shd w:val="clear" w:color="auto" w:fill="F2F2F2"/>
            <w:vAlign w:val="center"/>
          </w:tcPr>
          <w:p w14:paraId="4B37106B" w14:textId="77777777" w:rsidR="004E3242" w:rsidRPr="004E3242" w:rsidRDefault="004E3242" w:rsidP="004E3242">
            <w:pPr>
              <w:spacing w:before="40" w:after="40" w:line="240" w:lineRule="auto"/>
              <w:jc w:val="center"/>
              <w:rPr>
                <w:rFonts w:ascii="Arial" w:hAnsi="Arial" w:cs="Arial"/>
                <w:spacing w:val="4"/>
                <w:sz w:val="16"/>
                <w:szCs w:val="16"/>
              </w:rPr>
            </w:pPr>
          </w:p>
        </w:tc>
        <w:tc>
          <w:tcPr>
            <w:tcW w:w="585" w:type="pct"/>
            <w:vMerge/>
            <w:shd w:val="clear" w:color="auto" w:fill="F2F2F2"/>
            <w:vAlign w:val="center"/>
          </w:tcPr>
          <w:p w14:paraId="1A7DABF8" w14:textId="77777777" w:rsidR="004E3242" w:rsidRPr="004E3242" w:rsidRDefault="004E3242" w:rsidP="004E3242">
            <w:pPr>
              <w:spacing w:before="40" w:after="40" w:line="240" w:lineRule="auto"/>
              <w:jc w:val="both"/>
              <w:rPr>
                <w:rFonts w:ascii="Arial" w:hAnsi="Arial" w:cs="Arial"/>
                <w:spacing w:val="4"/>
                <w:sz w:val="16"/>
                <w:szCs w:val="16"/>
              </w:rPr>
            </w:pPr>
          </w:p>
        </w:tc>
        <w:tc>
          <w:tcPr>
            <w:tcW w:w="389" w:type="pct"/>
            <w:vMerge/>
            <w:shd w:val="clear" w:color="auto" w:fill="F2F2F2"/>
            <w:vAlign w:val="center"/>
          </w:tcPr>
          <w:p w14:paraId="623B0D6D" w14:textId="77777777" w:rsidR="004E3242" w:rsidRPr="004E3242" w:rsidRDefault="004E3242" w:rsidP="004E3242">
            <w:pPr>
              <w:spacing w:before="40" w:after="40" w:line="240" w:lineRule="auto"/>
              <w:jc w:val="center"/>
              <w:rPr>
                <w:rFonts w:ascii="Arial" w:hAnsi="Arial" w:cs="Arial"/>
                <w:spacing w:val="4"/>
                <w:sz w:val="16"/>
                <w:szCs w:val="16"/>
              </w:rPr>
            </w:pPr>
          </w:p>
        </w:tc>
        <w:tc>
          <w:tcPr>
            <w:tcW w:w="341" w:type="pct"/>
            <w:vMerge/>
            <w:shd w:val="clear" w:color="auto" w:fill="F2F2F2"/>
            <w:vAlign w:val="center"/>
          </w:tcPr>
          <w:p w14:paraId="0E7F019E" w14:textId="77777777" w:rsidR="004E3242" w:rsidRPr="004E3242" w:rsidRDefault="004E3242" w:rsidP="004E3242">
            <w:pPr>
              <w:spacing w:before="40" w:after="40" w:line="240" w:lineRule="auto"/>
              <w:jc w:val="center"/>
              <w:rPr>
                <w:rFonts w:ascii="Arial" w:hAnsi="Arial" w:cs="Arial"/>
                <w:spacing w:val="4"/>
                <w:sz w:val="16"/>
                <w:szCs w:val="16"/>
              </w:rPr>
            </w:pPr>
          </w:p>
        </w:tc>
        <w:tc>
          <w:tcPr>
            <w:tcW w:w="340" w:type="pct"/>
            <w:shd w:val="clear" w:color="auto" w:fill="F2F2F2"/>
            <w:vAlign w:val="center"/>
          </w:tcPr>
          <w:p w14:paraId="396DB6E8"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341" w:type="pct"/>
            <w:shd w:val="clear" w:color="auto" w:fill="F2F2F2"/>
            <w:vAlign w:val="center"/>
          </w:tcPr>
          <w:p w14:paraId="410EB813"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0</w:t>
            </w:r>
          </w:p>
        </w:tc>
        <w:tc>
          <w:tcPr>
            <w:tcW w:w="340" w:type="pct"/>
            <w:shd w:val="clear" w:color="auto" w:fill="F2F2F2"/>
            <w:vAlign w:val="center"/>
          </w:tcPr>
          <w:p w14:paraId="6CB889EA" w14:textId="77777777" w:rsidR="004E3242" w:rsidRPr="004E3242" w:rsidRDefault="00CA02AA" w:rsidP="004E3242">
            <w:pPr>
              <w:spacing w:before="40" w:after="40" w:line="240" w:lineRule="auto"/>
              <w:jc w:val="center"/>
              <w:rPr>
                <w:rFonts w:ascii="Arial" w:hAnsi="Arial" w:cs="Arial"/>
                <w:spacing w:val="4"/>
                <w:sz w:val="16"/>
                <w:szCs w:val="16"/>
                <w:highlight w:val="yellow"/>
              </w:rPr>
            </w:pPr>
            <w:r>
              <w:rPr>
                <w:rFonts w:ascii="Arial" w:hAnsi="Arial" w:cs="Arial"/>
                <w:spacing w:val="4"/>
                <w:sz w:val="16"/>
                <w:szCs w:val="16"/>
                <w:lang w:eastAsia="pl-PL"/>
              </w:rPr>
              <w:t xml:space="preserve"> </w:t>
            </w:r>
            <w:r w:rsidRPr="00CA02AA">
              <w:rPr>
                <w:rFonts w:ascii="Arial" w:hAnsi="Arial" w:cs="Arial"/>
                <w:spacing w:val="4"/>
                <w:sz w:val="16"/>
                <w:szCs w:val="16"/>
                <w:lang w:eastAsia="pl-PL"/>
              </w:rPr>
              <w:t>34</w:t>
            </w:r>
          </w:p>
        </w:tc>
        <w:tc>
          <w:tcPr>
            <w:tcW w:w="341" w:type="pct"/>
            <w:shd w:val="clear" w:color="auto" w:fill="F2F2F2"/>
            <w:vAlign w:val="center"/>
          </w:tcPr>
          <w:p w14:paraId="7E8FCE1D"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702" w:type="pct"/>
            <w:shd w:val="clear" w:color="auto" w:fill="F2F2F2"/>
            <w:vAlign w:val="center"/>
          </w:tcPr>
          <w:p w14:paraId="6DE33554" w14:textId="77777777" w:rsidR="004E3242" w:rsidRPr="004E3242" w:rsidRDefault="004E3242" w:rsidP="004E3242">
            <w:pPr>
              <w:spacing w:before="40" w:after="40" w:line="240" w:lineRule="auto"/>
              <w:jc w:val="both"/>
              <w:rPr>
                <w:rFonts w:ascii="Arial" w:hAnsi="Arial" w:cs="Arial"/>
                <w:sz w:val="16"/>
                <w:szCs w:val="16"/>
              </w:rPr>
            </w:pPr>
            <w:r w:rsidRPr="004E3242">
              <w:rPr>
                <w:rFonts w:ascii="Arial" w:hAnsi="Arial" w:cs="Arial"/>
                <w:sz w:val="16"/>
                <w:szCs w:val="16"/>
              </w:rPr>
              <w:t xml:space="preserve"> </w:t>
            </w:r>
            <w:r w:rsidRPr="004E3242">
              <w:rPr>
                <w:rFonts w:ascii="Arial" w:hAnsi="Arial" w:cs="Arial"/>
                <w:spacing w:val="4"/>
                <w:sz w:val="16"/>
                <w:szCs w:val="16"/>
              </w:rPr>
              <w:t>Wskaźnik obrazuje najważniejsze informacje dotyczące postępu we wdrażaniu i jest najbardziej reprezentatywny dla całej osi priorytetowej (tj. obrazuje wsparcie dla ponad 50% alokacji finansowej przeznaczonej na oś priorytetową) Wskaźnik ten odzwierciedla typy projektów, jakie będą wspierane w ramach osi.</w:t>
            </w:r>
          </w:p>
        </w:tc>
      </w:tr>
      <w:tr w:rsidR="004E3242" w:rsidRPr="004E3242" w14:paraId="7D3A8013" w14:textId="77777777" w:rsidTr="00AA7998">
        <w:tc>
          <w:tcPr>
            <w:tcW w:w="183" w:type="pct"/>
            <w:vMerge w:val="restart"/>
            <w:shd w:val="clear" w:color="auto" w:fill="F2F2F2"/>
            <w:vAlign w:val="center"/>
          </w:tcPr>
          <w:p w14:paraId="4EF00E97"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3.</w:t>
            </w:r>
          </w:p>
        </w:tc>
        <w:tc>
          <w:tcPr>
            <w:tcW w:w="438" w:type="pct"/>
            <w:vMerge w:val="restart"/>
            <w:shd w:val="clear" w:color="auto" w:fill="F2F2F2"/>
            <w:vAlign w:val="center"/>
          </w:tcPr>
          <w:p w14:paraId="6A6CA8E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Kluczowy etap wdrożeniowy</w:t>
            </w:r>
          </w:p>
        </w:tc>
        <w:tc>
          <w:tcPr>
            <w:tcW w:w="585" w:type="pct"/>
            <w:vMerge w:val="restart"/>
            <w:shd w:val="clear" w:color="auto" w:fill="F2F2F2"/>
            <w:vAlign w:val="center"/>
          </w:tcPr>
          <w:p w14:paraId="65984490"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lang w:eastAsia="pl-PL"/>
              </w:rPr>
              <w:t>Liczba obiektów kultury i dziedzictwa kulturowego objętych wsparciem w podpisanych umowach o dofinansowanie</w:t>
            </w:r>
          </w:p>
        </w:tc>
        <w:tc>
          <w:tcPr>
            <w:tcW w:w="389" w:type="pct"/>
            <w:vMerge w:val="restart"/>
            <w:shd w:val="clear" w:color="auto" w:fill="F2F2F2"/>
            <w:vAlign w:val="center"/>
          </w:tcPr>
          <w:p w14:paraId="1D8B2D51"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lang w:eastAsia="pl-PL"/>
              </w:rPr>
              <w:t>szt.</w:t>
            </w:r>
          </w:p>
        </w:tc>
        <w:tc>
          <w:tcPr>
            <w:tcW w:w="341" w:type="pct"/>
            <w:vMerge w:val="restart"/>
            <w:shd w:val="clear" w:color="auto" w:fill="F2F2F2"/>
            <w:vAlign w:val="center"/>
          </w:tcPr>
          <w:p w14:paraId="7F565091"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40" w:type="pct"/>
            <w:shd w:val="clear" w:color="auto" w:fill="F2F2F2"/>
            <w:vAlign w:val="center"/>
          </w:tcPr>
          <w:p w14:paraId="2D5DCA3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słabiej</w:t>
            </w:r>
          </w:p>
          <w:p w14:paraId="02230CBA"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341" w:type="pct"/>
            <w:shd w:val="clear" w:color="auto" w:fill="F2F2F2"/>
            <w:vAlign w:val="center"/>
          </w:tcPr>
          <w:p w14:paraId="15ABFB43"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lang w:eastAsia="pl-PL"/>
              </w:rPr>
              <w:t>29</w:t>
            </w:r>
          </w:p>
        </w:tc>
        <w:tc>
          <w:tcPr>
            <w:tcW w:w="340" w:type="pct"/>
            <w:shd w:val="clear" w:color="auto" w:fill="F2F2F2"/>
            <w:vAlign w:val="center"/>
          </w:tcPr>
          <w:p w14:paraId="01D2FBF5"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w:t>
            </w:r>
          </w:p>
        </w:tc>
        <w:tc>
          <w:tcPr>
            <w:tcW w:w="341" w:type="pct"/>
            <w:shd w:val="clear" w:color="auto" w:fill="F2F2F2"/>
            <w:vAlign w:val="center"/>
          </w:tcPr>
          <w:p w14:paraId="16189C7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702" w:type="pct"/>
            <w:shd w:val="clear" w:color="auto" w:fill="F2F2F2"/>
            <w:vAlign w:val="center"/>
          </w:tcPr>
          <w:p w14:paraId="4937D02F" w14:textId="77777777" w:rsidR="004E3242" w:rsidRPr="004E3242" w:rsidRDefault="004E3242" w:rsidP="004E3242">
            <w:pPr>
              <w:spacing w:before="40" w:after="40" w:line="240" w:lineRule="auto"/>
              <w:jc w:val="both"/>
              <w:rPr>
                <w:rFonts w:ascii="Arial" w:hAnsi="Arial" w:cs="Arial"/>
                <w:spacing w:val="4"/>
                <w:sz w:val="16"/>
                <w:szCs w:val="16"/>
                <w:highlight w:val="yellow"/>
              </w:rPr>
            </w:pPr>
            <w:r w:rsidRPr="004E3242">
              <w:rPr>
                <w:rFonts w:ascii="Arial" w:hAnsi="Arial" w:cs="Arial"/>
                <w:sz w:val="16"/>
                <w:szCs w:val="16"/>
              </w:rPr>
              <w:t xml:space="preserve">KEW uzasadniony przewidywaniem, że wytypowany </w:t>
            </w:r>
            <w:r w:rsidRPr="004E3242">
              <w:rPr>
                <w:rFonts w:ascii="Arial" w:hAnsi="Arial" w:cs="Arial"/>
                <w:sz w:val="16"/>
                <w:szCs w:val="16"/>
              </w:rPr>
              <w:br/>
              <w:t>do oceny wykonania wskaźnik produktu w roku 2018 wykaże wartość zerową.</w:t>
            </w:r>
          </w:p>
        </w:tc>
      </w:tr>
      <w:tr w:rsidR="004E3242" w:rsidRPr="004E3242" w14:paraId="7FD1D7EB" w14:textId="77777777" w:rsidTr="00AA7998">
        <w:tc>
          <w:tcPr>
            <w:tcW w:w="183" w:type="pct"/>
            <w:vMerge/>
            <w:shd w:val="clear" w:color="auto" w:fill="F2F2F2"/>
            <w:vAlign w:val="center"/>
          </w:tcPr>
          <w:p w14:paraId="48505369" w14:textId="77777777" w:rsidR="004E3242" w:rsidRPr="004E3242" w:rsidRDefault="004E3242" w:rsidP="004E3242">
            <w:pPr>
              <w:spacing w:before="40" w:after="40" w:line="240" w:lineRule="auto"/>
              <w:jc w:val="center"/>
              <w:rPr>
                <w:rFonts w:ascii="Arial" w:hAnsi="Arial" w:cs="Arial"/>
                <w:spacing w:val="4"/>
                <w:sz w:val="16"/>
                <w:szCs w:val="16"/>
              </w:rPr>
            </w:pPr>
          </w:p>
        </w:tc>
        <w:tc>
          <w:tcPr>
            <w:tcW w:w="438" w:type="pct"/>
            <w:vMerge/>
            <w:shd w:val="clear" w:color="auto" w:fill="F2F2F2"/>
            <w:vAlign w:val="center"/>
          </w:tcPr>
          <w:p w14:paraId="4C9CBC62" w14:textId="77777777" w:rsidR="004E3242" w:rsidRPr="004E3242" w:rsidRDefault="004E3242" w:rsidP="004E3242">
            <w:pPr>
              <w:spacing w:before="40" w:after="40" w:line="240" w:lineRule="auto"/>
              <w:jc w:val="center"/>
              <w:rPr>
                <w:rFonts w:ascii="Arial" w:hAnsi="Arial" w:cs="Arial"/>
                <w:spacing w:val="4"/>
                <w:sz w:val="16"/>
                <w:szCs w:val="16"/>
              </w:rPr>
            </w:pPr>
          </w:p>
        </w:tc>
        <w:tc>
          <w:tcPr>
            <w:tcW w:w="585" w:type="pct"/>
            <w:vMerge/>
            <w:shd w:val="clear" w:color="auto" w:fill="F2F2F2"/>
            <w:vAlign w:val="center"/>
          </w:tcPr>
          <w:p w14:paraId="33F3E241" w14:textId="77777777" w:rsidR="004E3242" w:rsidRPr="004E3242" w:rsidDel="00FD26FD" w:rsidRDefault="004E3242" w:rsidP="004E3242">
            <w:pPr>
              <w:spacing w:before="40" w:after="40" w:line="240" w:lineRule="auto"/>
              <w:jc w:val="center"/>
              <w:rPr>
                <w:rFonts w:ascii="Arial" w:hAnsi="Arial" w:cs="Arial"/>
                <w:spacing w:val="4"/>
                <w:sz w:val="16"/>
                <w:szCs w:val="16"/>
              </w:rPr>
            </w:pPr>
          </w:p>
        </w:tc>
        <w:tc>
          <w:tcPr>
            <w:tcW w:w="389" w:type="pct"/>
            <w:vMerge/>
            <w:shd w:val="clear" w:color="auto" w:fill="F2F2F2"/>
            <w:vAlign w:val="center"/>
          </w:tcPr>
          <w:p w14:paraId="2E3BAB9C" w14:textId="77777777" w:rsidR="004E3242" w:rsidRPr="004E3242" w:rsidRDefault="004E3242" w:rsidP="004E3242">
            <w:pPr>
              <w:spacing w:before="40" w:after="40" w:line="240" w:lineRule="auto"/>
              <w:jc w:val="center"/>
              <w:rPr>
                <w:rFonts w:ascii="Arial" w:hAnsi="Arial" w:cs="Arial"/>
                <w:spacing w:val="4"/>
                <w:sz w:val="16"/>
                <w:szCs w:val="16"/>
              </w:rPr>
            </w:pPr>
          </w:p>
        </w:tc>
        <w:tc>
          <w:tcPr>
            <w:tcW w:w="341" w:type="pct"/>
            <w:vMerge/>
            <w:shd w:val="clear" w:color="auto" w:fill="F2F2F2"/>
            <w:vAlign w:val="center"/>
          </w:tcPr>
          <w:p w14:paraId="42334AE6" w14:textId="77777777" w:rsidR="004E3242" w:rsidRPr="004E3242" w:rsidRDefault="004E3242" w:rsidP="004E3242">
            <w:pPr>
              <w:spacing w:before="40" w:after="40" w:line="240" w:lineRule="auto"/>
              <w:jc w:val="center"/>
              <w:rPr>
                <w:rFonts w:ascii="Arial" w:hAnsi="Arial" w:cs="Arial"/>
                <w:spacing w:val="4"/>
                <w:sz w:val="16"/>
                <w:szCs w:val="16"/>
              </w:rPr>
            </w:pPr>
          </w:p>
        </w:tc>
        <w:tc>
          <w:tcPr>
            <w:tcW w:w="340" w:type="pct"/>
            <w:shd w:val="clear" w:color="auto" w:fill="F2F2F2"/>
            <w:vAlign w:val="center"/>
          </w:tcPr>
          <w:p w14:paraId="44CD417B"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341" w:type="pct"/>
            <w:shd w:val="clear" w:color="auto" w:fill="F2F2F2"/>
            <w:vAlign w:val="center"/>
          </w:tcPr>
          <w:p w14:paraId="1155E30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lang w:eastAsia="pl-PL"/>
              </w:rPr>
              <w:t>4</w:t>
            </w:r>
          </w:p>
        </w:tc>
        <w:tc>
          <w:tcPr>
            <w:tcW w:w="340" w:type="pct"/>
            <w:shd w:val="clear" w:color="auto" w:fill="F2F2F2"/>
            <w:vAlign w:val="center"/>
          </w:tcPr>
          <w:p w14:paraId="26F43B9F"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w:t>
            </w:r>
          </w:p>
        </w:tc>
        <w:tc>
          <w:tcPr>
            <w:tcW w:w="341" w:type="pct"/>
            <w:shd w:val="clear" w:color="auto" w:fill="F2F2F2"/>
            <w:vAlign w:val="center"/>
          </w:tcPr>
          <w:p w14:paraId="02A00AB2"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Dane instytucji na podstawie SL 2014</w:t>
            </w:r>
          </w:p>
        </w:tc>
        <w:tc>
          <w:tcPr>
            <w:tcW w:w="1702" w:type="pct"/>
            <w:shd w:val="clear" w:color="auto" w:fill="F2F2F2"/>
            <w:vAlign w:val="center"/>
          </w:tcPr>
          <w:p w14:paraId="50C71086" w14:textId="77777777" w:rsidR="004E3242" w:rsidRPr="004E3242" w:rsidRDefault="004E3242" w:rsidP="004E3242">
            <w:pPr>
              <w:spacing w:before="40" w:after="40" w:line="240" w:lineRule="auto"/>
              <w:jc w:val="both"/>
              <w:rPr>
                <w:rFonts w:ascii="Arial" w:hAnsi="Arial" w:cs="Arial"/>
                <w:sz w:val="16"/>
                <w:szCs w:val="16"/>
              </w:rPr>
            </w:pPr>
            <w:r w:rsidRPr="004E3242">
              <w:rPr>
                <w:rFonts w:ascii="Arial" w:hAnsi="Arial" w:cs="Arial"/>
                <w:sz w:val="16"/>
                <w:szCs w:val="16"/>
              </w:rPr>
              <w:t xml:space="preserve">KEW uzasadniony przewidywaniem, że wytypowany </w:t>
            </w:r>
            <w:r w:rsidRPr="004E3242">
              <w:rPr>
                <w:rFonts w:ascii="Arial" w:hAnsi="Arial" w:cs="Arial"/>
                <w:sz w:val="16"/>
                <w:szCs w:val="16"/>
              </w:rPr>
              <w:br/>
              <w:t>do oceny wykonania wskaźnik produktu w roku 2018 wykaże wartość zerową.</w:t>
            </w:r>
          </w:p>
        </w:tc>
      </w:tr>
    </w:tbl>
    <w:p w14:paraId="30555127"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Kategorie Interwencji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133"/>
        <w:gridCol w:w="1418"/>
        <w:gridCol w:w="285"/>
        <w:gridCol w:w="798"/>
        <w:gridCol w:w="52"/>
        <w:gridCol w:w="1130"/>
        <w:gridCol w:w="1281"/>
        <w:gridCol w:w="358"/>
        <w:gridCol w:w="70"/>
        <w:gridCol w:w="850"/>
        <w:gridCol w:w="1136"/>
        <w:gridCol w:w="1273"/>
        <w:gridCol w:w="422"/>
        <w:gridCol w:w="1133"/>
        <w:gridCol w:w="1296"/>
        <w:gridCol w:w="1107"/>
      </w:tblGrid>
      <w:tr w:rsidR="004E3242" w:rsidRPr="004E3242" w14:paraId="0495ACB8" w14:textId="77777777" w:rsidTr="00AA7998">
        <w:trPr>
          <w:trHeight w:val="337"/>
        </w:trPr>
        <w:tc>
          <w:tcPr>
            <w:tcW w:w="1157" w:type="pct"/>
            <w:gridSpan w:val="3"/>
            <w:tcBorders>
              <w:top w:val="single" w:sz="4" w:space="0" w:color="FFFFFF"/>
              <w:left w:val="single" w:sz="4" w:space="0" w:color="FFFFFF"/>
              <w:bottom w:val="single" w:sz="4" w:space="0" w:color="FFFFFF"/>
              <w:right w:val="single" w:sz="4" w:space="0" w:color="FFFFFF"/>
            </w:tcBorders>
            <w:shd w:val="clear" w:color="auto" w:fill="99CC00"/>
          </w:tcPr>
          <w:p w14:paraId="54170588"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Obszar interwencji</w:t>
            </w:r>
          </w:p>
        </w:tc>
        <w:tc>
          <w:tcPr>
            <w:tcW w:w="98" w:type="pct"/>
            <w:tcBorders>
              <w:top w:val="single" w:sz="4" w:space="0" w:color="FFFFFF"/>
              <w:left w:val="single" w:sz="4" w:space="0" w:color="FFFFFF"/>
              <w:bottom w:val="single" w:sz="4" w:space="0" w:color="FFFFFF"/>
              <w:right w:val="single" w:sz="4" w:space="0" w:color="FFFFFF"/>
            </w:tcBorders>
            <w:shd w:val="clear" w:color="auto" w:fill="FFFFFF"/>
          </w:tcPr>
          <w:p w14:paraId="123C0D5F"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1120" w:type="pct"/>
            <w:gridSpan w:val="4"/>
            <w:tcBorders>
              <w:top w:val="single" w:sz="4" w:space="0" w:color="FFFFFF"/>
              <w:left w:val="single" w:sz="4" w:space="0" w:color="FFFFFF"/>
              <w:bottom w:val="single" w:sz="4" w:space="0" w:color="FFFFFF"/>
              <w:right w:val="single" w:sz="4" w:space="0" w:color="FFFFFF"/>
            </w:tcBorders>
            <w:shd w:val="clear" w:color="auto" w:fill="99CC00"/>
          </w:tcPr>
          <w:p w14:paraId="24D9BC9F"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Forma finansowania</w:t>
            </w:r>
          </w:p>
        </w:tc>
        <w:tc>
          <w:tcPr>
            <w:tcW w:w="147" w:type="pct"/>
            <w:gridSpan w:val="2"/>
            <w:tcBorders>
              <w:top w:val="single" w:sz="4" w:space="0" w:color="FFFFFF"/>
              <w:left w:val="single" w:sz="4" w:space="0" w:color="FFFFFF"/>
              <w:bottom w:val="single" w:sz="4" w:space="0" w:color="FFFFFF"/>
              <w:right w:val="single" w:sz="4" w:space="0" w:color="FFFFFF"/>
            </w:tcBorders>
            <w:shd w:val="clear" w:color="auto" w:fill="FFFFFF"/>
          </w:tcPr>
          <w:p w14:paraId="5025E1B3"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1119" w:type="pct"/>
            <w:gridSpan w:val="3"/>
            <w:tcBorders>
              <w:top w:val="single" w:sz="4" w:space="0" w:color="FFFFFF"/>
              <w:left w:val="single" w:sz="4" w:space="0" w:color="FFFFFF"/>
              <w:bottom w:val="single" w:sz="4" w:space="0" w:color="FFFFFF"/>
              <w:right w:val="single" w:sz="4" w:space="0" w:color="FFFFFF"/>
            </w:tcBorders>
            <w:shd w:val="clear" w:color="auto" w:fill="99CC00"/>
          </w:tcPr>
          <w:p w14:paraId="585063DF"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Terytorium</w:t>
            </w:r>
          </w:p>
        </w:tc>
        <w:tc>
          <w:tcPr>
            <w:tcW w:w="145" w:type="pct"/>
            <w:tcBorders>
              <w:top w:val="single" w:sz="4" w:space="0" w:color="FFFFFF"/>
              <w:left w:val="single" w:sz="4" w:space="0" w:color="FFFFFF"/>
              <w:bottom w:val="single" w:sz="4" w:space="0" w:color="FFFFFF"/>
              <w:right w:val="single" w:sz="4" w:space="0" w:color="FFFFFF"/>
            </w:tcBorders>
            <w:shd w:val="clear" w:color="auto" w:fill="FFFFFF"/>
          </w:tcPr>
          <w:p w14:paraId="1F1445AB"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1214" w:type="pct"/>
            <w:gridSpan w:val="3"/>
            <w:tcBorders>
              <w:top w:val="single" w:sz="4" w:space="0" w:color="FFFFFF"/>
              <w:left w:val="single" w:sz="4" w:space="0" w:color="FFFFFF"/>
              <w:bottom w:val="single" w:sz="4" w:space="0" w:color="FFFFFF"/>
              <w:right w:val="single" w:sz="4" w:space="0" w:color="FFFFFF"/>
            </w:tcBorders>
            <w:shd w:val="clear" w:color="auto" w:fill="99CC00"/>
          </w:tcPr>
          <w:p w14:paraId="67C17AEC"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Mechanizmy realizacji wymiaru terytorialnego</w:t>
            </w:r>
          </w:p>
        </w:tc>
      </w:tr>
      <w:tr w:rsidR="004E3242" w:rsidRPr="004E3242" w14:paraId="7376687F" w14:textId="77777777" w:rsidTr="00AA7998">
        <w:trPr>
          <w:trHeight w:val="143"/>
        </w:trPr>
        <w:tc>
          <w:tcPr>
            <w:tcW w:w="281" w:type="pct"/>
            <w:vMerge w:val="restart"/>
            <w:tcBorders>
              <w:top w:val="single" w:sz="4" w:space="0" w:color="FFFFFF"/>
              <w:left w:val="single" w:sz="4" w:space="0" w:color="FFFFFF"/>
              <w:bottom w:val="single" w:sz="4" w:space="0" w:color="FFFFFF"/>
              <w:right w:val="single" w:sz="4" w:space="0" w:color="FFFFFF"/>
            </w:tcBorders>
            <w:shd w:val="clear" w:color="auto" w:fill="99CC00"/>
          </w:tcPr>
          <w:p w14:paraId="7D0FC16B"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76" w:type="pct"/>
            <w:gridSpan w:val="2"/>
            <w:tcBorders>
              <w:top w:val="single" w:sz="4" w:space="0" w:color="FFFFFF"/>
              <w:left w:val="single" w:sz="4" w:space="0" w:color="FFFFFF"/>
              <w:bottom w:val="single" w:sz="4" w:space="0" w:color="FFFFFF"/>
              <w:right w:val="single" w:sz="4" w:space="0" w:color="FFFFFF"/>
            </w:tcBorders>
            <w:shd w:val="clear" w:color="auto" w:fill="99CC00"/>
          </w:tcPr>
          <w:p w14:paraId="607C1703"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98" w:type="pct"/>
            <w:tcBorders>
              <w:top w:val="single" w:sz="4" w:space="0" w:color="FFFFFF"/>
              <w:left w:val="single" w:sz="4" w:space="0" w:color="FFFFFF"/>
              <w:bottom w:val="single" w:sz="4" w:space="0" w:color="FFFFFF"/>
              <w:right w:val="single" w:sz="4" w:space="0" w:color="FFFFFF"/>
            </w:tcBorders>
            <w:shd w:val="clear" w:color="auto" w:fill="FFFFFF"/>
          </w:tcPr>
          <w:p w14:paraId="138BB2B9"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292" w:type="pct"/>
            <w:gridSpan w:val="2"/>
            <w:vMerge w:val="restart"/>
            <w:tcBorders>
              <w:top w:val="single" w:sz="4" w:space="0" w:color="FFFFFF"/>
              <w:left w:val="single" w:sz="4" w:space="0" w:color="FFFFFF"/>
              <w:bottom w:val="single" w:sz="4" w:space="0" w:color="FFFFFF"/>
              <w:right w:val="single" w:sz="4" w:space="0" w:color="FFFFFF"/>
            </w:tcBorders>
            <w:shd w:val="clear" w:color="auto" w:fill="99CC00"/>
          </w:tcPr>
          <w:p w14:paraId="71541482"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28" w:type="pct"/>
            <w:gridSpan w:val="2"/>
            <w:tcBorders>
              <w:top w:val="single" w:sz="4" w:space="0" w:color="FFFFFF"/>
              <w:left w:val="single" w:sz="4" w:space="0" w:color="FFFFFF"/>
              <w:bottom w:val="single" w:sz="4" w:space="0" w:color="FFFFFF"/>
              <w:right w:val="single" w:sz="4" w:space="0" w:color="FFFFFF"/>
            </w:tcBorders>
            <w:shd w:val="clear" w:color="auto" w:fill="99CC00"/>
          </w:tcPr>
          <w:p w14:paraId="41A3ACFF"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47" w:type="pct"/>
            <w:gridSpan w:val="2"/>
            <w:tcBorders>
              <w:top w:val="single" w:sz="4" w:space="0" w:color="FFFFFF"/>
              <w:left w:val="single" w:sz="4" w:space="0" w:color="FFFFFF"/>
              <w:bottom w:val="single" w:sz="4" w:space="0" w:color="FFFFFF"/>
              <w:right w:val="single" w:sz="4" w:space="0" w:color="FFFFFF"/>
            </w:tcBorders>
            <w:shd w:val="clear" w:color="auto" w:fill="FFFFFF"/>
          </w:tcPr>
          <w:p w14:paraId="3F309086"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292" w:type="pct"/>
            <w:vMerge w:val="restart"/>
            <w:tcBorders>
              <w:top w:val="single" w:sz="4" w:space="0" w:color="FFFFFF"/>
              <w:left w:val="single" w:sz="4" w:space="0" w:color="FFFFFF"/>
              <w:bottom w:val="single" w:sz="4" w:space="0" w:color="FFFFFF"/>
              <w:right w:val="single" w:sz="4" w:space="0" w:color="FFFFFF"/>
            </w:tcBorders>
            <w:shd w:val="clear" w:color="auto" w:fill="99CC00"/>
          </w:tcPr>
          <w:p w14:paraId="45252F02"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27" w:type="pct"/>
            <w:gridSpan w:val="2"/>
            <w:tcBorders>
              <w:top w:val="single" w:sz="4" w:space="0" w:color="FFFFFF"/>
              <w:left w:val="single" w:sz="4" w:space="0" w:color="FFFFFF"/>
              <w:bottom w:val="single" w:sz="4" w:space="0" w:color="FFFFFF"/>
              <w:right w:val="single" w:sz="4" w:space="0" w:color="FFFFFF"/>
            </w:tcBorders>
            <w:shd w:val="clear" w:color="auto" w:fill="99CC00"/>
          </w:tcPr>
          <w:p w14:paraId="3E8940C2"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45" w:type="pct"/>
            <w:tcBorders>
              <w:top w:val="single" w:sz="4" w:space="0" w:color="FFFFFF"/>
              <w:left w:val="single" w:sz="4" w:space="0" w:color="FFFFFF"/>
              <w:bottom w:val="single" w:sz="4" w:space="0" w:color="FFFFFF"/>
              <w:right w:val="single" w:sz="4" w:space="0" w:color="FFFFFF"/>
            </w:tcBorders>
            <w:shd w:val="clear" w:color="auto" w:fill="FFFFFF"/>
          </w:tcPr>
          <w:p w14:paraId="328634EF"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389" w:type="pct"/>
            <w:vMerge w:val="restart"/>
            <w:tcBorders>
              <w:top w:val="single" w:sz="4" w:space="0" w:color="FFFFFF"/>
              <w:left w:val="single" w:sz="4" w:space="0" w:color="FFFFFF"/>
              <w:bottom w:val="single" w:sz="4" w:space="0" w:color="FFFFFF"/>
              <w:right w:val="single" w:sz="4" w:space="0" w:color="FFFFFF"/>
            </w:tcBorders>
            <w:shd w:val="clear" w:color="auto" w:fill="99CC00"/>
          </w:tcPr>
          <w:p w14:paraId="61A98239"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25" w:type="pct"/>
            <w:gridSpan w:val="2"/>
            <w:tcBorders>
              <w:top w:val="single" w:sz="4" w:space="0" w:color="FFFFFF"/>
              <w:left w:val="single" w:sz="4" w:space="0" w:color="FFFFFF"/>
              <w:bottom w:val="single" w:sz="4" w:space="0" w:color="FFFFFF"/>
              <w:right w:val="single" w:sz="4" w:space="0" w:color="FFFFFF"/>
            </w:tcBorders>
            <w:shd w:val="clear" w:color="auto" w:fill="99CC00"/>
          </w:tcPr>
          <w:p w14:paraId="3EF5B6E6"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Kwota</w:t>
            </w:r>
          </w:p>
        </w:tc>
      </w:tr>
      <w:tr w:rsidR="004E3242" w:rsidRPr="004E3242" w14:paraId="15994029" w14:textId="77777777" w:rsidTr="00AA7998">
        <w:trPr>
          <w:trHeight w:val="338"/>
        </w:trPr>
        <w:tc>
          <w:tcPr>
            <w:tcW w:w="281" w:type="pct"/>
            <w:vMerge/>
            <w:tcBorders>
              <w:top w:val="single" w:sz="4" w:space="0" w:color="FFFFFF"/>
              <w:left w:val="single" w:sz="4" w:space="0" w:color="FFFFFF"/>
              <w:bottom w:val="single" w:sz="4" w:space="0" w:color="FFFFFF"/>
              <w:right w:val="single" w:sz="4" w:space="0" w:color="FFFFFF"/>
            </w:tcBorders>
            <w:shd w:val="clear" w:color="auto" w:fill="99CC00"/>
          </w:tcPr>
          <w:p w14:paraId="2093D343" w14:textId="77777777" w:rsidR="004E3242" w:rsidRPr="004E3242" w:rsidRDefault="004E3242" w:rsidP="004E3242">
            <w:pPr>
              <w:spacing w:before="40" w:after="40" w:line="240" w:lineRule="auto"/>
              <w:jc w:val="center"/>
              <w:rPr>
                <w:rFonts w:ascii="Arial" w:hAnsi="Arial" w:cs="Arial"/>
                <w:b/>
                <w:color w:val="FFFFFF"/>
                <w:sz w:val="16"/>
                <w:szCs w:val="16"/>
              </w:rPr>
            </w:pPr>
          </w:p>
        </w:tc>
        <w:tc>
          <w:tcPr>
            <w:tcW w:w="389" w:type="pct"/>
            <w:tcBorders>
              <w:top w:val="single" w:sz="4" w:space="0" w:color="FFFFFF"/>
              <w:left w:val="single" w:sz="4" w:space="0" w:color="FFFFFF"/>
              <w:bottom w:val="single" w:sz="4" w:space="0" w:color="FFFFFF"/>
              <w:right w:val="single" w:sz="4" w:space="0" w:color="FFFFFF"/>
            </w:tcBorders>
            <w:shd w:val="clear" w:color="auto" w:fill="99CC00"/>
          </w:tcPr>
          <w:p w14:paraId="621C8662"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87" w:type="pct"/>
            <w:tcBorders>
              <w:top w:val="single" w:sz="4" w:space="0" w:color="FFFFFF"/>
              <w:left w:val="single" w:sz="4" w:space="0" w:color="FFFFFF"/>
              <w:bottom w:val="single" w:sz="4" w:space="0" w:color="FFFFFF"/>
              <w:right w:val="single" w:sz="4" w:space="0" w:color="FFFFFF"/>
            </w:tcBorders>
            <w:shd w:val="clear" w:color="auto" w:fill="99CC00"/>
          </w:tcPr>
          <w:p w14:paraId="7B5C3DA8"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98" w:type="pct"/>
            <w:tcBorders>
              <w:top w:val="single" w:sz="4" w:space="0" w:color="FFFFFF"/>
              <w:left w:val="single" w:sz="4" w:space="0" w:color="FFFFFF"/>
              <w:bottom w:val="single" w:sz="4" w:space="0" w:color="FFFFFF"/>
              <w:right w:val="single" w:sz="4" w:space="0" w:color="FFFFFF"/>
            </w:tcBorders>
            <w:shd w:val="clear" w:color="auto" w:fill="FFFFFF"/>
          </w:tcPr>
          <w:p w14:paraId="1CB650FE"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292" w:type="pct"/>
            <w:gridSpan w:val="2"/>
            <w:vMerge/>
            <w:tcBorders>
              <w:top w:val="single" w:sz="4" w:space="0" w:color="FFFFFF"/>
              <w:left w:val="single" w:sz="4" w:space="0" w:color="FFFFFF"/>
              <w:bottom w:val="single" w:sz="4" w:space="0" w:color="FFFFFF"/>
              <w:right w:val="single" w:sz="4" w:space="0" w:color="FFFFFF"/>
            </w:tcBorders>
            <w:shd w:val="clear" w:color="auto" w:fill="99CC00"/>
          </w:tcPr>
          <w:p w14:paraId="194DD699"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388" w:type="pct"/>
            <w:tcBorders>
              <w:top w:val="single" w:sz="4" w:space="0" w:color="FFFFFF"/>
              <w:left w:val="single" w:sz="4" w:space="0" w:color="FFFFFF"/>
              <w:bottom w:val="single" w:sz="4" w:space="0" w:color="FFFFFF"/>
              <w:right w:val="single" w:sz="4" w:space="0" w:color="FFFFFF"/>
            </w:tcBorders>
            <w:shd w:val="clear" w:color="auto" w:fill="99CC00"/>
          </w:tcPr>
          <w:p w14:paraId="5A2E7982"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40" w:type="pct"/>
            <w:tcBorders>
              <w:top w:val="single" w:sz="4" w:space="0" w:color="FFFFFF"/>
              <w:left w:val="single" w:sz="4" w:space="0" w:color="FFFFFF"/>
              <w:bottom w:val="single" w:sz="4" w:space="0" w:color="FFFFFF"/>
              <w:right w:val="single" w:sz="4" w:space="0" w:color="FFFFFF"/>
            </w:tcBorders>
            <w:shd w:val="clear" w:color="auto" w:fill="99CC00"/>
          </w:tcPr>
          <w:p w14:paraId="43F84678"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47" w:type="pct"/>
            <w:gridSpan w:val="2"/>
            <w:tcBorders>
              <w:top w:val="single" w:sz="4" w:space="0" w:color="FFFFFF"/>
              <w:left w:val="single" w:sz="4" w:space="0" w:color="FFFFFF"/>
              <w:bottom w:val="single" w:sz="4" w:space="0" w:color="FFFFFF"/>
              <w:right w:val="single" w:sz="4" w:space="0" w:color="FFFFFF"/>
            </w:tcBorders>
            <w:shd w:val="clear" w:color="auto" w:fill="FFFFFF"/>
          </w:tcPr>
          <w:p w14:paraId="26B4460F"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292" w:type="pct"/>
            <w:vMerge/>
            <w:tcBorders>
              <w:top w:val="single" w:sz="4" w:space="0" w:color="FFFFFF"/>
              <w:left w:val="single" w:sz="4" w:space="0" w:color="FFFFFF"/>
              <w:bottom w:val="single" w:sz="4" w:space="0" w:color="FFFFFF"/>
              <w:right w:val="single" w:sz="4" w:space="0" w:color="FFFFFF"/>
            </w:tcBorders>
            <w:shd w:val="clear" w:color="auto" w:fill="99CC00"/>
          </w:tcPr>
          <w:p w14:paraId="6CF06678"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390" w:type="pct"/>
            <w:tcBorders>
              <w:top w:val="single" w:sz="4" w:space="0" w:color="FFFFFF"/>
              <w:left w:val="single" w:sz="4" w:space="0" w:color="FFFFFF"/>
              <w:bottom w:val="single" w:sz="4" w:space="0" w:color="FFFFFF"/>
              <w:right w:val="single" w:sz="4" w:space="0" w:color="FFFFFF"/>
            </w:tcBorders>
            <w:shd w:val="clear" w:color="auto" w:fill="99CC00"/>
          </w:tcPr>
          <w:p w14:paraId="5D97EC33"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37" w:type="pct"/>
            <w:tcBorders>
              <w:top w:val="single" w:sz="4" w:space="0" w:color="FFFFFF"/>
              <w:left w:val="single" w:sz="4" w:space="0" w:color="FFFFFF"/>
              <w:bottom w:val="single" w:sz="4" w:space="0" w:color="FFFFFF"/>
              <w:right w:val="single" w:sz="4" w:space="0" w:color="FFFFFF"/>
            </w:tcBorders>
            <w:shd w:val="clear" w:color="auto" w:fill="99CC00"/>
          </w:tcPr>
          <w:p w14:paraId="284D3BDE"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45" w:type="pct"/>
            <w:tcBorders>
              <w:top w:val="single" w:sz="4" w:space="0" w:color="FFFFFF"/>
              <w:left w:val="single" w:sz="4" w:space="0" w:color="FFFFFF"/>
              <w:bottom w:val="single" w:sz="4" w:space="0" w:color="FFFFFF"/>
              <w:right w:val="single" w:sz="4" w:space="0" w:color="FFFFFF"/>
            </w:tcBorders>
            <w:shd w:val="clear" w:color="auto" w:fill="FFFFFF"/>
          </w:tcPr>
          <w:p w14:paraId="35FE773C"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389" w:type="pct"/>
            <w:vMerge/>
            <w:tcBorders>
              <w:top w:val="single" w:sz="4" w:space="0" w:color="FFFFFF"/>
              <w:left w:val="single" w:sz="4" w:space="0" w:color="FFFFFF"/>
              <w:bottom w:val="single" w:sz="4" w:space="0" w:color="FFFFFF"/>
              <w:right w:val="single" w:sz="4" w:space="0" w:color="FFFFFF"/>
            </w:tcBorders>
            <w:shd w:val="clear" w:color="auto" w:fill="99CC00"/>
          </w:tcPr>
          <w:p w14:paraId="7E310C7D" w14:textId="77777777" w:rsidR="004E3242" w:rsidRPr="004E3242" w:rsidRDefault="004E3242" w:rsidP="004E3242">
            <w:pPr>
              <w:spacing w:before="40" w:after="40" w:line="240" w:lineRule="auto"/>
              <w:jc w:val="center"/>
              <w:rPr>
                <w:rFonts w:ascii="Arial" w:hAnsi="Arial" w:cs="Arial"/>
                <w:color w:val="FFFFFF"/>
                <w:sz w:val="16"/>
                <w:szCs w:val="16"/>
              </w:rPr>
            </w:pPr>
          </w:p>
        </w:tc>
        <w:tc>
          <w:tcPr>
            <w:tcW w:w="445" w:type="pct"/>
            <w:tcBorders>
              <w:top w:val="single" w:sz="4" w:space="0" w:color="FFFFFF"/>
              <w:left w:val="single" w:sz="4" w:space="0" w:color="FFFFFF"/>
              <w:bottom w:val="single" w:sz="4" w:space="0" w:color="FFFFFF"/>
              <w:right w:val="single" w:sz="4" w:space="0" w:color="FFFFFF"/>
            </w:tcBorders>
            <w:shd w:val="clear" w:color="auto" w:fill="99CC00"/>
          </w:tcPr>
          <w:p w14:paraId="3AB9137E"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380" w:type="pct"/>
            <w:tcBorders>
              <w:top w:val="single" w:sz="4" w:space="0" w:color="FFFFFF"/>
              <w:left w:val="single" w:sz="4" w:space="0" w:color="FFFFFF"/>
              <w:bottom w:val="single" w:sz="4" w:space="0" w:color="FFFFFF"/>
              <w:right w:val="single" w:sz="4" w:space="0" w:color="FFFFFF"/>
            </w:tcBorders>
            <w:shd w:val="clear" w:color="auto" w:fill="99CC00"/>
          </w:tcPr>
          <w:p w14:paraId="692D9AD1" w14:textId="77777777" w:rsidR="004E3242" w:rsidRPr="004E3242" w:rsidRDefault="004E3242" w:rsidP="004E3242">
            <w:pPr>
              <w:spacing w:before="40" w:after="4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r>
      <w:tr w:rsidR="004E3242" w:rsidRPr="004E3242" w14:paraId="2DED4CFC" w14:textId="77777777" w:rsidTr="00AA7998">
        <w:tc>
          <w:tcPr>
            <w:tcW w:w="281" w:type="pct"/>
            <w:vMerge w:val="restart"/>
            <w:tcBorders>
              <w:top w:val="single" w:sz="4" w:space="0" w:color="FFFFFF"/>
              <w:left w:val="single" w:sz="4" w:space="0" w:color="FFFFFF"/>
              <w:right w:val="single" w:sz="4" w:space="0" w:color="FFFFFF"/>
            </w:tcBorders>
            <w:shd w:val="clear" w:color="auto" w:fill="F2F2F2"/>
            <w:vAlign w:val="center"/>
          </w:tcPr>
          <w:p w14:paraId="333F1E84"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094</w:t>
            </w:r>
          </w:p>
        </w:tc>
        <w:tc>
          <w:tcPr>
            <w:tcW w:w="389" w:type="pct"/>
            <w:vMerge w:val="restart"/>
            <w:tcBorders>
              <w:top w:val="single" w:sz="4" w:space="0" w:color="FFFFFF"/>
              <w:left w:val="single" w:sz="4" w:space="0" w:color="FFFFFF"/>
              <w:right w:val="single" w:sz="4" w:space="0" w:color="FFFFFF"/>
            </w:tcBorders>
            <w:shd w:val="clear" w:color="auto" w:fill="F2F2F2"/>
            <w:vAlign w:val="center"/>
          </w:tcPr>
          <w:p w14:paraId="17827B95" w14:textId="77777777" w:rsidR="004E3242" w:rsidRPr="004E3242" w:rsidRDefault="004E3242" w:rsidP="004E3242">
            <w:pPr>
              <w:jc w:val="center"/>
              <w:rPr>
                <w:rFonts w:ascii="Arial" w:hAnsi="Arial" w:cs="Arial"/>
                <w:color w:val="000000"/>
                <w:sz w:val="16"/>
                <w:szCs w:val="16"/>
              </w:rPr>
            </w:pPr>
            <w:r w:rsidRPr="004E3242">
              <w:rPr>
                <w:rFonts w:ascii="Arial" w:hAnsi="Arial" w:cs="Arial"/>
                <w:color w:val="000000"/>
                <w:sz w:val="16"/>
                <w:szCs w:val="16"/>
              </w:rPr>
              <w:t>416 540 167</w:t>
            </w:r>
          </w:p>
        </w:tc>
        <w:tc>
          <w:tcPr>
            <w:tcW w:w="487" w:type="pct"/>
            <w:vMerge w:val="restart"/>
            <w:tcBorders>
              <w:top w:val="single" w:sz="4" w:space="0" w:color="FFFFFF"/>
              <w:left w:val="single" w:sz="4" w:space="0" w:color="FFFFFF"/>
              <w:right w:val="single" w:sz="4" w:space="0" w:color="FFFFFF"/>
            </w:tcBorders>
            <w:shd w:val="clear" w:color="auto" w:fill="F2F2F2"/>
            <w:vAlign w:val="center"/>
          </w:tcPr>
          <w:p w14:paraId="03CBBD81"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50 759 833</w:t>
            </w:r>
          </w:p>
        </w:tc>
        <w:tc>
          <w:tcPr>
            <w:tcW w:w="98" w:type="pct"/>
            <w:tcBorders>
              <w:top w:val="single" w:sz="4" w:space="0" w:color="FFFFFF"/>
              <w:left w:val="single" w:sz="4" w:space="0" w:color="FFFFFF"/>
              <w:bottom w:val="single" w:sz="4" w:space="0" w:color="FFFFFF"/>
              <w:right w:val="single" w:sz="4" w:space="0" w:color="FFFFFF"/>
            </w:tcBorders>
            <w:shd w:val="clear" w:color="auto" w:fill="FFFFFF"/>
          </w:tcPr>
          <w:p w14:paraId="3A319E15" w14:textId="77777777" w:rsidR="004E3242" w:rsidRPr="004E3242" w:rsidRDefault="004E3242" w:rsidP="004E3242">
            <w:pPr>
              <w:suppressAutoHyphens/>
              <w:spacing w:before="40" w:after="40" w:line="240" w:lineRule="auto"/>
              <w:jc w:val="center"/>
              <w:rPr>
                <w:rFonts w:ascii="Arial" w:hAnsi="Arial" w:cs="Arial"/>
                <w:sz w:val="16"/>
                <w:szCs w:val="16"/>
              </w:rPr>
            </w:pPr>
          </w:p>
        </w:tc>
        <w:tc>
          <w:tcPr>
            <w:tcW w:w="292" w:type="pct"/>
            <w:gridSpan w:val="2"/>
            <w:tcBorders>
              <w:top w:val="single" w:sz="4" w:space="0" w:color="FFFFFF"/>
              <w:left w:val="single" w:sz="4" w:space="0" w:color="FFFFFF"/>
              <w:bottom w:val="single" w:sz="4" w:space="0" w:color="FFFFFF"/>
              <w:right w:val="single" w:sz="4" w:space="0" w:color="FFFFFF"/>
            </w:tcBorders>
            <w:shd w:val="clear" w:color="auto" w:fill="F2F2F2"/>
          </w:tcPr>
          <w:p w14:paraId="1C8A6984" w14:textId="77777777" w:rsidR="004E3242" w:rsidRPr="004E3242" w:rsidRDefault="004E3242" w:rsidP="004E3242">
            <w:pPr>
              <w:suppressAutoHyphens/>
              <w:spacing w:before="40" w:after="40" w:line="240" w:lineRule="auto"/>
              <w:jc w:val="center"/>
              <w:rPr>
                <w:rFonts w:ascii="Arial" w:hAnsi="Arial" w:cs="Arial"/>
                <w:sz w:val="16"/>
                <w:szCs w:val="16"/>
              </w:rPr>
            </w:pPr>
            <w:r w:rsidRPr="004E3242">
              <w:rPr>
                <w:rFonts w:ascii="Arial" w:hAnsi="Arial" w:cs="Arial"/>
                <w:sz w:val="16"/>
                <w:szCs w:val="16"/>
              </w:rPr>
              <w:t>01</w:t>
            </w:r>
          </w:p>
        </w:tc>
        <w:tc>
          <w:tcPr>
            <w:tcW w:w="388" w:type="pct"/>
            <w:tcBorders>
              <w:top w:val="single" w:sz="4" w:space="0" w:color="FFFFFF"/>
              <w:left w:val="single" w:sz="4" w:space="0" w:color="FFFFFF"/>
              <w:bottom w:val="single" w:sz="4" w:space="0" w:color="FFFFFF"/>
              <w:right w:val="single" w:sz="4" w:space="0" w:color="FFFFFF"/>
            </w:tcBorders>
            <w:shd w:val="clear" w:color="auto" w:fill="F2F2F2"/>
          </w:tcPr>
          <w:p w14:paraId="04FEB749"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416 540 167</w:t>
            </w:r>
          </w:p>
        </w:tc>
        <w:tc>
          <w:tcPr>
            <w:tcW w:w="440" w:type="pct"/>
            <w:tcBorders>
              <w:top w:val="single" w:sz="4" w:space="0" w:color="FFFFFF"/>
              <w:left w:val="single" w:sz="4" w:space="0" w:color="FFFFFF"/>
              <w:bottom w:val="single" w:sz="4" w:space="0" w:color="FFFFFF"/>
              <w:right w:val="single" w:sz="4" w:space="0" w:color="FFFFFF"/>
            </w:tcBorders>
            <w:shd w:val="clear" w:color="auto" w:fill="F2F2F2"/>
          </w:tcPr>
          <w:p w14:paraId="3ACA2630"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50 759 833</w:t>
            </w:r>
          </w:p>
        </w:tc>
        <w:tc>
          <w:tcPr>
            <w:tcW w:w="147" w:type="pct"/>
            <w:gridSpan w:val="2"/>
            <w:tcBorders>
              <w:top w:val="single" w:sz="4" w:space="0" w:color="FFFFFF"/>
              <w:left w:val="single" w:sz="4" w:space="0" w:color="FFFFFF"/>
              <w:bottom w:val="single" w:sz="4" w:space="0" w:color="FFFFFF"/>
              <w:right w:val="single" w:sz="4" w:space="0" w:color="FFFFFF"/>
            </w:tcBorders>
            <w:shd w:val="clear" w:color="auto" w:fill="FFFFFF"/>
          </w:tcPr>
          <w:p w14:paraId="7827E1E4" w14:textId="77777777" w:rsidR="004E3242" w:rsidRPr="004E3242" w:rsidRDefault="004E3242" w:rsidP="004E3242">
            <w:pPr>
              <w:suppressAutoHyphens/>
              <w:spacing w:before="40" w:after="40" w:line="240" w:lineRule="auto"/>
              <w:jc w:val="center"/>
              <w:rPr>
                <w:rFonts w:ascii="Arial" w:hAnsi="Arial" w:cs="Arial"/>
                <w:sz w:val="16"/>
                <w:szCs w:val="16"/>
              </w:rPr>
            </w:pPr>
          </w:p>
        </w:tc>
        <w:tc>
          <w:tcPr>
            <w:tcW w:w="292" w:type="pct"/>
            <w:tcBorders>
              <w:top w:val="single" w:sz="4" w:space="0" w:color="FFFFFF"/>
              <w:left w:val="single" w:sz="4" w:space="0" w:color="FFFFFF"/>
              <w:bottom w:val="single" w:sz="4" w:space="0" w:color="FFFFFF"/>
              <w:right w:val="single" w:sz="4" w:space="0" w:color="FFFFFF"/>
            </w:tcBorders>
            <w:shd w:val="clear" w:color="auto" w:fill="F2F2F2"/>
          </w:tcPr>
          <w:p w14:paraId="2D11DB98" w14:textId="77777777" w:rsidR="004E3242" w:rsidRPr="004E3242" w:rsidRDefault="004E3242" w:rsidP="004E3242">
            <w:pPr>
              <w:suppressAutoHyphens/>
              <w:spacing w:before="40" w:after="40" w:line="240" w:lineRule="auto"/>
              <w:jc w:val="center"/>
              <w:rPr>
                <w:rFonts w:ascii="Arial" w:hAnsi="Arial" w:cs="Arial"/>
                <w:sz w:val="16"/>
                <w:szCs w:val="16"/>
              </w:rPr>
            </w:pPr>
            <w:r w:rsidRPr="004E3242">
              <w:rPr>
                <w:rFonts w:ascii="Arial" w:hAnsi="Arial" w:cs="Arial"/>
                <w:sz w:val="16"/>
                <w:szCs w:val="16"/>
              </w:rPr>
              <w:t>07</w:t>
            </w:r>
          </w:p>
        </w:tc>
        <w:tc>
          <w:tcPr>
            <w:tcW w:w="390" w:type="pct"/>
            <w:tcBorders>
              <w:top w:val="single" w:sz="4" w:space="0" w:color="FFFFFF"/>
              <w:left w:val="single" w:sz="4" w:space="0" w:color="FFFFFF"/>
              <w:bottom w:val="single" w:sz="4" w:space="0" w:color="FFFFFF"/>
              <w:right w:val="single" w:sz="4" w:space="0" w:color="FFFFFF"/>
            </w:tcBorders>
            <w:shd w:val="clear" w:color="auto" w:fill="F2F2F2"/>
          </w:tcPr>
          <w:p w14:paraId="21222220"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416 540 167</w:t>
            </w:r>
          </w:p>
        </w:tc>
        <w:tc>
          <w:tcPr>
            <w:tcW w:w="437" w:type="pct"/>
            <w:tcBorders>
              <w:top w:val="single" w:sz="4" w:space="0" w:color="FFFFFF"/>
              <w:left w:val="single" w:sz="4" w:space="0" w:color="FFFFFF"/>
              <w:bottom w:val="single" w:sz="4" w:space="0" w:color="FFFFFF"/>
              <w:right w:val="single" w:sz="4" w:space="0" w:color="FFFFFF"/>
            </w:tcBorders>
            <w:shd w:val="clear" w:color="auto" w:fill="F2F2F2"/>
          </w:tcPr>
          <w:p w14:paraId="3583D92D"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50 759 833</w:t>
            </w:r>
          </w:p>
        </w:tc>
        <w:tc>
          <w:tcPr>
            <w:tcW w:w="145" w:type="pct"/>
            <w:tcBorders>
              <w:top w:val="single" w:sz="4" w:space="0" w:color="FFFFFF"/>
              <w:left w:val="single" w:sz="4" w:space="0" w:color="FFFFFF"/>
              <w:bottom w:val="single" w:sz="4" w:space="0" w:color="FFFFFF"/>
              <w:right w:val="single" w:sz="4" w:space="0" w:color="FFFFFF"/>
            </w:tcBorders>
            <w:shd w:val="clear" w:color="auto" w:fill="FFFFFF"/>
          </w:tcPr>
          <w:p w14:paraId="1E2F6BFD" w14:textId="77777777" w:rsidR="004E3242" w:rsidRPr="004E3242" w:rsidRDefault="004E3242" w:rsidP="004E3242">
            <w:pPr>
              <w:suppressAutoHyphens/>
              <w:spacing w:before="40" w:after="40" w:line="240" w:lineRule="auto"/>
              <w:jc w:val="center"/>
              <w:rPr>
                <w:rFonts w:ascii="Arial" w:hAnsi="Arial" w:cs="Arial"/>
                <w:sz w:val="16"/>
                <w:szCs w:val="16"/>
              </w:rPr>
            </w:pPr>
          </w:p>
        </w:tc>
        <w:tc>
          <w:tcPr>
            <w:tcW w:w="389" w:type="pct"/>
            <w:tcBorders>
              <w:top w:val="single" w:sz="4" w:space="0" w:color="FFFFFF"/>
              <w:left w:val="single" w:sz="4" w:space="0" w:color="FFFFFF"/>
              <w:bottom w:val="single" w:sz="4" w:space="0" w:color="FFFFFF"/>
              <w:right w:val="single" w:sz="4" w:space="0" w:color="FFFFFF"/>
            </w:tcBorders>
            <w:shd w:val="clear" w:color="auto" w:fill="F2F2F2"/>
          </w:tcPr>
          <w:p w14:paraId="1C4E9E2E" w14:textId="77777777" w:rsidR="004E3242" w:rsidRPr="004E3242" w:rsidRDefault="004E3242" w:rsidP="004E3242">
            <w:pPr>
              <w:suppressAutoHyphens/>
              <w:spacing w:before="40" w:after="40" w:line="240" w:lineRule="auto"/>
              <w:jc w:val="center"/>
              <w:rPr>
                <w:rFonts w:ascii="Arial" w:hAnsi="Arial" w:cs="Arial"/>
                <w:sz w:val="16"/>
                <w:szCs w:val="16"/>
              </w:rPr>
            </w:pPr>
            <w:r w:rsidRPr="004E3242">
              <w:rPr>
                <w:rFonts w:ascii="Arial" w:hAnsi="Arial" w:cs="Arial"/>
                <w:sz w:val="16"/>
                <w:szCs w:val="16"/>
              </w:rPr>
              <w:t>07</w:t>
            </w:r>
          </w:p>
        </w:tc>
        <w:tc>
          <w:tcPr>
            <w:tcW w:w="445" w:type="pct"/>
            <w:tcBorders>
              <w:top w:val="single" w:sz="4" w:space="0" w:color="FFFFFF"/>
              <w:left w:val="single" w:sz="4" w:space="0" w:color="FFFFFF"/>
              <w:bottom w:val="single" w:sz="4" w:space="0" w:color="FFFFFF"/>
              <w:right w:val="single" w:sz="4" w:space="0" w:color="FFFFFF"/>
            </w:tcBorders>
            <w:shd w:val="clear" w:color="auto" w:fill="F2F2F2"/>
          </w:tcPr>
          <w:p w14:paraId="0F171950"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416 540 167</w:t>
            </w:r>
          </w:p>
        </w:tc>
        <w:tc>
          <w:tcPr>
            <w:tcW w:w="380" w:type="pct"/>
            <w:tcBorders>
              <w:top w:val="single" w:sz="4" w:space="0" w:color="FFFFFF"/>
              <w:left w:val="single" w:sz="4" w:space="0" w:color="FFFFFF"/>
              <w:bottom w:val="single" w:sz="4" w:space="0" w:color="FFFFFF"/>
              <w:right w:val="single" w:sz="4" w:space="0" w:color="FFFFFF"/>
            </w:tcBorders>
            <w:shd w:val="clear" w:color="auto" w:fill="F2F2F2"/>
          </w:tcPr>
          <w:p w14:paraId="0432DA4C"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50 759 833</w:t>
            </w:r>
          </w:p>
        </w:tc>
      </w:tr>
      <w:tr w:rsidR="004E3242" w:rsidRPr="004E3242" w14:paraId="044C63F1" w14:textId="77777777" w:rsidTr="00AA7998">
        <w:trPr>
          <w:trHeight w:val="64"/>
        </w:trPr>
        <w:tc>
          <w:tcPr>
            <w:tcW w:w="281" w:type="pct"/>
            <w:vMerge/>
            <w:tcBorders>
              <w:left w:val="single" w:sz="4" w:space="0" w:color="FFFFFF"/>
              <w:bottom w:val="single" w:sz="4" w:space="0" w:color="FFFFFF"/>
              <w:right w:val="single" w:sz="4" w:space="0" w:color="FFFFFF"/>
            </w:tcBorders>
            <w:shd w:val="clear" w:color="auto" w:fill="F2F2F2"/>
            <w:vAlign w:val="center"/>
          </w:tcPr>
          <w:p w14:paraId="03AF1BF1" w14:textId="77777777" w:rsidR="004E3242" w:rsidRPr="004E3242" w:rsidRDefault="004E3242" w:rsidP="004E3242">
            <w:pPr>
              <w:spacing w:before="40" w:after="40" w:line="240" w:lineRule="auto"/>
              <w:jc w:val="center"/>
              <w:rPr>
                <w:rFonts w:ascii="Arial" w:hAnsi="Arial" w:cs="Arial"/>
                <w:color w:val="000000"/>
                <w:sz w:val="16"/>
                <w:szCs w:val="16"/>
              </w:rPr>
            </w:pPr>
          </w:p>
        </w:tc>
        <w:tc>
          <w:tcPr>
            <w:tcW w:w="389" w:type="pct"/>
            <w:vMerge/>
            <w:tcBorders>
              <w:left w:val="single" w:sz="4" w:space="0" w:color="FFFFFF"/>
              <w:bottom w:val="single" w:sz="4" w:space="0" w:color="FFFFFF"/>
              <w:right w:val="single" w:sz="4" w:space="0" w:color="FFFFFF"/>
            </w:tcBorders>
            <w:shd w:val="clear" w:color="auto" w:fill="F2F2F2"/>
            <w:vAlign w:val="center"/>
          </w:tcPr>
          <w:p w14:paraId="6FCFAF76" w14:textId="77777777" w:rsidR="004E3242" w:rsidRPr="004E3242" w:rsidRDefault="004E3242" w:rsidP="004E3242">
            <w:pPr>
              <w:spacing w:before="40" w:after="40" w:line="240" w:lineRule="auto"/>
              <w:jc w:val="center"/>
              <w:rPr>
                <w:rFonts w:ascii="Arial" w:hAnsi="Arial" w:cs="Arial"/>
                <w:sz w:val="16"/>
                <w:szCs w:val="16"/>
              </w:rPr>
            </w:pPr>
          </w:p>
        </w:tc>
        <w:tc>
          <w:tcPr>
            <w:tcW w:w="487" w:type="pct"/>
            <w:vMerge/>
            <w:tcBorders>
              <w:left w:val="single" w:sz="4" w:space="0" w:color="FFFFFF"/>
              <w:bottom w:val="single" w:sz="4" w:space="0" w:color="FFFFFF"/>
              <w:right w:val="single" w:sz="4" w:space="0" w:color="FFFFFF"/>
            </w:tcBorders>
            <w:shd w:val="clear" w:color="auto" w:fill="F2F2F2"/>
            <w:vAlign w:val="center"/>
          </w:tcPr>
          <w:p w14:paraId="0D8B2394" w14:textId="77777777" w:rsidR="004E3242" w:rsidRPr="004E3242" w:rsidRDefault="004E3242" w:rsidP="004E3242">
            <w:pPr>
              <w:spacing w:before="40" w:after="40" w:line="240" w:lineRule="auto"/>
              <w:jc w:val="center"/>
              <w:rPr>
                <w:rFonts w:ascii="Arial" w:hAnsi="Arial" w:cs="Arial"/>
                <w:sz w:val="16"/>
                <w:szCs w:val="16"/>
              </w:rPr>
            </w:pPr>
          </w:p>
        </w:tc>
        <w:tc>
          <w:tcPr>
            <w:tcW w:w="98" w:type="pct"/>
            <w:tcBorders>
              <w:top w:val="single" w:sz="4" w:space="0" w:color="FFFFFF"/>
              <w:left w:val="single" w:sz="4" w:space="0" w:color="FFFFFF"/>
              <w:bottom w:val="single" w:sz="4" w:space="0" w:color="FFFFFF"/>
              <w:right w:val="single" w:sz="4" w:space="0" w:color="FFFFFF"/>
            </w:tcBorders>
            <w:shd w:val="clear" w:color="auto" w:fill="FFFFFF"/>
          </w:tcPr>
          <w:p w14:paraId="2DE092D9" w14:textId="77777777" w:rsidR="004E3242" w:rsidRPr="004E3242" w:rsidRDefault="004E3242" w:rsidP="004E3242">
            <w:pPr>
              <w:spacing w:before="40" w:after="40" w:line="240" w:lineRule="auto"/>
              <w:jc w:val="center"/>
              <w:rPr>
                <w:rFonts w:ascii="Arial" w:hAnsi="Arial" w:cs="Arial"/>
                <w:b/>
                <w:color w:val="FFFFFF"/>
                <w:sz w:val="16"/>
                <w:szCs w:val="16"/>
              </w:rPr>
            </w:pPr>
          </w:p>
        </w:tc>
        <w:tc>
          <w:tcPr>
            <w:tcW w:w="292" w:type="pct"/>
            <w:gridSpan w:val="2"/>
            <w:tcBorders>
              <w:top w:val="single" w:sz="4" w:space="0" w:color="FFFFFF"/>
              <w:left w:val="single" w:sz="4" w:space="0" w:color="FFFFFF"/>
              <w:bottom w:val="single" w:sz="4" w:space="0" w:color="FFFFFF"/>
              <w:right w:val="single" w:sz="4" w:space="0" w:color="FFFFFF"/>
            </w:tcBorders>
            <w:shd w:val="clear" w:color="auto" w:fill="D6E3BC"/>
          </w:tcPr>
          <w:p w14:paraId="1B6E5D82"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Razem</w:t>
            </w:r>
          </w:p>
        </w:tc>
        <w:tc>
          <w:tcPr>
            <w:tcW w:w="388" w:type="pct"/>
            <w:tcBorders>
              <w:top w:val="single" w:sz="4" w:space="0" w:color="FFFFFF"/>
              <w:left w:val="single" w:sz="4" w:space="0" w:color="FFFFFF"/>
              <w:bottom w:val="single" w:sz="4" w:space="0" w:color="FFFFFF"/>
              <w:right w:val="single" w:sz="4" w:space="0" w:color="FFFFFF"/>
            </w:tcBorders>
            <w:shd w:val="clear" w:color="auto" w:fill="D6E3BC"/>
          </w:tcPr>
          <w:p w14:paraId="7406136C"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416 540 167</w:t>
            </w:r>
          </w:p>
        </w:tc>
        <w:tc>
          <w:tcPr>
            <w:tcW w:w="440" w:type="pct"/>
            <w:tcBorders>
              <w:top w:val="single" w:sz="4" w:space="0" w:color="FFFFFF"/>
              <w:left w:val="single" w:sz="4" w:space="0" w:color="FFFFFF"/>
              <w:bottom w:val="single" w:sz="4" w:space="0" w:color="FFFFFF"/>
              <w:right w:val="single" w:sz="4" w:space="0" w:color="FFFFFF"/>
            </w:tcBorders>
            <w:shd w:val="clear" w:color="auto" w:fill="D6E3BC"/>
          </w:tcPr>
          <w:p w14:paraId="28241637"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50 759 833</w:t>
            </w:r>
          </w:p>
        </w:tc>
        <w:tc>
          <w:tcPr>
            <w:tcW w:w="147" w:type="pct"/>
            <w:gridSpan w:val="2"/>
            <w:tcBorders>
              <w:top w:val="single" w:sz="4" w:space="0" w:color="FFFFFF"/>
              <w:left w:val="single" w:sz="4" w:space="0" w:color="FFFFFF"/>
              <w:bottom w:val="single" w:sz="4" w:space="0" w:color="FFFFFF"/>
              <w:right w:val="single" w:sz="4" w:space="0" w:color="FFFFFF"/>
            </w:tcBorders>
            <w:shd w:val="clear" w:color="auto" w:fill="FFFFFF"/>
          </w:tcPr>
          <w:p w14:paraId="0B74F8C0" w14:textId="77777777" w:rsidR="004E3242" w:rsidRPr="004E3242" w:rsidRDefault="004E3242" w:rsidP="004E3242">
            <w:pPr>
              <w:spacing w:before="40" w:after="40" w:line="240" w:lineRule="auto"/>
              <w:jc w:val="center"/>
              <w:rPr>
                <w:rFonts w:ascii="Arial" w:hAnsi="Arial" w:cs="Arial"/>
                <w:b/>
                <w:color w:val="FFFFFF"/>
                <w:sz w:val="16"/>
                <w:szCs w:val="16"/>
              </w:rPr>
            </w:pPr>
          </w:p>
        </w:tc>
        <w:tc>
          <w:tcPr>
            <w:tcW w:w="292" w:type="pct"/>
            <w:tcBorders>
              <w:top w:val="single" w:sz="4" w:space="0" w:color="FFFFFF"/>
              <w:left w:val="single" w:sz="4" w:space="0" w:color="FFFFFF"/>
              <w:bottom w:val="single" w:sz="4" w:space="0" w:color="FFFFFF"/>
              <w:right w:val="single" w:sz="4" w:space="0" w:color="FFFFFF"/>
            </w:tcBorders>
            <w:shd w:val="clear" w:color="auto" w:fill="D6E3BC"/>
          </w:tcPr>
          <w:p w14:paraId="21779D24"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Razem</w:t>
            </w:r>
          </w:p>
        </w:tc>
        <w:tc>
          <w:tcPr>
            <w:tcW w:w="390" w:type="pct"/>
            <w:tcBorders>
              <w:top w:val="single" w:sz="4" w:space="0" w:color="FFFFFF"/>
              <w:left w:val="single" w:sz="4" w:space="0" w:color="FFFFFF"/>
              <w:bottom w:val="single" w:sz="4" w:space="0" w:color="FFFFFF"/>
              <w:right w:val="single" w:sz="4" w:space="0" w:color="FFFFFF"/>
            </w:tcBorders>
            <w:shd w:val="clear" w:color="auto" w:fill="D6E3BC"/>
          </w:tcPr>
          <w:p w14:paraId="04D43B2F"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416 540 167</w:t>
            </w:r>
          </w:p>
        </w:tc>
        <w:tc>
          <w:tcPr>
            <w:tcW w:w="437" w:type="pct"/>
            <w:tcBorders>
              <w:top w:val="single" w:sz="4" w:space="0" w:color="FFFFFF"/>
              <w:left w:val="single" w:sz="4" w:space="0" w:color="FFFFFF"/>
              <w:bottom w:val="single" w:sz="4" w:space="0" w:color="FFFFFF"/>
              <w:right w:val="single" w:sz="4" w:space="0" w:color="FFFFFF"/>
            </w:tcBorders>
            <w:shd w:val="clear" w:color="auto" w:fill="D6E3BC"/>
          </w:tcPr>
          <w:p w14:paraId="5CEF2A07"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50 759 833</w:t>
            </w:r>
          </w:p>
        </w:tc>
        <w:tc>
          <w:tcPr>
            <w:tcW w:w="145" w:type="pct"/>
            <w:tcBorders>
              <w:top w:val="single" w:sz="4" w:space="0" w:color="FFFFFF"/>
              <w:left w:val="single" w:sz="4" w:space="0" w:color="FFFFFF"/>
              <w:bottom w:val="single" w:sz="4" w:space="0" w:color="FFFFFF"/>
              <w:right w:val="single" w:sz="4" w:space="0" w:color="FFFFFF"/>
            </w:tcBorders>
            <w:shd w:val="clear" w:color="auto" w:fill="FFFFFF"/>
          </w:tcPr>
          <w:p w14:paraId="5E2C31F9" w14:textId="77777777" w:rsidR="004E3242" w:rsidRPr="004E3242" w:rsidRDefault="004E3242" w:rsidP="004E3242">
            <w:pPr>
              <w:spacing w:before="40" w:after="40" w:line="240" w:lineRule="auto"/>
              <w:jc w:val="center"/>
              <w:rPr>
                <w:rFonts w:ascii="Arial" w:hAnsi="Arial" w:cs="Arial"/>
                <w:b/>
                <w:color w:val="FFFFFF"/>
                <w:sz w:val="16"/>
                <w:szCs w:val="16"/>
              </w:rPr>
            </w:pPr>
          </w:p>
        </w:tc>
        <w:tc>
          <w:tcPr>
            <w:tcW w:w="389" w:type="pct"/>
            <w:tcBorders>
              <w:top w:val="single" w:sz="4" w:space="0" w:color="FFFFFF"/>
              <w:left w:val="single" w:sz="4" w:space="0" w:color="FFFFFF"/>
              <w:bottom w:val="single" w:sz="4" w:space="0" w:color="FFFFFF"/>
              <w:right w:val="single" w:sz="4" w:space="0" w:color="FFFFFF"/>
            </w:tcBorders>
            <w:shd w:val="clear" w:color="auto" w:fill="D6E3BC"/>
          </w:tcPr>
          <w:p w14:paraId="6085F8B8"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Razem</w:t>
            </w:r>
          </w:p>
        </w:tc>
        <w:tc>
          <w:tcPr>
            <w:tcW w:w="445" w:type="pct"/>
            <w:tcBorders>
              <w:top w:val="single" w:sz="4" w:space="0" w:color="FFFFFF"/>
              <w:left w:val="single" w:sz="4" w:space="0" w:color="FFFFFF"/>
              <w:bottom w:val="single" w:sz="4" w:space="0" w:color="FFFFFF"/>
              <w:right w:val="single" w:sz="4" w:space="0" w:color="FFFFFF"/>
            </w:tcBorders>
            <w:shd w:val="clear" w:color="auto" w:fill="D6E3BC"/>
          </w:tcPr>
          <w:p w14:paraId="0EA38DD4"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416 540 167</w:t>
            </w:r>
          </w:p>
        </w:tc>
        <w:tc>
          <w:tcPr>
            <w:tcW w:w="380" w:type="pct"/>
            <w:tcBorders>
              <w:top w:val="single" w:sz="4" w:space="0" w:color="FFFFFF"/>
              <w:left w:val="single" w:sz="4" w:space="0" w:color="FFFFFF"/>
              <w:bottom w:val="single" w:sz="4" w:space="0" w:color="FFFFFF"/>
              <w:right w:val="single" w:sz="4" w:space="0" w:color="FFFFFF"/>
            </w:tcBorders>
            <w:shd w:val="clear" w:color="auto" w:fill="D6E3BC"/>
          </w:tcPr>
          <w:p w14:paraId="3384AF78"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50 759 833</w:t>
            </w:r>
          </w:p>
        </w:tc>
      </w:tr>
      <w:tr w:rsidR="004E3242" w:rsidRPr="004E3242" w14:paraId="1C4FDD11" w14:textId="77777777" w:rsidTr="00AA7998">
        <w:tc>
          <w:tcPr>
            <w:tcW w:w="281" w:type="pct"/>
            <w:tcBorders>
              <w:top w:val="single" w:sz="4" w:space="0" w:color="FFFFFF"/>
              <w:left w:val="single" w:sz="4" w:space="0" w:color="FFFFFF"/>
              <w:bottom w:val="single" w:sz="4" w:space="0" w:color="FFFFFF"/>
              <w:right w:val="single" w:sz="4" w:space="0" w:color="FFFFFF"/>
            </w:tcBorders>
            <w:shd w:val="clear" w:color="auto" w:fill="D6E3BC"/>
            <w:vAlign w:val="center"/>
          </w:tcPr>
          <w:p w14:paraId="01A2C3C2"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Razem</w:t>
            </w:r>
          </w:p>
        </w:tc>
        <w:tc>
          <w:tcPr>
            <w:tcW w:w="389" w:type="pct"/>
            <w:tcBorders>
              <w:top w:val="single" w:sz="4" w:space="0" w:color="FFFFFF"/>
              <w:left w:val="single" w:sz="4" w:space="0" w:color="FFFFFF"/>
              <w:bottom w:val="single" w:sz="4" w:space="0" w:color="FFFFFF"/>
              <w:right w:val="single" w:sz="4" w:space="0" w:color="FFFFFF"/>
            </w:tcBorders>
            <w:shd w:val="clear" w:color="auto" w:fill="D6E3BC"/>
            <w:vAlign w:val="center"/>
          </w:tcPr>
          <w:p w14:paraId="5C3CAD96"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416 540 167</w:t>
            </w:r>
          </w:p>
        </w:tc>
        <w:tc>
          <w:tcPr>
            <w:tcW w:w="487" w:type="pct"/>
            <w:tcBorders>
              <w:top w:val="single" w:sz="4" w:space="0" w:color="FFFFFF"/>
              <w:left w:val="single" w:sz="4" w:space="0" w:color="FFFFFF"/>
              <w:bottom w:val="single" w:sz="4" w:space="0" w:color="FFFFFF"/>
              <w:right w:val="single" w:sz="4" w:space="0" w:color="FFFFFF"/>
            </w:tcBorders>
            <w:shd w:val="clear" w:color="auto" w:fill="D6E3BC"/>
            <w:vAlign w:val="center"/>
          </w:tcPr>
          <w:p w14:paraId="1EDC319B"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sz w:val="16"/>
                <w:szCs w:val="16"/>
              </w:rPr>
              <w:t>50 759 833</w:t>
            </w:r>
          </w:p>
        </w:tc>
        <w:tc>
          <w:tcPr>
            <w:tcW w:w="98" w:type="pct"/>
            <w:tcBorders>
              <w:top w:val="single" w:sz="4" w:space="0" w:color="FFFFFF"/>
              <w:left w:val="single" w:sz="4" w:space="0" w:color="FFFFFF"/>
              <w:bottom w:val="single" w:sz="4" w:space="0" w:color="FFFFFF"/>
              <w:right w:val="single" w:sz="4" w:space="0" w:color="FFFFFF"/>
            </w:tcBorders>
            <w:shd w:val="clear" w:color="auto" w:fill="FFFFFF"/>
          </w:tcPr>
          <w:p w14:paraId="0067CBA6" w14:textId="77777777" w:rsidR="004E3242" w:rsidRPr="004E3242" w:rsidRDefault="004E3242" w:rsidP="004E3242">
            <w:pPr>
              <w:spacing w:before="40" w:after="40" w:line="240" w:lineRule="auto"/>
              <w:jc w:val="center"/>
              <w:rPr>
                <w:rFonts w:ascii="Arial" w:hAnsi="Arial" w:cs="Arial"/>
                <w:b/>
                <w:color w:val="FFFFFF"/>
                <w:sz w:val="16"/>
                <w:szCs w:val="16"/>
              </w:rPr>
            </w:pPr>
          </w:p>
        </w:tc>
        <w:tc>
          <w:tcPr>
            <w:tcW w:w="274" w:type="pct"/>
            <w:tcBorders>
              <w:top w:val="single" w:sz="4" w:space="0" w:color="FFFFFF"/>
              <w:left w:val="single" w:sz="4" w:space="0" w:color="FFFFFF"/>
              <w:bottom w:val="single" w:sz="4" w:space="0" w:color="FFFFFF"/>
              <w:right w:val="single" w:sz="4" w:space="0" w:color="FFFFFF"/>
            </w:tcBorders>
            <w:shd w:val="clear" w:color="auto" w:fill="FFFFFF"/>
          </w:tcPr>
          <w:p w14:paraId="28FC4598" w14:textId="77777777" w:rsidR="004E3242" w:rsidRPr="004E3242" w:rsidRDefault="004E3242" w:rsidP="004E3242">
            <w:pPr>
              <w:spacing w:before="40" w:after="40" w:line="240" w:lineRule="auto"/>
              <w:jc w:val="center"/>
              <w:rPr>
                <w:rFonts w:ascii="Arial" w:hAnsi="Arial" w:cs="Arial"/>
                <w:b/>
                <w:color w:val="FFFFFF"/>
                <w:sz w:val="16"/>
                <w:szCs w:val="16"/>
              </w:rPr>
            </w:pPr>
          </w:p>
        </w:tc>
        <w:tc>
          <w:tcPr>
            <w:tcW w:w="969" w:type="pct"/>
            <w:gridSpan w:val="4"/>
            <w:tcBorders>
              <w:top w:val="single" w:sz="4" w:space="0" w:color="FFFFFF"/>
              <w:left w:val="single" w:sz="4" w:space="0" w:color="FFFFFF"/>
              <w:bottom w:val="single" w:sz="4" w:space="0" w:color="FFFFFF"/>
              <w:right w:val="single" w:sz="4" w:space="0" w:color="FFFFFF"/>
            </w:tcBorders>
            <w:shd w:val="clear" w:color="auto" w:fill="FFFFFF"/>
          </w:tcPr>
          <w:p w14:paraId="7106AB17" w14:textId="77777777" w:rsidR="004E3242" w:rsidRPr="004E3242" w:rsidRDefault="004E3242" w:rsidP="004E3242">
            <w:pPr>
              <w:spacing w:before="40" w:after="40" w:line="240" w:lineRule="auto"/>
              <w:jc w:val="center"/>
              <w:rPr>
                <w:rFonts w:ascii="Arial" w:hAnsi="Arial" w:cs="Arial"/>
                <w:b/>
                <w:color w:val="FFFFFF"/>
                <w:sz w:val="16"/>
                <w:szCs w:val="16"/>
              </w:rPr>
            </w:pPr>
          </w:p>
        </w:tc>
        <w:tc>
          <w:tcPr>
            <w:tcW w:w="2502" w:type="pct"/>
            <w:gridSpan w:val="8"/>
            <w:tcBorders>
              <w:top w:val="single" w:sz="4" w:space="0" w:color="FFFFFF"/>
              <w:left w:val="single" w:sz="4" w:space="0" w:color="FFFFFF"/>
              <w:bottom w:val="single" w:sz="4" w:space="0" w:color="FFFFFF"/>
              <w:right w:val="single" w:sz="4" w:space="0" w:color="FFFFFF"/>
            </w:tcBorders>
            <w:shd w:val="clear" w:color="auto" w:fill="FFFFFF"/>
          </w:tcPr>
          <w:p w14:paraId="27DE7589" w14:textId="77777777" w:rsidR="004E3242" w:rsidRPr="004E3242" w:rsidRDefault="004E3242" w:rsidP="004E3242">
            <w:pPr>
              <w:spacing w:before="40" w:after="40" w:line="240" w:lineRule="auto"/>
              <w:jc w:val="center"/>
              <w:rPr>
                <w:rFonts w:ascii="Arial" w:hAnsi="Arial" w:cs="Arial"/>
                <w:b/>
                <w:color w:val="FFFFFF"/>
                <w:sz w:val="16"/>
                <w:szCs w:val="16"/>
              </w:rPr>
            </w:pPr>
          </w:p>
        </w:tc>
      </w:tr>
    </w:tbl>
    <w:p w14:paraId="3EE095EA" w14:textId="77777777" w:rsidR="004E3242" w:rsidRPr="004E3242" w:rsidRDefault="004E3242" w:rsidP="004E3242">
      <w:pPr>
        <w:jc w:val="both"/>
        <w:rPr>
          <w:rFonts w:ascii="Arial" w:hAnsi="Arial" w:cs="Arial"/>
          <w:spacing w:val="4"/>
          <w:sz w:val="20"/>
          <w:szCs w:val="20"/>
        </w:rPr>
        <w:sectPr w:rsidR="004E3242" w:rsidRPr="004E3242" w:rsidSect="00C73ABE">
          <w:pgSz w:w="16838" w:h="11906" w:orient="landscape"/>
          <w:pgMar w:top="851" w:right="1247" w:bottom="851" w:left="1247" w:header="709" w:footer="709" w:gutter="0"/>
          <w:cols w:space="708"/>
          <w:titlePg/>
          <w:docGrid w:linePitch="360"/>
        </w:sectPr>
      </w:pPr>
    </w:p>
    <w:p w14:paraId="48E40973" w14:textId="77777777" w:rsidR="004E3242" w:rsidRPr="004E3242" w:rsidRDefault="004E3242" w:rsidP="004E3242">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423" w:name="_Toc375208288"/>
      <w:bookmarkStart w:id="424" w:name="_Toc375299842"/>
      <w:bookmarkStart w:id="425" w:name="_Toc375308896"/>
      <w:bookmarkStart w:id="426" w:name="_Toc369696165"/>
      <w:bookmarkStart w:id="427" w:name="_Toc83810570"/>
      <w:bookmarkStart w:id="428" w:name="_Toc355864737"/>
      <w:bookmarkStart w:id="429" w:name="_Toc355866599"/>
      <w:bookmarkEnd w:id="423"/>
      <w:bookmarkEnd w:id="424"/>
      <w:bookmarkEnd w:id="425"/>
      <w:r w:rsidRPr="004E3242">
        <w:rPr>
          <w:rFonts w:ascii="Arial" w:hAnsi="Arial"/>
          <w:smallCaps/>
          <w:color w:val="000000"/>
          <w:spacing w:val="15"/>
          <w:sz w:val="24"/>
          <w:szCs w:val="24"/>
          <w:u w:color="A8C743"/>
          <w:lang w:eastAsia="pl-PL"/>
        </w:rPr>
        <w:lastRenderedPageBreak/>
        <w:t>Oś priorytetowa ix: wzmocnienie strategicznej infrastruktury ochrony zdrowia</w:t>
      </w:r>
      <w:bookmarkEnd w:id="426"/>
      <w:bookmarkEnd w:id="427"/>
    </w:p>
    <w:bookmarkEnd w:id="428"/>
    <w:bookmarkEnd w:id="429"/>
    <w:p w14:paraId="6F4B59A4"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Dana oś priorytetowa jest przeznaczona do finansowania wyłącznie z jednego funduszu (tj. Europejskiego Funduszu Rozwoju Regionalnego) i obejmuje zakresem interwencji jeden cel tematyczny 9. Jest ona dedykowana dwóm kategoriom regionów, tj. regionom słabiej i lepiej rozwiniętym.</w:t>
      </w:r>
    </w:p>
    <w:p w14:paraId="38BAD2C1"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Dominacja w POIŚ środków FS oraz ograniczoność środków EFRR zadecydowały o odstąpieniu od wyodrębniania osi dedykowanych Mazowszu (który obecnie klasyfikowany jest jako region lepiej rozwinięty). Ponieważ kategoryzacja na regiony ma zastosowanie wyłącznie w odniesieniu do funduszy strukturalnych (w tym przypadku EFRR) oraz z uwagi na ograniczony zakres interwencji tego funduszu w ramach POIŚ i relatywnie niską alokację na region lepiej rozwinięty, nie przewidziano wyodrębniania osi priorytetowych dedykowanych Mazowszu, region ten został uwzględniony w już istniejących osiach, zachowując jednak własną linie budżetową i jemu właściwe poziomy wsparcia UE. Takie podejście jest optymalne z punktu widzenia zarządzania poszczególnymi osiami priorytetowymi.</w:t>
      </w:r>
    </w:p>
    <w:p w14:paraId="7233F86C" w14:textId="77777777" w:rsidR="004E3242" w:rsidRPr="004E3242" w:rsidRDefault="004E3242" w:rsidP="004E3242">
      <w:pPr>
        <w:keepLines/>
        <w:pBdr>
          <w:bottom w:val="single" w:sz="4" w:space="1" w:color="669900"/>
        </w:pBdr>
        <w:spacing w:before="360" w:after="240" w:line="240" w:lineRule="auto"/>
        <w:jc w:val="both"/>
        <w:rPr>
          <w:rFonts w:ascii="Arial" w:eastAsia="Times New Roman" w:hAnsi="Arial"/>
          <w:smallCaps/>
          <w:color w:val="669900"/>
          <w:spacing w:val="4"/>
          <w:sz w:val="24"/>
          <w:szCs w:val="24"/>
          <w:lang w:eastAsia="pl-PL"/>
        </w:rPr>
      </w:pPr>
      <w:r w:rsidRPr="004E3242">
        <w:rPr>
          <w:rFonts w:ascii="Arial" w:eastAsia="Times New Roman" w:hAnsi="Arial"/>
          <w:smallCaps/>
          <w:color w:val="669900"/>
          <w:spacing w:val="4"/>
          <w:sz w:val="24"/>
          <w:szCs w:val="24"/>
          <w:lang w:eastAsia="pl-PL"/>
        </w:rPr>
        <w:t>PRIORYTET INWESTYCYJNY</w:t>
      </w:r>
      <w:r w:rsidRPr="004E3242">
        <w:rPr>
          <w:rFonts w:ascii="Arial" w:eastAsia="Times New Roman" w:hAnsi="Arial"/>
          <w:bCs/>
          <w:smallCaps/>
          <w:color w:val="669900"/>
          <w:spacing w:val="4"/>
          <w:sz w:val="24"/>
          <w:szCs w:val="24"/>
          <w:lang w:eastAsia="pl-PL"/>
        </w:rPr>
        <w:t xml:space="preserve"> 9 a) </w:t>
      </w:r>
      <w:r w:rsidRPr="004E3242">
        <w:rPr>
          <w:rFonts w:ascii="Arial" w:eastAsia="Times New Roman" w:hAnsi="Arial"/>
          <w:smallCaps/>
          <w:color w:val="669900"/>
          <w:spacing w:val="10"/>
          <w:sz w:val="24"/>
          <w:szCs w:val="24"/>
          <w:lang w:eastAsia="pl-PL"/>
        </w:rPr>
        <w:t xml:space="preserve">Inwestycje w infrastrukturę zdrowotną </w:t>
      </w:r>
      <w:r w:rsidRPr="004E3242">
        <w:rPr>
          <w:rFonts w:ascii="Arial" w:eastAsia="Times New Roman" w:hAnsi="Arial"/>
          <w:smallCaps/>
          <w:color w:val="669900"/>
          <w:spacing w:val="10"/>
          <w:sz w:val="24"/>
          <w:szCs w:val="24"/>
          <w:lang w:eastAsia="pl-PL"/>
        </w:rPr>
        <w:br/>
        <w:t xml:space="preserve">i społeczną, które przyczyniają się do rozwoju krajowego, regionalnego </w:t>
      </w:r>
      <w:r w:rsidRPr="004E3242">
        <w:rPr>
          <w:rFonts w:ascii="Arial" w:eastAsia="Times New Roman" w:hAnsi="Arial"/>
          <w:smallCaps/>
          <w:color w:val="669900"/>
          <w:spacing w:val="10"/>
          <w:sz w:val="24"/>
          <w:szCs w:val="24"/>
          <w:lang w:eastAsia="pl-PL"/>
        </w:rPr>
        <w:br/>
        <w:t>i lokalnego, zmniejszania nierówności w zakresie stanu zdrowia, promowanie włączenia społecznego poprzez lepszy dostęp do usług społecznych, kulturalnych i rekreacyjnych oraz przejścia z usług instytucjonalnych do usług na poziomie społeczności lokalnych</w:t>
      </w:r>
    </w:p>
    <w:p w14:paraId="4ECE3DEC"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Cele szczegółowe</w:t>
      </w:r>
    </w:p>
    <w:p w14:paraId="592A55C8" w14:textId="77777777" w:rsidR="004E3242" w:rsidRPr="004E3242" w:rsidRDefault="004E3242" w:rsidP="004E3242">
      <w:pPr>
        <w:spacing w:after="120" w:line="280" w:lineRule="atLeast"/>
        <w:jc w:val="both"/>
        <w:rPr>
          <w:rFonts w:ascii="Arial" w:hAnsi="Arial" w:cs="Arial"/>
          <w:bCs/>
          <w:iCs/>
          <w:spacing w:val="4"/>
          <w:sz w:val="20"/>
          <w:szCs w:val="20"/>
        </w:rPr>
      </w:pPr>
      <w:r w:rsidRPr="004E3242">
        <w:rPr>
          <w:rFonts w:ascii="Arial" w:hAnsi="Arial" w:cs="Arial"/>
          <w:spacing w:val="4"/>
          <w:sz w:val="20"/>
          <w:szCs w:val="20"/>
        </w:rPr>
        <w:t>Zapewnienie</w:t>
      </w:r>
      <w:r w:rsidRPr="004E3242">
        <w:rPr>
          <w:rFonts w:ascii="Arial" w:hAnsi="Arial" w:cs="Arial"/>
          <w:bCs/>
          <w:iCs/>
          <w:spacing w:val="4"/>
          <w:sz w:val="20"/>
          <w:szCs w:val="20"/>
        </w:rPr>
        <w:t xml:space="preserve"> dostępu ludności do infrastruktury ochrony zdrowia oraz poprawa efektywności systemu opieki zdrowotnej</w:t>
      </w:r>
    </w:p>
    <w:p w14:paraId="4829CBB2" w14:textId="77777777" w:rsidR="004E3242" w:rsidRPr="004E3242" w:rsidRDefault="004E3242" w:rsidP="004E3242">
      <w:pPr>
        <w:spacing w:after="120" w:line="280" w:lineRule="atLeast"/>
        <w:jc w:val="both"/>
        <w:rPr>
          <w:rFonts w:ascii="Arial" w:hAnsi="Arial" w:cs="Arial"/>
          <w:bCs/>
          <w:smallCaps/>
          <w:color w:val="649600"/>
          <w:spacing w:val="4"/>
          <w:sz w:val="20"/>
          <w:szCs w:val="20"/>
        </w:rPr>
      </w:pPr>
      <w:r w:rsidRPr="004E3242">
        <w:rPr>
          <w:rFonts w:ascii="Arial" w:hAnsi="Arial" w:cs="Arial"/>
          <w:bCs/>
          <w:smallCaps/>
          <w:color w:val="649600"/>
          <w:spacing w:val="4"/>
          <w:sz w:val="20"/>
          <w:szCs w:val="20"/>
        </w:rPr>
        <w:t>rezultaty, które państwo członkowskie zamierza osiągnąć przy wsparciu unii</w:t>
      </w:r>
    </w:p>
    <w:p w14:paraId="0678570A" w14:textId="77777777" w:rsidR="004E3242" w:rsidRPr="004E3242" w:rsidRDefault="004E3242" w:rsidP="004E3242">
      <w:pPr>
        <w:spacing w:after="120" w:line="280" w:lineRule="atLeast"/>
        <w:jc w:val="both"/>
        <w:rPr>
          <w:rFonts w:ascii="Arial" w:hAnsi="Arial" w:cs="Arial"/>
          <w:bCs/>
          <w:iCs/>
          <w:spacing w:val="4"/>
          <w:sz w:val="20"/>
          <w:szCs w:val="20"/>
        </w:rPr>
      </w:pPr>
      <w:r w:rsidRPr="004E3242">
        <w:rPr>
          <w:rFonts w:ascii="Arial" w:hAnsi="Arial" w:cs="Arial"/>
          <w:bCs/>
          <w:iCs/>
          <w:spacing w:val="4"/>
          <w:sz w:val="20"/>
          <w:szCs w:val="20"/>
        </w:rPr>
        <w:t xml:space="preserve">Rezultatem interwencji będzie poprawa świadczonych usług medycznych poprzez inwestycje </w:t>
      </w:r>
      <w:r w:rsidRPr="004E3242">
        <w:rPr>
          <w:rFonts w:ascii="Arial" w:hAnsi="Arial" w:cs="Arial"/>
          <w:bCs/>
          <w:iCs/>
          <w:spacing w:val="4"/>
          <w:sz w:val="20"/>
          <w:szCs w:val="20"/>
        </w:rPr>
        <w:br/>
        <w:t>w infrastrukturę podmiotów ochrony zdrowia o charakterze strategicznym w obszarach deficytowych z punktu widzenia potrzeb społeczeństwa i gospodarki oraz uwzględniających istniejące braki w infrastrukturze w wymiarze terytorialnym</w:t>
      </w:r>
    </w:p>
    <w:p w14:paraId="51AFD946"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 rezultatu</w:t>
      </w:r>
    </w:p>
    <w:tbl>
      <w:tblPr>
        <w:tblW w:w="509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40"/>
        <w:gridCol w:w="1408"/>
        <w:gridCol w:w="992"/>
        <w:gridCol w:w="1276"/>
        <w:gridCol w:w="854"/>
        <w:gridCol w:w="850"/>
        <w:gridCol w:w="992"/>
        <w:gridCol w:w="994"/>
        <w:gridCol w:w="1558"/>
      </w:tblGrid>
      <w:tr w:rsidR="004E3242" w:rsidRPr="004E3242" w14:paraId="7A7ED6A3" w14:textId="77777777" w:rsidTr="00AA7998">
        <w:tc>
          <w:tcPr>
            <w:tcW w:w="285" w:type="pct"/>
            <w:shd w:val="clear" w:color="auto" w:fill="99CC00"/>
            <w:vAlign w:val="center"/>
          </w:tcPr>
          <w:p w14:paraId="622F2693"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744" w:type="pct"/>
            <w:shd w:val="clear" w:color="auto" w:fill="99CC00"/>
            <w:vAlign w:val="center"/>
          </w:tcPr>
          <w:p w14:paraId="45E7AE91"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4" w:type="pct"/>
            <w:shd w:val="clear" w:color="auto" w:fill="99CC00"/>
            <w:vAlign w:val="center"/>
          </w:tcPr>
          <w:p w14:paraId="6420D05B"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674" w:type="pct"/>
            <w:shd w:val="clear" w:color="auto" w:fill="99CC00"/>
            <w:vAlign w:val="center"/>
          </w:tcPr>
          <w:p w14:paraId="59E63189"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1" w:type="pct"/>
            <w:shd w:val="clear" w:color="auto" w:fill="99CC00"/>
            <w:vAlign w:val="center"/>
          </w:tcPr>
          <w:p w14:paraId="6F0745FC"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49" w:type="pct"/>
            <w:shd w:val="clear" w:color="auto" w:fill="99CC00"/>
            <w:vAlign w:val="center"/>
          </w:tcPr>
          <w:p w14:paraId="0514BFFF"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24" w:type="pct"/>
            <w:shd w:val="clear" w:color="auto" w:fill="99CC00"/>
            <w:vAlign w:val="center"/>
          </w:tcPr>
          <w:p w14:paraId="08165F66"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25" w:type="pct"/>
            <w:shd w:val="clear" w:color="auto" w:fill="99CC00"/>
            <w:vAlign w:val="center"/>
          </w:tcPr>
          <w:p w14:paraId="5D5683A6"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823" w:type="pct"/>
            <w:shd w:val="clear" w:color="auto" w:fill="99CC00"/>
            <w:vAlign w:val="center"/>
          </w:tcPr>
          <w:p w14:paraId="5B056EF7" w14:textId="77777777" w:rsidR="004E3242" w:rsidRPr="004E3242" w:rsidRDefault="004E3242" w:rsidP="004E324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3242" w:rsidRPr="004E3242" w14:paraId="2D658527" w14:textId="77777777" w:rsidTr="00AA7998">
        <w:tc>
          <w:tcPr>
            <w:tcW w:w="285" w:type="pct"/>
            <w:shd w:val="clear" w:color="auto" w:fill="F2F2F2"/>
            <w:vAlign w:val="center"/>
          </w:tcPr>
          <w:p w14:paraId="6EFD346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1.</w:t>
            </w:r>
          </w:p>
        </w:tc>
        <w:tc>
          <w:tcPr>
            <w:tcW w:w="744" w:type="pct"/>
            <w:shd w:val="clear" w:color="auto" w:fill="F2F2F2"/>
            <w:vAlign w:val="center"/>
          </w:tcPr>
          <w:p w14:paraId="02D06A1A"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z w:val="16"/>
                <w:szCs w:val="16"/>
              </w:rPr>
              <w:t>Średnia liczba osób przypadająca na szpitalny oddział ratunkowy</w:t>
            </w:r>
          </w:p>
        </w:tc>
        <w:tc>
          <w:tcPr>
            <w:tcW w:w="524" w:type="pct"/>
            <w:shd w:val="clear" w:color="auto" w:fill="F2F2F2"/>
            <w:vAlign w:val="center"/>
          </w:tcPr>
          <w:p w14:paraId="108325B7"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tys./szt.</w:t>
            </w:r>
          </w:p>
        </w:tc>
        <w:tc>
          <w:tcPr>
            <w:tcW w:w="674" w:type="pct"/>
            <w:shd w:val="clear" w:color="auto" w:fill="F2F2F2"/>
            <w:vAlign w:val="center"/>
          </w:tcPr>
          <w:p w14:paraId="124A8EC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w:t>
            </w:r>
          </w:p>
          <w:p w14:paraId="5154936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451" w:type="pct"/>
            <w:shd w:val="clear" w:color="auto" w:fill="F2F2F2"/>
            <w:vAlign w:val="center"/>
          </w:tcPr>
          <w:p w14:paraId="34A8B7B5"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177,4</w:t>
            </w:r>
          </w:p>
        </w:tc>
        <w:tc>
          <w:tcPr>
            <w:tcW w:w="449" w:type="pct"/>
            <w:shd w:val="clear" w:color="auto" w:fill="F2F2F2"/>
            <w:vAlign w:val="center"/>
          </w:tcPr>
          <w:p w14:paraId="479C5EF0"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2013</w:t>
            </w:r>
          </w:p>
        </w:tc>
        <w:tc>
          <w:tcPr>
            <w:tcW w:w="524" w:type="pct"/>
            <w:shd w:val="clear" w:color="auto" w:fill="F2F2F2"/>
            <w:vAlign w:val="center"/>
          </w:tcPr>
          <w:p w14:paraId="54F30244"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152</w:t>
            </w:r>
          </w:p>
        </w:tc>
        <w:tc>
          <w:tcPr>
            <w:tcW w:w="525" w:type="pct"/>
            <w:shd w:val="clear" w:color="auto" w:fill="F2F2F2"/>
            <w:vAlign w:val="center"/>
          </w:tcPr>
          <w:p w14:paraId="09AAC5D2"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MZ na podstawie danych własnych i GUS</w:t>
            </w:r>
          </w:p>
        </w:tc>
        <w:tc>
          <w:tcPr>
            <w:tcW w:w="823" w:type="pct"/>
            <w:shd w:val="clear" w:color="auto" w:fill="F2F2F2"/>
            <w:vAlign w:val="center"/>
          </w:tcPr>
          <w:p w14:paraId="7773B7F7" w14:textId="77777777" w:rsidR="004E3242" w:rsidRPr="004E3242" w:rsidRDefault="004E3242" w:rsidP="004E3242">
            <w:pPr>
              <w:spacing w:before="20" w:after="20" w:line="240" w:lineRule="auto"/>
              <w:ind w:right="-184"/>
              <w:jc w:val="center"/>
              <w:rPr>
                <w:rFonts w:ascii="Arial" w:hAnsi="Arial" w:cs="Arial"/>
                <w:spacing w:val="4"/>
                <w:sz w:val="16"/>
                <w:szCs w:val="16"/>
              </w:rPr>
            </w:pPr>
            <w:r w:rsidRPr="004E3242">
              <w:rPr>
                <w:rFonts w:ascii="Arial" w:hAnsi="Arial" w:cs="Arial"/>
                <w:spacing w:val="4"/>
                <w:sz w:val="16"/>
                <w:szCs w:val="16"/>
              </w:rPr>
              <w:t>Rocznie</w:t>
            </w:r>
          </w:p>
        </w:tc>
      </w:tr>
      <w:tr w:rsidR="004E3242" w:rsidRPr="004E3242" w14:paraId="6A373758" w14:textId="77777777" w:rsidTr="00AA7998">
        <w:tc>
          <w:tcPr>
            <w:tcW w:w="285" w:type="pct"/>
            <w:shd w:val="clear" w:color="auto" w:fill="F2F2F2"/>
            <w:vAlign w:val="center"/>
          </w:tcPr>
          <w:p w14:paraId="2AB1FDE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w:t>
            </w:r>
          </w:p>
        </w:tc>
        <w:tc>
          <w:tcPr>
            <w:tcW w:w="744" w:type="pct"/>
            <w:shd w:val="clear" w:color="auto" w:fill="F2F2F2"/>
            <w:vAlign w:val="center"/>
          </w:tcPr>
          <w:p w14:paraId="0966BE32" w14:textId="77777777" w:rsidR="004E3242" w:rsidRPr="004E3242" w:rsidRDefault="004E3242" w:rsidP="004E3242">
            <w:pPr>
              <w:spacing w:before="20" w:after="20" w:line="240" w:lineRule="auto"/>
              <w:jc w:val="both"/>
              <w:rPr>
                <w:rFonts w:ascii="Arial" w:hAnsi="Arial" w:cs="Arial"/>
                <w:spacing w:val="4"/>
                <w:sz w:val="16"/>
                <w:szCs w:val="16"/>
              </w:rPr>
            </w:pPr>
            <w:r w:rsidRPr="004E3242">
              <w:rPr>
                <w:rFonts w:ascii="Arial" w:hAnsi="Arial" w:cs="Arial"/>
                <w:sz w:val="16"/>
                <w:szCs w:val="16"/>
              </w:rPr>
              <w:t>Średni czas pobytu pacjenta na łóżkach leczniczych w Polsce</w:t>
            </w:r>
          </w:p>
        </w:tc>
        <w:tc>
          <w:tcPr>
            <w:tcW w:w="524" w:type="pct"/>
            <w:shd w:val="clear" w:color="auto" w:fill="F2F2F2"/>
            <w:vAlign w:val="center"/>
          </w:tcPr>
          <w:p w14:paraId="459B42E1"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dni</w:t>
            </w:r>
          </w:p>
        </w:tc>
        <w:tc>
          <w:tcPr>
            <w:tcW w:w="674" w:type="pct"/>
            <w:shd w:val="clear" w:color="auto" w:fill="F2F2F2"/>
            <w:vAlign w:val="center"/>
          </w:tcPr>
          <w:p w14:paraId="70618CD9"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słabiej/lepiej rozwinięte</w:t>
            </w:r>
          </w:p>
        </w:tc>
        <w:tc>
          <w:tcPr>
            <w:tcW w:w="451" w:type="pct"/>
            <w:shd w:val="clear" w:color="auto" w:fill="F2F2F2"/>
            <w:vAlign w:val="center"/>
          </w:tcPr>
          <w:p w14:paraId="69655C3D"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6,8</w:t>
            </w:r>
          </w:p>
        </w:tc>
        <w:tc>
          <w:tcPr>
            <w:tcW w:w="449" w:type="pct"/>
            <w:shd w:val="clear" w:color="auto" w:fill="F2F2F2"/>
            <w:vAlign w:val="center"/>
          </w:tcPr>
          <w:p w14:paraId="7090704A"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2012</w:t>
            </w:r>
          </w:p>
        </w:tc>
        <w:tc>
          <w:tcPr>
            <w:tcW w:w="524" w:type="pct"/>
            <w:shd w:val="clear" w:color="auto" w:fill="F2F2F2"/>
            <w:vAlign w:val="center"/>
          </w:tcPr>
          <w:p w14:paraId="7030C8CE"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6,3</w:t>
            </w:r>
          </w:p>
        </w:tc>
        <w:tc>
          <w:tcPr>
            <w:tcW w:w="525" w:type="pct"/>
            <w:shd w:val="clear" w:color="auto" w:fill="F2F2F2"/>
            <w:vAlign w:val="center"/>
          </w:tcPr>
          <w:p w14:paraId="1A9485D8" w14:textId="77777777" w:rsidR="004E3242" w:rsidRPr="004E3242" w:rsidRDefault="004E3242" w:rsidP="004E3242">
            <w:pPr>
              <w:spacing w:before="20" w:after="20" w:line="240" w:lineRule="auto"/>
              <w:jc w:val="center"/>
              <w:rPr>
                <w:rFonts w:ascii="Arial" w:hAnsi="Arial" w:cs="Arial"/>
                <w:spacing w:val="4"/>
                <w:sz w:val="16"/>
                <w:szCs w:val="16"/>
              </w:rPr>
            </w:pPr>
            <w:r w:rsidRPr="004E3242">
              <w:rPr>
                <w:rFonts w:ascii="Arial" w:hAnsi="Arial" w:cs="Arial"/>
                <w:sz w:val="16"/>
                <w:szCs w:val="16"/>
              </w:rPr>
              <w:t>OECD</w:t>
            </w:r>
          </w:p>
        </w:tc>
        <w:tc>
          <w:tcPr>
            <w:tcW w:w="823" w:type="pct"/>
            <w:shd w:val="clear" w:color="auto" w:fill="F2F2F2"/>
            <w:vAlign w:val="center"/>
          </w:tcPr>
          <w:p w14:paraId="4EDF5E73" w14:textId="77777777" w:rsidR="004E3242" w:rsidRPr="004E3242" w:rsidRDefault="004E3242" w:rsidP="004E3242">
            <w:pPr>
              <w:spacing w:before="20" w:after="20" w:line="240" w:lineRule="auto"/>
              <w:ind w:right="-4"/>
              <w:jc w:val="center"/>
              <w:rPr>
                <w:rFonts w:ascii="Arial" w:hAnsi="Arial" w:cs="Arial"/>
                <w:spacing w:val="4"/>
                <w:sz w:val="16"/>
                <w:szCs w:val="16"/>
              </w:rPr>
            </w:pPr>
            <w:r w:rsidRPr="004E3242">
              <w:rPr>
                <w:rFonts w:ascii="Arial" w:hAnsi="Arial" w:cs="Arial"/>
                <w:spacing w:val="4"/>
                <w:sz w:val="16"/>
                <w:szCs w:val="16"/>
              </w:rPr>
              <w:t>dwukrotnie w okresie wdrażania oraz po zakończeniu wdrażania</w:t>
            </w:r>
          </w:p>
        </w:tc>
      </w:tr>
    </w:tbl>
    <w:p w14:paraId="63531571" w14:textId="77777777" w:rsidR="004E3242" w:rsidRPr="004E3242" w:rsidRDefault="004E3242" w:rsidP="004E3242">
      <w:pPr>
        <w:spacing w:after="120" w:line="280" w:lineRule="atLeast"/>
        <w:jc w:val="both"/>
        <w:rPr>
          <w:rFonts w:ascii="Arial" w:hAnsi="Arial" w:cs="Arial"/>
          <w:spacing w:val="4"/>
          <w:sz w:val="20"/>
          <w:szCs w:val="20"/>
        </w:rPr>
      </w:pPr>
    </w:p>
    <w:p w14:paraId="056A6E2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interwencji</w:t>
      </w:r>
    </w:p>
    <w:p w14:paraId="5F10FA20" w14:textId="77777777" w:rsidR="004E3242" w:rsidRPr="004E3242" w:rsidRDefault="004E3242" w:rsidP="004E3242">
      <w:pPr>
        <w:spacing w:before="120" w:after="120"/>
        <w:jc w:val="both"/>
        <w:rPr>
          <w:rFonts w:ascii="Arial" w:hAnsi="Arial" w:cs="Arial"/>
          <w:bCs/>
          <w:sz w:val="20"/>
          <w:szCs w:val="20"/>
        </w:rPr>
      </w:pPr>
      <w:r w:rsidRPr="004E3242">
        <w:rPr>
          <w:rFonts w:ascii="Arial" w:hAnsi="Arial" w:cs="Arial"/>
          <w:spacing w:val="4"/>
          <w:sz w:val="20"/>
          <w:szCs w:val="20"/>
        </w:rPr>
        <w:t xml:space="preserve">W ramach osi priorytetowej utworzone zostaną dodatkowe jednostki systemu państwowego ratownictwa medycznego, adekwatnie do zidentyfikowanych potrzeb, m.in. na postawie danych </w:t>
      </w:r>
      <w:r w:rsidRPr="004E3242">
        <w:rPr>
          <w:rFonts w:ascii="Arial" w:hAnsi="Arial" w:cs="Arial"/>
          <w:spacing w:val="4"/>
          <w:sz w:val="20"/>
          <w:szCs w:val="20"/>
        </w:rPr>
        <w:lastRenderedPageBreak/>
        <w:t xml:space="preserve">demograficznych, tak aby zapewnić równy dostęp mieszkańców Polski oraz przebywających na jej terenie obcokrajowców do świadczeń ratownictwa medycznego. Wsparte zostaną także istniejące jednostki systemu (Szpitalne Oddziały Ratunkowe - SOR) i jednostki współpracujące z systemem (centra urazowe - CU) oraz jednostki organizacyjne szpitali wyspecjalizowane w zakresie udzielania świadczeń zdrowotnych niezbędnych dla ratownictwa medycznego, w celu poprawy jakości i dostępności do udzielanych świadczeń zdrowotnych oraz efektywności systemu ratownictwa medycznego. </w:t>
      </w:r>
      <w:r w:rsidRPr="004E3242">
        <w:rPr>
          <w:rFonts w:ascii="Arial" w:hAnsi="Arial" w:cs="Arial"/>
          <w:sz w:val="20"/>
          <w:szCs w:val="20"/>
        </w:rPr>
        <w:t xml:space="preserve">Dofinansowana zostanie infrastruktura transportu medycznego, włącznie </w:t>
      </w:r>
      <w:r w:rsidRPr="004E3242">
        <w:rPr>
          <w:rFonts w:ascii="Arial" w:hAnsi="Arial" w:cs="Arial"/>
          <w:sz w:val="20"/>
          <w:szCs w:val="20"/>
        </w:rPr>
        <w:br/>
        <w:t xml:space="preserve">z całym niezbędnym, pomocniczym wyposażeniem i urządzeniami, konieczna dla zapewnienia usług ratownictwa medycznego przez 24 godziny na dobę/7 dni w tygodniu. </w:t>
      </w:r>
      <w:r w:rsidRPr="004E3242">
        <w:rPr>
          <w:rFonts w:ascii="Arial" w:hAnsi="Arial" w:cs="Arial"/>
          <w:spacing w:val="4"/>
          <w:sz w:val="20"/>
          <w:szCs w:val="20"/>
        </w:rPr>
        <w:t xml:space="preserve">Ponadto, utworzone zostaną dodatkowe centra urazowe, co pozwoli na zwiększenie skuteczności udzielania świadczeń ratowniczych w przedziale do jednej godziny od chwili wystąpienia obrażeń mnogich </w:t>
      </w:r>
      <w:r w:rsidRPr="004E3242">
        <w:rPr>
          <w:rFonts w:ascii="Arial" w:hAnsi="Arial" w:cs="Arial"/>
          <w:spacing w:val="4"/>
          <w:sz w:val="20"/>
          <w:szCs w:val="20"/>
        </w:rPr>
        <w:br/>
        <w:t xml:space="preserve">u poszkodowanych. </w:t>
      </w:r>
    </w:p>
    <w:p w14:paraId="295898A9" w14:textId="77777777" w:rsidR="00A73777" w:rsidRPr="00A73777" w:rsidRDefault="00A73777" w:rsidP="00A73777">
      <w:pPr>
        <w:spacing w:before="120" w:after="120"/>
        <w:jc w:val="both"/>
        <w:rPr>
          <w:rFonts w:cs="Calibri"/>
        </w:rPr>
      </w:pPr>
      <w:r>
        <w:rPr>
          <w:rFonts w:ascii="Arial" w:hAnsi="Arial" w:cs="Arial"/>
          <w:spacing w:val="4"/>
          <w:sz w:val="20"/>
          <w:szCs w:val="20"/>
        </w:rPr>
        <w:t xml:space="preserve">Dodatkowo, </w:t>
      </w:r>
      <w:bookmarkStart w:id="430" w:name="_Hlk35414837"/>
      <w:r>
        <w:rPr>
          <w:rFonts w:ascii="Arial" w:hAnsi="Arial" w:cs="Arial"/>
          <w:spacing w:val="4"/>
          <w:sz w:val="20"/>
          <w:szCs w:val="20"/>
        </w:rPr>
        <w:t>w związku z realizacją działań związanych z</w:t>
      </w:r>
      <w:r w:rsidRPr="00C40ABA">
        <w:rPr>
          <w:rFonts w:ascii="Arial" w:hAnsi="Arial" w:cs="Arial"/>
          <w:spacing w:val="4"/>
          <w:sz w:val="20"/>
          <w:szCs w:val="20"/>
        </w:rPr>
        <w:t xml:space="preserve"> zapobieganiem, przeciwdziałaniem </w:t>
      </w:r>
      <w:r>
        <w:rPr>
          <w:rFonts w:ascii="Arial" w:hAnsi="Arial" w:cs="Arial"/>
          <w:spacing w:val="4"/>
          <w:sz w:val="20"/>
          <w:szCs w:val="20"/>
        </w:rPr>
        <w:br/>
      </w:r>
      <w:r w:rsidRPr="00C40ABA">
        <w:rPr>
          <w:rFonts w:ascii="Arial" w:hAnsi="Arial" w:cs="Arial"/>
          <w:spacing w:val="4"/>
          <w:sz w:val="20"/>
          <w:szCs w:val="20"/>
        </w:rPr>
        <w:t xml:space="preserve">i zwalczaniem </w:t>
      </w:r>
      <w:bookmarkStart w:id="431" w:name="_Hlk35420023"/>
      <w:r>
        <w:rPr>
          <w:rFonts w:ascii="Arial" w:hAnsi="Arial" w:cs="Arial"/>
          <w:sz w:val="20"/>
          <w:szCs w:val="20"/>
        </w:rPr>
        <w:t xml:space="preserve"> „COVID-19”</w:t>
      </w:r>
      <w:bookmarkStart w:id="432" w:name="_Hlk35425532"/>
      <w:r w:rsidRPr="003F0FB5">
        <w:rPr>
          <w:rFonts w:cs="Calibri"/>
          <w:vertAlign w:val="superscript"/>
        </w:rPr>
        <w:t xml:space="preserve"> </w:t>
      </w:r>
      <w:bookmarkEnd w:id="431"/>
      <w:bookmarkEnd w:id="432"/>
      <w:r w:rsidRPr="00C40ABA">
        <w:rPr>
          <w:rFonts w:ascii="Arial" w:hAnsi="Arial" w:cs="Arial"/>
          <w:spacing w:val="4"/>
          <w:sz w:val="20"/>
          <w:szCs w:val="20"/>
        </w:rPr>
        <w:t xml:space="preserve">oraz innych chorób zakaźnych </w:t>
      </w:r>
      <w:bookmarkEnd w:id="430"/>
      <w:r>
        <w:rPr>
          <w:rFonts w:ascii="Arial" w:hAnsi="Arial" w:cs="Arial"/>
          <w:spacing w:val="4"/>
          <w:sz w:val="20"/>
          <w:szCs w:val="20"/>
        </w:rPr>
        <w:t>będzie możliwość zakupu ambulansów wraz z wyposażeniem.</w:t>
      </w:r>
      <w:r w:rsidRPr="00A73777">
        <w:rPr>
          <w:rFonts w:cs="Calibri"/>
        </w:rPr>
        <w:t xml:space="preserve"> </w:t>
      </w:r>
    </w:p>
    <w:p w14:paraId="46E5489C" w14:textId="77777777" w:rsidR="00A73777" w:rsidRPr="00B871F0" w:rsidRDefault="00A73777" w:rsidP="00A73777">
      <w:pPr>
        <w:spacing w:before="120" w:after="120"/>
        <w:jc w:val="both"/>
        <w:rPr>
          <w:rFonts w:ascii="Arial" w:hAnsi="Arial" w:cs="Arial"/>
          <w:spacing w:val="4"/>
          <w:sz w:val="20"/>
          <w:szCs w:val="20"/>
        </w:rPr>
      </w:pPr>
      <w:r w:rsidRPr="00B871F0">
        <w:rPr>
          <w:rFonts w:ascii="Arial" w:hAnsi="Arial" w:cs="Arial"/>
          <w:spacing w:val="4"/>
          <w:sz w:val="20"/>
          <w:szCs w:val="20"/>
        </w:rPr>
        <w:t>Zakup ambulansów przez podmioty lecznic</w:t>
      </w:r>
      <w:r>
        <w:rPr>
          <w:rFonts w:ascii="Arial" w:hAnsi="Arial" w:cs="Arial"/>
          <w:spacing w:val="4"/>
          <w:sz w:val="20"/>
          <w:szCs w:val="20"/>
        </w:rPr>
        <w:t>z</w:t>
      </w:r>
      <w:r w:rsidRPr="00B871F0">
        <w:rPr>
          <w:rFonts w:ascii="Arial" w:hAnsi="Arial" w:cs="Arial"/>
          <w:spacing w:val="4"/>
          <w:sz w:val="20"/>
          <w:szCs w:val="20"/>
        </w:rPr>
        <w:t>e świadczące usługi w zakresie ratownictwa medycznego</w:t>
      </w:r>
      <w:r>
        <w:rPr>
          <w:rFonts w:ascii="Arial" w:hAnsi="Arial" w:cs="Arial"/>
          <w:spacing w:val="4"/>
          <w:sz w:val="20"/>
          <w:szCs w:val="20"/>
        </w:rPr>
        <w:t xml:space="preserve"> oraz</w:t>
      </w:r>
      <w:r w:rsidRPr="00B871F0">
        <w:rPr>
          <w:rFonts w:ascii="Arial" w:hAnsi="Arial" w:cs="Arial"/>
          <w:spacing w:val="4"/>
          <w:sz w:val="20"/>
          <w:szCs w:val="20"/>
        </w:rPr>
        <w:t xml:space="preserve"> transport</w:t>
      </w:r>
      <w:r>
        <w:rPr>
          <w:rFonts w:ascii="Arial" w:hAnsi="Arial" w:cs="Arial"/>
          <w:spacing w:val="4"/>
          <w:sz w:val="20"/>
          <w:szCs w:val="20"/>
        </w:rPr>
        <w:t>u</w:t>
      </w:r>
      <w:r w:rsidRPr="00B871F0">
        <w:rPr>
          <w:rFonts w:ascii="Arial" w:hAnsi="Arial" w:cs="Arial"/>
          <w:spacing w:val="4"/>
          <w:sz w:val="20"/>
          <w:szCs w:val="20"/>
        </w:rPr>
        <w:t xml:space="preserve"> sanitarn</w:t>
      </w:r>
      <w:r>
        <w:rPr>
          <w:rFonts w:ascii="Arial" w:hAnsi="Arial" w:cs="Arial"/>
          <w:spacing w:val="4"/>
          <w:sz w:val="20"/>
          <w:szCs w:val="20"/>
        </w:rPr>
        <w:t>ego</w:t>
      </w:r>
      <w:r w:rsidRPr="00B871F0">
        <w:rPr>
          <w:rFonts w:ascii="Arial" w:hAnsi="Arial" w:cs="Arial"/>
          <w:spacing w:val="4"/>
          <w:sz w:val="20"/>
          <w:szCs w:val="20"/>
        </w:rPr>
        <w:t xml:space="preserve"> jest niezbędny do udzielani</w:t>
      </w:r>
      <w:r>
        <w:rPr>
          <w:rFonts w:ascii="Arial" w:hAnsi="Arial" w:cs="Arial"/>
          <w:spacing w:val="4"/>
          <w:sz w:val="20"/>
          <w:szCs w:val="20"/>
        </w:rPr>
        <w:t>a</w:t>
      </w:r>
      <w:r w:rsidRPr="00B871F0">
        <w:rPr>
          <w:rFonts w:ascii="Arial" w:hAnsi="Arial" w:cs="Arial"/>
          <w:spacing w:val="4"/>
          <w:sz w:val="20"/>
          <w:szCs w:val="20"/>
        </w:rPr>
        <w:t xml:space="preserve"> świadczeń opieki zdrowotnej pacjentom będącym w stanie nagłego zagrożenia zdrowotnego spowodowanego m.in. zakażeniem koronawirusem SARS-CoV-2 oraz dla personelu medycznego</w:t>
      </w:r>
      <w:r w:rsidR="003F78CF">
        <w:rPr>
          <w:rFonts w:ascii="Arial" w:hAnsi="Arial" w:cs="Arial"/>
          <w:spacing w:val="4"/>
          <w:sz w:val="20"/>
          <w:szCs w:val="20"/>
        </w:rPr>
        <w:t>,</w:t>
      </w:r>
      <w:r w:rsidRPr="00B871F0">
        <w:rPr>
          <w:rFonts w:ascii="Arial" w:hAnsi="Arial" w:cs="Arial"/>
          <w:spacing w:val="4"/>
          <w:sz w:val="20"/>
          <w:szCs w:val="20"/>
        </w:rPr>
        <w:t xml:space="preserve"> do którego należy pobieranie wymazów z gardła w warunkach domowych od osób podejrzanych o zakażenie oraz przewożenie ich do laboratoriów lub przewożenie do właściwych szpitali pacjentów podejrzanych o zakażenie koronawirusem SARS-CoV-2.</w:t>
      </w:r>
    </w:p>
    <w:p w14:paraId="651F71DF" w14:textId="77777777" w:rsidR="00A73777" w:rsidRPr="00A73777" w:rsidRDefault="00A73777" w:rsidP="004E3242">
      <w:pPr>
        <w:spacing w:before="120" w:after="120"/>
        <w:jc w:val="both"/>
        <w:rPr>
          <w:rFonts w:ascii="Arial" w:hAnsi="Arial" w:cs="Arial"/>
          <w:spacing w:val="4"/>
          <w:sz w:val="20"/>
          <w:szCs w:val="20"/>
        </w:rPr>
      </w:pPr>
      <w:r w:rsidRPr="00681DC2">
        <w:rPr>
          <w:rFonts w:ascii="Arial" w:hAnsi="Arial" w:cs="Arial"/>
          <w:spacing w:val="4"/>
          <w:sz w:val="20"/>
          <w:szCs w:val="20"/>
        </w:rPr>
        <w:t>Do wsparcia ze środków PO IŚ 2014-2020 nie kwalifikuje się zakup helikopterów.</w:t>
      </w:r>
    </w:p>
    <w:p w14:paraId="026052C1" w14:textId="77777777" w:rsidR="004E3242" w:rsidRPr="004E3242" w:rsidRDefault="00B9549D" w:rsidP="004E3242">
      <w:pPr>
        <w:spacing w:before="120" w:after="120"/>
        <w:jc w:val="both"/>
        <w:rPr>
          <w:rFonts w:ascii="Arial" w:hAnsi="Arial" w:cs="Arial"/>
          <w:bCs/>
          <w:sz w:val="20"/>
          <w:szCs w:val="20"/>
        </w:rPr>
      </w:pPr>
      <w:r>
        <w:rPr>
          <w:rFonts w:ascii="Arial" w:hAnsi="Arial" w:cs="Arial"/>
          <w:bCs/>
          <w:sz w:val="20"/>
          <w:szCs w:val="20"/>
        </w:rPr>
        <w:t>W</w:t>
      </w:r>
      <w:r w:rsidR="004E3242" w:rsidRPr="004E3242">
        <w:rPr>
          <w:rFonts w:ascii="Arial" w:hAnsi="Arial" w:cs="Arial"/>
          <w:bCs/>
          <w:sz w:val="20"/>
          <w:szCs w:val="20"/>
        </w:rPr>
        <w:t xml:space="preserve"> ramach osi priorytetowej wsparte zostaną </w:t>
      </w:r>
      <w:r>
        <w:rPr>
          <w:rFonts w:ascii="Arial" w:hAnsi="Arial" w:cs="Arial"/>
          <w:bCs/>
          <w:sz w:val="20"/>
          <w:szCs w:val="20"/>
        </w:rPr>
        <w:t xml:space="preserve">również </w:t>
      </w:r>
      <w:r w:rsidR="004E3242" w:rsidRPr="004E3242">
        <w:rPr>
          <w:rFonts w:ascii="Arial" w:hAnsi="Arial" w:cs="Arial"/>
          <w:bCs/>
          <w:sz w:val="20"/>
          <w:szCs w:val="20"/>
        </w:rPr>
        <w:t xml:space="preserve">oddziały szpitalne w podmiotach leczniczych o znaczeniu ponadregionalnym, dedykowane chorobom, które stanowią najistotniejsze problemy zdrowotne osób dorosłych – wzmożona zachorowalność i umieralność z powodu: chorób układu krążenia, nowotworowych, układu kostno-stawowo-mięśniowego, układu oddechowego, psychicznych. Ponadto, przewiduje się działania ukierunkowane na utrzymanie dobrego stanu zdrowia przyszłych zasobów pracy, tj. wsparcie oddziałów w szpitalach ponadregionalnych dedykowanych dzieciom, a także oddziałów ginekologicznych i położniczych. Przedmiotowe działania, mają kluczowe znaczenie dla zapewnienia odpowiedniej liczby osób aktywnych zawodowo, w związku z dynamicznie narastającym zjawiskiem starzenia się społeczeństwa i zmniejszaniem się odsetka osób w wieku produkcyjnym (zarówno w kontekście czynników produkcji, jak i m.in. obciążeń dla systemu zabezpieczeń społecznych). Koncentracji tematycznej projektów towarzyszyć będą także inne zasady, szczegółowo zdefiniowane, m.in. na poziomie kryteriów wyboru projektów, które zapewnią wybór interwencji ukierunkowanych na poprawę efektywności, w tym kosztowej, beneficjentów (podmiotów leczniczych) oraz całego systemu ochrony zdrowia, zgodnie z CSR dla Polski oraz kierunkiem wprowadzonych i planowanych do wprowadzenia reform systemu opieki zdrowotnej. </w:t>
      </w:r>
    </w:p>
    <w:p w14:paraId="44536851" w14:textId="77777777" w:rsidR="00281947" w:rsidRPr="00281947" w:rsidRDefault="00281947" w:rsidP="004E3242">
      <w:pPr>
        <w:spacing w:before="120" w:after="120"/>
        <w:jc w:val="both"/>
        <w:rPr>
          <w:rFonts w:ascii="Arial" w:hAnsi="Arial" w:cs="Arial"/>
          <w:bCs/>
          <w:sz w:val="20"/>
          <w:szCs w:val="20"/>
        </w:rPr>
      </w:pPr>
      <w:bookmarkStart w:id="433" w:name="_Hlk35415375"/>
      <w:r>
        <w:rPr>
          <w:rFonts w:ascii="Arial" w:hAnsi="Arial" w:cs="Arial"/>
          <w:bCs/>
          <w:sz w:val="20"/>
          <w:szCs w:val="20"/>
        </w:rPr>
        <w:t xml:space="preserve">Dodatkowo, </w:t>
      </w:r>
      <w:r w:rsidRPr="00C40ABA">
        <w:rPr>
          <w:rFonts w:ascii="Arial" w:hAnsi="Arial" w:cs="Arial"/>
          <w:bCs/>
          <w:sz w:val="20"/>
          <w:szCs w:val="20"/>
        </w:rPr>
        <w:t xml:space="preserve">w związku z realizacją działań związanych z zapobieganiem, przeciwdziałaniem </w:t>
      </w:r>
      <w:r>
        <w:rPr>
          <w:rFonts w:ascii="Arial" w:hAnsi="Arial" w:cs="Arial"/>
          <w:bCs/>
          <w:sz w:val="20"/>
          <w:szCs w:val="20"/>
        </w:rPr>
        <w:br/>
      </w:r>
      <w:r w:rsidRPr="00C40ABA">
        <w:rPr>
          <w:rFonts w:ascii="Arial" w:hAnsi="Arial" w:cs="Arial"/>
          <w:bCs/>
          <w:sz w:val="20"/>
          <w:szCs w:val="20"/>
        </w:rPr>
        <w:t xml:space="preserve">i zwalczaniem </w:t>
      </w:r>
      <w:r>
        <w:rPr>
          <w:rFonts w:ascii="Arial" w:hAnsi="Arial" w:cs="Arial"/>
          <w:bCs/>
          <w:sz w:val="20"/>
          <w:szCs w:val="20"/>
        </w:rPr>
        <w:t>„COVID-19”</w:t>
      </w:r>
      <w:r w:rsidRPr="00683E0B">
        <w:rPr>
          <w:rFonts w:ascii="Arial" w:hAnsi="Arial" w:cs="Arial"/>
          <w:bCs/>
          <w:sz w:val="20"/>
          <w:szCs w:val="20"/>
        </w:rPr>
        <w:t xml:space="preserve"> </w:t>
      </w:r>
      <w:r w:rsidRPr="00C40ABA">
        <w:rPr>
          <w:rFonts w:ascii="Arial" w:hAnsi="Arial" w:cs="Arial"/>
          <w:bCs/>
          <w:sz w:val="20"/>
          <w:szCs w:val="20"/>
        </w:rPr>
        <w:t xml:space="preserve">oraz innych chorób zakaźnych </w:t>
      </w:r>
      <w:r>
        <w:rPr>
          <w:rFonts w:ascii="Arial" w:hAnsi="Arial" w:cs="Arial"/>
          <w:bCs/>
          <w:sz w:val="20"/>
          <w:szCs w:val="20"/>
        </w:rPr>
        <w:t xml:space="preserve">wsparte zostaną </w:t>
      </w:r>
      <w:r w:rsidRPr="00C40ABA">
        <w:rPr>
          <w:rFonts w:ascii="Arial" w:hAnsi="Arial" w:cs="Arial"/>
          <w:bCs/>
          <w:sz w:val="20"/>
          <w:szCs w:val="20"/>
        </w:rPr>
        <w:t>podmiot</w:t>
      </w:r>
      <w:r>
        <w:rPr>
          <w:rFonts w:ascii="Arial" w:hAnsi="Arial" w:cs="Arial"/>
          <w:bCs/>
          <w:sz w:val="20"/>
          <w:szCs w:val="20"/>
        </w:rPr>
        <w:t>y</w:t>
      </w:r>
      <w:r w:rsidRPr="00C40ABA">
        <w:rPr>
          <w:rFonts w:ascii="Arial" w:hAnsi="Arial" w:cs="Arial"/>
          <w:bCs/>
          <w:sz w:val="20"/>
          <w:szCs w:val="20"/>
        </w:rPr>
        <w:t xml:space="preserve"> lecznicz</w:t>
      </w:r>
      <w:r>
        <w:rPr>
          <w:rFonts w:ascii="Arial" w:hAnsi="Arial" w:cs="Arial"/>
          <w:bCs/>
          <w:sz w:val="20"/>
          <w:szCs w:val="20"/>
        </w:rPr>
        <w:t>e</w:t>
      </w:r>
      <w:r w:rsidRPr="00C40ABA">
        <w:rPr>
          <w:rFonts w:ascii="Arial" w:hAnsi="Arial" w:cs="Arial"/>
          <w:bCs/>
          <w:sz w:val="20"/>
          <w:szCs w:val="20"/>
        </w:rPr>
        <w:t xml:space="preserve"> udziela</w:t>
      </w:r>
      <w:r>
        <w:rPr>
          <w:rFonts w:ascii="Arial" w:hAnsi="Arial" w:cs="Arial"/>
          <w:bCs/>
          <w:sz w:val="20"/>
          <w:szCs w:val="20"/>
        </w:rPr>
        <w:t>jące</w:t>
      </w:r>
      <w:r w:rsidRPr="00C40ABA">
        <w:rPr>
          <w:rFonts w:ascii="Arial" w:hAnsi="Arial" w:cs="Arial"/>
          <w:bCs/>
          <w:sz w:val="20"/>
          <w:szCs w:val="20"/>
        </w:rPr>
        <w:t xml:space="preserve"> świadczeń w zakresie chorób zakaźnych</w:t>
      </w:r>
      <w:bookmarkEnd w:id="433"/>
      <w:r w:rsidR="001F7145">
        <w:rPr>
          <w:rFonts w:ascii="Arial" w:hAnsi="Arial" w:cs="Arial"/>
          <w:bCs/>
          <w:sz w:val="20"/>
          <w:szCs w:val="20"/>
        </w:rPr>
        <w:t xml:space="preserve"> </w:t>
      </w:r>
      <w:r w:rsidR="001F7145" w:rsidRPr="001F7145">
        <w:rPr>
          <w:rFonts w:ascii="Arial" w:hAnsi="Arial" w:cs="Arial"/>
          <w:bCs/>
          <w:sz w:val="20"/>
          <w:szCs w:val="20"/>
        </w:rPr>
        <w:t>oraz inne podmioty zaangażowane w realizację działań związanych z zapobieganiem, przeciwdziałaniem i zwalczaniem „COVID-19</w:t>
      </w:r>
      <w:r w:rsidR="001F7145">
        <w:rPr>
          <w:rFonts w:ascii="Arial" w:hAnsi="Arial" w:cs="Arial"/>
          <w:bCs/>
          <w:sz w:val="20"/>
          <w:szCs w:val="20"/>
        </w:rPr>
        <w:t>”</w:t>
      </w:r>
      <w:r w:rsidR="001F7145" w:rsidRPr="001F7145">
        <w:rPr>
          <w:rFonts w:ascii="Arial" w:hAnsi="Arial" w:cs="Arial"/>
          <w:bCs/>
          <w:sz w:val="20"/>
          <w:szCs w:val="20"/>
        </w:rPr>
        <w:t>.</w:t>
      </w:r>
    </w:p>
    <w:p w14:paraId="4ED5B9BA" w14:textId="77777777" w:rsidR="004E3242" w:rsidRPr="004E3242" w:rsidRDefault="004E3242" w:rsidP="004E3242">
      <w:pPr>
        <w:spacing w:before="120" w:after="120"/>
        <w:jc w:val="both"/>
        <w:rPr>
          <w:rFonts w:ascii="Arial" w:hAnsi="Arial" w:cs="Arial"/>
          <w:b/>
          <w:spacing w:val="4"/>
          <w:sz w:val="20"/>
          <w:szCs w:val="20"/>
        </w:rPr>
      </w:pPr>
      <w:r w:rsidRPr="004E3242">
        <w:rPr>
          <w:rFonts w:ascii="Arial" w:hAnsi="Arial" w:cs="Arial"/>
          <w:sz w:val="20"/>
        </w:rPr>
        <w:t xml:space="preserve">Dokumentami stanowiącymi ramy strategiczne dla inwestycji w ramach osi priorytetowej IX są Umowa Partnerstwa oraz </w:t>
      </w:r>
      <w:r w:rsidRPr="004E3242">
        <w:rPr>
          <w:rFonts w:ascii="Arial" w:hAnsi="Arial" w:cs="Arial"/>
          <w:i/>
          <w:sz w:val="20"/>
        </w:rPr>
        <w:t>Policy Paper</w:t>
      </w:r>
      <w:r w:rsidRPr="004E3242">
        <w:rPr>
          <w:rFonts w:ascii="Arial" w:hAnsi="Arial" w:cs="Arial"/>
          <w:sz w:val="20"/>
        </w:rPr>
        <w:t xml:space="preserve"> </w:t>
      </w:r>
      <w:r w:rsidRPr="004E3242">
        <w:rPr>
          <w:rFonts w:ascii="Arial" w:hAnsi="Arial" w:cs="Arial"/>
          <w:i/>
          <w:sz w:val="20"/>
        </w:rPr>
        <w:t>dla ochrony zdrowia</w:t>
      </w:r>
      <w:r w:rsidRPr="004E3242">
        <w:rPr>
          <w:rFonts w:ascii="Arial" w:hAnsi="Arial" w:cs="Arial"/>
          <w:sz w:val="20"/>
        </w:rPr>
        <w:t xml:space="preserve"> (</w:t>
      </w:r>
      <w:r w:rsidRPr="004E3242">
        <w:rPr>
          <w:rFonts w:ascii="Arial" w:hAnsi="Arial" w:cs="Arial"/>
          <w:i/>
          <w:sz w:val="20"/>
        </w:rPr>
        <w:t>Policy Paper</w:t>
      </w:r>
      <w:r w:rsidRPr="004E3242">
        <w:rPr>
          <w:rFonts w:ascii="Arial" w:hAnsi="Arial" w:cs="Arial"/>
          <w:sz w:val="20"/>
        </w:rPr>
        <w:t xml:space="preserve">), przygotowany przez ministra właściwego ds. zdrowia. Projekty muszą wynikać z przyjętych mechanizmów koordynacji wsparcia dla obszaru zdrowia w ramach krajowych (w tym </w:t>
      </w:r>
      <w:r w:rsidRPr="004E3242">
        <w:rPr>
          <w:rFonts w:ascii="Arial" w:hAnsi="Arial" w:cs="Arial"/>
          <w:i/>
          <w:sz w:val="20"/>
        </w:rPr>
        <w:t>PO Polska Cyfrowa</w:t>
      </w:r>
      <w:r w:rsidRPr="004E3242">
        <w:rPr>
          <w:rFonts w:ascii="Arial" w:hAnsi="Arial" w:cs="Arial"/>
          <w:sz w:val="20"/>
        </w:rPr>
        <w:t xml:space="preserve"> oraz </w:t>
      </w:r>
      <w:r w:rsidRPr="004E3242">
        <w:rPr>
          <w:rFonts w:ascii="Arial" w:hAnsi="Arial" w:cs="Arial"/>
          <w:i/>
          <w:sz w:val="20"/>
        </w:rPr>
        <w:t>PO Wiedza Edukacja Rozwój</w:t>
      </w:r>
      <w:r w:rsidRPr="004E3242">
        <w:rPr>
          <w:rFonts w:ascii="Arial" w:hAnsi="Arial" w:cs="Arial"/>
          <w:sz w:val="20"/>
        </w:rPr>
        <w:t xml:space="preserve">) oraz regionalnych programów operacyjnych. Podstawowym narzędziem zapewnienia komplementarności z innymi programami oraz zakładanych efektów synergicznych jest Plan działań, przyjmowany przez Komitet Sterujący ds. koordynacji interwencji EFSI w sektorze zdrowia dla każdego programu operacyjnego. Plan działań zawiera rekomendacje dla Komitetu Monitorującego </w:t>
      </w:r>
      <w:r w:rsidRPr="004E3242">
        <w:rPr>
          <w:rFonts w:ascii="Arial" w:hAnsi="Arial" w:cs="Arial"/>
          <w:sz w:val="20"/>
        </w:rPr>
        <w:lastRenderedPageBreak/>
        <w:t xml:space="preserve">odnośnie procedur oraz kryteriów wyboru projektów. Warunkiem przyznania dofinansowania w ramach osi priorytetowej jest zgodność z ww. Planem działań oraz rekomendacjami Komitetu Sterującego. </w:t>
      </w:r>
    </w:p>
    <w:p w14:paraId="7842FE4B"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bCs/>
          <w:spacing w:val="4"/>
          <w:sz w:val="20"/>
          <w:szCs w:val="20"/>
        </w:rPr>
        <w:t>Przewiduje się w szczególności następujące typy projektów:</w:t>
      </w:r>
    </w:p>
    <w:p w14:paraId="3D226866" w14:textId="77777777" w:rsidR="004E3242" w:rsidRPr="004E3242" w:rsidRDefault="004E3242" w:rsidP="004E3242">
      <w:pPr>
        <w:spacing w:before="120" w:after="120"/>
        <w:jc w:val="both"/>
        <w:rPr>
          <w:rFonts w:ascii="Arial" w:hAnsi="Arial" w:cs="Arial"/>
          <w:b/>
          <w:spacing w:val="4"/>
          <w:sz w:val="20"/>
          <w:szCs w:val="20"/>
        </w:rPr>
      </w:pPr>
      <w:r w:rsidRPr="004E3242">
        <w:rPr>
          <w:rFonts w:ascii="Arial" w:hAnsi="Arial" w:cs="Arial"/>
          <w:b/>
          <w:spacing w:val="4"/>
          <w:sz w:val="20"/>
          <w:szCs w:val="20"/>
        </w:rPr>
        <w:t>infrastruktura ratownictwa medycznego:</w:t>
      </w:r>
    </w:p>
    <w:p w14:paraId="6C0BF349" w14:textId="77777777" w:rsidR="004E3242" w:rsidRPr="004E3242" w:rsidRDefault="004E3242" w:rsidP="00B345B6">
      <w:pPr>
        <w:numPr>
          <w:ilvl w:val="0"/>
          <w:numId w:val="16"/>
        </w:numPr>
        <w:spacing w:before="120" w:after="120"/>
        <w:jc w:val="both"/>
        <w:rPr>
          <w:rFonts w:ascii="Arial" w:hAnsi="Arial" w:cs="Arial"/>
          <w:spacing w:val="4"/>
          <w:sz w:val="20"/>
          <w:szCs w:val="20"/>
        </w:rPr>
      </w:pPr>
      <w:r w:rsidRPr="004E3242">
        <w:rPr>
          <w:rFonts w:ascii="Arial" w:hAnsi="Arial" w:cs="Arial"/>
          <w:sz w:val="20"/>
          <w:szCs w:val="20"/>
        </w:rPr>
        <w:t xml:space="preserve">wsparcie istniejących oraz </w:t>
      </w:r>
      <w:r w:rsidRPr="004E3242">
        <w:rPr>
          <w:rFonts w:ascii="Arial" w:hAnsi="Arial" w:cs="Arial"/>
          <w:spacing w:val="4"/>
          <w:sz w:val="20"/>
          <w:szCs w:val="20"/>
        </w:rPr>
        <w:t>utworzenie nowych szpitalnych oddziałów ratunkowych,</w:t>
      </w:r>
      <w:r w:rsidRPr="004E3242">
        <w:rPr>
          <w:rFonts w:ascii="Arial" w:hAnsi="Arial" w:cs="Arial"/>
          <w:sz w:val="20"/>
          <w:szCs w:val="20"/>
        </w:rPr>
        <w:t xml:space="preserve"> </w:t>
      </w:r>
      <w:r w:rsidRPr="004E3242">
        <w:rPr>
          <w:rFonts w:ascii="Arial" w:hAnsi="Arial" w:cs="Arial"/>
          <w:sz w:val="20"/>
          <w:szCs w:val="20"/>
        </w:rPr>
        <w:br/>
        <w:t>ze szczególnym uwzględnieniem stanowisk wstępnej intensywnej terapii</w:t>
      </w:r>
      <w:r w:rsidRPr="004E3242">
        <w:rPr>
          <w:rFonts w:ascii="Arial" w:hAnsi="Arial" w:cs="Arial"/>
          <w:spacing w:val="4"/>
          <w:sz w:val="20"/>
          <w:szCs w:val="20"/>
        </w:rPr>
        <w:t xml:space="preserve"> (roboty budowlane, doposażenie);</w:t>
      </w:r>
    </w:p>
    <w:p w14:paraId="21811662" w14:textId="77777777" w:rsidR="004E3242" w:rsidRPr="004E3242" w:rsidRDefault="004E3242" w:rsidP="00B345B6">
      <w:pPr>
        <w:numPr>
          <w:ilvl w:val="0"/>
          <w:numId w:val="16"/>
        </w:numPr>
        <w:spacing w:before="120" w:after="120"/>
        <w:jc w:val="both"/>
        <w:rPr>
          <w:rFonts w:ascii="Arial" w:hAnsi="Arial" w:cs="Arial"/>
          <w:spacing w:val="4"/>
          <w:sz w:val="20"/>
          <w:szCs w:val="20"/>
        </w:rPr>
      </w:pPr>
      <w:r w:rsidRPr="004E3242">
        <w:rPr>
          <w:rFonts w:ascii="Arial" w:hAnsi="Arial" w:cs="Arial"/>
          <w:spacing w:val="4"/>
          <w:sz w:val="20"/>
          <w:szCs w:val="20"/>
        </w:rPr>
        <w:t>modernizacja istniejących oraz utworzenie nowych centrów urazowych (roboty budowlane, doposażenie);</w:t>
      </w:r>
    </w:p>
    <w:p w14:paraId="70445F93" w14:textId="77777777" w:rsidR="004E3242" w:rsidRPr="00281947" w:rsidRDefault="004E3242" w:rsidP="00B345B6">
      <w:pPr>
        <w:numPr>
          <w:ilvl w:val="0"/>
          <w:numId w:val="16"/>
        </w:numPr>
        <w:spacing w:before="120" w:after="120"/>
        <w:jc w:val="both"/>
        <w:rPr>
          <w:rFonts w:ascii="Arial" w:hAnsi="Arial" w:cs="Arial"/>
          <w:spacing w:val="4"/>
          <w:sz w:val="20"/>
          <w:szCs w:val="20"/>
        </w:rPr>
      </w:pPr>
      <w:r w:rsidRPr="004E3242">
        <w:rPr>
          <w:rFonts w:ascii="Arial" w:hAnsi="Arial" w:cs="Arial"/>
          <w:sz w:val="20"/>
          <w:szCs w:val="20"/>
        </w:rPr>
        <w:t xml:space="preserve">infrastruktura transportu medycznego, włącznie z całym niezbędnym, pomocniczym wyposażeniem i urządzeniami, konieczna dla zapewnienia usług ratownictwa medycznego przez 24 godziny na dobę/7 dni w tygodniu – przy SOR, jednostkach organizacyjnych szpitali wyspecjalizowanych w zakresie udzielania świadczeń zdrowotnych niezbędnych dla ratownictwa medycznego (roboty budowlane, doposażenie) oraz innych jednostkach udzielających ratownictwa </w:t>
      </w:r>
      <w:r w:rsidR="00EE2E18" w:rsidRPr="004E3242">
        <w:rPr>
          <w:rFonts w:ascii="Arial" w:hAnsi="Arial" w:cs="Arial"/>
          <w:sz w:val="20"/>
          <w:szCs w:val="20"/>
        </w:rPr>
        <w:t>medycznego.</w:t>
      </w:r>
      <w:r w:rsidR="00F73131">
        <w:rPr>
          <w:rFonts w:ascii="Arial" w:hAnsi="Arial" w:cs="Arial"/>
          <w:sz w:val="20"/>
          <w:szCs w:val="20"/>
        </w:rPr>
        <w:t xml:space="preserve"> </w:t>
      </w:r>
    </w:p>
    <w:p w14:paraId="0A139087" w14:textId="77777777" w:rsidR="00281947" w:rsidRPr="004E3242" w:rsidRDefault="00281947" w:rsidP="00B345B6">
      <w:pPr>
        <w:numPr>
          <w:ilvl w:val="0"/>
          <w:numId w:val="16"/>
        </w:numPr>
        <w:spacing w:before="120" w:after="120"/>
        <w:jc w:val="both"/>
        <w:rPr>
          <w:rFonts w:ascii="Arial" w:hAnsi="Arial" w:cs="Arial"/>
          <w:spacing w:val="4"/>
          <w:sz w:val="20"/>
          <w:szCs w:val="20"/>
        </w:rPr>
      </w:pPr>
      <w:r>
        <w:rPr>
          <w:rFonts w:ascii="Arial" w:hAnsi="Arial" w:cs="Arial"/>
          <w:sz w:val="20"/>
          <w:szCs w:val="20"/>
        </w:rPr>
        <w:t>zakup ambulansów wraz z wyposażeniem.</w:t>
      </w:r>
      <w:r w:rsidRPr="00281947">
        <w:rPr>
          <w:rFonts w:ascii="Arial" w:hAnsi="Arial" w:cs="Arial"/>
          <w:sz w:val="20"/>
          <w:szCs w:val="20"/>
        </w:rPr>
        <w:t xml:space="preserve"> </w:t>
      </w:r>
      <w:r w:rsidRPr="004E3242">
        <w:rPr>
          <w:rFonts w:ascii="Arial" w:hAnsi="Arial" w:cs="Arial"/>
          <w:sz w:val="20"/>
          <w:szCs w:val="20"/>
        </w:rPr>
        <w:t>Do wsparcia ze środków PO IŚ 2014-2020 nie kwalifikuje się zakup helikopterów</w:t>
      </w:r>
      <w:r>
        <w:rPr>
          <w:rFonts w:ascii="Arial" w:hAnsi="Arial" w:cs="Arial"/>
          <w:sz w:val="20"/>
          <w:szCs w:val="20"/>
        </w:rPr>
        <w:t>.</w:t>
      </w:r>
    </w:p>
    <w:p w14:paraId="2B9C43EA" w14:textId="77777777" w:rsidR="004E3242" w:rsidRPr="004E3242" w:rsidRDefault="004E3242" w:rsidP="004E3242">
      <w:pPr>
        <w:spacing w:before="120" w:after="120"/>
        <w:jc w:val="both"/>
        <w:rPr>
          <w:rFonts w:ascii="Arial" w:hAnsi="Arial" w:cs="Arial"/>
          <w:b/>
          <w:spacing w:val="4"/>
          <w:sz w:val="20"/>
          <w:szCs w:val="20"/>
        </w:rPr>
      </w:pPr>
      <w:r w:rsidRPr="004E3242">
        <w:rPr>
          <w:rFonts w:ascii="Arial" w:hAnsi="Arial" w:cs="Arial"/>
          <w:b/>
          <w:bCs/>
          <w:spacing w:val="4"/>
          <w:sz w:val="20"/>
          <w:szCs w:val="20"/>
        </w:rPr>
        <w:t>infrastruktura podmiotów leczniczych:</w:t>
      </w:r>
    </w:p>
    <w:p w14:paraId="24E63CAE" w14:textId="77777777" w:rsidR="004E3242" w:rsidRPr="004E3242" w:rsidRDefault="004E3242" w:rsidP="00B345B6">
      <w:pPr>
        <w:numPr>
          <w:ilvl w:val="0"/>
          <w:numId w:val="17"/>
        </w:numPr>
        <w:spacing w:before="120" w:after="120"/>
        <w:jc w:val="both"/>
        <w:rPr>
          <w:rFonts w:ascii="Arial" w:hAnsi="Arial" w:cs="Arial"/>
          <w:spacing w:val="4"/>
          <w:sz w:val="20"/>
          <w:szCs w:val="20"/>
        </w:rPr>
      </w:pPr>
      <w:r w:rsidRPr="004E3242">
        <w:rPr>
          <w:rFonts w:ascii="Arial" w:hAnsi="Arial" w:cs="Arial"/>
          <w:bCs/>
          <w:spacing w:val="4"/>
          <w:sz w:val="20"/>
          <w:szCs w:val="20"/>
        </w:rPr>
        <w:t>wsparcie oddziałów oraz innych jednostek organizacyjnych szpitali ponadregionalnych, udzielających świadczeń zdrowotnych stacjonarnych i całodobowych na rzecz osób dorosłych, dedykowanych chorobom układu krążenia, nowotworowym, układu kostno-stawowo-mięśniowego, układu oddechowego, psychicznym (roboty budowlane, doposażenie);</w:t>
      </w:r>
    </w:p>
    <w:p w14:paraId="2FB29C6E" w14:textId="77777777" w:rsidR="002F6B9A" w:rsidRPr="002F6B9A" w:rsidRDefault="002F6B9A" w:rsidP="002F6B9A">
      <w:pPr>
        <w:numPr>
          <w:ilvl w:val="0"/>
          <w:numId w:val="17"/>
        </w:numPr>
        <w:jc w:val="both"/>
        <w:rPr>
          <w:rFonts w:ascii="Arial" w:hAnsi="Arial" w:cs="Arial"/>
          <w:spacing w:val="4"/>
          <w:sz w:val="20"/>
          <w:szCs w:val="20"/>
        </w:rPr>
      </w:pPr>
      <w:r w:rsidRPr="002F6B9A">
        <w:rPr>
          <w:rFonts w:ascii="Arial" w:hAnsi="Arial" w:cs="Arial"/>
          <w:spacing w:val="4"/>
          <w:sz w:val="20"/>
          <w:szCs w:val="20"/>
        </w:rPr>
        <w:t>wsparcie oddziałów oraz innych jednostek organizacyjnych szpitali, udzielających świadczeń zdrowotnych stacjonarnych i całodobowych dedykowanych chorobom zakaźnym;</w:t>
      </w:r>
    </w:p>
    <w:p w14:paraId="7227EACB" w14:textId="77777777" w:rsidR="004E3242" w:rsidRPr="004E3242" w:rsidRDefault="004E3242" w:rsidP="00B345B6">
      <w:pPr>
        <w:numPr>
          <w:ilvl w:val="0"/>
          <w:numId w:val="17"/>
        </w:numPr>
        <w:spacing w:before="120" w:after="120"/>
        <w:jc w:val="both"/>
        <w:rPr>
          <w:rFonts w:ascii="Arial" w:hAnsi="Arial" w:cs="Arial"/>
          <w:spacing w:val="4"/>
          <w:sz w:val="20"/>
          <w:szCs w:val="20"/>
        </w:rPr>
      </w:pPr>
      <w:r w:rsidRPr="004E3242">
        <w:rPr>
          <w:rFonts w:ascii="Arial" w:hAnsi="Arial" w:cs="Arial"/>
          <w:bCs/>
          <w:spacing w:val="4"/>
          <w:sz w:val="20"/>
          <w:szCs w:val="20"/>
        </w:rPr>
        <w:t>wsparcie oddziałów oraz innych jednostek organizacyjnych szpitali ponadregionalnych, udzielających świadczeń zdrowotnych stacjonarnych i całodobowych w zakresie ginekologii, położnictwa, neonatologii, pediatrii oraz innych oddziałów zajmujących się leczeniem dzieci (roboty budowlane, doposażenie);</w:t>
      </w:r>
    </w:p>
    <w:p w14:paraId="00676EDA" w14:textId="77777777" w:rsidR="00FD76B6" w:rsidRPr="007559EA" w:rsidRDefault="004E3242" w:rsidP="00F73131">
      <w:pPr>
        <w:numPr>
          <w:ilvl w:val="0"/>
          <w:numId w:val="17"/>
        </w:numPr>
        <w:spacing w:before="120" w:after="120"/>
        <w:jc w:val="both"/>
        <w:rPr>
          <w:rFonts w:ascii="Arial" w:hAnsi="Arial" w:cs="Arial"/>
          <w:sz w:val="20"/>
        </w:rPr>
      </w:pPr>
      <w:r w:rsidRPr="004E3242">
        <w:rPr>
          <w:rFonts w:ascii="Arial" w:hAnsi="Arial" w:cs="Arial"/>
          <w:bCs/>
          <w:spacing w:val="4"/>
          <w:sz w:val="20"/>
          <w:szCs w:val="20"/>
        </w:rPr>
        <w:t>wsparcie pracowni diagnostycznych oraz innych jednostek zajmujących się diagnostyką, współpracujących z jednostkami wymienionymi powyżej</w:t>
      </w:r>
      <w:r w:rsidR="00C236DB">
        <w:rPr>
          <w:rFonts w:ascii="Arial" w:hAnsi="Arial" w:cs="Arial"/>
          <w:bCs/>
          <w:spacing w:val="4"/>
          <w:sz w:val="20"/>
          <w:szCs w:val="20"/>
        </w:rPr>
        <w:t>;</w:t>
      </w:r>
    </w:p>
    <w:p w14:paraId="1B14537A" w14:textId="77777777" w:rsidR="007559EA" w:rsidRPr="007559EA" w:rsidRDefault="007559EA" w:rsidP="007559EA">
      <w:pPr>
        <w:numPr>
          <w:ilvl w:val="0"/>
          <w:numId w:val="17"/>
        </w:numPr>
        <w:rPr>
          <w:rFonts w:ascii="Arial" w:hAnsi="Arial" w:cs="Arial"/>
          <w:sz w:val="20"/>
        </w:rPr>
      </w:pPr>
      <w:r w:rsidRPr="007559EA">
        <w:rPr>
          <w:rFonts w:ascii="Arial" w:hAnsi="Arial" w:cs="Arial"/>
          <w:sz w:val="20"/>
        </w:rPr>
        <w:t>wsparcie jednostek/podmiotów innych niż wymienione powyżej zaangażowanych w realizację działań związanych z zapobieganiem, przeciwdziałaniem i zwalczaniem „COVID-19”.</w:t>
      </w:r>
    </w:p>
    <w:p w14:paraId="75D31E39"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Promowane będą projekty przewidujące działania w zakresie reorganizacji i restrukturyzacji usług zdrowotnych w szpitalach ponadregionalnych.</w:t>
      </w:r>
    </w:p>
    <w:p w14:paraId="3F3B740F"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 xml:space="preserve">Inwestycje finansowane w ramach osi priorytetowej nie powinny mieć na celu wspierania dużych instytucji udzielających świadczeń opiekuńczych i pielęgnacyjnych zdefiniowanych w polskim prawie, dostarczających  usług opieki dedykowanych dla osób niepełnosprawnych, dzieci, osób starszych </w:t>
      </w:r>
      <w:r w:rsidRPr="004E3242">
        <w:rPr>
          <w:rFonts w:ascii="Arial" w:hAnsi="Arial" w:cs="Arial"/>
          <w:sz w:val="20"/>
        </w:rPr>
        <w:br/>
        <w:t>i niepełnosprawnych umysłowo.</w:t>
      </w:r>
    </w:p>
    <w:p w14:paraId="66E026F5"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Pomiar dotyczący tworzonych miejsc pracy będzie oparty o sprawozdawczość beneficjentów.</w:t>
      </w:r>
    </w:p>
    <w:p w14:paraId="40437818" w14:textId="77777777" w:rsidR="004E3242" w:rsidRDefault="004E3242" w:rsidP="004E3242">
      <w:pPr>
        <w:spacing w:before="120" w:after="120"/>
        <w:jc w:val="both"/>
        <w:rPr>
          <w:rFonts w:ascii="Arial" w:hAnsi="Arial" w:cs="Arial"/>
          <w:sz w:val="20"/>
        </w:rPr>
      </w:pPr>
      <w:r w:rsidRPr="004E3242">
        <w:rPr>
          <w:rFonts w:ascii="Arial" w:hAnsi="Arial" w:cs="Arial"/>
          <w:sz w:val="20"/>
        </w:rPr>
        <w:t>W obszarze ochrony zdrowia, projekty z zakresu termomodernizacji mogą dotyczyć tylko obiektów, których funkcjonowanie będzie uzasadnione w kontekście map potrzeb zdrowotnych opracowanych przez Ministerstwo Zdrowia.</w:t>
      </w:r>
    </w:p>
    <w:p w14:paraId="77630A8E" w14:textId="77777777" w:rsidR="00AC0189" w:rsidRPr="004E3242" w:rsidRDefault="00AC0189" w:rsidP="004E3242">
      <w:pPr>
        <w:spacing w:before="120" w:after="120"/>
        <w:jc w:val="both"/>
        <w:rPr>
          <w:rFonts w:ascii="Arial" w:hAnsi="Arial" w:cs="Arial"/>
          <w:spacing w:val="4"/>
          <w:sz w:val="20"/>
          <w:szCs w:val="20"/>
        </w:rPr>
      </w:pPr>
    </w:p>
    <w:p w14:paraId="3A753A83" w14:textId="77777777" w:rsidR="00273F01" w:rsidRPr="004E3242" w:rsidRDefault="00273F01" w:rsidP="00273F01">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6"/>
        <w:gridCol w:w="2265"/>
        <w:gridCol w:w="994"/>
        <w:gridCol w:w="994"/>
        <w:gridCol w:w="1129"/>
        <w:gridCol w:w="994"/>
        <w:gridCol w:w="994"/>
        <w:gridCol w:w="1380"/>
      </w:tblGrid>
      <w:tr w:rsidR="00273F01" w:rsidRPr="004E3242" w14:paraId="669125A0" w14:textId="77777777" w:rsidTr="00CC2FE1">
        <w:tc>
          <w:tcPr>
            <w:tcW w:w="289" w:type="pct"/>
            <w:shd w:val="clear" w:color="auto" w:fill="99CC00"/>
            <w:vAlign w:val="center"/>
          </w:tcPr>
          <w:p w14:paraId="3E527B99"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220" w:type="pct"/>
            <w:shd w:val="clear" w:color="auto" w:fill="99CC00"/>
            <w:vAlign w:val="center"/>
          </w:tcPr>
          <w:p w14:paraId="7D5C6569"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35" w:type="pct"/>
            <w:shd w:val="clear" w:color="auto" w:fill="99CC00"/>
            <w:vAlign w:val="center"/>
          </w:tcPr>
          <w:p w14:paraId="5CAB5C43"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535" w:type="pct"/>
            <w:shd w:val="clear" w:color="auto" w:fill="99CC00"/>
            <w:vAlign w:val="center"/>
          </w:tcPr>
          <w:p w14:paraId="34FF5E91"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608" w:type="pct"/>
            <w:shd w:val="clear" w:color="auto" w:fill="99CC00"/>
            <w:vAlign w:val="center"/>
          </w:tcPr>
          <w:p w14:paraId="43DBAD8D"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5" w:type="pct"/>
            <w:shd w:val="clear" w:color="auto" w:fill="99CC00"/>
            <w:vAlign w:val="center"/>
          </w:tcPr>
          <w:p w14:paraId="5D9DE1FF"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35" w:type="pct"/>
            <w:shd w:val="clear" w:color="auto" w:fill="99CC00"/>
            <w:vAlign w:val="center"/>
          </w:tcPr>
          <w:p w14:paraId="0CF3E36F"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743" w:type="pct"/>
            <w:shd w:val="clear" w:color="auto" w:fill="99CC00"/>
            <w:vAlign w:val="center"/>
          </w:tcPr>
          <w:p w14:paraId="0368CD1B" w14:textId="77777777" w:rsidR="00273F01" w:rsidRPr="004E3242" w:rsidRDefault="00273F01" w:rsidP="00CC2FE1">
            <w:pPr>
              <w:autoSpaceDE w:val="0"/>
              <w:autoSpaceDN w:val="0"/>
              <w:adjustRightInd w:val="0"/>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273F01" w:rsidRPr="004E3242" w14:paraId="40071940" w14:textId="77777777" w:rsidTr="00CC2FE1">
        <w:tc>
          <w:tcPr>
            <w:tcW w:w="289" w:type="pct"/>
            <w:vMerge w:val="restart"/>
            <w:shd w:val="clear" w:color="auto" w:fill="F2F2F2"/>
            <w:vAlign w:val="center"/>
          </w:tcPr>
          <w:p w14:paraId="695D5A64"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1.</w:t>
            </w:r>
          </w:p>
        </w:tc>
        <w:tc>
          <w:tcPr>
            <w:tcW w:w="1220" w:type="pct"/>
            <w:vMerge w:val="restart"/>
            <w:shd w:val="clear" w:color="auto" w:fill="F2F2F2"/>
            <w:vAlign w:val="center"/>
          </w:tcPr>
          <w:p w14:paraId="3D61A46A" w14:textId="77777777" w:rsidR="00273F01" w:rsidRPr="004E3242" w:rsidRDefault="00273F01" w:rsidP="00CC2FE1">
            <w:pPr>
              <w:autoSpaceDE w:val="0"/>
              <w:autoSpaceDN w:val="0"/>
              <w:adjustRightInd w:val="0"/>
              <w:spacing w:before="20" w:after="20" w:line="240" w:lineRule="auto"/>
              <w:jc w:val="both"/>
              <w:rPr>
                <w:rFonts w:ascii="Arial" w:hAnsi="Arial" w:cs="Arial"/>
                <w:sz w:val="16"/>
                <w:szCs w:val="16"/>
              </w:rPr>
            </w:pPr>
            <w:r w:rsidRPr="004E3242">
              <w:rPr>
                <w:rFonts w:ascii="Arial" w:hAnsi="Arial" w:cs="Arial"/>
                <w:sz w:val="16"/>
                <w:szCs w:val="16"/>
              </w:rPr>
              <w:t>Liczba wspartych podmiotów leczniczych z wyłączeniem ratownictwa medycznego</w:t>
            </w:r>
          </w:p>
        </w:tc>
        <w:tc>
          <w:tcPr>
            <w:tcW w:w="535" w:type="pct"/>
            <w:vMerge w:val="restart"/>
            <w:shd w:val="clear" w:color="auto" w:fill="F2F2F2"/>
            <w:vAlign w:val="center"/>
          </w:tcPr>
          <w:p w14:paraId="65ED5A89" w14:textId="77777777" w:rsidR="00273F01" w:rsidRPr="004E3242" w:rsidRDefault="00273F01" w:rsidP="00CC2FE1">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535" w:type="pct"/>
            <w:vMerge w:val="restart"/>
            <w:shd w:val="clear" w:color="auto" w:fill="F2F2F2"/>
            <w:vAlign w:val="center"/>
          </w:tcPr>
          <w:p w14:paraId="5DB7266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564998E2"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w:t>
            </w:r>
          </w:p>
          <w:p w14:paraId="607AF0E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535" w:type="pct"/>
            <w:shd w:val="clear" w:color="auto" w:fill="F2F2F2"/>
            <w:vAlign w:val="center"/>
          </w:tcPr>
          <w:p w14:paraId="6779208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49</w:t>
            </w:r>
          </w:p>
        </w:tc>
        <w:tc>
          <w:tcPr>
            <w:tcW w:w="535" w:type="pct"/>
            <w:shd w:val="clear" w:color="auto" w:fill="F2F2F2"/>
            <w:vAlign w:val="center"/>
          </w:tcPr>
          <w:p w14:paraId="2CE23EAD"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7E8B45F1"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4C9347B0" w14:textId="77777777" w:rsidTr="00CC2FE1">
        <w:tc>
          <w:tcPr>
            <w:tcW w:w="289" w:type="pct"/>
            <w:vMerge/>
            <w:shd w:val="clear" w:color="auto" w:fill="F2F2F2"/>
            <w:vAlign w:val="center"/>
          </w:tcPr>
          <w:p w14:paraId="6B6078E6"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6F0B08C9" w14:textId="77777777" w:rsidR="00273F01" w:rsidRPr="004E3242" w:rsidRDefault="00273F01" w:rsidP="00CC2FE1">
            <w:pPr>
              <w:autoSpaceDE w:val="0"/>
              <w:autoSpaceDN w:val="0"/>
              <w:adjustRightInd w:val="0"/>
              <w:spacing w:before="20" w:after="20" w:line="240" w:lineRule="auto"/>
              <w:jc w:val="both"/>
              <w:rPr>
                <w:rFonts w:ascii="Arial" w:hAnsi="Arial" w:cs="Arial"/>
                <w:sz w:val="16"/>
                <w:szCs w:val="16"/>
              </w:rPr>
            </w:pPr>
          </w:p>
        </w:tc>
        <w:tc>
          <w:tcPr>
            <w:tcW w:w="535" w:type="pct"/>
            <w:vMerge/>
            <w:shd w:val="clear" w:color="auto" w:fill="F2F2F2"/>
            <w:vAlign w:val="center"/>
          </w:tcPr>
          <w:p w14:paraId="155D0354" w14:textId="77777777" w:rsidR="00273F01" w:rsidRPr="004E3242" w:rsidRDefault="00273F01" w:rsidP="00CC2FE1">
            <w:pPr>
              <w:spacing w:before="20" w:after="20" w:line="240" w:lineRule="auto"/>
              <w:jc w:val="center"/>
              <w:rPr>
                <w:rFonts w:ascii="Arial" w:hAnsi="Arial" w:cs="Arial"/>
                <w:sz w:val="16"/>
                <w:szCs w:val="16"/>
              </w:rPr>
            </w:pPr>
          </w:p>
        </w:tc>
        <w:tc>
          <w:tcPr>
            <w:tcW w:w="535" w:type="pct"/>
            <w:vMerge/>
            <w:shd w:val="clear" w:color="auto" w:fill="F2F2F2"/>
            <w:vAlign w:val="center"/>
          </w:tcPr>
          <w:p w14:paraId="2C556E2E"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6470AB2F"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5164070F"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13</w:t>
            </w:r>
          </w:p>
        </w:tc>
        <w:tc>
          <w:tcPr>
            <w:tcW w:w="535" w:type="pct"/>
            <w:shd w:val="clear" w:color="auto" w:fill="F2F2F2"/>
            <w:vAlign w:val="center"/>
          </w:tcPr>
          <w:p w14:paraId="056FB440"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2962C103"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3F4CC3A6" w14:textId="77777777" w:rsidTr="00CC2FE1">
        <w:trPr>
          <w:trHeight w:val="617"/>
        </w:trPr>
        <w:tc>
          <w:tcPr>
            <w:tcW w:w="289" w:type="pct"/>
            <w:vMerge w:val="restart"/>
            <w:shd w:val="clear" w:color="auto" w:fill="F2F2F2"/>
            <w:vAlign w:val="center"/>
          </w:tcPr>
          <w:p w14:paraId="4931FC3C"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2.</w:t>
            </w:r>
          </w:p>
        </w:tc>
        <w:tc>
          <w:tcPr>
            <w:tcW w:w="1220" w:type="pct"/>
            <w:vMerge w:val="restart"/>
            <w:shd w:val="clear" w:color="auto" w:fill="F2F2F2"/>
            <w:vAlign w:val="center"/>
          </w:tcPr>
          <w:p w14:paraId="1DA666B6" w14:textId="77777777" w:rsidR="00273F01" w:rsidRPr="004E3242" w:rsidRDefault="00273F01" w:rsidP="00CC2FE1">
            <w:pPr>
              <w:autoSpaceDE w:val="0"/>
              <w:autoSpaceDN w:val="0"/>
              <w:adjustRightInd w:val="0"/>
              <w:spacing w:before="20" w:after="20" w:line="240" w:lineRule="auto"/>
              <w:jc w:val="both"/>
              <w:rPr>
                <w:rFonts w:ascii="Arial" w:hAnsi="Arial" w:cs="Arial"/>
                <w:sz w:val="16"/>
                <w:szCs w:val="16"/>
              </w:rPr>
            </w:pPr>
            <w:r w:rsidRPr="004E3242">
              <w:rPr>
                <w:rFonts w:ascii="Arial" w:hAnsi="Arial" w:cs="Arial"/>
                <w:sz w:val="16"/>
                <w:szCs w:val="16"/>
              </w:rPr>
              <w:t>Liczba wspartych podmiotów leczniczych udzielających świadczeń ratownictwa medycznego lub jednostek organizacyjnych szpitali wyspecjalizowanych w zakresie udzielania świadczeń niezbędnych dla ratownictwa medycznego</w:t>
            </w:r>
          </w:p>
        </w:tc>
        <w:tc>
          <w:tcPr>
            <w:tcW w:w="535" w:type="pct"/>
            <w:vMerge w:val="restart"/>
            <w:shd w:val="clear" w:color="auto" w:fill="F2F2F2"/>
            <w:vAlign w:val="center"/>
          </w:tcPr>
          <w:p w14:paraId="13BF1096" w14:textId="77777777" w:rsidR="00273F01" w:rsidRPr="004E3242" w:rsidRDefault="00273F01" w:rsidP="00CC2FE1">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535" w:type="pct"/>
            <w:vMerge w:val="restart"/>
            <w:shd w:val="clear" w:color="auto" w:fill="F2F2F2"/>
            <w:vAlign w:val="center"/>
          </w:tcPr>
          <w:p w14:paraId="23EC1460"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32D65E19"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w:t>
            </w:r>
          </w:p>
          <w:p w14:paraId="64E4B9E6"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rozwinięte</w:t>
            </w:r>
          </w:p>
        </w:tc>
        <w:tc>
          <w:tcPr>
            <w:tcW w:w="535" w:type="pct"/>
            <w:shd w:val="clear" w:color="auto" w:fill="F2F2F2"/>
            <w:vAlign w:val="center"/>
          </w:tcPr>
          <w:p w14:paraId="35BC9E12"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186</w:t>
            </w:r>
          </w:p>
        </w:tc>
        <w:tc>
          <w:tcPr>
            <w:tcW w:w="535" w:type="pct"/>
            <w:shd w:val="clear" w:color="auto" w:fill="F2F2F2"/>
            <w:vAlign w:val="center"/>
          </w:tcPr>
          <w:p w14:paraId="2008F980" w14:textId="77777777" w:rsidR="00273F01" w:rsidRPr="004E3242" w:rsidRDefault="00273F01" w:rsidP="00CC2FE1">
            <w:pPr>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135858A1"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24704F22" w14:textId="77777777" w:rsidTr="00CC2FE1">
        <w:trPr>
          <w:trHeight w:val="831"/>
        </w:trPr>
        <w:tc>
          <w:tcPr>
            <w:tcW w:w="289" w:type="pct"/>
            <w:vMerge/>
            <w:shd w:val="clear" w:color="auto" w:fill="F2F2F2"/>
            <w:vAlign w:val="center"/>
          </w:tcPr>
          <w:p w14:paraId="7EFA82C1"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6B7722F1" w14:textId="77777777" w:rsidR="00273F01" w:rsidRPr="004E3242" w:rsidRDefault="00273F01" w:rsidP="00CC2FE1">
            <w:pPr>
              <w:autoSpaceDE w:val="0"/>
              <w:autoSpaceDN w:val="0"/>
              <w:adjustRightInd w:val="0"/>
              <w:spacing w:before="20" w:after="20" w:line="240" w:lineRule="auto"/>
              <w:jc w:val="both"/>
              <w:rPr>
                <w:rFonts w:ascii="Arial" w:hAnsi="Arial" w:cs="Arial"/>
                <w:sz w:val="16"/>
                <w:szCs w:val="16"/>
              </w:rPr>
            </w:pPr>
          </w:p>
        </w:tc>
        <w:tc>
          <w:tcPr>
            <w:tcW w:w="535" w:type="pct"/>
            <w:vMerge/>
            <w:shd w:val="clear" w:color="auto" w:fill="F2F2F2"/>
            <w:vAlign w:val="center"/>
          </w:tcPr>
          <w:p w14:paraId="54846911" w14:textId="77777777" w:rsidR="00273F01" w:rsidRPr="004E3242" w:rsidRDefault="00273F01" w:rsidP="00CC2FE1">
            <w:pPr>
              <w:spacing w:before="20" w:after="20" w:line="240" w:lineRule="auto"/>
              <w:jc w:val="center"/>
              <w:rPr>
                <w:rFonts w:ascii="Arial" w:hAnsi="Arial" w:cs="Arial"/>
                <w:sz w:val="16"/>
                <w:szCs w:val="16"/>
              </w:rPr>
            </w:pPr>
          </w:p>
        </w:tc>
        <w:tc>
          <w:tcPr>
            <w:tcW w:w="535" w:type="pct"/>
            <w:vMerge/>
            <w:shd w:val="clear" w:color="auto" w:fill="F2F2F2"/>
            <w:vAlign w:val="center"/>
          </w:tcPr>
          <w:p w14:paraId="76BF9234"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2E58DDB6"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223E5CAC"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19</w:t>
            </w:r>
          </w:p>
        </w:tc>
        <w:tc>
          <w:tcPr>
            <w:tcW w:w="535" w:type="pct"/>
            <w:shd w:val="clear" w:color="auto" w:fill="F2F2F2"/>
            <w:vAlign w:val="center"/>
          </w:tcPr>
          <w:p w14:paraId="4D75E5E2" w14:textId="77777777" w:rsidR="00273F01" w:rsidRPr="004E3242" w:rsidRDefault="00273F01" w:rsidP="00CC2FE1">
            <w:pPr>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3F01002B"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0F37498A" w14:textId="77777777" w:rsidTr="00CC2FE1">
        <w:tc>
          <w:tcPr>
            <w:tcW w:w="289" w:type="pct"/>
            <w:vMerge w:val="restart"/>
            <w:shd w:val="clear" w:color="auto" w:fill="F2F2F2"/>
            <w:vAlign w:val="center"/>
          </w:tcPr>
          <w:p w14:paraId="03989935"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3.</w:t>
            </w:r>
          </w:p>
        </w:tc>
        <w:tc>
          <w:tcPr>
            <w:tcW w:w="1220" w:type="pct"/>
            <w:vMerge w:val="restart"/>
            <w:shd w:val="clear" w:color="auto" w:fill="F2F2F2"/>
            <w:vAlign w:val="center"/>
          </w:tcPr>
          <w:p w14:paraId="103A2F2B"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4E3242">
              <w:rPr>
                <w:rFonts w:ascii="Arial" w:hAnsi="Arial" w:cs="Arial"/>
                <w:sz w:val="16"/>
                <w:szCs w:val="16"/>
              </w:rPr>
              <w:t>Liczba leczonych w podmiotach leczniczych objętych wsparciem</w:t>
            </w:r>
          </w:p>
        </w:tc>
        <w:tc>
          <w:tcPr>
            <w:tcW w:w="535" w:type="pct"/>
            <w:vMerge w:val="restart"/>
            <w:shd w:val="clear" w:color="auto" w:fill="F2F2F2"/>
            <w:vAlign w:val="center"/>
          </w:tcPr>
          <w:p w14:paraId="23303ED8"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osoby/rok</w:t>
            </w:r>
          </w:p>
        </w:tc>
        <w:tc>
          <w:tcPr>
            <w:tcW w:w="535" w:type="pct"/>
            <w:vMerge w:val="restart"/>
            <w:shd w:val="clear" w:color="auto" w:fill="F2F2F2"/>
            <w:vAlign w:val="center"/>
          </w:tcPr>
          <w:p w14:paraId="0CE79D1E"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2C8347A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43610E56"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 xml:space="preserve">  </w:t>
            </w:r>
          </w:p>
          <w:p w14:paraId="7D6FE150" w14:textId="77777777" w:rsidR="00273F01" w:rsidRPr="004E3242" w:rsidDel="00143EEC" w:rsidRDefault="00273F01" w:rsidP="00CC2FE1">
            <w:pPr>
              <w:autoSpaceDE w:val="0"/>
              <w:autoSpaceDN w:val="0"/>
              <w:adjustRightInd w:val="0"/>
              <w:spacing w:before="20" w:after="20" w:line="240" w:lineRule="auto"/>
              <w:jc w:val="center"/>
              <w:rPr>
                <w:rFonts w:ascii="Arial" w:hAnsi="Arial" w:cs="Arial"/>
                <w:spacing w:val="4"/>
                <w:sz w:val="16"/>
                <w:szCs w:val="16"/>
              </w:rPr>
            </w:pPr>
            <w:r w:rsidRPr="00CA02AA">
              <w:rPr>
                <w:rFonts w:ascii="Arial" w:hAnsi="Arial" w:cs="Arial"/>
                <w:spacing w:val="4"/>
                <w:sz w:val="16"/>
                <w:szCs w:val="16"/>
              </w:rPr>
              <w:t>9 000 000</w:t>
            </w:r>
          </w:p>
        </w:tc>
        <w:tc>
          <w:tcPr>
            <w:tcW w:w="535" w:type="pct"/>
            <w:shd w:val="clear" w:color="auto" w:fill="F2F2F2"/>
            <w:vAlign w:val="center"/>
          </w:tcPr>
          <w:p w14:paraId="4823C5BB"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1F656097"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738A4497" w14:textId="77777777" w:rsidTr="00CC2FE1">
        <w:tc>
          <w:tcPr>
            <w:tcW w:w="289" w:type="pct"/>
            <w:vMerge/>
            <w:shd w:val="clear" w:color="auto" w:fill="F2F2F2"/>
            <w:vAlign w:val="center"/>
          </w:tcPr>
          <w:p w14:paraId="570CEDF3"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261173AC"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068F52A6"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43625085"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2DB7CA38"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7ED5A041" w14:textId="77777777" w:rsidR="00273F01" w:rsidRPr="004E3242" w:rsidDel="00143EEC" w:rsidRDefault="00273F01" w:rsidP="00CC2FE1">
            <w:pPr>
              <w:autoSpaceDE w:val="0"/>
              <w:autoSpaceDN w:val="0"/>
              <w:adjustRightInd w:val="0"/>
              <w:spacing w:before="20" w:after="20" w:line="240" w:lineRule="auto"/>
              <w:jc w:val="center"/>
              <w:rPr>
                <w:rFonts w:ascii="Arial" w:hAnsi="Arial" w:cs="Arial"/>
                <w:spacing w:val="4"/>
                <w:sz w:val="16"/>
                <w:szCs w:val="16"/>
              </w:rPr>
            </w:pPr>
            <w:r w:rsidRPr="00CA02AA">
              <w:rPr>
                <w:rFonts w:ascii="Arial" w:hAnsi="Arial" w:cs="Arial"/>
                <w:spacing w:val="4"/>
                <w:sz w:val="16"/>
                <w:szCs w:val="16"/>
              </w:rPr>
              <w:t>1 000 000</w:t>
            </w:r>
          </w:p>
        </w:tc>
        <w:tc>
          <w:tcPr>
            <w:tcW w:w="535" w:type="pct"/>
            <w:shd w:val="clear" w:color="auto" w:fill="F2F2F2"/>
            <w:vAlign w:val="center"/>
          </w:tcPr>
          <w:p w14:paraId="6471DC9D"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7F296EBD"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1E485BC5" w14:textId="77777777" w:rsidTr="00CC2FE1">
        <w:tc>
          <w:tcPr>
            <w:tcW w:w="289" w:type="pct"/>
            <w:vMerge w:val="restart"/>
            <w:shd w:val="clear" w:color="auto" w:fill="F2F2F2"/>
            <w:vAlign w:val="center"/>
          </w:tcPr>
          <w:p w14:paraId="1A763F7B"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 xml:space="preserve">4. </w:t>
            </w:r>
          </w:p>
        </w:tc>
        <w:tc>
          <w:tcPr>
            <w:tcW w:w="1220" w:type="pct"/>
            <w:vMerge w:val="restart"/>
            <w:shd w:val="clear" w:color="auto" w:fill="F2F2F2"/>
            <w:vAlign w:val="center"/>
          </w:tcPr>
          <w:p w14:paraId="456E1771"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BB3600">
              <w:rPr>
                <w:rFonts w:ascii="Arial" w:hAnsi="Arial" w:cs="Arial"/>
                <w:sz w:val="16"/>
                <w:szCs w:val="16"/>
              </w:rPr>
              <w:t>Liczba wspartych podmiotów leczniczych w związku z pandemią COVID-19</w:t>
            </w:r>
            <w:r>
              <w:rPr>
                <w:rFonts w:ascii="Arial" w:hAnsi="Arial" w:cs="Arial"/>
                <w:sz w:val="16"/>
                <w:szCs w:val="16"/>
              </w:rPr>
              <w:t xml:space="preserve"> - </w:t>
            </w:r>
            <w:r w:rsidRPr="00BB3600">
              <w:rPr>
                <w:rFonts w:ascii="Arial" w:hAnsi="Arial" w:cs="Arial"/>
                <w:sz w:val="16"/>
                <w:szCs w:val="16"/>
              </w:rPr>
              <w:t>CV12</w:t>
            </w:r>
          </w:p>
        </w:tc>
        <w:tc>
          <w:tcPr>
            <w:tcW w:w="535" w:type="pct"/>
            <w:vMerge w:val="restart"/>
            <w:shd w:val="clear" w:color="auto" w:fill="F2F2F2"/>
            <w:vAlign w:val="center"/>
          </w:tcPr>
          <w:p w14:paraId="2B862803"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BB3600">
              <w:rPr>
                <w:rFonts w:ascii="Arial" w:hAnsi="Arial" w:cs="Arial"/>
                <w:sz w:val="16"/>
                <w:szCs w:val="16"/>
              </w:rPr>
              <w:t>szt.</w:t>
            </w:r>
          </w:p>
        </w:tc>
        <w:tc>
          <w:tcPr>
            <w:tcW w:w="535" w:type="pct"/>
            <w:vMerge w:val="restart"/>
            <w:shd w:val="clear" w:color="auto" w:fill="F2F2F2"/>
            <w:vAlign w:val="center"/>
          </w:tcPr>
          <w:p w14:paraId="54B9CC63"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76E2CEDF"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76274A34"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sidRPr="00CB0986">
              <w:rPr>
                <w:rFonts w:ascii="Arial" w:hAnsi="Arial" w:cs="Arial"/>
                <w:spacing w:val="4"/>
                <w:sz w:val="16"/>
                <w:szCs w:val="16"/>
              </w:rPr>
              <w:t>335</w:t>
            </w:r>
          </w:p>
        </w:tc>
        <w:tc>
          <w:tcPr>
            <w:tcW w:w="535" w:type="pct"/>
            <w:shd w:val="clear" w:color="auto" w:fill="F2F2F2"/>
            <w:vAlign w:val="center"/>
          </w:tcPr>
          <w:p w14:paraId="5C569D35"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01D9DEE3"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0A3C80F6" w14:textId="77777777" w:rsidTr="00CC2FE1">
        <w:tc>
          <w:tcPr>
            <w:tcW w:w="289" w:type="pct"/>
            <w:vMerge/>
            <w:shd w:val="clear" w:color="auto" w:fill="F2F2F2"/>
            <w:vAlign w:val="center"/>
          </w:tcPr>
          <w:p w14:paraId="58F55BF9"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57D65445"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p>
        </w:tc>
        <w:tc>
          <w:tcPr>
            <w:tcW w:w="535" w:type="pct"/>
            <w:vMerge/>
            <w:shd w:val="clear" w:color="auto" w:fill="F2F2F2"/>
            <w:vAlign w:val="center"/>
          </w:tcPr>
          <w:p w14:paraId="546BBBB9"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440D8E2F"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57148314"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48F58695"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sidRPr="00CB0986">
              <w:rPr>
                <w:rFonts w:ascii="Arial" w:hAnsi="Arial" w:cs="Arial"/>
                <w:spacing w:val="4"/>
                <w:sz w:val="16"/>
                <w:szCs w:val="16"/>
              </w:rPr>
              <w:t>49</w:t>
            </w:r>
          </w:p>
        </w:tc>
        <w:tc>
          <w:tcPr>
            <w:tcW w:w="535" w:type="pct"/>
            <w:shd w:val="clear" w:color="auto" w:fill="F2F2F2"/>
            <w:vAlign w:val="center"/>
          </w:tcPr>
          <w:p w14:paraId="0E38E6B0"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37F69846"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5A7D926F" w14:textId="77777777" w:rsidTr="00CC2FE1">
        <w:tc>
          <w:tcPr>
            <w:tcW w:w="289" w:type="pct"/>
            <w:vMerge w:val="restart"/>
            <w:shd w:val="clear" w:color="auto" w:fill="F2F2F2"/>
            <w:vAlign w:val="center"/>
          </w:tcPr>
          <w:p w14:paraId="4E2C1470"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5.</w:t>
            </w:r>
          </w:p>
        </w:tc>
        <w:tc>
          <w:tcPr>
            <w:tcW w:w="1220" w:type="pct"/>
            <w:vMerge w:val="restart"/>
            <w:shd w:val="clear" w:color="auto" w:fill="F2F2F2"/>
            <w:vAlign w:val="center"/>
          </w:tcPr>
          <w:p w14:paraId="0C18F9F0"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5C0FBA">
              <w:rPr>
                <w:rFonts w:ascii="Arial" w:hAnsi="Arial" w:cs="Arial"/>
                <w:sz w:val="16"/>
                <w:szCs w:val="16"/>
              </w:rPr>
              <w:t>Wartość wydatków kwalifikowalnych przeznaczonych na działania związane z pandemią COVID-19</w:t>
            </w:r>
            <w:r>
              <w:rPr>
                <w:rFonts w:ascii="Arial" w:hAnsi="Arial" w:cs="Arial"/>
                <w:sz w:val="16"/>
                <w:szCs w:val="16"/>
              </w:rPr>
              <w:t xml:space="preserve"> - </w:t>
            </w:r>
            <w:r w:rsidRPr="005C0FBA">
              <w:rPr>
                <w:rFonts w:ascii="Arial" w:hAnsi="Arial" w:cs="Arial"/>
                <w:sz w:val="16"/>
                <w:szCs w:val="16"/>
              </w:rPr>
              <w:t>CV29</w:t>
            </w:r>
          </w:p>
        </w:tc>
        <w:tc>
          <w:tcPr>
            <w:tcW w:w="535" w:type="pct"/>
            <w:vMerge w:val="restart"/>
            <w:shd w:val="clear" w:color="auto" w:fill="F2F2F2"/>
            <w:vAlign w:val="center"/>
          </w:tcPr>
          <w:p w14:paraId="35391938"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Pr>
                <w:rFonts w:ascii="Arial" w:hAnsi="Arial" w:cs="Arial"/>
                <w:sz w:val="16"/>
                <w:szCs w:val="16"/>
              </w:rPr>
              <w:t>EUR</w:t>
            </w:r>
          </w:p>
        </w:tc>
        <w:tc>
          <w:tcPr>
            <w:tcW w:w="535" w:type="pct"/>
            <w:vMerge w:val="restart"/>
            <w:shd w:val="clear" w:color="auto" w:fill="F2F2F2"/>
            <w:vAlign w:val="center"/>
          </w:tcPr>
          <w:p w14:paraId="6A89598D"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323D58C1"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7682B87B"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167 553 426</w:t>
            </w:r>
          </w:p>
        </w:tc>
        <w:tc>
          <w:tcPr>
            <w:tcW w:w="535" w:type="pct"/>
            <w:shd w:val="clear" w:color="auto" w:fill="F2F2F2"/>
            <w:vAlign w:val="center"/>
          </w:tcPr>
          <w:p w14:paraId="0FEC34C2"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73B0A381"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2B0BB563" w14:textId="77777777" w:rsidTr="00CC2FE1">
        <w:tc>
          <w:tcPr>
            <w:tcW w:w="289" w:type="pct"/>
            <w:vMerge/>
            <w:shd w:val="clear" w:color="auto" w:fill="F2F2F2"/>
            <w:vAlign w:val="center"/>
          </w:tcPr>
          <w:p w14:paraId="1E678EDB"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05E03BEF"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p>
        </w:tc>
        <w:tc>
          <w:tcPr>
            <w:tcW w:w="535" w:type="pct"/>
            <w:vMerge/>
            <w:shd w:val="clear" w:color="auto" w:fill="F2F2F2"/>
            <w:vAlign w:val="center"/>
          </w:tcPr>
          <w:p w14:paraId="0667E12C"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5A3601F1"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64F553C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329C5309"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12 052 518</w:t>
            </w:r>
          </w:p>
        </w:tc>
        <w:tc>
          <w:tcPr>
            <w:tcW w:w="535" w:type="pct"/>
            <w:shd w:val="clear" w:color="auto" w:fill="F2F2F2"/>
            <w:vAlign w:val="center"/>
          </w:tcPr>
          <w:p w14:paraId="322A5444"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1CEF7FEF"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3DB2A6CE" w14:textId="77777777" w:rsidTr="00CC2FE1">
        <w:tc>
          <w:tcPr>
            <w:tcW w:w="289" w:type="pct"/>
            <w:vMerge w:val="restart"/>
            <w:shd w:val="clear" w:color="auto" w:fill="F2F2F2"/>
            <w:vAlign w:val="center"/>
          </w:tcPr>
          <w:p w14:paraId="7B3A6E54"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6.</w:t>
            </w:r>
          </w:p>
        </w:tc>
        <w:tc>
          <w:tcPr>
            <w:tcW w:w="1220" w:type="pct"/>
            <w:vMerge w:val="restart"/>
            <w:shd w:val="clear" w:color="auto" w:fill="F2F2F2"/>
            <w:vAlign w:val="center"/>
          </w:tcPr>
          <w:p w14:paraId="0BA784C7"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19461A">
              <w:rPr>
                <w:rFonts w:ascii="Arial" w:hAnsi="Arial" w:cs="Arial"/>
                <w:sz w:val="16"/>
                <w:szCs w:val="16"/>
              </w:rPr>
              <w:t>Wartość zakupionych środków ochrony indywidualn</w:t>
            </w:r>
            <w:r>
              <w:rPr>
                <w:rFonts w:ascii="Arial" w:hAnsi="Arial" w:cs="Arial"/>
                <w:sz w:val="16"/>
                <w:szCs w:val="16"/>
              </w:rPr>
              <w:t xml:space="preserve">ej </w:t>
            </w:r>
          </w:p>
        </w:tc>
        <w:tc>
          <w:tcPr>
            <w:tcW w:w="535" w:type="pct"/>
            <w:vMerge w:val="restart"/>
            <w:shd w:val="clear" w:color="auto" w:fill="F2F2F2"/>
            <w:vAlign w:val="center"/>
          </w:tcPr>
          <w:p w14:paraId="349D8E4D"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Pr>
                <w:rFonts w:ascii="Arial" w:hAnsi="Arial" w:cs="Arial"/>
                <w:sz w:val="16"/>
                <w:szCs w:val="16"/>
              </w:rPr>
              <w:t>EUR</w:t>
            </w:r>
          </w:p>
        </w:tc>
        <w:tc>
          <w:tcPr>
            <w:tcW w:w="535" w:type="pct"/>
            <w:vMerge w:val="restart"/>
            <w:shd w:val="clear" w:color="auto" w:fill="F2F2F2"/>
            <w:vAlign w:val="center"/>
          </w:tcPr>
          <w:p w14:paraId="1B68E8CE"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22B7EF98"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056F5C02"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60 322 595</w:t>
            </w:r>
          </w:p>
        </w:tc>
        <w:tc>
          <w:tcPr>
            <w:tcW w:w="535" w:type="pct"/>
            <w:shd w:val="clear" w:color="auto" w:fill="F2F2F2"/>
            <w:vAlign w:val="center"/>
          </w:tcPr>
          <w:p w14:paraId="1C297EA3"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7EEBF8BF"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572A9CB6" w14:textId="77777777" w:rsidTr="00CC2FE1">
        <w:tc>
          <w:tcPr>
            <w:tcW w:w="289" w:type="pct"/>
            <w:vMerge/>
            <w:shd w:val="clear" w:color="auto" w:fill="F2F2F2"/>
            <w:vAlign w:val="center"/>
          </w:tcPr>
          <w:p w14:paraId="09B60A93"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27C065CC"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p>
        </w:tc>
        <w:tc>
          <w:tcPr>
            <w:tcW w:w="535" w:type="pct"/>
            <w:vMerge/>
            <w:shd w:val="clear" w:color="auto" w:fill="F2F2F2"/>
            <w:vAlign w:val="center"/>
          </w:tcPr>
          <w:p w14:paraId="1B0E0606"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0409CF87"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076B1C21"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3322C64D"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4 921 053</w:t>
            </w:r>
          </w:p>
        </w:tc>
        <w:tc>
          <w:tcPr>
            <w:tcW w:w="535" w:type="pct"/>
            <w:shd w:val="clear" w:color="auto" w:fill="F2F2F2"/>
            <w:vAlign w:val="center"/>
          </w:tcPr>
          <w:p w14:paraId="581E472C"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1C9D3C9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5D2C52BB" w14:textId="77777777" w:rsidTr="00CC2FE1">
        <w:tc>
          <w:tcPr>
            <w:tcW w:w="289" w:type="pct"/>
            <w:vMerge w:val="restart"/>
            <w:shd w:val="clear" w:color="auto" w:fill="F2F2F2"/>
            <w:vAlign w:val="center"/>
          </w:tcPr>
          <w:p w14:paraId="18CAD7DF"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7.</w:t>
            </w:r>
          </w:p>
        </w:tc>
        <w:tc>
          <w:tcPr>
            <w:tcW w:w="1220" w:type="pct"/>
            <w:vMerge w:val="restart"/>
            <w:shd w:val="clear" w:color="auto" w:fill="F2F2F2"/>
            <w:vAlign w:val="center"/>
          </w:tcPr>
          <w:p w14:paraId="38C8531D"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B950C6">
              <w:rPr>
                <w:rFonts w:ascii="Arial" w:hAnsi="Arial" w:cs="Arial"/>
                <w:sz w:val="16"/>
                <w:szCs w:val="16"/>
              </w:rPr>
              <w:t xml:space="preserve">Liczba zakupionych środków ochrony indywidualnej </w:t>
            </w:r>
          </w:p>
        </w:tc>
        <w:tc>
          <w:tcPr>
            <w:tcW w:w="535" w:type="pct"/>
            <w:vMerge w:val="restart"/>
            <w:shd w:val="clear" w:color="auto" w:fill="F2F2F2"/>
            <w:vAlign w:val="center"/>
          </w:tcPr>
          <w:p w14:paraId="782955D9"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BB3600">
              <w:rPr>
                <w:rFonts w:ascii="Arial" w:hAnsi="Arial" w:cs="Arial"/>
                <w:sz w:val="16"/>
                <w:szCs w:val="16"/>
              </w:rPr>
              <w:t>szt.</w:t>
            </w:r>
          </w:p>
        </w:tc>
        <w:tc>
          <w:tcPr>
            <w:tcW w:w="535" w:type="pct"/>
            <w:vMerge w:val="restart"/>
            <w:shd w:val="clear" w:color="auto" w:fill="F2F2F2"/>
            <w:vAlign w:val="center"/>
          </w:tcPr>
          <w:p w14:paraId="64CF6FA0"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04FA2877"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0BEF20D2"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sidRPr="000037D9">
              <w:rPr>
                <w:rFonts w:ascii="Arial" w:hAnsi="Arial" w:cs="Arial"/>
                <w:spacing w:val="4"/>
                <w:sz w:val="16"/>
                <w:szCs w:val="16"/>
              </w:rPr>
              <w:t>80 674 240</w:t>
            </w:r>
          </w:p>
        </w:tc>
        <w:tc>
          <w:tcPr>
            <w:tcW w:w="535" w:type="pct"/>
            <w:shd w:val="clear" w:color="auto" w:fill="F2F2F2"/>
            <w:vAlign w:val="center"/>
          </w:tcPr>
          <w:p w14:paraId="6FCAC59E"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510C3A7B"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1615A712" w14:textId="77777777" w:rsidTr="00CC2FE1">
        <w:tc>
          <w:tcPr>
            <w:tcW w:w="289" w:type="pct"/>
            <w:vMerge/>
            <w:shd w:val="clear" w:color="auto" w:fill="F2F2F2"/>
            <w:vAlign w:val="center"/>
          </w:tcPr>
          <w:p w14:paraId="086EA5CE"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17DB8975"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p>
        </w:tc>
        <w:tc>
          <w:tcPr>
            <w:tcW w:w="535" w:type="pct"/>
            <w:vMerge/>
            <w:shd w:val="clear" w:color="auto" w:fill="F2F2F2"/>
            <w:vAlign w:val="center"/>
          </w:tcPr>
          <w:p w14:paraId="5C351B21"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7C5EA1B8"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556EFCC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1DE4AF6C"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sidRPr="000037D9">
              <w:rPr>
                <w:rFonts w:ascii="Arial" w:hAnsi="Arial" w:cs="Arial"/>
                <w:spacing w:val="4"/>
                <w:sz w:val="16"/>
                <w:szCs w:val="16"/>
              </w:rPr>
              <w:t>5 024 000</w:t>
            </w:r>
            <w:r>
              <w:rPr>
                <w:rFonts w:ascii="Arial" w:hAnsi="Arial" w:cs="Arial"/>
                <w:spacing w:val="4"/>
                <w:sz w:val="16"/>
                <w:szCs w:val="16"/>
              </w:rPr>
              <w:t> </w:t>
            </w:r>
          </w:p>
        </w:tc>
        <w:tc>
          <w:tcPr>
            <w:tcW w:w="535" w:type="pct"/>
            <w:shd w:val="clear" w:color="auto" w:fill="F2F2F2"/>
            <w:vAlign w:val="center"/>
          </w:tcPr>
          <w:p w14:paraId="692A7422"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1CB63B82"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4CEAE0C6" w14:textId="77777777" w:rsidTr="00CC2FE1">
        <w:tc>
          <w:tcPr>
            <w:tcW w:w="289" w:type="pct"/>
            <w:vMerge w:val="restart"/>
            <w:shd w:val="clear" w:color="auto" w:fill="F2F2F2"/>
            <w:vAlign w:val="center"/>
          </w:tcPr>
          <w:p w14:paraId="57B723E5"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8.</w:t>
            </w:r>
          </w:p>
        </w:tc>
        <w:tc>
          <w:tcPr>
            <w:tcW w:w="1220" w:type="pct"/>
            <w:vMerge w:val="restart"/>
            <w:shd w:val="clear" w:color="auto" w:fill="F2F2F2"/>
            <w:vAlign w:val="center"/>
          </w:tcPr>
          <w:p w14:paraId="27E8F789"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9D6280">
              <w:rPr>
                <w:rFonts w:ascii="Arial" w:hAnsi="Arial" w:cs="Arial"/>
                <w:sz w:val="16"/>
                <w:szCs w:val="16"/>
              </w:rPr>
              <w:t>Liczba zakupionego sprzętu medycznego, innego niż aparaty do oznaczania koronawirusa i respiratory</w:t>
            </w:r>
            <w:r>
              <w:rPr>
                <w:rFonts w:ascii="Arial" w:hAnsi="Arial" w:cs="Arial"/>
                <w:sz w:val="16"/>
                <w:szCs w:val="16"/>
              </w:rPr>
              <w:t xml:space="preserve"> - </w:t>
            </w:r>
            <w:r w:rsidRPr="009D6280">
              <w:rPr>
                <w:rFonts w:ascii="Arial" w:hAnsi="Arial" w:cs="Arial"/>
                <w:sz w:val="16"/>
                <w:szCs w:val="16"/>
              </w:rPr>
              <w:t>CV15</w:t>
            </w:r>
          </w:p>
        </w:tc>
        <w:tc>
          <w:tcPr>
            <w:tcW w:w="535" w:type="pct"/>
            <w:vMerge w:val="restart"/>
            <w:shd w:val="clear" w:color="auto" w:fill="F2F2F2"/>
            <w:vAlign w:val="center"/>
          </w:tcPr>
          <w:p w14:paraId="2F6D1977"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9D6280">
              <w:rPr>
                <w:rFonts w:ascii="Arial" w:hAnsi="Arial" w:cs="Arial"/>
                <w:sz w:val="16"/>
                <w:szCs w:val="16"/>
              </w:rPr>
              <w:t>szt.</w:t>
            </w:r>
          </w:p>
        </w:tc>
        <w:tc>
          <w:tcPr>
            <w:tcW w:w="535" w:type="pct"/>
            <w:vMerge w:val="restart"/>
            <w:shd w:val="clear" w:color="auto" w:fill="F2F2F2"/>
            <w:vAlign w:val="center"/>
          </w:tcPr>
          <w:p w14:paraId="0776A3C7"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6D75CFF3"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5BB78221"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1467</w:t>
            </w:r>
          </w:p>
        </w:tc>
        <w:tc>
          <w:tcPr>
            <w:tcW w:w="535" w:type="pct"/>
            <w:shd w:val="clear" w:color="auto" w:fill="F2F2F2"/>
            <w:vAlign w:val="center"/>
          </w:tcPr>
          <w:p w14:paraId="2A0818B6"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13A8C71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1A3832F2" w14:textId="77777777" w:rsidTr="00CC2FE1">
        <w:tc>
          <w:tcPr>
            <w:tcW w:w="289" w:type="pct"/>
            <w:vMerge/>
            <w:shd w:val="clear" w:color="auto" w:fill="F2F2F2"/>
            <w:vAlign w:val="center"/>
          </w:tcPr>
          <w:p w14:paraId="69BDEBD6"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360D5DC4"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p>
        </w:tc>
        <w:tc>
          <w:tcPr>
            <w:tcW w:w="535" w:type="pct"/>
            <w:vMerge/>
            <w:shd w:val="clear" w:color="auto" w:fill="F2F2F2"/>
            <w:vAlign w:val="center"/>
          </w:tcPr>
          <w:p w14:paraId="39D2E6B2"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6AE900DF"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07D34C6C"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502783CE"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93</w:t>
            </w:r>
          </w:p>
        </w:tc>
        <w:tc>
          <w:tcPr>
            <w:tcW w:w="535" w:type="pct"/>
            <w:shd w:val="clear" w:color="auto" w:fill="F2F2F2"/>
            <w:vAlign w:val="center"/>
          </w:tcPr>
          <w:p w14:paraId="16F854FF"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4FE18856"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46342C31" w14:textId="77777777" w:rsidTr="00CC2FE1">
        <w:tc>
          <w:tcPr>
            <w:tcW w:w="289" w:type="pct"/>
            <w:vMerge w:val="restart"/>
            <w:shd w:val="clear" w:color="auto" w:fill="F2F2F2"/>
            <w:vAlign w:val="center"/>
          </w:tcPr>
          <w:p w14:paraId="7907305F"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9.</w:t>
            </w:r>
          </w:p>
        </w:tc>
        <w:tc>
          <w:tcPr>
            <w:tcW w:w="1220" w:type="pct"/>
            <w:vMerge w:val="restart"/>
            <w:shd w:val="clear" w:color="auto" w:fill="F2F2F2"/>
            <w:vAlign w:val="center"/>
          </w:tcPr>
          <w:p w14:paraId="23D7B123"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AC6D90">
              <w:rPr>
                <w:rFonts w:ascii="Arial" w:hAnsi="Arial" w:cs="Arial"/>
                <w:sz w:val="16"/>
                <w:szCs w:val="16"/>
              </w:rPr>
              <w:t>Wartość zakupionego sprzętu medyczne</w:t>
            </w:r>
            <w:r>
              <w:rPr>
                <w:rFonts w:ascii="Arial" w:hAnsi="Arial" w:cs="Arial"/>
                <w:sz w:val="16"/>
                <w:szCs w:val="16"/>
              </w:rPr>
              <w:t xml:space="preserve">go </w:t>
            </w:r>
          </w:p>
        </w:tc>
        <w:tc>
          <w:tcPr>
            <w:tcW w:w="535" w:type="pct"/>
            <w:vMerge w:val="restart"/>
            <w:shd w:val="clear" w:color="auto" w:fill="F2F2F2"/>
            <w:vAlign w:val="center"/>
          </w:tcPr>
          <w:p w14:paraId="24B352AD"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Pr>
                <w:rFonts w:ascii="Arial" w:hAnsi="Arial" w:cs="Arial"/>
                <w:sz w:val="16"/>
                <w:szCs w:val="16"/>
              </w:rPr>
              <w:t>EUR</w:t>
            </w:r>
          </w:p>
        </w:tc>
        <w:tc>
          <w:tcPr>
            <w:tcW w:w="535" w:type="pct"/>
            <w:vMerge w:val="restart"/>
            <w:shd w:val="clear" w:color="auto" w:fill="F2F2F2"/>
            <w:vAlign w:val="center"/>
          </w:tcPr>
          <w:p w14:paraId="0E776AD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164AE2EC"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51F03447"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9 475 836</w:t>
            </w:r>
          </w:p>
        </w:tc>
        <w:tc>
          <w:tcPr>
            <w:tcW w:w="535" w:type="pct"/>
            <w:shd w:val="clear" w:color="auto" w:fill="F2F2F2"/>
            <w:vAlign w:val="center"/>
          </w:tcPr>
          <w:p w14:paraId="071258A5"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65DF650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2CFCDF44" w14:textId="77777777" w:rsidTr="00CC2FE1">
        <w:tc>
          <w:tcPr>
            <w:tcW w:w="289" w:type="pct"/>
            <w:vMerge/>
            <w:shd w:val="clear" w:color="auto" w:fill="F2F2F2"/>
            <w:vAlign w:val="center"/>
          </w:tcPr>
          <w:p w14:paraId="5A901B6E"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65793DAD"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p>
        </w:tc>
        <w:tc>
          <w:tcPr>
            <w:tcW w:w="535" w:type="pct"/>
            <w:vMerge/>
            <w:shd w:val="clear" w:color="auto" w:fill="F2F2F2"/>
            <w:vAlign w:val="center"/>
          </w:tcPr>
          <w:p w14:paraId="773FF335"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6B621E87"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2E3A1F00"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06C40384"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604 840</w:t>
            </w:r>
          </w:p>
        </w:tc>
        <w:tc>
          <w:tcPr>
            <w:tcW w:w="535" w:type="pct"/>
            <w:shd w:val="clear" w:color="auto" w:fill="F2F2F2"/>
            <w:vAlign w:val="center"/>
          </w:tcPr>
          <w:p w14:paraId="28C7A17E"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0D8B1DA4"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56BF0EC2" w14:textId="77777777" w:rsidTr="00CC2FE1">
        <w:tc>
          <w:tcPr>
            <w:tcW w:w="289" w:type="pct"/>
            <w:vMerge w:val="restart"/>
            <w:shd w:val="clear" w:color="auto" w:fill="F2F2F2"/>
            <w:vAlign w:val="center"/>
          </w:tcPr>
          <w:p w14:paraId="7C0E0080"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10.</w:t>
            </w:r>
          </w:p>
        </w:tc>
        <w:tc>
          <w:tcPr>
            <w:tcW w:w="1220" w:type="pct"/>
            <w:vMerge w:val="restart"/>
            <w:shd w:val="clear" w:color="auto" w:fill="F2F2F2"/>
            <w:vAlign w:val="center"/>
          </w:tcPr>
          <w:p w14:paraId="403635AC"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E472F2">
              <w:rPr>
                <w:rFonts w:ascii="Arial" w:hAnsi="Arial" w:cs="Arial"/>
                <w:sz w:val="16"/>
                <w:szCs w:val="16"/>
              </w:rPr>
              <w:t>Liczba zakupionych respiratorów w c</w:t>
            </w:r>
            <w:r>
              <w:rPr>
                <w:rFonts w:ascii="Arial" w:hAnsi="Arial" w:cs="Arial"/>
                <w:sz w:val="16"/>
                <w:szCs w:val="16"/>
              </w:rPr>
              <w:t xml:space="preserve">elu wsparcia leczenia COVID-19 </w:t>
            </w:r>
          </w:p>
        </w:tc>
        <w:tc>
          <w:tcPr>
            <w:tcW w:w="535" w:type="pct"/>
            <w:vMerge w:val="restart"/>
            <w:shd w:val="clear" w:color="auto" w:fill="F2F2F2"/>
            <w:vAlign w:val="center"/>
          </w:tcPr>
          <w:p w14:paraId="7AB5D508"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8A1D96">
              <w:rPr>
                <w:rFonts w:ascii="Arial" w:hAnsi="Arial" w:cs="Arial"/>
                <w:sz w:val="16"/>
                <w:szCs w:val="16"/>
              </w:rPr>
              <w:t>szt.</w:t>
            </w:r>
          </w:p>
        </w:tc>
        <w:tc>
          <w:tcPr>
            <w:tcW w:w="535" w:type="pct"/>
            <w:vMerge w:val="restart"/>
            <w:shd w:val="clear" w:color="auto" w:fill="F2F2F2"/>
            <w:vAlign w:val="center"/>
          </w:tcPr>
          <w:p w14:paraId="2CBA9409"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0CCDE820"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524ED8B5"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226</w:t>
            </w:r>
          </w:p>
        </w:tc>
        <w:tc>
          <w:tcPr>
            <w:tcW w:w="535" w:type="pct"/>
            <w:shd w:val="clear" w:color="auto" w:fill="F2F2F2"/>
            <w:vAlign w:val="center"/>
          </w:tcPr>
          <w:p w14:paraId="35DC83BA"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67B64697"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2DE42541" w14:textId="77777777" w:rsidTr="00CC2FE1">
        <w:tc>
          <w:tcPr>
            <w:tcW w:w="289" w:type="pct"/>
            <w:vMerge/>
            <w:shd w:val="clear" w:color="auto" w:fill="F2F2F2"/>
            <w:vAlign w:val="center"/>
          </w:tcPr>
          <w:p w14:paraId="7AA604A3"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4E0CCB17"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p>
        </w:tc>
        <w:tc>
          <w:tcPr>
            <w:tcW w:w="535" w:type="pct"/>
            <w:vMerge/>
            <w:shd w:val="clear" w:color="auto" w:fill="F2F2F2"/>
            <w:vAlign w:val="center"/>
          </w:tcPr>
          <w:p w14:paraId="5BD7FE28"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083E2558"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532B4828"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3E7C004C"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14</w:t>
            </w:r>
          </w:p>
        </w:tc>
        <w:tc>
          <w:tcPr>
            <w:tcW w:w="535" w:type="pct"/>
            <w:shd w:val="clear" w:color="auto" w:fill="F2F2F2"/>
            <w:vAlign w:val="center"/>
          </w:tcPr>
          <w:p w14:paraId="36242E50"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25119093"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0B323B42" w14:textId="77777777" w:rsidTr="00CC2FE1">
        <w:tc>
          <w:tcPr>
            <w:tcW w:w="289" w:type="pct"/>
            <w:vMerge w:val="restart"/>
            <w:shd w:val="clear" w:color="auto" w:fill="F2F2F2"/>
            <w:vAlign w:val="center"/>
          </w:tcPr>
          <w:p w14:paraId="2475FDE4"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11.</w:t>
            </w:r>
          </w:p>
        </w:tc>
        <w:tc>
          <w:tcPr>
            <w:tcW w:w="1220" w:type="pct"/>
            <w:vMerge w:val="restart"/>
            <w:shd w:val="clear" w:color="auto" w:fill="F2F2F2"/>
            <w:vAlign w:val="center"/>
          </w:tcPr>
          <w:p w14:paraId="5D99CE0C" w14:textId="77777777" w:rsidR="00273F01" w:rsidRPr="004E3242" w:rsidRDefault="00273F01" w:rsidP="00CC2FE1">
            <w:pPr>
              <w:autoSpaceDE w:val="0"/>
              <w:autoSpaceDN w:val="0"/>
              <w:adjustRightInd w:val="0"/>
              <w:spacing w:before="20" w:after="20" w:line="240" w:lineRule="auto"/>
              <w:rPr>
                <w:rFonts w:ascii="Arial" w:hAnsi="Arial" w:cs="Arial"/>
                <w:sz w:val="16"/>
                <w:szCs w:val="16"/>
              </w:rPr>
            </w:pPr>
            <w:r w:rsidRPr="00E001B6">
              <w:rPr>
                <w:rFonts w:ascii="Arial" w:hAnsi="Arial" w:cs="Arial"/>
                <w:sz w:val="16"/>
                <w:szCs w:val="16"/>
              </w:rPr>
              <w:t>Karetki pogotowia i pojazdy zakupione w celu reagowania kryzysowego</w:t>
            </w:r>
          </w:p>
        </w:tc>
        <w:tc>
          <w:tcPr>
            <w:tcW w:w="535" w:type="pct"/>
            <w:vMerge w:val="restart"/>
            <w:shd w:val="clear" w:color="auto" w:fill="F2F2F2"/>
            <w:vAlign w:val="center"/>
          </w:tcPr>
          <w:p w14:paraId="7082815E"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CD6B36">
              <w:rPr>
                <w:rFonts w:ascii="Arial" w:hAnsi="Arial" w:cs="Arial"/>
                <w:sz w:val="16"/>
                <w:szCs w:val="16"/>
              </w:rPr>
              <w:t>szt.</w:t>
            </w:r>
          </w:p>
        </w:tc>
        <w:tc>
          <w:tcPr>
            <w:tcW w:w="535" w:type="pct"/>
            <w:vMerge w:val="restart"/>
            <w:shd w:val="clear" w:color="auto" w:fill="F2F2F2"/>
            <w:vAlign w:val="center"/>
          </w:tcPr>
          <w:p w14:paraId="59A9D946"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64014272"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35" w:type="pct"/>
            <w:shd w:val="clear" w:color="auto" w:fill="F2F2F2"/>
            <w:vAlign w:val="center"/>
          </w:tcPr>
          <w:p w14:paraId="1F5EFE76"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75</w:t>
            </w:r>
          </w:p>
        </w:tc>
        <w:tc>
          <w:tcPr>
            <w:tcW w:w="535" w:type="pct"/>
            <w:shd w:val="clear" w:color="auto" w:fill="F2F2F2"/>
            <w:vAlign w:val="center"/>
          </w:tcPr>
          <w:p w14:paraId="1A54AFB0"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3DE4BCF8"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r w:rsidR="00273F01" w:rsidRPr="004E3242" w14:paraId="75B1D129" w14:textId="77777777" w:rsidTr="00CC2FE1">
        <w:tc>
          <w:tcPr>
            <w:tcW w:w="289" w:type="pct"/>
            <w:vMerge/>
            <w:shd w:val="clear" w:color="auto" w:fill="F2F2F2"/>
            <w:vAlign w:val="center"/>
          </w:tcPr>
          <w:p w14:paraId="2117F931"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1220" w:type="pct"/>
            <w:vMerge/>
            <w:shd w:val="clear" w:color="auto" w:fill="F2F2F2"/>
            <w:vAlign w:val="center"/>
          </w:tcPr>
          <w:p w14:paraId="2FBF98B4"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64520B4D"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p>
        </w:tc>
        <w:tc>
          <w:tcPr>
            <w:tcW w:w="535" w:type="pct"/>
            <w:vMerge/>
            <w:shd w:val="clear" w:color="auto" w:fill="F2F2F2"/>
            <w:vAlign w:val="center"/>
          </w:tcPr>
          <w:p w14:paraId="3A8887FA"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p>
        </w:tc>
        <w:tc>
          <w:tcPr>
            <w:tcW w:w="608" w:type="pct"/>
            <w:shd w:val="clear" w:color="auto" w:fill="F2F2F2"/>
            <w:vAlign w:val="center"/>
          </w:tcPr>
          <w:p w14:paraId="22D55717"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35" w:type="pct"/>
            <w:shd w:val="clear" w:color="auto" w:fill="F2F2F2"/>
            <w:vAlign w:val="center"/>
          </w:tcPr>
          <w:p w14:paraId="6D7ADBF4" w14:textId="77777777" w:rsidR="00273F01" w:rsidRDefault="00273F01" w:rsidP="00CC2FE1">
            <w:pPr>
              <w:autoSpaceDE w:val="0"/>
              <w:autoSpaceDN w:val="0"/>
              <w:adjustRightInd w:val="0"/>
              <w:spacing w:before="20" w:after="20" w:line="240" w:lineRule="auto"/>
              <w:jc w:val="center"/>
              <w:rPr>
                <w:rFonts w:ascii="Arial" w:hAnsi="Arial" w:cs="Arial"/>
                <w:spacing w:val="4"/>
                <w:sz w:val="16"/>
                <w:szCs w:val="16"/>
              </w:rPr>
            </w:pPr>
            <w:r>
              <w:rPr>
                <w:rFonts w:ascii="Arial" w:hAnsi="Arial" w:cs="Arial"/>
                <w:spacing w:val="4"/>
                <w:sz w:val="16"/>
                <w:szCs w:val="16"/>
              </w:rPr>
              <w:t>5</w:t>
            </w:r>
          </w:p>
        </w:tc>
        <w:tc>
          <w:tcPr>
            <w:tcW w:w="535" w:type="pct"/>
            <w:shd w:val="clear" w:color="auto" w:fill="F2F2F2"/>
            <w:vAlign w:val="center"/>
          </w:tcPr>
          <w:p w14:paraId="1D550E3D" w14:textId="77777777" w:rsidR="00273F01" w:rsidRPr="004E3242" w:rsidRDefault="00273F01" w:rsidP="00CC2FE1">
            <w:pPr>
              <w:autoSpaceDE w:val="0"/>
              <w:autoSpaceDN w:val="0"/>
              <w:adjustRightInd w:val="0"/>
              <w:spacing w:before="20" w:after="20" w:line="240" w:lineRule="auto"/>
              <w:jc w:val="center"/>
              <w:rPr>
                <w:rFonts w:ascii="Arial" w:hAnsi="Arial" w:cs="Arial"/>
                <w:sz w:val="16"/>
                <w:szCs w:val="16"/>
              </w:rPr>
            </w:pPr>
            <w:r w:rsidRPr="004E3242">
              <w:rPr>
                <w:rFonts w:ascii="Arial" w:hAnsi="Arial" w:cs="Arial"/>
                <w:sz w:val="16"/>
                <w:szCs w:val="16"/>
              </w:rPr>
              <w:t>SL 2014</w:t>
            </w:r>
          </w:p>
        </w:tc>
        <w:tc>
          <w:tcPr>
            <w:tcW w:w="743" w:type="pct"/>
            <w:shd w:val="clear" w:color="auto" w:fill="F2F2F2"/>
            <w:vAlign w:val="center"/>
          </w:tcPr>
          <w:p w14:paraId="630FF188" w14:textId="77777777" w:rsidR="00273F01" w:rsidRPr="004E3242" w:rsidRDefault="00273F01" w:rsidP="00CC2FE1">
            <w:pPr>
              <w:autoSpaceDE w:val="0"/>
              <w:autoSpaceDN w:val="0"/>
              <w:adjustRightInd w:val="0"/>
              <w:spacing w:before="20" w:after="20" w:line="240" w:lineRule="auto"/>
              <w:jc w:val="center"/>
              <w:rPr>
                <w:rFonts w:ascii="Arial" w:hAnsi="Arial" w:cs="Arial"/>
                <w:spacing w:val="4"/>
                <w:sz w:val="16"/>
                <w:szCs w:val="16"/>
              </w:rPr>
            </w:pPr>
            <w:r w:rsidRPr="004E3242">
              <w:rPr>
                <w:rFonts w:ascii="Arial" w:hAnsi="Arial" w:cs="Arial"/>
                <w:spacing w:val="4"/>
                <w:sz w:val="16"/>
                <w:szCs w:val="16"/>
              </w:rPr>
              <w:t>Rocznie</w:t>
            </w:r>
          </w:p>
        </w:tc>
      </w:tr>
    </w:tbl>
    <w:p w14:paraId="1EEFF38A"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Potencjalni beneficjenci oraz grupy docelowe</w:t>
      </w:r>
    </w:p>
    <w:p w14:paraId="765EAE4D" w14:textId="77777777" w:rsidR="004E3242" w:rsidRPr="004E3242" w:rsidRDefault="004E3242" w:rsidP="00B345B6">
      <w:pPr>
        <w:autoSpaceDE w:val="0"/>
        <w:autoSpaceDN w:val="0"/>
        <w:adjustRightInd w:val="0"/>
        <w:spacing w:before="120" w:after="120"/>
        <w:jc w:val="both"/>
        <w:rPr>
          <w:rFonts w:ascii="Arial" w:hAnsi="Arial" w:cs="Arial"/>
          <w:color w:val="000000"/>
          <w:sz w:val="20"/>
          <w:szCs w:val="20"/>
        </w:rPr>
      </w:pPr>
      <w:r w:rsidRPr="004E3242">
        <w:rPr>
          <w:rFonts w:ascii="Arial" w:hAnsi="Arial" w:cs="Arial"/>
          <w:color w:val="000000"/>
          <w:sz w:val="20"/>
          <w:szCs w:val="20"/>
        </w:rPr>
        <w:t>Beneficjentami realizowanych w ramach osi priorytetowej projektów będą:</w:t>
      </w:r>
    </w:p>
    <w:p w14:paraId="2951B084" w14:textId="77777777" w:rsidR="004E3242" w:rsidRDefault="00A16634" w:rsidP="00A16634">
      <w:pPr>
        <w:numPr>
          <w:ilvl w:val="0"/>
          <w:numId w:val="18"/>
        </w:numPr>
        <w:autoSpaceDE w:val="0"/>
        <w:autoSpaceDN w:val="0"/>
        <w:adjustRightInd w:val="0"/>
        <w:spacing w:before="120" w:after="120"/>
        <w:jc w:val="both"/>
        <w:rPr>
          <w:rFonts w:ascii="Arial" w:hAnsi="Arial" w:cs="Arial"/>
          <w:color w:val="000000"/>
          <w:sz w:val="20"/>
          <w:szCs w:val="20"/>
        </w:rPr>
      </w:pPr>
      <w:r w:rsidRPr="00A16634">
        <w:rPr>
          <w:rFonts w:ascii="Arial" w:hAnsi="Arial" w:cs="Arial"/>
          <w:color w:val="000000"/>
          <w:sz w:val="20"/>
          <w:szCs w:val="20"/>
        </w:rPr>
        <w:t>podmioty lecznicze udzielające świadczeń zdrowotnych w zakresie ratownictwa medycznego</w:t>
      </w:r>
      <w:r w:rsidR="003D56B8" w:rsidRPr="003D56B8">
        <w:rPr>
          <w:rFonts w:ascii="Arial" w:hAnsi="Arial" w:cs="Arial"/>
          <w:color w:val="000000"/>
          <w:sz w:val="20"/>
          <w:szCs w:val="20"/>
        </w:rPr>
        <w:t xml:space="preserve"> </w:t>
      </w:r>
      <w:r w:rsidR="003D56B8">
        <w:rPr>
          <w:rFonts w:ascii="Arial" w:hAnsi="Arial" w:cs="Arial"/>
          <w:color w:val="000000"/>
          <w:sz w:val="20"/>
          <w:szCs w:val="20"/>
        </w:rPr>
        <w:t xml:space="preserve">lub </w:t>
      </w:r>
      <w:r w:rsidR="003D56B8" w:rsidRPr="00EE1A7C">
        <w:t xml:space="preserve"> </w:t>
      </w:r>
      <w:r w:rsidR="003D56B8" w:rsidRPr="00EE1A7C">
        <w:rPr>
          <w:rFonts w:ascii="Arial" w:hAnsi="Arial" w:cs="Arial"/>
          <w:color w:val="000000"/>
          <w:sz w:val="20"/>
          <w:szCs w:val="20"/>
        </w:rPr>
        <w:t>transport</w:t>
      </w:r>
      <w:r w:rsidR="003D56B8">
        <w:rPr>
          <w:rFonts w:ascii="Arial" w:hAnsi="Arial" w:cs="Arial"/>
          <w:color w:val="000000"/>
          <w:sz w:val="20"/>
          <w:szCs w:val="20"/>
        </w:rPr>
        <w:t>u</w:t>
      </w:r>
      <w:r w:rsidR="003D56B8" w:rsidRPr="00EE1A7C">
        <w:rPr>
          <w:rFonts w:ascii="Arial" w:hAnsi="Arial" w:cs="Arial"/>
          <w:color w:val="000000"/>
          <w:sz w:val="20"/>
          <w:szCs w:val="20"/>
        </w:rPr>
        <w:t xml:space="preserve"> sanitarn</w:t>
      </w:r>
      <w:r w:rsidR="003D56B8">
        <w:rPr>
          <w:rFonts w:ascii="Arial" w:hAnsi="Arial" w:cs="Arial"/>
          <w:color w:val="000000"/>
          <w:sz w:val="20"/>
          <w:szCs w:val="20"/>
        </w:rPr>
        <w:t>ego</w:t>
      </w:r>
      <w:r w:rsidRPr="00A16634">
        <w:rPr>
          <w:rFonts w:ascii="Arial" w:hAnsi="Arial" w:cs="Arial"/>
          <w:color w:val="000000"/>
          <w:sz w:val="20"/>
          <w:szCs w:val="20"/>
        </w:rPr>
        <w:t>;</w:t>
      </w:r>
    </w:p>
    <w:p w14:paraId="3DED8B33" w14:textId="77777777" w:rsidR="003854FF" w:rsidRDefault="00A16634" w:rsidP="00A16634">
      <w:pPr>
        <w:numPr>
          <w:ilvl w:val="0"/>
          <w:numId w:val="18"/>
        </w:numPr>
        <w:autoSpaceDE w:val="0"/>
        <w:autoSpaceDN w:val="0"/>
        <w:adjustRightInd w:val="0"/>
        <w:spacing w:before="120" w:after="120"/>
        <w:jc w:val="both"/>
        <w:rPr>
          <w:rFonts w:ascii="Arial" w:hAnsi="Arial" w:cs="Arial"/>
          <w:color w:val="000000"/>
          <w:sz w:val="20"/>
          <w:szCs w:val="20"/>
        </w:rPr>
      </w:pPr>
      <w:r w:rsidRPr="00A16634">
        <w:rPr>
          <w:rFonts w:ascii="Arial" w:hAnsi="Arial" w:cs="Arial"/>
          <w:color w:val="000000"/>
          <w:sz w:val="20"/>
          <w:szCs w:val="20"/>
        </w:rPr>
        <w:t xml:space="preserve">podmioty lecznicze (a także przedsiębiorcy powstali z ich przekształcenia) utworzone przez ministra lub centralny organ administracji rządowej, publiczną uczelnię medyczną lub publiczną uczelnię prowadzącą działalność dydaktyczną i badawczą w dziedzinie nauk </w:t>
      </w:r>
      <w:r w:rsidRPr="00A16634">
        <w:rPr>
          <w:rFonts w:ascii="Arial" w:hAnsi="Arial" w:cs="Arial"/>
          <w:color w:val="000000"/>
          <w:sz w:val="20"/>
          <w:szCs w:val="20"/>
        </w:rPr>
        <w:lastRenderedPageBreak/>
        <w:t xml:space="preserve">medycznych, instytuty badawcze prowadzące badania naukowe i prace rozwojowe </w:t>
      </w:r>
      <w:r>
        <w:rPr>
          <w:rFonts w:ascii="Arial" w:hAnsi="Arial" w:cs="Arial"/>
          <w:color w:val="000000"/>
          <w:sz w:val="20"/>
          <w:szCs w:val="20"/>
        </w:rPr>
        <w:br/>
      </w:r>
      <w:r w:rsidRPr="00A16634">
        <w:rPr>
          <w:rFonts w:ascii="Arial" w:hAnsi="Arial" w:cs="Arial"/>
          <w:color w:val="000000"/>
          <w:sz w:val="20"/>
          <w:szCs w:val="20"/>
        </w:rPr>
        <w:t>w dziedzinie nauk medycznych, uczestniczące w systemie ochrony zdrowia</w:t>
      </w:r>
      <w:r w:rsidR="003854FF">
        <w:rPr>
          <w:rFonts w:ascii="Arial" w:hAnsi="Arial" w:cs="Arial"/>
          <w:color w:val="000000"/>
          <w:sz w:val="20"/>
          <w:szCs w:val="20"/>
        </w:rPr>
        <w:t>;</w:t>
      </w:r>
    </w:p>
    <w:p w14:paraId="5D01F5CC" w14:textId="77777777" w:rsidR="00117293" w:rsidRDefault="00117293" w:rsidP="00117293">
      <w:pPr>
        <w:numPr>
          <w:ilvl w:val="0"/>
          <w:numId w:val="18"/>
        </w:num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 xml:space="preserve">podmioty </w:t>
      </w:r>
      <w:r w:rsidRPr="003F18D5">
        <w:rPr>
          <w:rFonts w:ascii="Arial" w:hAnsi="Arial" w:cs="Arial"/>
          <w:color w:val="000000"/>
          <w:sz w:val="20"/>
          <w:szCs w:val="20"/>
        </w:rPr>
        <w:t>lecznicze (a także przedsiębiorcy powstali z ich przekształcenia)</w:t>
      </w:r>
      <w:r>
        <w:rPr>
          <w:rFonts w:ascii="Arial" w:hAnsi="Arial" w:cs="Arial"/>
          <w:color w:val="000000"/>
          <w:sz w:val="20"/>
          <w:szCs w:val="20"/>
        </w:rPr>
        <w:t xml:space="preserve"> inne niż wymienione powyżej </w:t>
      </w:r>
      <w:r w:rsidRPr="003F18D5">
        <w:rPr>
          <w:rFonts w:ascii="Arial" w:hAnsi="Arial" w:cs="Arial"/>
          <w:color w:val="000000"/>
          <w:sz w:val="20"/>
          <w:szCs w:val="20"/>
        </w:rPr>
        <w:t xml:space="preserve"> </w:t>
      </w:r>
      <w:r>
        <w:rPr>
          <w:rFonts w:ascii="Arial" w:hAnsi="Arial" w:cs="Arial"/>
          <w:color w:val="000000"/>
          <w:sz w:val="20"/>
          <w:szCs w:val="20"/>
        </w:rPr>
        <w:t>udzielające świadczeń zdrowotnych finansowanych ze środków publicznych;</w:t>
      </w:r>
    </w:p>
    <w:p w14:paraId="2F3F7DE2" w14:textId="77777777" w:rsidR="00117293" w:rsidRPr="00AE509D" w:rsidRDefault="00117293" w:rsidP="00AE509D">
      <w:pPr>
        <w:numPr>
          <w:ilvl w:val="0"/>
          <w:numId w:val="18"/>
        </w:numPr>
        <w:autoSpaceDE w:val="0"/>
        <w:autoSpaceDN w:val="0"/>
        <w:adjustRightInd w:val="0"/>
        <w:spacing w:before="120" w:after="120"/>
        <w:jc w:val="both"/>
        <w:rPr>
          <w:rFonts w:ascii="Arial" w:hAnsi="Arial" w:cs="Arial"/>
          <w:color w:val="000000"/>
          <w:sz w:val="20"/>
          <w:szCs w:val="20"/>
        </w:rPr>
      </w:pPr>
      <w:r w:rsidRPr="00AE509D">
        <w:rPr>
          <w:rFonts w:ascii="Arial" w:hAnsi="Arial" w:cs="Arial"/>
          <w:color w:val="000000"/>
          <w:sz w:val="20"/>
          <w:szCs w:val="20"/>
        </w:rPr>
        <w:t>Minister właściwy ds. zdrowia;</w:t>
      </w:r>
    </w:p>
    <w:p w14:paraId="31CD1AB9" w14:textId="77777777" w:rsidR="00117293" w:rsidRPr="00AE509D" w:rsidRDefault="00117293" w:rsidP="00AE509D">
      <w:pPr>
        <w:numPr>
          <w:ilvl w:val="0"/>
          <w:numId w:val="18"/>
        </w:numPr>
        <w:autoSpaceDE w:val="0"/>
        <w:autoSpaceDN w:val="0"/>
        <w:adjustRightInd w:val="0"/>
        <w:spacing w:before="120" w:after="120"/>
        <w:jc w:val="both"/>
        <w:rPr>
          <w:rFonts w:ascii="Arial" w:hAnsi="Arial" w:cs="Arial"/>
          <w:color w:val="000000"/>
          <w:sz w:val="20"/>
          <w:szCs w:val="20"/>
        </w:rPr>
      </w:pPr>
      <w:r w:rsidRPr="00AE509D">
        <w:rPr>
          <w:rFonts w:ascii="Arial" w:hAnsi="Arial" w:cs="Arial"/>
          <w:color w:val="000000"/>
          <w:sz w:val="20"/>
          <w:szCs w:val="20"/>
        </w:rPr>
        <w:t>Organy Państwowej Inspekcji Sanitarnej;</w:t>
      </w:r>
    </w:p>
    <w:p w14:paraId="2486F9F5" w14:textId="77777777" w:rsidR="00117293" w:rsidRPr="00AE509D" w:rsidRDefault="00117293" w:rsidP="00AE509D">
      <w:pPr>
        <w:numPr>
          <w:ilvl w:val="0"/>
          <w:numId w:val="18"/>
        </w:numPr>
        <w:autoSpaceDE w:val="0"/>
        <w:autoSpaceDN w:val="0"/>
        <w:adjustRightInd w:val="0"/>
        <w:spacing w:before="120" w:after="120"/>
        <w:jc w:val="both"/>
        <w:rPr>
          <w:rFonts w:ascii="Arial" w:hAnsi="Arial" w:cs="Arial"/>
          <w:color w:val="000000"/>
          <w:sz w:val="20"/>
          <w:szCs w:val="20"/>
        </w:rPr>
      </w:pPr>
      <w:r w:rsidRPr="00AE509D">
        <w:rPr>
          <w:rFonts w:ascii="Arial" w:hAnsi="Arial" w:cs="Arial"/>
          <w:color w:val="000000"/>
          <w:sz w:val="20"/>
          <w:szCs w:val="20"/>
        </w:rPr>
        <w:t>Organy Wojskowej Inspekcji Sanitarnej;</w:t>
      </w:r>
    </w:p>
    <w:p w14:paraId="6930022B" w14:textId="77777777" w:rsidR="00117293" w:rsidRPr="00AE509D" w:rsidRDefault="00117293" w:rsidP="00AE509D">
      <w:pPr>
        <w:numPr>
          <w:ilvl w:val="0"/>
          <w:numId w:val="18"/>
        </w:numPr>
        <w:autoSpaceDE w:val="0"/>
        <w:autoSpaceDN w:val="0"/>
        <w:adjustRightInd w:val="0"/>
        <w:spacing w:before="120" w:after="120"/>
        <w:jc w:val="both"/>
        <w:rPr>
          <w:rFonts w:ascii="Arial" w:hAnsi="Arial" w:cs="Arial"/>
          <w:color w:val="000000"/>
          <w:sz w:val="20"/>
          <w:szCs w:val="20"/>
        </w:rPr>
      </w:pPr>
      <w:r w:rsidRPr="00AE509D">
        <w:rPr>
          <w:rFonts w:ascii="Arial" w:hAnsi="Arial" w:cs="Arial"/>
          <w:color w:val="000000"/>
          <w:sz w:val="20"/>
          <w:szCs w:val="20"/>
        </w:rPr>
        <w:t>Agencja Rezerw Materiałowych;</w:t>
      </w:r>
    </w:p>
    <w:p w14:paraId="71D0277A" w14:textId="77777777" w:rsidR="00117293" w:rsidRPr="00AE509D" w:rsidRDefault="00117293" w:rsidP="00AE509D">
      <w:pPr>
        <w:numPr>
          <w:ilvl w:val="0"/>
          <w:numId w:val="18"/>
        </w:numPr>
        <w:autoSpaceDE w:val="0"/>
        <w:autoSpaceDN w:val="0"/>
        <w:adjustRightInd w:val="0"/>
        <w:spacing w:before="120" w:after="120"/>
        <w:jc w:val="both"/>
        <w:rPr>
          <w:rFonts w:ascii="Arial" w:hAnsi="Arial" w:cs="Arial"/>
          <w:color w:val="000000"/>
          <w:sz w:val="20"/>
          <w:szCs w:val="20"/>
        </w:rPr>
      </w:pPr>
      <w:r w:rsidRPr="00AE509D">
        <w:rPr>
          <w:rFonts w:ascii="Arial" w:hAnsi="Arial" w:cs="Arial"/>
          <w:color w:val="000000"/>
          <w:sz w:val="20"/>
          <w:szCs w:val="20"/>
        </w:rPr>
        <w:t>Centralna Baza Rezerw Sanitarno-Przeciwepidemicznych w Porębach;</w:t>
      </w:r>
    </w:p>
    <w:p w14:paraId="598756D3" w14:textId="77777777" w:rsidR="00117293" w:rsidRPr="00AE509D" w:rsidRDefault="00117293" w:rsidP="00AE509D">
      <w:pPr>
        <w:numPr>
          <w:ilvl w:val="0"/>
          <w:numId w:val="18"/>
        </w:numPr>
        <w:autoSpaceDE w:val="0"/>
        <w:autoSpaceDN w:val="0"/>
        <w:adjustRightInd w:val="0"/>
        <w:spacing w:before="120" w:after="120"/>
        <w:jc w:val="both"/>
        <w:rPr>
          <w:rFonts w:ascii="Arial" w:hAnsi="Arial" w:cs="Arial"/>
          <w:color w:val="000000"/>
          <w:sz w:val="20"/>
          <w:szCs w:val="20"/>
        </w:rPr>
      </w:pPr>
      <w:r w:rsidRPr="00AE509D">
        <w:rPr>
          <w:rFonts w:ascii="Arial" w:hAnsi="Arial" w:cs="Arial"/>
          <w:color w:val="000000"/>
          <w:sz w:val="20"/>
          <w:szCs w:val="20"/>
        </w:rPr>
        <w:t>Narodowy Instytut Zdrowia Publicznego - Państwowy Zakład Higieny;</w:t>
      </w:r>
    </w:p>
    <w:p w14:paraId="381ABEE2" w14:textId="77777777" w:rsidR="00117293" w:rsidRPr="00AE509D" w:rsidRDefault="00117293" w:rsidP="00AE509D">
      <w:pPr>
        <w:numPr>
          <w:ilvl w:val="0"/>
          <w:numId w:val="18"/>
        </w:numPr>
        <w:autoSpaceDE w:val="0"/>
        <w:autoSpaceDN w:val="0"/>
        <w:adjustRightInd w:val="0"/>
        <w:spacing w:before="120" w:after="120"/>
        <w:jc w:val="both"/>
        <w:rPr>
          <w:rFonts w:ascii="Arial" w:hAnsi="Arial" w:cs="Arial"/>
          <w:color w:val="000000"/>
          <w:sz w:val="20"/>
          <w:szCs w:val="20"/>
        </w:rPr>
      </w:pPr>
      <w:r w:rsidRPr="00AE509D">
        <w:rPr>
          <w:rFonts w:ascii="Arial" w:hAnsi="Arial" w:cs="Arial"/>
          <w:color w:val="000000"/>
          <w:sz w:val="20"/>
          <w:szCs w:val="20"/>
        </w:rPr>
        <w:t xml:space="preserve">inne jednostki/podmioty </w:t>
      </w:r>
      <w:r w:rsidRPr="00AE509D">
        <w:rPr>
          <w:rFonts w:ascii="Arial" w:hAnsi="Arial" w:cs="Arial"/>
          <w:bCs/>
          <w:color w:val="000000"/>
          <w:sz w:val="20"/>
          <w:szCs w:val="20"/>
        </w:rPr>
        <w:t>wskazane przez Ministra właściwego ds. zdrowia do realizacji działań związanych z zapobieganiem, przeciwdziałaniem i zwalczaniem „COVID-19” oraz innych chorób zakaźnych.</w:t>
      </w:r>
      <w:r w:rsidRPr="00AE509D">
        <w:rPr>
          <w:rFonts w:ascii="Arial" w:hAnsi="Arial" w:cs="Arial"/>
          <w:color w:val="000000"/>
          <w:sz w:val="20"/>
          <w:szCs w:val="20"/>
        </w:rPr>
        <w:t xml:space="preserve"> </w:t>
      </w:r>
    </w:p>
    <w:p w14:paraId="7519C2F5" w14:textId="77777777" w:rsidR="00062799"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Grupami docelowymi wsparcia będą użytkownicy, którym zostanie udzielona pomoc w ramach systemu ratownictwa medycznego oraz korzystający z infrastruktury szpitali</w:t>
      </w:r>
      <w:r w:rsidR="001F0A91">
        <w:rPr>
          <w:rFonts w:ascii="Arial" w:hAnsi="Arial" w:cs="Arial"/>
          <w:spacing w:val="4"/>
          <w:sz w:val="20"/>
          <w:szCs w:val="20"/>
        </w:rPr>
        <w:t>,</w:t>
      </w:r>
      <w:r w:rsidR="001F0A91" w:rsidRPr="001F0A91">
        <w:rPr>
          <w:rFonts w:ascii="Arial" w:hAnsi="Arial" w:cs="Arial"/>
          <w:spacing w:val="4"/>
          <w:sz w:val="20"/>
          <w:szCs w:val="20"/>
        </w:rPr>
        <w:t xml:space="preserve"> </w:t>
      </w:r>
      <w:r w:rsidR="001F0A91">
        <w:rPr>
          <w:rFonts w:ascii="Arial" w:hAnsi="Arial" w:cs="Arial"/>
          <w:spacing w:val="4"/>
          <w:sz w:val="20"/>
          <w:szCs w:val="20"/>
        </w:rPr>
        <w:t xml:space="preserve">w tym szpitali </w:t>
      </w:r>
      <w:r w:rsidR="001F0A91" w:rsidRPr="004E3242">
        <w:rPr>
          <w:rFonts w:ascii="Arial" w:hAnsi="Arial" w:cs="Arial"/>
          <w:spacing w:val="4"/>
          <w:sz w:val="20"/>
          <w:szCs w:val="20"/>
        </w:rPr>
        <w:t xml:space="preserve"> </w:t>
      </w:r>
      <w:r w:rsidRPr="004E3242">
        <w:rPr>
          <w:rFonts w:ascii="Arial" w:hAnsi="Arial" w:cs="Arial"/>
          <w:spacing w:val="4"/>
          <w:sz w:val="20"/>
          <w:szCs w:val="20"/>
        </w:rPr>
        <w:t xml:space="preserve"> ponadregionalnych.</w:t>
      </w:r>
    </w:p>
    <w:p w14:paraId="78592F8E" w14:textId="77777777" w:rsidR="00E93298" w:rsidRDefault="007F1427" w:rsidP="004E3242">
      <w:pPr>
        <w:spacing w:before="120" w:after="120"/>
        <w:jc w:val="both"/>
        <w:rPr>
          <w:rFonts w:ascii="Arial" w:hAnsi="Arial" w:cs="Arial"/>
          <w:spacing w:val="4"/>
          <w:sz w:val="20"/>
          <w:szCs w:val="20"/>
        </w:rPr>
      </w:pPr>
      <w:r w:rsidRPr="007F1427">
        <w:rPr>
          <w:rFonts w:ascii="Arial" w:hAnsi="Arial" w:cs="Arial"/>
          <w:spacing w:val="4"/>
          <w:sz w:val="20"/>
          <w:szCs w:val="20"/>
        </w:rPr>
        <w:t>Grupami docelowymi wsparcia w ramach działań związanych z zapobieganiem, przeciwdziałaniem i zwalczaniem „COVID-19” oraz innych chorób zakaźnych będą użytkownicy, korzystający ze sprzętu/środków zakupionych w ramach ww. działań, zakażeni i zagrożeni zakażeniem "COVID-19.”</w:t>
      </w:r>
    </w:p>
    <w:p w14:paraId="108252D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p>
    <w:p w14:paraId="72B116D6" w14:textId="77777777" w:rsidR="004E3242" w:rsidRPr="004E3242" w:rsidRDefault="004E3242" w:rsidP="004E3242">
      <w:pPr>
        <w:spacing w:before="120" w:after="120"/>
        <w:jc w:val="both"/>
        <w:rPr>
          <w:rFonts w:ascii="Arial" w:hAnsi="Arial" w:cs="Arial"/>
          <w:color w:val="000000"/>
          <w:sz w:val="20"/>
          <w:szCs w:val="20"/>
        </w:rPr>
      </w:pPr>
      <w:r w:rsidRPr="004E3242">
        <w:rPr>
          <w:rFonts w:ascii="Arial" w:hAnsi="Arial" w:cs="Arial"/>
          <w:color w:val="000000"/>
          <w:sz w:val="20"/>
          <w:szCs w:val="20"/>
        </w:rPr>
        <w:t xml:space="preserve">Zaplanowane działania, poprzez wzmocnienie kluczowych elementów infrastruktury, będą wnosić wkład w poprawę bezpieczeństwa zdrowotnego, a tym samym podnoszenie jakości życia na całym obszarze Morza Bałtyckiego, co zostało podkreślone w SUE RMB w ramach Obszaru Priorytetowego HEALTH </w:t>
      </w:r>
      <w:r w:rsidRPr="004E3242">
        <w:rPr>
          <w:rFonts w:ascii="Arial" w:hAnsi="Arial" w:cs="Arial"/>
          <w:i/>
          <w:color w:val="000000"/>
          <w:sz w:val="20"/>
          <w:szCs w:val="20"/>
        </w:rPr>
        <w:t>Poprawa i promowanie zdrowia mieszkańców, w tym jego aspektów społecznych</w:t>
      </w:r>
      <w:r w:rsidRPr="004E3242">
        <w:rPr>
          <w:rFonts w:ascii="Arial" w:hAnsi="Arial" w:cs="Arial"/>
          <w:color w:val="000000"/>
          <w:sz w:val="20"/>
          <w:szCs w:val="20"/>
        </w:rPr>
        <w:t xml:space="preserve">. Planowany do realizacji zakres wsparcia wpisuje się również w założenia </w:t>
      </w:r>
      <w:r w:rsidRPr="004E3242">
        <w:rPr>
          <w:rFonts w:ascii="Arial" w:hAnsi="Arial" w:cs="Arial"/>
          <w:i/>
          <w:color w:val="000000"/>
          <w:sz w:val="20"/>
          <w:szCs w:val="20"/>
        </w:rPr>
        <w:t>Strategii rozwoju społeczno-gospodarczego Polski Wschodniej do roku 2020</w:t>
      </w:r>
      <w:r w:rsidRPr="004E3242">
        <w:rPr>
          <w:rFonts w:ascii="Arial" w:hAnsi="Arial" w:cs="Arial"/>
          <w:color w:val="000000"/>
          <w:sz w:val="20"/>
          <w:szCs w:val="20"/>
        </w:rPr>
        <w:t>, jak również odpowiada na potrzeby rozwoju subregionów i dużych metropolii Polski.</w:t>
      </w:r>
    </w:p>
    <w:p w14:paraId="0EC5FEF0"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pacing w:val="4"/>
          <w:sz w:val="20"/>
          <w:szCs w:val="20"/>
        </w:rPr>
        <w:t xml:space="preserve">W ramach inwestycji w infrastrukturę </w:t>
      </w:r>
      <w:r w:rsidRPr="004E3242">
        <w:rPr>
          <w:rFonts w:ascii="Arial" w:hAnsi="Arial" w:cs="Arial"/>
          <w:bCs/>
          <w:spacing w:val="4"/>
          <w:sz w:val="20"/>
          <w:szCs w:val="20"/>
        </w:rPr>
        <w:t>Systemu Państwowego Ratownictwa Medycznego,</w:t>
      </w:r>
      <w:r w:rsidRPr="004E3242">
        <w:rPr>
          <w:rFonts w:ascii="Arial" w:hAnsi="Arial" w:cs="Arial"/>
          <w:spacing w:val="4"/>
          <w:sz w:val="20"/>
          <w:szCs w:val="20"/>
        </w:rPr>
        <w:t xml:space="preserve"> identyfikuje się potrzebę utworzenia nowych SOR. W niektórych województwach nadal istnieją luki w dostępie do tej infrastruktury ratownictwa medycznego. Utworzenie dodatkowych Szpitalnych Oddziałów Ratunkowych pozwoli na </w:t>
      </w:r>
      <w:r w:rsidRPr="004E3242">
        <w:rPr>
          <w:rFonts w:ascii="Arial" w:hAnsi="Arial" w:cs="Arial"/>
          <w:sz w:val="20"/>
          <w:szCs w:val="20"/>
        </w:rPr>
        <w:t>zbliżenie się do wypełnienia</w:t>
      </w:r>
      <w:r w:rsidRPr="004E3242">
        <w:rPr>
          <w:rFonts w:ascii="Arial" w:hAnsi="Arial" w:cs="Arial"/>
          <w:spacing w:val="4"/>
          <w:sz w:val="20"/>
          <w:szCs w:val="20"/>
        </w:rPr>
        <w:t xml:space="preserve"> kryterium, zgodnie </w:t>
      </w:r>
      <w:r w:rsidRPr="004E3242">
        <w:rPr>
          <w:rFonts w:ascii="Arial" w:hAnsi="Arial" w:cs="Arial"/>
          <w:spacing w:val="4"/>
          <w:sz w:val="20"/>
          <w:szCs w:val="20"/>
        </w:rPr>
        <w:br/>
        <w:t xml:space="preserve">z którym na 150 tys. ludności powinien przypadać minimum jeden SOR. Należy podkreślić, </w:t>
      </w:r>
      <w:r w:rsidRPr="004E3242">
        <w:rPr>
          <w:rFonts w:ascii="Arial" w:hAnsi="Arial" w:cs="Arial"/>
          <w:spacing w:val="4"/>
          <w:sz w:val="20"/>
          <w:szCs w:val="20"/>
        </w:rPr>
        <w:br/>
        <w:t xml:space="preserve">że obecnie ok. 75% istniejących SOR, zlokalizowanych jest na terenie miast powiatowych, tj. regionalnych lub </w:t>
      </w:r>
      <w:proofErr w:type="spellStart"/>
      <w:r w:rsidRPr="004E3242">
        <w:rPr>
          <w:rFonts w:ascii="Arial" w:hAnsi="Arial" w:cs="Arial"/>
          <w:spacing w:val="4"/>
          <w:sz w:val="20"/>
          <w:szCs w:val="20"/>
        </w:rPr>
        <w:t>subregionalnych</w:t>
      </w:r>
      <w:proofErr w:type="spellEnd"/>
      <w:r w:rsidRPr="004E3242">
        <w:rPr>
          <w:rFonts w:ascii="Arial" w:hAnsi="Arial" w:cs="Arial"/>
          <w:spacing w:val="4"/>
          <w:sz w:val="20"/>
          <w:szCs w:val="20"/>
        </w:rPr>
        <w:t>.</w:t>
      </w:r>
      <w:r w:rsidRPr="004E3242">
        <w:rPr>
          <w:rFonts w:ascii="Arial" w:hAnsi="Arial" w:cs="Arial"/>
          <w:sz w:val="20"/>
          <w:szCs w:val="20"/>
        </w:rPr>
        <w:t xml:space="preserve"> Dzięki zwiększeniu liczby podmiotów leczniczych, świadczących usługi w zakresie ratownictwa medycznego, znacząco poprawi się dostępność do systemu ratownictwa medycznego, w szczególności ludności zamieszkującej obszary wiejskie, np. zmniejszy się odległość do najbliższego SOR z lądowiskiem.</w:t>
      </w:r>
      <w:r w:rsidRPr="004E3242">
        <w:rPr>
          <w:rFonts w:ascii="Arial" w:hAnsi="Arial" w:cs="Arial"/>
          <w:i/>
          <w:sz w:val="20"/>
          <w:szCs w:val="20"/>
        </w:rPr>
        <w:t xml:space="preserve"> </w:t>
      </w:r>
      <w:r w:rsidRPr="004E3242">
        <w:rPr>
          <w:rFonts w:ascii="Arial" w:hAnsi="Arial" w:cs="Arial"/>
          <w:sz w:val="20"/>
          <w:szCs w:val="20"/>
        </w:rPr>
        <w:t xml:space="preserve">Sytuacja ta pokazuje jak ogromne znaczenie z punktu widzenia wymiaru terytorialnego ma udzielanie wsparcia w zakresie systemu ratownictwa medycznego. Zaznaczyć należy również, że większość z tych SOR będzie wymagało nie tylko prac remontowo-budowlanych oraz doposażenia samych oddziałów, ale także budowy lub remontu lądowisk, w związku z czym skala interwencji w subregionach będzie znacząca. </w:t>
      </w:r>
    </w:p>
    <w:p w14:paraId="5CD205F1" w14:textId="77777777" w:rsidR="00BD4E83" w:rsidRPr="00BD4E83" w:rsidRDefault="00BD4E83" w:rsidP="004E3242">
      <w:pPr>
        <w:spacing w:before="120" w:after="120"/>
        <w:jc w:val="both"/>
        <w:rPr>
          <w:rFonts w:ascii="Arial" w:hAnsi="Arial" w:cs="Arial"/>
          <w:bCs/>
          <w:sz w:val="20"/>
          <w:szCs w:val="20"/>
        </w:rPr>
      </w:pPr>
      <w:r>
        <w:rPr>
          <w:rFonts w:ascii="Arial" w:hAnsi="Arial" w:cs="Arial"/>
          <w:sz w:val="20"/>
          <w:szCs w:val="20"/>
        </w:rPr>
        <w:t>W</w:t>
      </w:r>
      <w:r w:rsidRPr="00AC3E28">
        <w:rPr>
          <w:rFonts w:ascii="Arial" w:hAnsi="Arial" w:cs="Arial"/>
          <w:sz w:val="20"/>
          <w:szCs w:val="20"/>
        </w:rPr>
        <w:t xml:space="preserve"> związku z realizacją działań związanych z zapobieganiem, przeciwdziałaniem i zwalczaniem </w:t>
      </w:r>
      <w:r>
        <w:rPr>
          <w:rFonts w:ascii="Arial" w:hAnsi="Arial" w:cs="Arial"/>
          <w:sz w:val="20"/>
          <w:szCs w:val="20"/>
        </w:rPr>
        <w:t xml:space="preserve"> „COVID-19”</w:t>
      </w:r>
      <w:r w:rsidRPr="00683E0B">
        <w:rPr>
          <w:rFonts w:ascii="Arial" w:hAnsi="Arial" w:cs="Arial"/>
          <w:sz w:val="20"/>
          <w:szCs w:val="20"/>
        </w:rPr>
        <w:t xml:space="preserve"> </w:t>
      </w:r>
      <w:r w:rsidRPr="00AC3E28">
        <w:rPr>
          <w:rFonts w:ascii="Arial" w:hAnsi="Arial" w:cs="Arial"/>
          <w:sz w:val="20"/>
          <w:szCs w:val="20"/>
        </w:rPr>
        <w:t xml:space="preserve">oraz innych chorób zakaźnych </w:t>
      </w:r>
      <w:r>
        <w:rPr>
          <w:rFonts w:ascii="Arial" w:hAnsi="Arial" w:cs="Arial"/>
          <w:sz w:val="20"/>
          <w:szCs w:val="20"/>
        </w:rPr>
        <w:t xml:space="preserve">konieczny będzie również </w:t>
      </w:r>
      <w:r w:rsidRPr="00AC3E28">
        <w:rPr>
          <w:rFonts w:ascii="Arial" w:hAnsi="Arial" w:cs="Arial"/>
          <w:sz w:val="20"/>
          <w:szCs w:val="20"/>
        </w:rPr>
        <w:t xml:space="preserve">zakup </w:t>
      </w:r>
      <w:r>
        <w:rPr>
          <w:rFonts w:ascii="Arial" w:hAnsi="Arial" w:cs="Arial"/>
          <w:sz w:val="20"/>
          <w:szCs w:val="20"/>
        </w:rPr>
        <w:t>ambulansów</w:t>
      </w:r>
      <w:r w:rsidRPr="00AC3E28">
        <w:rPr>
          <w:rFonts w:ascii="Arial" w:hAnsi="Arial" w:cs="Arial"/>
          <w:sz w:val="20"/>
          <w:szCs w:val="20"/>
        </w:rPr>
        <w:t xml:space="preserve"> wraz </w:t>
      </w:r>
      <w:r>
        <w:rPr>
          <w:rFonts w:ascii="Arial" w:hAnsi="Arial" w:cs="Arial"/>
          <w:sz w:val="20"/>
          <w:szCs w:val="20"/>
        </w:rPr>
        <w:br/>
      </w:r>
      <w:r w:rsidRPr="00AC3E28">
        <w:rPr>
          <w:rFonts w:ascii="Arial" w:hAnsi="Arial" w:cs="Arial"/>
          <w:sz w:val="20"/>
          <w:szCs w:val="20"/>
        </w:rPr>
        <w:lastRenderedPageBreak/>
        <w:t>z wyposażeniem</w:t>
      </w:r>
      <w:r>
        <w:rPr>
          <w:rFonts w:ascii="Arial" w:hAnsi="Arial" w:cs="Arial"/>
          <w:sz w:val="20"/>
          <w:szCs w:val="20"/>
        </w:rPr>
        <w:t xml:space="preserve">. Działania te będą miały na celu przede wszystkim </w:t>
      </w:r>
      <w:r w:rsidRPr="00681DC2">
        <w:rPr>
          <w:rFonts w:ascii="Arial" w:hAnsi="Arial" w:cs="Arial"/>
          <w:sz w:val="20"/>
          <w:szCs w:val="20"/>
        </w:rPr>
        <w:t>walkę z p</w:t>
      </w:r>
      <w:r>
        <w:rPr>
          <w:rFonts w:ascii="Arial" w:hAnsi="Arial" w:cs="Arial"/>
          <w:sz w:val="20"/>
          <w:szCs w:val="20"/>
        </w:rPr>
        <w:t>an</w:t>
      </w:r>
      <w:r w:rsidRPr="00681DC2">
        <w:rPr>
          <w:rFonts w:ascii="Arial" w:hAnsi="Arial" w:cs="Arial"/>
          <w:sz w:val="20"/>
          <w:szCs w:val="20"/>
        </w:rPr>
        <w:t xml:space="preserve">demią </w:t>
      </w:r>
      <w:r w:rsidRPr="00683E0B">
        <w:rPr>
          <w:rFonts w:ascii="Arial" w:hAnsi="Arial" w:cs="Arial"/>
          <w:sz w:val="20"/>
          <w:szCs w:val="20"/>
        </w:rPr>
        <w:t xml:space="preserve"> </w:t>
      </w:r>
      <w:r>
        <w:rPr>
          <w:rFonts w:ascii="Arial" w:hAnsi="Arial" w:cs="Arial"/>
          <w:sz w:val="20"/>
          <w:szCs w:val="20"/>
        </w:rPr>
        <w:t xml:space="preserve">„COVID-19”, ale również </w:t>
      </w:r>
      <w:r w:rsidRPr="00681DC2">
        <w:rPr>
          <w:rFonts w:ascii="Arial" w:hAnsi="Arial" w:cs="Arial"/>
          <w:sz w:val="20"/>
          <w:szCs w:val="20"/>
        </w:rPr>
        <w:t>wzm</w:t>
      </w:r>
      <w:r>
        <w:rPr>
          <w:rFonts w:ascii="Arial" w:hAnsi="Arial" w:cs="Arial"/>
          <w:sz w:val="20"/>
          <w:szCs w:val="20"/>
        </w:rPr>
        <w:t>ocnienie</w:t>
      </w:r>
      <w:r w:rsidRPr="00681DC2">
        <w:rPr>
          <w:rFonts w:ascii="Arial" w:hAnsi="Arial" w:cs="Arial"/>
          <w:sz w:val="20"/>
          <w:szCs w:val="20"/>
        </w:rPr>
        <w:t xml:space="preserve"> system</w:t>
      </w:r>
      <w:r>
        <w:rPr>
          <w:rFonts w:ascii="Arial" w:hAnsi="Arial" w:cs="Arial"/>
          <w:sz w:val="20"/>
          <w:szCs w:val="20"/>
        </w:rPr>
        <w:t>u</w:t>
      </w:r>
      <w:r w:rsidRPr="00681DC2">
        <w:rPr>
          <w:rFonts w:ascii="Arial" w:hAnsi="Arial" w:cs="Arial"/>
          <w:sz w:val="20"/>
          <w:szCs w:val="20"/>
        </w:rPr>
        <w:t xml:space="preserve"> ochrony zdrowia w dłuższej perspektywie czasowej</w:t>
      </w:r>
      <w:r>
        <w:rPr>
          <w:rFonts w:ascii="Arial" w:hAnsi="Arial" w:cs="Arial"/>
          <w:sz w:val="20"/>
          <w:szCs w:val="20"/>
        </w:rPr>
        <w:t>.</w:t>
      </w:r>
    </w:p>
    <w:p w14:paraId="003AD6B5" w14:textId="77777777" w:rsidR="006A11A9" w:rsidRDefault="004E3242" w:rsidP="004E3242">
      <w:pPr>
        <w:spacing w:before="120" w:after="120"/>
        <w:jc w:val="both"/>
        <w:rPr>
          <w:rFonts w:ascii="Arial" w:hAnsi="Arial" w:cs="Arial"/>
          <w:sz w:val="20"/>
          <w:szCs w:val="20"/>
        </w:rPr>
      </w:pPr>
      <w:r w:rsidRPr="004E3242">
        <w:rPr>
          <w:rFonts w:ascii="Arial" w:hAnsi="Arial" w:cs="Arial"/>
          <w:spacing w:val="4"/>
          <w:sz w:val="20"/>
          <w:szCs w:val="20"/>
        </w:rPr>
        <w:t xml:space="preserve">Odnośnie inwestycji dotyczących wzmocnienia ponadregionalnej infrastruktury ochrony zdrowia należy podkreślić, iż ze względu na swój charakter, będą one realizowane głównie na obszarze dużych ośrodków miejskich. </w:t>
      </w:r>
      <w:r w:rsidRPr="004E3242">
        <w:rPr>
          <w:rFonts w:ascii="Arial" w:hAnsi="Arial" w:cs="Arial"/>
          <w:sz w:val="20"/>
          <w:szCs w:val="20"/>
        </w:rPr>
        <w:t xml:space="preserve">Są to jednostki wysokiego poziomu referencyjności, udzielające wysokospecjalistycznych świadczeń medycznych oraz o dużym potencjale naukowo-badawczym. W szpitalach o znaczeniu ponadregionalnym przyjmowani są pacjenci z całego kraju </w:t>
      </w:r>
      <w:r w:rsidRPr="004E3242">
        <w:rPr>
          <w:rFonts w:ascii="Arial" w:hAnsi="Arial" w:cs="Arial"/>
          <w:sz w:val="20"/>
          <w:szCs w:val="20"/>
        </w:rPr>
        <w:br/>
        <w:t xml:space="preserve">z najtrudniejszymi i najcięższymi jednostkami chorobowymi. Ponadto, podmioty te uczestniczą </w:t>
      </w:r>
      <w:r w:rsidRPr="004E3242">
        <w:rPr>
          <w:rFonts w:ascii="Arial" w:hAnsi="Arial" w:cs="Arial"/>
          <w:sz w:val="20"/>
          <w:szCs w:val="20"/>
        </w:rPr>
        <w:br/>
        <w:t>w kształceniu kadr medycznych oraz współtworzą nowe procedury i terapie stosowane w leczeniu ludzi.</w:t>
      </w:r>
    </w:p>
    <w:p w14:paraId="6C4B7D4C" w14:textId="77777777" w:rsidR="00DB7165" w:rsidRDefault="00667802" w:rsidP="004E3242">
      <w:pPr>
        <w:spacing w:before="120" w:after="120"/>
        <w:jc w:val="both"/>
        <w:rPr>
          <w:rFonts w:ascii="Arial" w:hAnsi="Arial" w:cs="Arial"/>
          <w:bCs/>
          <w:sz w:val="20"/>
          <w:szCs w:val="20"/>
        </w:rPr>
      </w:pPr>
      <w:r>
        <w:rPr>
          <w:rFonts w:ascii="Arial" w:hAnsi="Arial" w:cs="Arial"/>
          <w:bCs/>
          <w:sz w:val="20"/>
          <w:szCs w:val="20"/>
        </w:rPr>
        <w:t>W</w:t>
      </w:r>
      <w:r w:rsidRPr="00681DC2">
        <w:rPr>
          <w:rFonts w:ascii="Arial" w:hAnsi="Arial" w:cs="Arial"/>
          <w:bCs/>
          <w:sz w:val="20"/>
          <w:szCs w:val="20"/>
        </w:rPr>
        <w:t xml:space="preserve"> związku z realizacją działań związanych z zapobieganiem, przeciwdziałaniem i zwalczaniem </w:t>
      </w:r>
      <w:r>
        <w:rPr>
          <w:rFonts w:ascii="Arial" w:hAnsi="Arial" w:cs="Arial"/>
          <w:bCs/>
          <w:sz w:val="20"/>
          <w:szCs w:val="20"/>
        </w:rPr>
        <w:t xml:space="preserve"> „COVID-19”</w:t>
      </w:r>
      <w:r w:rsidRPr="00683E0B">
        <w:rPr>
          <w:rFonts w:ascii="Arial" w:hAnsi="Arial" w:cs="Arial"/>
          <w:bCs/>
          <w:sz w:val="20"/>
          <w:szCs w:val="20"/>
        </w:rPr>
        <w:t xml:space="preserve"> </w:t>
      </w:r>
      <w:r w:rsidRPr="00681DC2">
        <w:rPr>
          <w:rFonts w:ascii="Arial" w:hAnsi="Arial" w:cs="Arial"/>
          <w:bCs/>
          <w:sz w:val="20"/>
          <w:szCs w:val="20"/>
        </w:rPr>
        <w:t xml:space="preserve">oraz innych chorób zakaźnych wsparte zostaną podmioty lecznicze udzielające świadczeń w zakresie chorób </w:t>
      </w:r>
      <w:r w:rsidRPr="00DB7165">
        <w:rPr>
          <w:rFonts w:ascii="Arial" w:hAnsi="Arial" w:cs="Arial"/>
          <w:bCs/>
          <w:sz w:val="20"/>
          <w:szCs w:val="20"/>
        </w:rPr>
        <w:t>zakaźnych</w:t>
      </w:r>
      <w:r w:rsidR="00DB7165" w:rsidRPr="00DB7165">
        <w:rPr>
          <w:rFonts w:ascii="Arial" w:hAnsi="Arial" w:cs="Arial"/>
          <w:bCs/>
          <w:sz w:val="20"/>
          <w:szCs w:val="20"/>
        </w:rPr>
        <w:t xml:space="preserve"> oraz inne podmioty zaangażowane w realizację działań związanych z zapobieganiem, przeciwdziałaniem i zwalczaniem „COVID-19”.</w:t>
      </w:r>
    </w:p>
    <w:p w14:paraId="2712B882" w14:textId="77777777" w:rsidR="00667802" w:rsidRPr="00667802" w:rsidRDefault="00667802" w:rsidP="004E3242">
      <w:pPr>
        <w:spacing w:before="120" w:after="120"/>
        <w:jc w:val="both"/>
        <w:rPr>
          <w:rFonts w:ascii="Arial" w:hAnsi="Arial" w:cs="Arial"/>
          <w:bCs/>
          <w:sz w:val="20"/>
          <w:szCs w:val="20"/>
        </w:rPr>
      </w:pPr>
      <w:r w:rsidRPr="00681DC2">
        <w:rPr>
          <w:rFonts w:ascii="Arial" w:hAnsi="Arial" w:cs="Arial"/>
          <w:sz w:val="20"/>
          <w:szCs w:val="20"/>
        </w:rPr>
        <w:t xml:space="preserve">Działania te </w:t>
      </w:r>
      <w:r>
        <w:rPr>
          <w:rFonts w:ascii="Arial" w:hAnsi="Arial" w:cs="Arial"/>
          <w:sz w:val="20"/>
          <w:szCs w:val="20"/>
        </w:rPr>
        <w:t>będą miały</w:t>
      </w:r>
      <w:r w:rsidRPr="00681DC2">
        <w:rPr>
          <w:rFonts w:ascii="Arial" w:hAnsi="Arial" w:cs="Arial"/>
          <w:sz w:val="20"/>
          <w:szCs w:val="20"/>
        </w:rPr>
        <w:t xml:space="preserve"> na celu przede wszystkim walkę z </w:t>
      </w:r>
      <w:r>
        <w:rPr>
          <w:rFonts w:ascii="Arial" w:hAnsi="Arial" w:cs="Arial"/>
          <w:sz w:val="20"/>
          <w:szCs w:val="20"/>
        </w:rPr>
        <w:t>pan</w:t>
      </w:r>
      <w:r w:rsidRPr="00681DC2">
        <w:rPr>
          <w:rFonts w:ascii="Arial" w:hAnsi="Arial" w:cs="Arial"/>
          <w:sz w:val="20"/>
          <w:szCs w:val="20"/>
        </w:rPr>
        <w:t xml:space="preserve">demią </w:t>
      </w:r>
      <w:r>
        <w:rPr>
          <w:rFonts w:ascii="Arial" w:hAnsi="Arial" w:cs="Arial"/>
          <w:sz w:val="20"/>
          <w:szCs w:val="20"/>
        </w:rPr>
        <w:t xml:space="preserve"> „COVID-19”</w:t>
      </w:r>
      <w:r w:rsidRPr="00681DC2">
        <w:rPr>
          <w:rFonts w:ascii="Arial" w:hAnsi="Arial" w:cs="Arial"/>
          <w:sz w:val="20"/>
          <w:szCs w:val="20"/>
        </w:rPr>
        <w:t>, ale również wzmocnienie system</w:t>
      </w:r>
      <w:r>
        <w:rPr>
          <w:rFonts w:ascii="Arial" w:hAnsi="Arial" w:cs="Arial"/>
          <w:sz w:val="20"/>
          <w:szCs w:val="20"/>
        </w:rPr>
        <w:t>u</w:t>
      </w:r>
      <w:r w:rsidRPr="00681DC2">
        <w:rPr>
          <w:rFonts w:ascii="Arial" w:hAnsi="Arial" w:cs="Arial"/>
          <w:sz w:val="20"/>
          <w:szCs w:val="20"/>
        </w:rPr>
        <w:t xml:space="preserve"> ochrony zdrowia w dłuższej perspektywie czasowej</w:t>
      </w:r>
      <w:r>
        <w:rPr>
          <w:rFonts w:ascii="Arial" w:hAnsi="Arial" w:cs="Arial"/>
          <w:sz w:val="20"/>
          <w:szCs w:val="20"/>
        </w:rPr>
        <w:t>.</w:t>
      </w:r>
    </w:p>
    <w:p w14:paraId="143D2AAC"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099ABAFD" w14:textId="77777777" w:rsidR="004E3242" w:rsidRPr="004E3242" w:rsidRDefault="004E3242" w:rsidP="004E3242">
      <w:pPr>
        <w:spacing w:before="120" w:after="120"/>
        <w:jc w:val="both"/>
        <w:rPr>
          <w:rFonts w:ascii="Arial" w:hAnsi="Arial" w:cs="Arial"/>
          <w:sz w:val="20"/>
        </w:rPr>
      </w:pPr>
      <w:r w:rsidRPr="004E3242">
        <w:rPr>
          <w:rFonts w:ascii="Arial" w:hAnsi="Arial" w:cs="Arial"/>
          <w:b/>
          <w:sz w:val="20"/>
        </w:rPr>
        <w:t xml:space="preserve">Projekty wybierane do wsparcia muszą być zgodne z </w:t>
      </w:r>
      <w:r w:rsidR="00C82DD0" w:rsidRPr="00C82DD0">
        <w:rPr>
          <w:rFonts w:ascii="Arial" w:hAnsi="Arial" w:cs="Arial"/>
          <w:b/>
          <w:sz w:val="20"/>
        </w:rPr>
        <w:t>rekomendacjami Komitetu Sterującego</w:t>
      </w:r>
      <w:r w:rsidRPr="004E3242">
        <w:rPr>
          <w:rFonts w:ascii="Arial" w:hAnsi="Arial" w:cs="Arial"/>
          <w:b/>
          <w:sz w:val="20"/>
        </w:rPr>
        <w:t>.</w:t>
      </w:r>
      <w:r w:rsidRPr="004E3242">
        <w:rPr>
          <w:rFonts w:ascii="Arial" w:hAnsi="Arial" w:cs="Arial"/>
          <w:sz w:val="20"/>
        </w:rPr>
        <w:t xml:space="preserve"> Warunkiem koniecznym dla podejmowania interwencji jest ich zgodność z uzgodnionym przez KS Planem działań. Skoordynowaniu podlegać będzie też podejście do pomocy publicznej. Zadaniem KS będzie również zapewnienie spójności zasad dla EFSI z mechanizmami dla wydatków krajowych.</w:t>
      </w:r>
    </w:p>
    <w:p w14:paraId="10043FB9" w14:textId="77777777" w:rsidR="00667802" w:rsidRPr="00667802" w:rsidRDefault="00667802" w:rsidP="004E3242">
      <w:pPr>
        <w:spacing w:before="120" w:after="120"/>
        <w:jc w:val="both"/>
        <w:rPr>
          <w:rFonts w:ascii="Arial" w:hAnsi="Arial" w:cs="Arial"/>
          <w:sz w:val="20"/>
          <w:szCs w:val="20"/>
        </w:rPr>
      </w:pPr>
      <w:bookmarkStart w:id="434" w:name="_Hlk35416171"/>
      <w:r>
        <w:rPr>
          <w:rFonts w:ascii="Arial" w:hAnsi="Arial" w:cs="Arial"/>
          <w:sz w:val="20"/>
        </w:rPr>
        <w:t xml:space="preserve">Projekty </w:t>
      </w:r>
      <w:r w:rsidRPr="00E11477">
        <w:rPr>
          <w:rFonts w:ascii="Arial" w:hAnsi="Arial" w:cs="Arial"/>
          <w:sz w:val="20"/>
        </w:rPr>
        <w:t>związan</w:t>
      </w:r>
      <w:r>
        <w:rPr>
          <w:rFonts w:ascii="Arial" w:hAnsi="Arial" w:cs="Arial"/>
          <w:sz w:val="20"/>
        </w:rPr>
        <w:t>e</w:t>
      </w:r>
      <w:r w:rsidRPr="00E11477">
        <w:rPr>
          <w:rFonts w:ascii="Arial" w:hAnsi="Arial" w:cs="Arial"/>
          <w:sz w:val="20"/>
        </w:rPr>
        <w:t xml:space="preserve"> </w:t>
      </w:r>
      <w:bookmarkStart w:id="435" w:name="_Hlk35414757"/>
      <w:r w:rsidRPr="00E11477">
        <w:rPr>
          <w:rFonts w:ascii="Arial" w:hAnsi="Arial" w:cs="Arial"/>
          <w:sz w:val="20"/>
        </w:rPr>
        <w:t xml:space="preserve">z </w:t>
      </w:r>
      <w:r>
        <w:rPr>
          <w:rFonts w:ascii="Arial" w:hAnsi="Arial" w:cs="Arial"/>
          <w:sz w:val="20"/>
        </w:rPr>
        <w:t xml:space="preserve">zapobieganiem, </w:t>
      </w:r>
      <w:r w:rsidRPr="00E11477">
        <w:rPr>
          <w:rFonts w:ascii="Arial" w:hAnsi="Arial" w:cs="Arial"/>
          <w:sz w:val="20"/>
        </w:rPr>
        <w:t xml:space="preserve">przeciwdziałaniem </w:t>
      </w:r>
      <w:r>
        <w:rPr>
          <w:rFonts w:ascii="Arial" w:hAnsi="Arial" w:cs="Arial"/>
          <w:sz w:val="20"/>
        </w:rPr>
        <w:t>i zwalczaniem  „COVID-19”</w:t>
      </w:r>
      <w:r w:rsidRPr="00683E0B">
        <w:rPr>
          <w:rFonts w:ascii="Arial" w:hAnsi="Arial" w:cs="Arial"/>
          <w:sz w:val="20"/>
        </w:rPr>
        <w:t xml:space="preserve"> </w:t>
      </w:r>
      <w:r>
        <w:rPr>
          <w:rFonts w:ascii="Arial" w:hAnsi="Arial" w:cs="Arial"/>
          <w:sz w:val="20"/>
        </w:rPr>
        <w:t>oraz innych chorób zakaźnych</w:t>
      </w:r>
      <w:bookmarkEnd w:id="435"/>
      <w:r>
        <w:rPr>
          <w:rFonts w:ascii="Arial" w:hAnsi="Arial" w:cs="Arial"/>
          <w:sz w:val="20"/>
        </w:rPr>
        <w:t xml:space="preserve"> </w:t>
      </w:r>
      <w:r w:rsidRPr="00E11477">
        <w:rPr>
          <w:rFonts w:ascii="Arial" w:hAnsi="Arial" w:cs="Arial"/>
          <w:sz w:val="20"/>
        </w:rPr>
        <w:t>– zarówno zakupow</w:t>
      </w:r>
      <w:r>
        <w:rPr>
          <w:rFonts w:ascii="Arial" w:hAnsi="Arial" w:cs="Arial"/>
          <w:sz w:val="20"/>
        </w:rPr>
        <w:t>e,</w:t>
      </w:r>
      <w:r w:rsidRPr="00E11477">
        <w:rPr>
          <w:rFonts w:ascii="Arial" w:hAnsi="Arial" w:cs="Arial"/>
          <w:sz w:val="20"/>
        </w:rPr>
        <w:t xml:space="preserve"> jak i budowlan</w:t>
      </w:r>
      <w:r>
        <w:rPr>
          <w:rFonts w:ascii="Arial" w:hAnsi="Arial" w:cs="Arial"/>
          <w:sz w:val="20"/>
        </w:rPr>
        <w:t>e</w:t>
      </w:r>
      <w:r w:rsidRPr="00E11477">
        <w:rPr>
          <w:rFonts w:ascii="Arial" w:hAnsi="Arial" w:cs="Arial"/>
          <w:sz w:val="20"/>
        </w:rPr>
        <w:t xml:space="preserve"> – </w:t>
      </w:r>
      <w:r>
        <w:rPr>
          <w:rFonts w:ascii="Arial" w:hAnsi="Arial" w:cs="Arial"/>
          <w:sz w:val="20"/>
        </w:rPr>
        <w:t xml:space="preserve">zwolnione będą z </w:t>
      </w:r>
      <w:r w:rsidRPr="00E11477">
        <w:rPr>
          <w:rFonts w:ascii="Arial" w:hAnsi="Arial" w:cs="Arial"/>
          <w:sz w:val="20"/>
        </w:rPr>
        <w:t>wymogu dotyczącego posiadania pozytywnej OCI.</w:t>
      </w:r>
      <w:r w:rsidRPr="003C0819">
        <w:rPr>
          <w:b/>
          <w:bCs/>
        </w:rPr>
        <w:t xml:space="preserve"> </w:t>
      </w:r>
      <w:bookmarkEnd w:id="434"/>
    </w:p>
    <w:p w14:paraId="0E0D5E72"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Wybór projektów będzie oparty o dane wynikające z map potrzeb zdrowotnych</w:t>
      </w:r>
      <w:r w:rsidRPr="004E3242">
        <w:rPr>
          <w:rFonts w:ascii="Arial" w:hAnsi="Arial" w:cs="Arial"/>
          <w:sz w:val="20"/>
          <w:vertAlign w:val="superscript"/>
        </w:rPr>
        <w:footnoteReference w:id="90"/>
      </w:r>
      <w:r w:rsidRPr="004E3242">
        <w:rPr>
          <w:rFonts w:ascii="Arial" w:hAnsi="Arial" w:cs="Arial"/>
          <w:sz w:val="20"/>
        </w:rPr>
        <w:t xml:space="preserve">, w tym Wojewódzkich Planów Działania Systemu Państwowego Ratownictwa Medycznego (WPDSPRM). Projekty będą kwalifikowalne do wsparcia ze środków EFRR, a środki certyfikowane, </w:t>
      </w:r>
      <w:r w:rsidR="00667802">
        <w:rPr>
          <w:rFonts w:ascii="Arial" w:hAnsi="Arial" w:cs="Arial"/>
          <w:sz w:val="20"/>
        </w:rPr>
        <w:t xml:space="preserve">na podstawie </w:t>
      </w:r>
      <w:r w:rsidRPr="004E3242">
        <w:rPr>
          <w:rFonts w:ascii="Arial" w:hAnsi="Arial" w:cs="Arial"/>
          <w:sz w:val="20"/>
        </w:rPr>
        <w:t>map w dziedzinie medycyny oraz rodzaju świadczeń zbieżnym tematycznie z zakresem danego projektu.</w:t>
      </w:r>
    </w:p>
    <w:p w14:paraId="31ED04C5" w14:textId="77777777" w:rsidR="00981414" w:rsidRDefault="00981414" w:rsidP="004E3242">
      <w:pPr>
        <w:spacing w:before="120" w:after="120"/>
        <w:jc w:val="both"/>
        <w:rPr>
          <w:rFonts w:ascii="Arial" w:hAnsi="Arial" w:cs="Arial"/>
          <w:sz w:val="20"/>
        </w:rPr>
      </w:pPr>
      <w:r w:rsidRPr="003C0819">
        <w:rPr>
          <w:rFonts w:ascii="Arial" w:hAnsi="Arial" w:cs="Arial"/>
          <w:sz w:val="20"/>
          <w:szCs w:val="20"/>
        </w:rPr>
        <w:t xml:space="preserve">W przypadku projektów </w:t>
      </w:r>
      <w:r w:rsidRPr="00257491">
        <w:rPr>
          <w:rFonts w:ascii="Arial" w:hAnsi="Arial" w:cs="Arial"/>
          <w:sz w:val="20"/>
          <w:szCs w:val="20"/>
        </w:rPr>
        <w:t>związan</w:t>
      </w:r>
      <w:r>
        <w:rPr>
          <w:rFonts w:ascii="Arial" w:hAnsi="Arial" w:cs="Arial"/>
          <w:sz w:val="20"/>
          <w:szCs w:val="20"/>
        </w:rPr>
        <w:t xml:space="preserve">ych </w:t>
      </w:r>
      <w:r w:rsidRPr="00257491">
        <w:rPr>
          <w:rFonts w:ascii="Arial" w:hAnsi="Arial" w:cs="Arial"/>
          <w:sz w:val="20"/>
          <w:szCs w:val="20"/>
        </w:rPr>
        <w:t xml:space="preserve"> z zapobieganiem, przeciwdziałaniem i zwalczaniem </w:t>
      </w:r>
      <w:r>
        <w:rPr>
          <w:rFonts w:ascii="Arial" w:hAnsi="Arial" w:cs="Arial"/>
          <w:sz w:val="20"/>
          <w:szCs w:val="20"/>
        </w:rPr>
        <w:t xml:space="preserve"> „COVID-19”</w:t>
      </w:r>
      <w:r w:rsidRPr="00683E0B">
        <w:rPr>
          <w:rFonts w:ascii="Arial" w:hAnsi="Arial" w:cs="Arial"/>
          <w:sz w:val="20"/>
          <w:szCs w:val="20"/>
        </w:rPr>
        <w:t xml:space="preserve"> </w:t>
      </w:r>
      <w:r>
        <w:rPr>
          <w:rFonts w:ascii="Arial" w:hAnsi="Arial" w:cs="Arial"/>
          <w:sz w:val="20"/>
          <w:szCs w:val="20"/>
        </w:rPr>
        <w:t>o</w:t>
      </w:r>
      <w:r w:rsidRPr="00257491">
        <w:rPr>
          <w:rFonts w:ascii="Arial" w:hAnsi="Arial" w:cs="Arial"/>
          <w:sz w:val="20"/>
          <w:szCs w:val="20"/>
        </w:rPr>
        <w:t xml:space="preserve">raz innych chorób zakaźnych </w:t>
      </w:r>
      <w:r w:rsidRPr="003C0819">
        <w:rPr>
          <w:rFonts w:ascii="Arial" w:hAnsi="Arial" w:cs="Arial"/>
          <w:sz w:val="20"/>
          <w:szCs w:val="20"/>
        </w:rPr>
        <w:t xml:space="preserve">nie </w:t>
      </w:r>
      <w:r>
        <w:rPr>
          <w:rFonts w:ascii="Arial" w:hAnsi="Arial" w:cs="Arial"/>
          <w:sz w:val="20"/>
          <w:szCs w:val="20"/>
        </w:rPr>
        <w:t xml:space="preserve">będą miały zastosowania </w:t>
      </w:r>
      <w:r w:rsidRPr="003C0819">
        <w:rPr>
          <w:rFonts w:ascii="Arial" w:hAnsi="Arial" w:cs="Arial"/>
          <w:sz w:val="20"/>
          <w:szCs w:val="20"/>
        </w:rPr>
        <w:t>uzgodnienia Komit</w:t>
      </w:r>
      <w:r>
        <w:rPr>
          <w:rFonts w:ascii="Arial" w:hAnsi="Arial" w:cs="Arial"/>
          <w:sz w:val="20"/>
          <w:szCs w:val="20"/>
        </w:rPr>
        <w:t>etu</w:t>
      </w:r>
      <w:r w:rsidRPr="003C0819">
        <w:rPr>
          <w:rFonts w:ascii="Arial" w:hAnsi="Arial" w:cs="Arial"/>
          <w:sz w:val="20"/>
          <w:szCs w:val="20"/>
        </w:rPr>
        <w:t xml:space="preserve"> Sterując</w:t>
      </w:r>
      <w:r>
        <w:rPr>
          <w:rFonts w:ascii="Arial" w:hAnsi="Arial" w:cs="Arial"/>
          <w:sz w:val="20"/>
          <w:szCs w:val="20"/>
        </w:rPr>
        <w:t>ego</w:t>
      </w:r>
      <w:r w:rsidRPr="003C0819">
        <w:rPr>
          <w:rFonts w:ascii="Arial" w:hAnsi="Arial" w:cs="Arial"/>
          <w:sz w:val="20"/>
          <w:szCs w:val="20"/>
        </w:rPr>
        <w:t xml:space="preserve"> </w:t>
      </w:r>
      <w:r>
        <w:rPr>
          <w:rFonts w:ascii="Arial" w:hAnsi="Arial" w:cs="Arial"/>
          <w:sz w:val="20"/>
          <w:szCs w:val="20"/>
        </w:rPr>
        <w:t xml:space="preserve">oraz </w:t>
      </w:r>
      <w:r w:rsidRPr="003C0819">
        <w:rPr>
          <w:rFonts w:ascii="Arial" w:hAnsi="Arial" w:cs="Arial"/>
          <w:sz w:val="20"/>
          <w:szCs w:val="20"/>
        </w:rPr>
        <w:t>map</w:t>
      </w:r>
      <w:r>
        <w:rPr>
          <w:rFonts w:ascii="Arial" w:hAnsi="Arial" w:cs="Arial"/>
          <w:sz w:val="20"/>
          <w:szCs w:val="20"/>
        </w:rPr>
        <w:t>y</w:t>
      </w:r>
      <w:r w:rsidRPr="003C0819">
        <w:rPr>
          <w:rFonts w:ascii="Arial" w:hAnsi="Arial" w:cs="Arial"/>
          <w:sz w:val="20"/>
          <w:szCs w:val="20"/>
        </w:rPr>
        <w:t xml:space="preserve"> potrzeb zdrowotnych.</w:t>
      </w:r>
    </w:p>
    <w:p w14:paraId="6CDCCCBC"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Inwestycje będą realizowane wyłącznie w podmiotach posiadających umowę na świadczenie usług opieki zdrowotnej finansowanych ze środków publicznych. W przypadku poszerzenia działalności, wymagane będzie zobowiązanie do posiadania ww. umowy najpóźniej w kolejnym okresie kontraktowania świadczeń po zakończeniu realizacji projektu. Podejście to ma na celu realizowanie wyłącznie inwestycji zweryfikowanych zidentyfikowanymi deficytami i potrzebami, uwzględniającymi sytuację demograficzną i epidemiologiczną oraz dostępność infrastruktury.</w:t>
      </w:r>
    </w:p>
    <w:p w14:paraId="6DA739F6"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Projekty będą oceniane  pod względem efektywności kosztowej, w tym wpływu na dostępność oraz skuteczność świadczonych usług. Podczas wyboru projektów zastosowane zostaną kryteria badające ich wpływ na:</w:t>
      </w:r>
    </w:p>
    <w:p w14:paraId="43678156"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1. Infrastruktura ratownictwa medycznego</w:t>
      </w:r>
    </w:p>
    <w:p w14:paraId="74D99A87" w14:textId="77777777" w:rsidR="004E3242" w:rsidRPr="004E3242" w:rsidRDefault="004E3242" w:rsidP="00B345B6">
      <w:pPr>
        <w:numPr>
          <w:ilvl w:val="0"/>
          <w:numId w:val="63"/>
        </w:numPr>
        <w:spacing w:before="120" w:after="120"/>
        <w:jc w:val="both"/>
        <w:rPr>
          <w:rFonts w:ascii="Arial" w:hAnsi="Arial" w:cs="Arial"/>
          <w:spacing w:val="4"/>
          <w:sz w:val="20"/>
          <w:szCs w:val="20"/>
        </w:rPr>
      </w:pPr>
      <w:r w:rsidRPr="004E3242">
        <w:rPr>
          <w:rFonts w:ascii="Arial" w:hAnsi="Arial" w:cs="Arial"/>
          <w:spacing w:val="4"/>
          <w:sz w:val="20"/>
          <w:szCs w:val="20"/>
        </w:rPr>
        <w:t xml:space="preserve">efektywność kosztową (z punktu widzenia inwestycji - osiągnięcie najlepszych efektów przy możliwie najniższych cenach, z punktu widzenia podmiotu leczniczego - promowanie </w:t>
      </w:r>
      <w:r w:rsidRPr="004E3242">
        <w:rPr>
          <w:rFonts w:ascii="Arial" w:hAnsi="Arial" w:cs="Arial"/>
          <w:spacing w:val="4"/>
          <w:sz w:val="20"/>
          <w:szCs w:val="20"/>
        </w:rPr>
        <w:lastRenderedPageBreak/>
        <w:t>wnioskodawców, którzy wykazują największą efektywność finansową, jednocześnie przyczyniając się do ograniczenia kosztów systemu ochrony zdrowia;</w:t>
      </w:r>
    </w:p>
    <w:p w14:paraId="5B0A2886" w14:textId="77777777" w:rsidR="004E3242" w:rsidRPr="004E3242" w:rsidRDefault="004E3242" w:rsidP="00B345B6">
      <w:pPr>
        <w:numPr>
          <w:ilvl w:val="0"/>
          <w:numId w:val="63"/>
        </w:numPr>
        <w:spacing w:before="120" w:after="120"/>
        <w:jc w:val="both"/>
        <w:rPr>
          <w:rFonts w:ascii="Arial" w:hAnsi="Arial" w:cs="Arial"/>
          <w:spacing w:val="4"/>
          <w:sz w:val="20"/>
          <w:szCs w:val="20"/>
        </w:rPr>
      </w:pPr>
      <w:r w:rsidRPr="004E3242">
        <w:rPr>
          <w:rFonts w:ascii="Arial" w:hAnsi="Arial" w:cs="Arial"/>
          <w:spacing w:val="4"/>
          <w:sz w:val="20"/>
          <w:szCs w:val="20"/>
        </w:rPr>
        <w:t>dostępność (zwiększenie dostępności do pomocy w sytuacji nagłego zagrożenia zdrowia lub życia mierzone poprzez m.in. odległość od najbliższego SOR/ CU, liczbę mieszkańców przypadająca na dany SOR/CU)</w:t>
      </w:r>
    </w:p>
    <w:p w14:paraId="2FC183B5" w14:textId="77777777" w:rsidR="004E3242" w:rsidRPr="004E3242" w:rsidRDefault="004E3242" w:rsidP="004E3242">
      <w:pPr>
        <w:spacing w:before="120" w:after="120"/>
        <w:jc w:val="both"/>
        <w:rPr>
          <w:rFonts w:ascii="Arial" w:hAnsi="Arial" w:cs="Arial"/>
          <w:sz w:val="20"/>
        </w:rPr>
      </w:pPr>
      <w:r w:rsidRPr="004E3242">
        <w:rPr>
          <w:rFonts w:ascii="Arial" w:hAnsi="Arial" w:cs="Arial"/>
          <w:sz w:val="20"/>
        </w:rPr>
        <w:t xml:space="preserve">Wybór projektów dotyczących SOR/CU oparty zostanie na WPDSPRM. Kryteria będą definiować, które </w:t>
      </w:r>
      <w:proofErr w:type="spellStart"/>
      <w:r w:rsidRPr="004E3242">
        <w:rPr>
          <w:rFonts w:ascii="Arial" w:hAnsi="Arial" w:cs="Arial"/>
          <w:sz w:val="20"/>
        </w:rPr>
        <w:t>SORy</w:t>
      </w:r>
      <w:proofErr w:type="spellEnd"/>
      <w:r w:rsidRPr="004E3242">
        <w:rPr>
          <w:rFonts w:ascii="Arial" w:hAnsi="Arial" w:cs="Arial"/>
          <w:sz w:val="20"/>
        </w:rPr>
        <w:t xml:space="preserve">, CU oraz najbardziej efektywna kosztowo infrastruktura transportowa w zakresie ratownictwa medycznego będą mogły uzyskać wsparcie. Sfinansowane projekty muszą spełniać właściwe normy i standardy wymagane prawnie m.in. możliwość funkcjonowania 24 h/dobę przez </w:t>
      </w:r>
      <w:r w:rsidRPr="004E3242">
        <w:rPr>
          <w:rFonts w:ascii="Arial" w:hAnsi="Arial" w:cs="Arial"/>
          <w:sz w:val="20"/>
        </w:rPr>
        <w:br/>
        <w:t>7 dni w tygodniu;  poprawa dostępności dla osób niepełnosprawnych i niesamodzielnych etc.</w:t>
      </w:r>
    </w:p>
    <w:p w14:paraId="2DE6873A" w14:textId="77777777" w:rsidR="004E3242" w:rsidRPr="00ED1842" w:rsidRDefault="004E3242" w:rsidP="003D6239">
      <w:pPr>
        <w:numPr>
          <w:ilvl w:val="0"/>
          <w:numId w:val="102"/>
        </w:numPr>
        <w:spacing w:before="120" w:after="120"/>
        <w:ind w:left="709" w:hanging="283"/>
        <w:jc w:val="both"/>
        <w:rPr>
          <w:rFonts w:ascii="Arial" w:hAnsi="Arial" w:cs="Arial"/>
          <w:spacing w:val="4"/>
          <w:sz w:val="20"/>
          <w:szCs w:val="20"/>
        </w:rPr>
      </w:pPr>
      <w:r w:rsidRPr="004E3242">
        <w:rPr>
          <w:rFonts w:ascii="Arial" w:hAnsi="Arial" w:cs="Arial"/>
          <w:spacing w:val="4"/>
          <w:sz w:val="20"/>
          <w:szCs w:val="20"/>
        </w:rPr>
        <w:t xml:space="preserve">skuteczność (zwiększenie skuteczności udzielania pomocy w sytuacji nagłego zagrożenia zdrowia lub życia poprzez m.in. odniesienie się do parametrów takich jak skrócenie czasu dotarcia lotniczego zespołu ratownictwa medycznego na miejsce zdarzenia oraz przewiezienia pacjenta do najbliższego SOR, CU lub jednostki współpracującej </w:t>
      </w:r>
      <w:r w:rsidRPr="004E3242">
        <w:rPr>
          <w:rFonts w:ascii="Arial" w:hAnsi="Arial" w:cs="Arial"/>
          <w:spacing w:val="4"/>
          <w:sz w:val="20"/>
          <w:szCs w:val="20"/>
        </w:rPr>
        <w:br/>
        <w:t>z systemem, poprawa szybkości, zaawansowania technologicznego oraz poziomu precyzji diagnostyki, poprawa jakości i trafności wdrażanych metod leczenia).</w:t>
      </w:r>
    </w:p>
    <w:p w14:paraId="7FDE990E" w14:textId="77777777" w:rsidR="00304608" w:rsidRDefault="00304608" w:rsidP="004E3242">
      <w:pPr>
        <w:spacing w:before="120" w:after="120"/>
        <w:jc w:val="both"/>
        <w:rPr>
          <w:rFonts w:ascii="Arial" w:hAnsi="Arial" w:cs="Arial"/>
          <w:spacing w:val="4"/>
          <w:sz w:val="20"/>
          <w:szCs w:val="20"/>
        </w:rPr>
      </w:pPr>
      <w:r w:rsidRPr="00304608">
        <w:rPr>
          <w:rFonts w:ascii="Arial" w:hAnsi="Arial" w:cs="Arial"/>
          <w:spacing w:val="4"/>
          <w:sz w:val="20"/>
          <w:szCs w:val="20"/>
        </w:rPr>
        <w:t>Projekty związane z zapobieganiem, przeciwdziałaniem i zwalczaniem  „COVID-19”  oraz innych chorób zakaźnych – zarówno zakupowe, jak i budowlane – zwolnione będą z  wymogu spełniania ww. kryteriów.</w:t>
      </w:r>
    </w:p>
    <w:p w14:paraId="19A297E3" w14:textId="77777777" w:rsidR="004E3242" w:rsidRPr="004E3242" w:rsidRDefault="004E3242" w:rsidP="004E3242">
      <w:pPr>
        <w:spacing w:before="120" w:after="120"/>
        <w:jc w:val="both"/>
        <w:rPr>
          <w:rFonts w:ascii="Arial" w:hAnsi="Arial" w:cs="Arial"/>
          <w:spacing w:val="4"/>
          <w:sz w:val="20"/>
          <w:szCs w:val="20"/>
        </w:rPr>
      </w:pPr>
      <w:r w:rsidRPr="004E3242">
        <w:rPr>
          <w:rFonts w:ascii="Arial" w:hAnsi="Arial" w:cs="Arial"/>
          <w:spacing w:val="4"/>
          <w:sz w:val="20"/>
          <w:szCs w:val="20"/>
        </w:rPr>
        <w:t>2. Infrastruktura podmiotów leczniczych:</w:t>
      </w:r>
    </w:p>
    <w:p w14:paraId="0DA9A53A" w14:textId="77777777" w:rsidR="004E3242" w:rsidRPr="004E3242" w:rsidRDefault="004E3242" w:rsidP="00B345B6">
      <w:pPr>
        <w:numPr>
          <w:ilvl w:val="0"/>
          <w:numId w:val="63"/>
        </w:numPr>
        <w:spacing w:before="120" w:after="120"/>
        <w:jc w:val="both"/>
        <w:rPr>
          <w:rFonts w:ascii="Arial" w:hAnsi="Arial" w:cs="Arial"/>
          <w:spacing w:val="4"/>
          <w:sz w:val="20"/>
          <w:szCs w:val="20"/>
        </w:rPr>
      </w:pPr>
      <w:r w:rsidRPr="004E3242">
        <w:rPr>
          <w:rFonts w:ascii="Arial" w:hAnsi="Arial" w:cs="Arial"/>
          <w:spacing w:val="4"/>
          <w:sz w:val="20"/>
          <w:szCs w:val="20"/>
        </w:rPr>
        <w:t xml:space="preserve">efektywność kosztową (z punktu widzenia projektu - osiągnięcie najlepszych efektów przy możliwie najniższych cenach, stopień wykorzystania (maksymalizacja) istniejącej oraz powstałej infrastruktury; z punktu widzenia podmiotu leczniczego - analiza ex </w:t>
      </w:r>
      <w:proofErr w:type="spellStart"/>
      <w:r w:rsidRPr="004E3242">
        <w:rPr>
          <w:rFonts w:ascii="Arial" w:hAnsi="Arial" w:cs="Arial"/>
          <w:spacing w:val="4"/>
          <w:sz w:val="20"/>
          <w:szCs w:val="20"/>
        </w:rPr>
        <w:t>ante</w:t>
      </w:r>
      <w:proofErr w:type="spellEnd"/>
      <w:r w:rsidRPr="004E3242">
        <w:rPr>
          <w:rFonts w:ascii="Arial" w:hAnsi="Arial" w:cs="Arial"/>
          <w:spacing w:val="4"/>
          <w:sz w:val="20"/>
          <w:szCs w:val="20"/>
        </w:rPr>
        <w:t xml:space="preserve"> efektywności kosztowej inwestycji w odniesieniu do oddziałów, w których realizowana będzie inwestycja oraz całego podmiotu, promowanie wnioskodawców, którzy wykazują największą efektywność finansową, u których w wyniku realizacji projektu poprawi się efektywność finansowa, w tym poprzez zastosowanie nowoczesnych rozwiązań z zakresu IT, rozwiązań z zakresu efektywności energetycznej, w szczególności obniżenia zużycia energii lub efektywniejszego jej wykorzystywania/ zmniejszenia energochłonności przez obiekt, tj. działania w zakresie modernizacji energetycznej budynków. Dodatkowo, projekty powinny przyczyniać się do ograniczenia kosztów systemu ochrony zdrowia.</w:t>
      </w:r>
    </w:p>
    <w:p w14:paraId="403459AB" w14:textId="77777777" w:rsidR="007E42BE" w:rsidRDefault="004E3242" w:rsidP="007F647D">
      <w:pPr>
        <w:numPr>
          <w:ilvl w:val="0"/>
          <w:numId w:val="63"/>
        </w:numPr>
        <w:spacing w:before="120" w:after="120"/>
        <w:jc w:val="both"/>
        <w:rPr>
          <w:rFonts w:ascii="Arial" w:hAnsi="Arial" w:cs="Arial"/>
          <w:spacing w:val="4"/>
          <w:sz w:val="20"/>
          <w:szCs w:val="20"/>
        </w:rPr>
      </w:pPr>
      <w:r w:rsidRPr="004E3242">
        <w:rPr>
          <w:rFonts w:ascii="Arial" w:hAnsi="Arial" w:cs="Arial"/>
          <w:spacing w:val="4"/>
          <w:sz w:val="20"/>
          <w:szCs w:val="20"/>
        </w:rPr>
        <w:t xml:space="preserve">dostępność (zwiększenie dostępności do specjalistycznych i wysokospecjalistycznych świadczeń zdrowotnych mierzone poprzez m.in. odniesienie się do stopnia wykorzystania łóżek szpitalnych, oczekiwanego skrócenie czasu hospitalizacji, inicjatyw konsolidacyjnych i innych form współpracy, działań w zakresie reorganizacji </w:t>
      </w:r>
      <w:r w:rsidRPr="004E3242">
        <w:rPr>
          <w:rFonts w:ascii="Arial" w:hAnsi="Arial" w:cs="Arial"/>
          <w:spacing w:val="4"/>
          <w:sz w:val="20"/>
          <w:szCs w:val="20"/>
        </w:rPr>
        <w:br/>
        <w:t>i restrukturyzacji wewnątrz podmiotów, w celu maksymalizacji wykorzystania infrastruktury, w tym sąsiadującej, oraz stopnia jej dostosowania do istniejących deficytów, poprawa dostępności dla osób niepełnosprawnych, niesamodzielnych, dzieci i osób starszych),</w:t>
      </w:r>
      <w:r w:rsidRPr="007E42BE">
        <w:rPr>
          <w:rFonts w:ascii="Arial" w:hAnsi="Arial" w:cs="Arial"/>
          <w:spacing w:val="4"/>
          <w:sz w:val="20"/>
          <w:szCs w:val="20"/>
        </w:rPr>
        <w:t>skuteczność (zwiększenie skuteczności diagnostyki oraz leczenia mierzona poprzez m.in. odniesienie się do parametrów takich jak spadek ryzyka zakażeń szpitalnych, poprawa szybkości, zaawansowania technologicznego oraz poziomu precyzji diagnostyki, poprawa jakości i trafności wdrażanych metod leczenia).</w:t>
      </w:r>
    </w:p>
    <w:p w14:paraId="3360C66B" w14:textId="77777777" w:rsidR="00304608" w:rsidRDefault="00304608" w:rsidP="007E42BE">
      <w:pPr>
        <w:spacing w:before="120" w:after="120"/>
        <w:jc w:val="both"/>
        <w:rPr>
          <w:rFonts w:ascii="Arial" w:hAnsi="Arial" w:cs="Arial"/>
          <w:spacing w:val="4"/>
          <w:sz w:val="20"/>
          <w:szCs w:val="20"/>
        </w:rPr>
      </w:pPr>
      <w:r w:rsidRPr="00304608">
        <w:rPr>
          <w:rFonts w:ascii="Arial" w:hAnsi="Arial" w:cs="Arial"/>
          <w:spacing w:val="4"/>
          <w:sz w:val="20"/>
          <w:szCs w:val="20"/>
        </w:rPr>
        <w:t>Projekty związane z zapobieganiem, przeciwdziałaniem i zwalczaniem  „COVID-19” oraz innych chorób zakaźnych – zarówno zakupowe, jak i budowlane – zwolnione są z  wymogu spełniania ww. kryteriów.</w:t>
      </w:r>
    </w:p>
    <w:p w14:paraId="22A8D3C9" w14:textId="77777777" w:rsidR="001E5C55" w:rsidRPr="007E42BE" w:rsidRDefault="001E5C55" w:rsidP="007E42BE">
      <w:pPr>
        <w:spacing w:before="120" w:after="120"/>
        <w:jc w:val="both"/>
        <w:rPr>
          <w:rFonts w:ascii="Arial" w:hAnsi="Arial" w:cs="Arial"/>
          <w:spacing w:val="4"/>
          <w:sz w:val="20"/>
          <w:szCs w:val="20"/>
        </w:rPr>
      </w:pPr>
      <w:r w:rsidRPr="001E5C55">
        <w:rPr>
          <w:rFonts w:ascii="Arial" w:hAnsi="Arial" w:cs="Arial"/>
          <w:spacing w:val="4"/>
          <w:sz w:val="20"/>
          <w:szCs w:val="20"/>
        </w:rPr>
        <w:t xml:space="preserve">Szczegółowe informacje nt. założeń koordynacji i podziału interwencji pomiędzy </w:t>
      </w:r>
      <w:proofErr w:type="spellStart"/>
      <w:r w:rsidRPr="001E5C55">
        <w:rPr>
          <w:rFonts w:ascii="Arial" w:hAnsi="Arial" w:cs="Arial"/>
          <w:spacing w:val="4"/>
          <w:sz w:val="20"/>
          <w:szCs w:val="20"/>
        </w:rPr>
        <w:t>POIiŚ</w:t>
      </w:r>
      <w:proofErr w:type="spellEnd"/>
      <w:r w:rsidRPr="001E5C55">
        <w:rPr>
          <w:rFonts w:ascii="Arial" w:hAnsi="Arial" w:cs="Arial"/>
          <w:spacing w:val="4"/>
          <w:sz w:val="20"/>
          <w:szCs w:val="20"/>
        </w:rPr>
        <w:t xml:space="preserve"> a innymi programami i instrumentami wsparcia opisane zostały w rozdziale 8 </w:t>
      </w:r>
      <w:proofErr w:type="spellStart"/>
      <w:r w:rsidRPr="001E5C55">
        <w:rPr>
          <w:rFonts w:ascii="Arial" w:hAnsi="Arial" w:cs="Arial"/>
          <w:spacing w:val="4"/>
          <w:sz w:val="20"/>
          <w:szCs w:val="20"/>
        </w:rPr>
        <w:t>POIiŚ</w:t>
      </w:r>
      <w:proofErr w:type="spellEnd"/>
      <w:r w:rsidRPr="001E5C55">
        <w:rPr>
          <w:rFonts w:ascii="Arial" w:hAnsi="Arial" w:cs="Arial"/>
          <w:spacing w:val="4"/>
          <w:sz w:val="20"/>
          <w:szCs w:val="20"/>
        </w:rPr>
        <w:t>.</w:t>
      </w:r>
    </w:p>
    <w:p w14:paraId="41D1827D"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1D87BF4B"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bCs/>
          <w:spacing w:val="4"/>
          <w:sz w:val="20"/>
          <w:szCs w:val="20"/>
        </w:rPr>
        <w:lastRenderedPageBreak/>
        <w:t>W ramach priorytetu inwestycyjnego nie przewiduje się wsparcia w formie instrumentów finansowych.</w:t>
      </w:r>
    </w:p>
    <w:p w14:paraId="7BC25777"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bCs/>
          <w:spacing w:val="4"/>
          <w:sz w:val="20"/>
          <w:szCs w:val="20"/>
        </w:rPr>
        <w:t>Wstępnie planuje się, że udzielane wsparcie nie będzie stanowić pomocy publicznej.</w:t>
      </w:r>
    </w:p>
    <w:p w14:paraId="69A26B69"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Wpływ dużych projektów na realizację celów osi priorytetowej</w:t>
      </w:r>
    </w:p>
    <w:p w14:paraId="16FF8CAA" w14:textId="77777777" w:rsidR="004E3242" w:rsidRPr="004E3242" w:rsidRDefault="004E3242" w:rsidP="004E3242">
      <w:pPr>
        <w:spacing w:before="120" w:after="120"/>
        <w:jc w:val="both"/>
        <w:rPr>
          <w:rFonts w:ascii="Arial" w:hAnsi="Arial" w:cs="Arial"/>
          <w:bCs/>
          <w:spacing w:val="4"/>
          <w:sz w:val="20"/>
          <w:szCs w:val="20"/>
        </w:rPr>
      </w:pPr>
      <w:r w:rsidRPr="004E3242">
        <w:rPr>
          <w:rFonts w:ascii="Arial" w:hAnsi="Arial" w:cs="Arial"/>
          <w:bCs/>
          <w:spacing w:val="4"/>
          <w:sz w:val="20"/>
          <w:szCs w:val="20"/>
        </w:rPr>
        <w:t>W ramach osi priorytetowej nie przewiduje się realizacji dużych projektów.</w:t>
      </w:r>
    </w:p>
    <w:p w14:paraId="64C4105A" w14:textId="77777777" w:rsidR="004E3242" w:rsidRPr="004E3242" w:rsidRDefault="004E3242" w:rsidP="004E3242">
      <w:pPr>
        <w:spacing w:before="120" w:after="120"/>
        <w:jc w:val="both"/>
        <w:rPr>
          <w:rFonts w:ascii="Arial" w:hAnsi="Arial" w:cs="Arial"/>
          <w:sz w:val="20"/>
          <w:szCs w:val="20"/>
        </w:rPr>
        <w:sectPr w:rsidR="004E3242" w:rsidRPr="004E3242" w:rsidSect="00C73ABE">
          <w:headerReference w:type="default" r:id="rId12"/>
          <w:pgSz w:w="11906" w:h="16838" w:code="9"/>
          <w:pgMar w:top="1418" w:right="1418" w:bottom="1418" w:left="1418" w:header="709" w:footer="709" w:gutter="0"/>
          <w:cols w:space="708"/>
          <w:titlePg/>
          <w:docGrid w:linePitch="360"/>
        </w:sectPr>
      </w:pPr>
    </w:p>
    <w:p w14:paraId="50B4282F"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lastRenderedPageBreak/>
        <w:t xml:space="preserve">Ramy wykonania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1063"/>
        <w:gridCol w:w="1198"/>
        <w:gridCol w:w="1726"/>
        <w:gridCol w:w="1096"/>
        <w:gridCol w:w="952"/>
        <w:gridCol w:w="1044"/>
        <w:gridCol w:w="1695"/>
        <w:gridCol w:w="1683"/>
        <w:gridCol w:w="1075"/>
        <w:gridCol w:w="3820"/>
      </w:tblGrid>
      <w:tr w:rsidR="004E3242" w:rsidRPr="004E3242" w14:paraId="22447D22" w14:textId="77777777" w:rsidTr="00AA7998">
        <w:tc>
          <w:tcPr>
            <w:tcW w:w="346" w:type="pct"/>
            <w:shd w:val="clear" w:color="auto" w:fill="99CC00"/>
            <w:vAlign w:val="center"/>
          </w:tcPr>
          <w:p w14:paraId="2A76649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390" w:type="pct"/>
            <w:shd w:val="clear" w:color="auto" w:fill="99CC00"/>
            <w:vAlign w:val="center"/>
          </w:tcPr>
          <w:p w14:paraId="1AFE0D0A"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Typ miernika</w:t>
            </w:r>
          </w:p>
        </w:tc>
        <w:tc>
          <w:tcPr>
            <w:tcW w:w="562" w:type="pct"/>
            <w:shd w:val="clear" w:color="auto" w:fill="99CC00"/>
            <w:vAlign w:val="center"/>
          </w:tcPr>
          <w:p w14:paraId="1F46E8BD"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Miernik</w:t>
            </w:r>
          </w:p>
        </w:tc>
        <w:tc>
          <w:tcPr>
            <w:tcW w:w="357" w:type="pct"/>
            <w:shd w:val="clear" w:color="auto" w:fill="99CC00"/>
            <w:vAlign w:val="center"/>
          </w:tcPr>
          <w:p w14:paraId="7E5B65A9"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310" w:type="pct"/>
            <w:shd w:val="clear" w:color="auto" w:fill="99CC00"/>
            <w:vAlign w:val="center"/>
          </w:tcPr>
          <w:p w14:paraId="1357FDC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340" w:type="pct"/>
            <w:shd w:val="clear" w:color="auto" w:fill="99CC00"/>
            <w:vAlign w:val="center"/>
          </w:tcPr>
          <w:p w14:paraId="31AF9F06"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52" w:type="pct"/>
            <w:shd w:val="clear" w:color="auto" w:fill="99CC00"/>
            <w:vAlign w:val="center"/>
          </w:tcPr>
          <w:p w14:paraId="397479F4"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pośrednia</w:t>
            </w:r>
          </w:p>
        </w:tc>
        <w:tc>
          <w:tcPr>
            <w:tcW w:w="548" w:type="pct"/>
            <w:shd w:val="clear" w:color="auto" w:fill="99CC00"/>
            <w:vAlign w:val="center"/>
          </w:tcPr>
          <w:p w14:paraId="44775823"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 2023</w:t>
            </w:r>
          </w:p>
        </w:tc>
        <w:tc>
          <w:tcPr>
            <w:tcW w:w="350" w:type="pct"/>
            <w:shd w:val="clear" w:color="auto" w:fill="99CC00"/>
            <w:vAlign w:val="center"/>
          </w:tcPr>
          <w:p w14:paraId="317D1008"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1244" w:type="pct"/>
            <w:shd w:val="clear" w:color="auto" w:fill="99CC00"/>
            <w:vAlign w:val="center"/>
          </w:tcPr>
          <w:p w14:paraId="25DCCA2A" w14:textId="77777777" w:rsidR="004E3242" w:rsidRPr="004E3242" w:rsidRDefault="004E3242" w:rsidP="004E3242">
            <w:pPr>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Uzasadnienie</w:t>
            </w:r>
          </w:p>
        </w:tc>
      </w:tr>
      <w:tr w:rsidR="004E3242" w:rsidRPr="004E3242" w14:paraId="4AE73956" w14:textId="77777777" w:rsidTr="00AA7998">
        <w:tc>
          <w:tcPr>
            <w:tcW w:w="346" w:type="pct"/>
            <w:vMerge w:val="restart"/>
            <w:shd w:val="clear" w:color="auto" w:fill="F2F2F2"/>
            <w:vAlign w:val="center"/>
          </w:tcPr>
          <w:p w14:paraId="38814CF4"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w:t>
            </w:r>
          </w:p>
        </w:tc>
        <w:tc>
          <w:tcPr>
            <w:tcW w:w="390" w:type="pct"/>
            <w:vMerge w:val="restart"/>
            <w:shd w:val="clear" w:color="auto" w:fill="F2F2F2"/>
            <w:vAlign w:val="center"/>
          </w:tcPr>
          <w:p w14:paraId="5372110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Wskaźnik finansowy</w:t>
            </w:r>
          </w:p>
        </w:tc>
        <w:tc>
          <w:tcPr>
            <w:tcW w:w="562" w:type="pct"/>
            <w:vMerge w:val="restart"/>
            <w:shd w:val="clear" w:color="auto" w:fill="F2F2F2"/>
            <w:vAlign w:val="center"/>
          </w:tcPr>
          <w:p w14:paraId="5A04BC1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t>Całkowita kwota certyfikowanych wydatków kwalifikowalnych</w:t>
            </w:r>
          </w:p>
        </w:tc>
        <w:tc>
          <w:tcPr>
            <w:tcW w:w="357" w:type="pct"/>
            <w:vMerge w:val="restart"/>
            <w:shd w:val="clear" w:color="auto" w:fill="F2F2F2"/>
            <w:vAlign w:val="center"/>
          </w:tcPr>
          <w:p w14:paraId="02B1C50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EUR</w:t>
            </w:r>
          </w:p>
        </w:tc>
        <w:tc>
          <w:tcPr>
            <w:tcW w:w="310" w:type="pct"/>
            <w:vMerge w:val="restart"/>
            <w:shd w:val="clear" w:color="auto" w:fill="F2F2F2"/>
            <w:vAlign w:val="center"/>
          </w:tcPr>
          <w:p w14:paraId="78E0A09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40" w:type="pct"/>
            <w:shd w:val="clear" w:color="auto" w:fill="F2F2F2"/>
            <w:vAlign w:val="center"/>
          </w:tcPr>
          <w:p w14:paraId="5C7DB52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52" w:type="pct"/>
            <w:shd w:val="clear" w:color="auto" w:fill="F2F2F2"/>
            <w:vAlign w:val="center"/>
          </w:tcPr>
          <w:p w14:paraId="5D9B39C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85 533 876</w:t>
            </w:r>
          </w:p>
        </w:tc>
        <w:tc>
          <w:tcPr>
            <w:tcW w:w="548" w:type="pct"/>
            <w:shd w:val="clear" w:color="auto" w:fill="F2F2F2"/>
            <w:vAlign w:val="center"/>
          </w:tcPr>
          <w:p w14:paraId="2703C835" w14:textId="77777777" w:rsidR="00A577F1" w:rsidRDefault="00A577F1" w:rsidP="006A288C">
            <w:pPr>
              <w:spacing w:before="60" w:after="60" w:line="240" w:lineRule="auto"/>
              <w:jc w:val="center"/>
              <w:rPr>
                <w:rFonts w:ascii="Arial" w:hAnsi="Arial" w:cs="Arial"/>
                <w:spacing w:val="4"/>
                <w:sz w:val="16"/>
                <w:szCs w:val="16"/>
              </w:rPr>
            </w:pPr>
            <w:r w:rsidRPr="00A577F1">
              <w:rPr>
                <w:rFonts w:ascii="Arial" w:hAnsi="Arial" w:cs="Arial"/>
                <w:spacing w:val="4"/>
                <w:sz w:val="16"/>
                <w:szCs w:val="16"/>
              </w:rPr>
              <w:t>686 171</w:t>
            </w:r>
            <w:r>
              <w:rPr>
                <w:rFonts w:ascii="Arial" w:hAnsi="Arial" w:cs="Arial"/>
                <w:spacing w:val="4"/>
                <w:sz w:val="16"/>
                <w:szCs w:val="16"/>
              </w:rPr>
              <w:t> </w:t>
            </w:r>
            <w:r w:rsidRPr="00A577F1">
              <w:rPr>
                <w:rFonts w:ascii="Arial" w:hAnsi="Arial" w:cs="Arial"/>
                <w:spacing w:val="4"/>
                <w:sz w:val="16"/>
                <w:szCs w:val="16"/>
              </w:rPr>
              <w:t>712</w:t>
            </w:r>
          </w:p>
          <w:p w14:paraId="57244EFA" w14:textId="77777777" w:rsidR="004E3242" w:rsidRPr="004E3242" w:rsidRDefault="004E3242" w:rsidP="004E3242">
            <w:pPr>
              <w:spacing w:before="60" w:after="60" w:line="240" w:lineRule="auto"/>
              <w:jc w:val="center"/>
              <w:rPr>
                <w:rFonts w:ascii="Arial" w:hAnsi="Arial" w:cs="Arial"/>
                <w:spacing w:val="4"/>
                <w:sz w:val="16"/>
                <w:szCs w:val="16"/>
              </w:rPr>
            </w:pPr>
          </w:p>
        </w:tc>
        <w:tc>
          <w:tcPr>
            <w:tcW w:w="350" w:type="pct"/>
            <w:shd w:val="clear" w:color="auto" w:fill="F2F2F2"/>
            <w:vAlign w:val="center"/>
          </w:tcPr>
          <w:p w14:paraId="26F6AFB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244" w:type="pct"/>
            <w:shd w:val="clear" w:color="auto" w:fill="F2F2F2"/>
            <w:vAlign w:val="center"/>
          </w:tcPr>
          <w:p w14:paraId="60C0436B"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213D8EEF" w14:textId="77777777" w:rsidTr="00AA7998">
        <w:tc>
          <w:tcPr>
            <w:tcW w:w="346" w:type="pct"/>
            <w:vMerge/>
            <w:shd w:val="clear" w:color="auto" w:fill="F2F2F2"/>
            <w:vAlign w:val="center"/>
          </w:tcPr>
          <w:p w14:paraId="238F6D70" w14:textId="77777777" w:rsidR="004E3242" w:rsidRPr="004E3242" w:rsidRDefault="004E3242" w:rsidP="004E3242">
            <w:pPr>
              <w:spacing w:before="60" w:after="60" w:line="240" w:lineRule="auto"/>
              <w:jc w:val="center"/>
              <w:rPr>
                <w:rFonts w:ascii="Arial" w:hAnsi="Arial" w:cs="Arial"/>
                <w:sz w:val="16"/>
                <w:szCs w:val="16"/>
              </w:rPr>
            </w:pPr>
          </w:p>
        </w:tc>
        <w:tc>
          <w:tcPr>
            <w:tcW w:w="390" w:type="pct"/>
            <w:vMerge/>
            <w:shd w:val="clear" w:color="auto" w:fill="F2F2F2"/>
            <w:vAlign w:val="center"/>
          </w:tcPr>
          <w:p w14:paraId="50662951" w14:textId="77777777" w:rsidR="004E3242" w:rsidRPr="004E3242" w:rsidRDefault="004E3242" w:rsidP="004E3242">
            <w:pPr>
              <w:spacing w:before="60" w:after="60" w:line="240" w:lineRule="auto"/>
              <w:jc w:val="center"/>
              <w:rPr>
                <w:rFonts w:ascii="Arial" w:hAnsi="Arial" w:cs="Arial"/>
                <w:sz w:val="16"/>
                <w:szCs w:val="16"/>
              </w:rPr>
            </w:pPr>
          </w:p>
        </w:tc>
        <w:tc>
          <w:tcPr>
            <w:tcW w:w="562" w:type="pct"/>
            <w:vMerge/>
            <w:shd w:val="clear" w:color="auto" w:fill="F2F2F2"/>
            <w:vAlign w:val="center"/>
          </w:tcPr>
          <w:p w14:paraId="7A4BFB23" w14:textId="77777777" w:rsidR="004E3242" w:rsidRPr="004E3242" w:rsidRDefault="004E3242" w:rsidP="004E3242">
            <w:pPr>
              <w:spacing w:before="60" w:after="60" w:line="240" w:lineRule="auto"/>
              <w:jc w:val="center"/>
              <w:rPr>
                <w:rFonts w:ascii="Arial" w:hAnsi="Arial" w:cs="Arial"/>
                <w:sz w:val="16"/>
                <w:szCs w:val="16"/>
              </w:rPr>
            </w:pPr>
          </w:p>
        </w:tc>
        <w:tc>
          <w:tcPr>
            <w:tcW w:w="357" w:type="pct"/>
            <w:vMerge/>
            <w:shd w:val="clear" w:color="auto" w:fill="F2F2F2"/>
            <w:vAlign w:val="center"/>
          </w:tcPr>
          <w:p w14:paraId="4FEE7170" w14:textId="77777777" w:rsidR="004E3242" w:rsidRPr="004E3242" w:rsidRDefault="004E3242" w:rsidP="004E3242">
            <w:pPr>
              <w:spacing w:before="60" w:after="60" w:line="240" w:lineRule="auto"/>
              <w:jc w:val="center"/>
              <w:rPr>
                <w:rFonts w:ascii="Arial" w:hAnsi="Arial" w:cs="Arial"/>
                <w:spacing w:val="4"/>
                <w:sz w:val="16"/>
                <w:szCs w:val="16"/>
              </w:rPr>
            </w:pPr>
          </w:p>
        </w:tc>
        <w:tc>
          <w:tcPr>
            <w:tcW w:w="310" w:type="pct"/>
            <w:vMerge/>
            <w:shd w:val="clear" w:color="auto" w:fill="F2F2F2"/>
            <w:vAlign w:val="center"/>
          </w:tcPr>
          <w:p w14:paraId="0982BC1E" w14:textId="77777777" w:rsidR="004E3242" w:rsidRPr="004E3242" w:rsidRDefault="004E3242" w:rsidP="004E3242">
            <w:pPr>
              <w:spacing w:before="60" w:after="60" w:line="240" w:lineRule="auto"/>
              <w:jc w:val="center"/>
              <w:rPr>
                <w:rFonts w:ascii="Arial" w:hAnsi="Arial" w:cs="Arial"/>
                <w:spacing w:val="4"/>
                <w:sz w:val="16"/>
                <w:szCs w:val="16"/>
              </w:rPr>
            </w:pPr>
          </w:p>
        </w:tc>
        <w:tc>
          <w:tcPr>
            <w:tcW w:w="340" w:type="pct"/>
            <w:shd w:val="clear" w:color="auto" w:fill="F2F2F2"/>
            <w:vAlign w:val="center"/>
          </w:tcPr>
          <w:p w14:paraId="777789F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52" w:type="pct"/>
            <w:shd w:val="clear" w:color="auto" w:fill="F2F2F2"/>
            <w:vAlign w:val="center"/>
          </w:tcPr>
          <w:p w14:paraId="3FF58680"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17 019 534</w:t>
            </w:r>
          </w:p>
        </w:tc>
        <w:tc>
          <w:tcPr>
            <w:tcW w:w="548" w:type="pct"/>
            <w:shd w:val="clear" w:color="auto" w:fill="F2F2F2"/>
            <w:vAlign w:val="center"/>
          </w:tcPr>
          <w:p w14:paraId="4935C360" w14:textId="77777777" w:rsidR="00A577F1" w:rsidRDefault="00A577F1" w:rsidP="00056C09">
            <w:pPr>
              <w:spacing w:before="60" w:after="60" w:line="240" w:lineRule="auto"/>
              <w:jc w:val="center"/>
              <w:rPr>
                <w:rFonts w:ascii="Arial" w:hAnsi="Arial" w:cs="Arial"/>
                <w:spacing w:val="4"/>
                <w:sz w:val="16"/>
                <w:szCs w:val="16"/>
              </w:rPr>
            </w:pPr>
            <w:r w:rsidRPr="00A577F1">
              <w:rPr>
                <w:rFonts w:ascii="Arial" w:hAnsi="Arial" w:cs="Arial"/>
                <w:spacing w:val="4"/>
                <w:sz w:val="16"/>
                <w:szCs w:val="16"/>
              </w:rPr>
              <w:t>100 782</w:t>
            </w:r>
            <w:r>
              <w:rPr>
                <w:rFonts w:ascii="Arial" w:hAnsi="Arial" w:cs="Arial"/>
                <w:spacing w:val="4"/>
                <w:sz w:val="16"/>
                <w:szCs w:val="16"/>
              </w:rPr>
              <w:t> </w:t>
            </w:r>
            <w:r w:rsidR="00891C09">
              <w:rPr>
                <w:rFonts w:ascii="Arial" w:hAnsi="Arial" w:cs="Arial"/>
                <w:spacing w:val="4"/>
                <w:sz w:val="16"/>
                <w:szCs w:val="16"/>
              </w:rPr>
              <w:t>92</w:t>
            </w:r>
            <w:r w:rsidR="00C61291">
              <w:rPr>
                <w:rFonts w:ascii="Arial" w:hAnsi="Arial" w:cs="Arial"/>
                <w:spacing w:val="4"/>
                <w:sz w:val="16"/>
                <w:szCs w:val="16"/>
              </w:rPr>
              <w:t>2</w:t>
            </w:r>
          </w:p>
          <w:p w14:paraId="2E9522C7" w14:textId="77777777" w:rsidR="004E3242" w:rsidRPr="004E3242" w:rsidRDefault="004E3242" w:rsidP="004E3242">
            <w:pPr>
              <w:spacing w:before="60" w:after="60" w:line="240" w:lineRule="auto"/>
              <w:jc w:val="center"/>
              <w:rPr>
                <w:rFonts w:ascii="Arial" w:hAnsi="Arial" w:cs="Arial"/>
                <w:spacing w:val="4"/>
                <w:sz w:val="16"/>
                <w:szCs w:val="16"/>
                <w:highlight w:val="yellow"/>
              </w:rPr>
            </w:pPr>
          </w:p>
        </w:tc>
        <w:tc>
          <w:tcPr>
            <w:tcW w:w="350" w:type="pct"/>
            <w:shd w:val="clear" w:color="auto" w:fill="F2F2F2"/>
            <w:vAlign w:val="center"/>
          </w:tcPr>
          <w:p w14:paraId="2A63EB2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SL 2014</w:t>
            </w:r>
          </w:p>
        </w:tc>
        <w:tc>
          <w:tcPr>
            <w:tcW w:w="1244" w:type="pct"/>
            <w:shd w:val="clear" w:color="auto" w:fill="F2F2F2"/>
            <w:vAlign w:val="center"/>
          </w:tcPr>
          <w:p w14:paraId="56414694"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Obowiązkowy</w:t>
            </w:r>
          </w:p>
        </w:tc>
      </w:tr>
      <w:tr w:rsidR="004E3242" w:rsidRPr="004E3242" w14:paraId="30A62166" w14:textId="77777777" w:rsidTr="00AA7998">
        <w:trPr>
          <w:trHeight w:val="3248"/>
        </w:trPr>
        <w:tc>
          <w:tcPr>
            <w:tcW w:w="346" w:type="pct"/>
            <w:shd w:val="clear" w:color="auto" w:fill="F2F2F2"/>
            <w:vAlign w:val="center"/>
          </w:tcPr>
          <w:p w14:paraId="51A12144"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w:t>
            </w:r>
          </w:p>
        </w:tc>
        <w:tc>
          <w:tcPr>
            <w:tcW w:w="390" w:type="pct"/>
            <w:shd w:val="clear" w:color="auto" w:fill="F2F2F2"/>
            <w:vAlign w:val="center"/>
          </w:tcPr>
          <w:p w14:paraId="2D86219E"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Wskaźnik produktu</w:t>
            </w:r>
          </w:p>
        </w:tc>
        <w:tc>
          <w:tcPr>
            <w:tcW w:w="562" w:type="pct"/>
            <w:shd w:val="clear" w:color="auto" w:fill="F2F2F2"/>
            <w:vAlign w:val="center"/>
          </w:tcPr>
          <w:p w14:paraId="0DC4842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t>Liczba wspartych podmiotów leczniczych udzielających świadczeń ratownictwa medycznego lub jednostek organizacyjnych szpitali wyspecjalizowanych w zakresie udzielania świadczeń niezbędnych dla ratownictwa medycznego</w:t>
            </w:r>
          </w:p>
        </w:tc>
        <w:tc>
          <w:tcPr>
            <w:tcW w:w="357" w:type="pct"/>
            <w:shd w:val="clear" w:color="auto" w:fill="F2F2F2"/>
            <w:vAlign w:val="center"/>
          </w:tcPr>
          <w:p w14:paraId="470F09F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t>szt.</w:t>
            </w:r>
          </w:p>
        </w:tc>
        <w:tc>
          <w:tcPr>
            <w:tcW w:w="310" w:type="pct"/>
            <w:shd w:val="clear" w:color="auto" w:fill="F2F2F2"/>
            <w:vAlign w:val="center"/>
          </w:tcPr>
          <w:p w14:paraId="26FDFFE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40" w:type="pct"/>
            <w:shd w:val="clear" w:color="auto" w:fill="F2F2F2"/>
            <w:vAlign w:val="center"/>
          </w:tcPr>
          <w:p w14:paraId="794E289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słabiej rozwinięte</w:t>
            </w:r>
          </w:p>
        </w:tc>
        <w:tc>
          <w:tcPr>
            <w:tcW w:w="552" w:type="pct"/>
            <w:shd w:val="clear" w:color="auto" w:fill="F2F2F2"/>
            <w:vAlign w:val="center"/>
          </w:tcPr>
          <w:p w14:paraId="4677F82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16</w:t>
            </w:r>
          </w:p>
        </w:tc>
        <w:tc>
          <w:tcPr>
            <w:tcW w:w="548" w:type="pct"/>
            <w:shd w:val="clear" w:color="auto" w:fill="F2F2F2"/>
            <w:vAlign w:val="center"/>
          </w:tcPr>
          <w:p w14:paraId="0376EABA" w14:textId="77777777" w:rsidR="004E3242" w:rsidRPr="004E3242" w:rsidRDefault="00CA02AA" w:rsidP="004E3242">
            <w:pPr>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CA02AA">
              <w:rPr>
                <w:rFonts w:ascii="Arial" w:hAnsi="Arial" w:cs="Arial"/>
                <w:spacing w:val="4"/>
                <w:sz w:val="16"/>
                <w:szCs w:val="16"/>
              </w:rPr>
              <w:t>186</w:t>
            </w:r>
          </w:p>
        </w:tc>
        <w:tc>
          <w:tcPr>
            <w:tcW w:w="350" w:type="pct"/>
            <w:shd w:val="clear" w:color="auto" w:fill="F2F2F2"/>
            <w:vAlign w:val="center"/>
          </w:tcPr>
          <w:p w14:paraId="041781CB"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t>SL 2014</w:t>
            </w:r>
          </w:p>
        </w:tc>
        <w:tc>
          <w:tcPr>
            <w:tcW w:w="1244" w:type="pct"/>
            <w:shd w:val="clear" w:color="auto" w:fill="F2F2F2"/>
            <w:vAlign w:val="center"/>
          </w:tcPr>
          <w:p w14:paraId="14DB004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Wskaźnik jest reprezentatywny dla projektów, które będą realizowane w ramach ratownictwa medycznego. </w:t>
            </w:r>
            <w:r w:rsidR="00936026" w:rsidRPr="00936026">
              <w:rPr>
                <w:rFonts w:ascii="Arial" w:hAnsi="Arial" w:cs="Arial"/>
                <w:sz w:val="16"/>
                <w:szCs w:val="16"/>
              </w:rPr>
              <w:t>Razem ze wskaźnikiem Liczba wspartych podmiotów leczniczych z wyłączeniem rat</w:t>
            </w:r>
            <w:r w:rsidR="00936026">
              <w:rPr>
                <w:rFonts w:ascii="Arial" w:hAnsi="Arial" w:cs="Arial"/>
                <w:sz w:val="16"/>
                <w:szCs w:val="16"/>
              </w:rPr>
              <w:t>ownictwa medycznego reprezentują</w:t>
            </w:r>
            <w:r w:rsidRPr="004E3242">
              <w:rPr>
                <w:rFonts w:ascii="Arial" w:hAnsi="Arial" w:cs="Arial"/>
                <w:sz w:val="16"/>
                <w:szCs w:val="16"/>
              </w:rPr>
              <w:t xml:space="preserve"> ponad 50% alokacji dla danej kategorii regionów.</w:t>
            </w:r>
          </w:p>
        </w:tc>
      </w:tr>
      <w:tr w:rsidR="00936026" w:rsidRPr="004E3242" w14:paraId="04F3E7CF" w14:textId="77777777" w:rsidTr="0030630B">
        <w:trPr>
          <w:trHeight w:val="2740"/>
        </w:trPr>
        <w:tc>
          <w:tcPr>
            <w:tcW w:w="346" w:type="pct"/>
            <w:shd w:val="clear" w:color="auto" w:fill="F2F2F2"/>
            <w:vAlign w:val="center"/>
          </w:tcPr>
          <w:p w14:paraId="705C00B9" w14:textId="77777777" w:rsidR="00936026" w:rsidRPr="004E3242" w:rsidRDefault="00936026" w:rsidP="004E3242">
            <w:pPr>
              <w:spacing w:before="60" w:after="60" w:line="240" w:lineRule="auto"/>
              <w:jc w:val="center"/>
              <w:rPr>
                <w:rFonts w:ascii="Arial" w:hAnsi="Arial" w:cs="Arial"/>
                <w:sz w:val="16"/>
                <w:szCs w:val="16"/>
              </w:rPr>
            </w:pPr>
            <w:r>
              <w:rPr>
                <w:rFonts w:ascii="Arial" w:hAnsi="Arial" w:cs="Arial"/>
                <w:sz w:val="16"/>
                <w:szCs w:val="16"/>
              </w:rPr>
              <w:t>3.</w:t>
            </w:r>
          </w:p>
        </w:tc>
        <w:tc>
          <w:tcPr>
            <w:tcW w:w="390" w:type="pct"/>
            <w:shd w:val="clear" w:color="auto" w:fill="F2F2F2"/>
            <w:vAlign w:val="center"/>
          </w:tcPr>
          <w:p w14:paraId="14949BAA" w14:textId="77777777" w:rsidR="00936026" w:rsidRPr="004E3242" w:rsidRDefault="00936026" w:rsidP="004E3242">
            <w:pPr>
              <w:spacing w:before="60" w:after="60" w:line="240" w:lineRule="auto"/>
              <w:jc w:val="center"/>
              <w:rPr>
                <w:rFonts w:ascii="Arial" w:hAnsi="Arial" w:cs="Arial"/>
                <w:sz w:val="16"/>
                <w:szCs w:val="16"/>
              </w:rPr>
            </w:pPr>
            <w:r w:rsidRPr="00936026">
              <w:rPr>
                <w:rFonts w:ascii="Arial" w:hAnsi="Arial" w:cs="Arial"/>
                <w:sz w:val="16"/>
                <w:szCs w:val="16"/>
              </w:rPr>
              <w:t>Wskaźnik produktu</w:t>
            </w:r>
          </w:p>
        </w:tc>
        <w:tc>
          <w:tcPr>
            <w:tcW w:w="562" w:type="pct"/>
            <w:shd w:val="clear" w:color="auto" w:fill="F2F2F2"/>
            <w:vAlign w:val="center"/>
          </w:tcPr>
          <w:p w14:paraId="24249650" w14:textId="77777777" w:rsidR="00936026" w:rsidRPr="004E3242" w:rsidRDefault="00936026" w:rsidP="004E3242">
            <w:pPr>
              <w:spacing w:before="60" w:after="60" w:line="240" w:lineRule="auto"/>
              <w:jc w:val="center"/>
              <w:rPr>
                <w:rFonts w:ascii="Arial" w:hAnsi="Arial" w:cs="Arial"/>
                <w:sz w:val="16"/>
                <w:szCs w:val="16"/>
              </w:rPr>
            </w:pPr>
            <w:r w:rsidRPr="00936026">
              <w:rPr>
                <w:rFonts w:ascii="Arial" w:hAnsi="Arial" w:cs="Arial"/>
                <w:sz w:val="16"/>
                <w:szCs w:val="16"/>
              </w:rPr>
              <w:t>Liczba wspartych podmiotów leczniczych z wyłączeniem ratownictwa medycznego</w:t>
            </w:r>
          </w:p>
        </w:tc>
        <w:tc>
          <w:tcPr>
            <w:tcW w:w="357" w:type="pct"/>
            <w:shd w:val="clear" w:color="auto" w:fill="F2F2F2"/>
            <w:vAlign w:val="center"/>
          </w:tcPr>
          <w:p w14:paraId="2AA72E77" w14:textId="77777777" w:rsidR="00936026" w:rsidRPr="004E3242" w:rsidRDefault="00936026" w:rsidP="004E3242">
            <w:pPr>
              <w:spacing w:before="60" w:after="60" w:line="240" w:lineRule="auto"/>
              <w:jc w:val="center"/>
              <w:rPr>
                <w:rFonts w:ascii="Arial" w:hAnsi="Arial" w:cs="Arial"/>
                <w:sz w:val="16"/>
                <w:szCs w:val="16"/>
              </w:rPr>
            </w:pPr>
            <w:r>
              <w:rPr>
                <w:rFonts w:ascii="Arial" w:hAnsi="Arial" w:cs="Arial"/>
                <w:sz w:val="16"/>
                <w:szCs w:val="16"/>
              </w:rPr>
              <w:t xml:space="preserve">szt. </w:t>
            </w:r>
          </w:p>
        </w:tc>
        <w:tc>
          <w:tcPr>
            <w:tcW w:w="310" w:type="pct"/>
            <w:shd w:val="clear" w:color="auto" w:fill="F2F2F2"/>
            <w:vAlign w:val="center"/>
          </w:tcPr>
          <w:p w14:paraId="6AAE55EF" w14:textId="77777777" w:rsidR="00936026" w:rsidRPr="004E3242" w:rsidRDefault="00936026" w:rsidP="004E3242">
            <w:pPr>
              <w:spacing w:before="60" w:after="60" w:line="240" w:lineRule="auto"/>
              <w:jc w:val="center"/>
              <w:rPr>
                <w:rFonts w:ascii="Arial" w:hAnsi="Arial" w:cs="Arial"/>
                <w:spacing w:val="4"/>
                <w:sz w:val="16"/>
                <w:szCs w:val="16"/>
              </w:rPr>
            </w:pPr>
            <w:r>
              <w:rPr>
                <w:rFonts w:ascii="Arial" w:hAnsi="Arial" w:cs="Arial"/>
                <w:spacing w:val="4"/>
                <w:sz w:val="16"/>
                <w:szCs w:val="16"/>
              </w:rPr>
              <w:t>EFRR</w:t>
            </w:r>
          </w:p>
        </w:tc>
        <w:tc>
          <w:tcPr>
            <w:tcW w:w="340" w:type="pct"/>
            <w:shd w:val="clear" w:color="auto" w:fill="F2F2F2"/>
            <w:vAlign w:val="center"/>
          </w:tcPr>
          <w:p w14:paraId="3D238F56" w14:textId="77777777" w:rsidR="00936026" w:rsidRPr="004E3242" w:rsidRDefault="00936026" w:rsidP="004E3242">
            <w:pPr>
              <w:spacing w:before="60" w:after="60" w:line="240" w:lineRule="auto"/>
              <w:jc w:val="center"/>
              <w:rPr>
                <w:rFonts w:ascii="Arial" w:hAnsi="Arial" w:cs="Arial"/>
                <w:spacing w:val="4"/>
                <w:sz w:val="16"/>
                <w:szCs w:val="16"/>
              </w:rPr>
            </w:pPr>
            <w:r>
              <w:rPr>
                <w:rFonts w:ascii="Arial" w:hAnsi="Arial" w:cs="Arial"/>
                <w:spacing w:val="4"/>
                <w:sz w:val="16"/>
                <w:szCs w:val="16"/>
              </w:rPr>
              <w:t>słabiej rozwinięte</w:t>
            </w:r>
          </w:p>
        </w:tc>
        <w:tc>
          <w:tcPr>
            <w:tcW w:w="552" w:type="pct"/>
            <w:shd w:val="clear" w:color="auto" w:fill="F2F2F2"/>
            <w:vAlign w:val="center"/>
          </w:tcPr>
          <w:p w14:paraId="183EA418" w14:textId="77777777" w:rsidR="00936026" w:rsidRPr="004E3242" w:rsidRDefault="00891B15" w:rsidP="004E3242">
            <w:pPr>
              <w:spacing w:before="60" w:after="60" w:line="240" w:lineRule="auto"/>
              <w:jc w:val="center"/>
              <w:rPr>
                <w:rFonts w:ascii="Arial" w:hAnsi="Arial" w:cs="Arial"/>
                <w:spacing w:val="4"/>
                <w:sz w:val="16"/>
                <w:szCs w:val="16"/>
              </w:rPr>
            </w:pPr>
            <w:r>
              <w:rPr>
                <w:rFonts w:ascii="Arial" w:hAnsi="Arial" w:cs="Arial"/>
                <w:spacing w:val="4"/>
                <w:sz w:val="16"/>
                <w:szCs w:val="16"/>
              </w:rPr>
              <w:t>-</w:t>
            </w:r>
          </w:p>
        </w:tc>
        <w:tc>
          <w:tcPr>
            <w:tcW w:w="548" w:type="pct"/>
            <w:shd w:val="clear" w:color="auto" w:fill="F2F2F2"/>
            <w:vAlign w:val="center"/>
          </w:tcPr>
          <w:p w14:paraId="3629FBFE" w14:textId="77777777" w:rsidR="00936026" w:rsidRDefault="00936026" w:rsidP="004E3242">
            <w:pPr>
              <w:spacing w:before="60" w:after="60" w:line="240" w:lineRule="auto"/>
              <w:jc w:val="center"/>
              <w:rPr>
                <w:rFonts w:ascii="Arial" w:hAnsi="Arial" w:cs="Arial"/>
                <w:spacing w:val="4"/>
                <w:sz w:val="16"/>
                <w:szCs w:val="16"/>
              </w:rPr>
            </w:pPr>
            <w:r>
              <w:rPr>
                <w:rFonts w:ascii="Arial" w:hAnsi="Arial" w:cs="Arial"/>
                <w:spacing w:val="4"/>
                <w:sz w:val="16"/>
                <w:szCs w:val="16"/>
              </w:rPr>
              <w:t>49</w:t>
            </w:r>
          </w:p>
        </w:tc>
        <w:tc>
          <w:tcPr>
            <w:tcW w:w="350" w:type="pct"/>
            <w:shd w:val="clear" w:color="auto" w:fill="F2F2F2"/>
            <w:vAlign w:val="center"/>
          </w:tcPr>
          <w:p w14:paraId="03B51FDC" w14:textId="77777777" w:rsidR="00936026" w:rsidRPr="004E3242" w:rsidRDefault="00936026" w:rsidP="004E3242">
            <w:pPr>
              <w:spacing w:before="60" w:after="60" w:line="240" w:lineRule="auto"/>
              <w:jc w:val="center"/>
              <w:rPr>
                <w:rFonts w:ascii="Arial" w:hAnsi="Arial" w:cs="Arial"/>
                <w:sz w:val="16"/>
                <w:szCs w:val="16"/>
              </w:rPr>
            </w:pPr>
            <w:r>
              <w:rPr>
                <w:rFonts w:ascii="Arial" w:hAnsi="Arial" w:cs="Arial"/>
                <w:sz w:val="16"/>
                <w:szCs w:val="16"/>
              </w:rPr>
              <w:t>SL 2014</w:t>
            </w:r>
          </w:p>
        </w:tc>
        <w:tc>
          <w:tcPr>
            <w:tcW w:w="1244" w:type="pct"/>
            <w:shd w:val="clear" w:color="auto" w:fill="F2F2F2"/>
            <w:vAlign w:val="center"/>
          </w:tcPr>
          <w:p w14:paraId="5693F391" w14:textId="77777777" w:rsidR="00936026" w:rsidRPr="004E3242" w:rsidRDefault="00936026" w:rsidP="004E3242">
            <w:pPr>
              <w:spacing w:before="60" w:after="60" w:line="240" w:lineRule="auto"/>
              <w:jc w:val="both"/>
              <w:rPr>
                <w:rFonts w:ascii="Arial" w:hAnsi="Arial" w:cs="Arial"/>
                <w:sz w:val="16"/>
                <w:szCs w:val="16"/>
              </w:rPr>
            </w:pPr>
            <w:r w:rsidRPr="00936026">
              <w:rPr>
                <w:rFonts w:ascii="Arial" w:hAnsi="Arial" w:cs="Arial"/>
                <w:sz w:val="16"/>
                <w:szCs w:val="16"/>
              </w:rPr>
              <w:t>Wskaźnik jest reprezentatywny dla projektów dot. wzmocnienia infrastruktury szpitali ponadregionalnych. Razem ze wskaźnikiem Liczba wspartych podmiotów leczniczych udzielających świadczeń ratownictwa medycznego lub jednostek organizacyjnych szpitali wyspecjalizowanych w zakresie udzielania świadczeń niezbędnych dla ratownictwa medycznego reprezentują ponad 50% alokacji na daną kategorię regionu.</w:t>
            </w:r>
          </w:p>
        </w:tc>
      </w:tr>
      <w:tr w:rsidR="004E3242" w:rsidRPr="004E3242" w14:paraId="384B9B5A" w14:textId="77777777" w:rsidTr="00AA7998">
        <w:tc>
          <w:tcPr>
            <w:tcW w:w="346" w:type="pct"/>
            <w:shd w:val="clear" w:color="auto" w:fill="F2F2F2"/>
            <w:vAlign w:val="center"/>
          </w:tcPr>
          <w:p w14:paraId="1C10936B" w14:textId="77777777" w:rsidR="004E3242" w:rsidRPr="004E3242" w:rsidRDefault="00936026" w:rsidP="004E3242">
            <w:pPr>
              <w:spacing w:before="60" w:after="60" w:line="240" w:lineRule="auto"/>
              <w:jc w:val="center"/>
              <w:rPr>
                <w:rFonts w:ascii="Arial" w:hAnsi="Arial" w:cs="Arial"/>
                <w:sz w:val="16"/>
                <w:szCs w:val="16"/>
              </w:rPr>
            </w:pPr>
            <w:r>
              <w:rPr>
                <w:rFonts w:ascii="Arial" w:hAnsi="Arial" w:cs="Arial"/>
                <w:sz w:val="16"/>
                <w:szCs w:val="16"/>
              </w:rPr>
              <w:t>4.</w:t>
            </w:r>
          </w:p>
        </w:tc>
        <w:tc>
          <w:tcPr>
            <w:tcW w:w="390" w:type="pct"/>
            <w:shd w:val="clear" w:color="auto" w:fill="F2F2F2"/>
            <w:vAlign w:val="center"/>
          </w:tcPr>
          <w:p w14:paraId="42F4319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Wskaźnik produktu</w:t>
            </w:r>
          </w:p>
        </w:tc>
        <w:tc>
          <w:tcPr>
            <w:tcW w:w="562" w:type="pct"/>
            <w:shd w:val="clear" w:color="auto" w:fill="F2F2F2"/>
            <w:vAlign w:val="center"/>
          </w:tcPr>
          <w:p w14:paraId="2D1F066F"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 xml:space="preserve">Liczba wspartych podmiotów leczniczych z wyłączeniem </w:t>
            </w:r>
            <w:r w:rsidRPr="004E3242">
              <w:rPr>
                <w:rFonts w:ascii="Arial" w:hAnsi="Arial" w:cs="Arial"/>
                <w:sz w:val="16"/>
                <w:szCs w:val="16"/>
              </w:rPr>
              <w:lastRenderedPageBreak/>
              <w:t>ratownictwa medycznego</w:t>
            </w:r>
          </w:p>
        </w:tc>
        <w:tc>
          <w:tcPr>
            <w:tcW w:w="357" w:type="pct"/>
            <w:shd w:val="clear" w:color="auto" w:fill="F2F2F2"/>
            <w:vAlign w:val="center"/>
          </w:tcPr>
          <w:p w14:paraId="1A4699F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lastRenderedPageBreak/>
              <w:t>szt.</w:t>
            </w:r>
          </w:p>
        </w:tc>
        <w:tc>
          <w:tcPr>
            <w:tcW w:w="310" w:type="pct"/>
            <w:shd w:val="clear" w:color="auto" w:fill="F2F2F2"/>
            <w:vAlign w:val="center"/>
          </w:tcPr>
          <w:p w14:paraId="218DFADE"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40" w:type="pct"/>
            <w:shd w:val="clear" w:color="auto" w:fill="F2F2F2"/>
            <w:vAlign w:val="center"/>
          </w:tcPr>
          <w:p w14:paraId="5EDDD17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52" w:type="pct"/>
            <w:shd w:val="clear" w:color="auto" w:fill="F2F2F2"/>
            <w:vAlign w:val="center"/>
          </w:tcPr>
          <w:p w14:paraId="7EB9B29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0</w:t>
            </w:r>
          </w:p>
        </w:tc>
        <w:tc>
          <w:tcPr>
            <w:tcW w:w="548" w:type="pct"/>
            <w:shd w:val="clear" w:color="auto" w:fill="F2F2F2"/>
            <w:vAlign w:val="center"/>
          </w:tcPr>
          <w:p w14:paraId="35066949" w14:textId="77777777" w:rsidR="004E3242" w:rsidRPr="004E3242" w:rsidRDefault="0044614C" w:rsidP="004E3242">
            <w:pPr>
              <w:spacing w:before="60" w:after="60" w:line="240" w:lineRule="auto"/>
              <w:jc w:val="center"/>
              <w:rPr>
                <w:rFonts w:ascii="Arial" w:hAnsi="Arial" w:cs="Arial"/>
                <w:spacing w:val="4"/>
                <w:sz w:val="16"/>
                <w:szCs w:val="16"/>
              </w:rPr>
            </w:pPr>
            <w:r>
              <w:rPr>
                <w:rFonts w:ascii="Arial" w:hAnsi="Arial" w:cs="Arial"/>
                <w:spacing w:val="4"/>
                <w:sz w:val="16"/>
                <w:szCs w:val="16"/>
              </w:rPr>
              <w:t xml:space="preserve"> </w:t>
            </w:r>
            <w:r w:rsidRPr="0044614C">
              <w:rPr>
                <w:rFonts w:ascii="Arial" w:hAnsi="Arial" w:cs="Arial"/>
                <w:spacing w:val="4"/>
                <w:sz w:val="16"/>
                <w:szCs w:val="16"/>
              </w:rPr>
              <w:t>13</w:t>
            </w:r>
          </w:p>
        </w:tc>
        <w:tc>
          <w:tcPr>
            <w:tcW w:w="350" w:type="pct"/>
            <w:shd w:val="clear" w:color="auto" w:fill="F2F2F2"/>
            <w:vAlign w:val="center"/>
          </w:tcPr>
          <w:p w14:paraId="5201E22C"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SL 2014</w:t>
            </w:r>
          </w:p>
        </w:tc>
        <w:tc>
          <w:tcPr>
            <w:tcW w:w="1244" w:type="pct"/>
            <w:shd w:val="clear" w:color="auto" w:fill="F2F2F2"/>
            <w:vAlign w:val="center"/>
          </w:tcPr>
          <w:p w14:paraId="2D4E84DB" w14:textId="77777777" w:rsidR="004E3242" w:rsidRPr="004E3242" w:rsidRDefault="004E3242" w:rsidP="004E3242">
            <w:p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 xml:space="preserve">Wskaźnik jest reprezentatywny dla projektów dot. wzmocnienia infrastruktury szpitali </w:t>
            </w:r>
            <w:r w:rsidR="00F85568" w:rsidRPr="004E3242">
              <w:rPr>
                <w:rFonts w:ascii="Arial" w:hAnsi="Arial" w:cs="Arial"/>
                <w:sz w:val="16"/>
                <w:szCs w:val="16"/>
                <w:lang w:eastAsia="pl-PL"/>
              </w:rPr>
              <w:t>ponadregionalnych</w:t>
            </w:r>
            <w:r w:rsidRPr="004E3242">
              <w:rPr>
                <w:rFonts w:ascii="Arial" w:hAnsi="Arial" w:cs="Arial"/>
                <w:sz w:val="16"/>
                <w:szCs w:val="16"/>
                <w:lang w:eastAsia="pl-PL"/>
              </w:rPr>
              <w:t>. Reprezentuje ponad 50% alokacji na daną kategorię regionu.</w:t>
            </w:r>
          </w:p>
        </w:tc>
      </w:tr>
      <w:tr w:rsidR="004E3242" w:rsidRPr="004E3242" w14:paraId="3F17FBE6" w14:textId="77777777" w:rsidTr="00AA7998">
        <w:tc>
          <w:tcPr>
            <w:tcW w:w="346" w:type="pct"/>
            <w:shd w:val="clear" w:color="auto" w:fill="F2F2F2"/>
            <w:vAlign w:val="center"/>
          </w:tcPr>
          <w:p w14:paraId="4793A4B6" w14:textId="77777777" w:rsidR="004E3242" w:rsidRPr="004E3242" w:rsidRDefault="00936026" w:rsidP="004E3242">
            <w:pPr>
              <w:spacing w:before="60" w:after="60" w:line="240" w:lineRule="auto"/>
              <w:jc w:val="center"/>
              <w:rPr>
                <w:rFonts w:ascii="Arial" w:hAnsi="Arial" w:cs="Arial"/>
                <w:sz w:val="16"/>
                <w:szCs w:val="16"/>
              </w:rPr>
            </w:pPr>
            <w:r>
              <w:rPr>
                <w:rFonts w:ascii="Arial" w:hAnsi="Arial" w:cs="Arial"/>
                <w:sz w:val="16"/>
                <w:szCs w:val="16"/>
              </w:rPr>
              <w:t>5.</w:t>
            </w:r>
          </w:p>
        </w:tc>
        <w:tc>
          <w:tcPr>
            <w:tcW w:w="390" w:type="pct"/>
            <w:shd w:val="clear" w:color="auto" w:fill="F2F2F2"/>
            <w:vAlign w:val="center"/>
          </w:tcPr>
          <w:p w14:paraId="0622ABDE"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Kluczowy etap wdrożeniowy</w:t>
            </w:r>
          </w:p>
        </w:tc>
        <w:tc>
          <w:tcPr>
            <w:tcW w:w="562" w:type="pct"/>
            <w:shd w:val="clear" w:color="auto" w:fill="F2F2F2"/>
            <w:vAlign w:val="center"/>
          </w:tcPr>
          <w:p w14:paraId="7B281DA4"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Liczba wspartych podmiotów leczniczych z wyłączeniem ratownictwa medycznego według zawartych umów o dofinansowanie</w:t>
            </w:r>
          </w:p>
        </w:tc>
        <w:tc>
          <w:tcPr>
            <w:tcW w:w="357" w:type="pct"/>
            <w:shd w:val="clear" w:color="auto" w:fill="F2F2F2"/>
            <w:vAlign w:val="center"/>
          </w:tcPr>
          <w:p w14:paraId="4D060D0C"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szt.</w:t>
            </w:r>
          </w:p>
        </w:tc>
        <w:tc>
          <w:tcPr>
            <w:tcW w:w="310" w:type="pct"/>
            <w:shd w:val="clear" w:color="auto" w:fill="F2F2F2"/>
            <w:vAlign w:val="center"/>
          </w:tcPr>
          <w:p w14:paraId="7C2F518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340" w:type="pct"/>
            <w:shd w:val="clear" w:color="auto" w:fill="F2F2F2"/>
            <w:vAlign w:val="center"/>
          </w:tcPr>
          <w:p w14:paraId="3E58D0B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lepiej rozwinięte</w:t>
            </w:r>
          </w:p>
        </w:tc>
        <w:tc>
          <w:tcPr>
            <w:tcW w:w="552" w:type="pct"/>
            <w:shd w:val="clear" w:color="auto" w:fill="F2F2F2"/>
            <w:vAlign w:val="center"/>
          </w:tcPr>
          <w:p w14:paraId="704CAAD0"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548" w:type="pct"/>
            <w:shd w:val="clear" w:color="auto" w:fill="F2F2F2"/>
            <w:vAlign w:val="center"/>
          </w:tcPr>
          <w:p w14:paraId="4841EAB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t>
            </w:r>
          </w:p>
        </w:tc>
        <w:tc>
          <w:tcPr>
            <w:tcW w:w="350" w:type="pct"/>
            <w:shd w:val="clear" w:color="auto" w:fill="F2F2F2"/>
            <w:vAlign w:val="center"/>
          </w:tcPr>
          <w:p w14:paraId="23D56F54"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SL 2014</w:t>
            </w:r>
          </w:p>
        </w:tc>
        <w:tc>
          <w:tcPr>
            <w:tcW w:w="1244" w:type="pct"/>
            <w:shd w:val="clear" w:color="auto" w:fill="F2F2F2"/>
            <w:vAlign w:val="center"/>
          </w:tcPr>
          <w:p w14:paraId="4E1CB9FD" w14:textId="77777777" w:rsidR="004E3242" w:rsidRPr="004E3242" w:rsidRDefault="004E3242" w:rsidP="004E3242">
            <w:pPr>
              <w:spacing w:before="60" w:after="60" w:line="240" w:lineRule="auto"/>
              <w:jc w:val="both"/>
              <w:rPr>
                <w:rFonts w:ascii="Arial" w:hAnsi="Arial" w:cs="Arial"/>
                <w:sz w:val="16"/>
                <w:szCs w:val="16"/>
                <w:lang w:eastAsia="pl-PL"/>
              </w:rPr>
            </w:pPr>
            <w:r w:rsidRPr="004E3242">
              <w:rPr>
                <w:rFonts w:ascii="Arial" w:hAnsi="Arial" w:cs="Arial"/>
                <w:sz w:val="15"/>
                <w:szCs w:val="15"/>
              </w:rPr>
              <w:t xml:space="preserve">Zastosowanie KEW uzasadnia przewidywanie, iż wytypowany do oceny wykonania wskaźnik produktu (Liczba wspartych podmiotów leczniczych z wyłączeniem ratownictwa medycznego) w roku 2018 może wykazać wartość zerową. Wybrany KEW jest jednym z najistotniejszych etapów we wdrażaniu programu.  </w:t>
            </w:r>
          </w:p>
        </w:tc>
      </w:tr>
    </w:tbl>
    <w:p w14:paraId="162769FE" w14:textId="77777777" w:rsidR="004E3242" w:rsidRPr="004E3242" w:rsidRDefault="004E3242" w:rsidP="004E3242">
      <w:pPr>
        <w:spacing w:before="60" w:after="60" w:line="240" w:lineRule="auto"/>
        <w:rPr>
          <w:rFonts w:ascii="Arial" w:hAnsi="Arial" w:cs="Arial"/>
          <w:b/>
          <w:color w:val="808000"/>
          <w:spacing w:val="4"/>
          <w:sz w:val="20"/>
          <w:szCs w:val="20"/>
        </w:rPr>
      </w:pPr>
    </w:p>
    <w:p w14:paraId="0119FB09"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p>
    <w:p w14:paraId="5CC03FDD" w14:textId="77777777" w:rsidR="004E3242" w:rsidRPr="004E3242" w:rsidRDefault="004E3242" w:rsidP="004E3242">
      <w:pPr>
        <w:spacing w:after="120" w:line="280" w:lineRule="atLeast"/>
        <w:jc w:val="both"/>
        <w:rPr>
          <w:rFonts w:ascii="Arial" w:hAnsi="Arial" w:cs="Arial"/>
          <w:bCs/>
          <w:i/>
          <w:iCs/>
          <w:color w:val="808000"/>
          <w:spacing w:val="4"/>
          <w:sz w:val="20"/>
          <w:szCs w:val="20"/>
        </w:rPr>
      </w:pPr>
      <w:r w:rsidRPr="004E3242">
        <w:rPr>
          <w:rFonts w:ascii="Arial" w:hAnsi="Arial" w:cs="Arial"/>
          <w:bCs/>
          <w:smallCaps/>
          <w:color w:val="669900"/>
          <w:spacing w:val="4"/>
          <w:sz w:val="20"/>
          <w:szCs w:val="20"/>
        </w:rPr>
        <w:t>Kategorie interwencji (EUR)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14"/>
        <w:gridCol w:w="1136"/>
        <w:gridCol w:w="1133"/>
        <w:gridCol w:w="562"/>
        <w:gridCol w:w="992"/>
        <w:gridCol w:w="1142"/>
        <w:gridCol w:w="1280"/>
        <w:gridCol w:w="427"/>
        <w:gridCol w:w="854"/>
        <w:gridCol w:w="1133"/>
        <w:gridCol w:w="1277"/>
        <w:gridCol w:w="565"/>
        <w:gridCol w:w="1277"/>
        <w:gridCol w:w="1415"/>
        <w:gridCol w:w="1345"/>
      </w:tblGrid>
      <w:tr w:rsidR="004E3242" w:rsidRPr="004E3242" w14:paraId="271CB60F" w14:textId="77777777" w:rsidTr="00AA7998">
        <w:trPr>
          <w:trHeight w:val="219"/>
        </w:trPr>
        <w:tc>
          <w:tcPr>
            <w:tcW w:w="1004" w:type="pct"/>
            <w:gridSpan w:val="3"/>
            <w:shd w:val="clear" w:color="auto" w:fill="99CC00"/>
            <w:vAlign w:val="center"/>
          </w:tcPr>
          <w:p w14:paraId="565EF8F2"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Obszar interwencji</w:t>
            </w:r>
          </w:p>
        </w:tc>
        <w:tc>
          <w:tcPr>
            <w:tcW w:w="183" w:type="pct"/>
            <w:shd w:val="clear" w:color="auto" w:fill="FFFFFF"/>
          </w:tcPr>
          <w:p w14:paraId="1481444B"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1112" w:type="pct"/>
            <w:gridSpan w:val="3"/>
            <w:shd w:val="clear" w:color="auto" w:fill="99CC00"/>
            <w:vAlign w:val="center"/>
          </w:tcPr>
          <w:p w14:paraId="3E25A5B2"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Forma finansowania</w:t>
            </w:r>
          </w:p>
        </w:tc>
        <w:tc>
          <w:tcPr>
            <w:tcW w:w="139" w:type="pct"/>
            <w:shd w:val="clear" w:color="auto" w:fill="FFFFFF"/>
          </w:tcPr>
          <w:p w14:paraId="45527D33"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1063" w:type="pct"/>
            <w:gridSpan w:val="3"/>
            <w:shd w:val="clear" w:color="auto" w:fill="99CC00"/>
            <w:vAlign w:val="center"/>
          </w:tcPr>
          <w:p w14:paraId="0899D7B6"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Terytorium</w:t>
            </w:r>
          </w:p>
        </w:tc>
        <w:tc>
          <w:tcPr>
            <w:tcW w:w="184" w:type="pct"/>
            <w:shd w:val="clear" w:color="auto" w:fill="FFFFFF"/>
          </w:tcPr>
          <w:p w14:paraId="10F50DDA"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1315" w:type="pct"/>
            <w:gridSpan w:val="3"/>
            <w:shd w:val="clear" w:color="auto" w:fill="99CC00"/>
            <w:vAlign w:val="center"/>
          </w:tcPr>
          <w:p w14:paraId="24212888"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Mechanizmy realizacji wymiaru terytorialnego</w:t>
            </w:r>
          </w:p>
        </w:tc>
      </w:tr>
      <w:tr w:rsidR="004E3242" w:rsidRPr="004E3242" w14:paraId="586620D1" w14:textId="77777777" w:rsidTr="00D06A4B">
        <w:trPr>
          <w:trHeight w:val="182"/>
        </w:trPr>
        <w:tc>
          <w:tcPr>
            <w:tcW w:w="265" w:type="pct"/>
            <w:vMerge w:val="restart"/>
            <w:shd w:val="clear" w:color="auto" w:fill="99CC00"/>
            <w:vAlign w:val="center"/>
          </w:tcPr>
          <w:p w14:paraId="13813053"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739" w:type="pct"/>
            <w:gridSpan w:val="2"/>
            <w:shd w:val="clear" w:color="auto" w:fill="99CC00"/>
            <w:vAlign w:val="center"/>
          </w:tcPr>
          <w:p w14:paraId="5E278F95"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83" w:type="pct"/>
            <w:shd w:val="clear" w:color="auto" w:fill="FFFFFF"/>
          </w:tcPr>
          <w:p w14:paraId="2EBC2025"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323" w:type="pct"/>
            <w:vMerge w:val="restart"/>
            <w:shd w:val="clear" w:color="auto" w:fill="99CC00"/>
            <w:vAlign w:val="center"/>
          </w:tcPr>
          <w:p w14:paraId="0229FD31"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789" w:type="pct"/>
            <w:gridSpan w:val="2"/>
            <w:shd w:val="clear" w:color="auto" w:fill="99CC00"/>
            <w:vAlign w:val="center"/>
          </w:tcPr>
          <w:p w14:paraId="1FE2FACC"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39" w:type="pct"/>
            <w:shd w:val="clear" w:color="auto" w:fill="FFFFFF"/>
          </w:tcPr>
          <w:p w14:paraId="61BC2E37"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278" w:type="pct"/>
            <w:vMerge w:val="restart"/>
            <w:shd w:val="clear" w:color="auto" w:fill="99CC00"/>
            <w:vAlign w:val="center"/>
          </w:tcPr>
          <w:p w14:paraId="0B45D71D"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785" w:type="pct"/>
            <w:gridSpan w:val="2"/>
            <w:shd w:val="clear" w:color="auto" w:fill="99CC00"/>
            <w:vAlign w:val="center"/>
          </w:tcPr>
          <w:p w14:paraId="115A32ED"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84" w:type="pct"/>
            <w:shd w:val="clear" w:color="auto" w:fill="FFFFFF"/>
          </w:tcPr>
          <w:p w14:paraId="4C607B33"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416" w:type="pct"/>
            <w:vMerge w:val="restart"/>
            <w:shd w:val="clear" w:color="auto" w:fill="99CC00"/>
            <w:vAlign w:val="center"/>
          </w:tcPr>
          <w:p w14:paraId="2C6329D9"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99" w:type="pct"/>
            <w:gridSpan w:val="2"/>
            <w:shd w:val="clear" w:color="auto" w:fill="99CC00"/>
            <w:vAlign w:val="center"/>
          </w:tcPr>
          <w:p w14:paraId="734926E5"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r>
      <w:tr w:rsidR="004E3242" w:rsidRPr="004E3242" w14:paraId="350F397D" w14:textId="77777777" w:rsidTr="00D06A4B">
        <w:trPr>
          <w:trHeight w:val="400"/>
        </w:trPr>
        <w:tc>
          <w:tcPr>
            <w:tcW w:w="265" w:type="pct"/>
            <w:vMerge/>
            <w:shd w:val="clear" w:color="auto" w:fill="99CC00"/>
            <w:vAlign w:val="center"/>
          </w:tcPr>
          <w:p w14:paraId="6105D50E"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370" w:type="pct"/>
            <w:shd w:val="clear" w:color="auto" w:fill="99CC00"/>
            <w:vAlign w:val="center"/>
          </w:tcPr>
          <w:p w14:paraId="37CB5FD7"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369" w:type="pct"/>
            <w:shd w:val="clear" w:color="auto" w:fill="99CC00"/>
            <w:vAlign w:val="center"/>
          </w:tcPr>
          <w:p w14:paraId="10288836"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83" w:type="pct"/>
            <w:shd w:val="clear" w:color="auto" w:fill="FFFFFF"/>
          </w:tcPr>
          <w:p w14:paraId="7DFE2F91"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323" w:type="pct"/>
            <w:vMerge/>
            <w:shd w:val="clear" w:color="auto" w:fill="99CC00"/>
            <w:vAlign w:val="center"/>
          </w:tcPr>
          <w:p w14:paraId="1B73D779"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372" w:type="pct"/>
            <w:shd w:val="clear" w:color="auto" w:fill="99CC00"/>
            <w:vAlign w:val="center"/>
          </w:tcPr>
          <w:p w14:paraId="461DF1EE"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17" w:type="pct"/>
            <w:shd w:val="clear" w:color="auto" w:fill="99CC00"/>
            <w:vAlign w:val="center"/>
          </w:tcPr>
          <w:p w14:paraId="05D7216A"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39" w:type="pct"/>
            <w:shd w:val="clear" w:color="auto" w:fill="FFFFFF"/>
          </w:tcPr>
          <w:p w14:paraId="29298CD7"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278" w:type="pct"/>
            <w:vMerge/>
            <w:shd w:val="clear" w:color="auto" w:fill="99CC00"/>
            <w:vAlign w:val="center"/>
          </w:tcPr>
          <w:p w14:paraId="3A0CE9D3"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369" w:type="pct"/>
            <w:shd w:val="clear" w:color="auto" w:fill="99CC00"/>
            <w:vAlign w:val="center"/>
          </w:tcPr>
          <w:p w14:paraId="1C7315B4"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16" w:type="pct"/>
            <w:shd w:val="clear" w:color="auto" w:fill="99CC00"/>
            <w:vAlign w:val="center"/>
          </w:tcPr>
          <w:p w14:paraId="061449E6"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c>
          <w:tcPr>
            <w:tcW w:w="184" w:type="pct"/>
            <w:shd w:val="clear" w:color="auto" w:fill="FFFFFF"/>
          </w:tcPr>
          <w:p w14:paraId="5363B62C"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416" w:type="pct"/>
            <w:vMerge/>
            <w:shd w:val="clear" w:color="auto" w:fill="99CC00"/>
            <w:vAlign w:val="center"/>
          </w:tcPr>
          <w:p w14:paraId="3350A9F9" w14:textId="77777777" w:rsidR="004E3242" w:rsidRPr="004E3242" w:rsidRDefault="004E3242" w:rsidP="004E3242">
            <w:pPr>
              <w:spacing w:before="60" w:after="60" w:line="240" w:lineRule="auto"/>
              <w:jc w:val="center"/>
              <w:rPr>
                <w:rFonts w:ascii="Arial" w:hAnsi="Arial" w:cs="Arial"/>
                <w:color w:val="FFFFFF"/>
                <w:sz w:val="16"/>
                <w:szCs w:val="16"/>
              </w:rPr>
            </w:pPr>
          </w:p>
        </w:tc>
        <w:tc>
          <w:tcPr>
            <w:tcW w:w="461" w:type="pct"/>
            <w:shd w:val="clear" w:color="auto" w:fill="99CC00"/>
            <w:vAlign w:val="center"/>
          </w:tcPr>
          <w:p w14:paraId="38959631"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Słabiej rozwinięte</w:t>
            </w:r>
          </w:p>
        </w:tc>
        <w:tc>
          <w:tcPr>
            <w:tcW w:w="438" w:type="pct"/>
            <w:shd w:val="clear" w:color="auto" w:fill="99CC00"/>
            <w:vAlign w:val="center"/>
          </w:tcPr>
          <w:p w14:paraId="5DAF9C62"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Lepiej rozwinięte</w:t>
            </w:r>
          </w:p>
        </w:tc>
      </w:tr>
      <w:tr w:rsidR="004E3242" w:rsidRPr="004E3242" w14:paraId="1698160A" w14:textId="77777777" w:rsidTr="00D06A4B">
        <w:tc>
          <w:tcPr>
            <w:tcW w:w="265" w:type="pct"/>
            <w:shd w:val="clear" w:color="auto" w:fill="F2F2F2"/>
            <w:vAlign w:val="center"/>
          </w:tcPr>
          <w:p w14:paraId="241D3ABE"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053</w:t>
            </w:r>
          </w:p>
        </w:tc>
        <w:tc>
          <w:tcPr>
            <w:tcW w:w="370" w:type="pct"/>
            <w:shd w:val="clear" w:color="auto" w:fill="F2F2F2"/>
            <w:vAlign w:val="center"/>
          </w:tcPr>
          <w:p w14:paraId="106345B2" w14:textId="77777777" w:rsidR="008D5B96" w:rsidRDefault="008D5B96" w:rsidP="00BD620A">
            <w:pPr>
              <w:spacing w:after="0" w:line="240" w:lineRule="auto"/>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4B7579C2" w14:textId="77777777" w:rsidR="004E3242" w:rsidRPr="00F224F6" w:rsidRDefault="004E3242" w:rsidP="00BD620A">
            <w:pPr>
              <w:spacing w:after="0" w:line="240" w:lineRule="auto"/>
              <w:rPr>
                <w:rFonts w:ascii="Arial" w:hAnsi="Arial" w:cs="Arial"/>
                <w:sz w:val="16"/>
                <w:szCs w:val="16"/>
              </w:rPr>
            </w:pPr>
          </w:p>
        </w:tc>
        <w:tc>
          <w:tcPr>
            <w:tcW w:w="369" w:type="pct"/>
            <w:shd w:val="clear" w:color="auto" w:fill="F2F2F2"/>
            <w:vAlign w:val="center"/>
          </w:tcPr>
          <w:p w14:paraId="74CCD4E0" w14:textId="77777777" w:rsidR="00BD620A" w:rsidRDefault="00BD620A" w:rsidP="00C57804">
            <w:pPr>
              <w:spacing w:before="60" w:after="60" w:line="240" w:lineRule="auto"/>
              <w:jc w:val="center"/>
              <w:rPr>
                <w:rFonts w:ascii="Arial" w:hAnsi="Arial" w:cs="Arial"/>
                <w:sz w:val="16"/>
                <w:szCs w:val="16"/>
              </w:rPr>
            </w:pPr>
          </w:p>
          <w:p w14:paraId="710F8790"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7BD0989E" w14:textId="77777777" w:rsidR="004E3242" w:rsidRPr="00F224F6" w:rsidRDefault="004E3242" w:rsidP="004E3242">
            <w:pPr>
              <w:spacing w:before="60" w:after="60" w:line="240" w:lineRule="auto"/>
              <w:jc w:val="center"/>
              <w:rPr>
                <w:rFonts w:ascii="Arial" w:hAnsi="Arial" w:cs="Arial"/>
                <w:sz w:val="16"/>
                <w:szCs w:val="16"/>
              </w:rPr>
            </w:pPr>
          </w:p>
        </w:tc>
        <w:tc>
          <w:tcPr>
            <w:tcW w:w="183" w:type="pct"/>
            <w:shd w:val="clear" w:color="auto" w:fill="FFFFFF"/>
          </w:tcPr>
          <w:p w14:paraId="0C7BE89A" w14:textId="77777777" w:rsidR="004E3242" w:rsidRPr="00F224F6" w:rsidRDefault="004E3242" w:rsidP="004E3242">
            <w:pPr>
              <w:suppressAutoHyphens/>
              <w:spacing w:before="60" w:after="60" w:line="240" w:lineRule="auto"/>
              <w:jc w:val="center"/>
              <w:rPr>
                <w:rFonts w:ascii="Arial" w:hAnsi="Arial" w:cs="Arial"/>
                <w:sz w:val="16"/>
                <w:szCs w:val="16"/>
              </w:rPr>
            </w:pPr>
          </w:p>
        </w:tc>
        <w:tc>
          <w:tcPr>
            <w:tcW w:w="323" w:type="pct"/>
            <w:shd w:val="clear" w:color="auto" w:fill="F2F2F2"/>
            <w:vAlign w:val="center"/>
          </w:tcPr>
          <w:p w14:paraId="08971186" w14:textId="77777777" w:rsidR="004E3242" w:rsidRPr="00F224F6" w:rsidRDefault="004E3242" w:rsidP="004E3242">
            <w:pPr>
              <w:suppressAutoHyphens/>
              <w:spacing w:before="60" w:after="60" w:line="240" w:lineRule="auto"/>
              <w:jc w:val="center"/>
              <w:rPr>
                <w:rFonts w:ascii="Arial" w:hAnsi="Arial" w:cs="Arial"/>
                <w:sz w:val="16"/>
                <w:szCs w:val="16"/>
              </w:rPr>
            </w:pPr>
            <w:r w:rsidRPr="00F224F6">
              <w:rPr>
                <w:rFonts w:ascii="Arial" w:hAnsi="Arial" w:cs="Arial"/>
                <w:sz w:val="16"/>
                <w:szCs w:val="16"/>
              </w:rPr>
              <w:t>01</w:t>
            </w:r>
          </w:p>
        </w:tc>
        <w:tc>
          <w:tcPr>
            <w:tcW w:w="372" w:type="pct"/>
            <w:shd w:val="clear" w:color="auto" w:fill="F2F2F2"/>
            <w:vAlign w:val="center"/>
          </w:tcPr>
          <w:p w14:paraId="2687F049" w14:textId="77777777" w:rsidR="008D5B96" w:rsidRDefault="008D5B96" w:rsidP="00BD620A">
            <w:pPr>
              <w:spacing w:after="0" w:line="240" w:lineRule="auto"/>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4819F99C" w14:textId="77777777" w:rsidR="004E3242" w:rsidRPr="00F224F6" w:rsidRDefault="004E3242" w:rsidP="00BD620A">
            <w:pPr>
              <w:spacing w:after="0" w:line="240" w:lineRule="auto"/>
              <w:rPr>
                <w:rFonts w:ascii="Arial" w:hAnsi="Arial" w:cs="Arial"/>
                <w:sz w:val="16"/>
                <w:szCs w:val="16"/>
              </w:rPr>
            </w:pPr>
          </w:p>
        </w:tc>
        <w:tc>
          <w:tcPr>
            <w:tcW w:w="417" w:type="pct"/>
            <w:shd w:val="clear" w:color="auto" w:fill="F2F2F2"/>
            <w:vAlign w:val="center"/>
          </w:tcPr>
          <w:p w14:paraId="2789AE64" w14:textId="77777777" w:rsidR="00BD620A" w:rsidRDefault="00BD620A" w:rsidP="00C57804">
            <w:pPr>
              <w:spacing w:before="60" w:after="60" w:line="240" w:lineRule="auto"/>
              <w:jc w:val="center"/>
              <w:rPr>
                <w:rFonts w:ascii="Arial" w:hAnsi="Arial" w:cs="Arial"/>
                <w:sz w:val="16"/>
                <w:szCs w:val="16"/>
              </w:rPr>
            </w:pPr>
          </w:p>
          <w:p w14:paraId="67F3E833"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131FDD5F" w14:textId="77777777" w:rsidR="004E3242" w:rsidRPr="00F224F6" w:rsidRDefault="004E3242" w:rsidP="004E3242">
            <w:pPr>
              <w:spacing w:before="60" w:after="60" w:line="240" w:lineRule="auto"/>
              <w:jc w:val="center"/>
              <w:rPr>
                <w:rFonts w:ascii="Arial" w:hAnsi="Arial" w:cs="Arial"/>
                <w:sz w:val="16"/>
                <w:szCs w:val="16"/>
              </w:rPr>
            </w:pPr>
          </w:p>
        </w:tc>
        <w:tc>
          <w:tcPr>
            <w:tcW w:w="139" w:type="pct"/>
            <w:shd w:val="clear" w:color="auto" w:fill="FFFFFF"/>
          </w:tcPr>
          <w:p w14:paraId="487C4E1E" w14:textId="77777777" w:rsidR="004E3242" w:rsidRPr="00F224F6" w:rsidRDefault="004E3242" w:rsidP="004E3242">
            <w:pPr>
              <w:suppressAutoHyphens/>
              <w:spacing w:before="60" w:after="60" w:line="240" w:lineRule="auto"/>
              <w:jc w:val="center"/>
              <w:rPr>
                <w:rFonts w:ascii="Arial" w:hAnsi="Arial" w:cs="Arial"/>
                <w:sz w:val="16"/>
                <w:szCs w:val="16"/>
              </w:rPr>
            </w:pPr>
          </w:p>
        </w:tc>
        <w:tc>
          <w:tcPr>
            <w:tcW w:w="278" w:type="pct"/>
            <w:shd w:val="clear" w:color="auto" w:fill="F2F2F2"/>
            <w:vAlign w:val="center"/>
          </w:tcPr>
          <w:p w14:paraId="63CDAF1C" w14:textId="77777777" w:rsidR="004E3242" w:rsidRPr="00F224F6" w:rsidRDefault="004E3242" w:rsidP="004E3242">
            <w:pPr>
              <w:suppressAutoHyphens/>
              <w:spacing w:before="60" w:after="60" w:line="240" w:lineRule="auto"/>
              <w:jc w:val="center"/>
              <w:rPr>
                <w:rFonts w:ascii="Arial" w:hAnsi="Arial" w:cs="Arial"/>
                <w:sz w:val="16"/>
                <w:szCs w:val="16"/>
              </w:rPr>
            </w:pPr>
            <w:r w:rsidRPr="00F224F6">
              <w:rPr>
                <w:rFonts w:ascii="Arial" w:hAnsi="Arial" w:cs="Arial"/>
                <w:sz w:val="16"/>
                <w:szCs w:val="16"/>
              </w:rPr>
              <w:t>07</w:t>
            </w:r>
          </w:p>
        </w:tc>
        <w:tc>
          <w:tcPr>
            <w:tcW w:w="369" w:type="pct"/>
            <w:shd w:val="clear" w:color="auto" w:fill="F2F2F2"/>
            <w:vAlign w:val="center"/>
          </w:tcPr>
          <w:p w14:paraId="64C3B9AF" w14:textId="77777777" w:rsidR="008D5B96" w:rsidRDefault="008D5B96" w:rsidP="00BD620A">
            <w:pPr>
              <w:spacing w:before="60" w:after="60" w:line="240" w:lineRule="auto"/>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43B759B9" w14:textId="77777777" w:rsidR="004E3242" w:rsidRPr="00F224F6" w:rsidRDefault="004E3242" w:rsidP="00BD620A">
            <w:pPr>
              <w:spacing w:before="60" w:after="60" w:line="240" w:lineRule="auto"/>
              <w:rPr>
                <w:rFonts w:ascii="Arial" w:hAnsi="Arial" w:cs="Arial"/>
                <w:sz w:val="16"/>
                <w:szCs w:val="16"/>
              </w:rPr>
            </w:pPr>
          </w:p>
        </w:tc>
        <w:tc>
          <w:tcPr>
            <w:tcW w:w="416" w:type="pct"/>
            <w:shd w:val="clear" w:color="auto" w:fill="F2F2F2"/>
            <w:vAlign w:val="center"/>
          </w:tcPr>
          <w:p w14:paraId="6BF9DE4E" w14:textId="77777777" w:rsidR="00BD620A" w:rsidRDefault="00BD620A" w:rsidP="00C57804">
            <w:pPr>
              <w:spacing w:before="60" w:after="60" w:line="240" w:lineRule="auto"/>
              <w:jc w:val="center"/>
              <w:rPr>
                <w:rFonts w:ascii="Arial" w:hAnsi="Arial" w:cs="Arial"/>
                <w:sz w:val="16"/>
                <w:szCs w:val="16"/>
              </w:rPr>
            </w:pPr>
          </w:p>
          <w:p w14:paraId="6BD236D7"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7A8ED482" w14:textId="77777777" w:rsidR="004E3242" w:rsidRPr="00F224F6" w:rsidRDefault="004E3242" w:rsidP="004E3242">
            <w:pPr>
              <w:spacing w:before="60" w:after="60" w:line="240" w:lineRule="auto"/>
              <w:jc w:val="center"/>
              <w:rPr>
                <w:rFonts w:ascii="Arial" w:hAnsi="Arial" w:cs="Arial"/>
                <w:sz w:val="16"/>
                <w:szCs w:val="16"/>
              </w:rPr>
            </w:pPr>
          </w:p>
        </w:tc>
        <w:tc>
          <w:tcPr>
            <w:tcW w:w="184" w:type="pct"/>
            <w:shd w:val="clear" w:color="auto" w:fill="FFFFFF"/>
          </w:tcPr>
          <w:p w14:paraId="547B698D" w14:textId="77777777" w:rsidR="004E3242" w:rsidRPr="00F224F6" w:rsidRDefault="004E3242" w:rsidP="004E3242">
            <w:pPr>
              <w:suppressAutoHyphens/>
              <w:spacing w:before="60" w:after="60" w:line="240" w:lineRule="auto"/>
              <w:jc w:val="center"/>
              <w:rPr>
                <w:rFonts w:ascii="Arial" w:hAnsi="Arial" w:cs="Arial"/>
                <w:sz w:val="16"/>
                <w:szCs w:val="16"/>
              </w:rPr>
            </w:pPr>
          </w:p>
        </w:tc>
        <w:tc>
          <w:tcPr>
            <w:tcW w:w="416" w:type="pct"/>
            <w:shd w:val="clear" w:color="auto" w:fill="F2F2F2"/>
            <w:vAlign w:val="center"/>
          </w:tcPr>
          <w:p w14:paraId="1D8D1679" w14:textId="77777777" w:rsidR="004E3242" w:rsidRPr="00F224F6" w:rsidRDefault="004E3242" w:rsidP="004E3242">
            <w:pPr>
              <w:suppressAutoHyphens/>
              <w:spacing w:before="60" w:after="60" w:line="240" w:lineRule="auto"/>
              <w:jc w:val="center"/>
              <w:rPr>
                <w:rFonts w:ascii="Arial" w:hAnsi="Arial" w:cs="Arial"/>
                <w:sz w:val="16"/>
                <w:szCs w:val="16"/>
              </w:rPr>
            </w:pPr>
            <w:r w:rsidRPr="00F224F6">
              <w:rPr>
                <w:rFonts w:ascii="Arial" w:hAnsi="Arial" w:cs="Arial"/>
                <w:sz w:val="16"/>
                <w:szCs w:val="16"/>
              </w:rPr>
              <w:t>07</w:t>
            </w:r>
          </w:p>
        </w:tc>
        <w:tc>
          <w:tcPr>
            <w:tcW w:w="461" w:type="pct"/>
            <w:shd w:val="clear" w:color="auto" w:fill="F2F2F2"/>
            <w:vAlign w:val="center"/>
          </w:tcPr>
          <w:p w14:paraId="48A3E80A" w14:textId="77777777" w:rsidR="008D5B96" w:rsidRDefault="008D5B96" w:rsidP="00614F44">
            <w:pPr>
              <w:spacing w:before="60" w:after="60" w:line="240" w:lineRule="auto"/>
              <w:jc w:val="center"/>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5309976E" w14:textId="77777777" w:rsidR="004E3242" w:rsidRPr="00F224F6" w:rsidRDefault="004E3242" w:rsidP="00614F44">
            <w:pPr>
              <w:spacing w:before="60" w:after="60" w:line="240" w:lineRule="auto"/>
              <w:jc w:val="center"/>
              <w:rPr>
                <w:rFonts w:ascii="Arial" w:hAnsi="Arial" w:cs="Arial"/>
                <w:sz w:val="16"/>
                <w:szCs w:val="16"/>
              </w:rPr>
            </w:pPr>
          </w:p>
        </w:tc>
        <w:tc>
          <w:tcPr>
            <w:tcW w:w="438" w:type="pct"/>
            <w:shd w:val="clear" w:color="auto" w:fill="F2F2F2"/>
            <w:vAlign w:val="center"/>
          </w:tcPr>
          <w:p w14:paraId="320341F6" w14:textId="77777777" w:rsidR="00BD620A" w:rsidRDefault="00BD620A" w:rsidP="00C57804">
            <w:pPr>
              <w:spacing w:before="60" w:after="60" w:line="240" w:lineRule="auto"/>
              <w:jc w:val="center"/>
              <w:rPr>
                <w:rFonts w:ascii="Arial" w:hAnsi="Arial" w:cs="Arial"/>
                <w:sz w:val="16"/>
                <w:szCs w:val="16"/>
              </w:rPr>
            </w:pPr>
          </w:p>
          <w:p w14:paraId="42063C87"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044CEFCC" w14:textId="77777777" w:rsidR="004E3242" w:rsidRPr="004E3242" w:rsidRDefault="004E3242" w:rsidP="004E3242">
            <w:pPr>
              <w:spacing w:before="60" w:after="60" w:line="240" w:lineRule="auto"/>
              <w:jc w:val="center"/>
              <w:rPr>
                <w:rFonts w:ascii="Arial" w:hAnsi="Arial" w:cs="Arial"/>
                <w:sz w:val="16"/>
                <w:szCs w:val="16"/>
              </w:rPr>
            </w:pPr>
          </w:p>
        </w:tc>
      </w:tr>
      <w:tr w:rsidR="004E3242" w:rsidRPr="004E3242" w14:paraId="4B3AC79F" w14:textId="77777777" w:rsidTr="00D06A4B">
        <w:tc>
          <w:tcPr>
            <w:tcW w:w="265" w:type="pct"/>
            <w:shd w:val="clear" w:color="auto" w:fill="D6E3BC"/>
            <w:vAlign w:val="center"/>
          </w:tcPr>
          <w:p w14:paraId="6392488F"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Razem</w:t>
            </w:r>
          </w:p>
        </w:tc>
        <w:tc>
          <w:tcPr>
            <w:tcW w:w="370" w:type="pct"/>
            <w:shd w:val="clear" w:color="auto" w:fill="D6E3BC"/>
            <w:vAlign w:val="center"/>
          </w:tcPr>
          <w:p w14:paraId="7DF6885C" w14:textId="77777777" w:rsidR="008D5B96" w:rsidRDefault="008D5B96" w:rsidP="00BD620A">
            <w:pPr>
              <w:spacing w:after="0" w:line="240" w:lineRule="auto"/>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75DA3FA2" w14:textId="77777777" w:rsidR="004E3242" w:rsidRPr="00F224F6" w:rsidRDefault="004E3242" w:rsidP="00BD620A">
            <w:pPr>
              <w:spacing w:after="0" w:line="240" w:lineRule="auto"/>
              <w:rPr>
                <w:rFonts w:ascii="Arial" w:hAnsi="Arial" w:cs="Arial"/>
                <w:sz w:val="16"/>
                <w:szCs w:val="16"/>
              </w:rPr>
            </w:pPr>
          </w:p>
        </w:tc>
        <w:tc>
          <w:tcPr>
            <w:tcW w:w="369" w:type="pct"/>
            <w:shd w:val="clear" w:color="auto" w:fill="D6E3BC"/>
            <w:vAlign w:val="center"/>
          </w:tcPr>
          <w:p w14:paraId="50C820C3" w14:textId="77777777" w:rsidR="00BD620A" w:rsidRDefault="00BD620A" w:rsidP="00C57804">
            <w:pPr>
              <w:spacing w:before="60" w:after="60" w:line="240" w:lineRule="auto"/>
              <w:jc w:val="center"/>
              <w:rPr>
                <w:rFonts w:ascii="Arial" w:hAnsi="Arial" w:cs="Arial"/>
                <w:sz w:val="16"/>
                <w:szCs w:val="16"/>
              </w:rPr>
            </w:pPr>
          </w:p>
          <w:p w14:paraId="289DBCDF"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46637D4B" w14:textId="77777777" w:rsidR="004E3242" w:rsidRPr="00F224F6" w:rsidRDefault="004E3242" w:rsidP="004E3242">
            <w:pPr>
              <w:spacing w:before="60" w:after="60" w:line="240" w:lineRule="auto"/>
              <w:jc w:val="center"/>
              <w:rPr>
                <w:rFonts w:ascii="Arial" w:hAnsi="Arial" w:cs="Arial"/>
                <w:sz w:val="16"/>
                <w:szCs w:val="16"/>
              </w:rPr>
            </w:pPr>
          </w:p>
        </w:tc>
        <w:tc>
          <w:tcPr>
            <w:tcW w:w="183" w:type="pct"/>
            <w:shd w:val="clear" w:color="auto" w:fill="FFFFFF"/>
          </w:tcPr>
          <w:p w14:paraId="71CA8E9E" w14:textId="77777777" w:rsidR="004E3242" w:rsidRPr="00F224F6" w:rsidRDefault="004E3242" w:rsidP="004E3242">
            <w:pPr>
              <w:spacing w:before="60" w:after="60" w:line="240" w:lineRule="auto"/>
              <w:jc w:val="center"/>
              <w:rPr>
                <w:rFonts w:ascii="Arial" w:hAnsi="Arial" w:cs="Arial"/>
                <w:color w:val="FFFFFF"/>
                <w:sz w:val="16"/>
                <w:szCs w:val="16"/>
              </w:rPr>
            </w:pPr>
          </w:p>
        </w:tc>
        <w:tc>
          <w:tcPr>
            <w:tcW w:w="323" w:type="pct"/>
            <w:shd w:val="clear" w:color="auto" w:fill="D6E3BC"/>
            <w:vAlign w:val="center"/>
          </w:tcPr>
          <w:p w14:paraId="02CE4494" w14:textId="77777777" w:rsidR="004E3242" w:rsidRPr="00F224F6" w:rsidRDefault="004E3242" w:rsidP="004E3242">
            <w:pPr>
              <w:spacing w:before="60" w:after="60" w:line="240" w:lineRule="auto"/>
              <w:jc w:val="center"/>
              <w:rPr>
                <w:rFonts w:ascii="Arial" w:hAnsi="Arial" w:cs="Arial"/>
                <w:sz w:val="16"/>
                <w:szCs w:val="16"/>
              </w:rPr>
            </w:pPr>
            <w:r w:rsidRPr="00F224F6">
              <w:rPr>
                <w:rFonts w:ascii="Arial" w:hAnsi="Arial" w:cs="Arial"/>
                <w:sz w:val="16"/>
                <w:szCs w:val="16"/>
              </w:rPr>
              <w:t>Razem</w:t>
            </w:r>
          </w:p>
        </w:tc>
        <w:tc>
          <w:tcPr>
            <w:tcW w:w="372" w:type="pct"/>
            <w:shd w:val="clear" w:color="auto" w:fill="D6E3BC"/>
            <w:vAlign w:val="center"/>
          </w:tcPr>
          <w:p w14:paraId="3E299AF0" w14:textId="77777777" w:rsidR="008D5B96" w:rsidRDefault="008D5B96" w:rsidP="00BD620A">
            <w:pPr>
              <w:spacing w:before="60" w:after="60" w:line="240" w:lineRule="auto"/>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5D29B35E" w14:textId="77777777" w:rsidR="004E3242" w:rsidRPr="00F224F6" w:rsidRDefault="004E3242" w:rsidP="00BD620A">
            <w:pPr>
              <w:spacing w:before="60" w:after="60" w:line="240" w:lineRule="auto"/>
              <w:rPr>
                <w:rFonts w:ascii="Arial" w:hAnsi="Arial" w:cs="Arial"/>
                <w:sz w:val="16"/>
                <w:szCs w:val="16"/>
              </w:rPr>
            </w:pPr>
          </w:p>
        </w:tc>
        <w:tc>
          <w:tcPr>
            <w:tcW w:w="417" w:type="pct"/>
            <w:shd w:val="clear" w:color="auto" w:fill="D6E3BC"/>
            <w:vAlign w:val="center"/>
          </w:tcPr>
          <w:p w14:paraId="23D30740" w14:textId="77777777" w:rsidR="00BD620A" w:rsidRDefault="00BD620A" w:rsidP="00C57804">
            <w:pPr>
              <w:spacing w:before="60" w:after="60" w:line="240" w:lineRule="auto"/>
              <w:jc w:val="center"/>
              <w:rPr>
                <w:rFonts w:ascii="Arial" w:hAnsi="Arial" w:cs="Arial"/>
                <w:sz w:val="16"/>
                <w:szCs w:val="16"/>
              </w:rPr>
            </w:pPr>
          </w:p>
          <w:p w14:paraId="71C9DD84"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684404CA" w14:textId="77777777" w:rsidR="004E3242" w:rsidRPr="00F224F6" w:rsidRDefault="004E3242" w:rsidP="004E3242">
            <w:pPr>
              <w:spacing w:before="60" w:after="60" w:line="240" w:lineRule="auto"/>
              <w:jc w:val="center"/>
              <w:rPr>
                <w:rFonts w:ascii="Arial" w:hAnsi="Arial" w:cs="Arial"/>
                <w:sz w:val="16"/>
                <w:szCs w:val="16"/>
              </w:rPr>
            </w:pPr>
          </w:p>
        </w:tc>
        <w:tc>
          <w:tcPr>
            <w:tcW w:w="139" w:type="pct"/>
            <w:shd w:val="clear" w:color="auto" w:fill="FFFFFF"/>
          </w:tcPr>
          <w:p w14:paraId="1478B2B2" w14:textId="77777777" w:rsidR="004E3242" w:rsidRPr="00F224F6" w:rsidRDefault="004E3242" w:rsidP="004E3242">
            <w:pPr>
              <w:spacing w:before="60" w:after="60" w:line="240" w:lineRule="auto"/>
              <w:jc w:val="center"/>
              <w:rPr>
                <w:rFonts w:ascii="Arial" w:hAnsi="Arial" w:cs="Arial"/>
                <w:color w:val="FFFFFF"/>
                <w:sz w:val="16"/>
                <w:szCs w:val="16"/>
              </w:rPr>
            </w:pPr>
          </w:p>
        </w:tc>
        <w:tc>
          <w:tcPr>
            <w:tcW w:w="278" w:type="pct"/>
            <w:shd w:val="clear" w:color="auto" w:fill="D6E3BC"/>
            <w:vAlign w:val="center"/>
          </w:tcPr>
          <w:p w14:paraId="756C0D0F" w14:textId="77777777" w:rsidR="004E3242" w:rsidRPr="00F224F6" w:rsidRDefault="004E3242" w:rsidP="004E3242">
            <w:pPr>
              <w:spacing w:before="60" w:after="60" w:line="240" w:lineRule="auto"/>
              <w:jc w:val="center"/>
              <w:rPr>
                <w:rFonts w:ascii="Arial" w:hAnsi="Arial" w:cs="Arial"/>
                <w:sz w:val="16"/>
                <w:szCs w:val="16"/>
              </w:rPr>
            </w:pPr>
            <w:r w:rsidRPr="00F224F6">
              <w:rPr>
                <w:rFonts w:ascii="Arial" w:hAnsi="Arial" w:cs="Arial"/>
                <w:sz w:val="16"/>
                <w:szCs w:val="16"/>
              </w:rPr>
              <w:t>Razem</w:t>
            </w:r>
          </w:p>
        </w:tc>
        <w:tc>
          <w:tcPr>
            <w:tcW w:w="369" w:type="pct"/>
            <w:shd w:val="clear" w:color="auto" w:fill="D6E3BC"/>
            <w:vAlign w:val="center"/>
          </w:tcPr>
          <w:p w14:paraId="4D3DF3B5" w14:textId="77777777" w:rsidR="008D5B96" w:rsidRDefault="008D5B96" w:rsidP="00BD620A">
            <w:pPr>
              <w:spacing w:before="60" w:after="60" w:line="240" w:lineRule="auto"/>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5CBB38F3" w14:textId="77777777" w:rsidR="004E3242" w:rsidRPr="00F224F6" w:rsidRDefault="004E3242" w:rsidP="00BD620A">
            <w:pPr>
              <w:spacing w:before="60" w:after="60" w:line="240" w:lineRule="auto"/>
              <w:rPr>
                <w:rFonts w:ascii="Arial" w:hAnsi="Arial" w:cs="Arial"/>
                <w:sz w:val="16"/>
                <w:szCs w:val="16"/>
              </w:rPr>
            </w:pPr>
          </w:p>
        </w:tc>
        <w:tc>
          <w:tcPr>
            <w:tcW w:w="416" w:type="pct"/>
            <w:shd w:val="clear" w:color="auto" w:fill="D6E3BC"/>
            <w:vAlign w:val="center"/>
          </w:tcPr>
          <w:p w14:paraId="1584A616" w14:textId="77777777" w:rsidR="00BD620A" w:rsidRDefault="00BD620A" w:rsidP="00C57804">
            <w:pPr>
              <w:spacing w:before="60" w:after="60" w:line="240" w:lineRule="auto"/>
              <w:jc w:val="center"/>
              <w:rPr>
                <w:rFonts w:ascii="Arial" w:hAnsi="Arial" w:cs="Arial"/>
                <w:sz w:val="16"/>
                <w:szCs w:val="16"/>
              </w:rPr>
            </w:pPr>
          </w:p>
          <w:p w14:paraId="1CE44B5F"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7D2C49E2" w14:textId="77777777" w:rsidR="004E3242" w:rsidRPr="00F224F6" w:rsidRDefault="004E3242" w:rsidP="004E3242">
            <w:pPr>
              <w:spacing w:before="60" w:after="60" w:line="240" w:lineRule="auto"/>
              <w:jc w:val="center"/>
              <w:rPr>
                <w:rFonts w:ascii="Arial" w:hAnsi="Arial" w:cs="Arial"/>
                <w:sz w:val="16"/>
                <w:szCs w:val="16"/>
              </w:rPr>
            </w:pPr>
          </w:p>
        </w:tc>
        <w:tc>
          <w:tcPr>
            <w:tcW w:w="184" w:type="pct"/>
            <w:shd w:val="clear" w:color="auto" w:fill="FFFFFF"/>
          </w:tcPr>
          <w:p w14:paraId="271B6328" w14:textId="77777777" w:rsidR="004E3242" w:rsidRPr="00F224F6" w:rsidRDefault="004E3242" w:rsidP="004E3242">
            <w:pPr>
              <w:spacing w:before="60" w:after="60" w:line="240" w:lineRule="auto"/>
              <w:jc w:val="center"/>
              <w:rPr>
                <w:rFonts w:ascii="Arial" w:hAnsi="Arial" w:cs="Arial"/>
                <w:color w:val="FFFFFF"/>
                <w:sz w:val="16"/>
                <w:szCs w:val="16"/>
              </w:rPr>
            </w:pPr>
          </w:p>
        </w:tc>
        <w:tc>
          <w:tcPr>
            <w:tcW w:w="416" w:type="pct"/>
            <w:shd w:val="clear" w:color="auto" w:fill="D6E3BC"/>
            <w:vAlign w:val="center"/>
          </w:tcPr>
          <w:p w14:paraId="60B7B957" w14:textId="77777777" w:rsidR="004E3242" w:rsidRPr="00F224F6" w:rsidRDefault="004E3242" w:rsidP="004E3242">
            <w:pPr>
              <w:spacing w:before="60" w:after="60" w:line="240" w:lineRule="auto"/>
              <w:jc w:val="center"/>
              <w:rPr>
                <w:rFonts w:ascii="Arial" w:hAnsi="Arial" w:cs="Arial"/>
                <w:sz w:val="16"/>
                <w:szCs w:val="16"/>
              </w:rPr>
            </w:pPr>
            <w:r w:rsidRPr="00F224F6">
              <w:rPr>
                <w:rFonts w:ascii="Arial" w:hAnsi="Arial" w:cs="Arial"/>
                <w:sz w:val="16"/>
                <w:szCs w:val="16"/>
              </w:rPr>
              <w:t>Razem</w:t>
            </w:r>
          </w:p>
        </w:tc>
        <w:tc>
          <w:tcPr>
            <w:tcW w:w="461" w:type="pct"/>
            <w:shd w:val="clear" w:color="auto" w:fill="D6E3BC"/>
            <w:vAlign w:val="center"/>
          </w:tcPr>
          <w:p w14:paraId="034E2736" w14:textId="77777777" w:rsidR="008D5B96" w:rsidRDefault="008D5B96" w:rsidP="00614F44">
            <w:pPr>
              <w:spacing w:before="60" w:after="60" w:line="240" w:lineRule="auto"/>
              <w:jc w:val="center"/>
              <w:rPr>
                <w:rFonts w:ascii="Arial" w:hAnsi="Arial" w:cs="Arial"/>
                <w:sz w:val="16"/>
                <w:szCs w:val="16"/>
              </w:rPr>
            </w:pPr>
            <w:r w:rsidRPr="008D5B96">
              <w:rPr>
                <w:rFonts w:ascii="Arial" w:hAnsi="Arial" w:cs="Arial"/>
                <w:sz w:val="16"/>
                <w:szCs w:val="16"/>
              </w:rPr>
              <w:t>583 245</w:t>
            </w:r>
            <w:r>
              <w:rPr>
                <w:rFonts w:ascii="Arial" w:hAnsi="Arial" w:cs="Arial"/>
                <w:sz w:val="16"/>
                <w:szCs w:val="16"/>
              </w:rPr>
              <w:t> </w:t>
            </w:r>
            <w:r w:rsidRPr="008D5B96">
              <w:rPr>
                <w:rFonts w:ascii="Arial" w:hAnsi="Arial" w:cs="Arial"/>
                <w:sz w:val="16"/>
                <w:szCs w:val="16"/>
              </w:rPr>
              <w:t>955</w:t>
            </w:r>
          </w:p>
          <w:p w14:paraId="6842E59B" w14:textId="77777777" w:rsidR="004E3242" w:rsidRPr="00F224F6" w:rsidRDefault="004E3242" w:rsidP="00614F44">
            <w:pPr>
              <w:spacing w:before="60" w:after="60" w:line="240" w:lineRule="auto"/>
              <w:jc w:val="center"/>
              <w:rPr>
                <w:rFonts w:ascii="Arial" w:hAnsi="Arial" w:cs="Arial"/>
                <w:sz w:val="16"/>
                <w:szCs w:val="16"/>
              </w:rPr>
            </w:pPr>
          </w:p>
        </w:tc>
        <w:tc>
          <w:tcPr>
            <w:tcW w:w="438" w:type="pct"/>
            <w:shd w:val="clear" w:color="auto" w:fill="D6E3BC"/>
            <w:vAlign w:val="center"/>
          </w:tcPr>
          <w:p w14:paraId="696F64D8" w14:textId="77777777" w:rsidR="00BD620A" w:rsidRDefault="00BD620A" w:rsidP="00C57804">
            <w:pPr>
              <w:spacing w:before="60" w:after="60" w:line="240" w:lineRule="auto"/>
              <w:jc w:val="center"/>
              <w:rPr>
                <w:rFonts w:ascii="Arial" w:hAnsi="Arial" w:cs="Arial"/>
                <w:sz w:val="16"/>
                <w:szCs w:val="16"/>
              </w:rPr>
            </w:pPr>
          </w:p>
          <w:p w14:paraId="717C94C6" w14:textId="77777777" w:rsidR="0003520B" w:rsidRDefault="0003520B" w:rsidP="00C57804">
            <w:pPr>
              <w:spacing w:before="60" w:after="60" w:line="240" w:lineRule="auto"/>
              <w:jc w:val="center"/>
              <w:rPr>
                <w:rFonts w:ascii="Arial" w:hAnsi="Arial" w:cs="Arial"/>
                <w:sz w:val="16"/>
                <w:szCs w:val="16"/>
              </w:rPr>
            </w:pPr>
            <w:r w:rsidRPr="0003520B">
              <w:rPr>
                <w:rFonts w:ascii="Arial" w:hAnsi="Arial" w:cs="Arial"/>
                <w:sz w:val="16"/>
                <w:szCs w:val="16"/>
              </w:rPr>
              <w:t>80 626</w:t>
            </w:r>
            <w:r>
              <w:rPr>
                <w:rFonts w:ascii="Arial" w:hAnsi="Arial" w:cs="Arial"/>
                <w:sz w:val="16"/>
                <w:szCs w:val="16"/>
              </w:rPr>
              <w:t> </w:t>
            </w:r>
            <w:r w:rsidRPr="0003520B">
              <w:rPr>
                <w:rFonts w:ascii="Arial" w:hAnsi="Arial" w:cs="Arial"/>
                <w:sz w:val="16"/>
                <w:szCs w:val="16"/>
              </w:rPr>
              <w:t>337</w:t>
            </w:r>
          </w:p>
          <w:p w14:paraId="536455C2" w14:textId="77777777" w:rsidR="004E3242" w:rsidRPr="004E3242" w:rsidRDefault="004E3242" w:rsidP="004E3242">
            <w:pPr>
              <w:spacing w:before="60" w:after="60" w:line="240" w:lineRule="auto"/>
              <w:jc w:val="center"/>
              <w:rPr>
                <w:rFonts w:ascii="Arial" w:hAnsi="Arial" w:cs="Arial"/>
                <w:sz w:val="16"/>
                <w:szCs w:val="16"/>
              </w:rPr>
            </w:pPr>
          </w:p>
        </w:tc>
      </w:tr>
    </w:tbl>
    <w:p w14:paraId="2908F7EE" w14:textId="77777777" w:rsidR="004E3242" w:rsidRPr="004E3242" w:rsidRDefault="004E3242" w:rsidP="004E3242">
      <w:pPr>
        <w:spacing w:after="120" w:line="280" w:lineRule="atLeast"/>
        <w:rPr>
          <w:rFonts w:ascii="Arial" w:hAnsi="Arial" w:cs="Arial"/>
          <w:bCs/>
          <w:i/>
          <w:iCs/>
          <w:color w:val="808000"/>
          <w:spacing w:val="4"/>
          <w:sz w:val="20"/>
          <w:szCs w:val="20"/>
        </w:rPr>
      </w:pPr>
    </w:p>
    <w:p w14:paraId="581C1EC8" w14:textId="77777777" w:rsidR="004E3242" w:rsidRPr="004E3242" w:rsidRDefault="004E3242" w:rsidP="004E3242">
      <w:pPr>
        <w:spacing w:after="120" w:line="280" w:lineRule="atLeast"/>
        <w:rPr>
          <w:rFonts w:ascii="Arial" w:hAnsi="Arial" w:cs="Arial"/>
          <w:b/>
          <w:i/>
          <w:spacing w:val="4"/>
          <w:sz w:val="20"/>
          <w:szCs w:val="20"/>
        </w:rPr>
        <w:sectPr w:rsidR="004E3242" w:rsidRPr="004E3242" w:rsidSect="00C73ABE">
          <w:headerReference w:type="first" r:id="rId13"/>
          <w:pgSz w:w="16838" w:h="11906" w:orient="landscape"/>
          <w:pgMar w:top="1134" w:right="851" w:bottom="899" w:left="851" w:header="709" w:footer="709" w:gutter="0"/>
          <w:cols w:space="708"/>
          <w:titlePg/>
          <w:docGrid w:linePitch="360"/>
        </w:sectPr>
      </w:pPr>
    </w:p>
    <w:p w14:paraId="49D5B6C6" w14:textId="77777777" w:rsidR="00C7477C" w:rsidRPr="004E3242" w:rsidRDefault="00C7477C" w:rsidP="00C7477C">
      <w:pPr>
        <w:spacing w:after="0" w:line="240" w:lineRule="auto"/>
        <w:jc w:val="both"/>
        <w:rPr>
          <w:rFonts w:ascii="Arial" w:hAnsi="Arial" w:cs="Arial"/>
          <w:bCs/>
          <w:smallCaps/>
          <w:color w:val="669900"/>
          <w:spacing w:val="4"/>
          <w:sz w:val="20"/>
          <w:szCs w:val="20"/>
        </w:rPr>
      </w:pPr>
      <w:bookmarkStart w:id="436" w:name="_Toc375208290"/>
      <w:bookmarkStart w:id="437" w:name="_Toc375299844"/>
      <w:bookmarkStart w:id="438" w:name="_Toc375308898"/>
      <w:bookmarkStart w:id="439" w:name="_Toc375208291"/>
      <w:bookmarkStart w:id="440" w:name="_Toc375299845"/>
      <w:bookmarkStart w:id="441" w:name="_Toc375308899"/>
      <w:bookmarkStart w:id="442" w:name="_Toc369697234"/>
      <w:bookmarkStart w:id="443" w:name="_Toc369697467"/>
      <w:bookmarkStart w:id="444" w:name="_Toc369697543"/>
      <w:bookmarkStart w:id="445" w:name="_Toc369698133"/>
      <w:bookmarkStart w:id="446" w:name="_Toc369698427"/>
      <w:bookmarkStart w:id="447" w:name="_Toc369698593"/>
      <w:bookmarkStart w:id="448" w:name="_Toc369699105"/>
      <w:bookmarkStart w:id="449" w:name="_Toc369699730"/>
      <w:bookmarkStart w:id="450" w:name="_Toc369699798"/>
      <w:bookmarkStart w:id="451" w:name="_Toc369696166"/>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26D194C9" w14:textId="77777777" w:rsidR="00C7477C" w:rsidRPr="005C1EA9" w:rsidRDefault="00C7477C" w:rsidP="00C7477C">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452" w:name="_Toc83810571"/>
      <w:r w:rsidRPr="005C1EA9">
        <w:rPr>
          <w:rFonts w:ascii="Arial" w:hAnsi="Arial"/>
          <w:smallCaps/>
          <w:color w:val="000000"/>
          <w:spacing w:val="15"/>
          <w:sz w:val="24"/>
          <w:szCs w:val="24"/>
          <w:u w:color="A8C743"/>
          <w:lang w:eastAsia="pl-PL"/>
        </w:rPr>
        <w:t>Oś priorytetowa</w:t>
      </w:r>
      <w:r>
        <w:rPr>
          <w:rFonts w:ascii="Arial" w:hAnsi="Arial"/>
          <w:smallCaps/>
          <w:color w:val="000000"/>
          <w:spacing w:val="15"/>
          <w:sz w:val="24"/>
          <w:szCs w:val="24"/>
          <w:u w:color="A8C743"/>
          <w:lang w:eastAsia="pl-PL"/>
        </w:rPr>
        <w:t xml:space="preserve"> </w:t>
      </w:r>
      <w:r w:rsidRPr="005C1EA9">
        <w:rPr>
          <w:rFonts w:ascii="Arial" w:hAnsi="Arial"/>
          <w:smallCaps/>
          <w:color w:val="000000"/>
          <w:spacing w:val="15"/>
          <w:sz w:val="24"/>
          <w:szCs w:val="24"/>
          <w:u w:color="A8C743"/>
          <w:lang w:eastAsia="pl-PL"/>
        </w:rPr>
        <w:t xml:space="preserve">X: </w:t>
      </w:r>
      <w:r w:rsidRPr="005C1EA9">
        <w:rPr>
          <w:rFonts w:ascii="Arial" w:hAnsi="Arial" w:cs="Arial"/>
          <w:sz w:val="20"/>
          <w:szCs w:val="20"/>
        </w:rPr>
        <w:t>POMOC TECHNICZNA</w:t>
      </w:r>
      <w:bookmarkEnd w:id="452"/>
    </w:p>
    <w:p w14:paraId="5145A81A" w14:textId="77777777" w:rsidR="00C7477C" w:rsidRPr="004E3242" w:rsidRDefault="00C7477C" w:rsidP="00C7477C">
      <w:pPr>
        <w:spacing w:after="120"/>
        <w:jc w:val="both"/>
        <w:rPr>
          <w:rFonts w:ascii="Arial" w:hAnsi="Arial" w:cs="Arial"/>
          <w:bCs/>
          <w:smallCaps/>
          <w:color w:val="669900"/>
          <w:spacing w:val="4"/>
          <w:sz w:val="20"/>
          <w:szCs w:val="20"/>
        </w:rPr>
      </w:pPr>
      <w:r w:rsidRPr="004E3242">
        <w:rPr>
          <w:rFonts w:ascii="Arial" w:hAnsi="Arial" w:cs="Arial"/>
          <w:sz w:val="20"/>
          <w:szCs w:val="20"/>
        </w:rPr>
        <w:t xml:space="preserve">Oś priorytetowa dedykowana pomocy technicznej jest przewidziana do finansowania w całości ze </w:t>
      </w:r>
      <w:r>
        <w:rPr>
          <w:rFonts w:ascii="Arial" w:hAnsi="Arial" w:cs="Arial"/>
          <w:sz w:val="20"/>
          <w:szCs w:val="20"/>
        </w:rPr>
        <w:t>ś</w:t>
      </w:r>
      <w:r w:rsidRPr="004E3242">
        <w:rPr>
          <w:rFonts w:ascii="Arial" w:hAnsi="Arial" w:cs="Arial"/>
          <w:sz w:val="20"/>
          <w:szCs w:val="20"/>
        </w:rPr>
        <w:t>rodków Funduszu Spójności. Z tego względu nie wyodr</w:t>
      </w:r>
      <w:r>
        <w:rPr>
          <w:rFonts w:ascii="Arial" w:hAnsi="Arial" w:cs="Arial"/>
          <w:sz w:val="20"/>
          <w:szCs w:val="20"/>
        </w:rPr>
        <w:t>ę</w:t>
      </w:r>
      <w:r w:rsidRPr="004E3242">
        <w:rPr>
          <w:rFonts w:ascii="Arial" w:hAnsi="Arial" w:cs="Arial"/>
          <w:sz w:val="20"/>
          <w:szCs w:val="20"/>
        </w:rPr>
        <w:t>bniono kategorii regionów (tj. regionów lepiej i słabiej rozwiniętych), pomimo że oś swym zasięgiem obejmuje cały kraj.</w:t>
      </w:r>
    </w:p>
    <w:p w14:paraId="784ED96A" w14:textId="77777777" w:rsidR="00C7477C" w:rsidRPr="004E3242" w:rsidRDefault="00C7477C" w:rsidP="00C7477C">
      <w:pPr>
        <w:spacing w:before="120" w:after="120"/>
        <w:jc w:val="both"/>
        <w:rPr>
          <w:rFonts w:ascii="Arial" w:hAnsi="Arial" w:cs="Arial"/>
          <w:b/>
          <w:bCs/>
          <w:smallCaps/>
          <w:color w:val="669900"/>
          <w:spacing w:val="4"/>
          <w:sz w:val="20"/>
          <w:szCs w:val="20"/>
        </w:rPr>
      </w:pPr>
      <w:r w:rsidRPr="004E3242">
        <w:rPr>
          <w:rFonts w:ascii="Arial" w:hAnsi="Arial" w:cs="Arial"/>
          <w:bCs/>
          <w:smallCaps/>
          <w:color w:val="669900"/>
          <w:spacing w:val="4"/>
          <w:sz w:val="20"/>
          <w:szCs w:val="20"/>
        </w:rPr>
        <w:t>CELE SZCZEGÓŁOWE I OCZEKIWANE REZULTATY</w:t>
      </w:r>
      <w:r w:rsidRPr="004E3242">
        <w:rPr>
          <w:rFonts w:ascii="Arial" w:hAnsi="Arial" w:cs="Arial"/>
          <w:b/>
          <w:bCs/>
          <w:smallCaps/>
          <w:color w:val="669900"/>
          <w:spacing w:val="4"/>
          <w:sz w:val="20"/>
          <w:szCs w:val="20"/>
        </w:rPr>
        <w:t xml:space="preserve"> </w:t>
      </w:r>
    </w:p>
    <w:p w14:paraId="03F7ADE6" w14:textId="77777777" w:rsidR="00C7477C" w:rsidRPr="004E3242" w:rsidRDefault="00C7477C" w:rsidP="00C7477C">
      <w:pPr>
        <w:spacing w:after="120"/>
        <w:jc w:val="both"/>
        <w:rPr>
          <w:rFonts w:ascii="Arial" w:hAnsi="Arial" w:cs="Arial"/>
          <w:spacing w:val="4"/>
          <w:sz w:val="20"/>
          <w:szCs w:val="20"/>
        </w:rPr>
      </w:pPr>
      <w:r w:rsidRPr="004E3242">
        <w:rPr>
          <w:rFonts w:ascii="Arial" w:hAnsi="Arial" w:cs="Arial"/>
          <w:spacing w:val="4"/>
          <w:sz w:val="20"/>
          <w:szCs w:val="20"/>
        </w:rPr>
        <w:t>Cele szczegółowe:</w:t>
      </w:r>
    </w:p>
    <w:p w14:paraId="4FD703BB" w14:textId="77777777" w:rsidR="00C7477C" w:rsidRPr="004E3242" w:rsidRDefault="00C7477C" w:rsidP="00C7477C">
      <w:pPr>
        <w:numPr>
          <w:ilvl w:val="0"/>
          <w:numId w:val="51"/>
        </w:numPr>
        <w:spacing w:after="120"/>
        <w:jc w:val="both"/>
        <w:rPr>
          <w:rFonts w:ascii="Arial" w:hAnsi="Arial" w:cs="Arial"/>
          <w:spacing w:val="4"/>
          <w:sz w:val="20"/>
          <w:szCs w:val="20"/>
        </w:rPr>
      </w:pPr>
      <w:r w:rsidRPr="004E3242">
        <w:rPr>
          <w:rFonts w:ascii="Arial" w:hAnsi="Arial" w:cs="Arial"/>
          <w:sz w:val="20"/>
          <w:szCs w:val="20"/>
        </w:rPr>
        <w:t>Utrzymanie niezbędnych warunków pracy oraz potencjału instytucji realizujących Program oraz instytucji mających znaczący wpływ na wdrażanie Programu, gwarantujących skuteczne wykonywania obowiązków związanych z realizacją Programu.</w:t>
      </w:r>
    </w:p>
    <w:p w14:paraId="06B6F919" w14:textId="77777777" w:rsidR="00C7477C" w:rsidRPr="004E3242" w:rsidRDefault="00C7477C" w:rsidP="00C7477C">
      <w:pPr>
        <w:numPr>
          <w:ilvl w:val="0"/>
          <w:numId w:val="51"/>
        </w:numPr>
        <w:spacing w:after="120"/>
        <w:jc w:val="both"/>
        <w:rPr>
          <w:rFonts w:ascii="Arial" w:hAnsi="Arial" w:cs="Arial"/>
          <w:spacing w:val="4"/>
          <w:sz w:val="20"/>
          <w:szCs w:val="20"/>
        </w:rPr>
      </w:pPr>
      <w:r w:rsidRPr="004E3242">
        <w:rPr>
          <w:rFonts w:ascii="Arial" w:hAnsi="Arial" w:cs="Arial"/>
          <w:sz w:val="20"/>
          <w:szCs w:val="20"/>
        </w:rPr>
        <w:t>Zapewnienie sprawnego systemu realizacji Programu.</w:t>
      </w:r>
    </w:p>
    <w:p w14:paraId="347EF798" w14:textId="77777777" w:rsidR="00C7477C" w:rsidRPr="004E3242" w:rsidRDefault="00C7477C" w:rsidP="00C7477C">
      <w:pPr>
        <w:numPr>
          <w:ilvl w:val="0"/>
          <w:numId w:val="51"/>
        </w:numPr>
        <w:spacing w:after="120"/>
        <w:jc w:val="both"/>
        <w:rPr>
          <w:rFonts w:ascii="Arial" w:hAnsi="Arial" w:cs="Arial"/>
          <w:spacing w:val="4"/>
          <w:sz w:val="20"/>
          <w:szCs w:val="20"/>
        </w:rPr>
      </w:pPr>
      <w:r w:rsidRPr="004E3242">
        <w:rPr>
          <w:rFonts w:ascii="Arial" w:hAnsi="Arial" w:cs="Arial"/>
          <w:sz w:val="20"/>
          <w:szCs w:val="20"/>
        </w:rPr>
        <w:t>Wzmocnienie potencjału beneficjentów i potencjalnych beneficjentów Programu, ze szczególnym uwzględnieniem Generalnej Dyrekcji Dróg Krajowych Autostrad oraz PKP Polskie Linie Kolejowe S.A. oraz instytucji mających znaczący wpływ na potencjał beneficjentów Programu.</w:t>
      </w:r>
    </w:p>
    <w:p w14:paraId="05ED4EF3" w14:textId="77777777" w:rsidR="00C7477C" w:rsidRPr="004E3242" w:rsidRDefault="00C7477C" w:rsidP="00C7477C">
      <w:pPr>
        <w:numPr>
          <w:ilvl w:val="0"/>
          <w:numId w:val="51"/>
        </w:numPr>
        <w:spacing w:after="120"/>
        <w:jc w:val="both"/>
        <w:rPr>
          <w:rFonts w:ascii="Arial" w:hAnsi="Arial" w:cs="Arial"/>
          <w:spacing w:val="4"/>
          <w:sz w:val="20"/>
          <w:szCs w:val="20"/>
        </w:rPr>
      </w:pPr>
      <w:r w:rsidRPr="004E3242">
        <w:rPr>
          <w:rFonts w:ascii="Arial" w:hAnsi="Arial" w:cs="Arial"/>
          <w:spacing w:val="4"/>
          <w:sz w:val="20"/>
          <w:szCs w:val="20"/>
        </w:rPr>
        <w:t xml:space="preserve"> </w:t>
      </w:r>
      <w:r w:rsidRPr="004E3242">
        <w:rPr>
          <w:rFonts w:ascii="Arial" w:hAnsi="Arial" w:cs="Arial"/>
          <w:sz w:val="20"/>
          <w:szCs w:val="20"/>
        </w:rPr>
        <w:t>Skuteczna i efektywna informacja i promocja Programu.</w:t>
      </w:r>
    </w:p>
    <w:p w14:paraId="7BFA73C0" w14:textId="77777777" w:rsidR="00C7477C" w:rsidRPr="004E3242" w:rsidRDefault="00C7477C" w:rsidP="00C7477C">
      <w:pPr>
        <w:spacing w:after="120"/>
        <w:jc w:val="both"/>
        <w:rPr>
          <w:rFonts w:ascii="Arial" w:hAnsi="Arial" w:cs="Arial"/>
          <w:spacing w:val="4"/>
          <w:sz w:val="20"/>
          <w:szCs w:val="20"/>
        </w:rPr>
      </w:pPr>
      <w:r w:rsidRPr="004E3242">
        <w:rPr>
          <w:rFonts w:ascii="Arial" w:hAnsi="Arial" w:cs="Arial"/>
          <w:spacing w:val="4"/>
          <w:sz w:val="20"/>
          <w:szCs w:val="20"/>
        </w:rPr>
        <w:t>Osiągnięcie ww. celów powinno przynieść następujące rezultaty:</w:t>
      </w:r>
    </w:p>
    <w:p w14:paraId="523784C9" w14:textId="77777777" w:rsidR="00C7477C" w:rsidRPr="004E3242" w:rsidRDefault="00C7477C" w:rsidP="00C7477C">
      <w:pPr>
        <w:numPr>
          <w:ilvl w:val="0"/>
          <w:numId w:val="61"/>
        </w:numPr>
        <w:spacing w:after="120"/>
        <w:jc w:val="both"/>
        <w:rPr>
          <w:rFonts w:ascii="Arial" w:hAnsi="Arial" w:cs="Arial"/>
          <w:spacing w:val="4"/>
          <w:sz w:val="20"/>
          <w:szCs w:val="20"/>
        </w:rPr>
      </w:pPr>
      <w:r w:rsidRPr="004E3242">
        <w:rPr>
          <w:rFonts w:ascii="Arial" w:hAnsi="Arial" w:cs="Arial"/>
          <w:sz w:val="20"/>
          <w:szCs w:val="20"/>
        </w:rPr>
        <w:t>Dostępność optymalnych warunków pracy oraz niezbędnej i kompetentnej kadry pracowników umożliwiające sprawne i efektywne wdrażanie Programu.</w:t>
      </w:r>
    </w:p>
    <w:p w14:paraId="36EDEC8F" w14:textId="77777777" w:rsidR="00C7477C" w:rsidRPr="004E3242" w:rsidRDefault="00C7477C" w:rsidP="00C7477C">
      <w:pPr>
        <w:numPr>
          <w:ilvl w:val="0"/>
          <w:numId w:val="61"/>
        </w:numPr>
        <w:spacing w:after="120"/>
        <w:jc w:val="both"/>
        <w:rPr>
          <w:rFonts w:ascii="Arial" w:hAnsi="Arial" w:cs="Arial"/>
          <w:spacing w:val="4"/>
          <w:sz w:val="20"/>
          <w:szCs w:val="20"/>
        </w:rPr>
      </w:pPr>
      <w:r w:rsidRPr="004E3242">
        <w:rPr>
          <w:rFonts w:ascii="Arial" w:hAnsi="Arial" w:cs="Arial"/>
          <w:sz w:val="20"/>
          <w:szCs w:val="20"/>
        </w:rPr>
        <w:t>Sprawna obsługa Programu, w tym w zakresie wyboru projektów, zarządzania finansowego, kontroli i certyfikacji, monitorowania, sprawozdawczości oraz ewaluacji.</w:t>
      </w:r>
    </w:p>
    <w:p w14:paraId="6099061C" w14:textId="77777777" w:rsidR="00C7477C" w:rsidRPr="004E3242" w:rsidRDefault="00C7477C" w:rsidP="00C7477C">
      <w:pPr>
        <w:numPr>
          <w:ilvl w:val="0"/>
          <w:numId w:val="61"/>
        </w:numPr>
        <w:spacing w:after="120"/>
        <w:jc w:val="both"/>
        <w:rPr>
          <w:rFonts w:ascii="Arial" w:hAnsi="Arial" w:cs="Arial"/>
          <w:spacing w:val="4"/>
          <w:sz w:val="20"/>
          <w:szCs w:val="20"/>
        </w:rPr>
      </w:pPr>
      <w:r w:rsidRPr="004E3242">
        <w:rPr>
          <w:rFonts w:ascii="Arial" w:hAnsi="Arial" w:cs="Arial"/>
          <w:sz w:val="20"/>
          <w:szCs w:val="20"/>
        </w:rPr>
        <w:t>Wzrost skuteczności beneficjentów w aplikowaniu o wsparcie i w realizacji projektów (w szczególności projektów kolejowych i drogowych).</w:t>
      </w:r>
    </w:p>
    <w:p w14:paraId="698C4A0B" w14:textId="77777777" w:rsidR="00C7477C" w:rsidRPr="004E3242" w:rsidRDefault="00C7477C" w:rsidP="00C7477C">
      <w:pPr>
        <w:numPr>
          <w:ilvl w:val="0"/>
          <w:numId w:val="61"/>
        </w:numPr>
        <w:spacing w:after="120"/>
        <w:jc w:val="both"/>
        <w:rPr>
          <w:rFonts w:ascii="Arial" w:hAnsi="Arial" w:cs="Arial"/>
          <w:spacing w:val="4"/>
          <w:sz w:val="20"/>
          <w:szCs w:val="20"/>
        </w:rPr>
      </w:pPr>
      <w:r w:rsidRPr="004E3242">
        <w:rPr>
          <w:rFonts w:ascii="Arial" w:hAnsi="Arial" w:cs="Arial"/>
          <w:sz w:val="20"/>
          <w:szCs w:val="20"/>
        </w:rPr>
        <w:t>Wysokie wykorzystanie przez beneficjentów oraz potencjalnych beneficjentów informacji na temat możliwości uzyskania wsparcia w ramach Programu oraz wysoki poziom świadomości na temat wpływu wdrażania polityki spójności, w tym również Programu na rozwój kraju i jakość życia obywateli.</w:t>
      </w:r>
    </w:p>
    <w:p w14:paraId="46017B16" w14:textId="77777777" w:rsidR="00C7477C" w:rsidRPr="004E3242" w:rsidRDefault="00C7477C" w:rsidP="00C7477C">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11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1453"/>
        <w:gridCol w:w="1008"/>
        <w:gridCol w:w="954"/>
        <w:gridCol w:w="848"/>
        <w:gridCol w:w="794"/>
        <w:gridCol w:w="1453"/>
        <w:gridCol w:w="1257"/>
        <w:gridCol w:w="1283"/>
      </w:tblGrid>
      <w:tr w:rsidR="00C7477C" w:rsidRPr="004E3242" w14:paraId="2C4BC534" w14:textId="77777777" w:rsidTr="006D469A">
        <w:trPr>
          <w:trHeight w:val="428"/>
        </w:trPr>
        <w:tc>
          <w:tcPr>
            <w:tcW w:w="240" w:type="pct"/>
            <w:tcBorders>
              <w:bottom w:val="single" w:sz="4" w:space="0" w:color="FFFFFF"/>
            </w:tcBorders>
            <w:shd w:val="clear" w:color="auto" w:fill="99CC00"/>
            <w:vAlign w:val="center"/>
          </w:tcPr>
          <w:p w14:paraId="41DBD4D5" w14:textId="77777777" w:rsidR="00C7477C" w:rsidRPr="004E3242" w:rsidRDefault="00C7477C" w:rsidP="006D469A">
            <w:pPr>
              <w:spacing w:after="0" w:line="240" w:lineRule="auto"/>
              <w:jc w:val="center"/>
              <w:rPr>
                <w:rFonts w:ascii="Arial" w:hAnsi="Arial" w:cs="Arial"/>
                <w:b/>
                <w:sz w:val="16"/>
                <w:szCs w:val="16"/>
              </w:rPr>
            </w:pPr>
            <w:r w:rsidRPr="004E3242">
              <w:rPr>
                <w:rFonts w:ascii="Arial" w:hAnsi="Arial" w:cs="Arial"/>
                <w:b/>
                <w:sz w:val="16"/>
                <w:szCs w:val="16"/>
              </w:rPr>
              <w:t>Lp.</w:t>
            </w:r>
          </w:p>
        </w:tc>
        <w:tc>
          <w:tcPr>
            <w:tcW w:w="764" w:type="pct"/>
            <w:tcBorders>
              <w:bottom w:val="single" w:sz="4" w:space="0" w:color="FFFFFF"/>
            </w:tcBorders>
            <w:shd w:val="clear" w:color="auto" w:fill="99CC00"/>
            <w:vAlign w:val="center"/>
          </w:tcPr>
          <w:p w14:paraId="2980C10D" w14:textId="77777777" w:rsidR="00C7477C" w:rsidRPr="004E3242" w:rsidRDefault="00C7477C" w:rsidP="006D469A">
            <w:pPr>
              <w:spacing w:after="0" w:line="240" w:lineRule="auto"/>
              <w:jc w:val="center"/>
              <w:rPr>
                <w:rFonts w:ascii="Arial" w:hAnsi="Arial" w:cs="Arial"/>
                <w:b/>
                <w:sz w:val="16"/>
                <w:szCs w:val="16"/>
              </w:rPr>
            </w:pPr>
            <w:r w:rsidRPr="004E3242">
              <w:rPr>
                <w:rFonts w:ascii="Arial" w:hAnsi="Arial" w:cs="Arial"/>
                <w:b/>
                <w:sz w:val="16"/>
                <w:szCs w:val="16"/>
              </w:rPr>
              <w:t>Wskaźnik</w:t>
            </w:r>
          </w:p>
        </w:tc>
        <w:tc>
          <w:tcPr>
            <w:tcW w:w="530" w:type="pct"/>
            <w:tcBorders>
              <w:bottom w:val="single" w:sz="4" w:space="0" w:color="FFFFFF"/>
            </w:tcBorders>
            <w:shd w:val="clear" w:color="auto" w:fill="99CC00"/>
            <w:vAlign w:val="center"/>
          </w:tcPr>
          <w:p w14:paraId="4B7AE91D" w14:textId="77777777" w:rsidR="00C7477C" w:rsidRPr="004E3242" w:rsidRDefault="00C7477C" w:rsidP="006D469A">
            <w:pPr>
              <w:spacing w:after="0" w:line="240" w:lineRule="auto"/>
              <w:jc w:val="center"/>
              <w:rPr>
                <w:rFonts w:ascii="Arial" w:hAnsi="Arial" w:cs="Arial"/>
                <w:b/>
                <w:sz w:val="16"/>
                <w:szCs w:val="16"/>
              </w:rPr>
            </w:pPr>
            <w:r w:rsidRPr="004E3242">
              <w:rPr>
                <w:rFonts w:ascii="Arial" w:hAnsi="Arial" w:cs="Arial"/>
                <w:b/>
                <w:sz w:val="16"/>
                <w:szCs w:val="16"/>
              </w:rPr>
              <w:t>Jednostka pomiaru</w:t>
            </w:r>
          </w:p>
        </w:tc>
        <w:tc>
          <w:tcPr>
            <w:tcW w:w="502" w:type="pct"/>
            <w:tcBorders>
              <w:bottom w:val="single" w:sz="4" w:space="0" w:color="FFFFFF"/>
            </w:tcBorders>
            <w:shd w:val="clear" w:color="auto" w:fill="99CC00"/>
            <w:vAlign w:val="center"/>
          </w:tcPr>
          <w:p w14:paraId="454DCBC3" w14:textId="77777777" w:rsidR="00C7477C" w:rsidRPr="004E3242" w:rsidRDefault="00C7477C" w:rsidP="006D469A">
            <w:pPr>
              <w:snapToGrid w:val="0"/>
              <w:spacing w:after="0" w:line="240" w:lineRule="auto"/>
              <w:jc w:val="center"/>
              <w:rPr>
                <w:rFonts w:ascii="Arial" w:hAnsi="Arial" w:cs="Arial"/>
                <w:b/>
                <w:sz w:val="16"/>
                <w:szCs w:val="16"/>
              </w:rPr>
            </w:pPr>
            <w:r w:rsidRPr="004E3242">
              <w:rPr>
                <w:rFonts w:ascii="Arial" w:hAnsi="Arial" w:cs="Arial"/>
                <w:b/>
                <w:sz w:val="16"/>
                <w:szCs w:val="16"/>
              </w:rPr>
              <w:t>Kategoria regionu</w:t>
            </w:r>
          </w:p>
        </w:tc>
        <w:tc>
          <w:tcPr>
            <w:tcW w:w="446" w:type="pct"/>
            <w:tcBorders>
              <w:bottom w:val="single" w:sz="4" w:space="0" w:color="FFFFFF"/>
            </w:tcBorders>
            <w:shd w:val="clear" w:color="auto" w:fill="99CC00"/>
            <w:vAlign w:val="center"/>
          </w:tcPr>
          <w:p w14:paraId="548EC397" w14:textId="77777777" w:rsidR="00C7477C" w:rsidRPr="004E3242" w:rsidRDefault="00C7477C" w:rsidP="006D469A">
            <w:pPr>
              <w:snapToGrid w:val="0"/>
              <w:spacing w:after="0" w:line="240" w:lineRule="auto"/>
              <w:jc w:val="center"/>
              <w:rPr>
                <w:rFonts w:ascii="Arial" w:hAnsi="Arial" w:cs="Arial"/>
                <w:b/>
                <w:sz w:val="16"/>
                <w:szCs w:val="16"/>
              </w:rPr>
            </w:pPr>
            <w:r w:rsidRPr="004E3242">
              <w:rPr>
                <w:rFonts w:ascii="Arial" w:hAnsi="Arial" w:cs="Arial"/>
                <w:b/>
                <w:sz w:val="16"/>
                <w:szCs w:val="16"/>
              </w:rPr>
              <w:t>Wartość bazowa</w:t>
            </w:r>
          </w:p>
        </w:tc>
        <w:tc>
          <w:tcPr>
            <w:tcW w:w="418" w:type="pct"/>
            <w:tcBorders>
              <w:bottom w:val="single" w:sz="4" w:space="0" w:color="FFFFFF"/>
            </w:tcBorders>
            <w:shd w:val="clear" w:color="auto" w:fill="99CC00"/>
            <w:vAlign w:val="center"/>
          </w:tcPr>
          <w:p w14:paraId="03F26A33" w14:textId="77777777" w:rsidR="00C7477C" w:rsidRPr="004E3242" w:rsidRDefault="00C7477C" w:rsidP="006D469A">
            <w:pPr>
              <w:spacing w:after="0" w:line="240" w:lineRule="auto"/>
              <w:jc w:val="center"/>
              <w:rPr>
                <w:rFonts w:ascii="Arial" w:hAnsi="Arial" w:cs="Arial"/>
                <w:b/>
                <w:sz w:val="16"/>
                <w:szCs w:val="16"/>
              </w:rPr>
            </w:pPr>
            <w:r w:rsidRPr="004E3242">
              <w:rPr>
                <w:rFonts w:ascii="Arial" w:hAnsi="Arial" w:cs="Arial"/>
                <w:b/>
                <w:sz w:val="16"/>
                <w:szCs w:val="16"/>
              </w:rPr>
              <w:t>Rok bazowy</w:t>
            </w:r>
          </w:p>
        </w:tc>
        <w:tc>
          <w:tcPr>
            <w:tcW w:w="764" w:type="pct"/>
            <w:tcBorders>
              <w:bottom w:val="single" w:sz="4" w:space="0" w:color="FFFFFF"/>
            </w:tcBorders>
            <w:shd w:val="clear" w:color="auto" w:fill="99CC00"/>
            <w:vAlign w:val="center"/>
          </w:tcPr>
          <w:p w14:paraId="05E0E10D" w14:textId="77777777" w:rsidR="00C7477C" w:rsidRPr="004E3242" w:rsidRDefault="00C7477C" w:rsidP="006D469A">
            <w:pPr>
              <w:snapToGrid w:val="0"/>
              <w:spacing w:after="0" w:line="240" w:lineRule="auto"/>
              <w:jc w:val="center"/>
              <w:rPr>
                <w:rFonts w:ascii="Arial" w:hAnsi="Arial" w:cs="Arial"/>
                <w:b/>
                <w:sz w:val="16"/>
                <w:szCs w:val="16"/>
              </w:rPr>
            </w:pPr>
            <w:r w:rsidRPr="004E3242">
              <w:rPr>
                <w:rFonts w:ascii="Arial" w:hAnsi="Arial" w:cs="Arial"/>
                <w:b/>
                <w:sz w:val="16"/>
                <w:szCs w:val="16"/>
              </w:rPr>
              <w:t>Wartość docelowa</w:t>
            </w:r>
            <w:r w:rsidRPr="004E3242">
              <w:rPr>
                <w:rFonts w:ascii="Arial" w:hAnsi="Arial" w:cs="Arial"/>
                <w:b/>
                <w:sz w:val="16"/>
                <w:szCs w:val="16"/>
              </w:rPr>
              <w:br/>
              <w:t>(na rok 2023)</w:t>
            </w:r>
          </w:p>
          <w:p w14:paraId="1F265DE1" w14:textId="77777777" w:rsidR="00C7477C" w:rsidRPr="004E3242" w:rsidRDefault="00C7477C" w:rsidP="006D469A">
            <w:pPr>
              <w:snapToGrid w:val="0"/>
              <w:spacing w:after="0" w:line="240" w:lineRule="auto"/>
              <w:jc w:val="center"/>
              <w:rPr>
                <w:rFonts w:ascii="Arial" w:hAnsi="Arial" w:cs="Arial"/>
                <w:b/>
                <w:sz w:val="16"/>
                <w:szCs w:val="16"/>
              </w:rPr>
            </w:pPr>
            <w:r w:rsidRPr="004E3242">
              <w:rPr>
                <w:rFonts w:ascii="Arial" w:hAnsi="Arial" w:cs="Arial"/>
                <w:b/>
                <w:sz w:val="16"/>
                <w:szCs w:val="16"/>
              </w:rPr>
              <w:t>wartość ogółem</w:t>
            </w:r>
          </w:p>
        </w:tc>
        <w:tc>
          <w:tcPr>
            <w:tcW w:w="661" w:type="pct"/>
            <w:tcBorders>
              <w:bottom w:val="single" w:sz="4" w:space="0" w:color="FFFFFF"/>
            </w:tcBorders>
            <w:shd w:val="clear" w:color="auto" w:fill="99CC00"/>
            <w:vAlign w:val="center"/>
          </w:tcPr>
          <w:p w14:paraId="1DEC5662" w14:textId="77777777" w:rsidR="00C7477C" w:rsidRPr="004E3242" w:rsidRDefault="00C7477C" w:rsidP="006D469A">
            <w:pPr>
              <w:spacing w:after="0" w:line="240" w:lineRule="auto"/>
              <w:jc w:val="center"/>
              <w:rPr>
                <w:rFonts w:ascii="Arial" w:hAnsi="Arial" w:cs="Arial"/>
                <w:b/>
                <w:sz w:val="16"/>
                <w:szCs w:val="16"/>
              </w:rPr>
            </w:pPr>
            <w:r w:rsidRPr="004E3242">
              <w:rPr>
                <w:rFonts w:ascii="Arial" w:hAnsi="Arial" w:cs="Arial"/>
                <w:b/>
                <w:sz w:val="16"/>
                <w:szCs w:val="16"/>
              </w:rPr>
              <w:t>Źródło danych</w:t>
            </w:r>
          </w:p>
        </w:tc>
        <w:tc>
          <w:tcPr>
            <w:tcW w:w="675" w:type="pct"/>
            <w:tcBorders>
              <w:bottom w:val="single" w:sz="4" w:space="0" w:color="FFFFFF"/>
            </w:tcBorders>
            <w:shd w:val="clear" w:color="auto" w:fill="99CC00"/>
            <w:vAlign w:val="center"/>
          </w:tcPr>
          <w:p w14:paraId="0EBAB8AF" w14:textId="77777777" w:rsidR="00C7477C" w:rsidRPr="004E3242" w:rsidRDefault="00C7477C" w:rsidP="006D469A">
            <w:pPr>
              <w:spacing w:after="0" w:line="240" w:lineRule="auto"/>
              <w:jc w:val="center"/>
              <w:rPr>
                <w:rFonts w:ascii="Arial" w:hAnsi="Arial" w:cs="Arial"/>
                <w:b/>
                <w:sz w:val="16"/>
                <w:szCs w:val="16"/>
              </w:rPr>
            </w:pPr>
            <w:r w:rsidRPr="004E3242">
              <w:rPr>
                <w:rFonts w:ascii="Arial" w:hAnsi="Arial" w:cs="Arial"/>
                <w:b/>
                <w:sz w:val="16"/>
                <w:szCs w:val="16"/>
              </w:rPr>
              <w:t>Częstotliwość raportowania</w:t>
            </w:r>
          </w:p>
        </w:tc>
      </w:tr>
      <w:tr w:rsidR="00C7477C" w:rsidRPr="004E3242" w14:paraId="68BD58EA" w14:textId="77777777" w:rsidTr="006D469A">
        <w:trPr>
          <w:trHeight w:val="428"/>
        </w:trPr>
        <w:tc>
          <w:tcPr>
            <w:tcW w:w="240" w:type="pct"/>
            <w:shd w:val="clear" w:color="auto" w:fill="F2F2F2"/>
            <w:vAlign w:val="center"/>
          </w:tcPr>
          <w:p w14:paraId="71D91522"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1.</w:t>
            </w:r>
          </w:p>
        </w:tc>
        <w:tc>
          <w:tcPr>
            <w:tcW w:w="764" w:type="pct"/>
            <w:shd w:val="clear" w:color="auto" w:fill="F2F2F2"/>
            <w:vAlign w:val="center"/>
          </w:tcPr>
          <w:p w14:paraId="300CB0DD"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Średnioroczna liczba form szkoleniowych na jednego pracownika instytucji systemu wdrażania FE</w:t>
            </w:r>
          </w:p>
        </w:tc>
        <w:tc>
          <w:tcPr>
            <w:tcW w:w="530" w:type="pct"/>
            <w:shd w:val="clear" w:color="auto" w:fill="F2F2F2"/>
            <w:vAlign w:val="center"/>
          </w:tcPr>
          <w:p w14:paraId="71E9DD55"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liczba</w:t>
            </w:r>
          </w:p>
        </w:tc>
        <w:tc>
          <w:tcPr>
            <w:tcW w:w="502" w:type="pct"/>
            <w:shd w:val="clear" w:color="auto" w:fill="F2F2F2"/>
            <w:vAlign w:val="center"/>
          </w:tcPr>
          <w:p w14:paraId="33DCF7EC"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n/d</w:t>
            </w:r>
          </w:p>
        </w:tc>
        <w:tc>
          <w:tcPr>
            <w:tcW w:w="446" w:type="pct"/>
            <w:shd w:val="clear" w:color="auto" w:fill="F2F2F2"/>
            <w:vAlign w:val="center"/>
          </w:tcPr>
          <w:p w14:paraId="3F1FDDE5"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2,57</w:t>
            </w:r>
          </w:p>
        </w:tc>
        <w:tc>
          <w:tcPr>
            <w:tcW w:w="418" w:type="pct"/>
            <w:shd w:val="clear" w:color="auto" w:fill="F2F2F2"/>
            <w:vAlign w:val="center"/>
          </w:tcPr>
          <w:p w14:paraId="449066C5"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2013</w:t>
            </w:r>
          </w:p>
        </w:tc>
        <w:tc>
          <w:tcPr>
            <w:tcW w:w="764" w:type="pct"/>
            <w:shd w:val="clear" w:color="auto" w:fill="F2F2F2"/>
            <w:vAlign w:val="center"/>
          </w:tcPr>
          <w:p w14:paraId="72C35F77"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2,90</w:t>
            </w:r>
          </w:p>
        </w:tc>
        <w:tc>
          <w:tcPr>
            <w:tcW w:w="661" w:type="pct"/>
            <w:shd w:val="clear" w:color="auto" w:fill="F2F2F2"/>
            <w:vAlign w:val="center"/>
          </w:tcPr>
          <w:p w14:paraId="4C325882"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System monitorowania</w:t>
            </w:r>
          </w:p>
        </w:tc>
        <w:tc>
          <w:tcPr>
            <w:tcW w:w="675" w:type="pct"/>
            <w:shd w:val="clear" w:color="auto" w:fill="F2F2F2"/>
            <w:vAlign w:val="center"/>
          </w:tcPr>
          <w:p w14:paraId="427A4BDE"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rocznie</w:t>
            </w:r>
          </w:p>
        </w:tc>
      </w:tr>
      <w:tr w:rsidR="00C7477C" w:rsidRPr="004E3242" w14:paraId="2F6D3B07" w14:textId="77777777" w:rsidTr="006D469A">
        <w:trPr>
          <w:trHeight w:val="428"/>
        </w:trPr>
        <w:tc>
          <w:tcPr>
            <w:tcW w:w="240" w:type="pct"/>
            <w:shd w:val="clear" w:color="auto" w:fill="F2F2F2"/>
            <w:vAlign w:val="center"/>
          </w:tcPr>
          <w:p w14:paraId="4308FDF9"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2.</w:t>
            </w:r>
          </w:p>
        </w:tc>
        <w:tc>
          <w:tcPr>
            <w:tcW w:w="764" w:type="pct"/>
            <w:shd w:val="clear" w:color="auto" w:fill="F2F2F2"/>
            <w:vAlign w:val="center"/>
          </w:tcPr>
          <w:p w14:paraId="4B0401B0"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Odsetek wdrożonych rekomendacji operacyjnych</w:t>
            </w:r>
          </w:p>
        </w:tc>
        <w:tc>
          <w:tcPr>
            <w:tcW w:w="530" w:type="pct"/>
            <w:shd w:val="clear" w:color="auto" w:fill="F2F2F2"/>
            <w:vAlign w:val="center"/>
          </w:tcPr>
          <w:p w14:paraId="73C19AAC"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w:t>
            </w:r>
          </w:p>
        </w:tc>
        <w:tc>
          <w:tcPr>
            <w:tcW w:w="502" w:type="pct"/>
            <w:shd w:val="clear" w:color="auto" w:fill="F2F2F2"/>
            <w:vAlign w:val="center"/>
          </w:tcPr>
          <w:p w14:paraId="65579B3D"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n/d</w:t>
            </w:r>
          </w:p>
        </w:tc>
        <w:tc>
          <w:tcPr>
            <w:tcW w:w="446" w:type="pct"/>
            <w:shd w:val="clear" w:color="auto" w:fill="F2F2F2"/>
            <w:vAlign w:val="center"/>
          </w:tcPr>
          <w:p w14:paraId="6CEB5C95"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40</w:t>
            </w:r>
          </w:p>
        </w:tc>
        <w:tc>
          <w:tcPr>
            <w:tcW w:w="418" w:type="pct"/>
            <w:shd w:val="clear" w:color="auto" w:fill="F2F2F2"/>
            <w:vAlign w:val="center"/>
          </w:tcPr>
          <w:p w14:paraId="1C4BAFC6"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2013</w:t>
            </w:r>
          </w:p>
        </w:tc>
        <w:tc>
          <w:tcPr>
            <w:tcW w:w="764" w:type="pct"/>
            <w:shd w:val="clear" w:color="auto" w:fill="F2F2F2"/>
            <w:vAlign w:val="center"/>
          </w:tcPr>
          <w:p w14:paraId="1EA30B49"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wzrost odsetka wdrożonych rekomendacji operacyjnych w odniesieniu do wartości bazowej</w:t>
            </w:r>
          </w:p>
        </w:tc>
        <w:tc>
          <w:tcPr>
            <w:tcW w:w="661" w:type="pct"/>
            <w:shd w:val="clear" w:color="auto" w:fill="F2F2F2"/>
            <w:vAlign w:val="center"/>
          </w:tcPr>
          <w:p w14:paraId="6FF4A684"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System wdrażania rekomendacji</w:t>
            </w:r>
          </w:p>
        </w:tc>
        <w:tc>
          <w:tcPr>
            <w:tcW w:w="675" w:type="pct"/>
            <w:shd w:val="clear" w:color="auto" w:fill="F2F2F2"/>
            <w:vAlign w:val="center"/>
          </w:tcPr>
          <w:p w14:paraId="17A4FC3C"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rocznie</w:t>
            </w:r>
          </w:p>
        </w:tc>
      </w:tr>
      <w:tr w:rsidR="00C7477C" w:rsidRPr="004E3242" w14:paraId="4B473ED2" w14:textId="77777777" w:rsidTr="006D469A">
        <w:trPr>
          <w:trHeight w:val="896"/>
        </w:trPr>
        <w:tc>
          <w:tcPr>
            <w:tcW w:w="240" w:type="pct"/>
            <w:shd w:val="clear" w:color="auto" w:fill="F2F2F2"/>
            <w:vAlign w:val="center"/>
          </w:tcPr>
          <w:p w14:paraId="0C7E3BFC"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3.</w:t>
            </w:r>
          </w:p>
        </w:tc>
        <w:tc>
          <w:tcPr>
            <w:tcW w:w="764" w:type="pct"/>
            <w:shd w:val="clear" w:color="auto" w:fill="F2F2F2"/>
            <w:vAlign w:val="center"/>
          </w:tcPr>
          <w:p w14:paraId="61CFEE1D" w14:textId="77777777" w:rsidR="00C7477C" w:rsidRPr="004E3242" w:rsidRDefault="00C7477C" w:rsidP="006D469A">
            <w:pPr>
              <w:spacing w:after="0" w:line="240" w:lineRule="auto"/>
              <w:jc w:val="center"/>
              <w:rPr>
                <w:rFonts w:ascii="Arial" w:hAnsi="Arial" w:cs="Arial"/>
                <w:sz w:val="16"/>
                <w:szCs w:val="16"/>
              </w:rPr>
            </w:pPr>
            <w:r w:rsidRPr="004E3242">
              <w:rPr>
                <w:rFonts w:ascii="Arial" w:eastAsia="Times New Roman" w:hAnsi="Arial" w:cs="Arial"/>
                <w:sz w:val="16"/>
                <w:szCs w:val="16"/>
                <w:lang w:eastAsia="pl-PL"/>
              </w:rPr>
              <w:t xml:space="preserve">Średni czas zatwierdzenia projektu (od złożenia wniosku </w:t>
            </w:r>
            <w:r w:rsidRPr="004E3242">
              <w:rPr>
                <w:rFonts w:ascii="Arial" w:eastAsia="Times New Roman" w:hAnsi="Arial" w:cs="Arial"/>
                <w:sz w:val="16"/>
                <w:szCs w:val="16"/>
                <w:lang w:eastAsia="pl-PL"/>
              </w:rPr>
              <w:lastRenderedPageBreak/>
              <w:t>o dofinansowanie do podpisania umowy)</w:t>
            </w:r>
          </w:p>
        </w:tc>
        <w:tc>
          <w:tcPr>
            <w:tcW w:w="530" w:type="pct"/>
            <w:shd w:val="clear" w:color="auto" w:fill="F2F2F2"/>
            <w:vAlign w:val="center"/>
          </w:tcPr>
          <w:p w14:paraId="00EEB7E3"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lastRenderedPageBreak/>
              <w:t>liczba dni</w:t>
            </w:r>
          </w:p>
        </w:tc>
        <w:tc>
          <w:tcPr>
            <w:tcW w:w="502" w:type="pct"/>
            <w:shd w:val="clear" w:color="auto" w:fill="F2F2F2"/>
            <w:vAlign w:val="center"/>
          </w:tcPr>
          <w:p w14:paraId="611141C6"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n/d</w:t>
            </w:r>
          </w:p>
        </w:tc>
        <w:tc>
          <w:tcPr>
            <w:tcW w:w="446" w:type="pct"/>
            <w:shd w:val="clear" w:color="auto" w:fill="F2F2F2"/>
            <w:vAlign w:val="center"/>
          </w:tcPr>
          <w:p w14:paraId="6E153F9D"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298,9</w:t>
            </w:r>
          </w:p>
        </w:tc>
        <w:tc>
          <w:tcPr>
            <w:tcW w:w="418" w:type="pct"/>
            <w:shd w:val="clear" w:color="auto" w:fill="F2F2F2"/>
            <w:vAlign w:val="center"/>
          </w:tcPr>
          <w:p w14:paraId="40366AEA"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2013</w:t>
            </w:r>
          </w:p>
        </w:tc>
        <w:tc>
          <w:tcPr>
            <w:tcW w:w="764" w:type="pct"/>
            <w:shd w:val="clear" w:color="auto" w:fill="F2F2F2"/>
            <w:vAlign w:val="center"/>
          </w:tcPr>
          <w:p w14:paraId="02B056AC"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skrócenie czasu zatwierdzania projektów</w:t>
            </w:r>
          </w:p>
        </w:tc>
        <w:tc>
          <w:tcPr>
            <w:tcW w:w="661" w:type="pct"/>
            <w:shd w:val="clear" w:color="auto" w:fill="F2F2F2"/>
            <w:vAlign w:val="center"/>
          </w:tcPr>
          <w:p w14:paraId="41F9B8C9"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System monitorowania</w:t>
            </w:r>
          </w:p>
        </w:tc>
        <w:tc>
          <w:tcPr>
            <w:tcW w:w="675" w:type="pct"/>
            <w:shd w:val="clear" w:color="auto" w:fill="F2F2F2"/>
            <w:vAlign w:val="center"/>
          </w:tcPr>
          <w:p w14:paraId="2432C89F"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rocznie</w:t>
            </w:r>
          </w:p>
        </w:tc>
      </w:tr>
      <w:tr w:rsidR="00C7477C" w:rsidRPr="004E3242" w14:paraId="4F9CE348" w14:textId="77777777" w:rsidTr="006D469A">
        <w:trPr>
          <w:trHeight w:val="896"/>
        </w:trPr>
        <w:tc>
          <w:tcPr>
            <w:tcW w:w="240" w:type="pct"/>
            <w:shd w:val="clear" w:color="auto" w:fill="F2F2F2"/>
            <w:vAlign w:val="center"/>
          </w:tcPr>
          <w:p w14:paraId="0741EDF0" w14:textId="77777777" w:rsidR="00C7477C" w:rsidRPr="004E3242" w:rsidRDefault="00C7477C" w:rsidP="006D469A">
            <w:pPr>
              <w:spacing w:after="0" w:line="240" w:lineRule="auto"/>
              <w:jc w:val="center"/>
              <w:rPr>
                <w:rFonts w:ascii="Arial" w:hAnsi="Arial" w:cs="Arial"/>
                <w:sz w:val="16"/>
                <w:szCs w:val="16"/>
              </w:rPr>
            </w:pPr>
            <w:r>
              <w:rPr>
                <w:rFonts w:ascii="Arial" w:hAnsi="Arial" w:cs="Arial"/>
                <w:sz w:val="16"/>
                <w:szCs w:val="16"/>
              </w:rPr>
              <w:t>4.</w:t>
            </w:r>
          </w:p>
        </w:tc>
        <w:tc>
          <w:tcPr>
            <w:tcW w:w="764" w:type="pct"/>
            <w:shd w:val="clear" w:color="auto" w:fill="F2F2F2"/>
            <w:vAlign w:val="center"/>
          </w:tcPr>
          <w:p w14:paraId="0751B608" w14:textId="77777777" w:rsidR="00C7477C" w:rsidRPr="004E3242" w:rsidRDefault="00C7477C" w:rsidP="006D469A">
            <w:pPr>
              <w:spacing w:after="0" w:line="240" w:lineRule="auto"/>
              <w:jc w:val="center"/>
              <w:rPr>
                <w:rFonts w:ascii="Arial" w:eastAsia="Times New Roman" w:hAnsi="Arial" w:cs="Arial"/>
                <w:sz w:val="16"/>
                <w:szCs w:val="16"/>
                <w:lang w:eastAsia="pl-PL"/>
              </w:rPr>
            </w:pPr>
            <w:r w:rsidRPr="00697458">
              <w:rPr>
                <w:rFonts w:ascii="Arial" w:hAnsi="Arial" w:cs="Arial"/>
                <w:sz w:val="16"/>
                <w:szCs w:val="16"/>
              </w:rPr>
              <w:t>Poziom fluktuacji pracowników w instytucjach zaangażowanych w politykę spójności (monitorowany w odniesieniu do dwóch największych beneficjentów tj. GDDKiA i PKP PLK S.A.)</w:t>
            </w:r>
          </w:p>
        </w:tc>
        <w:tc>
          <w:tcPr>
            <w:tcW w:w="530" w:type="pct"/>
            <w:shd w:val="clear" w:color="auto" w:fill="F2F2F2"/>
            <w:vAlign w:val="center"/>
          </w:tcPr>
          <w:p w14:paraId="64C0F9F7" w14:textId="77777777" w:rsidR="00C7477C" w:rsidRPr="004E3242" w:rsidRDefault="00C7477C" w:rsidP="006D469A">
            <w:pPr>
              <w:spacing w:after="0" w:line="240" w:lineRule="auto"/>
              <w:jc w:val="center"/>
              <w:rPr>
                <w:rFonts w:ascii="Arial" w:hAnsi="Arial" w:cs="Arial"/>
                <w:sz w:val="16"/>
                <w:szCs w:val="16"/>
              </w:rPr>
            </w:pPr>
            <w:r w:rsidRPr="00697458">
              <w:rPr>
                <w:rFonts w:ascii="Arial" w:hAnsi="Arial" w:cs="Arial"/>
                <w:sz w:val="16"/>
                <w:szCs w:val="16"/>
              </w:rPr>
              <w:t>%</w:t>
            </w:r>
          </w:p>
        </w:tc>
        <w:tc>
          <w:tcPr>
            <w:tcW w:w="502" w:type="pct"/>
            <w:shd w:val="clear" w:color="auto" w:fill="F2F2F2"/>
            <w:vAlign w:val="center"/>
          </w:tcPr>
          <w:p w14:paraId="5A426740" w14:textId="77777777" w:rsidR="00C7477C" w:rsidRPr="004E3242" w:rsidRDefault="00C7477C" w:rsidP="006D469A">
            <w:pPr>
              <w:snapToGrid w:val="0"/>
              <w:spacing w:after="0" w:line="240" w:lineRule="auto"/>
              <w:jc w:val="center"/>
              <w:rPr>
                <w:rFonts w:ascii="Arial" w:hAnsi="Arial" w:cs="Arial"/>
                <w:sz w:val="16"/>
                <w:szCs w:val="16"/>
              </w:rPr>
            </w:pPr>
            <w:r w:rsidRPr="00697458">
              <w:rPr>
                <w:rFonts w:ascii="Arial" w:hAnsi="Arial" w:cs="Arial"/>
                <w:sz w:val="16"/>
                <w:szCs w:val="16"/>
              </w:rPr>
              <w:t>n/d</w:t>
            </w:r>
          </w:p>
        </w:tc>
        <w:tc>
          <w:tcPr>
            <w:tcW w:w="446" w:type="pct"/>
            <w:shd w:val="clear" w:color="auto" w:fill="F2F2F2"/>
            <w:vAlign w:val="center"/>
          </w:tcPr>
          <w:p w14:paraId="407FD904" w14:textId="77777777" w:rsidR="00C7477C" w:rsidRPr="004E3242" w:rsidRDefault="00C7477C" w:rsidP="006D469A">
            <w:pPr>
              <w:snapToGrid w:val="0"/>
              <w:spacing w:after="0" w:line="240" w:lineRule="auto"/>
              <w:jc w:val="center"/>
              <w:rPr>
                <w:rFonts w:ascii="Arial" w:hAnsi="Arial" w:cs="Arial"/>
                <w:sz w:val="16"/>
                <w:szCs w:val="16"/>
              </w:rPr>
            </w:pPr>
            <w:r w:rsidRPr="00697458">
              <w:rPr>
                <w:rFonts w:ascii="Arial" w:hAnsi="Arial" w:cs="Arial"/>
                <w:sz w:val="16"/>
                <w:szCs w:val="16"/>
              </w:rPr>
              <w:t>5,4%</w:t>
            </w:r>
          </w:p>
        </w:tc>
        <w:tc>
          <w:tcPr>
            <w:tcW w:w="418" w:type="pct"/>
            <w:shd w:val="clear" w:color="auto" w:fill="F2F2F2"/>
            <w:vAlign w:val="center"/>
          </w:tcPr>
          <w:p w14:paraId="03B55555" w14:textId="77777777" w:rsidR="00C7477C" w:rsidRPr="004E3242" w:rsidRDefault="00C7477C" w:rsidP="006D469A">
            <w:pPr>
              <w:spacing w:after="0" w:line="240" w:lineRule="auto"/>
              <w:jc w:val="center"/>
              <w:rPr>
                <w:rFonts w:ascii="Arial" w:hAnsi="Arial" w:cs="Arial"/>
                <w:sz w:val="16"/>
                <w:szCs w:val="16"/>
              </w:rPr>
            </w:pPr>
            <w:r w:rsidRPr="00697458">
              <w:rPr>
                <w:rFonts w:ascii="Arial" w:hAnsi="Arial" w:cs="Arial"/>
                <w:sz w:val="16"/>
                <w:szCs w:val="16"/>
              </w:rPr>
              <w:t>2013</w:t>
            </w:r>
          </w:p>
        </w:tc>
        <w:tc>
          <w:tcPr>
            <w:tcW w:w="764" w:type="pct"/>
            <w:shd w:val="clear" w:color="auto" w:fill="F2F2F2"/>
            <w:vAlign w:val="center"/>
          </w:tcPr>
          <w:p w14:paraId="5E97606A" w14:textId="77777777" w:rsidR="00C7477C" w:rsidRPr="004E3242" w:rsidRDefault="00C7477C" w:rsidP="006D469A">
            <w:pPr>
              <w:snapToGrid w:val="0"/>
              <w:spacing w:after="0" w:line="240" w:lineRule="auto"/>
              <w:jc w:val="center"/>
              <w:rPr>
                <w:rFonts w:ascii="Arial" w:hAnsi="Arial" w:cs="Arial"/>
                <w:sz w:val="16"/>
                <w:szCs w:val="16"/>
              </w:rPr>
            </w:pPr>
            <w:r w:rsidRPr="00697458">
              <w:rPr>
                <w:rFonts w:ascii="Arial" w:hAnsi="Arial" w:cs="Arial"/>
                <w:sz w:val="16"/>
                <w:szCs w:val="16"/>
              </w:rPr>
              <w:t>zmniejszenie poziomu fluktuacji pracowników GDDKiA i PKP PLK SA zaangażowanych w politykę spójności</w:t>
            </w:r>
          </w:p>
        </w:tc>
        <w:tc>
          <w:tcPr>
            <w:tcW w:w="661" w:type="pct"/>
            <w:shd w:val="clear" w:color="auto" w:fill="F2F2F2"/>
            <w:vAlign w:val="center"/>
          </w:tcPr>
          <w:p w14:paraId="705AA7BC" w14:textId="77777777" w:rsidR="00C7477C" w:rsidRPr="004E3242" w:rsidRDefault="00C7477C" w:rsidP="006D469A">
            <w:pPr>
              <w:spacing w:after="0" w:line="240" w:lineRule="auto"/>
              <w:jc w:val="center"/>
              <w:rPr>
                <w:rFonts w:ascii="Arial" w:hAnsi="Arial" w:cs="Arial"/>
                <w:sz w:val="16"/>
                <w:szCs w:val="16"/>
              </w:rPr>
            </w:pPr>
            <w:r w:rsidRPr="00697458">
              <w:rPr>
                <w:rFonts w:ascii="Arial" w:hAnsi="Arial" w:cs="Arial"/>
                <w:sz w:val="16"/>
                <w:szCs w:val="16"/>
              </w:rPr>
              <w:t>Badanie</w:t>
            </w:r>
          </w:p>
        </w:tc>
        <w:tc>
          <w:tcPr>
            <w:tcW w:w="675" w:type="pct"/>
            <w:shd w:val="clear" w:color="auto" w:fill="F2F2F2"/>
            <w:vAlign w:val="center"/>
          </w:tcPr>
          <w:p w14:paraId="60E1C058" w14:textId="77777777" w:rsidR="00C7477C" w:rsidRPr="004E3242" w:rsidRDefault="00C7477C" w:rsidP="006D469A">
            <w:pPr>
              <w:spacing w:after="0" w:line="240" w:lineRule="auto"/>
              <w:jc w:val="center"/>
              <w:rPr>
                <w:rFonts w:ascii="Arial" w:hAnsi="Arial" w:cs="Arial"/>
                <w:sz w:val="16"/>
                <w:szCs w:val="16"/>
              </w:rPr>
            </w:pPr>
            <w:r w:rsidRPr="00697458">
              <w:rPr>
                <w:rFonts w:ascii="Arial" w:hAnsi="Arial" w:cs="Arial"/>
                <w:sz w:val="16"/>
                <w:szCs w:val="16"/>
              </w:rPr>
              <w:t>rocznie</w:t>
            </w:r>
          </w:p>
        </w:tc>
      </w:tr>
      <w:tr w:rsidR="00C7477C" w:rsidRPr="004E3242" w14:paraId="339BC3D4" w14:textId="77777777" w:rsidTr="006D469A">
        <w:trPr>
          <w:trHeight w:val="428"/>
        </w:trPr>
        <w:tc>
          <w:tcPr>
            <w:tcW w:w="240" w:type="pct"/>
            <w:shd w:val="clear" w:color="auto" w:fill="F2F2F2"/>
            <w:vAlign w:val="center"/>
          </w:tcPr>
          <w:p w14:paraId="50C82FE6" w14:textId="77777777" w:rsidR="00C7477C" w:rsidRPr="004E3242" w:rsidRDefault="00C7477C" w:rsidP="006D469A">
            <w:pPr>
              <w:spacing w:after="0" w:line="240" w:lineRule="auto"/>
              <w:jc w:val="center"/>
              <w:rPr>
                <w:rFonts w:ascii="Arial" w:hAnsi="Arial" w:cs="Arial"/>
                <w:sz w:val="16"/>
                <w:szCs w:val="16"/>
              </w:rPr>
            </w:pPr>
            <w:r>
              <w:rPr>
                <w:rFonts w:ascii="Arial" w:hAnsi="Arial" w:cs="Arial"/>
                <w:sz w:val="16"/>
                <w:szCs w:val="16"/>
              </w:rPr>
              <w:t>5</w:t>
            </w:r>
            <w:r w:rsidRPr="004E3242">
              <w:rPr>
                <w:rFonts w:ascii="Arial" w:hAnsi="Arial" w:cs="Arial"/>
                <w:sz w:val="16"/>
                <w:szCs w:val="16"/>
              </w:rPr>
              <w:t>.</w:t>
            </w:r>
          </w:p>
        </w:tc>
        <w:tc>
          <w:tcPr>
            <w:tcW w:w="764" w:type="pct"/>
            <w:shd w:val="clear" w:color="auto" w:fill="F2F2F2"/>
            <w:vAlign w:val="center"/>
          </w:tcPr>
          <w:p w14:paraId="2AE2763A"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Ocena przydatności form szkoleniowych dla beneficjentów</w:t>
            </w:r>
          </w:p>
        </w:tc>
        <w:tc>
          <w:tcPr>
            <w:tcW w:w="530" w:type="pct"/>
            <w:shd w:val="clear" w:color="auto" w:fill="F2F2F2"/>
            <w:vAlign w:val="center"/>
          </w:tcPr>
          <w:p w14:paraId="4CDE6995"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skala 1-5</w:t>
            </w:r>
          </w:p>
        </w:tc>
        <w:tc>
          <w:tcPr>
            <w:tcW w:w="502" w:type="pct"/>
            <w:shd w:val="clear" w:color="auto" w:fill="F2F2F2"/>
            <w:vAlign w:val="center"/>
          </w:tcPr>
          <w:p w14:paraId="0B856328"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n/d</w:t>
            </w:r>
          </w:p>
        </w:tc>
        <w:tc>
          <w:tcPr>
            <w:tcW w:w="446" w:type="pct"/>
            <w:shd w:val="clear" w:color="auto" w:fill="F2F2F2"/>
            <w:vAlign w:val="center"/>
          </w:tcPr>
          <w:p w14:paraId="1739A9D6"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4,10</w:t>
            </w:r>
          </w:p>
        </w:tc>
        <w:tc>
          <w:tcPr>
            <w:tcW w:w="418" w:type="pct"/>
            <w:shd w:val="clear" w:color="auto" w:fill="F2F2F2"/>
            <w:vAlign w:val="center"/>
          </w:tcPr>
          <w:p w14:paraId="1A3521FA"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2013</w:t>
            </w:r>
          </w:p>
        </w:tc>
        <w:tc>
          <w:tcPr>
            <w:tcW w:w="764" w:type="pct"/>
            <w:shd w:val="clear" w:color="auto" w:fill="F2F2F2"/>
            <w:vAlign w:val="center"/>
          </w:tcPr>
          <w:p w14:paraId="0365463F" w14:textId="77777777" w:rsidR="00C7477C" w:rsidRPr="004E3242" w:rsidRDefault="00C7477C" w:rsidP="006D469A">
            <w:pPr>
              <w:snapToGrid w:val="0"/>
              <w:spacing w:after="0" w:line="240" w:lineRule="auto"/>
              <w:jc w:val="center"/>
              <w:rPr>
                <w:rFonts w:ascii="Arial" w:hAnsi="Arial" w:cs="Arial"/>
                <w:sz w:val="16"/>
                <w:szCs w:val="16"/>
              </w:rPr>
            </w:pPr>
            <w:r w:rsidRPr="004E3242">
              <w:rPr>
                <w:rFonts w:ascii="Arial" w:hAnsi="Arial" w:cs="Arial"/>
                <w:sz w:val="16"/>
                <w:szCs w:val="16"/>
              </w:rPr>
              <w:t>4,25</w:t>
            </w:r>
          </w:p>
        </w:tc>
        <w:tc>
          <w:tcPr>
            <w:tcW w:w="661" w:type="pct"/>
            <w:shd w:val="clear" w:color="auto" w:fill="F2F2F2"/>
            <w:vAlign w:val="center"/>
          </w:tcPr>
          <w:p w14:paraId="5F448ADE"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 xml:space="preserve">Badanie </w:t>
            </w:r>
          </w:p>
        </w:tc>
        <w:tc>
          <w:tcPr>
            <w:tcW w:w="675" w:type="pct"/>
            <w:shd w:val="clear" w:color="auto" w:fill="F2F2F2"/>
            <w:vAlign w:val="center"/>
          </w:tcPr>
          <w:p w14:paraId="63905863" w14:textId="77777777" w:rsidR="00C7477C" w:rsidRPr="004E3242" w:rsidRDefault="00C7477C" w:rsidP="006D469A">
            <w:pPr>
              <w:spacing w:after="0" w:line="240" w:lineRule="auto"/>
              <w:jc w:val="center"/>
              <w:rPr>
                <w:rFonts w:ascii="Arial" w:hAnsi="Arial" w:cs="Arial"/>
                <w:sz w:val="16"/>
                <w:szCs w:val="16"/>
              </w:rPr>
            </w:pPr>
            <w:r w:rsidRPr="004E3242">
              <w:rPr>
                <w:rFonts w:ascii="Arial" w:hAnsi="Arial" w:cs="Arial"/>
                <w:sz w:val="16"/>
                <w:szCs w:val="16"/>
              </w:rPr>
              <w:t>rocznie</w:t>
            </w:r>
          </w:p>
        </w:tc>
      </w:tr>
    </w:tbl>
    <w:p w14:paraId="79B46B23" w14:textId="77777777" w:rsidR="00C7477C" w:rsidRPr="004E3242" w:rsidRDefault="00C7477C" w:rsidP="00C7477C">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Zakres interwencji </w:t>
      </w:r>
    </w:p>
    <w:p w14:paraId="197F16BA"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celu zapewnienia sprawnej oraz efektywnej realizacji Programu niezbędne jest utrzymanie wysoko wykwalifikowanej kadry pracowników. W okresie programowania 2007-2013 utworzono stabilny system zarządzania i wdrażania programami operacyjnymi. Środki finansowe pozyskane w ramach perspektywy 2007-2013 umożliwiły pozyskanie pracowników z doświadczeniem zawodowym oraz wiedzą specjalistyczną bądź odpowiednie przeszkolenie nowo zatrudnianych pracowników, którzy przyczynili się do efektywnego i sprawnego wdrażania programów operacyjnych. Warunkiem optymalnego wdrażania nowego Programu będzie utrzymanie wysoko wykwalifikowanej oraz doświadczonej kadry.</w:t>
      </w:r>
      <w:r w:rsidRPr="0063796F">
        <w:rPr>
          <w:rFonts w:ascii="Arial" w:eastAsia="Times New Roman" w:hAnsi="Arial" w:cs="Arial"/>
          <w:sz w:val="20"/>
          <w:szCs w:val="20"/>
          <w:lang w:eastAsia="pl-PL"/>
        </w:rPr>
        <w:t xml:space="preserve"> </w:t>
      </w:r>
    </w:p>
    <w:p w14:paraId="3B979E89"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Istotnym warunkiem dla zapewnienia sprawnego wdrażania Programu będzie możliwość wykorzystania doświadczeń zdobytych w procesie realizacji programów/projektów w ramach poprzednich perspektyw finansowych. W tym celu istotne jest zaangażowanie w realizację Programu kadry posiadającej doświadczenie z realizacji programów/projektów w ramach poprzednich perspektyw finansowych oraz ułatwienie dostępu do gromadzonych w latach 2000-2013 zasobów wiedzy. Dlatego niezbędnym jest zapewnienie w ramach osi priorytetowej finansowania zadań mających na celu finalizację prac w ramach perspektywy 2007-2013 oraz Funduszu Spójności 2004-2006 w instytucjach będących beneficjentami osi priorytetowej, co zapewni fachową obsługę procesu rozliczania poprzednich okresów programowania z pozostawieniem możliwości dalszego wykorzystywania doświadczonej kadry do realizacji Programu.</w:t>
      </w:r>
    </w:p>
    <w:p w14:paraId="42A9B3C1"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ramach osi priorytetowej dofinansowanie uzyskają również działania mające na celu proces stałego i efektywnego podnoszenie kwalifikacji pracowników. Podnoszenie kwalifikacji pracowników będzie realizowane ze szczególnym uwzględnieniem poszerzania i doskonalenia wiedzy w obszarach związanych z realizacją projektów infrastrukturalnych, w tym m.in. projektów drogowych </w:t>
      </w:r>
      <w:r w:rsidRPr="004E3242">
        <w:rPr>
          <w:rFonts w:ascii="Arial" w:eastAsia="Times New Roman" w:hAnsi="Arial" w:cs="Arial"/>
          <w:sz w:val="20"/>
          <w:szCs w:val="20"/>
          <w:lang w:eastAsia="pl-PL"/>
        </w:rPr>
        <w:br/>
        <w:t>i kolejowych.</w:t>
      </w:r>
      <w:r w:rsidRPr="004E3242">
        <w:rPr>
          <w:rFonts w:ascii="Arial" w:eastAsia="Times New Roman" w:hAnsi="Arial" w:cs="Arial"/>
          <w:sz w:val="20"/>
          <w:szCs w:val="20"/>
          <w:vertAlign w:val="superscript"/>
          <w:lang w:eastAsia="pl-PL"/>
        </w:rPr>
        <w:footnoteReference w:id="91"/>
      </w:r>
      <w:r w:rsidRPr="004E3242">
        <w:rPr>
          <w:rFonts w:ascii="Arial" w:eastAsia="Times New Roman" w:hAnsi="Arial" w:cs="Arial"/>
          <w:sz w:val="20"/>
          <w:szCs w:val="20"/>
          <w:lang w:eastAsia="pl-PL"/>
        </w:rPr>
        <w:t xml:space="preserve"> W działaniach szkoleniowych będą mogły uczestniczyć również instytucje mające istotny wpływ na wdrażanie Programu i/lub potencjał beneficjentów Programu, a tym samym na sprawny proces realizacji projektów. Możliwość poszerzania wiedzy i doskonalenia zawodowego stanowi czynnik motywacyjny dla pracowników zaangażowanych we wdrażanie Programu, dzięki czemu praca w instytucjach staje się bardziej atrakcyjna.</w:t>
      </w:r>
    </w:p>
    <w:p w14:paraId="0361BF9E"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Konieczne jest również podejmowanie działań związanych z zapewnieniem odpowiedniego zaplecza technicznego, w tym utrzymanie odpowiedniego poziomu komputeryzacji w instytucjach zaangażowanych we wdrażanie Programu. Sprzęt komputerowy zakupiony w poprzedniej </w:t>
      </w:r>
      <w:r w:rsidRPr="004E3242">
        <w:rPr>
          <w:rFonts w:ascii="Arial" w:eastAsia="Times New Roman" w:hAnsi="Arial" w:cs="Arial"/>
          <w:sz w:val="20"/>
          <w:szCs w:val="20"/>
          <w:lang w:eastAsia="pl-PL"/>
        </w:rPr>
        <w:lastRenderedPageBreak/>
        <w:t xml:space="preserve">perspektywie finansowej umożliwił sprawną realizację zadań, dlatego też niezbędne jest podejmowanie działań mających na celu utrzymanie odpowiedniego zaplecza technicznego </w:t>
      </w:r>
      <w:r w:rsidRPr="004E3242">
        <w:rPr>
          <w:rFonts w:ascii="Arial" w:eastAsia="Times New Roman" w:hAnsi="Arial" w:cs="Arial"/>
          <w:sz w:val="20"/>
          <w:szCs w:val="20"/>
          <w:lang w:eastAsia="pl-PL"/>
        </w:rPr>
        <w:br/>
        <w:t>w instytucjach zaangażowanych w Program. Ponadto niezbędne będzie zapewnienie odpowiednich warunków pracy (tj. stworzenie i utrzymanie) dla pracowników instytucji w ramach Programu oraz odpowiedniego wyposażania stanowisk pracy.</w:t>
      </w:r>
    </w:p>
    <w:p w14:paraId="5800D555"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Przyjęcie zintegrowanego podejścia terytorialnego w procesie realizacji Programu w perspektywie 2014-2020 wymagać będzie również podejmowania odpowiednich działań istotnych dla sprawnego wdrażania Programu, a dotyczących obszarów objętych jego wsparciem (tj. gospodarki niskoemisyjnej, ochrony środowiska, przeciwdziałania i adaptacji do zmian klimatu, transportu, bezpieczeństwa energetycznego, kultury, zdrowia). W celu zapewnienia spójności działań </w:t>
      </w:r>
      <w:r w:rsidRPr="004E3242">
        <w:rPr>
          <w:rFonts w:ascii="Arial" w:eastAsia="Times New Roman" w:hAnsi="Arial" w:cs="Arial"/>
          <w:sz w:val="20"/>
          <w:szCs w:val="20"/>
          <w:lang w:eastAsia="pl-PL"/>
        </w:rPr>
        <w:br/>
        <w:t>w szczególności w obszarze transportu podejmowanych w ramach Programu, planuje się objęcie wsparciem ze środków pomocy technicznej zadań z zakresu zarządzania i wdrażania instrumentu Łącząc Europę, w tym realizacji projektów tego instrumentu przez beneficjentów, tj. GDDKiA i PKP PLK S.A.</w:t>
      </w:r>
    </w:p>
    <w:p w14:paraId="3304FBEA"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Możliwe jest również podejmowanie działań mających na celu budowę/rozbudowę, utrzymanie, eksploatację narzędzi informatycznych, niezbędnych dla prawidłowej realizacji i monitorowania Programu.</w:t>
      </w:r>
    </w:p>
    <w:p w14:paraId="61411846"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Planowana jest również realizacja zadań ewaluacyjnych na rzecz programu. W celu ich wykonania badania realizowane na potrzeby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obejmować będą obszary związane z zakresem wsparcia Programu (w tym również badania obejmujące interwencje wdrażane w toku poprzednich perspektyw czasowych oraz planowane do wdrażania w ramach kolejnych pespektyw).</w:t>
      </w:r>
    </w:p>
    <w:p w14:paraId="194D0E39"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Finansowanie wydatków związanych z zamknięciem poprzednich oraz z przygotowaniem do kolejnych perspektyw finansowych zapewni płynne przejście pomiędzy programami wdrażanymi w ramach różnych perspektyw finansowych oraz umożliwi wykorzystanie potencjału, wiedzy i doświadczenia, zdobytych podczas realizacji zadań w ramach instrumentów finansowych z poprzednich okresów finansowania.</w:t>
      </w:r>
    </w:p>
    <w:p w14:paraId="3C275D8D"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ramach osi priorytetowej, dofinansowanie uzyskają również działania mające na celu zapobieganie, wykrywanie, korygowanie i raportowanie w obszarze nieprawidłowości i oszustw, zgodnie </w:t>
      </w:r>
      <w:r w:rsidRPr="004E3242">
        <w:rPr>
          <w:rFonts w:ascii="Arial" w:eastAsia="Times New Roman" w:hAnsi="Arial" w:cs="Arial"/>
          <w:sz w:val="20"/>
          <w:szCs w:val="20"/>
          <w:lang w:eastAsia="pl-PL"/>
        </w:rPr>
        <w:br/>
        <w:t>z wymaganiami art. 125 ust. 4 lit c) rozporządzenia 1303/2013.</w:t>
      </w:r>
    </w:p>
    <w:p w14:paraId="4D3CB094" w14:textId="77777777" w:rsidR="00C7477C"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ramach osi priorytetowej przewidziane jest wsparcie dla dwóch największych beneficjentów Programu, tj. GDDKiA oraz PKP PLK S.A. (w tym finansowanie wynagrodzeń pracowników </w:t>
      </w:r>
      <w:r w:rsidRPr="004E3242">
        <w:rPr>
          <w:rFonts w:ascii="Arial" w:eastAsia="Times New Roman" w:hAnsi="Arial" w:cs="Arial"/>
          <w:sz w:val="20"/>
          <w:szCs w:val="20"/>
          <w:lang w:eastAsia="pl-PL"/>
        </w:rPr>
        <w:br/>
        <w:t xml:space="preserve">ww. beneficjentów) w celu zapewnienia sprawnej realizacji projektów w sektorze transportu drogowego i kolejowego. Wsparcie w tym zakresie będzie uzależnione od realizacji przez ww. beneficjentów założonych celów odnoszących się do postępów w realizacji projektów kolejowych </w:t>
      </w:r>
      <w:r w:rsidRPr="004E3242">
        <w:rPr>
          <w:rFonts w:ascii="Arial" w:eastAsia="Times New Roman" w:hAnsi="Arial" w:cs="Arial"/>
          <w:sz w:val="20"/>
          <w:szCs w:val="20"/>
          <w:lang w:eastAsia="pl-PL"/>
        </w:rPr>
        <w:br/>
        <w:t xml:space="preserve">i drogowych. Przygotowany zostanie system premiowania efektywności działania beneficjentów, </w:t>
      </w:r>
      <w:r w:rsidRPr="004E3242">
        <w:rPr>
          <w:rFonts w:ascii="Arial" w:eastAsia="Times New Roman" w:hAnsi="Arial" w:cs="Arial"/>
          <w:sz w:val="20"/>
          <w:szCs w:val="20"/>
          <w:lang w:eastAsia="pl-PL"/>
        </w:rPr>
        <w:br/>
        <w:t xml:space="preserve">a jego głównym celem będzie usprawnienie procesu realizacji projektów kolejowych i drogowych współfinansowanych przez EFRR (w tym w ramach projektów PO Polska Wschodnia), FS i CEF  poprzez powiązanie dostępności części środków w ramach PT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 z postępami we wdrażaniu poszczególnych działań. Ocena efektywności ww. beneficjentów będzie dokonywana w odpowiednich okresach, na podstawie szczegółowo określonych kryteriów, do których mogą należeć m.in. osiągnięcie zakładanego procesu przygotowania projektów drogowych i kolejowych, poziomu kontraktacji w ramach tych projektów, poziomu zrealizowanych wydatków kwalifikowalnych przedstawionych we wnioskach o płatność w ramach ww. projektów, itp. W zależności od stopnia realizacji danego celu, beneficjenci będą mieli możliwość korzystania ze stosownej puli środków pomocy technicznej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 Szczegółowe informacje dotyczące realizacji systemu premiowania efektywności będą przedstawiane w sprawozdaniach rocznych przesyłanych do KE.</w:t>
      </w:r>
    </w:p>
    <w:p w14:paraId="2C4F0D1C" w14:textId="77777777" w:rsidR="00C7477C" w:rsidRPr="004E3242" w:rsidRDefault="00C7477C" w:rsidP="00C7477C">
      <w:pPr>
        <w:spacing w:after="120"/>
        <w:jc w:val="both"/>
        <w:rPr>
          <w:rFonts w:ascii="Arial" w:eastAsia="Times New Roman" w:hAnsi="Arial" w:cs="Arial"/>
          <w:sz w:val="20"/>
          <w:szCs w:val="20"/>
          <w:lang w:eastAsia="pl-PL"/>
        </w:rPr>
      </w:pPr>
      <w:r w:rsidRPr="00BA17E0">
        <w:rPr>
          <w:rFonts w:ascii="Arial" w:eastAsia="Times New Roman" w:hAnsi="Arial" w:cs="Arial"/>
          <w:sz w:val="20"/>
          <w:szCs w:val="20"/>
          <w:lang w:eastAsia="pl-PL"/>
        </w:rPr>
        <w:t xml:space="preserve">Wsparcie w ramach osi priorytetowej jest przewidziane również dla Głównego Urzędu Nadzoru Budowlanego i Wojewódzkich Inspektoratów Nadzoru Budowlanego (w tym finasowanie wynagrodzeń pracowników). Instytucje te nadzorują inwestycje pod kątem zgodności z prawem budowlanym. </w:t>
      </w:r>
      <w:r w:rsidRPr="00BA17E0">
        <w:rPr>
          <w:rFonts w:ascii="Arial" w:eastAsia="Times New Roman" w:hAnsi="Arial" w:cs="Arial"/>
          <w:sz w:val="20"/>
          <w:szCs w:val="20"/>
          <w:lang w:eastAsia="pl-PL"/>
        </w:rPr>
        <w:lastRenderedPageBreak/>
        <w:t xml:space="preserve">Finansowane będą wydatki dotyczące zadań związanych z </w:t>
      </w:r>
      <w:r>
        <w:rPr>
          <w:rFonts w:ascii="Arial" w:eastAsia="Times New Roman" w:hAnsi="Arial" w:cs="Arial"/>
          <w:sz w:val="20"/>
          <w:szCs w:val="20"/>
          <w:lang w:eastAsia="pl-PL"/>
        </w:rPr>
        <w:t>nadzorem nad</w:t>
      </w:r>
      <w:r w:rsidRPr="00BA17E0">
        <w:rPr>
          <w:rFonts w:ascii="Arial" w:eastAsia="Times New Roman" w:hAnsi="Arial" w:cs="Arial"/>
          <w:sz w:val="20"/>
          <w:szCs w:val="20"/>
          <w:lang w:eastAsia="pl-PL"/>
        </w:rPr>
        <w:t xml:space="preserve"> pracownikami, którzy wykonują zadania w zakresie </w:t>
      </w:r>
      <w:r>
        <w:rPr>
          <w:rFonts w:ascii="Arial" w:eastAsia="Times New Roman" w:hAnsi="Arial" w:cs="Arial"/>
          <w:sz w:val="20"/>
          <w:szCs w:val="20"/>
          <w:lang w:eastAsia="pl-PL"/>
        </w:rPr>
        <w:t xml:space="preserve">nadzoru nad inwestycjami </w:t>
      </w:r>
      <w:proofErr w:type="spellStart"/>
      <w:r>
        <w:rPr>
          <w:rFonts w:ascii="Arial" w:eastAsia="Times New Roman" w:hAnsi="Arial" w:cs="Arial"/>
          <w:sz w:val="20"/>
          <w:szCs w:val="20"/>
          <w:lang w:eastAsia="pl-PL"/>
        </w:rPr>
        <w:t>POIiŚ</w:t>
      </w:r>
      <w:proofErr w:type="spellEnd"/>
      <w:r w:rsidRPr="00BA17E0">
        <w:rPr>
          <w:rFonts w:ascii="Arial" w:eastAsia="Times New Roman" w:hAnsi="Arial" w:cs="Arial"/>
          <w:sz w:val="20"/>
          <w:szCs w:val="20"/>
          <w:lang w:eastAsia="pl-PL"/>
        </w:rPr>
        <w:t xml:space="preserve"> 2014-2020 oraz CEF. Wsparcie przyczyni się do zwiększenia jakości i szybkości realizowanych zadań, w tym usprawni odbiór prac budowlanych, a także umożliwi prowadzenie kontroli jeszcze w trakcie realizacji inwestycji.</w:t>
      </w:r>
    </w:p>
    <w:p w14:paraId="6FB6C1DC" w14:textId="77777777" w:rsidR="00C7477C"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Ponadto ww. beneficjenci otrzymają wsparcie w zakresie wykonywanych przez nich zadań związanych z realizacją projektów, w tym w szczególności w zakresie podnoszenia kwalifikacji oraz </w:t>
      </w:r>
      <w:r w:rsidRPr="004E3242">
        <w:rPr>
          <w:rFonts w:ascii="Arial" w:eastAsia="Times New Roman" w:hAnsi="Arial" w:cs="Arial"/>
          <w:sz w:val="20"/>
          <w:szCs w:val="20"/>
          <w:lang w:eastAsia="pl-PL"/>
        </w:rPr>
        <w:br/>
        <w:t>w zakresie zapewnienia wsparcia eksperckiego, a także sprzętu i wyposażenia niezbędnego dla realizacji projektów.</w:t>
      </w:r>
    </w:p>
    <w:p w14:paraId="51381B31" w14:textId="77777777" w:rsidR="00C7477C" w:rsidRPr="0044614C" w:rsidRDefault="00C7477C" w:rsidP="00C7477C">
      <w:pPr>
        <w:spacing w:after="120"/>
        <w:jc w:val="both"/>
        <w:rPr>
          <w:rFonts w:ascii="Arial" w:eastAsia="Times New Roman" w:hAnsi="Arial" w:cs="Arial"/>
          <w:sz w:val="20"/>
          <w:szCs w:val="20"/>
          <w:lang w:eastAsia="pl-PL"/>
        </w:rPr>
      </w:pPr>
      <w:r w:rsidRPr="0044614C">
        <w:rPr>
          <w:rFonts w:ascii="Arial" w:eastAsia="Times New Roman" w:hAnsi="Arial" w:cs="Arial"/>
          <w:sz w:val="20"/>
          <w:szCs w:val="20"/>
          <w:lang w:eastAsia="pl-PL"/>
        </w:rPr>
        <w:t xml:space="preserve">Wsparcie w ramach osi priorytetowej jest przewidziane również dla Wojewódzkich Konserwatorów Zabytków oraz Ministra Kultury i Dziedzictwa Narodowego, jako organu koordynującego i nadzorującego działania Wojewódzkich Konserwatorów Zabytków (w tym finansowanie wynagrodzeń pracowników). </w:t>
      </w:r>
    </w:p>
    <w:p w14:paraId="707813D2" w14:textId="77777777" w:rsidR="00C7477C" w:rsidRPr="0044614C" w:rsidRDefault="00C7477C" w:rsidP="00C7477C">
      <w:pPr>
        <w:spacing w:after="120"/>
        <w:jc w:val="both"/>
        <w:rPr>
          <w:rFonts w:ascii="Arial" w:eastAsia="Times New Roman" w:hAnsi="Arial" w:cs="Arial"/>
          <w:sz w:val="20"/>
          <w:szCs w:val="20"/>
          <w:lang w:eastAsia="pl-PL"/>
        </w:rPr>
      </w:pPr>
      <w:r w:rsidRPr="0044614C">
        <w:rPr>
          <w:rFonts w:ascii="Arial" w:eastAsia="Times New Roman" w:hAnsi="Arial" w:cs="Arial"/>
          <w:sz w:val="20"/>
          <w:szCs w:val="20"/>
          <w:lang w:eastAsia="pl-PL"/>
        </w:rPr>
        <w:t>Organy te nadzorują prawidłowość wykonywanych robót budowlanych pod kątem archeologicznym.</w:t>
      </w:r>
    </w:p>
    <w:p w14:paraId="499D4424" w14:textId="77777777" w:rsidR="00C7477C" w:rsidRPr="0044614C" w:rsidRDefault="00C7477C" w:rsidP="00C7477C">
      <w:pPr>
        <w:spacing w:after="120"/>
        <w:jc w:val="both"/>
        <w:rPr>
          <w:rFonts w:ascii="Arial" w:eastAsia="Times New Roman" w:hAnsi="Arial" w:cs="Arial"/>
          <w:sz w:val="20"/>
          <w:szCs w:val="20"/>
          <w:lang w:eastAsia="pl-PL"/>
        </w:rPr>
      </w:pPr>
      <w:r w:rsidRPr="0044614C">
        <w:rPr>
          <w:rFonts w:ascii="Arial" w:eastAsia="Times New Roman" w:hAnsi="Arial" w:cs="Arial"/>
          <w:sz w:val="20"/>
          <w:szCs w:val="20"/>
          <w:lang w:eastAsia="pl-PL"/>
        </w:rPr>
        <w:t xml:space="preserve">Finansowane będą wydatki dotyczące zadań pracowników związanych z nadzorem archeologicznym nad inwestycjami </w:t>
      </w:r>
      <w:proofErr w:type="spellStart"/>
      <w:r w:rsidRPr="0044614C">
        <w:rPr>
          <w:rFonts w:ascii="Arial" w:eastAsia="Times New Roman" w:hAnsi="Arial" w:cs="Arial"/>
          <w:sz w:val="20"/>
          <w:szCs w:val="20"/>
          <w:lang w:eastAsia="pl-PL"/>
        </w:rPr>
        <w:t>POIiŚ</w:t>
      </w:r>
      <w:proofErr w:type="spellEnd"/>
      <w:r w:rsidRPr="0044614C">
        <w:rPr>
          <w:rFonts w:ascii="Arial" w:eastAsia="Times New Roman" w:hAnsi="Arial" w:cs="Arial"/>
          <w:sz w:val="20"/>
          <w:szCs w:val="20"/>
          <w:lang w:eastAsia="pl-PL"/>
        </w:rPr>
        <w:t xml:space="preserve"> oraz CEF. </w:t>
      </w:r>
    </w:p>
    <w:p w14:paraId="314C05CD" w14:textId="77777777" w:rsidR="00C7477C" w:rsidRPr="0044614C" w:rsidRDefault="00C7477C" w:rsidP="00C7477C">
      <w:pPr>
        <w:spacing w:after="120"/>
        <w:jc w:val="both"/>
        <w:rPr>
          <w:rFonts w:ascii="Arial" w:eastAsia="Times New Roman" w:hAnsi="Arial" w:cs="Arial"/>
          <w:sz w:val="20"/>
          <w:szCs w:val="20"/>
          <w:lang w:eastAsia="pl-PL"/>
        </w:rPr>
      </w:pPr>
      <w:r w:rsidRPr="0044614C">
        <w:rPr>
          <w:rFonts w:ascii="Arial" w:eastAsia="Times New Roman" w:hAnsi="Arial" w:cs="Arial"/>
          <w:sz w:val="20"/>
          <w:szCs w:val="20"/>
          <w:lang w:eastAsia="pl-PL"/>
        </w:rPr>
        <w:t>Wsparcie przyczyni się do zwiększenia jakości i szybkości realizowanych zadań, w tym usprawni odbiór prac budowlanych</w:t>
      </w:r>
      <w:r w:rsidR="000D1F0C">
        <w:rPr>
          <w:rFonts w:ascii="Arial" w:eastAsia="Times New Roman" w:hAnsi="Arial" w:cs="Arial"/>
          <w:sz w:val="20"/>
          <w:szCs w:val="20"/>
          <w:lang w:eastAsia="pl-PL"/>
        </w:rPr>
        <w:t>.</w:t>
      </w:r>
    </w:p>
    <w:p w14:paraId="4C875274" w14:textId="77777777" w:rsidR="00C7477C" w:rsidRPr="004E3242" w:rsidRDefault="00C7477C" w:rsidP="00C7477C">
      <w:pPr>
        <w:spacing w:after="120"/>
        <w:jc w:val="both"/>
        <w:rPr>
          <w:rFonts w:ascii="Arial" w:eastAsia="Times New Roman" w:hAnsi="Arial" w:cs="Arial"/>
          <w:sz w:val="20"/>
          <w:szCs w:val="20"/>
          <w:lang w:eastAsia="pl-PL"/>
        </w:rPr>
      </w:pPr>
      <w:r w:rsidRPr="0044614C">
        <w:rPr>
          <w:rFonts w:ascii="Arial" w:eastAsia="Times New Roman" w:hAnsi="Arial" w:cs="Arial"/>
          <w:sz w:val="20"/>
          <w:szCs w:val="20"/>
          <w:lang w:eastAsia="pl-PL"/>
        </w:rPr>
        <w:t xml:space="preserve">Ww. beneficjenci otrzymają wsparcie w zakresie wykonywanych przez nich zadań związanych z realizacją projektów </w:t>
      </w:r>
      <w:proofErr w:type="spellStart"/>
      <w:r w:rsidRPr="0044614C">
        <w:rPr>
          <w:rFonts w:ascii="Arial" w:eastAsia="Times New Roman" w:hAnsi="Arial" w:cs="Arial"/>
          <w:sz w:val="20"/>
          <w:szCs w:val="20"/>
          <w:lang w:eastAsia="pl-PL"/>
        </w:rPr>
        <w:t>POIiŚ</w:t>
      </w:r>
      <w:proofErr w:type="spellEnd"/>
      <w:r w:rsidRPr="0044614C">
        <w:rPr>
          <w:rFonts w:ascii="Arial" w:eastAsia="Times New Roman" w:hAnsi="Arial" w:cs="Arial"/>
          <w:sz w:val="20"/>
          <w:szCs w:val="20"/>
          <w:lang w:eastAsia="pl-PL"/>
        </w:rPr>
        <w:t xml:space="preserve"> oraz CEF, w tym w szczególności w zakresie wynagrodzeń, podnoszenia kwalifikacji oraz w zakresie zapewnienia wsparcia eksperckiego, a także niezbędnego sprzętu i wyposażenia.</w:t>
      </w:r>
    </w:p>
    <w:p w14:paraId="7E7302D4"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ramach działań szkoleniowych skierowanych do beneficjentów i potencjalnych beneficjentów realizowane będą głównie szkolenia w obszarach związanych z realizacją projektów infrastrukturalnych, w tym m.in. projektów drogowych, kolejowych.</w:t>
      </w:r>
      <w:r w:rsidRPr="004E3242">
        <w:rPr>
          <w:rFonts w:ascii="Arial" w:eastAsia="Times New Roman" w:hAnsi="Arial" w:cs="Arial"/>
          <w:sz w:val="20"/>
          <w:szCs w:val="20"/>
          <w:vertAlign w:val="superscript"/>
          <w:lang w:eastAsia="pl-PL"/>
        </w:rPr>
        <w:footnoteReference w:id="92"/>
      </w:r>
    </w:p>
    <w:p w14:paraId="1D40854A"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Wsparcie dla beneficjentów udzielane będzie w sposób zapewniający ciągłość inwestycji przygotowywanych i realizowanych w ramach Programu z inwestycjami przygotowywanymi </w:t>
      </w:r>
      <w:r w:rsidRPr="004E3242">
        <w:rPr>
          <w:rFonts w:ascii="Arial" w:eastAsia="Times New Roman" w:hAnsi="Arial" w:cs="Arial"/>
          <w:sz w:val="20"/>
          <w:szCs w:val="20"/>
          <w:lang w:eastAsia="pl-PL"/>
        </w:rPr>
        <w:br/>
        <w:t>w poprzedzających i realizowanymi w następującej perspektywie finansowej.</w:t>
      </w:r>
    </w:p>
    <w:p w14:paraId="4F462E8A"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Sprawne wykorzystanie środków finansowych wymagało będzie również przygotowania specjalistycznych ekspertyz i analiz oraz zapewnienia wsparcia eksperckiego przy ocenie projektów realizowanych w ramach Programu. W tym zakresie niezbędne jest również wsparcie instytucji, które mają istotny wpływ na wdrażanie Programu i/lub potencjał beneficjentów Programu. Ponadto przewiduje się możliwość wsparcia (typu </w:t>
      </w:r>
      <w:proofErr w:type="spellStart"/>
      <w:r w:rsidRPr="004E3242">
        <w:rPr>
          <w:rFonts w:ascii="Arial" w:eastAsia="Times New Roman" w:hAnsi="Arial" w:cs="Arial"/>
          <w:sz w:val="20"/>
          <w:szCs w:val="20"/>
          <w:lang w:eastAsia="pl-PL"/>
        </w:rPr>
        <w:t>project</w:t>
      </w:r>
      <w:proofErr w:type="spellEnd"/>
      <w:r w:rsidRPr="004E3242">
        <w:rPr>
          <w:rFonts w:ascii="Arial" w:eastAsia="Times New Roman" w:hAnsi="Arial" w:cs="Arial"/>
          <w:sz w:val="20"/>
          <w:szCs w:val="20"/>
          <w:lang w:eastAsia="pl-PL"/>
        </w:rPr>
        <w:t xml:space="preserve"> </w:t>
      </w:r>
      <w:proofErr w:type="spellStart"/>
      <w:r w:rsidRPr="004E3242">
        <w:rPr>
          <w:rFonts w:ascii="Arial" w:eastAsia="Times New Roman" w:hAnsi="Arial" w:cs="Arial"/>
          <w:sz w:val="20"/>
          <w:szCs w:val="20"/>
          <w:lang w:eastAsia="pl-PL"/>
        </w:rPr>
        <w:t>pipeline</w:t>
      </w:r>
      <w:proofErr w:type="spellEnd"/>
      <w:r w:rsidRPr="004E3242">
        <w:rPr>
          <w:rFonts w:ascii="Arial" w:eastAsia="Times New Roman" w:hAnsi="Arial" w:cs="Arial"/>
          <w:sz w:val="20"/>
          <w:szCs w:val="20"/>
          <w:lang w:eastAsia="pl-PL"/>
        </w:rPr>
        <w:t>) w zakresie weryfikacji i doradztwa dla projektów o charakterze strategicznym. Wsparcie w tym zakresie dotyczyć może np. weryfikacji gotowych dokumentów (w tym m.in. studium wykonalności, raport o oddziaływaniu przedsięwzięcia na środowisko) przed złożeniem przez beneficjenta wniosku o dofinansowanie. Natomiast, co do zasady koszty przygotowania dokumentacji projektowej i przetargowej dla projektów realizowanych w ramach Programu finansowane będą w ramach poszczególnych osi priorytetowych Programu.</w:t>
      </w:r>
    </w:p>
    <w:p w14:paraId="527448FC"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celu zapewnienia skutecznej realizacji Programu, podejmowane będą działania informacyjne </w:t>
      </w:r>
      <w:r w:rsidRPr="004E3242">
        <w:rPr>
          <w:rFonts w:ascii="Arial" w:eastAsia="Times New Roman" w:hAnsi="Arial" w:cs="Arial"/>
          <w:sz w:val="20"/>
          <w:szCs w:val="20"/>
          <w:lang w:eastAsia="pl-PL"/>
        </w:rPr>
        <w:br/>
        <w:t xml:space="preserve">i promocyjne, spójne i zgodne z polityką informacyjną na poziomie Umowy Partnerstwa, tj. Strategią komunikacji polityki spójności na lata 2014-2020, wytycznymi w zakresie informacji i promocji programów operacyjnych oraz Strategią Komunikacji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w:t>
      </w:r>
    </w:p>
    <w:p w14:paraId="5220D81E"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ramach osi priorytetowej przewiduje się finansowanie przedsięwzięć informacyjnych i promocyjnych wspierających realizację Programu, skierowanych do beneficjentów i potencjalnych beneficjentów oraz w razie potrzeby uczestników i potencjalnych uczestników projektów.</w:t>
      </w:r>
    </w:p>
    <w:p w14:paraId="510FD84E"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Cel osi priorytetowej będzie realizowany między innymi poprzez:</w:t>
      </w:r>
    </w:p>
    <w:p w14:paraId="67EA0745" w14:textId="77777777" w:rsidR="00C7477C" w:rsidRPr="004E3242" w:rsidRDefault="00C7477C" w:rsidP="00C7477C">
      <w:pPr>
        <w:numPr>
          <w:ilvl w:val="0"/>
          <w:numId w:val="80"/>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podnoszenie kwalifikacji personelu zaangażowanego w realizację Programu w Instytucji Zarządzającej/Instytucjach Pośredniczących/Instytucjach Wdrażających, GDDKiA i PKP PLK S.A. oraz w instytucjach mających wpływ na sprawne wdrażanie Programu i/lub potencjał beneficjentów Programu, m.in. poprzez szkolenia oraz inne formy podnoszenia kwalifikacji;</w:t>
      </w:r>
    </w:p>
    <w:p w14:paraId="1825C13A" w14:textId="77777777" w:rsidR="00C7477C" w:rsidRPr="004E3242" w:rsidRDefault="00C7477C" w:rsidP="00C7477C">
      <w:pPr>
        <w:numPr>
          <w:ilvl w:val="0"/>
          <w:numId w:val="80"/>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wynajem pomieszczeń (m.in. biurowych, konferencyjnych, archiwów), wyposażenie miejsca pracy;</w:t>
      </w:r>
    </w:p>
    <w:p w14:paraId="7B729BC5" w14:textId="77777777" w:rsidR="00C7477C" w:rsidRPr="004E3242" w:rsidRDefault="00C7477C" w:rsidP="00C7477C">
      <w:pPr>
        <w:numPr>
          <w:ilvl w:val="0"/>
          <w:numId w:val="80"/>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zakup i instalacja sprzętu i wyposażenia;</w:t>
      </w:r>
    </w:p>
    <w:p w14:paraId="76CEBC44" w14:textId="77777777" w:rsidR="00C7477C" w:rsidRPr="004E3242" w:rsidRDefault="00C7477C" w:rsidP="00C7477C">
      <w:pPr>
        <w:numPr>
          <w:ilvl w:val="0"/>
          <w:numId w:val="80"/>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pokrycie kosztów eksploatacji sprzętu i wyposażenia oraz zakup niezbędnych licencji </w:t>
      </w:r>
      <w:r w:rsidRPr="004E3242">
        <w:rPr>
          <w:rFonts w:ascii="Arial" w:eastAsia="Times New Roman" w:hAnsi="Arial" w:cs="Arial"/>
          <w:sz w:val="20"/>
          <w:szCs w:val="20"/>
          <w:lang w:eastAsia="pl-PL"/>
        </w:rPr>
        <w:br/>
        <w:t xml:space="preserve">i oprogramowania informatycznego, a także zakupu usług telekomunikacyjnych </w:t>
      </w:r>
      <w:r w:rsidRPr="004E3242">
        <w:rPr>
          <w:rFonts w:ascii="Arial" w:eastAsia="Times New Roman" w:hAnsi="Arial" w:cs="Arial"/>
          <w:sz w:val="20"/>
          <w:szCs w:val="20"/>
          <w:lang w:eastAsia="pl-PL"/>
        </w:rPr>
        <w:br/>
        <w:t>i teleinformatycznych dla potrzeb efektywnej realizacji programu;</w:t>
      </w:r>
    </w:p>
    <w:p w14:paraId="74196586" w14:textId="77777777" w:rsidR="00C7477C" w:rsidRPr="004E3242" w:rsidRDefault="00C7477C" w:rsidP="00C7477C">
      <w:pPr>
        <w:numPr>
          <w:ilvl w:val="0"/>
          <w:numId w:val="80"/>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budowę, rozbudowę oraz utrzymanie narzędzi informatycznych, mających na celu obsługę Programu;</w:t>
      </w:r>
    </w:p>
    <w:p w14:paraId="0D58CA62" w14:textId="77777777" w:rsidR="00C7477C" w:rsidRPr="004E3242" w:rsidRDefault="00C7477C" w:rsidP="00C7477C">
      <w:pPr>
        <w:numPr>
          <w:ilvl w:val="0"/>
          <w:numId w:val="80"/>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wsparcie procesu zarządzania i wdrażania Programu, w tym m.in:</w:t>
      </w:r>
    </w:p>
    <w:p w14:paraId="2258B917" w14:textId="77777777" w:rsidR="00C7477C" w:rsidRPr="004E3242" w:rsidRDefault="00C7477C" w:rsidP="00C7477C">
      <w:pPr>
        <w:numPr>
          <w:ilvl w:val="0"/>
          <w:numId w:val="8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wsparcie procesu oceny i selekcji projektów;</w:t>
      </w:r>
    </w:p>
    <w:p w14:paraId="40C176A1" w14:textId="77777777" w:rsidR="00C7477C" w:rsidRPr="004E3242" w:rsidRDefault="00C7477C" w:rsidP="00C7477C">
      <w:pPr>
        <w:numPr>
          <w:ilvl w:val="0"/>
          <w:numId w:val="8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wsparcie procesu kontroli oraz działań związanych ze zwalczaniem nadużyć finansowych na szkodę UE;</w:t>
      </w:r>
    </w:p>
    <w:p w14:paraId="58F0DF12" w14:textId="77777777" w:rsidR="00C7477C" w:rsidRPr="004E3242" w:rsidRDefault="00C7477C" w:rsidP="00C7477C">
      <w:pPr>
        <w:numPr>
          <w:ilvl w:val="0"/>
          <w:numId w:val="8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organizacja spotkań, komitetów, grup roboczych, zespołów, itp.;</w:t>
      </w:r>
    </w:p>
    <w:p w14:paraId="2BAA948D" w14:textId="77777777" w:rsidR="00C7477C" w:rsidRPr="004E3242" w:rsidRDefault="00C7477C" w:rsidP="00C7477C">
      <w:pPr>
        <w:numPr>
          <w:ilvl w:val="0"/>
          <w:numId w:val="8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przygotowanie analiz, ekspertyz, ocen, sprawozdań, badań ewaluacyjnych (w tym finansowanie ekspertyz/analiz/badań w obszarach mających istotne znaczenie dla zapewnienia zintegrowanego podejścia terytorialnego działań podejmowanych w ramach Programu, zapewnienia spójności z priorytetami strategii Europa 2020 oraz innymi dokumentami istotnymi dla skuteczności interwencji podejmowanych w ramach Programu);</w:t>
      </w:r>
    </w:p>
    <w:p w14:paraId="4A11A4FD" w14:textId="77777777" w:rsidR="00C7477C" w:rsidRPr="004E3242" w:rsidRDefault="00C7477C" w:rsidP="00C7477C">
      <w:pPr>
        <w:numPr>
          <w:ilvl w:val="0"/>
          <w:numId w:val="8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finansowanie pomocy udzielonej przez ekspertów zewnętrznych;</w:t>
      </w:r>
    </w:p>
    <w:p w14:paraId="21F3477E" w14:textId="77777777" w:rsidR="00C7477C" w:rsidRPr="004E3242" w:rsidRDefault="00C7477C" w:rsidP="00C7477C">
      <w:pPr>
        <w:numPr>
          <w:ilvl w:val="0"/>
          <w:numId w:val="82"/>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ułatwienie dostępu do zasobów wiedzy zgromadzonych w poprzednich perspektywach finansowych, w tym:</w:t>
      </w:r>
    </w:p>
    <w:p w14:paraId="0D0A6E7D" w14:textId="77777777" w:rsidR="00C7477C" w:rsidRPr="004E3242" w:rsidRDefault="00C7477C" w:rsidP="00C7477C">
      <w:pPr>
        <w:numPr>
          <w:ilvl w:val="0"/>
          <w:numId w:val="83"/>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finansowanie kosztów procesu ewaluacji, w tym ewaluacji ex-post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2007-2013, FS/ISPA 2000-2006, FS 2004-2006;</w:t>
      </w:r>
    </w:p>
    <w:p w14:paraId="643D7059" w14:textId="77777777" w:rsidR="00C7477C" w:rsidRPr="004E3242" w:rsidRDefault="00C7477C" w:rsidP="00C7477C">
      <w:pPr>
        <w:numPr>
          <w:ilvl w:val="0"/>
          <w:numId w:val="83"/>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finansowanie działań związanych z finalizacją prac w zakresie perspektywy finansowej 2007-2013 oraz FS 2004-2006 w instytucjach będących beneficjentami osi priorytetowej;</w:t>
      </w:r>
    </w:p>
    <w:p w14:paraId="240BF65A" w14:textId="77777777" w:rsidR="00C7477C" w:rsidRPr="004E3242" w:rsidRDefault="00C7477C" w:rsidP="00C7477C">
      <w:pPr>
        <w:numPr>
          <w:ilvl w:val="0"/>
          <w:numId w:val="83"/>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finansowanie kosztów archiwizacji i przechowywania dokumentacji (w tym również w formie elektronicznej) Programu oraz Programu w ramach perspektywy finansowej 2007-2013, Funduszu Spójności 2004-2006; FS/ISPA 2000-2006;</w:t>
      </w:r>
    </w:p>
    <w:p w14:paraId="79F6A35F" w14:textId="77777777" w:rsidR="00C7477C" w:rsidRPr="004E3242" w:rsidRDefault="00C7477C" w:rsidP="00C7477C">
      <w:pPr>
        <w:numPr>
          <w:ilvl w:val="0"/>
          <w:numId w:val="83"/>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realizacja działań wspierających dla zapewnienia zintegrowanego podejścia terytorialnego działań podejmowanych w ramach Programu oraz działań mających istotne znaczenie dla zapewnienia spójności z priorytetami strategii Europa 2020 oraz innymi dokumentami istotnymi dla skuteczności interwencji podejmowanych w ramach Programu;</w:t>
      </w:r>
    </w:p>
    <w:p w14:paraId="05E67B10" w14:textId="77777777" w:rsidR="00C7477C" w:rsidRPr="004E3242" w:rsidRDefault="00C7477C" w:rsidP="00C7477C">
      <w:pPr>
        <w:numPr>
          <w:ilvl w:val="0"/>
          <w:numId w:val="84"/>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finansowanie kosztów związanych z przygotowaniem przyszłych interwencji strukturalnych;</w:t>
      </w:r>
    </w:p>
    <w:p w14:paraId="760BB88D" w14:textId="77777777" w:rsidR="00C7477C" w:rsidRPr="004E3242" w:rsidRDefault="00C7477C" w:rsidP="00C7477C">
      <w:pPr>
        <w:numPr>
          <w:ilvl w:val="0"/>
          <w:numId w:val="84"/>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pokrycie kosztów zatrudnienia GDDKiA i PKP PLK S.A.</w:t>
      </w:r>
      <w:r>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ściśle związanych z realizacją projektów w sektorze transportu drogowego i kolejowego współfinansowanych ze środków EFRR, FS i CEF-u</w:t>
      </w:r>
      <w:r>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w celu zapewnienia sprawnej realizacji projektów w sektorze transportu drogowego i kolejowego</w:t>
      </w:r>
      <w:r>
        <w:rPr>
          <w:rFonts w:ascii="Arial" w:eastAsia="Times New Roman" w:hAnsi="Arial" w:cs="Arial"/>
          <w:sz w:val="20"/>
          <w:szCs w:val="20"/>
          <w:lang w:eastAsia="pl-PL"/>
        </w:rPr>
        <w:t xml:space="preserve"> oraz kosztów zatrudnienia </w:t>
      </w:r>
      <w:r w:rsidRPr="00BA17E0">
        <w:rPr>
          <w:rFonts w:ascii="Arial" w:eastAsia="Times New Roman" w:hAnsi="Arial" w:cs="Arial"/>
          <w:sz w:val="20"/>
          <w:szCs w:val="20"/>
          <w:lang w:eastAsia="pl-PL"/>
        </w:rPr>
        <w:t xml:space="preserve">Głównego Urzędu Nadzoru Budowlanego </w:t>
      </w:r>
      <w:r>
        <w:rPr>
          <w:rFonts w:ascii="Arial" w:eastAsia="Times New Roman" w:hAnsi="Arial" w:cs="Arial"/>
          <w:sz w:val="20"/>
          <w:szCs w:val="20"/>
          <w:lang w:eastAsia="pl-PL"/>
        </w:rPr>
        <w:br/>
      </w:r>
      <w:r w:rsidRPr="00BA17E0">
        <w:rPr>
          <w:rFonts w:ascii="Arial" w:eastAsia="Times New Roman" w:hAnsi="Arial" w:cs="Arial"/>
          <w:sz w:val="20"/>
          <w:szCs w:val="20"/>
          <w:lang w:eastAsia="pl-PL"/>
        </w:rPr>
        <w:t>i Wojewódzkich Inspektoratów Nadzoru Budowlanego</w:t>
      </w:r>
      <w:r>
        <w:rPr>
          <w:rFonts w:ascii="Arial" w:eastAsia="Times New Roman" w:hAnsi="Arial" w:cs="Arial"/>
          <w:sz w:val="20"/>
          <w:szCs w:val="20"/>
          <w:lang w:eastAsia="pl-PL"/>
        </w:rPr>
        <w:t>;</w:t>
      </w:r>
    </w:p>
    <w:p w14:paraId="3AB3EBB7" w14:textId="77777777" w:rsidR="00C7477C" w:rsidRPr="004E3242" w:rsidRDefault="00C7477C" w:rsidP="00C7477C">
      <w:pPr>
        <w:numPr>
          <w:ilvl w:val="0"/>
          <w:numId w:val="84"/>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weryfikację dokumentacji projektowej dla projektów strategicznych oraz doradztwo w tym zakresie (typu </w:t>
      </w:r>
      <w:proofErr w:type="spellStart"/>
      <w:r w:rsidRPr="004E3242">
        <w:rPr>
          <w:rFonts w:ascii="Arial" w:eastAsia="Times New Roman" w:hAnsi="Arial" w:cs="Arial"/>
          <w:sz w:val="20"/>
          <w:szCs w:val="20"/>
          <w:lang w:eastAsia="pl-PL"/>
        </w:rPr>
        <w:t>project</w:t>
      </w:r>
      <w:proofErr w:type="spellEnd"/>
      <w:r w:rsidRPr="004E3242">
        <w:rPr>
          <w:rFonts w:ascii="Arial" w:eastAsia="Times New Roman" w:hAnsi="Arial" w:cs="Arial"/>
          <w:sz w:val="20"/>
          <w:szCs w:val="20"/>
          <w:lang w:eastAsia="pl-PL"/>
        </w:rPr>
        <w:t xml:space="preserve"> </w:t>
      </w:r>
      <w:proofErr w:type="spellStart"/>
      <w:r w:rsidRPr="004E3242">
        <w:rPr>
          <w:rFonts w:ascii="Arial" w:eastAsia="Times New Roman" w:hAnsi="Arial" w:cs="Arial"/>
          <w:sz w:val="20"/>
          <w:szCs w:val="20"/>
          <w:lang w:eastAsia="pl-PL"/>
        </w:rPr>
        <w:t>pipeline</w:t>
      </w:r>
      <w:proofErr w:type="spellEnd"/>
      <w:r w:rsidRPr="004E3242">
        <w:rPr>
          <w:rFonts w:ascii="Arial" w:eastAsia="Times New Roman" w:hAnsi="Arial" w:cs="Arial"/>
          <w:sz w:val="20"/>
          <w:szCs w:val="20"/>
          <w:lang w:eastAsia="pl-PL"/>
        </w:rPr>
        <w:t>);</w:t>
      </w:r>
    </w:p>
    <w:p w14:paraId="236693F0" w14:textId="77777777" w:rsidR="00C7477C" w:rsidRPr="004E3242" w:rsidRDefault="00C7477C" w:rsidP="00C7477C">
      <w:pPr>
        <w:numPr>
          <w:ilvl w:val="0"/>
          <w:numId w:val="84"/>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realizację działań informacyjno-promocyjnych.</w:t>
      </w:r>
    </w:p>
    <w:p w14:paraId="31462A77"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Wsparcie w ramach pomocy technicznej </w:t>
      </w:r>
      <w:proofErr w:type="spellStart"/>
      <w:r w:rsidRPr="004E3242">
        <w:rPr>
          <w:rFonts w:ascii="Arial" w:eastAsia="Times New Roman" w:hAnsi="Arial" w:cs="Arial"/>
          <w:sz w:val="20"/>
          <w:szCs w:val="20"/>
          <w:lang w:eastAsia="pl-PL"/>
        </w:rPr>
        <w:t>POIiŚ</w:t>
      </w:r>
      <w:proofErr w:type="spellEnd"/>
      <w:r w:rsidRPr="004E3242">
        <w:rPr>
          <w:rFonts w:ascii="Arial" w:eastAsia="Times New Roman" w:hAnsi="Arial" w:cs="Arial"/>
          <w:sz w:val="20"/>
          <w:szCs w:val="20"/>
          <w:lang w:eastAsia="pl-PL"/>
        </w:rPr>
        <w:t xml:space="preserve"> 2014-2020 będzie miało komplementarny charakter wobec Programu Operacyjnego Pomoc Techniczna na lata 2014-2020, przy uwzględnieniu podziału kompetencji wynikającym z linii demarkacyjnej szczegółowo określonej w ramach PO Pomoc Techniczna 2014-2020.</w:t>
      </w:r>
    </w:p>
    <w:p w14:paraId="6BD7ED9F"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Dodatkowo w zakresie finansowania zadań związanych z realizacją instrumentu Łącząc Europę zostanie opracowana szczegółowa linia demarkacyjna.</w:t>
      </w:r>
    </w:p>
    <w:p w14:paraId="55C3D729"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r w:rsidRPr="004E3242">
        <w:rPr>
          <w:rFonts w:ascii="Arial" w:hAnsi="Arial" w:cs="Arial"/>
          <w:bCs/>
          <w:smallCaps/>
          <w:color w:val="669900"/>
          <w:spacing w:val="4"/>
          <w:sz w:val="20"/>
          <w:szCs w:val="20"/>
        </w:rPr>
        <w:t>beneficjenci oraz grupy docelowe</w:t>
      </w:r>
    </w:p>
    <w:p w14:paraId="55221709" w14:textId="77777777" w:rsidR="00C7477C" w:rsidRPr="004E3242" w:rsidRDefault="00C7477C" w:rsidP="00C7477C">
      <w:pPr>
        <w:numPr>
          <w:ilvl w:val="0"/>
          <w:numId w:val="85"/>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Instytucja Zarządzająca;</w:t>
      </w:r>
    </w:p>
    <w:p w14:paraId="17DA97A1" w14:textId="77777777" w:rsidR="00C7477C" w:rsidRPr="004E3242" w:rsidRDefault="00C7477C" w:rsidP="00C7477C">
      <w:pPr>
        <w:numPr>
          <w:ilvl w:val="0"/>
          <w:numId w:val="85"/>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Instytucje Pośredniczące;</w:t>
      </w:r>
    </w:p>
    <w:p w14:paraId="37F7A96C" w14:textId="77777777" w:rsidR="00C7477C" w:rsidRPr="004E3242" w:rsidRDefault="00C7477C" w:rsidP="00C7477C">
      <w:pPr>
        <w:numPr>
          <w:ilvl w:val="0"/>
          <w:numId w:val="85"/>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Instytucje Wdrażające;</w:t>
      </w:r>
    </w:p>
    <w:p w14:paraId="332B54F9" w14:textId="77777777" w:rsidR="00C7477C" w:rsidRPr="004E3242" w:rsidRDefault="00C7477C" w:rsidP="00C7477C">
      <w:pPr>
        <w:numPr>
          <w:ilvl w:val="0"/>
          <w:numId w:val="85"/>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Instytucje, którym powierzono zadania w zakresie zarządzania i wdrażania instrumentu Łącząc Europę;</w:t>
      </w:r>
    </w:p>
    <w:p w14:paraId="2067ABE7" w14:textId="77777777" w:rsidR="00C7477C" w:rsidRDefault="00C7477C" w:rsidP="00C7477C">
      <w:pPr>
        <w:numPr>
          <w:ilvl w:val="0"/>
          <w:numId w:val="85"/>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Generalna Dyrekcja Dróg Krajowych i Autostrad oraz PKP Polskie Linie Kolejowe S.A. </w:t>
      </w:r>
      <w:r w:rsidRPr="004E3242">
        <w:rPr>
          <w:rFonts w:ascii="Arial" w:eastAsia="Times New Roman" w:hAnsi="Arial" w:cs="Arial"/>
          <w:sz w:val="20"/>
          <w:szCs w:val="20"/>
          <w:lang w:eastAsia="pl-PL"/>
        </w:rPr>
        <w:br/>
        <w:t>w związku z realizacją projektów drogowych i kolejowych współfinansowanych ze środków EFRR, FS i CEF</w:t>
      </w:r>
      <w:r w:rsidR="00E270BF">
        <w:rPr>
          <w:rFonts w:ascii="Arial" w:eastAsia="Times New Roman" w:hAnsi="Arial" w:cs="Arial"/>
          <w:sz w:val="20"/>
          <w:szCs w:val="20"/>
          <w:lang w:eastAsia="pl-PL"/>
        </w:rPr>
        <w:t>;</w:t>
      </w:r>
    </w:p>
    <w:p w14:paraId="443A6F6B" w14:textId="77777777" w:rsidR="00C7477C" w:rsidRDefault="00C7477C" w:rsidP="00C7477C">
      <w:pPr>
        <w:numPr>
          <w:ilvl w:val="0"/>
          <w:numId w:val="85"/>
        </w:numPr>
        <w:spacing w:after="120"/>
        <w:jc w:val="both"/>
        <w:rPr>
          <w:rFonts w:ascii="Arial" w:eastAsia="Times New Roman" w:hAnsi="Arial" w:cs="Arial"/>
          <w:sz w:val="20"/>
          <w:szCs w:val="20"/>
          <w:lang w:eastAsia="pl-PL"/>
        </w:rPr>
      </w:pPr>
      <w:r w:rsidRPr="00761044">
        <w:rPr>
          <w:rFonts w:ascii="Arial" w:eastAsia="Times New Roman" w:hAnsi="Arial" w:cs="Arial"/>
          <w:sz w:val="20"/>
          <w:szCs w:val="20"/>
          <w:lang w:eastAsia="pl-PL"/>
        </w:rPr>
        <w:t>Główny Urząd Nadzoru Budowlanego i Wojewódzkie Inspektoraty Nadzoru Budowlanego</w:t>
      </w:r>
      <w:r w:rsidR="00E270BF">
        <w:rPr>
          <w:rFonts w:ascii="Arial" w:eastAsia="Times New Roman" w:hAnsi="Arial" w:cs="Arial"/>
          <w:sz w:val="20"/>
          <w:szCs w:val="20"/>
          <w:lang w:eastAsia="pl-PL"/>
        </w:rPr>
        <w:t>;</w:t>
      </w:r>
    </w:p>
    <w:p w14:paraId="10D1460C" w14:textId="77777777" w:rsidR="00C7477C" w:rsidRPr="004E3242" w:rsidRDefault="00C7477C" w:rsidP="00C7477C">
      <w:pPr>
        <w:numPr>
          <w:ilvl w:val="0"/>
          <w:numId w:val="85"/>
        </w:numPr>
        <w:spacing w:after="120"/>
        <w:jc w:val="both"/>
        <w:rPr>
          <w:rFonts w:ascii="Arial" w:eastAsia="Times New Roman" w:hAnsi="Arial" w:cs="Arial"/>
          <w:sz w:val="20"/>
          <w:szCs w:val="20"/>
          <w:lang w:eastAsia="pl-PL"/>
        </w:rPr>
      </w:pPr>
      <w:r w:rsidRPr="00102431">
        <w:rPr>
          <w:rFonts w:ascii="Arial" w:eastAsia="Times New Roman" w:hAnsi="Arial" w:cs="Arial"/>
          <w:sz w:val="20"/>
          <w:szCs w:val="20"/>
          <w:lang w:eastAsia="pl-PL"/>
        </w:rPr>
        <w:t>Wojewódzcy Konserwatorzy Zabytków oraz Minister Kultury i Dziedzictwa Narodowego, jako organ koordynujący i nadzorujący działania Wojewódzkich Konserwatorów Zabytków.</w:t>
      </w:r>
    </w:p>
    <w:p w14:paraId="4778FC99"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Grupy docelowe:</w:t>
      </w:r>
    </w:p>
    <w:p w14:paraId="077F42F1" w14:textId="77777777" w:rsidR="00C7477C" w:rsidRPr="004E3242" w:rsidRDefault="00C7477C" w:rsidP="00C7477C">
      <w:pPr>
        <w:numPr>
          <w:ilvl w:val="0"/>
          <w:numId w:val="8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beneficjenci i potencjalni beneficjenci Programu;</w:t>
      </w:r>
    </w:p>
    <w:p w14:paraId="3837C45C" w14:textId="77777777" w:rsidR="00C7477C" w:rsidRPr="004E3242" w:rsidRDefault="00C7477C" w:rsidP="00C7477C">
      <w:pPr>
        <w:numPr>
          <w:ilvl w:val="0"/>
          <w:numId w:val="8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instytucje, których działania wpływają na potencjał beneficjentów/potencjalnych beneficjentów i/lub skuteczność działań IZ, IP,</w:t>
      </w:r>
      <w:r>
        <w:rPr>
          <w:rFonts w:ascii="Arial" w:eastAsia="Times New Roman" w:hAnsi="Arial" w:cs="Arial"/>
          <w:sz w:val="20"/>
          <w:szCs w:val="20"/>
          <w:lang w:eastAsia="pl-PL"/>
        </w:rPr>
        <w:t xml:space="preserve"> </w:t>
      </w:r>
      <w:r w:rsidRPr="00EA34CA">
        <w:rPr>
          <w:rFonts w:ascii="Arial" w:eastAsia="Times New Roman" w:hAnsi="Arial" w:cs="Arial"/>
          <w:sz w:val="20"/>
          <w:szCs w:val="20"/>
          <w:lang w:eastAsia="pl-PL"/>
        </w:rPr>
        <w:t>IW</w:t>
      </w:r>
      <w:r w:rsidRPr="004E3242">
        <w:rPr>
          <w:rFonts w:ascii="Arial" w:eastAsia="Times New Roman" w:hAnsi="Arial" w:cs="Arial"/>
          <w:sz w:val="20"/>
          <w:szCs w:val="20"/>
          <w:lang w:eastAsia="pl-PL"/>
        </w:rPr>
        <w:t>;</w:t>
      </w:r>
    </w:p>
    <w:p w14:paraId="4E74C8B9" w14:textId="77777777" w:rsidR="00C7477C" w:rsidRPr="004E3242" w:rsidRDefault="00C7477C" w:rsidP="00C7477C">
      <w:pPr>
        <w:numPr>
          <w:ilvl w:val="0"/>
          <w:numId w:val="8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partnerzy społeczno-gospodarczy, organizacje pozarządowe – w zakresie związanym </w:t>
      </w:r>
      <w:r w:rsidRPr="004E3242">
        <w:rPr>
          <w:rFonts w:ascii="Arial" w:eastAsia="Times New Roman" w:hAnsi="Arial" w:cs="Arial"/>
          <w:sz w:val="20"/>
          <w:szCs w:val="20"/>
          <w:lang w:eastAsia="pl-PL"/>
        </w:rPr>
        <w:br/>
        <w:t>z udziałem w Komitecie Monitorującym oraz grupach roboczych, przygotowania ekspertyz, jak również w zakresie działań o charakterze szkoleniowym.</w:t>
      </w:r>
    </w:p>
    <w:p w14:paraId="71455019"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r w:rsidRPr="004E3242">
        <w:rPr>
          <w:rFonts w:ascii="Arial" w:hAnsi="Arial" w:cs="Arial"/>
          <w:bCs/>
          <w:smallCaps/>
          <w:color w:val="669900"/>
          <w:spacing w:val="4"/>
          <w:sz w:val="20"/>
          <w:szCs w:val="20"/>
        </w:rPr>
        <w:t>Zasady finansowania osi priorytetowej, w tym pomoc publiczna</w:t>
      </w:r>
    </w:p>
    <w:p w14:paraId="0B1EC8B2" w14:textId="77777777" w:rsidR="00C7477C" w:rsidRPr="004E3242" w:rsidRDefault="00C7477C" w:rsidP="00C7477C">
      <w:pPr>
        <w:tabs>
          <w:tab w:val="right" w:pos="9070"/>
        </w:tabs>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Nie przewiduje się wsparcia w formie instrumentów finansowych.</w:t>
      </w:r>
      <w:r w:rsidRPr="004E3242">
        <w:rPr>
          <w:rFonts w:ascii="Arial" w:eastAsia="Times New Roman" w:hAnsi="Arial" w:cs="Arial"/>
          <w:sz w:val="20"/>
          <w:szCs w:val="20"/>
          <w:lang w:eastAsia="pl-PL"/>
        </w:rPr>
        <w:tab/>
      </w:r>
    </w:p>
    <w:p w14:paraId="370600A6"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r w:rsidRPr="004E3242">
        <w:rPr>
          <w:rFonts w:ascii="Arial" w:hAnsi="Arial" w:cs="Arial"/>
          <w:bCs/>
          <w:smallCaps/>
          <w:color w:val="669900"/>
          <w:spacing w:val="4"/>
          <w:sz w:val="20"/>
          <w:szCs w:val="20"/>
        </w:rPr>
        <w:t>Wpływ dużych projektów na realizację celów osi priorytetowej</w:t>
      </w:r>
    </w:p>
    <w:p w14:paraId="7C53ABAE" w14:textId="77777777" w:rsidR="00C7477C" w:rsidRPr="004E3242" w:rsidRDefault="00C7477C" w:rsidP="00C747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Nie przewiduje się realizacji dużych projektów.</w:t>
      </w:r>
    </w:p>
    <w:p w14:paraId="30EE2813" w14:textId="77777777" w:rsidR="00C7477C" w:rsidRPr="004E3242" w:rsidRDefault="00C7477C" w:rsidP="00C7477C">
      <w:pPr>
        <w:spacing w:after="120" w:line="280" w:lineRule="atLeast"/>
        <w:jc w:val="both"/>
        <w:rPr>
          <w:rFonts w:ascii="Arial" w:hAnsi="Arial" w:cs="Arial"/>
          <w:bCs/>
          <w:smallCaps/>
          <w:color w:val="669900"/>
          <w:spacing w:val="4"/>
          <w:sz w:val="20"/>
          <w:szCs w:val="20"/>
        </w:rPr>
      </w:pPr>
    </w:p>
    <w:p w14:paraId="3B84301A" w14:textId="77777777" w:rsidR="00C7477C" w:rsidRPr="004E3242" w:rsidRDefault="00C7477C" w:rsidP="00C7477C">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produktu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0A0" w:firstRow="1" w:lastRow="0" w:firstColumn="1" w:lastColumn="0" w:noHBand="0" w:noVBand="0"/>
      </w:tblPr>
      <w:tblGrid>
        <w:gridCol w:w="598"/>
        <w:gridCol w:w="1888"/>
        <w:gridCol w:w="946"/>
        <w:gridCol w:w="1119"/>
        <w:gridCol w:w="1111"/>
        <w:gridCol w:w="1128"/>
        <w:gridCol w:w="1301"/>
        <w:gridCol w:w="1195"/>
      </w:tblGrid>
      <w:tr w:rsidR="00C7477C" w:rsidRPr="004E3242" w14:paraId="3F4E67F1" w14:textId="77777777" w:rsidTr="006D469A">
        <w:trPr>
          <w:trHeight w:val="501"/>
          <w:tblHeader/>
        </w:trPr>
        <w:tc>
          <w:tcPr>
            <w:tcW w:w="332" w:type="pct"/>
            <w:shd w:val="clear" w:color="auto" w:fill="99CC00"/>
            <w:vAlign w:val="center"/>
          </w:tcPr>
          <w:p w14:paraId="59362F0F"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bCs/>
                <w:color w:val="FFFFFF"/>
                <w:sz w:val="16"/>
                <w:szCs w:val="16"/>
              </w:rPr>
              <w:t>L.p.</w:t>
            </w:r>
          </w:p>
        </w:tc>
        <w:tc>
          <w:tcPr>
            <w:tcW w:w="1017" w:type="pct"/>
            <w:shd w:val="clear" w:color="auto" w:fill="99CC00"/>
            <w:vAlign w:val="center"/>
          </w:tcPr>
          <w:p w14:paraId="0EB83595" w14:textId="77777777" w:rsidR="00C7477C" w:rsidRPr="004E3242" w:rsidRDefault="00C7477C" w:rsidP="006D469A">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Wskaźnik</w:t>
            </w:r>
          </w:p>
        </w:tc>
        <w:tc>
          <w:tcPr>
            <w:tcW w:w="509" w:type="pct"/>
            <w:shd w:val="clear" w:color="auto" w:fill="99CC00"/>
            <w:vAlign w:val="center"/>
          </w:tcPr>
          <w:p w14:paraId="4BEC5485" w14:textId="77777777" w:rsidR="00C7477C" w:rsidRPr="004E3242" w:rsidRDefault="00C7477C" w:rsidP="006D469A">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Jednostka miary</w:t>
            </w:r>
          </w:p>
        </w:tc>
        <w:tc>
          <w:tcPr>
            <w:tcW w:w="598" w:type="pct"/>
            <w:shd w:val="clear" w:color="auto" w:fill="99CC00"/>
            <w:vAlign w:val="center"/>
          </w:tcPr>
          <w:p w14:paraId="44733F6B" w14:textId="77777777" w:rsidR="00C7477C" w:rsidRPr="004E3242" w:rsidRDefault="00C7477C" w:rsidP="006D469A">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Fundusz</w:t>
            </w:r>
          </w:p>
        </w:tc>
        <w:tc>
          <w:tcPr>
            <w:tcW w:w="596" w:type="pct"/>
            <w:shd w:val="clear" w:color="auto" w:fill="99CC00"/>
            <w:vAlign w:val="center"/>
          </w:tcPr>
          <w:p w14:paraId="1454C231" w14:textId="77777777" w:rsidR="00C7477C" w:rsidRPr="004E3242" w:rsidRDefault="00C7477C" w:rsidP="006D469A">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Kategoria regionu</w:t>
            </w:r>
          </w:p>
        </w:tc>
        <w:tc>
          <w:tcPr>
            <w:tcW w:w="605" w:type="pct"/>
            <w:shd w:val="clear" w:color="auto" w:fill="99CC00"/>
            <w:vAlign w:val="center"/>
          </w:tcPr>
          <w:p w14:paraId="12AA8EDF" w14:textId="77777777" w:rsidR="00C7477C" w:rsidRPr="004E3242" w:rsidRDefault="00C7477C" w:rsidP="006D469A">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Wartość docelowa</w:t>
            </w:r>
            <w:r w:rsidRPr="004E3242">
              <w:rPr>
                <w:rFonts w:ascii="Arial" w:hAnsi="Arial" w:cs="Arial"/>
                <w:bCs/>
                <w:color w:val="FFFFFF"/>
                <w:sz w:val="16"/>
                <w:szCs w:val="16"/>
                <w:vertAlign w:val="superscript"/>
              </w:rPr>
              <w:footnoteReference w:id="93"/>
            </w:r>
          </w:p>
        </w:tc>
        <w:tc>
          <w:tcPr>
            <w:tcW w:w="701" w:type="pct"/>
            <w:shd w:val="clear" w:color="auto" w:fill="99CC00"/>
            <w:vAlign w:val="center"/>
          </w:tcPr>
          <w:p w14:paraId="3437B5EA" w14:textId="77777777" w:rsidR="00C7477C" w:rsidRPr="004E3242" w:rsidRDefault="00C7477C" w:rsidP="006D469A">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Źródło pozyskiwania danych nt. wartości</w:t>
            </w:r>
          </w:p>
        </w:tc>
        <w:tc>
          <w:tcPr>
            <w:tcW w:w="643" w:type="pct"/>
            <w:shd w:val="clear" w:color="auto" w:fill="99CC00"/>
            <w:vAlign w:val="center"/>
          </w:tcPr>
          <w:p w14:paraId="584A8EA0" w14:textId="77777777" w:rsidR="00C7477C" w:rsidRPr="004E3242" w:rsidRDefault="00C7477C" w:rsidP="006D469A">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Częstotliwość pomiaru</w:t>
            </w:r>
          </w:p>
        </w:tc>
      </w:tr>
      <w:tr w:rsidR="00C7477C" w:rsidRPr="004E3242" w14:paraId="64040950" w14:textId="77777777" w:rsidTr="006D469A">
        <w:tc>
          <w:tcPr>
            <w:tcW w:w="332" w:type="pct"/>
            <w:shd w:val="clear" w:color="auto" w:fill="F2F2F2"/>
            <w:vAlign w:val="center"/>
          </w:tcPr>
          <w:p w14:paraId="3DF65DE5"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1.</w:t>
            </w:r>
          </w:p>
        </w:tc>
        <w:tc>
          <w:tcPr>
            <w:tcW w:w="1017" w:type="pct"/>
            <w:shd w:val="clear" w:color="auto" w:fill="F2F2F2"/>
            <w:vAlign w:val="center"/>
          </w:tcPr>
          <w:p w14:paraId="2F7CEFC3"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 xml:space="preserve">Liczba uczestników form szkoleniowych dla </w:t>
            </w:r>
            <w:r w:rsidRPr="004E3242">
              <w:rPr>
                <w:rFonts w:ascii="Arial" w:hAnsi="Arial" w:cs="Arial"/>
                <w:sz w:val="16"/>
                <w:szCs w:val="16"/>
              </w:rPr>
              <w:lastRenderedPageBreak/>
              <w:t>instytucji</w:t>
            </w:r>
          </w:p>
        </w:tc>
        <w:tc>
          <w:tcPr>
            <w:tcW w:w="509" w:type="pct"/>
            <w:shd w:val="clear" w:color="auto" w:fill="F2F2F2"/>
            <w:vAlign w:val="center"/>
          </w:tcPr>
          <w:p w14:paraId="6706CFF3"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lastRenderedPageBreak/>
              <w:t>osoba</w:t>
            </w:r>
          </w:p>
        </w:tc>
        <w:tc>
          <w:tcPr>
            <w:tcW w:w="598" w:type="pct"/>
            <w:shd w:val="clear" w:color="auto" w:fill="F2F2F2"/>
            <w:vAlign w:val="center"/>
          </w:tcPr>
          <w:p w14:paraId="0B647B64"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596" w:type="pct"/>
            <w:shd w:val="clear" w:color="auto" w:fill="F2F2F2"/>
            <w:vAlign w:val="center"/>
          </w:tcPr>
          <w:p w14:paraId="28DE6433"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05" w:type="pct"/>
            <w:shd w:val="clear" w:color="auto" w:fill="F2F2F2"/>
            <w:vAlign w:val="center"/>
          </w:tcPr>
          <w:p w14:paraId="76B6CD31"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5DEADAB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15D6944D"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5B472FBF" w14:textId="77777777" w:rsidTr="006D469A">
        <w:tc>
          <w:tcPr>
            <w:tcW w:w="332" w:type="pct"/>
            <w:shd w:val="clear" w:color="auto" w:fill="F2F2F2"/>
            <w:vAlign w:val="center"/>
          </w:tcPr>
          <w:p w14:paraId="09E63CE0"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2.</w:t>
            </w:r>
          </w:p>
        </w:tc>
        <w:tc>
          <w:tcPr>
            <w:tcW w:w="1017" w:type="pct"/>
            <w:shd w:val="clear" w:color="auto" w:fill="F2F2F2"/>
            <w:vAlign w:val="center"/>
          </w:tcPr>
          <w:p w14:paraId="60BA05AF"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zakupionych urządzeń oraz elementów wyposażenia stanowiska pracy</w:t>
            </w:r>
          </w:p>
        </w:tc>
        <w:tc>
          <w:tcPr>
            <w:tcW w:w="509" w:type="pct"/>
            <w:shd w:val="clear" w:color="auto" w:fill="F2F2F2"/>
            <w:vAlign w:val="center"/>
          </w:tcPr>
          <w:p w14:paraId="5B790023"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598" w:type="pct"/>
            <w:shd w:val="clear" w:color="auto" w:fill="F2F2F2"/>
            <w:vAlign w:val="center"/>
          </w:tcPr>
          <w:p w14:paraId="4C071854"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596" w:type="pct"/>
            <w:shd w:val="clear" w:color="auto" w:fill="F2F2F2"/>
            <w:vAlign w:val="center"/>
          </w:tcPr>
          <w:p w14:paraId="473D31A5"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05" w:type="pct"/>
            <w:shd w:val="clear" w:color="auto" w:fill="F2F2F2"/>
            <w:vAlign w:val="center"/>
          </w:tcPr>
          <w:p w14:paraId="11A66CB2"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38A4B5C4"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21DDF686"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1621F310" w14:textId="77777777" w:rsidTr="006D469A">
        <w:tc>
          <w:tcPr>
            <w:tcW w:w="332" w:type="pct"/>
            <w:shd w:val="clear" w:color="auto" w:fill="F2F2F2"/>
            <w:vAlign w:val="center"/>
          </w:tcPr>
          <w:p w14:paraId="54FF8DA6"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3.</w:t>
            </w:r>
          </w:p>
        </w:tc>
        <w:tc>
          <w:tcPr>
            <w:tcW w:w="1017" w:type="pct"/>
            <w:shd w:val="clear" w:color="auto" w:fill="F2F2F2"/>
            <w:vAlign w:val="center"/>
          </w:tcPr>
          <w:p w14:paraId="6AE9FC48"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przeprowadzonych ewaluacji</w:t>
            </w:r>
          </w:p>
        </w:tc>
        <w:tc>
          <w:tcPr>
            <w:tcW w:w="509" w:type="pct"/>
            <w:shd w:val="clear" w:color="auto" w:fill="F2F2F2"/>
            <w:vAlign w:val="center"/>
          </w:tcPr>
          <w:p w14:paraId="2D805456"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598" w:type="pct"/>
            <w:shd w:val="clear" w:color="auto" w:fill="F2F2F2"/>
            <w:vAlign w:val="center"/>
          </w:tcPr>
          <w:p w14:paraId="2F303C96"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596" w:type="pct"/>
            <w:shd w:val="clear" w:color="auto" w:fill="F2F2F2"/>
            <w:vAlign w:val="center"/>
          </w:tcPr>
          <w:p w14:paraId="68911C0F"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05" w:type="pct"/>
            <w:shd w:val="clear" w:color="auto" w:fill="F2F2F2"/>
            <w:vAlign w:val="center"/>
          </w:tcPr>
          <w:p w14:paraId="21EE55ED"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4F631CD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285669B4"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2E4F217B" w14:textId="77777777" w:rsidTr="006D469A">
        <w:tc>
          <w:tcPr>
            <w:tcW w:w="284" w:type="pct"/>
            <w:shd w:val="clear" w:color="auto" w:fill="F2F2F2"/>
            <w:vAlign w:val="center"/>
          </w:tcPr>
          <w:p w14:paraId="2F766A0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4.</w:t>
            </w:r>
          </w:p>
        </w:tc>
        <w:tc>
          <w:tcPr>
            <w:tcW w:w="1017" w:type="pct"/>
            <w:shd w:val="clear" w:color="auto" w:fill="F2F2F2"/>
            <w:vAlign w:val="center"/>
          </w:tcPr>
          <w:p w14:paraId="6CCE77BD"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zorganizowanych spotkań, konferencji, seminariów</w:t>
            </w:r>
          </w:p>
        </w:tc>
        <w:tc>
          <w:tcPr>
            <w:tcW w:w="509" w:type="pct"/>
            <w:shd w:val="clear" w:color="auto" w:fill="F2F2F2"/>
            <w:vAlign w:val="center"/>
          </w:tcPr>
          <w:p w14:paraId="47D48EC3"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4075A77B"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7CA6EEF3"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2B29D53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7EE673D3"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69F670B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707F5C8C" w14:textId="77777777" w:rsidTr="006D469A">
        <w:tc>
          <w:tcPr>
            <w:tcW w:w="284" w:type="pct"/>
            <w:shd w:val="clear" w:color="auto" w:fill="F2F2F2"/>
            <w:vAlign w:val="center"/>
          </w:tcPr>
          <w:p w14:paraId="2CC42EF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5.</w:t>
            </w:r>
          </w:p>
        </w:tc>
        <w:tc>
          <w:tcPr>
            <w:tcW w:w="1017" w:type="pct"/>
            <w:shd w:val="clear" w:color="auto" w:fill="F2F2F2"/>
            <w:vAlign w:val="center"/>
          </w:tcPr>
          <w:p w14:paraId="7D4ABE46"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opracowanych ekspertyz</w:t>
            </w:r>
          </w:p>
        </w:tc>
        <w:tc>
          <w:tcPr>
            <w:tcW w:w="509" w:type="pct"/>
            <w:shd w:val="clear" w:color="auto" w:fill="F2F2F2"/>
            <w:vAlign w:val="center"/>
          </w:tcPr>
          <w:p w14:paraId="37728FFF"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410AFA2F"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5D2CC10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18F60F39"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32B2C3D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0F0FE98C"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700F08B9" w14:textId="77777777" w:rsidTr="006D469A">
        <w:tc>
          <w:tcPr>
            <w:tcW w:w="284" w:type="pct"/>
            <w:shd w:val="clear" w:color="auto" w:fill="F2F2F2"/>
            <w:vAlign w:val="center"/>
          </w:tcPr>
          <w:p w14:paraId="610E6C01"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6.</w:t>
            </w:r>
          </w:p>
        </w:tc>
        <w:tc>
          <w:tcPr>
            <w:tcW w:w="1017" w:type="pct"/>
            <w:shd w:val="clear" w:color="auto" w:fill="F2F2F2"/>
            <w:vAlign w:val="center"/>
          </w:tcPr>
          <w:p w14:paraId="01525A07"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posiedzeń sieci tematycznych, grup roboczych, komitetów oraz innych ciał dialogu angażujących partnerów spoza administracji publicznej</w:t>
            </w:r>
          </w:p>
        </w:tc>
        <w:tc>
          <w:tcPr>
            <w:tcW w:w="509" w:type="pct"/>
            <w:shd w:val="clear" w:color="auto" w:fill="F2F2F2"/>
            <w:vAlign w:val="center"/>
          </w:tcPr>
          <w:p w14:paraId="4F54751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761CD62F"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4B51C4C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1AF7024D"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11200F0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 co najmniej raz na kwartał</w:t>
            </w:r>
          </w:p>
        </w:tc>
        <w:tc>
          <w:tcPr>
            <w:tcW w:w="643" w:type="pct"/>
            <w:shd w:val="clear" w:color="auto" w:fill="F2F2F2"/>
            <w:vAlign w:val="center"/>
          </w:tcPr>
          <w:p w14:paraId="15EE3FB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48A76BD6" w14:textId="77777777" w:rsidTr="006D469A">
        <w:tc>
          <w:tcPr>
            <w:tcW w:w="284" w:type="pct"/>
            <w:shd w:val="clear" w:color="auto" w:fill="F2F2F2"/>
            <w:vAlign w:val="center"/>
          </w:tcPr>
          <w:p w14:paraId="0BCE98B9"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7.</w:t>
            </w:r>
          </w:p>
        </w:tc>
        <w:tc>
          <w:tcPr>
            <w:tcW w:w="1017" w:type="pct"/>
            <w:shd w:val="clear" w:color="auto" w:fill="F2F2F2"/>
            <w:vAlign w:val="center"/>
          </w:tcPr>
          <w:p w14:paraId="0FC599E5"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 xml:space="preserve">Liczba </w:t>
            </w:r>
            <w:proofErr w:type="spellStart"/>
            <w:r w:rsidRPr="004E3242">
              <w:rPr>
                <w:rFonts w:ascii="Arial" w:hAnsi="Arial" w:cs="Arial"/>
                <w:sz w:val="16"/>
                <w:szCs w:val="16"/>
              </w:rPr>
              <w:t>etatomiesięcy</w:t>
            </w:r>
            <w:proofErr w:type="spellEnd"/>
            <w:r w:rsidRPr="004E3242">
              <w:rPr>
                <w:rFonts w:ascii="Arial" w:hAnsi="Arial" w:cs="Arial"/>
                <w:sz w:val="16"/>
                <w:szCs w:val="16"/>
              </w:rPr>
              <w:t xml:space="preserve"> finansowanych ze środków pomocy technicznej</w:t>
            </w:r>
          </w:p>
        </w:tc>
        <w:tc>
          <w:tcPr>
            <w:tcW w:w="509" w:type="pct"/>
            <w:shd w:val="clear" w:color="auto" w:fill="F2F2F2"/>
            <w:vAlign w:val="center"/>
          </w:tcPr>
          <w:p w14:paraId="2AADB1DF"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648D7D05"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23020DD2"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20D90570"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40B24C7D"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132D3719"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0F915C92" w14:textId="77777777" w:rsidTr="006D469A">
        <w:tc>
          <w:tcPr>
            <w:tcW w:w="284" w:type="pct"/>
            <w:shd w:val="clear" w:color="auto" w:fill="F2F2F2"/>
            <w:vAlign w:val="center"/>
          </w:tcPr>
          <w:p w14:paraId="59E0BB9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8.</w:t>
            </w:r>
          </w:p>
        </w:tc>
        <w:tc>
          <w:tcPr>
            <w:tcW w:w="1017" w:type="pct"/>
            <w:shd w:val="clear" w:color="auto" w:fill="F2F2F2"/>
            <w:vAlign w:val="center"/>
          </w:tcPr>
          <w:p w14:paraId="1D89A1AB"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uczestników form szkoleniowych dla beneficjentów</w:t>
            </w:r>
          </w:p>
        </w:tc>
        <w:tc>
          <w:tcPr>
            <w:tcW w:w="509" w:type="pct"/>
            <w:shd w:val="clear" w:color="auto" w:fill="F2F2F2"/>
            <w:vAlign w:val="center"/>
          </w:tcPr>
          <w:p w14:paraId="440BE2BB"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osoba</w:t>
            </w:r>
          </w:p>
        </w:tc>
        <w:tc>
          <w:tcPr>
            <w:tcW w:w="620" w:type="pct"/>
            <w:shd w:val="clear" w:color="auto" w:fill="F2F2F2"/>
            <w:vAlign w:val="center"/>
          </w:tcPr>
          <w:p w14:paraId="1705EFF6"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59D3638B"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1D9EA7A9"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6A92C1E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1B25AE03"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47099F8D" w14:textId="77777777" w:rsidTr="006D469A">
        <w:tc>
          <w:tcPr>
            <w:tcW w:w="284" w:type="pct"/>
            <w:shd w:val="clear" w:color="auto" w:fill="F2F2F2"/>
            <w:vAlign w:val="center"/>
          </w:tcPr>
          <w:p w14:paraId="5698F859"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9.</w:t>
            </w:r>
          </w:p>
        </w:tc>
        <w:tc>
          <w:tcPr>
            <w:tcW w:w="1017" w:type="pct"/>
            <w:shd w:val="clear" w:color="auto" w:fill="F2F2F2"/>
            <w:vAlign w:val="center"/>
          </w:tcPr>
          <w:p w14:paraId="457C47B9"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projektów objętych wsparciem</w:t>
            </w:r>
          </w:p>
        </w:tc>
        <w:tc>
          <w:tcPr>
            <w:tcW w:w="509" w:type="pct"/>
            <w:shd w:val="clear" w:color="auto" w:fill="F2F2F2"/>
            <w:vAlign w:val="center"/>
          </w:tcPr>
          <w:p w14:paraId="4BD8526F"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44DF3814"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4277233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6F8FE26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7DED844C"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1BF9539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68631347" w14:textId="77777777" w:rsidTr="006D469A">
        <w:tc>
          <w:tcPr>
            <w:tcW w:w="284" w:type="pct"/>
            <w:shd w:val="clear" w:color="auto" w:fill="F2F2F2"/>
            <w:vAlign w:val="center"/>
          </w:tcPr>
          <w:p w14:paraId="573AC52E"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10.</w:t>
            </w:r>
          </w:p>
        </w:tc>
        <w:tc>
          <w:tcPr>
            <w:tcW w:w="1017" w:type="pct"/>
            <w:shd w:val="clear" w:color="auto" w:fill="F2F2F2"/>
            <w:vAlign w:val="center"/>
          </w:tcPr>
          <w:p w14:paraId="04AB5134"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działań informacyjno-promocyjnych o szerokim zasięgu</w:t>
            </w:r>
          </w:p>
        </w:tc>
        <w:tc>
          <w:tcPr>
            <w:tcW w:w="509" w:type="pct"/>
            <w:shd w:val="clear" w:color="auto" w:fill="F2F2F2"/>
            <w:vAlign w:val="center"/>
          </w:tcPr>
          <w:p w14:paraId="3B56E30D"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0F51352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3971D5D1"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5F247DED"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15FFE67C"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1539E06B"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58075EC2" w14:textId="77777777" w:rsidTr="006D469A">
        <w:tc>
          <w:tcPr>
            <w:tcW w:w="284" w:type="pct"/>
            <w:shd w:val="clear" w:color="auto" w:fill="F2F2F2"/>
            <w:vAlign w:val="center"/>
          </w:tcPr>
          <w:p w14:paraId="3BE783A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11.</w:t>
            </w:r>
          </w:p>
        </w:tc>
        <w:tc>
          <w:tcPr>
            <w:tcW w:w="1017" w:type="pct"/>
            <w:shd w:val="clear" w:color="auto" w:fill="F2F2F2"/>
            <w:vAlign w:val="center"/>
          </w:tcPr>
          <w:p w14:paraId="3BB276FC"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odwiedzin portalu informacyjnego/serwisu internetowego</w:t>
            </w:r>
          </w:p>
        </w:tc>
        <w:tc>
          <w:tcPr>
            <w:tcW w:w="509" w:type="pct"/>
            <w:shd w:val="clear" w:color="auto" w:fill="F2F2F2"/>
            <w:vAlign w:val="center"/>
          </w:tcPr>
          <w:p w14:paraId="488B68C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274076B6"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6F16EFB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5DF74A3F"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72E83C02"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System monitorowania</w:t>
            </w:r>
          </w:p>
        </w:tc>
        <w:tc>
          <w:tcPr>
            <w:tcW w:w="643" w:type="pct"/>
            <w:shd w:val="clear" w:color="auto" w:fill="F2F2F2"/>
            <w:vAlign w:val="center"/>
          </w:tcPr>
          <w:p w14:paraId="525312DC"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r w:rsidR="00C7477C" w:rsidRPr="004E3242" w14:paraId="3F7147CC" w14:textId="77777777" w:rsidTr="006D469A">
        <w:tc>
          <w:tcPr>
            <w:tcW w:w="284" w:type="pct"/>
            <w:shd w:val="clear" w:color="auto" w:fill="F2F2F2"/>
            <w:vAlign w:val="center"/>
          </w:tcPr>
          <w:p w14:paraId="2DCB145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12.</w:t>
            </w:r>
          </w:p>
        </w:tc>
        <w:tc>
          <w:tcPr>
            <w:tcW w:w="1017" w:type="pct"/>
            <w:shd w:val="clear" w:color="auto" w:fill="F2F2F2"/>
            <w:vAlign w:val="center"/>
          </w:tcPr>
          <w:p w14:paraId="62D81B9B" w14:textId="77777777" w:rsidR="00C7477C" w:rsidRPr="004E3242" w:rsidRDefault="00C7477C" w:rsidP="006D469A">
            <w:pPr>
              <w:spacing w:before="20" w:after="20" w:line="240" w:lineRule="auto"/>
              <w:rPr>
                <w:rFonts w:ascii="Arial" w:hAnsi="Arial" w:cs="Arial"/>
                <w:sz w:val="16"/>
                <w:szCs w:val="16"/>
              </w:rPr>
            </w:pPr>
            <w:r w:rsidRPr="004E3242">
              <w:rPr>
                <w:rFonts w:ascii="Arial" w:hAnsi="Arial" w:cs="Arial"/>
                <w:sz w:val="16"/>
                <w:szCs w:val="16"/>
              </w:rPr>
              <w:t>Liczba materiałów informacyjnych lub promocyjnych wydanych w formie elektronicznej</w:t>
            </w:r>
          </w:p>
        </w:tc>
        <w:tc>
          <w:tcPr>
            <w:tcW w:w="509" w:type="pct"/>
            <w:shd w:val="clear" w:color="auto" w:fill="F2F2F2"/>
            <w:vAlign w:val="center"/>
          </w:tcPr>
          <w:p w14:paraId="17A7E686"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szt.</w:t>
            </w:r>
          </w:p>
        </w:tc>
        <w:tc>
          <w:tcPr>
            <w:tcW w:w="620" w:type="pct"/>
            <w:shd w:val="clear" w:color="auto" w:fill="F2F2F2"/>
            <w:vAlign w:val="center"/>
          </w:tcPr>
          <w:p w14:paraId="1F4354A9"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Fundusz Spójności</w:t>
            </w:r>
          </w:p>
        </w:tc>
        <w:tc>
          <w:tcPr>
            <w:tcW w:w="608" w:type="pct"/>
            <w:shd w:val="clear" w:color="auto" w:fill="F2F2F2"/>
            <w:vAlign w:val="center"/>
          </w:tcPr>
          <w:p w14:paraId="751390C9"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617" w:type="pct"/>
            <w:shd w:val="clear" w:color="auto" w:fill="F2F2F2"/>
            <w:vAlign w:val="center"/>
          </w:tcPr>
          <w:p w14:paraId="0AA6747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n/d</w:t>
            </w:r>
          </w:p>
        </w:tc>
        <w:tc>
          <w:tcPr>
            <w:tcW w:w="701" w:type="pct"/>
            <w:shd w:val="clear" w:color="auto" w:fill="F2F2F2"/>
            <w:vAlign w:val="center"/>
          </w:tcPr>
          <w:p w14:paraId="2ECEE667"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 xml:space="preserve">System monitorowania </w:t>
            </w:r>
          </w:p>
        </w:tc>
        <w:tc>
          <w:tcPr>
            <w:tcW w:w="643" w:type="pct"/>
            <w:shd w:val="clear" w:color="auto" w:fill="F2F2F2"/>
            <w:vAlign w:val="center"/>
          </w:tcPr>
          <w:p w14:paraId="5269C9D8"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Półrocznie</w:t>
            </w:r>
          </w:p>
        </w:tc>
      </w:tr>
    </w:tbl>
    <w:p w14:paraId="77DC3F43" w14:textId="77777777" w:rsidR="00C7477C" w:rsidRPr="004E3242" w:rsidRDefault="00C7477C" w:rsidP="00C7477C">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Kategorie interwencji (EUR)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1126"/>
        <w:gridCol w:w="1875"/>
        <w:gridCol w:w="375"/>
        <w:gridCol w:w="312"/>
        <w:gridCol w:w="810"/>
        <w:gridCol w:w="1192"/>
        <w:gridCol w:w="306"/>
        <w:gridCol w:w="373"/>
        <w:gridCol w:w="1125"/>
        <w:gridCol w:w="1547"/>
        <w:gridCol w:w="245"/>
      </w:tblGrid>
      <w:tr w:rsidR="00C7477C" w:rsidRPr="004E3242" w14:paraId="5CA800B5" w14:textId="77777777" w:rsidTr="006D469A">
        <w:trPr>
          <w:cantSplit/>
          <w:tblHeader/>
        </w:trPr>
        <w:tc>
          <w:tcPr>
            <w:tcW w:w="1615" w:type="pct"/>
            <w:gridSpan w:val="2"/>
            <w:shd w:val="clear" w:color="auto" w:fill="99CC00"/>
            <w:vAlign w:val="center"/>
          </w:tcPr>
          <w:p w14:paraId="5773EB98"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Obszar interwencji</w:t>
            </w:r>
          </w:p>
        </w:tc>
        <w:tc>
          <w:tcPr>
            <w:tcW w:w="202" w:type="pct"/>
            <w:shd w:val="clear" w:color="auto" w:fill="FFFFFF"/>
          </w:tcPr>
          <w:p w14:paraId="1522029C" w14:textId="77777777" w:rsidR="00C7477C" w:rsidRPr="004E3242" w:rsidRDefault="00C7477C" w:rsidP="006D469A">
            <w:pPr>
              <w:spacing w:before="20" w:after="20" w:line="240" w:lineRule="auto"/>
              <w:jc w:val="center"/>
              <w:rPr>
                <w:rFonts w:ascii="Arial" w:hAnsi="Arial" w:cs="Arial"/>
                <w:color w:val="FFFFFF"/>
                <w:sz w:val="16"/>
                <w:szCs w:val="16"/>
              </w:rPr>
            </w:pPr>
          </w:p>
        </w:tc>
        <w:tc>
          <w:tcPr>
            <w:tcW w:w="1411" w:type="pct"/>
            <w:gridSpan w:val="4"/>
            <w:shd w:val="clear" w:color="auto" w:fill="99CC00"/>
            <w:vAlign w:val="center"/>
          </w:tcPr>
          <w:p w14:paraId="54CACCB9"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Forma finansowania</w:t>
            </w:r>
          </w:p>
        </w:tc>
        <w:tc>
          <w:tcPr>
            <w:tcW w:w="201" w:type="pct"/>
            <w:shd w:val="clear" w:color="auto" w:fill="FFFFFF"/>
          </w:tcPr>
          <w:p w14:paraId="031CBBF0" w14:textId="77777777" w:rsidR="00C7477C" w:rsidRPr="004E3242" w:rsidRDefault="00C7477C" w:rsidP="006D469A">
            <w:pPr>
              <w:spacing w:before="20" w:after="20" w:line="240" w:lineRule="auto"/>
              <w:jc w:val="center"/>
              <w:rPr>
                <w:rFonts w:ascii="Arial" w:hAnsi="Arial" w:cs="Arial"/>
                <w:color w:val="FFFFFF"/>
                <w:sz w:val="16"/>
                <w:szCs w:val="16"/>
              </w:rPr>
            </w:pPr>
          </w:p>
        </w:tc>
        <w:tc>
          <w:tcPr>
            <w:tcW w:w="1439" w:type="pct"/>
            <w:gridSpan w:val="2"/>
            <w:shd w:val="clear" w:color="auto" w:fill="99CC00"/>
            <w:vAlign w:val="center"/>
          </w:tcPr>
          <w:p w14:paraId="00629ACB"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Terytorium</w:t>
            </w:r>
          </w:p>
        </w:tc>
        <w:tc>
          <w:tcPr>
            <w:tcW w:w="133" w:type="pct"/>
            <w:shd w:val="clear" w:color="auto" w:fill="FFFFFF"/>
          </w:tcPr>
          <w:p w14:paraId="61D8FE7E" w14:textId="77777777" w:rsidR="00C7477C" w:rsidRPr="004E3242" w:rsidRDefault="00C7477C" w:rsidP="006D469A">
            <w:pPr>
              <w:spacing w:before="20" w:after="20" w:line="240" w:lineRule="auto"/>
              <w:jc w:val="center"/>
              <w:rPr>
                <w:rFonts w:ascii="Arial" w:hAnsi="Arial" w:cs="Arial"/>
                <w:color w:val="FFFFFF"/>
                <w:sz w:val="16"/>
                <w:szCs w:val="16"/>
              </w:rPr>
            </w:pPr>
          </w:p>
        </w:tc>
      </w:tr>
      <w:tr w:rsidR="00C7477C" w:rsidRPr="004E3242" w14:paraId="13FA8896" w14:textId="77777777" w:rsidTr="006D469A">
        <w:trPr>
          <w:cantSplit/>
          <w:tblHeader/>
        </w:trPr>
        <w:tc>
          <w:tcPr>
            <w:tcW w:w="606" w:type="pct"/>
            <w:shd w:val="clear" w:color="auto" w:fill="99CC00"/>
            <w:vAlign w:val="center"/>
          </w:tcPr>
          <w:p w14:paraId="343000A3"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1009" w:type="pct"/>
            <w:shd w:val="clear" w:color="auto" w:fill="99CC00"/>
            <w:vAlign w:val="center"/>
          </w:tcPr>
          <w:p w14:paraId="309541BC"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202" w:type="pct"/>
            <w:shd w:val="clear" w:color="auto" w:fill="FFFFFF"/>
          </w:tcPr>
          <w:p w14:paraId="69079EF0" w14:textId="77777777" w:rsidR="00C7477C" w:rsidRPr="004E3242" w:rsidRDefault="00C7477C" w:rsidP="006D469A">
            <w:pPr>
              <w:spacing w:before="20" w:after="20" w:line="240" w:lineRule="auto"/>
              <w:jc w:val="center"/>
              <w:rPr>
                <w:rFonts w:ascii="Arial" w:hAnsi="Arial" w:cs="Arial"/>
                <w:color w:val="FFFFFF"/>
                <w:sz w:val="16"/>
                <w:szCs w:val="16"/>
              </w:rPr>
            </w:pPr>
          </w:p>
        </w:tc>
        <w:tc>
          <w:tcPr>
            <w:tcW w:w="604" w:type="pct"/>
            <w:gridSpan w:val="2"/>
            <w:shd w:val="clear" w:color="auto" w:fill="99CC00"/>
            <w:vAlign w:val="center"/>
          </w:tcPr>
          <w:p w14:paraId="64694EA1"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07" w:type="pct"/>
            <w:gridSpan w:val="2"/>
            <w:shd w:val="clear" w:color="auto" w:fill="99CC00"/>
            <w:vAlign w:val="center"/>
          </w:tcPr>
          <w:p w14:paraId="36FA507A"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201" w:type="pct"/>
            <w:shd w:val="clear" w:color="auto" w:fill="FFFFFF"/>
          </w:tcPr>
          <w:p w14:paraId="3BEE37EE" w14:textId="77777777" w:rsidR="00C7477C" w:rsidRPr="004E3242" w:rsidRDefault="00C7477C" w:rsidP="006D469A">
            <w:pPr>
              <w:spacing w:before="20" w:after="20" w:line="240" w:lineRule="auto"/>
              <w:jc w:val="center"/>
              <w:rPr>
                <w:rFonts w:ascii="Arial" w:hAnsi="Arial" w:cs="Arial"/>
                <w:color w:val="FFFFFF"/>
                <w:sz w:val="16"/>
                <w:szCs w:val="16"/>
              </w:rPr>
            </w:pPr>
          </w:p>
        </w:tc>
        <w:tc>
          <w:tcPr>
            <w:tcW w:w="606" w:type="pct"/>
            <w:shd w:val="clear" w:color="auto" w:fill="99CC00"/>
            <w:vAlign w:val="center"/>
          </w:tcPr>
          <w:p w14:paraId="3CE4769C"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33" w:type="pct"/>
            <w:shd w:val="clear" w:color="auto" w:fill="99CC00"/>
            <w:vAlign w:val="center"/>
          </w:tcPr>
          <w:p w14:paraId="23A70DA6" w14:textId="77777777" w:rsidR="00C7477C" w:rsidRPr="004E3242" w:rsidRDefault="00C7477C" w:rsidP="006D469A">
            <w:pPr>
              <w:spacing w:before="20" w:after="2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33" w:type="pct"/>
            <w:shd w:val="clear" w:color="auto" w:fill="FFFFFF"/>
          </w:tcPr>
          <w:p w14:paraId="5AC35E03" w14:textId="77777777" w:rsidR="00C7477C" w:rsidRPr="004E3242" w:rsidRDefault="00C7477C" w:rsidP="006D469A">
            <w:pPr>
              <w:spacing w:before="20" w:after="20" w:line="240" w:lineRule="auto"/>
              <w:jc w:val="center"/>
              <w:rPr>
                <w:rFonts w:ascii="Arial" w:hAnsi="Arial" w:cs="Arial"/>
                <w:color w:val="FFFFFF"/>
                <w:sz w:val="16"/>
                <w:szCs w:val="16"/>
              </w:rPr>
            </w:pPr>
          </w:p>
        </w:tc>
      </w:tr>
      <w:tr w:rsidR="00C7477C" w:rsidRPr="004E3242" w14:paraId="4A72FD40" w14:textId="77777777" w:rsidTr="006D469A">
        <w:trPr>
          <w:cantSplit/>
          <w:tblHeader/>
        </w:trPr>
        <w:tc>
          <w:tcPr>
            <w:tcW w:w="606" w:type="pct"/>
            <w:shd w:val="clear" w:color="auto" w:fill="F2F2F2"/>
          </w:tcPr>
          <w:p w14:paraId="0D56A0C3" w14:textId="77777777" w:rsidR="00C7477C" w:rsidRPr="004E3242" w:rsidRDefault="00C7477C" w:rsidP="006D469A">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121</w:t>
            </w:r>
          </w:p>
        </w:tc>
        <w:tc>
          <w:tcPr>
            <w:tcW w:w="1009" w:type="pct"/>
            <w:shd w:val="clear" w:color="auto" w:fill="F2F2F2"/>
          </w:tcPr>
          <w:p w14:paraId="4F620A24" w14:textId="77777777" w:rsidR="00C7477C" w:rsidRDefault="00C7477C" w:rsidP="006D469A">
            <w:pPr>
              <w:spacing w:before="20" w:after="20" w:line="240" w:lineRule="auto"/>
              <w:jc w:val="center"/>
              <w:rPr>
                <w:rFonts w:ascii="Arial" w:hAnsi="Arial" w:cs="Arial"/>
                <w:color w:val="000000"/>
                <w:sz w:val="16"/>
                <w:szCs w:val="16"/>
              </w:rPr>
            </w:pPr>
          </w:p>
          <w:p w14:paraId="7F2BF4D8" w14:textId="77777777" w:rsidR="00C7477C" w:rsidRDefault="00C7477C" w:rsidP="006D469A">
            <w:pPr>
              <w:spacing w:before="20" w:after="20" w:line="240" w:lineRule="auto"/>
              <w:jc w:val="center"/>
              <w:rPr>
                <w:rFonts w:ascii="Arial" w:hAnsi="Arial" w:cs="Arial"/>
                <w:color w:val="000000"/>
                <w:sz w:val="16"/>
                <w:szCs w:val="16"/>
              </w:rPr>
            </w:pPr>
            <w:r>
              <w:rPr>
                <w:rFonts w:ascii="Arial" w:hAnsi="Arial" w:cs="Arial"/>
                <w:color w:val="000000"/>
                <w:sz w:val="16"/>
                <w:szCs w:val="16"/>
              </w:rPr>
              <w:t> </w:t>
            </w:r>
          </w:p>
          <w:p w14:paraId="545D06A4" w14:textId="77777777" w:rsidR="00C7477C" w:rsidRPr="004E3242" w:rsidRDefault="00C7477C" w:rsidP="006D469A">
            <w:pPr>
              <w:spacing w:before="20" w:after="20" w:line="240" w:lineRule="auto"/>
              <w:jc w:val="center"/>
              <w:rPr>
                <w:rFonts w:ascii="Arial" w:hAnsi="Arial" w:cs="Arial"/>
                <w:color w:val="000000"/>
                <w:sz w:val="16"/>
                <w:szCs w:val="16"/>
              </w:rPr>
            </w:pPr>
            <w:r w:rsidRPr="00470A12">
              <w:rPr>
                <w:rFonts w:ascii="Arial" w:hAnsi="Arial" w:cs="Arial"/>
                <w:color w:val="000000"/>
                <w:sz w:val="16"/>
                <w:szCs w:val="16"/>
              </w:rPr>
              <w:t>317 524 457</w:t>
            </w:r>
          </w:p>
        </w:tc>
        <w:tc>
          <w:tcPr>
            <w:tcW w:w="202" w:type="pct"/>
            <w:shd w:val="clear" w:color="auto" w:fill="FFFFFF"/>
          </w:tcPr>
          <w:p w14:paraId="0FD4AB4E" w14:textId="77777777" w:rsidR="00C7477C" w:rsidRPr="004E3242" w:rsidRDefault="00C7477C" w:rsidP="006D469A">
            <w:pPr>
              <w:suppressAutoHyphens/>
              <w:spacing w:before="20" w:after="20" w:line="240" w:lineRule="auto"/>
              <w:jc w:val="center"/>
              <w:rPr>
                <w:rFonts w:ascii="Arial" w:hAnsi="Arial" w:cs="Arial"/>
                <w:sz w:val="16"/>
                <w:szCs w:val="16"/>
              </w:rPr>
            </w:pPr>
          </w:p>
        </w:tc>
        <w:tc>
          <w:tcPr>
            <w:tcW w:w="604" w:type="pct"/>
            <w:gridSpan w:val="2"/>
            <w:shd w:val="clear" w:color="auto" w:fill="F2F2F2"/>
          </w:tcPr>
          <w:p w14:paraId="6CBC8E20" w14:textId="77777777" w:rsidR="00C7477C" w:rsidRPr="004E3242" w:rsidRDefault="00C7477C" w:rsidP="006D469A">
            <w:pPr>
              <w:suppressAutoHyphens/>
              <w:spacing w:before="20" w:after="20" w:line="240" w:lineRule="auto"/>
              <w:jc w:val="center"/>
              <w:rPr>
                <w:rFonts w:ascii="Arial" w:hAnsi="Arial" w:cs="Arial"/>
                <w:sz w:val="16"/>
                <w:szCs w:val="16"/>
              </w:rPr>
            </w:pPr>
            <w:r w:rsidRPr="004E3242">
              <w:rPr>
                <w:rFonts w:ascii="Arial" w:hAnsi="Arial" w:cs="Arial"/>
                <w:sz w:val="16"/>
                <w:szCs w:val="16"/>
              </w:rPr>
              <w:t>01</w:t>
            </w:r>
          </w:p>
        </w:tc>
        <w:tc>
          <w:tcPr>
            <w:tcW w:w="807" w:type="pct"/>
            <w:gridSpan w:val="2"/>
            <w:shd w:val="clear" w:color="auto" w:fill="F2F2F2"/>
          </w:tcPr>
          <w:p w14:paraId="18A543B5" w14:textId="77777777" w:rsidR="00C7477C" w:rsidRPr="004E3242" w:rsidRDefault="00C7477C" w:rsidP="006D469A">
            <w:pPr>
              <w:spacing w:before="20" w:after="20" w:line="240" w:lineRule="auto"/>
              <w:jc w:val="center"/>
              <w:rPr>
                <w:rFonts w:ascii="Arial" w:hAnsi="Arial" w:cs="Arial"/>
                <w:bCs/>
                <w:sz w:val="16"/>
                <w:szCs w:val="16"/>
              </w:rPr>
            </w:pPr>
            <w:r w:rsidRPr="00470A12">
              <w:rPr>
                <w:rFonts w:ascii="Arial" w:hAnsi="Arial" w:cs="Arial"/>
                <w:bCs/>
                <w:sz w:val="16"/>
                <w:szCs w:val="16"/>
              </w:rPr>
              <w:t>327 000 000</w:t>
            </w:r>
          </w:p>
        </w:tc>
        <w:tc>
          <w:tcPr>
            <w:tcW w:w="201" w:type="pct"/>
            <w:shd w:val="clear" w:color="auto" w:fill="FFFFFF"/>
          </w:tcPr>
          <w:p w14:paraId="172347C1" w14:textId="77777777" w:rsidR="00C7477C" w:rsidRPr="004E3242" w:rsidRDefault="00C7477C" w:rsidP="006D469A">
            <w:pPr>
              <w:suppressAutoHyphens/>
              <w:spacing w:before="20" w:after="20" w:line="240" w:lineRule="auto"/>
              <w:jc w:val="center"/>
              <w:rPr>
                <w:rFonts w:ascii="Arial" w:hAnsi="Arial" w:cs="Arial"/>
                <w:sz w:val="16"/>
                <w:szCs w:val="16"/>
              </w:rPr>
            </w:pPr>
          </w:p>
        </w:tc>
        <w:tc>
          <w:tcPr>
            <w:tcW w:w="606" w:type="pct"/>
            <w:shd w:val="clear" w:color="auto" w:fill="F2F2F2"/>
          </w:tcPr>
          <w:p w14:paraId="3F847827" w14:textId="77777777" w:rsidR="00C7477C" w:rsidRPr="004E3242" w:rsidRDefault="00C7477C" w:rsidP="006D469A">
            <w:pPr>
              <w:suppressAutoHyphens/>
              <w:spacing w:before="20" w:after="20" w:line="240" w:lineRule="auto"/>
              <w:jc w:val="center"/>
              <w:rPr>
                <w:rFonts w:ascii="Arial" w:hAnsi="Arial" w:cs="Arial"/>
                <w:sz w:val="16"/>
                <w:szCs w:val="16"/>
              </w:rPr>
            </w:pPr>
            <w:r w:rsidRPr="004E3242">
              <w:rPr>
                <w:rFonts w:ascii="Arial" w:hAnsi="Arial" w:cs="Arial"/>
                <w:sz w:val="16"/>
                <w:szCs w:val="16"/>
              </w:rPr>
              <w:t>07</w:t>
            </w:r>
          </w:p>
        </w:tc>
        <w:tc>
          <w:tcPr>
            <w:tcW w:w="833" w:type="pct"/>
            <w:shd w:val="clear" w:color="auto" w:fill="F2F2F2"/>
          </w:tcPr>
          <w:p w14:paraId="58023D1E" w14:textId="77777777" w:rsidR="00C7477C" w:rsidRPr="004E3242" w:rsidRDefault="00C7477C" w:rsidP="006D469A">
            <w:pPr>
              <w:spacing w:before="20" w:after="20" w:line="240" w:lineRule="auto"/>
              <w:jc w:val="center"/>
              <w:rPr>
                <w:rFonts w:ascii="Arial" w:hAnsi="Arial" w:cs="Arial"/>
                <w:bCs/>
                <w:sz w:val="16"/>
                <w:szCs w:val="16"/>
              </w:rPr>
            </w:pPr>
            <w:r w:rsidRPr="00470A12">
              <w:rPr>
                <w:rFonts w:ascii="Arial" w:hAnsi="Arial" w:cs="Arial"/>
                <w:bCs/>
                <w:sz w:val="16"/>
                <w:szCs w:val="16"/>
              </w:rPr>
              <w:t>327 000 000</w:t>
            </w:r>
          </w:p>
        </w:tc>
        <w:tc>
          <w:tcPr>
            <w:tcW w:w="133" w:type="pct"/>
            <w:shd w:val="clear" w:color="auto" w:fill="FFFFFF"/>
          </w:tcPr>
          <w:p w14:paraId="68EF96A4" w14:textId="77777777" w:rsidR="00C7477C" w:rsidRPr="004E3242" w:rsidRDefault="00C7477C" w:rsidP="006D469A">
            <w:pPr>
              <w:suppressAutoHyphens/>
              <w:spacing w:before="20" w:after="20" w:line="240" w:lineRule="auto"/>
              <w:jc w:val="center"/>
              <w:rPr>
                <w:rFonts w:ascii="Arial" w:hAnsi="Arial" w:cs="Arial"/>
                <w:sz w:val="16"/>
                <w:szCs w:val="16"/>
              </w:rPr>
            </w:pPr>
          </w:p>
        </w:tc>
      </w:tr>
      <w:tr w:rsidR="00C7477C" w:rsidRPr="004E3242" w14:paraId="433C3453" w14:textId="77777777" w:rsidTr="006D469A">
        <w:trPr>
          <w:cantSplit/>
          <w:tblHeader/>
        </w:trPr>
        <w:tc>
          <w:tcPr>
            <w:tcW w:w="606" w:type="pct"/>
            <w:shd w:val="clear" w:color="auto" w:fill="F2F2F2"/>
            <w:vAlign w:val="center"/>
          </w:tcPr>
          <w:p w14:paraId="386A5AC4" w14:textId="77777777" w:rsidR="00C7477C" w:rsidRPr="004E3242" w:rsidRDefault="00C7477C" w:rsidP="006D469A">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122</w:t>
            </w:r>
          </w:p>
        </w:tc>
        <w:tc>
          <w:tcPr>
            <w:tcW w:w="1009" w:type="pct"/>
            <w:shd w:val="clear" w:color="auto" w:fill="F2F2F2"/>
            <w:vAlign w:val="center"/>
          </w:tcPr>
          <w:p w14:paraId="6328D4DD" w14:textId="77777777" w:rsidR="00C7477C" w:rsidRDefault="00C7477C" w:rsidP="006D469A">
            <w:pPr>
              <w:spacing w:before="20" w:after="20" w:line="240" w:lineRule="auto"/>
              <w:jc w:val="center"/>
              <w:rPr>
                <w:rFonts w:ascii="Arial" w:hAnsi="Arial" w:cs="Arial"/>
                <w:color w:val="000000"/>
                <w:sz w:val="16"/>
                <w:szCs w:val="16"/>
              </w:rPr>
            </w:pPr>
          </w:p>
          <w:p w14:paraId="307AFCF3" w14:textId="77777777" w:rsidR="00C7477C" w:rsidRPr="004E3242" w:rsidRDefault="00C7477C" w:rsidP="006D469A">
            <w:pPr>
              <w:spacing w:before="20" w:after="20" w:line="240" w:lineRule="auto"/>
              <w:jc w:val="center"/>
              <w:rPr>
                <w:rFonts w:ascii="Arial" w:hAnsi="Arial" w:cs="Arial"/>
                <w:color w:val="000000"/>
                <w:sz w:val="16"/>
                <w:szCs w:val="16"/>
              </w:rPr>
            </w:pPr>
            <w:r w:rsidRPr="00470A12">
              <w:rPr>
                <w:rFonts w:ascii="Arial" w:hAnsi="Arial" w:cs="Arial"/>
                <w:color w:val="000000"/>
                <w:sz w:val="16"/>
                <w:szCs w:val="16"/>
              </w:rPr>
              <w:t>2 000 000</w:t>
            </w:r>
          </w:p>
        </w:tc>
        <w:tc>
          <w:tcPr>
            <w:tcW w:w="202" w:type="pct"/>
            <w:shd w:val="clear" w:color="auto" w:fill="FFFFFF"/>
          </w:tcPr>
          <w:p w14:paraId="7946C7DF" w14:textId="77777777" w:rsidR="00C7477C" w:rsidRPr="004E3242" w:rsidRDefault="00C7477C" w:rsidP="006D469A">
            <w:pPr>
              <w:spacing w:before="20" w:after="20" w:line="240" w:lineRule="auto"/>
              <w:jc w:val="center"/>
              <w:rPr>
                <w:rFonts w:ascii="Arial" w:hAnsi="Arial" w:cs="Arial"/>
                <w:b/>
                <w:color w:val="FFFFFF"/>
                <w:sz w:val="16"/>
                <w:szCs w:val="16"/>
              </w:rPr>
            </w:pPr>
          </w:p>
        </w:tc>
        <w:tc>
          <w:tcPr>
            <w:tcW w:w="604" w:type="pct"/>
            <w:gridSpan w:val="2"/>
            <w:shd w:val="clear" w:color="auto" w:fill="D6E3BC"/>
            <w:vAlign w:val="center"/>
          </w:tcPr>
          <w:p w14:paraId="2B6EAECC"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807" w:type="pct"/>
            <w:gridSpan w:val="2"/>
            <w:shd w:val="clear" w:color="auto" w:fill="D6E3BC"/>
            <w:vAlign w:val="center"/>
          </w:tcPr>
          <w:p w14:paraId="50349A74" w14:textId="77777777" w:rsidR="00C7477C" w:rsidRPr="004E3242" w:rsidRDefault="00C7477C" w:rsidP="006D469A">
            <w:pPr>
              <w:spacing w:before="20" w:after="20" w:line="240" w:lineRule="auto"/>
              <w:jc w:val="center"/>
              <w:rPr>
                <w:rFonts w:ascii="Arial" w:hAnsi="Arial" w:cs="Arial"/>
                <w:sz w:val="16"/>
                <w:szCs w:val="16"/>
              </w:rPr>
            </w:pPr>
            <w:r w:rsidRPr="00470A12">
              <w:rPr>
                <w:rFonts w:ascii="Arial" w:hAnsi="Arial" w:cs="Arial"/>
                <w:sz w:val="16"/>
                <w:szCs w:val="16"/>
              </w:rPr>
              <w:t>327 000 000</w:t>
            </w:r>
          </w:p>
        </w:tc>
        <w:tc>
          <w:tcPr>
            <w:tcW w:w="201" w:type="pct"/>
            <w:shd w:val="clear" w:color="auto" w:fill="FFFFFF"/>
          </w:tcPr>
          <w:p w14:paraId="0D1645E3" w14:textId="77777777" w:rsidR="00C7477C" w:rsidRPr="004E3242" w:rsidRDefault="00C7477C" w:rsidP="006D469A">
            <w:pPr>
              <w:spacing w:before="20" w:after="20" w:line="240" w:lineRule="auto"/>
              <w:jc w:val="center"/>
              <w:rPr>
                <w:rFonts w:ascii="Arial" w:hAnsi="Arial" w:cs="Arial"/>
                <w:b/>
                <w:color w:val="FFFFFF"/>
                <w:sz w:val="16"/>
                <w:szCs w:val="16"/>
              </w:rPr>
            </w:pPr>
          </w:p>
        </w:tc>
        <w:tc>
          <w:tcPr>
            <w:tcW w:w="606" w:type="pct"/>
            <w:shd w:val="clear" w:color="auto" w:fill="D6E3BC"/>
            <w:vAlign w:val="center"/>
          </w:tcPr>
          <w:p w14:paraId="2A83BE9A"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833" w:type="pct"/>
            <w:shd w:val="clear" w:color="auto" w:fill="D6E3BC"/>
            <w:vAlign w:val="center"/>
          </w:tcPr>
          <w:p w14:paraId="1B33E912" w14:textId="77777777" w:rsidR="00C7477C" w:rsidRPr="004E3242" w:rsidRDefault="00C7477C" w:rsidP="006D469A">
            <w:pPr>
              <w:spacing w:before="20" w:after="20" w:line="240" w:lineRule="auto"/>
              <w:jc w:val="center"/>
              <w:rPr>
                <w:rFonts w:ascii="Arial" w:hAnsi="Arial" w:cs="Arial"/>
                <w:sz w:val="16"/>
                <w:szCs w:val="16"/>
              </w:rPr>
            </w:pPr>
            <w:r w:rsidRPr="00470A12">
              <w:rPr>
                <w:rFonts w:ascii="Arial" w:hAnsi="Arial" w:cs="Arial"/>
                <w:sz w:val="16"/>
                <w:szCs w:val="16"/>
              </w:rPr>
              <w:t>327 000 000</w:t>
            </w:r>
          </w:p>
        </w:tc>
        <w:tc>
          <w:tcPr>
            <w:tcW w:w="133" w:type="pct"/>
            <w:shd w:val="clear" w:color="auto" w:fill="FFFFFF"/>
          </w:tcPr>
          <w:p w14:paraId="31812A30" w14:textId="77777777" w:rsidR="00C7477C" w:rsidRPr="004E3242" w:rsidRDefault="00C7477C" w:rsidP="006D469A">
            <w:pPr>
              <w:spacing w:before="20" w:after="20" w:line="240" w:lineRule="auto"/>
              <w:jc w:val="center"/>
              <w:rPr>
                <w:rFonts w:ascii="Arial" w:hAnsi="Arial" w:cs="Arial"/>
                <w:b/>
                <w:color w:val="FFFFFF"/>
                <w:sz w:val="16"/>
                <w:szCs w:val="16"/>
              </w:rPr>
            </w:pPr>
          </w:p>
        </w:tc>
      </w:tr>
      <w:tr w:rsidR="00C7477C" w:rsidRPr="004E3242" w14:paraId="3564519E" w14:textId="77777777" w:rsidTr="006D469A">
        <w:trPr>
          <w:gridAfter w:val="5"/>
          <w:wAfter w:w="1937" w:type="pct"/>
          <w:cantSplit/>
          <w:tblHeader/>
        </w:trPr>
        <w:tc>
          <w:tcPr>
            <w:tcW w:w="606" w:type="pct"/>
            <w:shd w:val="clear" w:color="auto" w:fill="F2F2F2"/>
            <w:vAlign w:val="center"/>
          </w:tcPr>
          <w:p w14:paraId="77B03987" w14:textId="77777777" w:rsidR="00C7477C" w:rsidRPr="004E3242" w:rsidRDefault="00C7477C" w:rsidP="006D469A">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123</w:t>
            </w:r>
          </w:p>
        </w:tc>
        <w:tc>
          <w:tcPr>
            <w:tcW w:w="1009" w:type="pct"/>
            <w:shd w:val="clear" w:color="auto" w:fill="F2F2F2"/>
            <w:vAlign w:val="center"/>
          </w:tcPr>
          <w:p w14:paraId="3E9BE708" w14:textId="77777777" w:rsidR="00C7477C" w:rsidRDefault="00C7477C" w:rsidP="006D469A">
            <w:pPr>
              <w:spacing w:before="20" w:after="20" w:line="240" w:lineRule="auto"/>
              <w:jc w:val="center"/>
              <w:rPr>
                <w:rFonts w:ascii="Arial" w:hAnsi="Arial" w:cs="Arial"/>
                <w:color w:val="000000"/>
                <w:sz w:val="16"/>
                <w:szCs w:val="16"/>
              </w:rPr>
            </w:pPr>
          </w:p>
          <w:p w14:paraId="7DFAE276" w14:textId="77777777" w:rsidR="00C7477C" w:rsidRPr="004E3242" w:rsidRDefault="00C7477C" w:rsidP="006D469A">
            <w:pPr>
              <w:spacing w:before="20" w:after="20" w:line="240" w:lineRule="auto"/>
              <w:jc w:val="center"/>
              <w:rPr>
                <w:rFonts w:ascii="Arial" w:hAnsi="Arial" w:cs="Arial"/>
                <w:color w:val="000000"/>
                <w:sz w:val="16"/>
                <w:szCs w:val="16"/>
              </w:rPr>
            </w:pPr>
            <w:r w:rsidRPr="00470A12">
              <w:rPr>
                <w:rFonts w:ascii="Arial" w:hAnsi="Arial" w:cs="Arial"/>
                <w:color w:val="000000"/>
                <w:sz w:val="16"/>
                <w:szCs w:val="16"/>
              </w:rPr>
              <w:t>7 475 543</w:t>
            </w:r>
          </w:p>
        </w:tc>
        <w:tc>
          <w:tcPr>
            <w:tcW w:w="202" w:type="pct"/>
            <w:shd w:val="clear" w:color="auto" w:fill="FFFFFF"/>
          </w:tcPr>
          <w:p w14:paraId="1CCED0CA" w14:textId="77777777" w:rsidR="00C7477C" w:rsidRPr="004E3242" w:rsidRDefault="00C7477C" w:rsidP="006D469A">
            <w:pPr>
              <w:spacing w:before="20" w:after="20" w:line="240" w:lineRule="auto"/>
              <w:jc w:val="center"/>
              <w:rPr>
                <w:rFonts w:ascii="Arial" w:hAnsi="Arial" w:cs="Arial"/>
                <w:sz w:val="16"/>
                <w:szCs w:val="16"/>
              </w:rPr>
            </w:pPr>
          </w:p>
        </w:tc>
        <w:tc>
          <w:tcPr>
            <w:tcW w:w="168" w:type="pct"/>
            <w:shd w:val="clear" w:color="auto" w:fill="FFFFFF"/>
          </w:tcPr>
          <w:p w14:paraId="452C9C0A" w14:textId="77777777" w:rsidR="00C7477C" w:rsidRPr="004E3242" w:rsidRDefault="00C7477C" w:rsidP="006D469A">
            <w:pPr>
              <w:spacing w:before="20" w:after="20" w:line="240" w:lineRule="auto"/>
              <w:jc w:val="center"/>
              <w:rPr>
                <w:rFonts w:ascii="Arial" w:hAnsi="Arial" w:cs="Arial"/>
                <w:sz w:val="16"/>
                <w:szCs w:val="16"/>
              </w:rPr>
            </w:pPr>
          </w:p>
        </w:tc>
        <w:tc>
          <w:tcPr>
            <w:tcW w:w="1078" w:type="pct"/>
            <w:gridSpan w:val="2"/>
            <w:shd w:val="clear" w:color="auto" w:fill="FFFFFF"/>
          </w:tcPr>
          <w:p w14:paraId="5B6B107C" w14:textId="77777777" w:rsidR="00C7477C" w:rsidRPr="004E3242" w:rsidRDefault="00C7477C" w:rsidP="006D469A">
            <w:pPr>
              <w:spacing w:before="20" w:after="20" w:line="240" w:lineRule="auto"/>
              <w:jc w:val="center"/>
              <w:rPr>
                <w:rFonts w:ascii="Arial" w:hAnsi="Arial" w:cs="Arial"/>
                <w:sz w:val="16"/>
                <w:szCs w:val="16"/>
              </w:rPr>
            </w:pPr>
          </w:p>
        </w:tc>
      </w:tr>
      <w:tr w:rsidR="00C7477C" w:rsidRPr="004E3242" w14:paraId="17E84308" w14:textId="77777777" w:rsidTr="006D469A">
        <w:trPr>
          <w:gridAfter w:val="5"/>
          <w:wAfter w:w="1937" w:type="pct"/>
          <w:cantSplit/>
          <w:tblHeader/>
        </w:trPr>
        <w:tc>
          <w:tcPr>
            <w:tcW w:w="606" w:type="pct"/>
            <w:shd w:val="clear" w:color="auto" w:fill="D6E3BC"/>
          </w:tcPr>
          <w:p w14:paraId="649BFBCE" w14:textId="77777777" w:rsidR="00C7477C" w:rsidRPr="004E3242" w:rsidRDefault="00C7477C" w:rsidP="006D469A">
            <w:pPr>
              <w:spacing w:before="20" w:after="20" w:line="240" w:lineRule="auto"/>
              <w:jc w:val="center"/>
              <w:rPr>
                <w:rFonts w:ascii="Arial" w:hAnsi="Arial" w:cs="Arial"/>
                <w:sz w:val="16"/>
                <w:szCs w:val="16"/>
              </w:rPr>
            </w:pPr>
            <w:r w:rsidRPr="004E3242">
              <w:rPr>
                <w:rFonts w:ascii="Arial" w:hAnsi="Arial" w:cs="Arial"/>
                <w:sz w:val="16"/>
                <w:szCs w:val="16"/>
              </w:rPr>
              <w:t>Razem</w:t>
            </w:r>
          </w:p>
        </w:tc>
        <w:tc>
          <w:tcPr>
            <w:tcW w:w="1009" w:type="pct"/>
            <w:shd w:val="clear" w:color="auto" w:fill="D6E3BC"/>
          </w:tcPr>
          <w:p w14:paraId="4F17ECC5" w14:textId="77777777" w:rsidR="00C7477C" w:rsidRPr="004E3242" w:rsidRDefault="00C7477C" w:rsidP="006D469A">
            <w:pPr>
              <w:spacing w:before="20" w:after="20" w:line="240" w:lineRule="auto"/>
              <w:jc w:val="center"/>
              <w:rPr>
                <w:rFonts w:ascii="Arial" w:hAnsi="Arial" w:cs="Arial"/>
                <w:sz w:val="16"/>
                <w:szCs w:val="16"/>
              </w:rPr>
            </w:pPr>
            <w:r w:rsidRPr="00470A12">
              <w:rPr>
                <w:rFonts w:ascii="Arial" w:hAnsi="Arial" w:cs="Arial"/>
                <w:sz w:val="16"/>
                <w:szCs w:val="16"/>
              </w:rPr>
              <w:t>327 000 000</w:t>
            </w:r>
          </w:p>
        </w:tc>
        <w:tc>
          <w:tcPr>
            <w:tcW w:w="202" w:type="pct"/>
            <w:shd w:val="clear" w:color="auto" w:fill="FFFFFF"/>
          </w:tcPr>
          <w:p w14:paraId="63E320B9" w14:textId="77777777" w:rsidR="00C7477C" w:rsidRPr="004E3242" w:rsidRDefault="00C7477C" w:rsidP="006D469A">
            <w:pPr>
              <w:spacing w:before="20" w:after="20" w:line="240" w:lineRule="auto"/>
              <w:jc w:val="center"/>
              <w:rPr>
                <w:rFonts w:ascii="Arial" w:hAnsi="Arial" w:cs="Arial"/>
                <w:sz w:val="16"/>
                <w:szCs w:val="16"/>
              </w:rPr>
            </w:pPr>
          </w:p>
        </w:tc>
        <w:tc>
          <w:tcPr>
            <w:tcW w:w="168" w:type="pct"/>
            <w:shd w:val="clear" w:color="auto" w:fill="FFFFFF"/>
          </w:tcPr>
          <w:p w14:paraId="1B6B4D46" w14:textId="77777777" w:rsidR="00C7477C" w:rsidRPr="004E3242" w:rsidRDefault="00C7477C" w:rsidP="006D469A">
            <w:pPr>
              <w:spacing w:before="20" w:after="20" w:line="240" w:lineRule="auto"/>
              <w:jc w:val="center"/>
              <w:rPr>
                <w:rFonts w:ascii="Arial" w:hAnsi="Arial" w:cs="Arial"/>
                <w:sz w:val="16"/>
                <w:szCs w:val="16"/>
              </w:rPr>
            </w:pPr>
          </w:p>
        </w:tc>
        <w:tc>
          <w:tcPr>
            <w:tcW w:w="1078" w:type="pct"/>
            <w:gridSpan w:val="2"/>
            <w:shd w:val="clear" w:color="auto" w:fill="FFFFFF"/>
          </w:tcPr>
          <w:p w14:paraId="7E8037C3" w14:textId="77777777" w:rsidR="00C7477C" w:rsidRPr="004E3242" w:rsidRDefault="00C7477C" w:rsidP="006D469A">
            <w:pPr>
              <w:spacing w:before="20" w:after="20" w:line="240" w:lineRule="auto"/>
              <w:jc w:val="center"/>
              <w:rPr>
                <w:rFonts w:ascii="Arial" w:hAnsi="Arial" w:cs="Arial"/>
                <w:sz w:val="16"/>
                <w:szCs w:val="16"/>
              </w:rPr>
            </w:pPr>
          </w:p>
        </w:tc>
      </w:tr>
    </w:tbl>
    <w:p w14:paraId="446041E1" w14:textId="77777777" w:rsidR="00C7477C" w:rsidRPr="004E3242" w:rsidRDefault="00C7477C" w:rsidP="00C7477C">
      <w:pPr>
        <w:rPr>
          <w:rFonts w:ascii="Arial" w:hAnsi="Arial" w:cs="Arial"/>
          <w:sz w:val="20"/>
          <w:szCs w:val="20"/>
        </w:rPr>
      </w:pPr>
    </w:p>
    <w:p w14:paraId="3BCC2284" w14:textId="77777777" w:rsidR="004E3242" w:rsidRPr="00C7477C" w:rsidRDefault="00C7477C" w:rsidP="00C7477C">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453" w:name="_Toc83810572"/>
      <w:bookmarkEnd w:id="451"/>
      <w:r w:rsidRPr="00C7477C">
        <w:rPr>
          <w:rFonts w:ascii="Arial" w:hAnsi="Arial"/>
          <w:smallCaps/>
          <w:color w:val="000000"/>
          <w:spacing w:val="15"/>
          <w:sz w:val="24"/>
          <w:szCs w:val="24"/>
          <w:u w:color="A8C743"/>
          <w:lang w:eastAsia="pl-PL"/>
        </w:rPr>
        <w:t>Oś priorytetowa X</w:t>
      </w:r>
      <w:r>
        <w:rPr>
          <w:rFonts w:ascii="Arial" w:hAnsi="Arial"/>
          <w:smallCaps/>
          <w:color w:val="000000"/>
          <w:spacing w:val="15"/>
          <w:sz w:val="24"/>
          <w:szCs w:val="24"/>
          <w:u w:color="A8C743"/>
          <w:lang w:eastAsia="pl-PL"/>
        </w:rPr>
        <w:t>I</w:t>
      </w:r>
      <w:r w:rsidRPr="00C7477C">
        <w:rPr>
          <w:rFonts w:ascii="Arial" w:hAnsi="Arial"/>
          <w:smallCaps/>
          <w:color w:val="000000"/>
          <w:spacing w:val="15"/>
          <w:sz w:val="24"/>
          <w:szCs w:val="24"/>
          <w:u w:color="A8C743"/>
          <w:lang w:eastAsia="pl-PL"/>
        </w:rPr>
        <w:t xml:space="preserve">: </w:t>
      </w:r>
      <w:r w:rsidRPr="00C7477C">
        <w:rPr>
          <w:rFonts w:ascii="Arial" w:hAnsi="Arial" w:cs="Arial"/>
          <w:sz w:val="20"/>
          <w:szCs w:val="20"/>
        </w:rPr>
        <w:t>REACT-E</w:t>
      </w:r>
      <w:r>
        <w:rPr>
          <w:rFonts w:ascii="Arial" w:hAnsi="Arial" w:cs="Arial"/>
          <w:sz w:val="20"/>
          <w:szCs w:val="20"/>
        </w:rPr>
        <w:t>U</w:t>
      </w:r>
      <w:bookmarkEnd w:id="453"/>
    </w:p>
    <w:p w14:paraId="2154EA43" w14:textId="454958A2" w:rsidR="00ED5233" w:rsidRPr="004E3242" w:rsidRDefault="00ED5233" w:rsidP="00ED5233">
      <w:pPr>
        <w:spacing w:before="120" w:after="120"/>
        <w:jc w:val="both"/>
        <w:rPr>
          <w:rFonts w:ascii="Arial" w:hAnsi="Arial" w:cs="Arial"/>
          <w:spacing w:val="4"/>
          <w:sz w:val="20"/>
          <w:szCs w:val="20"/>
        </w:rPr>
      </w:pPr>
      <w:r>
        <w:rPr>
          <w:rFonts w:ascii="Arial" w:hAnsi="Arial" w:cs="Arial"/>
          <w:spacing w:val="4"/>
          <w:sz w:val="20"/>
          <w:szCs w:val="20"/>
        </w:rPr>
        <w:t>Oś</w:t>
      </w:r>
      <w:r w:rsidRPr="004E3242">
        <w:rPr>
          <w:rFonts w:ascii="Arial" w:hAnsi="Arial" w:cs="Arial"/>
          <w:spacing w:val="4"/>
          <w:sz w:val="20"/>
          <w:szCs w:val="20"/>
        </w:rPr>
        <w:t xml:space="preserve"> priorytetowa jest przeznaczona do finansowania wyłącznie z jednego funduszu (tj.</w:t>
      </w:r>
      <w:r w:rsidR="00A065EA">
        <w:rPr>
          <w:rFonts w:ascii="Arial" w:hAnsi="Arial" w:cs="Arial"/>
          <w:spacing w:val="4"/>
          <w:sz w:val="20"/>
          <w:szCs w:val="20"/>
        </w:rPr>
        <w:t> </w:t>
      </w:r>
      <w:r w:rsidRPr="004E3242">
        <w:rPr>
          <w:rFonts w:ascii="Arial" w:hAnsi="Arial" w:cs="Arial"/>
          <w:spacing w:val="4"/>
          <w:sz w:val="20"/>
          <w:szCs w:val="20"/>
        </w:rPr>
        <w:t xml:space="preserve">Europejskiego Funduszu Rozwoju Regionalnego) i obejmuje zakresem interwencji cel </w:t>
      </w:r>
      <w:r w:rsidRPr="004E3242">
        <w:rPr>
          <w:rFonts w:ascii="Arial" w:hAnsi="Arial" w:cs="Arial"/>
          <w:spacing w:val="4"/>
          <w:sz w:val="20"/>
          <w:szCs w:val="20"/>
        </w:rPr>
        <w:lastRenderedPageBreak/>
        <w:t xml:space="preserve">tematyczny </w:t>
      </w:r>
      <w:r w:rsidRPr="00ED5233">
        <w:rPr>
          <w:rFonts w:ascii="Arial" w:hAnsi="Arial" w:cs="Arial"/>
          <w:spacing w:val="4"/>
          <w:sz w:val="20"/>
          <w:szCs w:val="20"/>
        </w:rPr>
        <w:t xml:space="preserve">„Wspieranie kryzysowych działań naprawczych w kontekście pandemii COVID-19 i </w:t>
      </w:r>
      <w:r w:rsidR="005E71C7" w:rsidRPr="005E71C7">
        <w:rPr>
          <w:rFonts w:ascii="Arial" w:hAnsi="Arial" w:cs="Arial"/>
          <w:spacing w:val="4"/>
          <w:sz w:val="20"/>
          <w:szCs w:val="20"/>
        </w:rPr>
        <w:t xml:space="preserve">jej skutków społecznych oraz </w:t>
      </w:r>
      <w:r w:rsidRPr="00ED5233">
        <w:rPr>
          <w:rFonts w:ascii="Arial" w:hAnsi="Arial" w:cs="Arial"/>
          <w:spacing w:val="4"/>
          <w:sz w:val="20"/>
          <w:szCs w:val="20"/>
        </w:rPr>
        <w:t>przygotowani</w:t>
      </w:r>
      <w:r w:rsidR="005E71C7">
        <w:rPr>
          <w:rFonts w:ascii="Arial" w:hAnsi="Arial" w:cs="Arial"/>
          <w:spacing w:val="4"/>
          <w:sz w:val="20"/>
          <w:szCs w:val="20"/>
        </w:rPr>
        <w:t>e</w:t>
      </w:r>
      <w:r w:rsidRPr="00ED5233">
        <w:rPr>
          <w:rFonts w:ascii="Arial" w:hAnsi="Arial" w:cs="Arial"/>
          <w:spacing w:val="4"/>
          <w:sz w:val="20"/>
          <w:szCs w:val="20"/>
        </w:rPr>
        <w:t xml:space="preserve"> do ekologicznej i cyfrowej odbudowy gospodarki zwiększającej jej odporność”</w:t>
      </w:r>
      <w:r w:rsidRPr="004E3242">
        <w:rPr>
          <w:rFonts w:ascii="Arial" w:hAnsi="Arial" w:cs="Arial"/>
          <w:spacing w:val="4"/>
          <w:sz w:val="20"/>
          <w:szCs w:val="20"/>
        </w:rPr>
        <w:t xml:space="preserve">. </w:t>
      </w:r>
      <w:r w:rsidR="00BE12C4">
        <w:rPr>
          <w:rFonts w:ascii="Arial" w:hAnsi="Arial" w:cs="Arial"/>
          <w:spacing w:val="4"/>
          <w:sz w:val="20"/>
          <w:szCs w:val="20"/>
        </w:rPr>
        <w:t xml:space="preserve">Z uwagi na finansowanie osi z zasobów REACT-EU </w:t>
      </w:r>
      <w:r w:rsidR="00BE12C4" w:rsidRPr="004E3242">
        <w:rPr>
          <w:rFonts w:ascii="Arial" w:hAnsi="Arial" w:cs="Arial"/>
          <w:sz w:val="20"/>
          <w:szCs w:val="20"/>
        </w:rPr>
        <w:t>nie wyodr</w:t>
      </w:r>
      <w:r w:rsidR="00BE12C4">
        <w:rPr>
          <w:rFonts w:ascii="Arial" w:hAnsi="Arial" w:cs="Arial"/>
          <w:sz w:val="20"/>
          <w:szCs w:val="20"/>
        </w:rPr>
        <w:t>ę</w:t>
      </w:r>
      <w:r w:rsidR="00BE12C4" w:rsidRPr="004E3242">
        <w:rPr>
          <w:rFonts w:ascii="Arial" w:hAnsi="Arial" w:cs="Arial"/>
          <w:sz w:val="20"/>
          <w:szCs w:val="20"/>
        </w:rPr>
        <w:t>bniono kategorii regionów (tj. regionów lepiej i</w:t>
      </w:r>
      <w:r w:rsidR="00A065EA">
        <w:rPr>
          <w:rFonts w:ascii="Arial" w:hAnsi="Arial" w:cs="Arial"/>
          <w:sz w:val="20"/>
          <w:szCs w:val="20"/>
        </w:rPr>
        <w:t> </w:t>
      </w:r>
      <w:r w:rsidR="00BE12C4" w:rsidRPr="004E3242">
        <w:rPr>
          <w:rFonts w:ascii="Arial" w:hAnsi="Arial" w:cs="Arial"/>
          <w:sz w:val="20"/>
          <w:szCs w:val="20"/>
        </w:rPr>
        <w:t>słabiej rozwiniętych), pomimo że oś swym zasięgiem obejmuje cały kraj.</w:t>
      </w:r>
    </w:p>
    <w:p w14:paraId="51ABCAAE" w14:textId="77777777" w:rsidR="00ED5233" w:rsidRDefault="00ED5233" w:rsidP="00ED5233">
      <w:pPr>
        <w:spacing w:after="120"/>
        <w:jc w:val="both"/>
        <w:rPr>
          <w:rFonts w:ascii="Arial" w:hAnsi="Arial" w:cs="Arial"/>
          <w:sz w:val="20"/>
          <w:szCs w:val="20"/>
        </w:rPr>
      </w:pPr>
    </w:p>
    <w:p w14:paraId="468B53D8" w14:textId="77777777" w:rsidR="00ED5233" w:rsidRPr="00A90D76" w:rsidRDefault="0009525F" w:rsidP="00AD7D71">
      <w:pPr>
        <w:keepLines/>
        <w:pBdr>
          <w:bottom w:val="single" w:sz="4" w:space="1" w:color="669900"/>
        </w:pBdr>
        <w:spacing w:before="360" w:after="240" w:line="240" w:lineRule="auto"/>
        <w:jc w:val="both"/>
        <w:rPr>
          <w:rFonts w:ascii="Arial" w:eastAsia="Times New Roman" w:hAnsi="Arial"/>
          <w:smallCaps/>
          <w:color w:val="669900"/>
          <w:spacing w:val="4"/>
          <w:sz w:val="24"/>
          <w:szCs w:val="24"/>
          <w:lang w:eastAsia="pl-PL"/>
        </w:rPr>
      </w:pPr>
      <w:r w:rsidRPr="00871E70">
        <w:rPr>
          <w:rFonts w:ascii="Arial" w:eastAsia="Times New Roman" w:hAnsi="Arial"/>
          <w:smallCaps/>
          <w:color w:val="669900"/>
          <w:spacing w:val="4"/>
          <w:sz w:val="24"/>
          <w:szCs w:val="24"/>
          <w:lang w:eastAsia="pl-PL"/>
        </w:rPr>
        <w:t xml:space="preserve">CEL </w:t>
      </w:r>
      <w:r w:rsidRPr="00871E70">
        <w:rPr>
          <w:rFonts w:ascii="Arial" w:eastAsia="Times New Roman" w:hAnsi="Arial"/>
          <w:smallCaps/>
          <w:color w:val="669900"/>
          <w:spacing w:val="10"/>
          <w:sz w:val="24"/>
          <w:szCs w:val="24"/>
          <w:lang w:eastAsia="pl-PL"/>
        </w:rPr>
        <w:t>TEMATYCZNY</w:t>
      </w:r>
      <w:r w:rsidR="00DB7886">
        <w:rPr>
          <w:rFonts w:ascii="Arial" w:eastAsia="Times New Roman" w:hAnsi="Arial"/>
          <w:smallCaps/>
          <w:color w:val="669900"/>
          <w:spacing w:val="10"/>
          <w:sz w:val="24"/>
          <w:szCs w:val="24"/>
          <w:lang w:eastAsia="pl-PL"/>
        </w:rPr>
        <w:t>/PRORYTET INWESTYCYJNY</w:t>
      </w:r>
      <w:r>
        <w:rPr>
          <w:rFonts w:ascii="Arial" w:eastAsia="Times New Roman" w:hAnsi="Arial"/>
          <w:smallCaps/>
          <w:color w:val="669900"/>
          <w:spacing w:val="4"/>
          <w:sz w:val="24"/>
          <w:szCs w:val="24"/>
          <w:lang w:eastAsia="pl-PL"/>
        </w:rPr>
        <w:t xml:space="preserve"> </w:t>
      </w:r>
      <w:r w:rsidR="00ED5233" w:rsidRPr="0009525F">
        <w:rPr>
          <w:rFonts w:ascii="Arial" w:eastAsia="Times New Roman" w:hAnsi="Arial"/>
          <w:smallCaps/>
          <w:color w:val="669900"/>
          <w:spacing w:val="10"/>
          <w:sz w:val="24"/>
          <w:szCs w:val="24"/>
          <w:lang w:eastAsia="pl-PL"/>
        </w:rPr>
        <w:t xml:space="preserve">„Wspieranie kryzysowych działań naprawczych w kontekście pandemii </w:t>
      </w:r>
      <w:r w:rsidR="00AD7D71" w:rsidRPr="0009525F">
        <w:rPr>
          <w:rFonts w:ascii="Arial" w:eastAsia="Times New Roman" w:hAnsi="Arial"/>
          <w:smallCaps/>
          <w:color w:val="669900"/>
          <w:spacing w:val="10"/>
          <w:sz w:val="24"/>
          <w:szCs w:val="24"/>
          <w:lang w:eastAsia="pl-PL"/>
        </w:rPr>
        <w:t xml:space="preserve">COVID-19 </w:t>
      </w:r>
      <w:r w:rsidR="00ED5233" w:rsidRPr="0009525F">
        <w:rPr>
          <w:rFonts w:ascii="Arial" w:eastAsia="Times New Roman" w:hAnsi="Arial"/>
          <w:smallCaps/>
          <w:color w:val="669900"/>
          <w:spacing w:val="10"/>
          <w:sz w:val="24"/>
          <w:szCs w:val="24"/>
          <w:lang w:eastAsia="pl-PL"/>
        </w:rPr>
        <w:t>i </w:t>
      </w:r>
      <w:r w:rsidR="00DB7886">
        <w:rPr>
          <w:rFonts w:ascii="Arial" w:eastAsia="Times New Roman" w:hAnsi="Arial"/>
          <w:smallCaps/>
          <w:color w:val="669900"/>
          <w:spacing w:val="10"/>
          <w:sz w:val="24"/>
          <w:szCs w:val="24"/>
          <w:lang w:eastAsia="pl-PL"/>
        </w:rPr>
        <w:t xml:space="preserve">jej skutków społecznych oraz </w:t>
      </w:r>
      <w:r w:rsidR="00ED5233" w:rsidRPr="0009525F">
        <w:rPr>
          <w:rFonts w:ascii="Arial" w:eastAsia="Times New Roman" w:hAnsi="Arial"/>
          <w:smallCaps/>
          <w:color w:val="669900"/>
          <w:spacing w:val="10"/>
          <w:sz w:val="24"/>
          <w:szCs w:val="24"/>
          <w:lang w:eastAsia="pl-PL"/>
        </w:rPr>
        <w:t>przygotowani</w:t>
      </w:r>
      <w:r w:rsidR="00DB7886">
        <w:rPr>
          <w:rFonts w:ascii="Arial" w:eastAsia="Times New Roman" w:hAnsi="Arial"/>
          <w:smallCaps/>
          <w:color w:val="669900"/>
          <w:spacing w:val="10"/>
          <w:sz w:val="24"/>
          <w:szCs w:val="24"/>
          <w:lang w:eastAsia="pl-PL"/>
        </w:rPr>
        <w:t>e</w:t>
      </w:r>
      <w:r w:rsidR="00ED5233" w:rsidRPr="0009525F">
        <w:rPr>
          <w:rFonts w:ascii="Arial" w:eastAsia="Times New Roman" w:hAnsi="Arial"/>
          <w:smallCaps/>
          <w:color w:val="669900"/>
          <w:spacing w:val="10"/>
          <w:sz w:val="24"/>
          <w:szCs w:val="24"/>
          <w:lang w:eastAsia="pl-PL"/>
        </w:rPr>
        <w:t xml:space="preserve"> do ekologicznej i cyfrowej odbudowy gospodarki zwiększającej jej odporność”</w:t>
      </w:r>
    </w:p>
    <w:p w14:paraId="6A1C6F1E" w14:textId="77777777" w:rsidR="005C1EA9" w:rsidRPr="005C1EA9" w:rsidRDefault="005C1EA9" w:rsidP="005C1EA9">
      <w:pPr>
        <w:spacing w:after="120"/>
        <w:jc w:val="both"/>
        <w:rPr>
          <w:rFonts w:ascii="Arial" w:hAnsi="Arial" w:cs="Arial"/>
          <w:sz w:val="20"/>
          <w:szCs w:val="20"/>
        </w:rPr>
      </w:pPr>
    </w:p>
    <w:p w14:paraId="5FDFB015" w14:textId="77777777" w:rsidR="005C1EA9" w:rsidRPr="0009525F" w:rsidRDefault="0009525F" w:rsidP="0009525F">
      <w:pPr>
        <w:spacing w:before="120" w:after="120"/>
        <w:jc w:val="both"/>
        <w:rPr>
          <w:rFonts w:ascii="Arial" w:hAnsi="Arial" w:cs="Arial"/>
          <w:bCs/>
          <w:smallCaps/>
          <w:color w:val="669900"/>
          <w:spacing w:val="4"/>
          <w:sz w:val="20"/>
          <w:szCs w:val="20"/>
        </w:rPr>
      </w:pPr>
      <w:r>
        <w:rPr>
          <w:rFonts w:ascii="Arial" w:hAnsi="Arial" w:cs="Arial"/>
          <w:bCs/>
          <w:smallCaps/>
          <w:color w:val="669900"/>
          <w:spacing w:val="4"/>
          <w:sz w:val="20"/>
          <w:szCs w:val="20"/>
        </w:rPr>
        <w:t>Cele szczegółowe</w:t>
      </w:r>
    </w:p>
    <w:p w14:paraId="2372FBD5" w14:textId="77777777" w:rsidR="003F5BD9" w:rsidRPr="003F5BD9" w:rsidRDefault="003F5BD9" w:rsidP="00F3502C">
      <w:pPr>
        <w:spacing w:after="120" w:line="280" w:lineRule="atLeast"/>
        <w:jc w:val="both"/>
        <w:rPr>
          <w:rFonts w:ascii="Arial" w:hAnsi="Arial" w:cs="Arial"/>
          <w:spacing w:val="4"/>
          <w:sz w:val="20"/>
          <w:szCs w:val="20"/>
        </w:rPr>
      </w:pPr>
      <w:r w:rsidRPr="003F5BD9">
        <w:rPr>
          <w:rFonts w:ascii="Arial" w:hAnsi="Arial" w:cs="Arial"/>
          <w:spacing w:val="4"/>
          <w:sz w:val="20"/>
          <w:szCs w:val="20"/>
        </w:rPr>
        <w:t>R</w:t>
      </w:r>
      <w:r w:rsidR="00F3502C" w:rsidRPr="003F5BD9">
        <w:rPr>
          <w:rFonts w:ascii="Arial" w:hAnsi="Arial" w:cs="Arial"/>
          <w:spacing w:val="4"/>
          <w:sz w:val="20"/>
          <w:szCs w:val="20"/>
        </w:rPr>
        <w:t>eagowani</w:t>
      </w:r>
      <w:r w:rsidRPr="003F5BD9">
        <w:rPr>
          <w:rFonts w:ascii="Arial" w:hAnsi="Arial" w:cs="Arial"/>
          <w:spacing w:val="4"/>
          <w:sz w:val="20"/>
          <w:szCs w:val="20"/>
        </w:rPr>
        <w:t>e</w:t>
      </w:r>
      <w:r w:rsidR="00F3502C" w:rsidRPr="003F5BD9">
        <w:rPr>
          <w:rFonts w:ascii="Arial" w:hAnsi="Arial" w:cs="Arial"/>
          <w:spacing w:val="4"/>
          <w:sz w:val="20"/>
          <w:szCs w:val="20"/>
        </w:rPr>
        <w:t xml:space="preserve"> na bezpośrednie i pośrednie skutki kryzysu </w:t>
      </w:r>
      <w:r w:rsidR="001F1E86">
        <w:rPr>
          <w:rFonts w:ascii="Arial" w:hAnsi="Arial" w:cs="Arial"/>
          <w:spacing w:val="4"/>
          <w:sz w:val="20"/>
          <w:szCs w:val="20"/>
        </w:rPr>
        <w:t>wywołanego wirusem SARS-CoV-2</w:t>
      </w:r>
      <w:r w:rsidR="001F1E86" w:rsidRPr="003F5BD9">
        <w:rPr>
          <w:rFonts w:ascii="Arial" w:hAnsi="Arial" w:cs="Arial"/>
          <w:spacing w:val="4"/>
          <w:sz w:val="20"/>
          <w:szCs w:val="20"/>
        </w:rPr>
        <w:t xml:space="preserve"> </w:t>
      </w:r>
      <w:r w:rsidR="001F1E86">
        <w:rPr>
          <w:rFonts w:ascii="Arial" w:hAnsi="Arial" w:cs="Arial"/>
          <w:spacing w:val="4"/>
          <w:sz w:val="20"/>
          <w:szCs w:val="20"/>
        </w:rPr>
        <w:t xml:space="preserve"> </w:t>
      </w:r>
      <w:r w:rsidRPr="003F5BD9">
        <w:rPr>
          <w:rFonts w:ascii="Arial" w:hAnsi="Arial" w:cs="Arial"/>
          <w:spacing w:val="4"/>
          <w:sz w:val="20"/>
          <w:szCs w:val="20"/>
        </w:rPr>
        <w:t>pop</w:t>
      </w:r>
      <w:r w:rsidR="00AD7D71">
        <w:rPr>
          <w:rFonts w:ascii="Arial" w:hAnsi="Arial" w:cs="Arial"/>
          <w:spacing w:val="4"/>
          <w:sz w:val="20"/>
          <w:szCs w:val="20"/>
        </w:rPr>
        <w:t>r</w:t>
      </w:r>
      <w:r w:rsidRPr="003F5BD9">
        <w:rPr>
          <w:rFonts w:ascii="Arial" w:hAnsi="Arial" w:cs="Arial"/>
          <w:spacing w:val="4"/>
          <w:sz w:val="20"/>
          <w:szCs w:val="20"/>
        </w:rPr>
        <w:t>zez:</w:t>
      </w:r>
    </w:p>
    <w:p w14:paraId="0D33EAEE" w14:textId="77777777" w:rsidR="003F5BD9" w:rsidRPr="004E45FD" w:rsidRDefault="004E45FD" w:rsidP="004E45FD">
      <w:pPr>
        <w:numPr>
          <w:ilvl w:val="0"/>
          <w:numId w:val="103"/>
        </w:numPr>
        <w:spacing w:after="120" w:line="280" w:lineRule="atLeast"/>
        <w:jc w:val="both"/>
        <w:rPr>
          <w:rFonts w:ascii="Arial" w:hAnsi="Arial" w:cs="Arial"/>
          <w:spacing w:val="4"/>
          <w:sz w:val="20"/>
          <w:szCs w:val="20"/>
        </w:rPr>
      </w:pPr>
      <w:r>
        <w:rPr>
          <w:rFonts w:ascii="Arial" w:hAnsi="Arial" w:cs="Arial"/>
          <w:spacing w:val="4"/>
          <w:sz w:val="20"/>
          <w:szCs w:val="20"/>
        </w:rPr>
        <w:t>wzmocnienie zdolności reagowania systemu ochrony zdrowia w sytuacjach kryzysowych oraz poprawę jakości leczenia i dostępu pacjentów</w:t>
      </w:r>
      <w:r w:rsidRPr="003F5BD9">
        <w:rPr>
          <w:rFonts w:ascii="Arial" w:hAnsi="Arial" w:cs="Arial"/>
          <w:spacing w:val="4"/>
          <w:sz w:val="20"/>
          <w:szCs w:val="20"/>
        </w:rPr>
        <w:t xml:space="preserve"> do infrastruktury ochrony zdrowia</w:t>
      </w:r>
      <w:r>
        <w:rPr>
          <w:rFonts w:ascii="Arial" w:hAnsi="Arial" w:cs="Arial"/>
          <w:spacing w:val="4"/>
          <w:sz w:val="20"/>
          <w:szCs w:val="20"/>
        </w:rPr>
        <w:t>;</w:t>
      </w:r>
      <w:r w:rsidRPr="003F5BD9">
        <w:rPr>
          <w:rFonts w:ascii="Arial" w:hAnsi="Arial" w:cs="Arial"/>
          <w:spacing w:val="4"/>
          <w:sz w:val="20"/>
          <w:szCs w:val="20"/>
        </w:rPr>
        <w:t xml:space="preserve"> </w:t>
      </w:r>
    </w:p>
    <w:p w14:paraId="1BC86A0E" w14:textId="77777777" w:rsidR="00F3502C" w:rsidRPr="003F5BD9" w:rsidRDefault="003F5BD9" w:rsidP="003D6239">
      <w:pPr>
        <w:numPr>
          <w:ilvl w:val="0"/>
          <w:numId w:val="103"/>
        </w:numPr>
        <w:spacing w:after="120" w:line="280" w:lineRule="atLeast"/>
        <w:jc w:val="both"/>
        <w:rPr>
          <w:rFonts w:ascii="Arial" w:hAnsi="Arial" w:cs="Arial"/>
          <w:spacing w:val="4"/>
          <w:sz w:val="20"/>
          <w:szCs w:val="20"/>
        </w:rPr>
      </w:pPr>
      <w:r w:rsidRPr="003F5BD9">
        <w:rPr>
          <w:rFonts w:ascii="Arial" w:hAnsi="Arial" w:cs="Arial"/>
          <w:spacing w:val="4"/>
          <w:sz w:val="20"/>
          <w:szCs w:val="20"/>
        </w:rPr>
        <w:t>dział</w:t>
      </w:r>
      <w:r w:rsidRPr="00C80BC8">
        <w:rPr>
          <w:rFonts w:ascii="Arial" w:hAnsi="Arial" w:cs="Arial"/>
          <w:spacing w:val="4"/>
          <w:sz w:val="20"/>
          <w:szCs w:val="20"/>
        </w:rPr>
        <w:t>a</w:t>
      </w:r>
      <w:r w:rsidRPr="003F5BD9">
        <w:rPr>
          <w:rFonts w:ascii="Arial" w:hAnsi="Arial" w:cs="Arial"/>
          <w:spacing w:val="4"/>
          <w:sz w:val="20"/>
          <w:szCs w:val="20"/>
        </w:rPr>
        <w:t>nia przyczyniające się do</w:t>
      </w:r>
      <w:r w:rsidR="00621D60">
        <w:rPr>
          <w:rFonts w:ascii="Arial" w:hAnsi="Arial" w:cs="Arial"/>
          <w:spacing w:val="4"/>
          <w:sz w:val="20"/>
          <w:szCs w:val="20"/>
        </w:rPr>
        <w:t xml:space="preserve"> </w:t>
      </w:r>
      <w:r w:rsidRPr="003F5BD9">
        <w:rPr>
          <w:rFonts w:ascii="Arial" w:hAnsi="Arial" w:cs="Arial"/>
          <w:spacing w:val="4"/>
          <w:sz w:val="20"/>
          <w:szCs w:val="20"/>
        </w:rPr>
        <w:t xml:space="preserve">transformacji ku </w:t>
      </w:r>
      <w:r w:rsidR="006153F7">
        <w:rPr>
          <w:rFonts w:ascii="Arial" w:hAnsi="Arial" w:cs="Arial"/>
          <w:spacing w:val="4"/>
          <w:sz w:val="20"/>
          <w:szCs w:val="20"/>
        </w:rPr>
        <w:t xml:space="preserve">niskoemisyjnej </w:t>
      </w:r>
      <w:r w:rsidRPr="003F5BD9">
        <w:rPr>
          <w:rFonts w:ascii="Arial" w:hAnsi="Arial" w:cs="Arial"/>
          <w:spacing w:val="4"/>
          <w:sz w:val="20"/>
          <w:szCs w:val="20"/>
        </w:rPr>
        <w:t>gospodarce</w:t>
      </w:r>
      <w:r>
        <w:rPr>
          <w:rFonts w:ascii="Arial" w:hAnsi="Arial" w:cs="Arial"/>
          <w:spacing w:val="4"/>
          <w:sz w:val="20"/>
          <w:szCs w:val="20"/>
        </w:rPr>
        <w:t>.</w:t>
      </w:r>
      <w:r w:rsidR="00305B21">
        <w:rPr>
          <w:rFonts w:ascii="Arial" w:hAnsi="Arial" w:cs="Arial"/>
          <w:spacing w:val="4"/>
          <w:sz w:val="20"/>
          <w:szCs w:val="20"/>
        </w:rPr>
        <w:t xml:space="preserve"> </w:t>
      </w:r>
    </w:p>
    <w:p w14:paraId="72995A66" w14:textId="77777777" w:rsidR="00F3502C" w:rsidRDefault="00F3502C" w:rsidP="005C1EA9">
      <w:pPr>
        <w:spacing w:after="120"/>
        <w:jc w:val="both"/>
        <w:rPr>
          <w:rFonts w:ascii="Arial" w:hAnsi="Arial" w:cs="Arial"/>
          <w:sz w:val="20"/>
          <w:szCs w:val="20"/>
        </w:rPr>
      </w:pPr>
    </w:p>
    <w:p w14:paraId="002DE78E" w14:textId="77777777" w:rsidR="0009525F" w:rsidRPr="0009525F" w:rsidRDefault="0009525F" w:rsidP="0009525F">
      <w:pPr>
        <w:spacing w:before="120" w:after="120"/>
        <w:jc w:val="both"/>
        <w:rPr>
          <w:rFonts w:ascii="Arial" w:hAnsi="Arial" w:cs="Arial"/>
          <w:bCs/>
          <w:smallCaps/>
          <w:color w:val="669900"/>
          <w:spacing w:val="4"/>
          <w:sz w:val="20"/>
          <w:szCs w:val="20"/>
        </w:rPr>
      </w:pPr>
      <w:r>
        <w:rPr>
          <w:rFonts w:ascii="Arial" w:hAnsi="Arial" w:cs="Arial"/>
          <w:bCs/>
          <w:smallCaps/>
          <w:color w:val="669900"/>
          <w:spacing w:val="4"/>
          <w:sz w:val="20"/>
          <w:szCs w:val="20"/>
        </w:rPr>
        <w:t>R</w:t>
      </w:r>
      <w:r w:rsidRPr="0009525F">
        <w:rPr>
          <w:rFonts w:ascii="Arial" w:hAnsi="Arial" w:cs="Arial"/>
          <w:bCs/>
          <w:smallCaps/>
          <w:color w:val="669900"/>
          <w:spacing w:val="4"/>
          <w:sz w:val="20"/>
          <w:szCs w:val="20"/>
        </w:rPr>
        <w:t>ezultaty, które państwo członkowskie zamierza osiągnąć przy wsparciu unii</w:t>
      </w:r>
    </w:p>
    <w:p w14:paraId="7C18E6A8" w14:textId="77777777" w:rsidR="004E45FD" w:rsidRDefault="009A2445" w:rsidP="004E45FD">
      <w:pPr>
        <w:spacing w:after="120" w:line="280" w:lineRule="atLeast"/>
        <w:jc w:val="both"/>
        <w:rPr>
          <w:rFonts w:ascii="Arial" w:hAnsi="Arial" w:cs="Arial"/>
          <w:spacing w:val="4"/>
          <w:sz w:val="20"/>
          <w:szCs w:val="20"/>
        </w:rPr>
      </w:pPr>
      <w:r w:rsidRPr="00F30940">
        <w:rPr>
          <w:rFonts w:ascii="Arial" w:hAnsi="Arial" w:cs="Arial"/>
          <w:bCs/>
          <w:iCs/>
          <w:spacing w:val="4"/>
          <w:sz w:val="20"/>
          <w:szCs w:val="20"/>
        </w:rPr>
        <w:t>W sektorze</w:t>
      </w:r>
      <w:r>
        <w:rPr>
          <w:rFonts w:ascii="Arial" w:hAnsi="Arial" w:cs="Arial"/>
          <w:bCs/>
          <w:iCs/>
          <w:spacing w:val="4"/>
          <w:sz w:val="20"/>
          <w:szCs w:val="20"/>
        </w:rPr>
        <w:t xml:space="preserve"> zdrowia</w:t>
      </w:r>
      <w:r w:rsidR="000F0788">
        <w:rPr>
          <w:rFonts w:ascii="Arial" w:hAnsi="Arial" w:cs="Arial"/>
          <w:bCs/>
          <w:iCs/>
          <w:spacing w:val="4"/>
          <w:sz w:val="20"/>
          <w:szCs w:val="20"/>
        </w:rPr>
        <w:t xml:space="preserve"> </w:t>
      </w:r>
      <w:r w:rsidR="004E45FD">
        <w:rPr>
          <w:rFonts w:ascii="Arial" w:hAnsi="Arial" w:cs="Arial"/>
          <w:bCs/>
          <w:iCs/>
          <w:spacing w:val="4"/>
          <w:sz w:val="20"/>
          <w:szCs w:val="20"/>
        </w:rPr>
        <w:t>oc</w:t>
      </w:r>
      <w:r w:rsidR="004E45FD">
        <w:rPr>
          <w:rFonts w:ascii="Arial" w:hAnsi="Arial" w:cs="Arial"/>
          <w:spacing w:val="4"/>
          <w:sz w:val="20"/>
          <w:szCs w:val="20"/>
        </w:rPr>
        <w:t>zekiwanym rezultatem, z punktu widzenia walki z COVID-19 oraz działań naprawczych po pandemii, będzie wzmocnienie odporności systemu ochrony zdrowia w jego kluczowych obszarach oraz zapewnienie ich sprawnego funkcjonowania.</w:t>
      </w:r>
    </w:p>
    <w:p w14:paraId="6255C473" w14:textId="77777777" w:rsidR="004E45FD" w:rsidRDefault="004E45FD" w:rsidP="004E45FD">
      <w:pPr>
        <w:spacing w:after="120" w:line="280" w:lineRule="atLeast"/>
        <w:jc w:val="both"/>
        <w:rPr>
          <w:rFonts w:ascii="Arial" w:hAnsi="Arial" w:cs="Arial"/>
          <w:sz w:val="20"/>
          <w:szCs w:val="20"/>
        </w:rPr>
      </w:pPr>
      <w:r>
        <w:rPr>
          <w:rFonts w:ascii="Arial" w:hAnsi="Arial" w:cs="Arial"/>
          <w:spacing w:val="4"/>
          <w:sz w:val="20"/>
          <w:szCs w:val="20"/>
        </w:rPr>
        <w:t>Wsparcie zarówno podmiotów leczniczych, jak i innych jednostek działających w systemie ochrony zdrowia zaangażowanych w walkę z pandemią COVID-19 oraz odczuwających negatywne skutki pandemii, pozwoli na zwiększenie dostępności, jakości oraz skuteczności udzielania świadczeń zdrowotnych. Zwiększy również bezpieczeństwo pacjentów i pracowników systemu ochrony zdrowia oraz wzmocni potencjał systemu reagowania na sytuacje kryzysowe w</w:t>
      </w:r>
      <w:r w:rsidR="00A065EA">
        <w:rPr>
          <w:rFonts w:ascii="Arial" w:hAnsi="Arial" w:cs="Arial"/>
          <w:spacing w:val="4"/>
          <w:sz w:val="20"/>
          <w:szCs w:val="20"/>
        </w:rPr>
        <w:t> </w:t>
      </w:r>
      <w:r>
        <w:rPr>
          <w:rFonts w:ascii="Arial" w:hAnsi="Arial" w:cs="Arial"/>
          <w:spacing w:val="4"/>
          <w:sz w:val="20"/>
          <w:szCs w:val="20"/>
        </w:rPr>
        <w:t xml:space="preserve">ochronie zdrowia, w szczególności w zakresie chorób zakaźnych. </w:t>
      </w:r>
    </w:p>
    <w:p w14:paraId="6B67EB24" w14:textId="0C558CD5" w:rsidR="00185692" w:rsidRDefault="004E45FD" w:rsidP="004E45FD">
      <w:pPr>
        <w:spacing w:after="120" w:line="280" w:lineRule="atLeast"/>
        <w:jc w:val="both"/>
        <w:rPr>
          <w:rFonts w:ascii="Arial" w:hAnsi="Arial" w:cs="Arial"/>
          <w:iCs/>
          <w:spacing w:val="4"/>
          <w:sz w:val="20"/>
          <w:szCs w:val="20"/>
        </w:rPr>
      </w:pPr>
      <w:r>
        <w:rPr>
          <w:rFonts w:ascii="Arial" w:hAnsi="Arial" w:cs="Arial"/>
          <w:iCs/>
          <w:spacing w:val="4"/>
          <w:sz w:val="20"/>
          <w:szCs w:val="20"/>
        </w:rPr>
        <w:t xml:space="preserve">Kluczowe w ramach programu </w:t>
      </w:r>
      <w:proofErr w:type="spellStart"/>
      <w:r>
        <w:rPr>
          <w:rFonts w:ascii="Arial" w:hAnsi="Arial" w:cs="Arial"/>
          <w:iCs/>
          <w:spacing w:val="4"/>
          <w:sz w:val="20"/>
          <w:szCs w:val="20"/>
        </w:rPr>
        <w:t>POIiŚ</w:t>
      </w:r>
      <w:proofErr w:type="spellEnd"/>
      <w:r w:rsidRPr="000E69C8">
        <w:rPr>
          <w:rFonts w:ascii="Arial" w:hAnsi="Arial" w:cs="Arial"/>
          <w:iCs/>
          <w:spacing w:val="4"/>
          <w:sz w:val="20"/>
          <w:szCs w:val="20"/>
        </w:rPr>
        <w:t xml:space="preserve"> </w:t>
      </w:r>
      <w:r>
        <w:rPr>
          <w:rFonts w:ascii="Arial" w:hAnsi="Arial" w:cs="Arial"/>
          <w:iCs/>
          <w:spacing w:val="4"/>
          <w:sz w:val="20"/>
          <w:szCs w:val="20"/>
        </w:rPr>
        <w:t>jest wzmocnienie infrastru</w:t>
      </w:r>
      <w:r w:rsidR="00EC26B6">
        <w:rPr>
          <w:rFonts w:ascii="Arial" w:hAnsi="Arial" w:cs="Arial"/>
          <w:iCs/>
          <w:spacing w:val="4"/>
          <w:sz w:val="20"/>
          <w:szCs w:val="20"/>
        </w:rPr>
        <w:t>k</w:t>
      </w:r>
      <w:r>
        <w:rPr>
          <w:rFonts w:ascii="Arial" w:hAnsi="Arial" w:cs="Arial"/>
          <w:iCs/>
          <w:spacing w:val="4"/>
          <w:sz w:val="20"/>
          <w:szCs w:val="20"/>
        </w:rPr>
        <w:t xml:space="preserve">turalne podmiotów dotkniętych przez pandemię. </w:t>
      </w:r>
      <w:r w:rsidRPr="00E22E6B">
        <w:rPr>
          <w:rFonts w:ascii="Arial" w:hAnsi="Arial" w:cs="Arial"/>
          <w:iCs/>
          <w:spacing w:val="4"/>
          <w:sz w:val="20"/>
          <w:szCs w:val="20"/>
        </w:rPr>
        <w:t>Nowoczesna infrastruktura budowlana i sprzętowa jest istotnym elementem wpływającym na wzrost efektywności, dostępności i jakości udzielanych świadczeń opieki zdrowotnej</w:t>
      </w:r>
      <w:r>
        <w:rPr>
          <w:rFonts w:ascii="Arial" w:hAnsi="Arial" w:cs="Arial"/>
          <w:iCs/>
          <w:spacing w:val="4"/>
          <w:sz w:val="20"/>
          <w:szCs w:val="20"/>
        </w:rPr>
        <w:t>.</w:t>
      </w:r>
      <w:r w:rsidRPr="00E22E6B">
        <w:rPr>
          <w:rFonts w:ascii="Arial" w:hAnsi="Arial" w:cs="Arial"/>
          <w:iCs/>
          <w:spacing w:val="4"/>
          <w:sz w:val="20"/>
          <w:szCs w:val="20"/>
        </w:rPr>
        <w:t xml:space="preserve"> Dzięki nowoczesnej infrastrukturze możliwe jest zabezpieczenie potrzeb zdrowotnych społeczeństwa w kontekście udzielania świadczeń diagnostycznych, leczniczych i</w:t>
      </w:r>
      <w:r w:rsidR="00A065EA">
        <w:rPr>
          <w:rFonts w:ascii="Arial" w:hAnsi="Arial" w:cs="Arial"/>
          <w:iCs/>
          <w:spacing w:val="4"/>
          <w:sz w:val="20"/>
          <w:szCs w:val="20"/>
        </w:rPr>
        <w:t> </w:t>
      </w:r>
      <w:r w:rsidRPr="00E22E6B">
        <w:rPr>
          <w:rFonts w:ascii="Arial" w:hAnsi="Arial" w:cs="Arial"/>
          <w:iCs/>
          <w:spacing w:val="4"/>
          <w:sz w:val="20"/>
          <w:szCs w:val="20"/>
        </w:rPr>
        <w:t>rehabilitacyjnych dla pacjentów. Jest to ważne w szczególności dla pacjentów, którzy potrzebują świadczeń na poziomie wysokospecjalistycznym, wyższym niż podstawowa opieka</w:t>
      </w:r>
      <w:r>
        <w:rPr>
          <w:rFonts w:ascii="Arial" w:hAnsi="Arial" w:cs="Arial"/>
          <w:iCs/>
          <w:spacing w:val="4"/>
          <w:sz w:val="20"/>
          <w:szCs w:val="20"/>
        </w:rPr>
        <w:t xml:space="preserve"> zdrowotna</w:t>
      </w:r>
      <w:r w:rsidRPr="00E22E6B">
        <w:rPr>
          <w:rFonts w:ascii="Arial" w:hAnsi="Arial" w:cs="Arial"/>
          <w:iCs/>
          <w:spacing w:val="4"/>
          <w:sz w:val="20"/>
          <w:szCs w:val="20"/>
        </w:rPr>
        <w:t xml:space="preserve"> i</w:t>
      </w:r>
      <w:r w:rsidR="00A065EA">
        <w:rPr>
          <w:rFonts w:ascii="Arial" w:hAnsi="Arial" w:cs="Arial"/>
          <w:iCs/>
          <w:spacing w:val="4"/>
          <w:sz w:val="20"/>
          <w:szCs w:val="20"/>
        </w:rPr>
        <w:t> </w:t>
      </w:r>
      <w:r w:rsidRPr="00E22E6B">
        <w:rPr>
          <w:rFonts w:ascii="Arial" w:hAnsi="Arial" w:cs="Arial"/>
          <w:iCs/>
          <w:spacing w:val="4"/>
          <w:sz w:val="20"/>
          <w:szCs w:val="20"/>
        </w:rPr>
        <w:t xml:space="preserve">ambulatoryjna </w:t>
      </w:r>
      <w:r>
        <w:rPr>
          <w:rFonts w:ascii="Arial" w:hAnsi="Arial" w:cs="Arial"/>
          <w:iCs/>
          <w:spacing w:val="4"/>
          <w:sz w:val="20"/>
          <w:szCs w:val="20"/>
        </w:rPr>
        <w:t xml:space="preserve">opieka specjalistyczna </w:t>
      </w:r>
      <w:r w:rsidRPr="00E22E6B">
        <w:rPr>
          <w:rFonts w:ascii="Arial" w:hAnsi="Arial" w:cs="Arial"/>
          <w:iCs/>
          <w:spacing w:val="4"/>
          <w:sz w:val="20"/>
          <w:szCs w:val="20"/>
        </w:rPr>
        <w:t>czy podstawow</w:t>
      </w:r>
      <w:r>
        <w:rPr>
          <w:rFonts w:ascii="Arial" w:hAnsi="Arial" w:cs="Arial"/>
          <w:iCs/>
          <w:spacing w:val="4"/>
          <w:sz w:val="20"/>
          <w:szCs w:val="20"/>
        </w:rPr>
        <w:t>e</w:t>
      </w:r>
      <w:r w:rsidRPr="00E22E6B">
        <w:rPr>
          <w:rFonts w:ascii="Arial" w:hAnsi="Arial" w:cs="Arial"/>
          <w:iCs/>
          <w:spacing w:val="4"/>
          <w:sz w:val="20"/>
          <w:szCs w:val="20"/>
        </w:rPr>
        <w:t xml:space="preserve"> stopni</w:t>
      </w:r>
      <w:r>
        <w:rPr>
          <w:rFonts w:ascii="Arial" w:hAnsi="Arial" w:cs="Arial"/>
          <w:iCs/>
          <w:spacing w:val="4"/>
          <w:sz w:val="20"/>
          <w:szCs w:val="20"/>
        </w:rPr>
        <w:t>e</w:t>
      </w:r>
      <w:r w:rsidRPr="00E22E6B">
        <w:rPr>
          <w:rFonts w:ascii="Arial" w:hAnsi="Arial" w:cs="Arial"/>
          <w:iCs/>
          <w:spacing w:val="4"/>
          <w:sz w:val="20"/>
          <w:szCs w:val="20"/>
        </w:rPr>
        <w:t xml:space="preserve"> opieki szpitalnej.</w:t>
      </w:r>
      <w:r>
        <w:rPr>
          <w:rFonts w:ascii="Arial" w:hAnsi="Arial" w:cs="Arial"/>
          <w:iCs/>
          <w:spacing w:val="4"/>
          <w:sz w:val="20"/>
          <w:szCs w:val="20"/>
        </w:rPr>
        <w:t xml:space="preserve"> </w:t>
      </w:r>
      <w:r w:rsidRPr="00E22E6B">
        <w:rPr>
          <w:rFonts w:ascii="Arial" w:hAnsi="Arial" w:cs="Arial"/>
          <w:iCs/>
          <w:spacing w:val="4"/>
          <w:sz w:val="20"/>
          <w:szCs w:val="20"/>
        </w:rPr>
        <w:t xml:space="preserve">Nowoczesna infrastruktura jest kluczowa w zapewnieniu pacjentowi adekwatnej do stanu zdrowia opieki, w szczególności w sytuacji kryzysu związanego z pandemią COVID-19. </w:t>
      </w:r>
      <w:r w:rsidR="005E71C7" w:rsidRPr="005E71C7">
        <w:rPr>
          <w:rFonts w:ascii="Arial" w:hAnsi="Arial" w:cs="Arial"/>
          <w:iCs/>
          <w:spacing w:val="4"/>
          <w:sz w:val="20"/>
          <w:szCs w:val="20"/>
        </w:rPr>
        <w:t>W tym kontekście należy również zwrócić uwagę na działania, które wzmocnią infrastrukturę Państwowej Inspekcji Sanitarnej</w:t>
      </w:r>
      <w:r w:rsidR="00185692">
        <w:rPr>
          <w:rFonts w:ascii="Arial" w:hAnsi="Arial" w:cs="Arial"/>
          <w:iCs/>
          <w:spacing w:val="4"/>
          <w:sz w:val="20"/>
          <w:szCs w:val="20"/>
        </w:rPr>
        <w:t xml:space="preserve">, </w:t>
      </w:r>
      <w:r w:rsidR="005E71C7" w:rsidRPr="005E71C7">
        <w:rPr>
          <w:rFonts w:ascii="Arial" w:hAnsi="Arial" w:cs="Arial"/>
          <w:iCs/>
          <w:spacing w:val="4"/>
          <w:sz w:val="20"/>
          <w:szCs w:val="20"/>
        </w:rPr>
        <w:t>czy publicznej służby krwi, a więc obszarów, które są istotnym elementem systemu ochrony zdrowia w walce z COVID-19</w:t>
      </w:r>
      <w:r w:rsidR="005E71C7">
        <w:rPr>
          <w:rFonts w:ascii="Arial" w:hAnsi="Arial" w:cs="Arial"/>
          <w:iCs/>
          <w:spacing w:val="4"/>
          <w:sz w:val="20"/>
          <w:szCs w:val="20"/>
        </w:rPr>
        <w:t xml:space="preserve">.  </w:t>
      </w:r>
    </w:p>
    <w:p w14:paraId="7B23B370" w14:textId="0772C770" w:rsidR="005738C1" w:rsidRDefault="005738C1" w:rsidP="00AE2908">
      <w:pPr>
        <w:spacing w:after="120" w:line="280" w:lineRule="atLeast"/>
        <w:jc w:val="both"/>
        <w:rPr>
          <w:rFonts w:ascii="Arial" w:hAnsi="Arial" w:cs="Arial"/>
          <w:iCs/>
          <w:spacing w:val="4"/>
          <w:sz w:val="20"/>
          <w:szCs w:val="20"/>
        </w:rPr>
      </w:pPr>
    </w:p>
    <w:p w14:paraId="462E1B16" w14:textId="72E048A3" w:rsidR="00A272DE" w:rsidRDefault="00A272DE" w:rsidP="00AE2908">
      <w:pPr>
        <w:spacing w:after="120" w:line="280" w:lineRule="atLeast"/>
        <w:jc w:val="both"/>
        <w:rPr>
          <w:rFonts w:ascii="Arial" w:hAnsi="Arial" w:cs="Arial"/>
          <w:iCs/>
          <w:spacing w:val="4"/>
          <w:sz w:val="20"/>
          <w:szCs w:val="20"/>
        </w:rPr>
      </w:pPr>
      <w:r w:rsidRPr="00A272DE">
        <w:rPr>
          <w:rFonts w:ascii="Arial" w:hAnsi="Arial" w:cs="Arial"/>
          <w:iCs/>
          <w:spacing w:val="4"/>
          <w:sz w:val="20"/>
          <w:szCs w:val="20"/>
        </w:rPr>
        <w:lastRenderedPageBreak/>
        <w:t xml:space="preserve">Wsparcie Powiatowych Stacji Sanitarno-Epidemiologicznych (PSSE) jest istotne, ponieważ jednostki te pozostają i w najbliższym czasie pozostaną szczególnie obciążone z uwagi na dodatkowe obowiązki związane z pandemią COVID-19. Inwestycje w zakresie sprzętu i wyposażenia </w:t>
      </w:r>
      <w:r w:rsidR="00877CA4">
        <w:rPr>
          <w:rFonts w:ascii="Arial" w:hAnsi="Arial" w:cs="Arial"/>
          <w:iCs/>
          <w:spacing w:val="4"/>
          <w:sz w:val="20"/>
          <w:szCs w:val="20"/>
        </w:rPr>
        <w:t xml:space="preserve">oraz poprzez działania infrastrukturalne, </w:t>
      </w:r>
      <w:r w:rsidRPr="00A272DE">
        <w:rPr>
          <w:rFonts w:ascii="Arial" w:hAnsi="Arial" w:cs="Arial"/>
          <w:iCs/>
          <w:spacing w:val="4"/>
          <w:sz w:val="20"/>
          <w:szCs w:val="20"/>
        </w:rPr>
        <w:t>wzmocnią jakość</w:t>
      </w:r>
      <w:r w:rsidR="00877CA4">
        <w:rPr>
          <w:rFonts w:ascii="Arial" w:hAnsi="Arial" w:cs="Arial"/>
          <w:iCs/>
          <w:spacing w:val="4"/>
          <w:sz w:val="20"/>
          <w:szCs w:val="20"/>
        </w:rPr>
        <w:t>,</w:t>
      </w:r>
      <w:r w:rsidRPr="00A272DE">
        <w:rPr>
          <w:rFonts w:ascii="Arial" w:hAnsi="Arial" w:cs="Arial"/>
          <w:iCs/>
          <w:spacing w:val="4"/>
          <w:sz w:val="20"/>
          <w:szCs w:val="20"/>
        </w:rPr>
        <w:t xml:space="preserve"> efektywność</w:t>
      </w:r>
      <w:r w:rsidR="00877CA4">
        <w:rPr>
          <w:rFonts w:ascii="Arial" w:hAnsi="Arial" w:cs="Arial"/>
          <w:iCs/>
          <w:spacing w:val="4"/>
          <w:sz w:val="20"/>
          <w:szCs w:val="20"/>
        </w:rPr>
        <w:t xml:space="preserve"> i</w:t>
      </w:r>
      <w:r w:rsidR="00877CA4" w:rsidRPr="00877CA4">
        <w:rPr>
          <w:rFonts w:ascii="Arial" w:hAnsi="Arial" w:cs="Arial"/>
          <w:iCs/>
          <w:spacing w:val="4"/>
          <w:sz w:val="20"/>
          <w:szCs w:val="20"/>
        </w:rPr>
        <w:t xml:space="preserve"> </w:t>
      </w:r>
      <w:r w:rsidR="00877CA4">
        <w:rPr>
          <w:rFonts w:ascii="Arial" w:hAnsi="Arial" w:cs="Arial"/>
          <w:iCs/>
          <w:spacing w:val="4"/>
          <w:sz w:val="20"/>
          <w:szCs w:val="20"/>
        </w:rPr>
        <w:t>bezpieczeństwo</w:t>
      </w:r>
      <w:r w:rsidRPr="00A272DE">
        <w:rPr>
          <w:rFonts w:ascii="Arial" w:hAnsi="Arial" w:cs="Arial"/>
          <w:iCs/>
          <w:spacing w:val="4"/>
          <w:sz w:val="20"/>
          <w:szCs w:val="20"/>
        </w:rPr>
        <w:t xml:space="preserve"> działań PSSE związanych z zapobieganiem i zwalczaniem chorób zakaźnych, monitoringiem sytuacji epidemiologicznej, jak również z szeroko rozumia</w:t>
      </w:r>
      <w:r w:rsidR="005738C1">
        <w:rPr>
          <w:rFonts w:ascii="Arial" w:hAnsi="Arial" w:cs="Arial"/>
          <w:iCs/>
          <w:spacing w:val="4"/>
          <w:sz w:val="20"/>
          <w:szCs w:val="20"/>
        </w:rPr>
        <w:t>n</w:t>
      </w:r>
      <w:r w:rsidRPr="00A272DE">
        <w:rPr>
          <w:rFonts w:ascii="Arial" w:hAnsi="Arial" w:cs="Arial"/>
          <w:iCs/>
          <w:spacing w:val="4"/>
          <w:sz w:val="20"/>
          <w:szCs w:val="20"/>
        </w:rPr>
        <w:t>ym nadzorem sanitarnym.</w:t>
      </w:r>
    </w:p>
    <w:p w14:paraId="3220A2B5" w14:textId="77777777" w:rsidR="003704A5" w:rsidRPr="0094044E" w:rsidRDefault="003704A5" w:rsidP="003704A5">
      <w:pPr>
        <w:spacing w:after="120" w:line="280" w:lineRule="atLeast"/>
        <w:jc w:val="both"/>
        <w:rPr>
          <w:rFonts w:ascii="Arial" w:hAnsi="Arial" w:cs="Arial"/>
          <w:iCs/>
          <w:spacing w:val="4"/>
          <w:sz w:val="20"/>
          <w:szCs w:val="20"/>
        </w:rPr>
      </w:pPr>
      <w:r>
        <w:rPr>
          <w:rFonts w:ascii="Arial" w:hAnsi="Arial" w:cs="Arial"/>
          <w:iCs/>
          <w:spacing w:val="4"/>
          <w:sz w:val="20"/>
          <w:szCs w:val="20"/>
        </w:rPr>
        <w:t xml:space="preserve">Jednym z kluczowym obszarów planowanych do wsparcia w ramach POIŚ jest </w:t>
      </w:r>
      <w:r w:rsidRPr="00ED605B">
        <w:rPr>
          <w:rFonts w:ascii="Arial" w:hAnsi="Arial" w:cs="Arial"/>
          <w:iCs/>
          <w:spacing w:val="4"/>
          <w:sz w:val="20"/>
          <w:szCs w:val="20"/>
        </w:rPr>
        <w:t xml:space="preserve">wsparcie cyfryzacji procesów w </w:t>
      </w:r>
      <w:r>
        <w:rPr>
          <w:rFonts w:ascii="Arial" w:hAnsi="Arial" w:cs="Arial"/>
          <w:iCs/>
          <w:spacing w:val="4"/>
          <w:sz w:val="20"/>
          <w:szCs w:val="20"/>
        </w:rPr>
        <w:t>POZ</w:t>
      </w:r>
      <w:r w:rsidRPr="00ED605B">
        <w:rPr>
          <w:rFonts w:ascii="Arial" w:hAnsi="Arial" w:cs="Arial"/>
          <w:iCs/>
          <w:spacing w:val="4"/>
          <w:sz w:val="20"/>
          <w:szCs w:val="20"/>
        </w:rPr>
        <w:t xml:space="preserve"> </w:t>
      </w:r>
      <w:r>
        <w:rPr>
          <w:rFonts w:ascii="Arial" w:hAnsi="Arial" w:cs="Arial"/>
          <w:iCs/>
          <w:spacing w:val="4"/>
          <w:sz w:val="20"/>
          <w:szCs w:val="20"/>
        </w:rPr>
        <w:t>poprzez wdrożenie e-Usług</w:t>
      </w:r>
      <w:r w:rsidRPr="00ED605B">
        <w:rPr>
          <w:rFonts w:ascii="Arial" w:hAnsi="Arial" w:cs="Arial"/>
          <w:iCs/>
          <w:spacing w:val="4"/>
          <w:sz w:val="20"/>
          <w:szCs w:val="20"/>
        </w:rPr>
        <w:t>.</w:t>
      </w:r>
      <w:r w:rsidRPr="003704A5">
        <w:rPr>
          <w:rFonts w:ascii="Arial" w:hAnsi="Arial" w:cs="Arial"/>
          <w:sz w:val="20"/>
          <w:szCs w:val="20"/>
        </w:rPr>
        <w:t xml:space="preserve"> </w:t>
      </w:r>
      <w:r w:rsidRPr="0094044E">
        <w:rPr>
          <w:rFonts w:ascii="Arial" w:hAnsi="Arial" w:cs="Arial"/>
          <w:iCs/>
          <w:spacing w:val="4"/>
          <w:sz w:val="20"/>
          <w:szCs w:val="20"/>
        </w:rPr>
        <w:t xml:space="preserve">Należy zauważyć, że podmioty POZ stanowią pierwszą linię kontaktu pacjenta z sektorem ochrony zdrowia. Ich stabilne i sprawne funkcjonowanie jest kwestią o podstawowym znaczeniu dla sektora ochrony zdrowia. Z tego punktu widzenia niezbędne są rozwiązania systemowe, które będą stanowiły kontynuację rozpoczętego procesu transformacji cyfrowej i pozwolą na pełną integrację placówek POZ z platformą P1, poprzez </w:t>
      </w:r>
      <w:r>
        <w:rPr>
          <w:rFonts w:ascii="Arial" w:hAnsi="Arial" w:cs="Arial"/>
          <w:iCs/>
          <w:spacing w:val="4"/>
          <w:sz w:val="20"/>
          <w:szCs w:val="20"/>
        </w:rPr>
        <w:t>przygotowanie ich</w:t>
      </w:r>
      <w:r w:rsidRPr="0094044E">
        <w:rPr>
          <w:rFonts w:ascii="Arial" w:hAnsi="Arial" w:cs="Arial"/>
          <w:iCs/>
          <w:spacing w:val="4"/>
          <w:sz w:val="20"/>
          <w:szCs w:val="20"/>
        </w:rPr>
        <w:t xml:space="preserve"> pod kątem infrastrukturalnym do implementacji kolejnych rozwiązań w tym zakresie oraz będą jednocześnie skutecznie przeciwdziałać konsekwencjom wystąpienia kolejnych zagrożeń epidemiologicznych.</w:t>
      </w:r>
      <w:r>
        <w:rPr>
          <w:rFonts w:ascii="Arial" w:hAnsi="Arial" w:cs="Arial"/>
          <w:iCs/>
          <w:spacing w:val="4"/>
          <w:sz w:val="20"/>
          <w:szCs w:val="20"/>
        </w:rPr>
        <w:t xml:space="preserve"> </w:t>
      </w:r>
    </w:p>
    <w:p w14:paraId="290EB7B9" w14:textId="6888ED4B" w:rsidR="00F30940" w:rsidRDefault="00F30940" w:rsidP="00F30940">
      <w:pPr>
        <w:spacing w:after="120"/>
        <w:jc w:val="both"/>
        <w:rPr>
          <w:rFonts w:ascii="Arial" w:hAnsi="Arial" w:cs="Arial"/>
          <w:bCs/>
          <w:iCs/>
          <w:spacing w:val="4"/>
          <w:sz w:val="20"/>
          <w:szCs w:val="20"/>
        </w:rPr>
      </w:pPr>
      <w:r w:rsidRPr="004E0725">
        <w:rPr>
          <w:rFonts w:ascii="Arial" w:hAnsi="Arial" w:cs="Arial"/>
          <w:bCs/>
          <w:iCs/>
          <w:spacing w:val="4"/>
          <w:sz w:val="20"/>
          <w:szCs w:val="20"/>
        </w:rPr>
        <w:t>W sektorze energetyki środki zostaną przeznaczone na operacje przyczyniające się do przyśpieszenia przejścia na gospodarkę niskoemisyjną przez wsparcie instalacji OZE (zakup i</w:t>
      </w:r>
      <w:r w:rsidR="00A065EA" w:rsidRPr="004E0725">
        <w:rPr>
          <w:rFonts w:ascii="Arial" w:hAnsi="Arial" w:cs="Arial"/>
          <w:bCs/>
          <w:iCs/>
          <w:spacing w:val="4"/>
          <w:sz w:val="20"/>
          <w:szCs w:val="20"/>
        </w:rPr>
        <w:t> </w:t>
      </w:r>
      <w:r w:rsidRPr="004E0725">
        <w:rPr>
          <w:rFonts w:ascii="Arial" w:hAnsi="Arial" w:cs="Arial"/>
          <w:bCs/>
          <w:iCs/>
          <w:spacing w:val="4"/>
          <w:sz w:val="20"/>
          <w:szCs w:val="20"/>
        </w:rPr>
        <w:t>montaż) do produkcji energii elektrycznej przez osoby fizyczne w budynkach mieszkalnych. Umożliwi to również uzyskanie w długofalowej perspektywie przez gospodarstwa domowe oszczędności finansowych. Ponadto, przyspieszenie transformacji energetycznej w Polsce nastąpi</w:t>
      </w:r>
      <w:r w:rsidR="00056CCA" w:rsidRPr="004E0725">
        <w:rPr>
          <w:rFonts w:ascii="Arial" w:hAnsi="Arial" w:cs="Arial"/>
          <w:bCs/>
          <w:iCs/>
          <w:spacing w:val="4"/>
          <w:sz w:val="20"/>
          <w:szCs w:val="20"/>
        </w:rPr>
        <w:t xml:space="preserve"> w perspektywie krótko- i średnioterminowej</w:t>
      </w:r>
      <w:r w:rsidRPr="004E0725">
        <w:rPr>
          <w:rFonts w:ascii="Arial" w:hAnsi="Arial" w:cs="Arial"/>
          <w:bCs/>
          <w:iCs/>
          <w:spacing w:val="4"/>
          <w:sz w:val="20"/>
          <w:szCs w:val="20"/>
        </w:rPr>
        <w:t xml:space="preserve"> przez zwiększenie dostępności i wykorzystania gazu ziemnego (wsparcie budowy oraz modernizacji sieci przesyłowej)</w:t>
      </w:r>
      <w:r w:rsidR="00056CCA" w:rsidRPr="004E0725">
        <w:rPr>
          <w:rFonts w:ascii="Arial" w:hAnsi="Arial" w:cs="Arial"/>
          <w:bCs/>
          <w:iCs/>
          <w:spacing w:val="4"/>
          <w:sz w:val="20"/>
          <w:szCs w:val="20"/>
        </w:rPr>
        <w:t xml:space="preserve"> wiedząc, że w </w:t>
      </w:r>
      <w:r w:rsidR="006750AD" w:rsidRPr="004E0725">
        <w:rPr>
          <w:rFonts w:ascii="Arial" w:hAnsi="Arial" w:cs="Arial"/>
          <w:bCs/>
          <w:iCs/>
          <w:spacing w:val="4"/>
          <w:sz w:val="20"/>
          <w:szCs w:val="20"/>
        </w:rPr>
        <w:t>perspektywie</w:t>
      </w:r>
      <w:r w:rsidR="00056CCA" w:rsidRPr="004E0725">
        <w:rPr>
          <w:rFonts w:ascii="Arial" w:hAnsi="Arial" w:cs="Arial"/>
          <w:bCs/>
          <w:iCs/>
          <w:spacing w:val="4"/>
          <w:sz w:val="20"/>
          <w:szCs w:val="20"/>
        </w:rPr>
        <w:t xml:space="preserve"> 2021-2027 planowane inwestycje w tym obszarze powinny koncentrować się głównie na zastąpieniu starzejącej się infrastruktury  przez infrastrukturę gazową zdolną do transportu domieszek gazów odnawialnych i niskoemisyjnych, </w:t>
      </w:r>
      <w:r w:rsidR="006750AD" w:rsidRPr="004E0725">
        <w:rPr>
          <w:rFonts w:ascii="Arial" w:hAnsi="Arial" w:cs="Arial"/>
          <w:bCs/>
          <w:iCs/>
          <w:spacing w:val="4"/>
          <w:sz w:val="20"/>
          <w:szCs w:val="20"/>
        </w:rPr>
        <w:t>z</w:t>
      </w:r>
      <w:r w:rsidR="006750AD" w:rsidRPr="004E0725">
        <w:rPr>
          <w:rFonts w:ascii="Segoe UI" w:hAnsi="Segoe UI" w:cs="Segoe UI"/>
          <w:color w:val="000000"/>
          <w:sz w:val="21"/>
          <w:szCs w:val="21"/>
          <w:shd w:val="clear" w:color="auto" w:fill="FFFFFF"/>
        </w:rPr>
        <w:t xml:space="preserve">mianę przeznaczenia lub modernizację </w:t>
      </w:r>
      <w:r w:rsidR="00056CCA" w:rsidRPr="004E0725">
        <w:rPr>
          <w:rFonts w:ascii="Arial" w:hAnsi="Arial" w:cs="Arial"/>
          <w:bCs/>
          <w:iCs/>
          <w:spacing w:val="4"/>
          <w:sz w:val="20"/>
          <w:szCs w:val="20"/>
        </w:rPr>
        <w:t>obecnych krajowych i lokalnych sieci gazu ziemnego</w:t>
      </w:r>
      <w:r w:rsidRPr="004E0725">
        <w:rPr>
          <w:rFonts w:ascii="Arial" w:hAnsi="Arial" w:cs="Arial"/>
          <w:bCs/>
          <w:iCs/>
          <w:spacing w:val="4"/>
          <w:sz w:val="20"/>
          <w:szCs w:val="20"/>
        </w:rPr>
        <w:t xml:space="preserve">. </w:t>
      </w:r>
      <w:r w:rsidR="00C22F16" w:rsidRPr="004E0725">
        <w:rPr>
          <w:rFonts w:ascii="Arial" w:hAnsi="Arial" w:cs="Arial"/>
          <w:bCs/>
          <w:iCs/>
          <w:spacing w:val="4"/>
          <w:sz w:val="20"/>
          <w:szCs w:val="20"/>
        </w:rPr>
        <w:t>Wszelkie planowane inwestycje w gaz ziemny w ramach REACT EU będą</w:t>
      </w:r>
      <w:r w:rsidR="00C25706" w:rsidRPr="004E0725">
        <w:rPr>
          <w:rFonts w:ascii="Arial" w:hAnsi="Arial" w:cs="Arial"/>
          <w:bCs/>
          <w:iCs/>
          <w:spacing w:val="4"/>
          <w:sz w:val="20"/>
          <w:szCs w:val="20"/>
        </w:rPr>
        <w:t xml:space="preserve"> odporne na przyszłe wyzwania techniczne</w:t>
      </w:r>
      <w:r w:rsidR="00C22F16" w:rsidRPr="004E0725">
        <w:rPr>
          <w:rFonts w:ascii="Arial" w:hAnsi="Arial" w:cs="Arial"/>
          <w:bCs/>
          <w:iCs/>
          <w:spacing w:val="4"/>
          <w:sz w:val="20"/>
          <w:szCs w:val="20"/>
        </w:rPr>
        <w:t xml:space="preserve"> dzięki czemu będą mogły transportować gazy odnawialne i niskoemisyjne, tj. </w:t>
      </w:r>
      <w:proofErr w:type="spellStart"/>
      <w:r w:rsidR="00C22F16" w:rsidRPr="004E0725">
        <w:rPr>
          <w:rFonts w:ascii="Arial" w:hAnsi="Arial" w:cs="Arial"/>
          <w:bCs/>
          <w:iCs/>
          <w:spacing w:val="4"/>
          <w:sz w:val="20"/>
          <w:szCs w:val="20"/>
        </w:rPr>
        <w:t>biometan</w:t>
      </w:r>
      <w:proofErr w:type="spellEnd"/>
      <w:r w:rsidR="00C22F16" w:rsidRPr="004E0725">
        <w:rPr>
          <w:rFonts w:ascii="Arial" w:hAnsi="Arial" w:cs="Arial"/>
          <w:bCs/>
          <w:iCs/>
          <w:spacing w:val="4"/>
          <w:sz w:val="20"/>
          <w:szCs w:val="20"/>
        </w:rPr>
        <w:t>, gaz syntezowy i pewną domieszkę wodoru. To z kolei p</w:t>
      </w:r>
      <w:r w:rsidRPr="004E0725">
        <w:rPr>
          <w:rFonts w:ascii="Arial" w:hAnsi="Arial" w:cs="Arial"/>
          <w:bCs/>
          <w:iCs/>
          <w:spacing w:val="4"/>
          <w:sz w:val="20"/>
          <w:szCs w:val="20"/>
        </w:rPr>
        <w:t>rzyczyni się do poprawy stanu środowiska poprzez redukcję zanieczyszczeń i gazów cieplarnianych do atmosfery</w:t>
      </w:r>
      <w:r w:rsidR="006153F7" w:rsidRPr="004E0725">
        <w:rPr>
          <w:rFonts w:ascii="Arial" w:hAnsi="Arial" w:cs="Arial"/>
          <w:bCs/>
          <w:iCs/>
          <w:spacing w:val="4"/>
          <w:sz w:val="20"/>
          <w:szCs w:val="20"/>
        </w:rPr>
        <w:t xml:space="preserve"> poprzez</w:t>
      </w:r>
      <w:r w:rsidR="005956A5">
        <w:rPr>
          <w:rFonts w:ascii="Arial" w:hAnsi="Arial" w:cs="Arial"/>
          <w:bCs/>
          <w:iCs/>
          <w:spacing w:val="4"/>
          <w:sz w:val="20"/>
          <w:szCs w:val="20"/>
        </w:rPr>
        <w:t xml:space="preserve"> zastępowanie stałych paliw kopal</w:t>
      </w:r>
      <w:r w:rsidR="006153F7" w:rsidRPr="004E0725">
        <w:rPr>
          <w:rFonts w:ascii="Arial" w:hAnsi="Arial" w:cs="Arial"/>
          <w:bCs/>
          <w:iCs/>
          <w:spacing w:val="4"/>
          <w:sz w:val="20"/>
          <w:szCs w:val="20"/>
        </w:rPr>
        <w:t>nych</w:t>
      </w:r>
      <w:r w:rsidR="004E0725">
        <w:rPr>
          <w:rFonts w:ascii="Arial" w:hAnsi="Arial" w:cs="Arial"/>
          <w:bCs/>
          <w:iCs/>
          <w:spacing w:val="4"/>
          <w:sz w:val="20"/>
          <w:szCs w:val="20"/>
        </w:rPr>
        <w:t>.</w:t>
      </w:r>
    </w:p>
    <w:p w14:paraId="680444FD" w14:textId="468F1371" w:rsidR="00547E72" w:rsidRPr="00F30940" w:rsidRDefault="00547E72" w:rsidP="00F30940">
      <w:pPr>
        <w:spacing w:after="120"/>
        <w:jc w:val="both"/>
        <w:rPr>
          <w:rFonts w:ascii="Arial" w:hAnsi="Arial" w:cs="Arial"/>
          <w:bCs/>
          <w:iCs/>
          <w:spacing w:val="4"/>
          <w:sz w:val="20"/>
          <w:szCs w:val="20"/>
        </w:rPr>
      </w:pPr>
      <w:r w:rsidRPr="00547E72">
        <w:rPr>
          <w:rFonts w:ascii="Arial" w:hAnsi="Arial" w:cs="Arial"/>
          <w:bCs/>
          <w:iCs/>
          <w:spacing w:val="4"/>
          <w:sz w:val="20"/>
          <w:szCs w:val="20"/>
        </w:rPr>
        <w:t>W sektorze transportu miejskiego oczekiwanym rezultatem, z punktu widzenia walki z COVID-19 oraz działań naprawczych po pandemii, będzie wzmocnienie roli miejskiego transportu zbiorowego. W szczególności oznacza to zapewnienie w trudnej sytuacji pandemicznej dobrej oferty transportowej, gwarantującej bezpieczeństwo i komfort podróżowania przy równoczesnym ograniczeniu negatywnego wpływu transportu na środowisko</w:t>
      </w:r>
      <w:r w:rsidR="00DE504C">
        <w:rPr>
          <w:rFonts w:ascii="Arial" w:hAnsi="Arial" w:cs="Arial"/>
          <w:bCs/>
          <w:iCs/>
          <w:spacing w:val="4"/>
          <w:sz w:val="20"/>
          <w:szCs w:val="20"/>
        </w:rPr>
        <w:t>.</w:t>
      </w:r>
    </w:p>
    <w:p w14:paraId="34AAF000" w14:textId="77777777" w:rsidR="00C86A58" w:rsidRDefault="00C86A58" w:rsidP="005C1EA9">
      <w:pPr>
        <w:spacing w:after="120"/>
        <w:jc w:val="both"/>
        <w:rPr>
          <w:rFonts w:ascii="Arial" w:hAnsi="Arial" w:cs="Arial"/>
          <w:sz w:val="20"/>
          <w:szCs w:val="20"/>
        </w:rPr>
      </w:pPr>
    </w:p>
    <w:p w14:paraId="1CC607E5" w14:textId="77777777" w:rsidR="00621D60" w:rsidRPr="004E3242" w:rsidRDefault="00621D60" w:rsidP="00621D60">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w:t>
      </w:r>
      <w:r w:rsidR="0046724A">
        <w:rPr>
          <w:rFonts w:ascii="Arial" w:hAnsi="Arial" w:cs="Arial"/>
          <w:bCs/>
          <w:smallCaps/>
          <w:color w:val="669900"/>
          <w:spacing w:val="4"/>
          <w:sz w:val="20"/>
          <w:szCs w:val="20"/>
        </w:rPr>
        <w:t>i</w:t>
      </w:r>
      <w:r w:rsidRPr="004E3242">
        <w:rPr>
          <w:rFonts w:ascii="Arial" w:hAnsi="Arial" w:cs="Arial"/>
          <w:bCs/>
          <w:smallCaps/>
          <w:color w:val="669900"/>
          <w:spacing w:val="4"/>
          <w:sz w:val="20"/>
          <w:szCs w:val="20"/>
        </w:rPr>
        <w:t xml:space="preserve"> rezultatu</w:t>
      </w:r>
    </w:p>
    <w:tbl>
      <w:tblPr>
        <w:tblW w:w="509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40"/>
        <w:gridCol w:w="1408"/>
        <w:gridCol w:w="992"/>
        <w:gridCol w:w="1276"/>
        <w:gridCol w:w="854"/>
        <w:gridCol w:w="850"/>
        <w:gridCol w:w="992"/>
        <w:gridCol w:w="994"/>
        <w:gridCol w:w="1558"/>
      </w:tblGrid>
      <w:tr w:rsidR="00621D60" w:rsidRPr="004E3242" w14:paraId="47D0E637" w14:textId="77777777" w:rsidTr="00DA7172">
        <w:tc>
          <w:tcPr>
            <w:tcW w:w="285" w:type="pct"/>
            <w:shd w:val="clear" w:color="auto" w:fill="99CC00"/>
            <w:vAlign w:val="center"/>
          </w:tcPr>
          <w:p w14:paraId="74299223"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744" w:type="pct"/>
            <w:shd w:val="clear" w:color="auto" w:fill="99CC00"/>
            <w:vAlign w:val="center"/>
          </w:tcPr>
          <w:p w14:paraId="79D84086"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4" w:type="pct"/>
            <w:shd w:val="clear" w:color="auto" w:fill="99CC00"/>
            <w:vAlign w:val="center"/>
          </w:tcPr>
          <w:p w14:paraId="78303F99"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674" w:type="pct"/>
            <w:shd w:val="clear" w:color="auto" w:fill="99CC00"/>
            <w:vAlign w:val="center"/>
          </w:tcPr>
          <w:p w14:paraId="6E04D893"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451" w:type="pct"/>
            <w:shd w:val="clear" w:color="auto" w:fill="99CC00"/>
            <w:vAlign w:val="center"/>
          </w:tcPr>
          <w:p w14:paraId="4AF57351"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bazowa</w:t>
            </w:r>
          </w:p>
        </w:tc>
        <w:tc>
          <w:tcPr>
            <w:tcW w:w="449" w:type="pct"/>
            <w:shd w:val="clear" w:color="auto" w:fill="99CC00"/>
            <w:vAlign w:val="center"/>
          </w:tcPr>
          <w:p w14:paraId="4555C444"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Rok bazowy</w:t>
            </w:r>
          </w:p>
        </w:tc>
        <w:tc>
          <w:tcPr>
            <w:tcW w:w="524" w:type="pct"/>
            <w:shd w:val="clear" w:color="auto" w:fill="99CC00"/>
            <w:vAlign w:val="center"/>
          </w:tcPr>
          <w:p w14:paraId="06573661"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25" w:type="pct"/>
            <w:shd w:val="clear" w:color="auto" w:fill="99CC00"/>
            <w:vAlign w:val="center"/>
          </w:tcPr>
          <w:p w14:paraId="5ACDDA43"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823" w:type="pct"/>
            <w:shd w:val="clear" w:color="auto" w:fill="99CC00"/>
            <w:vAlign w:val="center"/>
          </w:tcPr>
          <w:p w14:paraId="263B30EE" w14:textId="77777777" w:rsidR="00621D60" w:rsidRPr="004E3242" w:rsidRDefault="00621D60" w:rsidP="00DA7172">
            <w:pPr>
              <w:spacing w:before="20" w:after="2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4E45FD" w:rsidRPr="004E3242" w14:paraId="783F3843" w14:textId="77777777" w:rsidTr="00DA7172">
        <w:tc>
          <w:tcPr>
            <w:tcW w:w="285" w:type="pct"/>
            <w:shd w:val="clear" w:color="auto" w:fill="F2F2F2"/>
            <w:vAlign w:val="center"/>
          </w:tcPr>
          <w:p w14:paraId="341C97F5" w14:textId="77777777" w:rsidR="004E45FD" w:rsidRPr="004E3242" w:rsidRDefault="004E45FD" w:rsidP="00DA717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1.</w:t>
            </w:r>
          </w:p>
        </w:tc>
        <w:tc>
          <w:tcPr>
            <w:tcW w:w="744" w:type="pct"/>
            <w:shd w:val="clear" w:color="auto" w:fill="F2F2F2"/>
            <w:vAlign w:val="center"/>
          </w:tcPr>
          <w:p w14:paraId="47FE72E3" w14:textId="77777777" w:rsidR="004E45FD" w:rsidRPr="004E3242" w:rsidRDefault="004E45FD" w:rsidP="00B726EE">
            <w:pPr>
              <w:spacing w:before="20" w:after="20" w:line="240" w:lineRule="auto"/>
              <w:jc w:val="center"/>
              <w:rPr>
                <w:rFonts w:ascii="Arial" w:hAnsi="Arial" w:cs="Arial"/>
                <w:spacing w:val="4"/>
                <w:sz w:val="16"/>
                <w:szCs w:val="16"/>
              </w:rPr>
            </w:pPr>
            <w:r w:rsidRPr="007C5D87">
              <w:rPr>
                <w:rFonts w:ascii="Arial" w:hAnsi="Arial" w:cs="Arial"/>
                <w:sz w:val="16"/>
                <w:szCs w:val="16"/>
              </w:rPr>
              <w:t xml:space="preserve">Liczba leczonych </w:t>
            </w:r>
            <w:r>
              <w:rPr>
                <w:rFonts w:ascii="Arial" w:hAnsi="Arial" w:cs="Arial"/>
                <w:sz w:val="16"/>
                <w:szCs w:val="16"/>
              </w:rPr>
              <w:br/>
            </w:r>
            <w:r w:rsidRPr="007C5D87">
              <w:rPr>
                <w:rFonts w:ascii="Arial" w:hAnsi="Arial" w:cs="Arial"/>
                <w:sz w:val="16"/>
                <w:szCs w:val="16"/>
              </w:rPr>
              <w:t>w podmiotach leczniczych objętych wsparciem</w:t>
            </w:r>
          </w:p>
        </w:tc>
        <w:tc>
          <w:tcPr>
            <w:tcW w:w="524" w:type="pct"/>
            <w:shd w:val="clear" w:color="auto" w:fill="F2F2F2"/>
            <w:vAlign w:val="center"/>
          </w:tcPr>
          <w:p w14:paraId="078A42FD" w14:textId="77777777" w:rsidR="004E45FD" w:rsidRPr="004E3242" w:rsidRDefault="004E45FD" w:rsidP="00DA7172">
            <w:pPr>
              <w:spacing w:before="20" w:after="20" w:line="240" w:lineRule="auto"/>
              <w:jc w:val="center"/>
              <w:rPr>
                <w:rFonts w:ascii="Arial" w:hAnsi="Arial" w:cs="Arial"/>
                <w:spacing w:val="4"/>
                <w:sz w:val="16"/>
                <w:szCs w:val="16"/>
              </w:rPr>
            </w:pPr>
            <w:r>
              <w:rPr>
                <w:rFonts w:ascii="Arial" w:hAnsi="Arial" w:cs="Arial"/>
                <w:spacing w:val="4"/>
                <w:sz w:val="16"/>
                <w:szCs w:val="16"/>
              </w:rPr>
              <w:t>osoby/rok</w:t>
            </w:r>
          </w:p>
        </w:tc>
        <w:tc>
          <w:tcPr>
            <w:tcW w:w="674" w:type="pct"/>
            <w:shd w:val="clear" w:color="auto" w:fill="F2F2F2"/>
            <w:vAlign w:val="center"/>
          </w:tcPr>
          <w:p w14:paraId="5E389330" w14:textId="77777777" w:rsidR="004E45FD" w:rsidRPr="004E3242" w:rsidRDefault="004E45FD" w:rsidP="00DA7172">
            <w:pPr>
              <w:spacing w:before="20" w:after="20" w:line="240" w:lineRule="auto"/>
              <w:jc w:val="center"/>
              <w:rPr>
                <w:rFonts w:ascii="Arial" w:hAnsi="Arial" w:cs="Arial"/>
                <w:spacing w:val="4"/>
                <w:sz w:val="16"/>
                <w:szCs w:val="16"/>
              </w:rPr>
            </w:pPr>
            <w:r>
              <w:rPr>
                <w:rFonts w:ascii="Arial" w:hAnsi="Arial" w:cs="Arial"/>
                <w:spacing w:val="4"/>
                <w:sz w:val="16"/>
                <w:szCs w:val="16"/>
              </w:rPr>
              <w:t>n/d</w:t>
            </w:r>
          </w:p>
        </w:tc>
        <w:tc>
          <w:tcPr>
            <w:tcW w:w="451" w:type="pct"/>
            <w:shd w:val="clear" w:color="auto" w:fill="F2F2F2"/>
            <w:vAlign w:val="center"/>
          </w:tcPr>
          <w:p w14:paraId="3B7389E1" w14:textId="77777777" w:rsidR="004E45FD" w:rsidRPr="004E3242" w:rsidRDefault="004E45FD" w:rsidP="00DA7172">
            <w:pPr>
              <w:spacing w:before="20" w:after="20" w:line="240" w:lineRule="auto"/>
              <w:jc w:val="center"/>
              <w:rPr>
                <w:rFonts w:ascii="Arial" w:hAnsi="Arial" w:cs="Arial"/>
                <w:spacing w:val="4"/>
                <w:sz w:val="16"/>
                <w:szCs w:val="16"/>
              </w:rPr>
            </w:pPr>
            <w:r>
              <w:rPr>
                <w:rFonts w:ascii="Arial" w:hAnsi="Arial" w:cs="Arial"/>
                <w:spacing w:val="4"/>
                <w:sz w:val="16"/>
                <w:szCs w:val="16"/>
              </w:rPr>
              <w:t>0</w:t>
            </w:r>
          </w:p>
        </w:tc>
        <w:tc>
          <w:tcPr>
            <w:tcW w:w="449" w:type="pct"/>
            <w:shd w:val="clear" w:color="auto" w:fill="F2F2F2"/>
            <w:vAlign w:val="center"/>
          </w:tcPr>
          <w:p w14:paraId="5A7D56BA" w14:textId="77777777" w:rsidR="004E45FD" w:rsidRPr="004E3242" w:rsidRDefault="00494F8B" w:rsidP="00494F8B">
            <w:pPr>
              <w:spacing w:before="20" w:after="20" w:line="240" w:lineRule="auto"/>
              <w:jc w:val="center"/>
              <w:rPr>
                <w:rFonts w:ascii="Arial" w:hAnsi="Arial" w:cs="Arial"/>
                <w:spacing w:val="4"/>
                <w:sz w:val="16"/>
                <w:szCs w:val="16"/>
              </w:rPr>
            </w:pPr>
            <w:r>
              <w:rPr>
                <w:rFonts w:ascii="Arial" w:hAnsi="Arial" w:cs="Arial"/>
                <w:spacing w:val="4"/>
                <w:sz w:val="16"/>
                <w:szCs w:val="16"/>
              </w:rPr>
              <w:t>2020</w:t>
            </w:r>
          </w:p>
        </w:tc>
        <w:tc>
          <w:tcPr>
            <w:tcW w:w="524" w:type="pct"/>
            <w:shd w:val="clear" w:color="auto" w:fill="F2F2F2"/>
            <w:vAlign w:val="center"/>
          </w:tcPr>
          <w:p w14:paraId="1574FD2F" w14:textId="77777777" w:rsidR="004E45FD" w:rsidRPr="004E3242" w:rsidRDefault="00A103E4" w:rsidP="00600743">
            <w:pPr>
              <w:spacing w:before="20" w:after="20" w:line="240" w:lineRule="auto"/>
              <w:jc w:val="center"/>
              <w:rPr>
                <w:rFonts w:ascii="Arial" w:hAnsi="Arial" w:cs="Arial"/>
                <w:spacing w:val="4"/>
                <w:sz w:val="16"/>
                <w:szCs w:val="16"/>
              </w:rPr>
            </w:pPr>
            <w:r>
              <w:rPr>
                <w:rFonts w:ascii="Arial" w:hAnsi="Arial" w:cs="Arial"/>
                <w:spacing w:val="4"/>
                <w:sz w:val="16"/>
                <w:szCs w:val="16"/>
              </w:rPr>
              <w:t>7 473 285</w:t>
            </w:r>
          </w:p>
        </w:tc>
        <w:tc>
          <w:tcPr>
            <w:tcW w:w="525" w:type="pct"/>
            <w:shd w:val="clear" w:color="auto" w:fill="F2F2F2"/>
            <w:vAlign w:val="center"/>
          </w:tcPr>
          <w:p w14:paraId="44219EDC" w14:textId="77777777" w:rsidR="004E45FD" w:rsidRPr="004E3242" w:rsidRDefault="004E45FD" w:rsidP="00DA7172">
            <w:pPr>
              <w:spacing w:before="20" w:after="20" w:line="240" w:lineRule="auto"/>
              <w:jc w:val="center"/>
              <w:rPr>
                <w:rFonts w:ascii="Arial" w:hAnsi="Arial" w:cs="Arial"/>
                <w:spacing w:val="4"/>
                <w:sz w:val="16"/>
                <w:szCs w:val="16"/>
              </w:rPr>
            </w:pPr>
            <w:r>
              <w:rPr>
                <w:rFonts w:ascii="Arial" w:hAnsi="Arial" w:cs="Arial"/>
                <w:spacing w:val="4"/>
                <w:sz w:val="16"/>
                <w:szCs w:val="16"/>
              </w:rPr>
              <w:t>SL 2014</w:t>
            </w:r>
          </w:p>
        </w:tc>
        <w:tc>
          <w:tcPr>
            <w:tcW w:w="823" w:type="pct"/>
            <w:shd w:val="clear" w:color="auto" w:fill="F2F2F2"/>
            <w:vAlign w:val="center"/>
          </w:tcPr>
          <w:p w14:paraId="58D82CE5" w14:textId="77777777" w:rsidR="004E45FD" w:rsidRPr="004E3242" w:rsidRDefault="004E45FD" w:rsidP="00DA7172">
            <w:pPr>
              <w:spacing w:before="20" w:after="20" w:line="240" w:lineRule="auto"/>
              <w:ind w:right="-184"/>
              <w:jc w:val="center"/>
              <w:rPr>
                <w:rFonts w:ascii="Arial" w:hAnsi="Arial" w:cs="Arial"/>
                <w:spacing w:val="4"/>
                <w:sz w:val="16"/>
                <w:szCs w:val="16"/>
              </w:rPr>
            </w:pPr>
            <w:r>
              <w:rPr>
                <w:rFonts w:ascii="Arial" w:hAnsi="Arial" w:cs="Arial"/>
                <w:spacing w:val="4"/>
                <w:sz w:val="16"/>
                <w:szCs w:val="16"/>
              </w:rPr>
              <w:t>Rocznie</w:t>
            </w:r>
          </w:p>
        </w:tc>
      </w:tr>
      <w:tr w:rsidR="00621D60" w:rsidRPr="004E3242" w14:paraId="559028C6" w14:textId="77777777" w:rsidTr="00DA7172">
        <w:tc>
          <w:tcPr>
            <w:tcW w:w="285" w:type="pct"/>
            <w:shd w:val="clear" w:color="auto" w:fill="F2F2F2"/>
            <w:vAlign w:val="center"/>
          </w:tcPr>
          <w:p w14:paraId="2C5E51D6" w14:textId="77777777" w:rsidR="00621D60" w:rsidRPr="004E3242" w:rsidRDefault="00621D60" w:rsidP="00DA7172">
            <w:pPr>
              <w:spacing w:before="20" w:after="20" w:line="240" w:lineRule="auto"/>
              <w:jc w:val="center"/>
              <w:rPr>
                <w:rFonts w:ascii="Arial" w:hAnsi="Arial" w:cs="Arial"/>
                <w:spacing w:val="4"/>
                <w:sz w:val="16"/>
                <w:szCs w:val="16"/>
              </w:rPr>
            </w:pPr>
            <w:r w:rsidRPr="004E3242">
              <w:rPr>
                <w:rFonts w:ascii="Arial" w:hAnsi="Arial" w:cs="Arial"/>
                <w:spacing w:val="4"/>
                <w:sz w:val="16"/>
                <w:szCs w:val="16"/>
              </w:rPr>
              <w:t>2.</w:t>
            </w:r>
          </w:p>
        </w:tc>
        <w:tc>
          <w:tcPr>
            <w:tcW w:w="744" w:type="pct"/>
            <w:shd w:val="clear" w:color="auto" w:fill="F2F2F2"/>
            <w:vAlign w:val="center"/>
          </w:tcPr>
          <w:p w14:paraId="39763D02" w14:textId="77777777" w:rsidR="00B07C13" w:rsidRPr="00B07C13" w:rsidRDefault="00B07C13" w:rsidP="00B07C13">
            <w:pPr>
              <w:spacing w:before="20" w:after="20" w:line="240" w:lineRule="auto"/>
              <w:jc w:val="center"/>
              <w:rPr>
                <w:rFonts w:ascii="Arial" w:hAnsi="Arial" w:cs="Arial"/>
                <w:spacing w:val="4"/>
                <w:sz w:val="16"/>
                <w:szCs w:val="16"/>
              </w:rPr>
            </w:pPr>
            <w:r w:rsidRPr="00B07C13">
              <w:rPr>
                <w:rFonts w:ascii="Arial" w:hAnsi="Arial" w:cs="Arial"/>
                <w:spacing w:val="4"/>
                <w:sz w:val="16"/>
                <w:szCs w:val="16"/>
              </w:rPr>
              <w:t xml:space="preserve">Liczba </w:t>
            </w:r>
            <w:r w:rsidR="009278A8">
              <w:rPr>
                <w:rFonts w:ascii="Arial" w:hAnsi="Arial" w:cs="Arial"/>
                <w:spacing w:val="4"/>
                <w:sz w:val="16"/>
                <w:szCs w:val="16"/>
              </w:rPr>
              <w:t>gospodarstw domow</w:t>
            </w:r>
            <w:r w:rsidRPr="00B07C13">
              <w:rPr>
                <w:rFonts w:ascii="Arial" w:hAnsi="Arial" w:cs="Arial"/>
                <w:spacing w:val="4"/>
                <w:sz w:val="16"/>
                <w:szCs w:val="16"/>
              </w:rPr>
              <w:t xml:space="preserve">ych wytwarzających energię </w:t>
            </w:r>
            <w:r w:rsidRPr="00B07C13">
              <w:rPr>
                <w:rFonts w:ascii="Arial" w:hAnsi="Arial" w:cs="Arial"/>
                <w:spacing w:val="4"/>
                <w:sz w:val="16"/>
                <w:szCs w:val="16"/>
              </w:rPr>
              <w:lastRenderedPageBreak/>
              <w:t>elektryczną z OZE</w:t>
            </w:r>
            <w:r w:rsidR="009278A8">
              <w:t xml:space="preserve"> </w:t>
            </w:r>
            <w:r w:rsidR="009278A8" w:rsidRPr="009278A8">
              <w:rPr>
                <w:rFonts w:ascii="Arial" w:hAnsi="Arial" w:cs="Arial"/>
                <w:spacing w:val="4"/>
                <w:sz w:val="16"/>
                <w:szCs w:val="16"/>
              </w:rPr>
              <w:t>w wyniku realizacji projektów</w:t>
            </w:r>
          </w:p>
          <w:p w14:paraId="080F4D65" w14:textId="77777777" w:rsidR="00621D60" w:rsidRPr="004E3242" w:rsidRDefault="00621D60" w:rsidP="00B07C13">
            <w:pPr>
              <w:spacing w:before="20" w:after="20" w:line="240" w:lineRule="auto"/>
              <w:jc w:val="center"/>
              <w:rPr>
                <w:rFonts w:ascii="Arial" w:hAnsi="Arial" w:cs="Arial"/>
                <w:spacing w:val="4"/>
                <w:sz w:val="16"/>
                <w:szCs w:val="16"/>
              </w:rPr>
            </w:pPr>
          </w:p>
        </w:tc>
        <w:tc>
          <w:tcPr>
            <w:tcW w:w="524" w:type="pct"/>
            <w:shd w:val="clear" w:color="auto" w:fill="F2F2F2"/>
            <w:vAlign w:val="center"/>
          </w:tcPr>
          <w:p w14:paraId="4E18E319" w14:textId="77777777" w:rsidR="00621D60" w:rsidRPr="004E3242" w:rsidRDefault="009278A8" w:rsidP="009278A8">
            <w:pPr>
              <w:spacing w:before="20" w:after="20" w:line="240" w:lineRule="auto"/>
              <w:jc w:val="center"/>
              <w:rPr>
                <w:rFonts w:ascii="Arial" w:hAnsi="Arial" w:cs="Arial"/>
                <w:spacing w:val="4"/>
                <w:sz w:val="16"/>
                <w:szCs w:val="16"/>
              </w:rPr>
            </w:pPr>
            <w:r>
              <w:rPr>
                <w:rFonts w:ascii="Arial" w:hAnsi="Arial" w:cs="Arial"/>
                <w:spacing w:val="4"/>
                <w:sz w:val="16"/>
                <w:szCs w:val="16"/>
              </w:rPr>
              <w:lastRenderedPageBreak/>
              <w:t>gospodarstwa domowe</w:t>
            </w:r>
            <w:r w:rsidR="00B07C13" w:rsidRPr="00B07C13">
              <w:rPr>
                <w:rFonts w:ascii="Arial" w:hAnsi="Arial" w:cs="Arial"/>
                <w:spacing w:val="4"/>
                <w:sz w:val="16"/>
                <w:szCs w:val="16"/>
              </w:rPr>
              <w:t>/rok</w:t>
            </w:r>
          </w:p>
        </w:tc>
        <w:tc>
          <w:tcPr>
            <w:tcW w:w="674" w:type="pct"/>
            <w:shd w:val="clear" w:color="auto" w:fill="F2F2F2"/>
            <w:vAlign w:val="center"/>
          </w:tcPr>
          <w:p w14:paraId="2BCD13E5" w14:textId="77777777" w:rsidR="00621D60" w:rsidRPr="004E3242" w:rsidRDefault="00B07C13" w:rsidP="00B07C13">
            <w:pPr>
              <w:spacing w:before="20" w:after="20" w:line="240" w:lineRule="auto"/>
              <w:jc w:val="center"/>
              <w:rPr>
                <w:rFonts w:ascii="Arial" w:hAnsi="Arial" w:cs="Arial"/>
                <w:spacing w:val="4"/>
                <w:sz w:val="16"/>
                <w:szCs w:val="16"/>
              </w:rPr>
            </w:pPr>
            <w:r w:rsidRPr="00B07C13">
              <w:rPr>
                <w:rFonts w:ascii="Arial" w:hAnsi="Arial" w:cs="Arial"/>
                <w:spacing w:val="4"/>
                <w:sz w:val="16"/>
                <w:szCs w:val="16"/>
              </w:rPr>
              <w:t>n/d</w:t>
            </w:r>
          </w:p>
        </w:tc>
        <w:tc>
          <w:tcPr>
            <w:tcW w:w="451" w:type="pct"/>
            <w:shd w:val="clear" w:color="auto" w:fill="F2F2F2"/>
            <w:vAlign w:val="center"/>
          </w:tcPr>
          <w:p w14:paraId="7580FB8D" w14:textId="77777777" w:rsidR="00621D60" w:rsidRPr="004E3242" w:rsidRDefault="00B07C13" w:rsidP="00B07C13">
            <w:pPr>
              <w:spacing w:before="20" w:after="20" w:line="240" w:lineRule="auto"/>
              <w:jc w:val="center"/>
              <w:rPr>
                <w:rFonts w:ascii="Arial" w:hAnsi="Arial" w:cs="Arial"/>
                <w:spacing w:val="4"/>
                <w:sz w:val="16"/>
                <w:szCs w:val="16"/>
              </w:rPr>
            </w:pPr>
            <w:r>
              <w:rPr>
                <w:rFonts w:ascii="Arial" w:hAnsi="Arial" w:cs="Arial"/>
                <w:spacing w:val="4"/>
                <w:sz w:val="16"/>
                <w:szCs w:val="16"/>
              </w:rPr>
              <w:t>0</w:t>
            </w:r>
          </w:p>
        </w:tc>
        <w:tc>
          <w:tcPr>
            <w:tcW w:w="449" w:type="pct"/>
            <w:shd w:val="clear" w:color="auto" w:fill="F2F2F2"/>
            <w:vAlign w:val="center"/>
          </w:tcPr>
          <w:p w14:paraId="703F3560" w14:textId="77777777" w:rsidR="00621D60" w:rsidRPr="004E3242" w:rsidRDefault="00494F8B" w:rsidP="00494F8B">
            <w:pPr>
              <w:spacing w:before="20" w:after="20" w:line="240" w:lineRule="auto"/>
              <w:jc w:val="center"/>
              <w:rPr>
                <w:rFonts w:ascii="Arial" w:hAnsi="Arial" w:cs="Arial"/>
                <w:spacing w:val="4"/>
                <w:sz w:val="16"/>
                <w:szCs w:val="16"/>
              </w:rPr>
            </w:pPr>
            <w:r>
              <w:rPr>
                <w:rFonts w:ascii="Arial" w:hAnsi="Arial" w:cs="Arial"/>
                <w:spacing w:val="4"/>
                <w:sz w:val="16"/>
                <w:szCs w:val="16"/>
              </w:rPr>
              <w:t>2020</w:t>
            </w:r>
          </w:p>
        </w:tc>
        <w:tc>
          <w:tcPr>
            <w:tcW w:w="524" w:type="pct"/>
            <w:shd w:val="clear" w:color="auto" w:fill="F2F2F2"/>
            <w:vAlign w:val="center"/>
          </w:tcPr>
          <w:p w14:paraId="43EF861B" w14:textId="6196FDB7" w:rsidR="00621D60" w:rsidRPr="004E3242" w:rsidRDefault="00B07C13" w:rsidP="00E27E06">
            <w:pPr>
              <w:spacing w:before="20" w:after="20" w:line="240" w:lineRule="auto"/>
              <w:jc w:val="center"/>
              <w:rPr>
                <w:rFonts w:ascii="Arial" w:hAnsi="Arial" w:cs="Arial"/>
                <w:spacing w:val="4"/>
                <w:sz w:val="16"/>
                <w:szCs w:val="16"/>
              </w:rPr>
            </w:pPr>
            <w:r>
              <w:rPr>
                <w:rFonts w:ascii="Arial" w:hAnsi="Arial" w:cs="Arial"/>
                <w:spacing w:val="4"/>
                <w:sz w:val="16"/>
                <w:szCs w:val="16"/>
              </w:rPr>
              <w:t>17</w:t>
            </w:r>
            <w:r w:rsidR="00E27E06">
              <w:rPr>
                <w:rFonts w:ascii="Arial" w:hAnsi="Arial" w:cs="Arial"/>
                <w:spacing w:val="4"/>
                <w:sz w:val="16"/>
                <w:szCs w:val="16"/>
              </w:rPr>
              <w:t>1</w:t>
            </w:r>
            <w:r>
              <w:rPr>
                <w:rFonts w:ascii="Arial" w:hAnsi="Arial" w:cs="Arial"/>
                <w:spacing w:val="4"/>
                <w:sz w:val="16"/>
                <w:szCs w:val="16"/>
              </w:rPr>
              <w:t xml:space="preserve"> 2</w:t>
            </w:r>
            <w:r w:rsidR="00E27E06">
              <w:rPr>
                <w:rFonts w:ascii="Arial" w:hAnsi="Arial" w:cs="Arial"/>
                <w:spacing w:val="4"/>
                <w:sz w:val="16"/>
                <w:szCs w:val="16"/>
              </w:rPr>
              <w:t>50</w:t>
            </w:r>
          </w:p>
        </w:tc>
        <w:tc>
          <w:tcPr>
            <w:tcW w:w="525" w:type="pct"/>
            <w:shd w:val="clear" w:color="auto" w:fill="F2F2F2"/>
            <w:vAlign w:val="center"/>
          </w:tcPr>
          <w:p w14:paraId="56F898BE" w14:textId="77777777" w:rsidR="00621D60" w:rsidRPr="004E3242" w:rsidRDefault="00B07C13" w:rsidP="00B07C13">
            <w:pPr>
              <w:spacing w:before="20" w:after="20" w:line="240" w:lineRule="auto"/>
              <w:jc w:val="center"/>
              <w:rPr>
                <w:rFonts w:ascii="Arial" w:hAnsi="Arial" w:cs="Arial"/>
                <w:spacing w:val="4"/>
                <w:sz w:val="16"/>
                <w:szCs w:val="16"/>
              </w:rPr>
            </w:pPr>
            <w:r>
              <w:rPr>
                <w:rFonts w:ascii="Arial" w:hAnsi="Arial" w:cs="Arial"/>
                <w:spacing w:val="4"/>
                <w:sz w:val="16"/>
                <w:szCs w:val="16"/>
              </w:rPr>
              <w:t>SL2014</w:t>
            </w:r>
          </w:p>
        </w:tc>
        <w:tc>
          <w:tcPr>
            <w:tcW w:w="823" w:type="pct"/>
            <w:shd w:val="clear" w:color="auto" w:fill="F2F2F2"/>
            <w:vAlign w:val="center"/>
          </w:tcPr>
          <w:p w14:paraId="1A08902F" w14:textId="77777777" w:rsidR="00621D60" w:rsidRPr="004E3242" w:rsidRDefault="00B07C13" w:rsidP="00B07C13">
            <w:pPr>
              <w:spacing w:before="20" w:after="20" w:line="240" w:lineRule="auto"/>
              <w:ind w:right="-4"/>
              <w:jc w:val="center"/>
              <w:rPr>
                <w:rFonts w:ascii="Arial" w:hAnsi="Arial" w:cs="Arial"/>
                <w:spacing w:val="4"/>
                <w:sz w:val="16"/>
                <w:szCs w:val="16"/>
              </w:rPr>
            </w:pPr>
            <w:r>
              <w:rPr>
                <w:rFonts w:ascii="Arial" w:hAnsi="Arial" w:cs="Arial"/>
                <w:spacing w:val="4"/>
                <w:sz w:val="16"/>
                <w:szCs w:val="16"/>
              </w:rPr>
              <w:t>Rocznie</w:t>
            </w:r>
          </w:p>
        </w:tc>
      </w:tr>
      <w:tr w:rsidR="00547E72" w:rsidRPr="004E3242" w14:paraId="76A9750A" w14:textId="77777777" w:rsidTr="00DA7172">
        <w:tc>
          <w:tcPr>
            <w:tcW w:w="285" w:type="pct"/>
            <w:shd w:val="clear" w:color="auto" w:fill="F2F2F2"/>
            <w:vAlign w:val="center"/>
          </w:tcPr>
          <w:p w14:paraId="3AD3B82B" w14:textId="28BE77CC" w:rsidR="00547E72" w:rsidRPr="00DC275C" w:rsidRDefault="00547E72" w:rsidP="00547E72">
            <w:pPr>
              <w:spacing w:before="20" w:after="20" w:line="240" w:lineRule="auto"/>
              <w:jc w:val="center"/>
              <w:rPr>
                <w:rFonts w:ascii="Arial" w:hAnsi="Arial" w:cs="Arial"/>
                <w:spacing w:val="4"/>
                <w:sz w:val="16"/>
                <w:szCs w:val="16"/>
              </w:rPr>
            </w:pPr>
            <w:bookmarkStart w:id="454" w:name="_Hlk94262222"/>
            <w:r w:rsidRPr="00DC275C">
              <w:rPr>
                <w:rFonts w:ascii="Arial" w:hAnsi="Arial" w:cs="Arial"/>
                <w:spacing w:val="4"/>
                <w:sz w:val="16"/>
                <w:szCs w:val="16"/>
              </w:rPr>
              <w:t>3.</w:t>
            </w:r>
          </w:p>
        </w:tc>
        <w:tc>
          <w:tcPr>
            <w:tcW w:w="744" w:type="pct"/>
            <w:shd w:val="clear" w:color="auto" w:fill="F2F2F2"/>
            <w:vAlign w:val="center"/>
          </w:tcPr>
          <w:p w14:paraId="6BA814D9" w14:textId="77777777" w:rsidR="00CE3DD5" w:rsidRPr="00DC275C" w:rsidRDefault="00CE3DD5" w:rsidP="00CE3DD5">
            <w:pPr>
              <w:spacing w:before="20" w:after="20" w:line="240" w:lineRule="auto"/>
              <w:jc w:val="center"/>
              <w:rPr>
                <w:rFonts w:ascii="Arial" w:hAnsi="Arial" w:cs="Arial"/>
                <w:spacing w:val="4"/>
                <w:sz w:val="16"/>
                <w:szCs w:val="16"/>
              </w:rPr>
            </w:pPr>
            <w:r w:rsidRPr="00DC275C">
              <w:rPr>
                <w:rFonts w:ascii="Arial" w:hAnsi="Arial" w:cs="Arial"/>
                <w:spacing w:val="4"/>
                <w:sz w:val="16"/>
                <w:szCs w:val="16"/>
              </w:rPr>
              <w:t>Liczba przewozów komunikacją miejską w</w:t>
            </w:r>
          </w:p>
          <w:p w14:paraId="674D1C44" w14:textId="2A34C6F0" w:rsidR="00547E72" w:rsidRPr="00DC275C" w:rsidRDefault="00CE3DD5" w:rsidP="00CE3DD5">
            <w:pPr>
              <w:spacing w:before="20" w:after="20" w:line="240" w:lineRule="auto"/>
              <w:jc w:val="center"/>
              <w:rPr>
                <w:rFonts w:ascii="Arial" w:hAnsi="Arial" w:cs="Arial"/>
                <w:spacing w:val="4"/>
                <w:sz w:val="16"/>
                <w:szCs w:val="16"/>
              </w:rPr>
            </w:pPr>
            <w:r w:rsidRPr="00DC275C">
              <w:rPr>
                <w:rFonts w:ascii="Arial" w:hAnsi="Arial" w:cs="Arial"/>
                <w:spacing w:val="4"/>
                <w:sz w:val="16"/>
                <w:szCs w:val="16"/>
              </w:rPr>
              <w:t>nowym taborze komunikacji miejskiej</w:t>
            </w:r>
          </w:p>
        </w:tc>
        <w:tc>
          <w:tcPr>
            <w:tcW w:w="524" w:type="pct"/>
            <w:shd w:val="clear" w:color="auto" w:fill="F2F2F2"/>
            <w:vAlign w:val="center"/>
          </w:tcPr>
          <w:p w14:paraId="144243F5" w14:textId="097851F6" w:rsidR="00547E72" w:rsidRPr="00DC275C" w:rsidRDefault="00547E72" w:rsidP="00547E72">
            <w:pPr>
              <w:spacing w:before="20" w:after="20" w:line="240" w:lineRule="auto"/>
              <w:jc w:val="center"/>
              <w:rPr>
                <w:rFonts w:ascii="Arial" w:hAnsi="Arial" w:cs="Arial"/>
                <w:spacing w:val="4"/>
                <w:sz w:val="16"/>
                <w:szCs w:val="16"/>
              </w:rPr>
            </w:pPr>
            <w:proofErr w:type="spellStart"/>
            <w:r w:rsidRPr="00DC275C">
              <w:rPr>
                <w:rFonts w:ascii="Arial" w:hAnsi="Arial" w:cs="Arial"/>
                <w:spacing w:val="4"/>
                <w:sz w:val="16"/>
                <w:szCs w:val="16"/>
              </w:rPr>
              <w:t>szt</w:t>
            </w:r>
            <w:proofErr w:type="spellEnd"/>
            <w:r w:rsidRPr="00DC275C">
              <w:rPr>
                <w:rFonts w:ascii="Arial" w:hAnsi="Arial" w:cs="Arial"/>
                <w:spacing w:val="4"/>
                <w:sz w:val="16"/>
                <w:szCs w:val="16"/>
              </w:rPr>
              <w:t>/rok</w:t>
            </w:r>
          </w:p>
        </w:tc>
        <w:tc>
          <w:tcPr>
            <w:tcW w:w="674" w:type="pct"/>
            <w:shd w:val="clear" w:color="auto" w:fill="F2F2F2"/>
            <w:vAlign w:val="center"/>
          </w:tcPr>
          <w:p w14:paraId="4D35CD05" w14:textId="5BC8224F" w:rsidR="00547E72" w:rsidRPr="00DC275C" w:rsidRDefault="00547E72" w:rsidP="00547E72">
            <w:pPr>
              <w:spacing w:before="20" w:after="20" w:line="240" w:lineRule="auto"/>
              <w:jc w:val="center"/>
              <w:rPr>
                <w:rFonts w:ascii="Arial" w:hAnsi="Arial" w:cs="Arial"/>
                <w:spacing w:val="4"/>
                <w:sz w:val="16"/>
                <w:szCs w:val="16"/>
              </w:rPr>
            </w:pPr>
            <w:r w:rsidRPr="00DC275C">
              <w:rPr>
                <w:rFonts w:ascii="Arial" w:hAnsi="Arial" w:cs="Arial"/>
                <w:spacing w:val="4"/>
                <w:sz w:val="16"/>
                <w:szCs w:val="16"/>
              </w:rPr>
              <w:t>n/d</w:t>
            </w:r>
          </w:p>
        </w:tc>
        <w:tc>
          <w:tcPr>
            <w:tcW w:w="451" w:type="pct"/>
            <w:shd w:val="clear" w:color="auto" w:fill="F2F2F2"/>
            <w:vAlign w:val="center"/>
          </w:tcPr>
          <w:p w14:paraId="24070971" w14:textId="27D91687" w:rsidR="00547E72" w:rsidRPr="00DC275C" w:rsidRDefault="00547E72" w:rsidP="00547E72">
            <w:pPr>
              <w:spacing w:before="20" w:after="20" w:line="240" w:lineRule="auto"/>
              <w:jc w:val="center"/>
              <w:rPr>
                <w:rFonts w:ascii="Arial" w:hAnsi="Arial" w:cs="Arial"/>
                <w:spacing w:val="4"/>
                <w:sz w:val="16"/>
                <w:szCs w:val="16"/>
              </w:rPr>
            </w:pPr>
            <w:r w:rsidRPr="00DC275C">
              <w:rPr>
                <w:rFonts w:ascii="Arial" w:hAnsi="Arial" w:cs="Arial"/>
                <w:spacing w:val="4"/>
                <w:sz w:val="16"/>
                <w:szCs w:val="16"/>
              </w:rPr>
              <w:t>0</w:t>
            </w:r>
          </w:p>
        </w:tc>
        <w:tc>
          <w:tcPr>
            <w:tcW w:w="449" w:type="pct"/>
            <w:shd w:val="clear" w:color="auto" w:fill="F2F2F2"/>
            <w:vAlign w:val="center"/>
          </w:tcPr>
          <w:p w14:paraId="3D01F89C" w14:textId="4E420D1D" w:rsidR="00547E72" w:rsidRPr="00DC275C" w:rsidRDefault="00547E72" w:rsidP="00547E72">
            <w:pPr>
              <w:spacing w:before="20" w:after="20" w:line="240" w:lineRule="auto"/>
              <w:jc w:val="center"/>
              <w:rPr>
                <w:rFonts w:ascii="Arial" w:hAnsi="Arial" w:cs="Arial"/>
                <w:spacing w:val="4"/>
                <w:sz w:val="16"/>
                <w:szCs w:val="16"/>
              </w:rPr>
            </w:pPr>
            <w:r w:rsidRPr="00DC275C">
              <w:rPr>
                <w:rFonts w:ascii="Arial" w:hAnsi="Arial" w:cs="Arial"/>
                <w:spacing w:val="4"/>
                <w:sz w:val="16"/>
                <w:szCs w:val="16"/>
              </w:rPr>
              <w:t>2020</w:t>
            </w:r>
          </w:p>
        </w:tc>
        <w:tc>
          <w:tcPr>
            <w:tcW w:w="524" w:type="pct"/>
            <w:shd w:val="clear" w:color="auto" w:fill="F2F2F2"/>
            <w:vAlign w:val="center"/>
          </w:tcPr>
          <w:p w14:paraId="0FAB5A3B" w14:textId="1E084463" w:rsidR="00547E72" w:rsidRPr="00DC275C" w:rsidRDefault="00D11DE4" w:rsidP="00547E72">
            <w:pPr>
              <w:spacing w:before="20" w:after="20" w:line="240" w:lineRule="auto"/>
              <w:jc w:val="center"/>
              <w:rPr>
                <w:rFonts w:ascii="Arial" w:hAnsi="Arial" w:cs="Arial"/>
                <w:spacing w:val="4"/>
                <w:sz w:val="16"/>
                <w:szCs w:val="16"/>
              </w:rPr>
            </w:pPr>
            <w:r w:rsidRPr="00DC275C">
              <w:rPr>
                <w:rFonts w:ascii="Arial" w:hAnsi="Arial" w:cs="Arial"/>
                <w:spacing w:val="4"/>
                <w:sz w:val="16"/>
                <w:szCs w:val="16"/>
              </w:rPr>
              <w:t>22 132 950</w:t>
            </w:r>
          </w:p>
        </w:tc>
        <w:tc>
          <w:tcPr>
            <w:tcW w:w="525" w:type="pct"/>
            <w:shd w:val="clear" w:color="auto" w:fill="F2F2F2"/>
            <w:vAlign w:val="center"/>
          </w:tcPr>
          <w:p w14:paraId="3BB14FF1" w14:textId="201BE3C3" w:rsidR="00547E72" w:rsidRPr="00DC275C" w:rsidRDefault="00DC275C" w:rsidP="00547E72">
            <w:pPr>
              <w:spacing w:before="20" w:after="20" w:line="240" w:lineRule="auto"/>
              <w:jc w:val="center"/>
              <w:rPr>
                <w:rFonts w:ascii="Arial" w:hAnsi="Arial" w:cs="Arial"/>
                <w:spacing w:val="4"/>
                <w:sz w:val="16"/>
                <w:szCs w:val="16"/>
              </w:rPr>
            </w:pPr>
            <w:r w:rsidRPr="00DC275C">
              <w:rPr>
                <w:rFonts w:ascii="Arial" w:hAnsi="Arial" w:cs="Arial"/>
                <w:spacing w:val="4"/>
                <w:sz w:val="16"/>
                <w:szCs w:val="16"/>
              </w:rPr>
              <w:t>Dane beneficjentów gromadzone w SL2014</w:t>
            </w:r>
          </w:p>
        </w:tc>
        <w:tc>
          <w:tcPr>
            <w:tcW w:w="823" w:type="pct"/>
            <w:shd w:val="clear" w:color="auto" w:fill="F2F2F2"/>
            <w:vAlign w:val="center"/>
          </w:tcPr>
          <w:p w14:paraId="1C54A778" w14:textId="651660BC" w:rsidR="00547E72" w:rsidRPr="00DC275C" w:rsidRDefault="00547E72" w:rsidP="00547E72">
            <w:pPr>
              <w:spacing w:before="20" w:after="20" w:line="240" w:lineRule="auto"/>
              <w:ind w:right="-4"/>
              <w:jc w:val="center"/>
              <w:rPr>
                <w:rFonts w:ascii="Arial" w:hAnsi="Arial" w:cs="Arial"/>
                <w:spacing w:val="4"/>
                <w:sz w:val="16"/>
                <w:szCs w:val="16"/>
              </w:rPr>
            </w:pPr>
            <w:r w:rsidRPr="00DC275C">
              <w:rPr>
                <w:rFonts w:ascii="Arial" w:hAnsi="Arial" w:cs="Arial"/>
                <w:spacing w:val="4"/>
                <w:sz w:val="16"/>
                <w:szCs w:val="16"/>
              </w:rPr>
              <w:t>Rocznie</w:t>
            </w:r>
          </w:p>
        </w:tc>
      </w:tr>
      <w:bookmarkEnd w:id="454"/>
    </w:tbl>
    <w:p w14:paraId="16791BA2" w14:textId="77777777" w:rsidR="00621D60" w:rsidRPr="004E3242" w:rsidRDefault="00621D60" w:rsidP="00621D60">
      <w:pPr>
        <w:spacing w:after="120" w:line="280" w:lineRule="atLeast"/>
        <w:jc w:val="both"/>
        <w:rPr>
          <w:rFonts w:ascii="Arial" w:hAnsi="Arial" w:cs="Arial"/>
          <w:spacing w:val="4"/>
          <w:sz w:val="20"/>
          <w:szCs w:val="20"/>
        </w:rPr>
      </w:pPr>
    </w:p>
    <w:p w14:paraId="3F25D850" w14:textId="77777777" w:rsidR="00621D60" w:rsidRPr="005C1EA9" w:rsidRDefault="00621D60" w:rsidP="005C1EA9">
      <w:pPr>
        <w:spacing w:after="120"/>
        <w:jc w:val="both"/>
        <w:rPr>
          <w:rFonts w:ascii="Arial" w:hAnsi="Arial" w:cs="Arial"/>
          <w:sz w:val="20"/>
          <w:szCs w:val="20"/>
        </w:rPr>
      </w:pPr>
    </w:p>
    <w:p w14:paraId="29E85353" w14:textId="77777777" w:rsidR="000F0788" w:rsidRDefault="0009525F" w:rsidP="004E45FD">
      <w:pPr>
        <w:spacing w:before="120" w:after="120"/>
        <w:jc w:val="both"/>
        <w:rPr>
          <w:rFonts w:ascii="Arial" w:hAnsi="Arial" w:cs="Arial"/>
          <w:spacing w:val="4"/>
          <w:sz w:val="20"/>
          <w:szCs w:val="20"/>
        </w:rPr>
      </w:pPr>
      <w:r w:rsidRPr="0009525F">
        <w:rPr>
          <w:rFonts w:ascii="Arial" w:hAnsi="Arial" w:cs="Arial"/>
          <w:bCs/>
          <w:smallCaps/>
          <w:color w:val="669900"/>
          <w:spacing w:val="4"/>
          <w:sz w:val="20"/>
          <w:szCs w:val="20"/>
        </w:rPr>
        <w:t>Zakres interwencji</w:t>
      </w:r>
    </w:p>
    <w:p w14:paraId="50D15DF5" w14:textId="77777777" w:rsidR="004E45FD" w:rsidRDefault="004E45FD" w:rsidP="004E45FD">
      <w:pPr>
        <w:spacing w:before="120" w:after="120"/>
        <w:jc w:val="both"/>
        <w:rPr>
          <w:rFonts w:ascii="Arial" w:hAnsi="Arial" w:cs="Arial"/>
          <w:sz w:val="20"/>
          <w:szCs w:val="20"/>
        </w:rPr>
      </w:pPr>
      <w:r>
        <w:rPr>
          <w:rFonts w:ascii="Arial" w:hAnsi="Arial" w:cs="Arial"/>
          <w:sz w:val="20"/>
          <w:szCs w:val="20"/>
        </w:rPr>
        <w:t>W obszarze zdrowia, uzasadnione</w:t>
      </w:r>
      <w:r w:rsidRPr="00305B21">
        <w:rPr>
          <w:rFonts w:ascii="Arial" w:hAnsi="Arial" w:cs="Arial"/>
          <w:sz w:val="20"/>
          <w:szCs w:val="20"/>
        </w:rPr>
        <w:t xml:space="preserve"> </w:t>
      </w:r>
      <w:r>
        <w:rPr>
          <w:rFonts w:ascii="Arial" w:hAnsi="Arial" w:cs="Arial"/>
          <w:spacing w:val="4"/>
          <w:sz w:val="20"/>
          <w:szCs w:val="20"/>
        </w:rPr>
        <w:t xml:space="preserve">z punktu widzenia walki z COVID-19 oraz działań naprawczych po pandemii, </w:t>
      </w:r>
      <w:r w:rsidRPr="00305B21">
        <w:rPr>
          <w:rFonts w:ascii="Arial" w:hAnsi="Arial" w:cs="Arial"/>
          <w:sz w:val="20"/>
          <w:szCs w:val="20"/>
        </w:rPr>
        <w:t xml:space="preserve">jest podejmowanie </w:t>
      </w:r>
      <w:r>
        <w:rPr>
          <w:rFonts w:ascii="Arial" w:hAnsi="Arial" w:cs="Arial"/>
          <w:sz w:val="20"/>
          <w:szCs w:val="20"/>
        </w:rPr>
        <w:t xml:space="preserve">przede wszystkim </w:t>
      </w:r>
      <w:r w:rsidRPr="00305B21">
        <w:rPr>
          <w:rFonts w:ascii="Arial" w:hAnsi="Arial" w:cs="Arial"/>
          <w:sz w:val="20"/>
          <w:szCs w:val="20"/>
        </w:rPr>
        <w:t xml:space="preserve">działań poprawiających zdolność reagowania systemu opieki zdrowotnej w sytuacjach kryzysowych. </w:t>
      </w:r>
      <w:r>
        <w:rPr>
          <w:rFonts w:ascii="Arial" w:hAnsi="Arial" w:cs="Arial"/>
          <w:sz w:val="20"/>
          <w:szCs w:val="20"/>
        </w:rPr>
        <w:t>Potrzeba inwestycji</w:t>
      </w:r>
      <w:r w:rsidRPr="00305B21">
        <w:rPr>
          <w:rFonts w:ascii="Arial" w:hAnsi="Arial" w:cs="Arial"/>
          <w:sz w:val="20"/>
          <w:szCs w:val="20"/>
        </w:rPr>
        <w:t xml:space="preserve"> w infrastrukturę </w:t>
      </w:r>
      <w:r>
        <w:rPr>
          <w:rFonts w:ascii="Arial" w:hAnsi="Arial" w:cs="Arial"/>
          <w:sz w:val="20"/>
          <w:szCs w:val="20"/>
        </w:rPr>
        <w:t xml:space="preserve">ochrony </w:t>
      </w:r>
      <w:r w:rsidRPr="00305B21">
        <w:rPr>
          <w:rFonts w:ascii="Arial" w:hAnsi="Arial" w:cs="Arial"/>
          <w:sz w:val="20"/>
          <w:szCs w:val="20"/>
        </w:rPr>
        <w:t>zdrowia wynika bezpośrednio z aktualnych doświadczeń związanych z pandemią COVID-</w:t>
      </w:r>
      <w:r>
        <w:rPr>
          <w:rFonts w:ascii="Arial" w:hAnsi="Arial" w:cs="Arial"/>
          <w:sz w:val="20"/>
          <w:szCs w:val="20"/>
        </w:rPr>
        <w:t>19, które wskazują</w:t>
      </w:r>
      <w:r w:rsidRPr="00305B21">
        <w:rPr>
          <w:rFonts w:ascii="Arial" w:hAnsi="Arial" w:cs="Arial"/>
          <w:sz w:val="20"/>
          <w:szCs w:val="20"/>
        </w:rPr>
        <w:t xml:space="preserve"> na</w:t>
      </w:r>
      <w:r>
        <w:rPr>
          <w:rFonts w:ascii="Arial" w:hAnsi="Arial" w:cs="Arial"/>
          <w:sz w:val="20"/>
          <w:szCs w:val="20"/>
        </w:rPr>
        <w:t xml:space="preserve"> konieczność p</w:t>
      </w:r>
      <w:r w:rsidRPr="00305B21">
        <w:rPr>
          <w:rFonts w:ascii="Arial" w:hAnsi="Arial" w:cs="Arial"/>
          <w:sz w:val="20"/>
          <w:szCs w:val="20"/>
        </w:rPr>
        <w:t>oprawy</w:t>
      </w:r>
      <w:r>
        <w:rPr>
          <w:rFonts w:ascii="Arial" w:hAnsi="Arial" w:cs="Arial"/>
          <w:sz w:val="20"/>
          <w:szCs w:val="20"/>
        </w:rPr>
        <w:t xml:space="preserve"> i wzmocnienia</w:t>
      </w:r>
      <w:r w:rsidRPr="00305B21">
        <w:rPr>
          <w:rFonts w:ascii="Arial" w:hAnsi="Arial" w:cs="Arial"/>
          <w:sz w:val="20"/>
          <w:szCs w:val="20"/>
        </w:rPr>
        <w:t xml:space="preserve"> wydolności systemu reagowania i leczenia w</w:t>
      </w:r>
      <w:r w:rsidR="00A065EA">
        <w:rPr>
          <w:rFonts w:ascii="Arial" w:hAnsi="Arial" w:cs="Arial"/>
          <w:sz w:val="20"/>
          <w:szCs w:val="20"/>
        </w:rPr>
        <w:t> </w:t>
      </w:r>
      <w:r w:rsidRPr="00305B21">
        <w:rPr>
          <w:rFonts w:ascii="Arial" w:hAnsi="Arial" w:cs="Arial"/>
          <w:sz w:val="20"/>
          <w:szCs w:val="20"/>
        </w:rPr>
        <w:t xml:space="preserve">warunkach </w:t>
      </w:r>
      <w:r>
        <w:rPr>
          <w:rFonts w:ascii="Arial" w:hAnsi="Arial" w:cs="Arial"/>
          <w:sz w:val="20"/>
          <w:szCs w:val="20"/>
        </w:rPr>
        <w:t>kryzysu</w:t>
      </w:r>
      <w:r w:rsidRPr="00305B21">
        <w:rPr>
          <w:rFonts w:ascii="Arial" w:hAnsi="Arial" w:cs="Arial"/>
          <w:sz w:val="20"/>
          <w:szCs w:val="20"/>
        </w:rPr>
        <w:t xml:space="preserve">. </w:t>
      </w:r>
      <w:r>
        <w:rPr>
          <w:rFonts w:ascii="Arial" w:hAnsi="Arial" w:cs="Arial"/>
          <w:sz w:val="20"/>
          <w:szCs w:val="20"/>
        </w:rPr>
        <w:t>Realizowane projekty powinny wpisywać się w systemowe</w:t>
      </w:r>
      <w:r w:rsidRPr="00305B21">
        <w:rPr>
          <w:rFonts w:ascii="Arial" w:hAnsi="Arial" w:cs="Arial"/>
          <w:sz w:val="20"/>
          <w:szCs w:val="20"/>
        </w:rPr>
        <w:t xml:space="preserve"> </w:t>
      </w:r>
      <w:r>
        <w:rPr>
          <w:rFonts w:ascii="Arial" w:hAnsi="Arial" w:cs="Arial"/>
          <w:sz w:val="20"/>
          <w:szCs w:val="20"/>
        </w:rPr>
        <w:t>ramy wsparcia infrastruktury ochrony zdrowia. Oznacza to zaangażowanie funduszy w odniesieniu do wszystkich podmiotów systemu opieki zdrowotnej realizujących zadania w zakresie wykrywania i identyfikacji osób chorych jak i zaa</w:t>
      </w:r>
      <w:r w:rsidR="00A103E4">
        <w:rPr>
          <w:rFonts w:ascii="Arial" w:hAnsi="Arial" w:cs="Arial"/>
          <w:sz w:val="20"/>
          <w:szCs w:val="20"/>
        </w:rPr>
        <w:t>n</w:t>
      </w:r>
      <w:r>
        <w:rPr>
          <w:rFonts w:ascii="Arial" w:hAnsi="Arial" w:cs="Arial"/>
          <w:sz w:val="20"/>
          <w:szCs w:val="20"/>
        </w:rPr>
        <w:t>gażowanych na etapie leczenia</w:t>
      </w:r>
      <w:r w:rsidRPr="00305B21">
        <w:rPr>
          <w:rFonts w:ascii="Arial" w:hAnsi="Arial" w:cs="Arial"/>
          <w:sz w:val="20"/>
          <w:szCs w:val="20"/>
        </w:rPr>
        <w:t xml:space="preserve"> pacjentów.</w:t>
      </w:r>
      <w:r>
        <w:rPr>
          <w:rFonts w:ascii="Arial" w:hAnsi="Arial" w:cs="Arial"/>
          <w:sz w:val="20"/>
          <w:szCs w:val="20"/>
        </w:rPr>
        <w:t xml:space="preserve"> </w:t>
      </w:r>
    </w:p>
    <w:p w14:paraId="0B0E72CC" w14:textId="77777777" w:rsidR="004E45FD" w:rsidRPr="00CC7BCE" w:rsidRDefault="004E45FD" w:rsidP="004E45FD">
      <w:pPr>
        <w:spacing w:after="120"/>
        <w:jc w:val="both"/>
        <w:rPr>
          <w:rFonts w:ascii="Arial" w:hAnsi="Arial" w:cs="Arial"/>
          <w:sz w:val="20"/>
          <w:szCs w:val="20"/>
        </w:rPr>
      </w:pPr>
      <w:r>
        <w:rPr>
          <w:rFonts w:ascii="Arial" w:hAnsi="Arial" w:cs="Arial"/>
          <w:sz w:val="20"/>
          <w:szCs w:val="20"/>
        </w:rPr>
        <w:t xml:space="preserve">Pandemia wpłynęła znacząco na sektor ochrony zdrowia. Dlatego ważnym obszarem działań systemowych będzie podejmowanie realizacji inwestycji o charakterze kompensacyjnym mającym na celu wzmocnienie systemu ochrony zdrowia jako całości. Planowane inwestycje wspomogą system ochrony zdrowia w odbudowie po pandemii, przyczyniając się również do poprawy dostępności usług na niższym poziomie (np. pogłębionej diagnostyki w ramach ambulatoryjnej opieki specjalistycznej). </w:t>
      </w:r>
      <w:bookmarkStart w:id="455" w:name="_Hlk71642058"/>
      <w:r w:rsidRPr="00CC7BCE">
        <w:rPr>
          <w:rFonts w:ascii="Arial" w:hAnsi="Arial" w:cs="Arial"/>
          <w:sz w:val="20"/>
          <w:szCs w:val="20"/>
        </w:rPr>
        <w:t xml:space="preserve">Projekty powinny również </w:t>
      </w:r>
      <w:proofErr w:type="spellStart"/>
      <w:r>
        <w:rPr>
          <w:rFonts w:ascii="Arial" w:hAnsi="Arial" w:cs="Arial"/>
          <w:sz w:val="20"/>
          <w:szCs w:val="20"/>
        </w:rPr>
        <w:t>u</w:t>
      </w:r>
      <w:r w:rsidRPr="00A65112">
        <w:rPr>
          <w:rFonts w:ascii="Arial" w:hAnsi="Arial" w:cs="Arial"/>
          <w:sz w:val="20"/>
          <w:szCs w:val="20"/>
        </w:rPr>
        <w:t>zwgl</w:t>
      </w:r>
      <w:r w:rsidR="00842674">
        <w:rPr>
          <w:rFonts w:ascii="Arial" w:hAnsi="Arial" w:cs="Arial"/>
          <w:sz w:val="20"/>
          <w:szCs w:val="20"/>
        </w:rPr>
        <w:t>ę</w:t>
      </w:r>
      <w:r w:rsidRPr="00A65112">
        <w:rPr>
          <w:rFonts w:ascii="Arial" w:hAnsi="Arial" w:cs="Arial"/>
          <w:sz w:val="20"/>
          <w:szCs w:val="20"/>
        </w:rPr>
        <w:t>dniać</w:t>
      </w:r>
      <w:proofErr w:type="spellEnd"/>
      <w:r w:rsidRPr="00CC7BCE">
        <w:rPr>
          <w:rFonts w:ascii="Arial" w:hAnsi="Arial" w:cs="Arial"/>
          <w:sz w:val="20"/>
          <w:szCs w:val="20"/>
        </w:rPr>
        <w:t xml:space="preserve"> przeniesieni</w:t>
      </w:r>
      <w:r>
        <w:rPr>
          <w:rFonts w:ascii="Arial" w:hAnsi="Arial" w:cs="Arial"/>
          <w:sz w:val="20"/>
          <w:szCs w:val="20"/>
        </w:rPr>
        <w:t>e</w:t>
      </w:r>
      <w:r w:rsidRPr="00CC7BCE">
        <w:rPr>
          <w:rFonts w:ascii="Arial" w:hAnsi="Arial" w:cs="Arial"/>
          <w:sz w:val="20"/>
          <w:szCs w:val="20"/>
        </w:rPr>
        <w:t xml:space="preserve"> akcentów z opieki szpitalnej do opieki ambulatoryjnej lub na rozw</w:t>
      </w:r>
      <w:r>
        <w:rPr>
          <w:rFonts w:ascii="Arial" w:hAnsi="Arial" w:cs="Arial"/>
          <w:sz w:val="20"/>
          <w:szCs w:val="20"/>
        </w:rPr>
        <w:t>ój</w:t>
      </w:r>
      <w:r w:rsidRPr="00CC7BCE">
        <w:rPr>
          <w:rFonts w:ascii="Arial" w:hAnsi="Arial" w:cs="Arial"/>
          <w:sz w:val="20"/>
          <w:szCs w:val="20"/>
        </w:rPr>
        <w:t xml:space="preserve"> świadczeń udzielanych w trybie jednodniowym. </w:t>
      </w:r>
      <w:bookmarkEnd w:id="455"/>
    </w:p>
    <w:p w14:paraId="4456BA13" w14:textId="77777777" w:rsidR="004E45FD" w:rsidRDefault="004E45FD" w:rsidP="004E45FD">
      <w:pPr>
        <w:jc w:val="both"/>
        <w:rPr>
          <w:rFonts w:ascii="Arial" w:hAnsi="Arial" w:cs="Arial"/>
          <w:sz w:val="20"/>
          <w:szCs w:val="20"/>
        </w:rPr>
      </w:pPr>
      <w:r w:rsidRPr="007E1129">
        <w:rPr>
          <w:rFonts w:ascii="Arial" w:hAnsi="Arial" w:cs="Arial"/>
          <w:bCs/>
          <w:sz w:val="20"/>
          <w:szCs w:val="20"/>
        </w:rPr>
        <w:t xml:space="preserve">W ramach osi priorytetowej wsparte zostaną </w:t>
      </w:r>
      <w:r>
        <w:rPr>
          <w:rFonts w:ascii="Arial" w:hAnsi="Arial" w:cs="Arial"/>
          <w:sz w:val="20"/>
          <w:szCs w:val="20"/>
        </w:rPr>
        <w:t xml:space="preserve">podmioty lecznicze o znaczeniu ponadregionalnym, </w:t>
      </w:r>
      <w:bookmarkStart w:id="456" w:name="_Hlk72520665"/>
      <w:bookmarkStart w:id="457" w:name="_Hlk66309498"/>
      <w:r>
        <w:rPr>
          <w:rFonts w:ascii="Arial" w:hAnsi="Arial" w:cs="Arial"/>
          <w:sz w:val="20"/>
          <w:szCs w:val="20"/>
        </w:rPr>
        <w:t>podmioty lecznicze wyspecjalizowane w zakresie onkologii</w:t>
      </w:r>
      <w:bookmarkEnd w:id="456"/>
      <w:r>
        <w:rPr>
          <w:rStyle w:val="Odwoanieprzypisudolnego"/>
          <w:rFonts w:ascii="Arial" w:hAnsi="Arial" w:cs="Arial"/>
          <w:sz w:val="20"/>
          <w:szCs w:val="20"/>
        </w:rPr>
        <w:footnoteReference w:id="94"/>
      </w:r>
      <w:bookmarkEnd w:id="457"/>
      <w:r>
        <w:rPr>
          <w:rFonts w:ascii="Arial" w:hAnsi="Arial" w:cs="Arial"/>
          <w:sz w:val="20"/>
          <w:szCs w:val="20"/>
        </w:rPr>
        <w:t xml:space="preserve">, podmioty lecznicze udzielające świadczeń dedykowanych chorobom zakaźnym, </w:t>
      </w:r>
      <w:r w:rsidRPr="007E1129">
        <w:rPr>
          <w:rFonts w:ascii="Arial" w:hAnsi="Arial" w:cs="Arial"/>
          <w:sz w:val="20"/>
          <w:szCs w:val="20"/>
        </w:rPr>
        <w:t>podmioty funkcjonujące w obszarze publicznej służby krwi, podmioty lecznicze przeszczepiające narządy</w:t>
      </w:r>
      <w:r w:rsidR="00A103E4">
        <w:rPr>
          <w:rFonts w:ascii="Arial" w:hAnsi="Arial" w:cs="Arial"/>
          <w:sz w:val="20"/>
          <w:szCs w:val="20"/>
        </w:rPr>
        <w:t>,</w:t>
      </w:r>
      <w:r>
        <w:rPr>
          <w:rFonts w:ascii="Arial" w:hAnsi="Arial" w:cs="Arial"/>
          <w:sz w:val="20"/>
          <w:szCs w:val="20"/>
        </w:rPr>
        <w:t xml:space="preserve"> </w:t>
      </w:r>
      <w:r w:rsidRPr="000635D2">
        <w:rPr>
          <w:rFonts w:ascii="Arial" w:hAnsi="Arial" w:cs="Arial"/>
          <w:sz w:val="20"/>
          <w:szCs w:val="20"/>
        </w:rPr>
        <w:t>organy Państwowej Inspekcji Sanitarnej</w:t>
      </w:r>
      <w:r w:rsidR="00A103E4">
        <w:rPr>
          <w:rFonts w:ascii="Arial" w:hAnsi="Arial" w:cs="Arial"/>
          <w:sz w:val="20"/>
          <w:szCs w:val="20"/>
        </w:rPr>
        <w:t xml:space="preserve"> oraz podmioty lecznicze </w:t>
      </w:r>
      <w:r w:rsidR="00A103E4" w:rsidRPr="00ED605B">
        <w:rPr>
          <w:rFonts w:ascii="Arial" w:hAnsi="Arial" w:cs="Arial"/>
          <w:sz w:val="20"/>
          <w:szCs w:val="20"/>
        </w:rPr>
        <w:t>udzielając</w:t>
      </w:r>
      <w:r w:rsidR="00A103E4">
        <w:rPr>
          <w:rFonts w:ascii="Arial" w:hAnsi="Arial" w:cs="Arial"/>
          <w:sz w:val="20"/>
          <w:szCs w:val="20"/>
        </w:rPr>
        <w:t>e</w:t>
      </w:r>
      <w:r w:rsidR="00A103E4" w:rsidRPr="00ED605B">
        <w:rPr>
          <w:rFonts w:ascii="Arial" w:hAnsi="Arial" w:cs="Arial"/>
          <w:sz w:val="20"/>
          <w:szCs w:val="20"/>
        </w:rPr>
        <w:t xml:space="preserve"> świadczeń gwarantowanych w rodzaju podstawowa opieka zdrowotna</w:t>
      </w:r>
      <w:r>
        <w:rPr>
          <w:rFonts w:ascii="Arial" w:hAnsi="Arial" w:cs="Arial"/>
          <w:sz w:val="20"/>
          <w:szCs w:val="20"/>
        </w:rPr>
        <w:t xml:space="preserve">. </w:t>
      </w:r>
    </w:p>
    <w:p w14:paraId="4E2D4D0F" w14:textId="77777777" w:rsidR="004E45FD" w:rsidRPr="00305B21" w:rsidRDefault="004E45FD" w:rsidP="004E45FD">
      <w:pPr>
        <w:spacing w:after="120"/>
        <w:jc w:val="both"/>
        <w:rPr>
          <w:rFonts w:ascii="Arial" w:hAnsi="Arial" w:cs="Arial"/>
          <w:sz w:val="20"/>
          <w:szCs w:val="20"/>
        </w:rPr>
      </w:pPr>
      <w:r w:rsidRPr="000E5729">
        <w:rPr>
          <w:rFonts w:ascii="Arial" w:hAnsi="Arial" w:cs="Arial"/>
          <w:sz w:val="20"/>
          <w:szCs w:val="20"/>
        </w:rPr>
        <w:t>Przewiduje się w szczególności następujące typy projektów</w:t>
      </w:r>
      <w:r>
        <w:rPr>
          <w:rFonts w:ascii="Arial" w:hAnsi="Arial" w:cs="Arial"/>
          <w:sz w:val="20"/>
          <w:szCs w:val="20"/>
        </w:rPr>
        <w:t>:</w:t>
      </w:r>
    </w:p>
    <w:p w14:paraId="3AF21057" w14:textId="2582958D" w:rsidR="004E45FD" w:rsidRDefault="004E45FD" w:rsidP="004E45FD">
      <w:pPr>
        <w:numPr>
          <w:ilvl w:val="0"/>
          <w:numId w:val="104"/>
        </w:numPr>
        <w:spacing w:after="120"/>
        <w:jc w:val="both"/>
        <w:rPr>
          <w:rFonts w:ascii="Arial" w:hAnsi="Arial" w:cs="Arial"/>
          <w:sz w:val="20"/>
          <w:szCs w:val="20"/>
        </w:rPr>
      </w:pPr>
      <w:r w:rsidRPr="001A40A3">
        <w:rPr>
          <w:rFonts w:ascii="Arial" w:hAnsi="Arial" w:cs="Arial"/>
          <w:sz w:val="20"/>
          <w:szCs w:val="20"/>
        </w:rPr>
        <w:t xml:space="preserve">wsparcie oddziałów oraz innych jednostek organizacyjnych </w:t>
      </w:r>
      <w:r>
        <w:rPr>
          <w:rFonts w:ascii="Arial" w:hAnsi="Arial" w:cs="Arial"/>
          <w:sz w:val="20"/>
          <w:szCs w:val="20"/>
        </w:rPr>
        <w:t>podmiotów leczniczych</w:t>
      </w:r>
      <w:r w:rsidRPr="001A40A3">
        <w:rPr>
          <w:rFonts w:ascii="Arial" w:hAnsi="Arial" w:cs="Arial"/>
          <w:sz w:val="20"/>
          <w:szCs w:val="20"/>
        </w:rPr>
        <w:t xml:space="preserve"> ponadregionalnych, udzielających świadczeń zdrowotnych dedykowanych chorobom układu krążenia, nowotworowym, układu kostno-stawowo-mięśniowego, układu oddechowego</w:t>
      </w:r>
      <w:r>
        <w:rPr>
          <w:rFonts w:ascii="Arial" w:hAnsi="Arial" w:cs="Arial"/>
          <w:sz w:val="20"/>
          <w:szCs w:val="20"/>
        </w:rPr>
        <w:t xml:space="preserve"> ; </w:t>
      </w:r>
      <w:r w:rsidRPr="001A40A3">
        <w:rPr>
          <w:rFonts w:ascii="Arial" w:hAnsi="Arial" w:cs="Arial"/>
          <w:sz w:val="20"/>
          <w:szCs w:val="20"/>
        </w:rPr>
        <w:t>w zakresie ginekologii, położnictwa, neonatologii, pediatrii oraz innych oddziałów zajmujących się leczeniem dzieci (roboty budowlane, doposażenie</w:t>
      </w:r>
      <w:r>
        <w:rPr>
          <w:rStyle w:val="Odwoanieprzypisudolnego"/>
          <w:rFonts w:ascii="Arial" w:hAnsi="Arial" w:cs="Arial"/>
          <w:sz w:val="20"/>
          <w:szCs w:val="20"/>
        </w:rPr>
        <w:footnoteReference w:id="95"/>
      </w:r>
      <w:r>
        <w:rPr>
          <w:rFonts w:ascii="Arial" w:hAnsi="Arial" w:cs="Arial"/>
          <w:sz w:val="20"/>
          <w:szCs w:val="20"/>
        </w:rPr>
        <w:t xml:space="preserve">, </w:t>
      </w:r>
      <w:r w:rsidRPr="00BC1B7F">
        <w:rPr>
          <w:rFonts w:ascii="Arial" w:hAnsi="Arial" w:cs="Arial"/>
          <w:sz w:val="20"/>
          <w:szCs w:val="20"/>
        </w:rPr>
        <w:t>w tym zakup wyrobów medycznych jednorazowego użytku, środków ochrony indywidualnej oraz środków do dezynfekcji</w:t>
      </w:r>
      <w:r w:rsidRPr="001A40A3">
        <w:rPr>
          <w:rFonts w:ascii="Arial" w:hAnsi="Arial" w:cs="Arial"/>
          <w:sz w:val="20"/>
          <w:szCs w:val="20"/>
        </w:rPr>
        <w:t>)</w:t>
      </w:r>
      <w:r w:rsidR="0046724A">
        <w:rPr>
          <w:rFonts w:ascii="Arial" w:hAnsi="Arial" w:cs="Arial"/>
          <w:sz w:val="20"/>
          <w:szCs w:val="20"/>
        </w:rPr>
        <w:t>;</w:t>
      </w:r>
    </w:p>
    <w:p w14:paraId="7369B5EA" w14:textId="77777777" w:rsidR="00EE1F94" w:rsidRPr="00EE1F94" w:rsidRDefault="00EE1F94" w:rsidP="00EE1F94">
      <w:pPr>
        <w:pStyle w:val="Akapitzlist"/>
        <w:numPr>
          <w:ilvl w:val="0"/>
          <w:numId w:val="104"/>
        </w:numPr>
        <w:rPr>
          <w:rFonts w:ascii="Arial" w:hAnsi="Arial" w:cs="Arial"/>
          <w:sz w:val="20"/>
          <w:szCs w:val="20"/>
          <w:lang w:val="pl-PL"/>
        </w:rPr>
      </w:pPr>
      <w:r w:rsidRPr="00EE1F94">
        <w:rPr>
          <w:rFonts w:ascii="Arial" w:hAnsi="Arial" w:cs="Arial"/>
          <w:sz w:val="20"/>
          <w:szCs w:val="20"/>
          <w:lang w:val="pl-PL"/>
        </w:rPr>
        <w:t xml:space="preserve">wsparcie oddziałów zakaźnych oraz innych jednostek organizacyjnych podmiotów leczniczych udzielających świadczeń zdrowotnych dedykowanych chorobom zakaźnym (roboty budowlane, doposażenie , w tym zakup wyrobów medycznych jednorazowego użytku, środków ochrony indywidualnej oraz środków do dezynfekcji); </w:t>
      </w:r>
    </w:p>
    <w:p w14:paraId="3974C9D2" w14:textId="1DB004B0" w:rsidR="004E45FD" w:rsidRPr="00EE1F94" w:rsidRDefault="004E45FD" w:rsidP="00EE1F94">
      <w:pPr>
        <w:numPr>
          <w:ilvl w:val="0"/>
          <w:numId w:val="104"/>
        </w:numPr>
        <w:spacing w:after="120"/>
        <w:jc w:val="both"/>
        <w:rPr>
          <w:rFonts w:ascii="Arial" w:hAnsi="Arial" w:cs="Arial"/>
          <w:sz w:val="20"/>
          <w:szCs w:val="20"/>
        </w:rPr>
      </w:pPr>
      <w:r>
        <w:rPr>
          <w:rFonts w:ascii="Arial" w:hAnsi="Arial" w:cs="Arial"/>
          <w:sz w:val="20"/>
          <w:szCs w:val="20"/>
        </w:rPr>
        <w:lastRenderedPageBreak/>
        <w:t xml:space="preserve">wsparcie </w:t>
      </w:r>
      <w:bookmarkStart w:id="458" w:name="_Hlk72520709"/>
      <w:r>
        <w:rPr>
          <w:rFonts w:ascii="Arial" w:hAnsi="Arial" w:cs="Arial"/>
          <w:sz w:val="20"/>
          <w:szCs w:val="20"/>
        </w:rPr>
        <w:t>oddziałów oraz innych jednostek organizacyjnych</w:t>
      </w:r>
      <w:r w:rsidRPr="006009B7">
        <w:rPr>
          <w:rFonts w:ascii="Arial" w:hAnsi="Arial" w:cs="Arial"/>
          <w:sz w:val="20"/>
          <w:szCs w:val="20"/>
        </w:rPr>
        <w:t xml:space="preserve"> </w:t>
      </w:r>
      <w:r>
        <w:rPr>
          <w:rFonts w:ascii="Arial" w:hAnsi="Arial" w:cs="Arial"/>
          <w:sz w:val="20"/>
          <w:szCs w:val="20"/>
        </w:rPr>
        <w:t>podmiotów leczniczych</w:t>
      </w:r>
      <w:r w:rsidRPr="001A40A3">
        <w:rPr>
          <w:rFonts w:ascii="Arial" w:hAnsi="Arial" w:cs="Arial"/>
          <w:sz w:val="20"/>
          <w:szCs w:val="20"/>
        </w:rPr>
        <w:t xml:space="preserve"> </w:t>
      </w:r>
      <w:r w:rsidRPr="006009B7">
        <w:rPr>
          <w:rFonts w:ascii="Arial" w:hAnsi="Arial" w:cs="Arial"/>
          <w:sz w:val="20"/>
          <w:szCs w:val="20"/>
        </w:rPr>
        <w:t xml:space="preserve"> wyspecjalizowanych w zakresie onkologii </w:t>
      </w:r>
      <w:bookmarkEnd w:id="458"/>
      <w:r w:rsidRPr="00796D9E">
        <w:rPr>
          <w:rFonts w:ascii="Arial" w:hAnsi="Arial" w:cs="Arial"/>
          <w:sz w:val="20"/>
          <w:szCs w:val="20"/>
        </w:rPr>
        <w:t>(</w:t>
      </w:r>
      <w:r>
        <w:rPr>
          <w:rFonts w:ascii="Arial" w:hAnsi="Arial" w:cs="Arial"/>
          <w:sz w:val="20"/>
          <w:szCs w:val="20"/>
        </w:rPr>
        <w:t xml:space="preserve">roboty budowlane, </w:t>
      </w:r>
      <w:r w:rsidRPr="006009B7">
        <w:rPr>
          <w:rFonts w:ascii="Arial" w:hAnsi="Arial" w:cs="Arial"/>
          <w:sz w:val="20"/>
          <w:szCs w:val="20"/>
        </w:rPr>
        <w:t>doposażenie</w:t>
      </w:r>
      <w:r>
        <w:rPr>
          <w:rStyle w:val="Odwoanieprzypisudolnego"/>
          <w:rFonts w:ascii="Arial" w:hAnsi="Arial" w:cs="Arial"/>
          <w:sz w:val="20"/>
          <w:szCs w:val="20"/>
        </w:rPr>
        <w:footnoteReference w:id="96"/>
      </w:r>
      <w:r w:rsidRPr="006009B7">
        <w:rPr>
          <w:rFonts w:ascii="Arial" w:hAnsi="Arial" w:cs="Arial"/>
          <w:sz w:val="20"/>
          <w:szCs w:val="20"/>
        </w:rPr>
        <w:t>)</w:t>
      </w:r>
      <w:r w:rsidR="00EE1F94">
        <w:rPr>
          <w:rFonts w:ascii="Arial" w:hAnsi="Arial" w:cs="Arial"/>
          <w:sz w:val="20"/>
          <w:szCs w:val="20"/>
        </w:rPr>
        <w:t xml:space="preserve">, </w:t>
      </w:r>
      <w:r w:rsidR="00EE1F94" w:rsidRPr="00445BE9">
        <w:rPr>
          <w:rFonts w:ascii="Arial" w:eastAsia="Times New Roman" w:hAnsi="Arial" w:cs="Arial"/>
          <w:spacing w:val="4"/>
          <w:sz w:val="20"/>
          <w:szCs w:val="20"/>
          <w:lang w:eastAsia="ar-SA"/>
        </w:rPr>
        <w:t>w tym zakup wyrobów medycznych jednorazowego użytku, środków ochrony indywidualnej oraz środków do dezynfekcji);</w:t>
      </w:r>
    </w:p>
    <w:p w14:paraId="506F41D9" w14:textId="77777777" w:rsidR="00A103E4" w:rsidRDefault="00A103E4" w:rsidP="00EE1F94">
      <w:pPr>
        <w:numPr>
          <w:ilvl w:val="0"/>
          <w:numId w:val="104"/>
        </w:numPr>
        <w:spacing w:after="120"/>
        <w:jc w:val="both"/>
        <w:rPr>
          <w:rFonts w:ascii="Arial" w:hAnsi="Arial" w:cs="Arial"/>
          <w:sz w:val="20"/>
          <w:szCs w:val="20"/>
        </w:rPr>
      </w:pPr>
      <w:r>
        <w:rPr>
          <w:rFonts w:ascii="Arial" w:hAnsi="Arial" w:cs="Arial"/>
          <w:sz w:val="20"/>
          <w:szCs w:val="20"/>
        </w:rPr>
        <w:t>w</w:t>
      </w:r>
      <w:r w:rsidRPr="00B93A36">
        <w:rPr>
          <w:rFonts w:ascii="Arial" w:hAnsi="Arial" w:cs="Arial"/>
          <w:sz w:val="20"/>
          <w:szCs w:val="20"/>
        </w:rPr>
        <w:t xml:space="preserve">sparcie </w:t>
      </w:r>
      <w:r w:rsidRPr="00796D9E">
        <w:rPr>
          <w:rFonts w:ascii="Arial" w:hAnsi="Arial" w:cs="Arial"/>
          <w:sz w:val="20"/>
          <w:szCs w:val="20"/>
        </w:rPr>
        <w:t xml:space="preserve">oddziałów oraz innych jednostek organizacyjnych </w:t>
      </w:r>
      <w:r>
        <w:rPr>
          <w:rFonts w:ascii="Arial" w:hAnsi="Arial" w:cs="Arial"/>
          <w:sz w:val="20"/>
          <w:szCs w:val="20"/>
        </w:rPr>
        <w:t xml:space="preserve">podmiotów leczniczych </w:t>
      </w:r>
      <w:r w:rsidR="00EE1F94" w:rsidRPr="00EE1F94">
        <w:rPr>
          <w:rFonts w:ascii="Arial" w:hAnsi="Arial" w:cs="Arial"/>
          <w:sz w:val="20"/>
          <w:szCs w:val="20"/>
        </w:rPr>
        <w:t>(ośrodków referencyjnych)</w:t>
      </w:r>
      <w:r w:rsidR="00EE1F94">
        <w:rPr>
          <w:rFonts w:ascii="Arial" w:hAnsi="Arial" w:cs="Arial"/>
          <w:sz w:val="20"/>
          <w:szCs w:val="20"/>
        </w:rPr>
        <w:t xml:space="preserve"> </w:t>
      </w:r>
      <w:r w:rsidRPr="005F0AEB">
        <w:rPr>
          <w:rFonts w:ascii="Arial" w:hAnsi="Arial" w:cs="Arial"/>
          <w:sz w:val="20"/>
          <w:szCs w:val="20"/>
        </w:rPr>
        <w:t>przeszczepiających narządy</w:t>
      </w:r>
      <w:r w:rsidRPr="00054E0B">
        <w:rPr>
          <w:rFonts w:ascii="Arial" w:hAnsi="Arial" w:cs="Arial"/>
          <w:sz w:val="20"/>
          <w:szCs w:val="20"/>
        </w:rPr>
        <w:t xml:space="preserve"> </w:t>
      </w:r>
      <w:r w:rsidRPr="00B93A36">
        <w:rPr>
          <w:rFonts w:ascii="Arial" w:hAnsi="Arial" w:cs="Arial"/>
          <w:sz w:val="20"/>
          <w:szCs w:val="20"/>
        </w:rPr>
        <w:t>(roboty budowlane, doposażenie</w:t>
      </w:r>
      <w:r>
        <w:rPr>
          <w:rStyle w:val="Odwoanieprzypisudolnego"/>
          <w:rFonts w:ascii="Arial" w:hAnsi="Arial" w:cs="Arial"/>
          <w:sz w:val="20"/>
          <w:szCs w:val="20"/>
        </w:rPr>
        <w:footnoteReference w:id="97"/>
      </w:r>
      <w:r>
        <w:rPr>
          <w:rFonts w:ascii="Arial" w:hAnsi="Arial" w:cs="Arial"/>
          <w:sz w:val="20"/>
          <w:szCs w:val="20"/>
        </w:rPr>
        <w:t xml:space="preserve">, </w:t>
      </w:r>
      <w:r w:rsidRPr="00BC1B7F">
        <w:rPr>
          <w:rFonts w:ascii="Arial" w:hAnsi="Arial" w:cs="Arial"/>
          <w:sz w:val="20"/>
          <w:szCs w:val="20"/>
        </w:rPr>
        <w:t>w tym zakup wyrobów medycznych jednorazowego użytku, środków ochrony indywidualnej oraz środków do dezynfekcji</w:t>
      </w:r>
      <w:r w:rsidRPr="00B93A36">
        <w:rPr>
          <w:rFonts w:ascii="Arial" w:hAnsi="Arial" w:cs="Arial"/>
          <w:sz w:val="20"/>
          <w:szCs w:val="20"/>
        </w:rPr>
        <w:t>)</w:t>
      </w:r>
      <w:r>
        <w:rPr>
          <w:rFonts w:ascii="Arial" w:hAnsi="Arial" w:cs="Arial"/>
          <w:sz w:val="20"/>
          <w:szCs w:val="20"/>
        </w:rPr>
        <w:t>;</w:t>
      </w:r>
    </w:p>
    <w:p w14:paraId="573E0363" w14:textId="77777777" w:rsidR="004E45FD" w:rsidRPr="00B93A36" w:rsidRDefault="004E45FD" w:rsidP="004E45FD">
      <w:pPr>
        <w:numPr>
          <w:ilvl w:val="0"/>
          <w:numId w:val="104"/>
        </w:numPr>
        <w:spacing w:after="120"/>
        <w:jc w:val="both"/>
        <w:rPr>
          <w:rFonts w:ascii="Arial" w:hAnsi="Arial" w:cs="Arial"/>
          <w:sz w:val="20"/>
          <w:szCs w:val="20"/>
        </w:rPr>
      </w:pPr>
      <w:r w:rsidRPr="001A40A3">
        <w:rPr>
          <w:rFonts w:ascii="Arial" w:hAnsi="Arial" w:cs="Arial"/>
          <w:sz w:val="20"/>
          <w:szCs w:val="20"/>
        </w:rPr>
        <w:t xml:space="preserve">wsparcie pracowni diagnostycznych oraz innych jednostek zajmujących się diagnostyką, współpracujących z </w:t>
      </w:r>
      <w:r>
        <w:rPr>
          <w:rFonts w:ascii="Arial" w:hAnsi="Arial" w:cs="Arial"/>
          <w:sz w:val="20"/>
          <w:szCs w:val="20"/>
        </w:rPr>
        <w:t>oddziałami/</w:t>
      </w:r>
      <w:r w:rsidRPr="001A40A3">
        <w:rPr>
          <w:rFonts w:ascii="Arial" w:hAnsi="Arial" w:cs="Arial"/>
          <w:sz w:val="20"/>
          <w:szCs w:val="20"/>
        </w:rPr>
        <w:t>jednostkami wymienionymi powyże</w:t>
      </w:r>
      <w:r>
        <w:rPr>
          <w:rFonts w:ascii="Arial" w:hAnsi="Arial" w:cs="Arial"/>
          <w:sz w:val="20"/>
          <w:szCs w:val="20"/>
        </w:rPr>
        <w:t>j (roboty budowalne, doposażenie</w:t>
      </w:r>
      <w:r>
        <w:rPr>
          <w:rStyle w:val="Odwoanieprzypisudolnego"/>
          <w:rFonts w:ascii="Arial" w:hAnsi="Arial" w:cs="Arial"/>
          <w:sz w:val="20"/>
          <w:szCs w:val="20"/>
        </w:rPr>
        <w:footnoteReference w:id="98"/>
      </w:r>
      <w:r>
        <w:rPr>
          <w:rFonts w:ascii="Arial" w:hAnsi="Arial" w:cs="Arial"/>
          <w:sz w:val="20"/>
          <w:szCs w:val="20"/>
        </w:rPr>
        <w:t xml:space="preserve">, </w:t>
      </w:r>
      <w:r w:rsidRPr="00BC1B7F">
        <w:rPr>
          <w:rFonts w:ascii="Arial" w:hAnsi="Arial" w:cs="Arial"/>
          <w:sz w:val="20"/>
          <w:szCs w:val="20"/>
        </w:rPr>
        <w:t>w tym zakup wyrobów medycznych jednorazowego użytku, środków ochrony indywidualnej oraz środków do dezynfekcji</w:t>
      </w:r>
      <w:r>
        <w:rPr>
          <w:rFonts w:ascii="Arial" w:hAnsi="Arial" w:cs="Arial"/>
          <w:sz w:val="20"/>
          <w:szCs w:val="20"/>
        </w:rPr>
        <w:t xml:space="preserve">); </w:t>
      </w:r>
    </w:p>
    <w:p w14:paraId="0114D9D7" w14:textId="506553A4" w:rsidR="004E45FD" w:rsidRPr="00F16918" w:rsidRDefault="004E45FD" w:rsidP="004E45FD">
      <w:pPr>
        <w:numPr>
          <w:ilvl w:val="0"/>
          <w:numId w:val="104"/>
        </w:numPr>
        <w:spacing w:after="120"/>
        <w:jc w:val="both"/>
        <w:rPr>
          <w:rFonts w:ascii="Arial" w:hAnsi="Arial" w:cs="Arial"/>
          <w:sz w:val="20"/>
          <w:szCs w:val="20"/>
        </w:rPr>
      </w:pPr>
      <w:r w:rsidRPr="00F16918">
        <w:rPr>
          <w:rFonts w:ascii="Arial" w:hAnsi="Arial" w:cs="Arial"/>
          <w:sz w:val="20"/>
          <w:szCs w:val="20"/>
        </w:rPr>
        <w:t xml:space="preserve">wsparcie </w:t>
      </w:r>
      <w:r>
        <w:rPr>
          <w:rFonts w:ascii="Arial" w:hAnsi="Arial" w:cs="Arial"/>
          <w:sz w:val="20"/>
          <w:szCs w:val="20"/>
        </w:rPr>
        <w:t xml:space="preserve">organów Państwowej Inspekcji Sanitarnej </w:t>
      </w:r>
      <w:r w:rsidRPr="00F16918">
        <w:rPr>
          <w:rFonts w:ascii="Arial" w:hAnsi="Arial" w:cs="Arial"/>
          <w:sz w:val="20"/>
          <w:szCs w:val="20"/>
        </w:rPr>
        <w:t>(roboty budowlane, doposażenie</w:t>
      </w:r>
      <w:r>
        <w:rPr>
          <w:rStyle w:val="Odwoanieprzypisudolnego"/>
          <w:rFonts w:ascii="Arial" w:hAnsi="Arial" w:cs="Arial"/>
          <w:sz w:val="20"/>
          <w:szCs w:val="20"/>
        </w:rPr>
        <w:footnoteReference w:id="99"/>
      </w:r>
      <w:r w:rsidRPr="00F16918">
        <w:rPr>
          <w:rFonts w:ascii="Arial" w:hAnsi="Arial" w:cs="Arial"/>
          <w:sz w:val="20"/>
          <w:szCs w:val="20"/>
        </w:rPr>
        <w:t>, w tym zakup wyrobów medycznych jednorazowego użytku, środków ochrony indywidualnej oraz środków do dezynfekcji);</w:t>
      </w:r>
    </w:p>
    <w:p w14:paraId="17F5BDA9" w14:textId="77777777" w:rsidR="004E45FD" w:rsidRPr="00B93A36" w:rsidRDefault="004E45FD" w:rsidP="004E45FD">
      <w:pPr>
        <w:numPr>
          <w:ilvl w:val="0"/>
          <w:numId w:val="104"/>
        </w:numPr>
        <w:autoSpaceDE w:val="0"/>
        <w:autoSpaceDN w:val="0"/>
        <w:adjustRightInd w:val="0"/>
        <w:spacing w:before="120" w:after="120"/>
        <w:jc w:val="both"/>
        <w:rPr>
          <w:rFonts w:ascii="Arial" w:hAnsi="Arial" w:cs="Arial"/>
          <w:spacing w:val="4"/>
          <w:sz w:val="20"/>
          <w:szCs w:val="20"/>
        </w:rPr>
      </w:pPr>
      <w:r>
        <w:rPr>
          <w:rFonts w:ascii="Arial" w:hAnsi="Arial" w:cs="Arial"/>
          <w:sz w:val="20"/>
          <w:szCs w:val="20"/>
        </w:rPr>
        <w:t>w</w:t>
      </w:r>
      <w:r w:rsidRPr="00B93A36">
        <w:rPr>
          <w:rFonts w:ascii="Arial" w:hAnsi="Arial" w:cs="Arial"/>
          <w:sz w:val="20"/>
          <w:szCs w:val="20"/>
        </w:rPr>
        <w:t xml:space="preserve">sparcie </w:t>
      </w:r>
      <w:r w:rsidRPr="005F0AEB">
        <w:rPr>
          <w:rFonts w:ascii="Arial" w:hAnsi="Arial" w:cs="Arial"/>
          <w:sz w:val="20"/>
          <w:szCs w:val="20"/>
        </w:rPr>
        <w:t>podmiotów funkcjonujących w obszarze publicznej służby krwi</w:t>
      </w:r>
      <w:r w:rsidDel="00B7134E">
        <w:rPr>
          <w:rFonts w:ascii="Arial" w:hAnsi="Arial" w:cs="Arial"/>
          <w:sz w:val="20"/>
          <w:szCs w:val="20"/>
        </w:rPr>
        <w:t xml:space="preserve"> </w:t>
      </w:r>
      <w:r w:rsidRPr="00B93A36">
        <w:rPr>
          <w:rFonts w:ascii="Arial" w:hAnsi="Arial" w:cs="Arial"/>
          <w:sz w:val="20"/>
          <w:szCs w:val="20"/>
        </w:rPr>
        <w:t>(roboty budowlane, doposażenie</w:t>
      </w:r>
      <w:r>
        <w:rPr>
          <w:rStyle w:val="Odwoanieprzypisudolnego"/>
          <w:rFonts w:ascii="Arial" w:hAnsi="Arial" w:cs="Arial"/>
          <w:sz w:val="20"/>
          <w:szCs w:val="20"/>
        </w:rPr>
        <w:footnoteReference w:id="100"/>
      </w:r>
      <w:r>
        <w:rPr>
          <w:rFonts w:ascii="Arial" w:hAnsi="Arial" w:cs="Arial"/>
          <w:sz w:val="20"/>
          <w:szCs w:val="20"/>
        </w:rPr>
        <w:t xml:space="preserve">, </w:t>
      </w:r>
      <w:r w:rsidRPr="00BC1B7F">
        <w:rPr>
          <w:rFonts w:ascii="Arial" w:hAnsi="Arial" w:cs="Arial"/>
          <w:sz w:val="20"/>
          <w:szCs w:val="20"/>
        </w:rPr>
        <w:t>w tym zakup wyrobów medycznych jednorazowego użytku, środków ochrony indywidualnej oraz środków do dezynfekcji</w:t>
      </w:r>
      <w:r>
        <w:rPr>
          <w:rFonts w:ascii="Arial" w:hAnsi="Arial" w:cs="Arial"/>
          <w:sz w:val="20"/>
          <w:szCs w:val="20"/>
        </w:rPr>
        <w:t>);</w:t>
      </w:r>
    </w:p>
    <w:p w14:paraId="4979CAD8" w14:textId="77777777" w:rsidR="004E45FD" w:rsidRDefault="004E45FD" w:rsidP="004E45FD">
      <w:pPr>
        <w:numPr>
          <w:ilvl w:val="0"/>
          <w:numId w:val="104"/>
        </w:numPr>
        <w:spacing w:after="120"/>
        <w:jc w:val="both"/>
        <w:rPr>
          <w:rFonts w:ascii="Arial" w:hAnsi="Arial" w:cs="Arial"/>
          <w:sz w:val="20"/>
          <w:szCs w:val="20"/>
        </w:rPr>
      </w:pPr>
      <w:r w:rsidRPr="00CC7BCE">
        <w:rPr>
          <w:rFonts w:ascii="Arial" w:hAnsi="Arial" w:cs="Arial"/>
          <w:sz w:val="20"/>
          <w:szCs w:val="20"/>
        </w:rPr>
        <w:t>wsparcie jednostek/podmiotów innych niż wymienione powyżej zaangażowanych w realizację działań związanych z zapobieganiem, przeciwdziałaniem i zwalczaniem „COVID-19 (roboty budowlane, doposażenie</w:t>
      </w:r>
      <w:r w:rsidRPr="00CC7BCE">
        <w:rPr>
          <w:rStyle w:val="Odwoanieprzypisudolnego"/>
          <w:rFonts w:ascii="Arial" w:hAnsi="Arial" w:cs="Arial"/>
          <w:sz w:val="20"/>
          <w:szCs w:val="20"/>
        </w:rPr>
        <w:footnoteReference w:id="101"/>
      </w:r>
      <w:r w:rsidRPr="00CC7BCE">
        <w:rPr>
          <w:rFonts w:ascii="Arial" w:hAnsi="Arial" w:cs="Arial"/>
          <w:sz w:val="20"/>
          <w:szCs w:val="20"/>
        </w:rPr>
        <w:t>)</w:t>
      </w:r>
      <w:r w:rsidRPr="00CC7BCE">
        <w:rPr>
          <w:rStyle w:val="Odwoanieprzypisudolnego"/>
          <w:rFonts w:ascii="Arial" w:hAnsi="Arial" w:cs="Arial"/>
          <w:sz w:val="20"/>
          <w:szCs w:val="20"/>
        </w:rPr>
        <w:footnoteReference w:id="102"/>
      </w:r>
      <w:r w:rsidRPr="00CC7BCE">
        <w:rPr>
          <w:rFonts w:ascii="Arial" w:hAnsi="Arial" w:cs="Arial"/>
          <w:sz w:val="20"/>
          <w:szCs w:val="20"/>
        </w:rPr>
        <w:t>.</w:t>
      </w:r>
    </w:p>
    <w:p w14:paraId="6067ACA0" w14:textId="77777777" w:rsidR="00EE1F94" w:rsidRPr="00EE1F94" w:rsidRDefault="00A103E4" w:rsidP="00EE1F94">
      <w:pPr>
        <w:numPr>
          <w:ilvl w:val="0"/>
          <w:numId w:val="104"/>
        </w:numPr>
        <w:spacing w:after="120"/>
        <w:jc w:val="both"/>
        <w:rPr>
          <w:rFonts w:ascii="Arial" w:hAnsi="Arial" w:cs="Arial"/>
          <w:sz w:val="20"/>
          <w:szCs w:val="20"/>
        </w:rPr>
      </w:pPr>
      <w:r>
        <w:rPr>
          <w:rFonts w:ascii="Arial" w:hAnsi="Arial" w:cs="Arial"/>
          <w:sz w:val="20"/>
          <w:szCs w:val="20"/>
        </w:rPr>
        <w:t xml:space="preserve">wsparcie cyfryzacji </w:t>
      </w:r>
      <w:r w:rsidRPr="00ED605B">
        <w:rPr>
          <w:rFonts w:ascii="Arial" w:hAnsi="Arial" w:cs="Arial"/>
          <w:sz w:val="20"/>
          <w:szCs w:val="20"/>
        </w:rPr>
        <w:t>świadczeniodawc</w:t>
      </w:r>
      <w:r>
        <w:rPr>
          <w:rFonts w:ascii="Arial" w:hAnsi="Arial" w:cs="Arial"/>
          <w:sz w:val="20"/>
          <w:szCs w:val="20"/>
        </w:rPr>
        <w:t>ów</w:t>
      </w:r>
      <w:r w:rsidRPr="00ED605B">
        <w:rPr>
          <w:rFonts w:ascii="Arial" w:hAnsi="Arial" w:cs="Arial"/>
          <w:sz w:val="20"/>
          <w:szCs w:val="20"/>
        </w:rPr>
        <w:t xml:space="preserve"> udzielający</w:t>
      </w:r>
      <w:r>
        <w:rPr>
          <w:rFonts w:ascii="Arial" w:hAnsi="Arial" w:cs="Arial"/>
          <w:sz w:val="20"/>
          <w:szCs w:val="20"/>
        </w:rPr>
        <w:t>ch</w:t>
      </w:r>
      <w:r w:rsidRPr="00ED605B">
        <w:rPr>
          <w:rFonts w:ascii="Arial" w:hAnsi="Arial" w:cs="Arial"/>
          <w:sz w:val="20"/>
          <w:szCs w:val="20"/>
        </w:rPr>
        <w:t xml:space="preserve"> świadczeń gwarantowanych w rodzaju podstawowa opieka zdrowotna co najmniej w zakresie „świadczenia lekarza POZ” </w:t>
      </w:r>
      <w:r w:rsidR="00EE1F94" w:rsidRPr="00EE1F94">
        <w:rPr>
          <w:rFonts w:ascii="Arial" w:hAnsi="Arial" w:cs="Arial"/>
          <w:sz w:val="20"/>
          <w:szCs w:val="20"/>
        </w:rPr>
        <w:t>(podmioty lecznicze udzielające świadczeń opieki zdrowotnej na podstawie umowy zawartej z Dyrektorem właściwego oddziału wojewódzkiego NFZ o udzielanie świadczeń opieki zdrowotnej w rodzaju podstawowa opieka zdrowotna w zakresie świadczenia lekarza POZ) – realizacja dwóch projektów:</w:t>
      </w:r>
    </w:p>
    <w:p w14:paraId="0248BA3D" w14:textId="77777777" w:rsidR="00A103E4" w:rsidRDefault="00A103E4" w:rsidP="00A103E4">
      <w:pPr>
        <w:numPr>
          <w:ilvl w:val="1"/>
          <w:numId w:val="104"/>
        </w:numPr>
        <w:spacing w:after="120"/>
        <w:jc w:val="both"/>
        <w:rPr>
          <w:rFonts w:ascii="Arial" w:hAnsi="Arial" w:cs="Arial"/>
          <w:sz w:val="20"/>
          <w:szCs w:val="20"/>
        </w:rPr>
      </w:pPr>
      <w:r>
        <w:rPr>
          <w:rFonts w:ascii="Arial" w:hAnsi="Arial" w:cs="Arial"/>
          <w:sz w:val="20"/>
          <w:szCs w:val="20"/>
        </w:rPr>
        <w:t>p</w:t>
      </w:r>
      <w:r w:rsidRPr="007E1FD2">
        <w:rPr>
          <w:rFonts w:ascii="Arial" w:hAnsi="Arial" w:cs="Arial"/>
          <w:sz w:val="20"/>
          <w:szCs w:val="20"/>
        </w:rPr>
        <w:t xml:space="preserve">rojekt mający na celu wsparcie POZ z poziomu centralnego – wsparcie POZ związane z dostawą niezbędnego sprzętu informatycznego oraz integrację z centralnymi rozwiązaniami systemu e-zdrowia. Zostanie uruchomione narzędzie informatyczne, które będzie rozwiązaniem </w:t>
      </w:r>
      <w:r w:rsidR="00842674">
        <w:rPr>
          <w:rFonts w:ascii="Arial" w:hAnsi="Arial" w:cs="Arial"/>
          <w:sz w:val="20"/>
          <w:szCs w:val="20"/>
        </w:rPr>
        <w:t xml:space="preserve">udostępnianym </w:t>
      </w:r>
      <w:r w:rsidRPr="007E1FD2">
        <w:rPr>
          <w:rFonts w:ascii="Arial" w:hAnsi="Arial" w:cs="Arial"/>
          <w:sz w:val="20"/>
          <w:szCs w:val="20"/>
        </w:rPr>
        <w:t>do wykorzystania przez placówki POZ</w:t>
      </w:r>
      <w:r>
        <w:rPr>
          <w:rFonts w:ascii="Arial" w:hAnsi="Arial" w:cs="Arial"/>
          <w:sz w:val="20"/>
          <w:szCs w:val="20"/>
        </w:rPr>
        <w:t>. B</w:t>
      </w:r>
      <w:r w:rsidRPr="007E1FD2">
        <w:rPr>
          <w:rFonts w:ascii="Arial" w:hAnsi="Arial" w:cs="Arial"/>
          <w:sz w:val="20"/>
          <w:szCs w:val="20"/>
        </w:rPr>
        <w:t xml:space="preserve">ędzie </w:t>
      </w:r>
      <w:r>
        <w:rPr>
          <w:rFonts w:ascii="Arial" w:hAnsi="Arial" w:cs="Arial"/>
          <w:sz w:val="20"/>
          <w:szCs w:val="20"/>
        </w:rPr>
        <w:t xml:space="preserve">to </w:t>
      </w:r>
      <w:r w:rsidRPr="007E1FD2">
        <w:rPr>
          <w:rFonts w:ascii="Arial" w:hAnsi="Arial" w:cs="Arial"/>
          <w:sz w:val="20"/>
          <w:szCs w:val="20"/>
        </w:rPr>
        <w:t>darmow</w:t>
      </w:r>
      <w:r>
        <w:rPr>
          <w:rFonts w:ascii="Arial" w:hAnsi="Arial" w:cs="Arial"/>
          <w:sz w:val="20"/>
          <w:szCs w:val="20"/>
        </w:rPr>
        <w:t>e</w:t>
      </w:r>
      <w:r w:rsidRPr="007E1FD2">
        <w:rPr>
          <w:rFonts w:ascii="Arial" w:hAnsi="Arial" w:cs="Arial"/>
          <w:sz w:val="20"/>
          <w:szCs w:val="20"/>
        </w:rPr>
        <w:t>, systemow</w:t>
      </w:r>
      <w:r>
        <w:rPr>
          <w:rFonts w:ascii="Arial" w:hAnsi="Arial" w:cs="Arial"/>
          <w:sz w:val="20"/>
          <w:szCs w:val="20"/>
        </w:rPr>
        <w:t>e</w:t>
      </w:r>
      <w:r w:rsidRPr="007E1FD2">
        <w:rPr>
          <w:rFonts w:ascii="Arial" w:hAnsi="Arial" w:cs="Arial"/>
          <w:sz w:val="20"/>
          <w:szCs w:val="20"/>
        </w:rPr>
        <w:t xml:space="preserve"> rozwiązanie, z którego będzie mogła korzystać każda placówka POZ w Polsce</w:t>
      </w:r>
      <w:r w:rsidR="0046724A">
        <w:rPr>
          <w:rFonts w:ascii="Arial" w:hAnsi="Arial" w:cs="Arial"/>
          <w:sz w:val="20"/>
          <w:szCs w:val="20"/>
        </w:rPr>
        <w:t>;</w:t>
      </w:r>
    </w:p>
    <w:p w14:paraId="3B1D5BC6" w14:textId="14402503" w:rsidR="00A103E4" w:rsidRPr="00EE1F94" w:rsidRDefault="00A103E4" w:rsidP="00EE1F94">
      <w:pPr>
        <w:numPr>
          <w:ilvl w:val="1"/>
          <w:numId w:val="104"/>
        </w:numPr>
        <w:spacing w:after="120"/>
        <w:jc w:val="both"/>
        <w:rPr>
          <w:rFonts w:ascii="Arial" w:hAnsi="Arial" w:cs="Arial"/>
          <w:sz w:val="20"/>
          <w:szCs w:val="20"/>
        </w:rPr>
      </w:pPr>
      <w:r>
        <w:rPr>
          <w:rFonts w:ascii="Arial" w:hAnsi="Arial" w:cs="Arial"/>
          <w:sz w:val="20"/>
          <w:szCs w:val="20"/>
        </w:rPr>
        <w:t xml:space="preserve">projekt mający na celu </w:t>
      </w:r>
      <w:r w:rsidRPr="00924205">
        <w:rPr>
          <w:rFonts w:ascii="Arial" w:hAnsi="Arial" w:cs="Arial"/>
          <w:sz w:val="20"/>
          <w:szCs w:val="20"/>
        </w:rPr>
        <w:t>wsparcie placówek POZ w formie zakupu sprzętu komputerowego oraz zakup pozostałej, niezbędnej infrastruktury informatycznej i oprogramowania, w tym integrację z platformą P1</w:t>
      </w:r>
      <w:r w:rsidR="00EE1F94">
        <w:rPr>
          <w:rFonts w:ascii="Arial" w:hAnsi="Arial" w:cs="Arial"/>
          <w:sz w:val="20"/>
          <w:szCs w:val="20"/>
        </w:rPr>
        <w:t xml:space="preserve"> -  </w:t>
      </w:r>
      <w:r w:rsidR="00EE1F94" w:rsidRPr="00234AC1">
        <w:rPr>
          <w:rFonts w:ascii="Arial" w:eastAsia="Times New Roman" w:hAnsi="Arial" w:cs="Arial"/>
          <w:spacing w:val="4"/>
          <w:sz w:val="20"/>
          <w:szCs w:val="20"/>
          <w:lang w:eastAsia="ar-SA"/>
        </w:rPr>
        <w:t>projekt realizowany w formule grantowej.</w:t>
      </w:r>
    </w:p>
    <w:p w14:paraId="70569BD0" w14:textId="77777777" w:rsidR="00AF5EBC" w:rsidRDefault="00AF5EBC" w:rsidP="009A2445">
      <w:pPr>
        <w:autoSpaceDE w:val="0"/>
        <w:autoSpaceDN w:val="0"/>
        <w:adjustRightInd w:val="0"/>
        <w:spacing w:before="120" w:after="120"/>
        <w:jc w:val="both"/>
        <w:rPr>
          <w:rFonts w:ascii="Arial" w:hAnsi="Arial" w:cs="Arial"/>
          <w:spacing w:val="4"/>
          <w:sz w:val="20"/>
          <w:szCs w:val="20"/>
        </w:rPr>
      </w:pPr>
    </w:p>
    <w:p w14:paraId="45A46616" w14:textId="77777777" w:rsidR="000C7D83" w:rsidRPr="000C7D83" w:rsidRDefault="00DD0B07" w:rsidP="000C7D83">
      <w:pPr>
        <w:spacing w:before="120" w:after="120"/>
        <w:jc w:val="both"/>
        <w:rPr>
          <w:rFonts w:ascii="Arial" w:hAnsi="Arial" w:cs="Arial"/>
          <w:spacing w:val="4"/>
          <w:sz w:val="20"/>
          <w:szCs w:val="20"/>
        </w:rPr>
      </w:pPr>
      <w:r w:rsidRPr="00600743">
        <w:rPr>
          <w:rFonts w:ascii="Arial" w:hAnsi="Arial" w:cs="Arial"/>
          <w:spacing w:val="4"/>
          <w:sz w:val="20"/>
          <w:szCs w:val="20"/>
        </w:rPr>
        <w:t>W sektorze energetyki w ramach działań związanych z inwestycjami w odnawialne źródła energii planuje się skierować wsparcie na realizację projektów inwestycyjnych dotyczących instalacji OZE do produkcji energii elektrycznej przez osoby fizyczne w budynkach mieszkalnych</w:t>
      </w:r>
      <w:r w:rsidR="005E19D9">
        <w:rPr>
          <w:rFonts w:ascii="Arial" w:hAnsi="Arial" w:cs="Arial"/>
          <w:spacing w:val="4"/>
          <w:sz w:val="20"/>
          <w:szCs w:val="20"/>
        </w:rPr>
        <w:t>.</w:t>
      </w:r>
      <w:r w:rsidR="000C7D83" w:rsidRPr="00600743">
        <w:rPr>
          <w:rFonts w:ascii="Arial" w:hAnsi="Arial" w:cs="Arial"/>
          <w:spacing w:val="4"/>
          <w:sz w:val="20"/>
          <w:szCs w:val="20"/>
        </w:rPr>
        <w:t xml:space="preserve"> </w:t>
      </w:r>
      <w:r w:rsidR="000C7D83" w:rsidRPr="00600743">
        <w:rPr>
          <w:rFonts w:ascii="Arial" w:hAnsi="Arial" w:cs="Arial"/>
          <w:spacing w:val="4"/>
          <w:sz w:val="20"/>
          <w:szCs w:val="20"/>
        </w:rPr>
        <w:lastRenderedPageBreak/>
        <w:t xml:space="preserve">Finansowaniem w ramach projektu będzie mogła zostać objęta również infrastruktura towarzysząca (m.in. magazyny energii, przydomowe punkty ładowania dla samochodów elektrycznych oraz systemy zarządzania energią w domach), która będzie zwiększała świadomość sposobu zużywania energii wyprodukowanej w instalacji PV oraz będzie promowała rozwój zeroemisyjnych środków transportu. </w:t>
      </w:r>
    </w:p>
    <w:p w14:paraId="4EED26A5" w14:textId="77777777" w:rsidR="001D7098" w:rsidRDefault="00DD0B07" w:rsidP="00CC3982">
      <w:pPr>
        <w:spacing w:before="120" w:after="120"/>
        <w:jc w:val="both"/>
        <w:rPr>
          <w:rFonts w:ascii="Arial" w:hAnsi="Arial" w:cs="Arial"/>
          <w:spacing w:val="4"/>
          <w:sz w:val="20"/>
          <w:szCs w:val="20"/>
        </w:rPr>
      </w:pPr>
      <w:r w:rsidRPr="00DD0B07">
        <w:rPr>
          <w:rFonts w:ascii="Arial" w:hAnsi="Arial" w:cs="Arial"/>
          <w:spacing w:val="4"/>
          <w:sz w:val="20"/>
          <w:szCs w:val="20"/>
        </w:rPr>
        <w:t xml:space="preserve">Ponadto, w celu przyspieszenia transformacji energetycznej planuje się, że wspierane będą inwestycje w tzw. „inteligentną” infrastrukturę w sektorze gazowym. Obecny stan infrastruktury sieciowej nie zapewnia efektywnego funkcjonowania rynku gazu ziemnego, wpływa na niezadawalające tempo rozwoju rynku </w:t>
      </w:r>
      <w:r w:rsidR="00EB1C5B">
        <w:rPr>
          <w:rFonts w:ascii="Arial" w:hAnsi="Arial" w:cs="Arial"/>
          <w:spacing w:val="4"/>
          <w:sz w:val="20"/>
          <w:szCs w:val="20"/>
        </w:rPr>
        <w:t>OZE</w:t>
      </w:r>
      <w:r w:rsidR="00EB1C5B" w:rsidRPr="00DD0B07">
        <w:rPr>
          <w:rFonts w:ascii="Arial" w:hAnsi="Arial" w:cs="Arial"/>
          <w:spacing w:val="4"/>
          <w:sz w:val="20"/>
          <w:szCs w:val="20"/>
        </w:rPr>
        <w:t xml:space="preserve"> </w:t>
      </w:r>
      <w:r w:rsidRPr="00DD0B07">
        <w:rPr>
          <w:rFonts w:ascii="Arial" w:hAnsi="Arial" w:cs="Arial"/>
          <w:spacing w:val="4"/>
          <w:sz w:val="20"/>
          <w:szCs w:val="20"/>
        </w:rPr>
        <w:t xml:space="preserve">oraz nie wspiera w sposób optymalny działań na rzecz poprawy jakości powietrza. Niedobór infrastruktury gazowej uniemożliwia szybką i efektywną reakcję na zakłócenia w pracy niestabilnych źródeł </w:t>
      </w:r>
      <w:r w:rsidR="00EB1C5B">
        <w:rPr>
          <w:rFonts w:ascii="Arial" w:hAnsi="Arial" w:cs="Arial"/>
          <w:spacing w:val="4"/>
          <w:sz w:val="20"/>
          <w:szCs w:val="20"/>
        </w:rPr>
        <w:t>OZE</w:t>
      </w:r>
      <w:r w:rsidR="00EB1C5B" w:rsidRPr="00DD0B07">
        <w:rPr>
          <w:rFonts w:ascii="Arial" w:hAnsi="Arial" w:cs="Arial"/>
          <w:spacing w:val="4"/>
          <w:sz w:val="20"/>
          <w:szCs w:val="20"/>
        </w:rPr>
        <w:t xml:space="preserve"> </w:t>
      </w:r>
      <w:r w:rsidRPr="00DD0B07">
        <w:rPr>
          <w:rFonts w:ascii="Arial" w:hAnsi="Arial" w:cs="Arial"/>
          <w:spacing w:val="4"/>
          <w:sz w:val="20"/>
          <w:szCs w:val="20"/>
        </w:rPr>
        <w:t>oraz stanowi barierę w dostępie do tego paliwa w przypadku ogrzewania w sektorze mieszkaniowym. W tym kontekście, dużego znaczenia nabiera intensyfikacja prac na rzecz budowy i przebudowy tej infrastruktury.</w:t>
      </w:r>
      <w:r w:rsidR="00DE32F4">
        <w:rPr>
          <w:rFonts w:ascii="Arial" w:hAnsi="Arial" w:cs="Arial"/>
          <w:spacing w:val="4"/>
          <w:sz w:val="20"/>
          <w:szCs w:val="20"/>
        </w:rPr>
        <w:t xml:space="preserve"> </w:t>
      </w:r>
      <w:r w:rsidR="001D7098" w:rsidRPr="001D7098">
        <w:rPr>
          <w:rFonts w:ascii="Arial" w:hAnsi="Arial" w:cs="Arial"/>
          <w:spacing w:val="4"/>
          <w:sz w:val="20"/>
          <w:szCs w:val="20"/>
        </w:rPr>
        <w:t xml:space="preserve">Gazociąg Gustorzyn-Wronów powinien być technicznie przyszłościowy, zdolny do </w:t>
      </w:r>
      <w:proofErr w:type="spellStart"/>
      <w:r w:rsidR="001D7098" w:rsidRPr="001D7098">
        <w:rPr>
          <w:rFonts w:ascii="Arial" w:hAnsi="Arial" w:cs="Arial"/>
          <w:spacing w:val="4"/>
          <w:sz w:val="20"/>
          <w:szCs w:val="20"/>
        </w:rPr>
        <w:t>przesyłu</w:t>
      </w:r>
      <w:proofErr w:type="spellEnd"/>
      <w:r w:rsidR="001D7098" w:rsidRPr="001D7098">
        <w:rPr>
          <w:rFonts w:ascii="Arial" w:hAnsi="Arial" w:cs="Arial"/>
          <w:spacing w:val="4"/>
          <w:sz w:val="20"/>
          <w:szCs w:val="20"/>
        </w:rPr>
        <w:t xml:space="preserve"> gazów niskoemisyjnych, tj. </w:t>
      </w:r>
      <w:proofErr w:type="spellStart"/>
      <w:r w:rsidR="001D7098" w:rsidRPr="001D7098">
        <w:rPr>
          <w:rFonts w:ascii="Arial" w:hAnsi="Arial" w:cs="Arial"/>
          <w:spacing w:val="4"/>
          <w:sz w:val="20"/>
          <w:szCs w:val="20"/>
        </w:rPr>
        <w:t>biometanu</w:t>
      </w:r>
      <w:proofErr w:type="spellEnd"/>
      <w:r w:rsidR="001D7098" w:rsidRPr="001D7098">
        <w:rPr>
          <w:rFonts w:ascii="Arial" w:hAnsi="Arial" w:cs="Arial"/>
          <w:spacing w:val="4"/>
          <w:sz w:val="20"/>
          <w:szCs w:val="20"/>
        </w:rPr>
        <w:t xml:space="preserve">, gazu syntezowego i/lub pewnej domieszki wodoru. W perspektywie średnioterminowej ten gazociąg, jak i inna istniejąca infrastruktura gazowa, pomogą zintegrować gazy zdekarbonizowane z polską siecią gazociągów, w szczególności </w:t>
      </w:r>
      <w:proofErr w:type="spellStart"/>
      <w:r w:rsidR="001D7098" w:rsidRPr="001D7098">
        <w:rPr>
          <w:rFonts w:ascii="Arial" w:hAnsi="Arial" w:cs="Arial"/>
          <w:spacing w:val="4"/>
          <w:sz w:val="20"/>
          <w:szCs w:val="20"/>
        </w:rPr>
        <w:t>biometan</w:t>
      </w:r>
      <w:proofErr w:type="spellEnd"/>
      <w:r w:rsidR="001D7098" w:rsidRPr="001D7098">
        <w:rPr>
          <w:rFonts w:ascii="Arial" w:hAnsi="Arial" w:cs="Arial"/>
          <w:spacing w:val="4"/>
          <w:sz w:val="20"/>
          <w:szCs w:val="20"/>
        </w:rPr>
        <w:t xml:space="preserve"> i zielony wodór z przyszłych polskich morskich farm wiatrowych oraz powstających ośrodków produkcji wodoru.</w:t>
      </w:r>
    </w:p>
    <w:p w14:paraId="717025CC" w14:textId="2BDC3254" w:rsidR="003E61C9" w:rsidRPr="003E61C9" w:rsidRDefault="003E61C9" w:rsidP="003E61C9">
      <w:pPr>
        <w:spacing w:before="120" w:after="120"/>
        <w:jc w:val="both"/>
        <w:rPr>
          <w:rFonts w:ascii="Arial" w:hAnsi="Arial" w:cs="Arial"/>
          <w:sz w:val="20"/>
          <w:szCs w:val="20"/>
        </w:rPr>
      </w:pPr>
      <w:r w:rsidRPr="003E61C9">
        <w:rPr>
          <w:rFonts w:ascii="Arial" w:hAnsi="Arial" w:cs="Arial"/>
          <w:sz w:val="20"/>
          <w:szCs w:val="20"/>
        </w:rPr>
        <w:t xml:space="preserve">Podstawowym typem projektu wspieranym w  obszarze transportu miejskiego ze środków REACT to zakup taboru komunikacji miejskiej. Wymiana flory taboru tramwajowego i autobusowego pozostaje niezmiennym wyzwaniem dla miast – tym istotniejszym w sytuacji wychodzenia z kryzysu pandemii COVID-19. Komfortowy tabor w ilości odpowiadającej ofercie przewozowej i zapotrzebowaniu pasażerów, jednocześnie zapewniający bezpieczeństwo, to podstawowy czynnik zachęcający pasażera do odbycia podróży środkami transportu zbiorowego. Jednocześnie pozwala na szybkie wzmocnienie jednostek samorządowych w odbudowywaniu roli transportu zbiorowego po pandemii. W miarę możliwości wdrożeniowych efekt ten wzmacniany będzie wsparciem w zakresie </w:t>
      </w:r>
      <w:r w:rsidR="00CE3DD5" w:rsidRPr="00CE3DD5">
        <w:rPr>
          <w:rFonts w:ascii="Arial" w:hAnsi="Arial" w:cs="Arial"/>
          <w:sz w:val="20"/>
          <w:szCs w:val="20"/>
        </w:rPr>
        <w:t>innych rodzajów projektów, w tym m.in. systemy ITS, infrastruktura węzłowa lub liniowa</w:t>
      </w:r>
      <w:r w:rsidR="00066676">
        <w:rPr>
          <w:rFonts w:ascii="Arial" w:hAnsi="Arial" w:cs="Arial"/>
          <w:sz w:val="20"/>
          <w:szCs w:val="20"/>
        </w:rPr>
        <w:t xml:space="preserve"> </w:t>
      </w:r>
      <w:r w:rsidR="00066676" w:rsidRPr="00066676">
        <w:rPr>
          <w:rFonts w:ascii="Arial" w:hAnsi="Arial" w:cs="Arial"/>
          <w:sz w:val="20"/>
          <w:szCs w:val="20"/>
        </w:rPr>
        <w:t>(z wyłączeniem infrastruktury drogowej wykorzystywanej dla indywidualnego ruchu zmotoryzowanego)</w:t>
      </w:r>
      <w:r w:rsidRPr="003E61C9">
        <w:rPr>
          <w:rFonts w:ascii="Arial" w:hAnsi="Arial" w:cs="Arial"/>
          <w:sz w:val="20"/>
          <w:szCs w:val="20"/>
        </w:rPr>
        <w:t xml:space="preserve">. W dalszym ciągu promowana jest też idea Planów Zrównoważonej Mobilności Miejskiej – zwłaszcza dla miast, które nie korzystały ze środków uruchomionych w ramach osi VI. </w:t>
      </w:r>
    </w:p>
    <w:p w14:paraId="7666EE41" w14:textId="77777777" w:rsidR="003E61C9" w:rsidRPr="003E61C9" w:rsidRDefault="003E61C9" w:rsidP="003E61C9">
      <w:pPr>
        <w:spacing w:before="120" w:after="120"/>
        <w:jc w:val="both"/>
        <w:rPr>
          <w:rFonts w:ascii="Arial" w:hAnsi="Arial" w:cs="Arial"/>
          <w:sz w:val="20"/>
          <w:szCs w:val="20"/>
        </w:rPr>
      </w:pPr>
      <w:r w:rsidRPr="003E61C9">
        <w:rPr>
          <w:rFonts w:ascii="Arial" w:hAnsi="Arial" w:cs="Arial"/>
          <w:sz w:val="20"/>
          <w:szCs w:val="20"/>
        </w:rPr>
        <w:t>Planowane typy projektów w sektorze transportu miejskiego:</w:t>
      </w:r>
    </w:p>
    <w:p w14:paraId="65CF2A39" w14:textId="62153AA2" w:rsidR="003E61C9" w:rsidRPr="008A5501" w:rsidRDefault="003E61C9" w:rsidP="008A5501">
      <w:pPr>
        <w:pStyle w:val="Akapitzlist"/>
        <w:numPr>
          <w:ilvl w:val="0"/>
          <w:numId w:val="116"/>
        </w:numPr>
        <w:spacing w:before="120" w:after="120"/>
        <w:jc w:val="both"/>
        <w:rPr>
          <w:rFonts w:ascii="Arial" w:hAnsi="Arial" w:cs="Arial"/>
          <w:sz w:val="20"/>
          <w:szCs w:val="20"/>
        </w:rPr>
      </w:pPr>
      <w:r w:rsidRPr="008A5501">
        <w:rPr>
          <w:rFonts w:ascii="Arial" w:hAnsi="Arial" w:cs="Arial"/>
          <w:sz w:val="20"/>
          <w:szCs w:val="20"/>
        </w:rPr>
        <w:t>projekty taborowe: zakup taboru tramwajowego, zakup taboru autobusowego (CNG, LNG, hybrydowy, elektryczny, wodorowy)</w:t>
      </w:r>
    </w:p>
    <w:p w14:paraId="598276D6" w14:textId="1780B329" w:rsidR="003E61C9" w:rsidRDefault="003E61C9" w:rsidP="008A5501">
      <w:pPr>
        <w:pStyle w:val="Akapitzlist"/>
        <w:numPr>
          <w:ilvl w:val="0"/>
          <w:numId w:val="116"/>
        </w:numPr>
        <w:spacing w:before="120" w:after="120"/>
        <w:jc w:val="both"/>
        <w:rPr>
          <w:rFonts w:ascii="Arial" w:hAnsi="Arial" w:cs="Arial"/>
          <w:sz w:val="20"/>
          <w:szCs w:val="20"/>
        </w:rPr>
      </w:pPr>
      <w:r w:rsidRPr="008A5501">
        <w:rPr>
          <w:rFonts w:ascii="Arial" w:hAnsi="Arial" w:cs="Arial"/>
          <w:sz w:val="20"/>
          <w:szCs w:val="20"/>
        </w:rPr>
        <w:t>projekty ITS</w:t>
      </w:r>
    </w:p>
    <w:p w14:paraId="3F65F82C" w14:textId="7BFF7049" w:rsidR="00F650C0" w:rsidRPr="00066676" w:rsidRDefault="00F650C0" w:rsidP="00066676">
      <w:pPr>
        <w:pStyle w:val="Akapitzlist"/>
        <w:numPr>
          <w:ilvl w:val="0"/>
          <w:numId w:val="116"/>
        </w:numPr>
        <w:rPr>
          <w:rFonts w:ascii="Arial" w:hAnsi="Arial" w:cs="Arial"/>
          <w:sz w:val="20"/>
          <w:szCs w:val="20"/>
        </w:rPr>
      </w:pPr>
      <w:r w:rsidRPr="00066676">
        <w:rPr>
          <w:rFonts w:ascii="Arial" w:hAnsi="Arial" w:cs="Arial"/>
          <w:sz w:val="20"/>
          <w:szCs w:val="20"/>
        </w:rPr>
        <w:t>projekty infrastrukturalne</w:t>
      </w:r>
      <w:r w:rsidR="00066676">
        <w:rPr>
          <w:rFonts w:ascii="Arial" w:hAnsi="Arial" w:cs="Arial"/>
          <w:sz w:val="20"/>
          <w:szCs w:val="20"/>
          <w:lang w:val="pl-PL"/>
        </w:rPr>
        <w:t xml:space="preserve"> </w:t>
      </w:r>
      <w:r w:rsidR="00066676" w:rsidRPr="00066676">
        <w:rPr>
          <w:rFonts w:ascii="Arial" w:hAnsi="Arial" w:cs="Arial"/>
          <w:sz w:val="20"/>
          <w:szCs w:val="20"/>
        </w:rPr>
        <w:t>(z wyłączeniem infrastruktury drogowej wykorzystywanej dla indywidualnego ruchu zmotoryzowanego)</w:t>
      </w:r>
    </w:p>
    <w:p w14:paraId="7AF05ACF" w14:textId="219B9A68" w:rsidR="00DD0B07" w:rsidRPr="008A5501" w:rsidRDefault="003E61C9" w:rsidP="008A5501">
      <w:pPr>
        <w:pStyle w:val="Akapitzlist"/>
        <w:numPr>
          <w:ilvl w:val="0"/>
          <w:numId w:val="116"/>
        </w:numPr>
        <w:spacing w:before="120" w:after="120"/>
        <w:jc w:val="both"/>
        <w:rPr>
          <w:rFonts w:ascii="Arial" w:hAnsi="Arial" w:cs="Arial"/>
          <w:sz w:val="20"/>
          <w:szCs w:val="20"/>
        </w:rPr>
      </w:pPr>
      <w:r w:rsidRPr="008A5501">
        <w:rPr>
          <w:rFonts w:ascii="Arial" w:hAnsi="Arial" w:cs="Arial"/>
          <w:sz w:val="20"/>
          <w:szCs w:val="20"/>
        </w:rPr>
        <w:t>przygotowanie Planów Zrównoważonej Mobilności Miejskiej.</w:t>
      </w:r>
    </w:p>
    <w:p w14:paraId="71D8B35A" w14:textId="77777777" w:rsidR="00DD0B07" w:rsidRDefault="00DD0B07" w:rsidP="00DD0B07">
      <w:pPr>
        <w:spacing w:before="120" w:after="120"/>
        <w:jc w:val="both"/>
        <w:rPr>
          <w:rFonts w:ascii="Arial" w:hAnsi="Arial" w:cs="Arial"/>
          <w:sz w:val="20"/>
          <w:szCs w:val="20"/>
        </w:rPr>
      </w:pPr>
    </w:p>
    <w:p w14:paraId="21658327" w14:textId="77777777" w:rsidR="00C86A58" w:rsidRPr="004E3242" w:rsidRDefault="00C86A58" w:rsidP="00DD0B07">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typu </w:t>
      </w:r>
      <w:proofErr w:type="spellStart"/>
      <w:r w:rsidRPr="004E3242">
        <w:rPr>
          <w:rFonts w:ascii="Arial" w:hAnsi="Arial" w:cs="Arial"/>
          <w:bCs/>
          <w:smallCaps/>
          <w:color w:val="669900"/>
          <w:spacing w:val="4"/>
          <w:sz w:val="20"/>
          <w:szCs w:val="20"/>
        </w:rPr>
        <w:t>output</w:t>
      </w:r>
      <w:proofErr w:type="spellEnd"/>
      <w:r w:rsidRPr="004E3242">
        <w:rPr>
          <w:rFonts w:ascii="Arial" w:hAnsi="Arial" w:cs="Arial"/>
          <w:bCs/>
          <w:smallCaps/>
          <w:color w:val="669900"/>
          <w:spacing w:val="4"/>
          <w:sz w:val="20"/>
          <w:szCs w:val="20"/>
        </w:rPr>
        <w:t xml:space="preserve"> (produkt/rezultat bezpośredni)</w:t>
      </w:r>
    </w:p>
    <w:tbl>
      <w:tblPr>
        <w:tblW w:w="501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534"/>
        <w:gridCol w:w="2551"/>
        <w:gridCol w:w="986"/>
        <w:gridCol w:w="858"/>
        <w:gridCol w:w="1133"/>
        <w:gridCol w:w="994"/>
        <w:gridCol w:w="984"/>
        <w:gridCol w:w="1281"/>
      </w:tblGrid>
      <w:tr w:rsidR="00C86A58" w:rsidRPr="004E3242" w14:paraId="4575853A" w14:textId="77777777" w:rsidTr="004F05B6">
        <w:tc>
          <w:tcPr>
            <w:tcW w:w="286" w:type="pct"/>
            <w:shd w:val="clear" w:color="auto" w:fill="99CC00"/>
            <w:vAlign w:val="center"/>
          </w:tcPr>
          <w:p w14:paraId="4E652198"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L.p.</w:t>
            </w:r>
          </w:p>
        </w:tc>
        <w:tc>
          <w:tcPr>
            <w:tcW w:w="1368" w:type="pct"/>
            <w:shd w:val="clear" w:color="auto" w:fill="99CC00"/>
            <w:vAlign w:val="center"/>
          </w:tcPr>
          <w:p w14:paraId="18C6A76D"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Wskaźnik</w:t>
            </w:r>
          </w:p>
        </w:tc>
        <w:tc>
          <w:tcPr>
            <w:tcW w:w="529" w:type="pct"/>
            <w:shd w:val="clear" w:color="auto" w:fill="99CC00"/>
            <w:vAlign w:val="center"/>
          </w:tcPr>
          <w:p w14:paraId="1811C6F5"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Jednostka miary</w:t>
            </w:r>
          </w:p>
        </w:tc>
        <w:tc>
          <w:tcPr>
            <w:tcW w:w="460" w:type="pct"/>
            <w:shd w:val="clear" w:color="auto" w:fill="99CC00"/>
            <w:vAlign w:val="center"/>
          </w:tcPr>
          <w:p w14:paraId="7D0A6DFB"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Fundusz</w:t>
            </w:r>
          </w:p>
        </w:tc>
        <w:tc>
          <w:tcPr>
            <w:tcW w:w="608" w:type="pct"/>
            <w:shd w:val="clear" w:color="auto" w:fill="99CC00"/>
            <w:vAlign w:val="center"/>
          </w:tcPr>
          <w:p w14:paraId="142A333E"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Kategoria regionu</w:t>
            </w:r>
          </w:p>
        </w:tc>
        <w:tc>
          <w:tcPr>
            <w:tcW w:w="533" w:type="pct"/>
            <w:shd w:val="clear" w:color="auto" w:fill="99CC00"/>
            <w:vAlign w:val="center"/>
          </w:tcPr>
          <w:p w14:paraId="31FC8B25"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Wartość docelowa</w:t>
            </w:r>
          </w:p>
        </w:tc>
        <w:tc>
          <w:tcPr>
            <w:tcW w:w="528" w:type="pct"/>
            <w:shd w:val="clear" w:color="auto" w:fill="99CC00"/>
            <w:vAlign w:val="center"/>
          </w:tcPr>
          <w:p w14:paraId="4072D811"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Źródło danych</w:t>
            </w:r>
          </w:p>
        </w:tc>
        <w:tc>
          <w:tcPr>
            <w:tcW w:w="687" w:type="pct"/>
            <w:shd w:val="clear" w:color="auto" w:fill="99CC00"/>
            <w:vAlign w:val="center"/>
          </w:tcPr>
          <w:p w14:paraId="10D7E4E9" w14:textId="77777777" w:rsidR="00C86A58" w:rsidRPr="004E3242" w:rsidRDefault="00C86A58" w:rsidP="004F05B6">
            <w:pPr>
              <w:autoSpaceDE w:val="0"/>
              <w:autoSpaceDN w:val="0"/>
              <w:adjustRightInd w:val="0"/>
              <w:spacing w:before="60" w:after="60" w:line="240" w:lineRule="auto"/>
              <w:jc w:val="center"/>
              <w:rPr>
                <w:rFonts w:ascii="Arial" w:hAnsi="Arial" w:cs="Arial"/>
                <w:color w:val="FFFFFF"/>
                <w:spacing w:val="4"/>
                <w:sz w:val="16"/>
                <w:szCs w:val="16"/>
              </w:rPr>
            </w:pPr>
            <w:r w:rsidRPr="004E3242">
              <w:rPr>
                <w:rFonts w:ascii="Arial" w:hAnsi="Arial" w:cs="Arial"/>
                <w:color w:val="FFFFFF"/>
                <w:spacing w:val="4"/>
                <w:sz w:val="16"/>
                <w:szCs w:val="16"/>
              </w:rPr>
              <w:t>Częstotliwość pomiaru</w:t>
            </w:r>
          </w:p>
        </w:tc>
      </w:tr>
      <w:tr w:rsidR="00C86A58" w:rsidRPr="004E3242" w14:paraId="6354BD01" w14:textId="77777777" w:rsidTr="00A27BE9">
        <w:tc>
          <w:tcPr>
            <w:tcW w:w="286" w:type="pct"/>
            <w:shd w:val="clear" w:color="auto" w:fill="F2F2F2"/>
            <w:vAlign w:val="center"/>
          </w:tcPr>
          <w:p w14:paraId="4884DFF5" w14:textId="77777777" w:rsidR="00C86A58" w:rsidRPr="004E3242" w:rsidRDefault="00C86A58" w:rsidP="00A27BE9">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1.</w:t>
            </w:r>
          </w:p>
        </w:tc>
        <w:tc>
          <w:tcPr>
            <w:tcW w:w="1368" w:type="pct"/>
            <w:shd w:val="clear" w:color="auto" w:fill="F2F2F2"/>
            <w:vAlign w:val="center"/>
          </w:tcPr>
          <w:p w14:paraId="2C908456" w14:textId="77777777" w:rsidR="00C86A58" w:rsidRPr="004E3242" w:rsidRDefault="002F3D0C" w:rsidP="004F05B6">
            <w:pPr>
              <w:autoSpaceDE w:val="0"/>
              <w:autoSpaceDN w:val="0"/>
              <w:adjustRightInd w:val="0"/>
              <w:spacing w:before="60" w:after="60" w:line="240" w:lineRule="auto"/>
              <w:jc w:val="both"/>
              <w:rPr>
                <w:rFonts w:ascii="Arial" w:hAnsi="Arial" w:cs="Arial"/>
                <w:spacing w:val="4"/>
                <w:sz w:val="16"/>
                <w:szCs w:val="16"/>
              </w:rPr>
            </w:pPr>
            <w:r w:rsidRPr="002F3D0C">
              <w:rPr>
                <w:rFonts w:ascii="Arial" w:hAnsi="Arial" w:cs="Arial"/>
                <w:spacing w:val="4"/>
                <w:sz w:val="16"/>
                <w:szCs w:val="16"/>
              </w:rPr>
              <w:t xml:space="preserve">Długość </w:t>
            </w:r>
            <w:proofErr w:type="spellStart"/>
            <w:r w:rsidRPr="002F3D0C">
              <w:rPr>
                <w:rFonts w:ascii="Arial" w:hAnsi="Arial" w:cs="Arial"/>
                <w:spacing w:val="4"/>
                <w:sz w:val="16"/>
                <w:szCs w:val="16"/>
              </w:rPr>
              <w:t>nowowybudowanych</w:t>
            </w:r>
            <w:proofErr w:type="spellEnd"/>
            <w:r w:rsidRPr="002F3D0C">
              <w:rPr>
                <w:rFonts w:ascii="Arial" w:hAnsi="Arial" w:cs="Arial"/>
                <w:spacing w:val="4"/>
                <w:sz w:val="16"/>
                <w:szCs w:val="16"/>
              </w:rPr>
              <w:t xml:space="preserve"> lub zmodernizowanych gazociągów przesyłowych lub dystrybucyjnych</w:t>
            </w:r>
          </w:p>
        </w:tc>
        <w:tc>
          <w:tcPr>
            <w:tcW w:w="529" w:type="pct"/>
            <w:shd w:val="clear" w:color="auto" w:fill="F2F2F2"/>
            <w:vAlign w:val="center"/>
          </w:tcPr>
          <w:p w14:paraId="3F3191E9" w14:textId="77777777" w:rsidR="00C86A58" w:rsidRPr="004E3242" w:rsidRDefault="0042770E"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km</w:t>
            </w:r>
          </w:p>
        </w:tc>
        <w:tc>
          <w:tcPr>
            <w:tcW w:w="460" w:type="pct"/>
            <w:shd w:val="clear" w:color="auto" w:fill="F2F2F2"/>
            <w:vAlign w:val="center"/>
          </w:tcPr>
          <w:p w14:paraId="6BB77A19" w14:textId="77777777" w:rsidR="00C86A58" w:rsidRPr="004E3242" w:rsidRDefault="00C86A58" w:rsidP="004F05B6">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78D404D8" w14:textId="77777777" w:rsidR="00C86A58" w:rsidRPr="004E3242" w:rsidRDefault="00BE12C4"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n/d</w:t>
            </w:r>
          </w:p>
        </w:tc>
        <w:tc>
          <w:tcPr>
            <w:tcW w:w="533" w:type="pct"/>
            <w:shd w:val="clear" w:color="auto" w:fill="F2F2F2"/>
            <w:vAlign w:val="center"/>
          </w:tcPr>
          <w:p w14:paraId="78CAC4BB" w14:textId="77777777" w:rsidR="00C86A58" w:rsidRPr="004E3242" w:rsidRDefault="00DD0B07"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185</w:t>
            </w:r>
          </w:p>
        </w:tc>
        <w:tc>
          <w:tcPr>
            <w:tcW w:w="528" w:type="pct"/>
            <w:shd w:val="clear" w:color="auto" w:fill="F2F2F2"/>
            <w:vAlign w:val="center"/>
          </w:tcPr>
          <w:p w14:paraId="15EA3A4A" w14:textId="77777777" w:rsidR="00C86A58" w:rsidRPr="004E3242" w:rsidRDefault="00DD0B07" w:rsidP="004F05B6">
            <w:pPr>
              <w:autoSpaceDE w:val="0"/>
              <w:autoSpaceDN w:val="0"/>
              <w:adjustRightInd w:val="0"/>
              <w:spacing w:before="60" w:after="60" w:line="240" w:lineRule="auto"/>
              <w:jc w:val="center"/>
              <w:rPr>
                <w:rFonts w:ascii="Arial" w:hAnsi="Arial" w:cs="Arial"/>
                <w:spacing w:val="4"/>
                <w:sz w:val="16"/>
                <w:szCs w:val="16"/>
              </w:rPr>
            </w:pPr>
            <w:r w:rsidRPr="00DD0B07">
              <w:rPr>
                <w:rFonts w:ascii="Arial" w:hAnsi="Arial" w:cs="Arial"/>
                <w:spacing w:val="4"/>
                <w:sz w:val="16"/>
                <w:szCs w:val="16"/>
              </w:rPr>
              <w:t>SL</w:t>
            </w:r>
            <w:r w:rsidR="009F626F">
              <w:rPr>
                <w:rFonts w:ascii="Arial" w:hAnsi="Arial" w:cs="Arial"/>
                <w:spacing w:val="4"/>
                <w:sz w:val="16"/>
                <w:szCs w:val="16"/>
              </w:rPr>
              <w:t xml:space="preserve"> </w:t>
            </w:r>
            <w:r w:rsidRPr="00DD0B07">
              <w:rPr>
                <w:rFonts w:ascii="Arial" w:hAnsi="Arial" w:cs="Arial"/>
                <w:spacing w:val="4"/>
                <w:sz w:val="16"/>
                <w:szCs w:val="16"/>
              </w:rPr>
              <w:t>2014</w:t>
            </w:r>
          </w:p>
        </w:tc>
        <w:tc>
          <w:tcPr>
            <w:tcW w:w="687" w:type="pct"/>
            <w:shd w:val="clear" w:color="auto" w:fill="F2F2F2"/>
            <w:vAlign w:val="center"/>
          </w:tcPr>
          <w:p w14:paraId="55CAE234" w14:textId="77777777" w:rsidR="00C86A58" w:rsidRPr="004E3242" w:rsidRDefault="00DD0B07" w:rsidP="004F05B6">
            <w:pPr>
              <w:autoSpaceDE w:val="0"/>
              <w:autoSpaceDN w:val="0"/>
              <w:adjustRightInd w:val="0"/>
              <w:spacing w:before="60" w:after="60" w:line="240" w:lineRule="auto"/>
              <w:jc w:val="center"/>
              <w:rPr>
                <w:rFonts w:ascii="Arial" w:hAnsi="Arial" w:cs="Arial"/>
                <w:spacing w:val="4"/>
                <w:sz w:val="16"/>
                <w:szCs w:val="16"/>
              </w:rPr>
            </w:pPr>
            <w:r w:rsidRPr="00DD0B07">
              <w:rPr>
                <w:rFonts w:ascii="Arial" w:hAnsi="Arial" w:cs="Arial"/>
                <w:spacing w:val="4"/>
                <w:sz w:val="16"/>
                <w:szCs w:val="16"/>
              </w:rPr>
              <w:t>Rocznie</w:t>
            </w:r>
          </w:p>
        </w:tc>
      </w:tr>
      <w:tr w:rsidR="00C86A58" w:rsidRPr="004E3242" w14:paraId="70AE61F4" w14:textId="77777777" w:rsidTr="004F05B6">
        <w:tc>
          <w:tcPr>
            <w:tcW w:w="286" w:type="pct"/>
            <w:shd w:val="clear" w:color="auto" w:fill="F2F2F2"/>
            <w:vAlign w:val="center"/>
          </w:tcPr>
          <w:p w14:paraId="44E3C094" w14:textId="77777777" w:rsidR="00C86A58" w:rsidRPr="004E3242" w:rsidRDefault="00C86A58" w:rsidP="004F05B6">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2.</w:t>
            </w:r>
          </w:p>
        </w:tc>
        <w:tc>
          <w:tcPr>
            <w:tcW w:w="1368" w:type="pct"/>
            <w:shd w:val="clear" w:color="auto" w:fill="F2F2F2"/>
            <w:vAlign w:val="center"/>
          </w:tcPr>
          <w:p w14:paraId="705FD936" w14:textId="77777777" w:rsidR="00C86A58" w:rsidRPr="004E3242" w:rsidRDefault="002F3D0C" w:rsidP="00772905">
            <w:pPr>
              <w:autoSpaceDE w:val="0"/>
              <w:autoSpaceDN w:val="0"/>
              <w:adjustRightInd w:val="0"/>
              <w:spacing w:before="60" w:after="60" w:line="240" w:lineRule="auto"/>
              <w:jc w:val="both"/>
              <w:rPr>
                <w:rFonts w:ascii="Arial" w:hAnsi="Arial" w:cs="Arial"/>
                <w:spacing w:val="4"/>
                <w:sz w:val="16"/>
                <w:szCs w:val="16"/>
              </w:rPr>
            </w:pPr>
            <w:r w:rsidRPr="002F3D0C">
              <w:rPr>
                <w:rFonts w:ascii="Arial" w:hAnsi="Arial" w:cs="Arial"/>
                <w:spacing w:val="4"/>
                <w:sz w:val="16"/>
                <w:szCs w:val="16"/>
              </w:rPr>
              <w:t xml:space="preserve">Dodatkowa zdolność wytwarzania </w:t>
            </w:r>
            <w:r w:rsidR="0042770E">
              <w:rPr>
                <w:rFonts w:ascii="Arial" w:hAnsi="Arial" w:cs="Arial"/>
                <w:spacing w:val="4"/>
                <w:sz w:val="16"/>
                <w:szCs w:val="16"/>
              </w:rPr>
              <w:t xml:space="preserve">energii </w:t>
            </w:r>
            <w:r w:rsidRPr="002F3D0C">
              <w:rPr>
                <w:rFonts w:ascii="Arial" w:hAnsi="Arial" w:cs="Arial"/>
                <w:spacing w:val="4"/>
                <w:sz w:val="16"/>
                <w:szCs w:val="16"/>
              </w:rPr>
              <w:t>z</w:t>
            </w:r>
            <w:r w:rsidR="008C6EAC" w:rsidRPr="008C6EAC">
              <w:rPr>
                <w:rFonts w:ascii="Arial" w:hAnsi="Arial" w:cs="Arial"/>
                <w:spacing w:val="4"/>
                <w:sz w:val="16"/>
                <w:szCs w:val="16"/>
              </w:rPr>
              <w:t>e źródeł odnawialnych (CI)</w:t>
            </w:r>
          </w:p>
        </w:tc>
        <w:tc>
          <w:tcPr>
            <w:tcW w:w="529" w:type="pct"/>
            <w:shd w:val="clear" w:color="auto" w:fill="F2F2F2"/>
            <w:vAlign w:val="center"/>
          </w:tcPr>
          <w:p w14:paraId="281CD897" w14:textId="77777777" w:rsidR="00C86A58" w:rsidRPr="004E3242" w:rsidRDefault="0042770E"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MW</w:t>
            </w:r>
          </w:p>
        </w:tc>
        <w:tc>
          <w:tcPr>
            <w:tcW w:w="460" w:type="pct"/>
            <w:shd w:val="clear" w:color="auto" w:fill="F2F2F2"/>
            <w:vAlign w:val="center"/>
          </w:tcPr>
          <w:p w14:paraId="75ADE8F3" w14:textId="77777777" w:rsidR="00C86A58" w:rsidRPr="004E3242" w:rsidRDefault="00C86A58" w:rsidP="004F05B6">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2BCEB926" w14:textId="77777777" w:rsidR="00C86A58" w:rsidRPr="004E3242" w:rsidRDefault="00BE12C4"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n/d</w:t>
            </w:r>
          </w:p>
        </w:tc>
        <w:tc>
          <w:tcPr>
            <w:tcW w:w="533" w:type="pct"/>
            <w:shd w:val="clear" w:color="auto" w:fill="F2F2F2"/>
            <w:vAlign w:val="center"/>
          </w:tcPr>
          <w:p w14:paraId="34A1BED9" w14:textId="7FE03F6F" w:rsidR="00C86A58" w:rsidRPr="004E3242" w:rsidRDefault="00DD0B07" w:rsidP="00697D37">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9</w:t>
            </w:r>
            <w:r w:rsidR="00697D37">
              <w:rPr>
                <w:rFonts w:ascii="Arial" w:hAnsi="Arial" w:cs="Arial"/>
                <w:spacing w:val="4"/>
                <w:sz w:val="16"/>
                <w:szCs w:val="16"/>
              </w:rPr>
              <w:t>5</w:t>
            </w:r>
            <w:r>
              <w:rPr>
                <w:rFonts w:ascii="Arial" w:hAnsi="Arial" w:cs="Arial"/>
                <w:spacing w:val="4"/>
                <w:sz w:val="16"/>
                <w:szCs w:val="16"/>
              </w:rPr>
              <w:t>9</w:t>
            </w:r>
          </w:p>
        </w:tc>
        <w:tc>
          <w:tcPr>
            <w:tcW w:w="528" w:type="pct"/>
            <w:shd w:val="clear" w:color="auto" w:fill="F2F2F2"/>
            <w:vAlign w:val="center"/>
          </w:tcPr>
          <w:p w14:paraId="3C234EB8" w14:textId="77777777" w:rsidR="00C86A58" w:rsidRPr="004E3242" w:rsidRDefault="00DD0B07" w:rsidP="004F05B6">
            <w:pPr>
              <w:autoSpaceDE w:val="0"/>
              <w:autoSpaceDN w:val="0"/>
              <w:adjustRightInd w:val="0"/>
              <w:spacing w:before="60" w:after="60" w:line="240" w:lineRule="auto"/>
              <w:jc w:val="center"/>
              <w:rPr>
                <w:rFonts w:ascii="Arial" w:hAnsi="Arial" w:cs="Arial"/>
                <w:spacing w:val="4"/>
                <w:sz w:val="16"/>
                <w:szCs w:val="16"/>
              </w:rPr>
            </w:pPr>
            <w:r w:rsidRPr="00DD0B07">
              <w:rPr>
                <w:rFonts w:ascii="Arial" w:hAnsi="Arial" w:cs="Arial"/>
                <w:spacing w:val="4"/>
                <w:sz w:val="16"/>
                <w:szCs w:val="16"/>
              </w:rPr>
              <w:t>SL</w:t>
            </w:r>
            <w:r w:rsidR="009F626F">
              <w:rPr>
                <w:rFonts w:ascii="Arial" w:hAnsi="Arial" w:cs="Arial"/>
                <w:spacing w:val="4"/>
                <w:sz w:val="16"/>
                <w:szCs w:val="16"/>
              </w:rPr>
              <w:t xml:space="preserve"> </w:t>
            </w:r>
            <w:r w:rsidRPr="00DD0B07">
              <w:rPr>
                <w:rFonts w:ascii="Arial" w:hAnsi="Arial" w:cs="Arial"/>
                <w:spacing w:val="4"/>
                <w:sz w:val="16"/>
                <w:szCs w:val="16"/>
              </w:rPr>
              <w:t>2014</w:t>
            </w:r>
          </w:p>
        </w:tc>
        <w:tc>
          <w:tcPr>
            <w:tcW w:w="687" w:type="pct"/>
            <w:shd w:val="clear" w:color="auto" w:fill="F2F2F2"/>
            <w:vAlign w:val="center"/>
          </w:tcPr>
          <w:p w14:paraId="318FB20D" w14:textId="77777777" w:rsidR="00C86A58" w:rsidRPr="004E3242" w:rsidRDefault="00DD0B07" w:rsidP="004F05B6">
            <w:pPr>
              <w:autoSpaceDE w:val="0"/>
              <w:autoSpaceDN w:val="0"/>
              <w:adjustRightInd w:val="0"/>
              <w:spacing w:before="60" w:after="60" w:line="240" w:lineRule="auto"/>
              <w:jc w:val="center"/>
              <w:rPr>
                <w:rFonts w:ascii="Arial" w:hAnsi="Arial" w:cs="Arial"/>
                <w:spacing w:val="4"/>
                <w:sz w:val="16"/>
                <w:szCs w:val="16"/>
              </w:rPr>
            </w:pPr>
            <w:r w:rsidRPr="00DD0B07">
              <w:rPr>
                <w:rFonts w:ascii="Arial" w:hAnsi="Arial" w:cs="Arial"/>
                <w:spacing w:val="4"/>
                <w:sz w:val="16"/>
                <w:szCs w:val="16"/>
              </w:rPr>
              <w:t>Rocznie</w:t>
            </w:r>
          </w:p>
        </w:tc>
      </w:tr>
      <w:tr w:rsidR="009F626F" w:rsidRPr="004E3242" w14:paraId="6751C24F" w14:textId="77777777" w:rsidTr="004F05B6">
        <w:tc>
          <w:tcPr>
            <w:tcW w:w="286" w:type="pct"/>
            <w:shd w:val="clear" w:color="auto" w:fill="F2F2F2"/>
            <w:vAlign w:val="center"/>
          </w:tcPr>
          <w:p w14:paraId="6CF0C78C" w14:textId="77777777" w:rsidR="009F626F" w:rsidRPr="004E3242" w:rsidRDefault="009F626F"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3.</w:t>
            </w:r>
          </w:p>
        </w:tc>
        <w:tc>
          <w:tcPr>
            <w:tcW w:w="1368" w:type="pct"/>
            <w:shd w:val="clear" w:color="auto" w:fill="F2F2F2"/>
            <w:vAlign w:val="center"/>
          </w:tcPr>
          <w:p w14:paraId="6C243414" w14:textId="77777777" w:rsidR="009F626F" w:rsidRPr="002F3D0C" w:rsidRDefault="009F626F" w:rsidP="004F05B6">
            <w:pPr>
              <w:autoSpaceDE w:val="0"/>
              <w:autoSpaceDN w:val="0"/>
              <w:adjustRightInd w:val="0"/>
              <w:spacing w:before="60" w:after="60" w:line="240" w:lineRule="auto"/>
              <w:jc w:val="both"/>
              <w:rPr>
                <w:rFonts w:ascii="Arial" w:hAnsi="Arial" w:cs="Arial"/>
                <w:spacing w:val="4"/>
                <w:sz w:val="16"/>
                <w:szCs w:val="16"/>
              </w:rPr>
            </w:pPr>
            <w:r w:rsidRPr="009F626F">
              <w:rPr>
                <w:rFonts w:ascii="Arial" w:hAnsi="Arial" w:cs="Arial"/>
                <w:spacing w:val="4"/>
                <w:sz w:val="16"/>
                <w:szCs w:val="16"/>
              </w:rPr>
              <w:t xml:space="preserve">Liczba podmiotów POZ objętych wsparciem we </w:t>
            </w:r>
            <w:r w:rsidRPr="009F626F">
              <w:rPr>
                <w:rFonts w:ascii="Arial" w:hAnsi="Arial" w:cs="Arial"/>
                <w:spacing w:val="4"/>
                <w:sz w:val="16"/>
                <w:szCs w:val="16"/>
              </w:rPr>
              <w:lastRenderedPageBreak/>
              <w:t>wdrożeniu e-Usług</w:t>
            </w:r>
          </w:p>
        </w:tc>
        <w:tc>
          <w:tcPr>
            <w:tcW w:w="529" w:type="pct"/>
            <w:shd w:val="clear" w:color="auto" w:fill="F2F2F2"/>
            <w:vAlign w:val="center"/>
          </w:tcPr>
          <w:p w14:paraId="43EEC499" w14:textId="77777777" w:rsidR="009F626F" w:rsidRDefault="009F626F"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lastRenderedPageBreak/>
              <w:t>szt.</w:t>
            </w:r>
          </w:p>
        </w:tc>
        <w:tc>
          <w:tcPr>
            <w:tcW w:w="460" w:type="pct"/>
            <w:shd w:val="clear" w:color="auto" w:fill="F2F2F2"/>
            <w:vAlign w:val="center"/>
          </w:tcPr>
          <w:p w14:paraId="39F8F9A0" w14:textId="77777777" w:rsidR="009F626F" w:rsidRPr="004E3242" w:rsidRDefault="009F626F"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EFRR</w:t>
            </w:r>
          </w:p>
        </w:tc>
        <w:tc>
          <w:tcPr>
            <w:tcW w:w="608" w:type="pct"/>
            <w:shd w:val="clear" w:color="auto" w:fill="F2F2F2"/>
            <w:vAlign w:val="center"/>
          </w:tcPr>
          <w:p w14:paraId="1F8D3303" w14:textId="77777777" w:rsidR="009F626F" w:rsidRDefault="009F626F"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n/d</w:t>
            </w:r>
          </w:p>
        </w:tc>
        <w:tc>
          <w:tcPr>
            <w:tcW w:w="533" w:type="pct"/>
            <w:shd w:val="clear" w:color="auto" w:fill="F2F2F2"/>
            <w:vAlign w:val="center"/>
          </w:tcPr>
          <w:p w14:paraId="06EAC34C" w14:textId="77777777" w:rsidR="009F626F" w:rsidRDefault="009F626F" w:rsidP="00697D37">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2 000</w:t>
            </w:r>
          </w:p>
        </w:tc>
        <w:tc>
          <w:tcPr>
            <w:tcW w:w="528" w:type="pct"/>
            <w:shd w:val="clear" w:color="auto" w:fill="F2F2F2"/>
            <w:vAlign w:val="center"/>
          </w:tcPr>
          <w:p w14:paraId="7752FFD7" w14:textId="77777777" w:rsidR="009F626F" w:rsidRPr="00DD0B07" w:rsidRDefault="009F626F"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SL 2014</w:t>
            </w:r>
          </w:p>
        </w:tc>
        <w:tc>
          <w:tcPr>
            <w:tcW w:w="687" w:type="pct"/>
            <w:shd w:val="clear" w:color="auto" w:fill="F2F2F2"/>
            <w:vAlign w:val="center"/>
          </w:tcPr>
          <w:p w14:paraId="462DD504" w14:textId="77777777" w:rsidR="009F626F" w:rsidRPr="00DD0B07" w:rsidRDefault="009F626F"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Rocznie</w:t>
            </w:r>
          </w:p>
        </w:tc>
      </w:tr>
      <w:tr w:rsidR="005F32D3" w:rsidRPr="004E3242" w14:paraId="2388D333" w14:textId="77777777" w:rsidTr="00975531">
        <w:tc>
          <w:tcPr>
            <w:tcW w:w="286" w:type="pct"/>
            <w:shd w:val="clear" w:color="auto" w:fill="F2F2F2"/>
            <w:vAlign w:val="center"/>
          </w:tcPr>
          <w:p w14:paraId="469831F5" w14:textId="77777777" w:rsidR="005F32D3" w:rsidRPr="004E3242" w:rsidRDefault="009F626F"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4</w:t>
            </w:r>
            <w:r w:rsidR="005F32D3">
              <w:rPr>
                <w:rFonts w:ascii="Arial" w:hAnsi="Arial" w:cs="Arial"/>
                <w:spacing w:val="4"/>
                <w:sz w:val="16"/>
                <w:szCs w:val="16"/>
              </w:rPr>
              <w:t>.</w:t>
            </w:r>
          </w:p>
        </w:tc>
        <w:tc>
          <w:tcPr>
            <w:tcW w:w="1368" w:type="pct"/>
            <w:shd w:val="clear" w:color="auto" w:fill="F2F2F2"/>
            <w:vAlign w:val="center"/>
          </w:tcPr>
          <w:p w14:paraId="57C15500" w14:textId="77777777" w:rsidR="005F32D3" w:rsidRPr="002F3D0C" w:rsidRDefault="005F32D3" w:rsidP="00975531">
            <w:pPr>
              <w:autoSpaceDE w:val="0"/>
              <w:autoSpaceDN w:val="0"/>
              <w:adjustRightInd w:val="0"/>
              <w:spacing w:before="60" w:after="60" w:line="240" w:lineRule="auto"/>
              <w:jc w:val="both"/>
              <w:rPr>
                <w:rFonts w:ascii="Arial" w:hAnsi="Arial" w:cs="Arial"/>
                <w:spacing w:val="4"/>
                <w:sz w:val="16"/>
                <w:szCs w:val="16"/>
              </w:rPr>
            </w:pPr>
            <w:r>
              <w:rPr>
                <w:rFonts w:ascii="Arial" w:hAnsi="Arial" w:cs="Arial"/>
                <w:spacing w:val="4"/>
                <w:sz w:val="16"/>
                <w:szCs w:val="16"/>
              </w:rPr>
              <w:t>Liczba wspartych podmiotów</w:t>
            </w:r>
            <w:r w:rsidR="0065602A">
              <w:rPr>
                <w:rFonts w:ascii="Arial" w:hAnsi="Arial" w:cs="Arial"/>
                <w:spacing w:val="4"/>
                <w:sz w:val="16"/>
                <w:szCs w:val="16"/>
              </w:rPr>
              <w:t xml:space="preserve"> w sektorze ochrony zdrowia</w:t>
            </w:r>
            <w:r w:rsidR="009F626F" w:rsidRPr="009F626F">
              <w:rPr>
                <w:rFonts w:ascii="Arial" w:hAnsi="Arial" w:cs="Arial"/>
                <w:spacing w:val="4"/>
                <w:sz w:val="16"/>
                <w:szCs w:val="16"/>
              </w:rPr>
              <w:t>, z wyłączeniem podmiotów POZ</w:t>
            </w:r>
          </w:p>
        </w:tc>
        <w:tc>
          <w:tcPr>
            <w:tcW w:w="529" w:type="pct"/>
            <w:shd w:val="clear" w:color="auto" w:fill="F2F2F2"/>
            <w:vAlign w:val="center"/>
          </w:tcPr>
          <w:p w14:paraId="2EE6C867" w14:textId="77777777" w:rsidR="005F32D3" w:rsidRPr="004E3242" w:rsidRDefault="005F32D3"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szt.</w:t>
            </w:r>
          </w:p>
        </w:tc>
        <w:tc>
          <w:tcPr>
            <w:tcW w:w="460" w:type="pct"/>
            <w:shd w:val="clear" w:color="auto" w:fill="F2F2F2"/>
            <w:vAlign w:val="center"/>
          </w:tcPr>
          <w:p w14:paraId="66A2E45E" w14:textId="77777777" w:rsidR="005F32D3" w:rsidRPr="004E3242" w:rsidRDefault="005F32D3" w:rsidP="00975531">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121FD8E5" w14:textId="77777777" w:rsidR="005F32D3" w:rsidRDefault="005F32D3"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n/d</w:t>
            </w:r>
          </w:p>
        </w:tc>
        <w:tc>
          <w:tcPr>
            <w:tcW w:w="533" w:type="pct"/>
            <w:shd w:val="clear" w:color="auto" w:fill="F2F2F2"/>
            <w:vAlign w:val="center"/>
          </w:tcPr>
          <w:p w14:paraId="6AD08E7F" w14:textId="77777777" w:rsidR="005F32D3" w:rsidRDefault="00C00AEB" w:rsidP="009F626F">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 xml:space="preserve">118  </w:t>
            </w:r>
          </w:p>
        </w:tc>
        <w:tc>
          <w:tcPr>
            <w:tcW w:w="528" w:type="pct"/>
            <w:shd w:val="clear" w:color="auto" w:fill="F2F2F2"/>
            <w:vAlign w:val="center"/>
          </w:tcPr>
          <w:p w14:paraId="5DF79F03" w14:textId="77777777" w:rsidR="005F32D3" w:rsidRPr="00DD0B07" w:rsidRDefault="005F32D3"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SL 2014</w:t>
            </w:r>
          </w:p>
        </w:tc>
        <w:tc>
          <w:tcPr>
            <w:tcW w:w="687" w:type="pct"/>
            <w:shd w:val="clear" w:color="auto" w:fill="F2F2F2"/>
            <w:vAlign w:val="center"/>
          </w:tcPr>
          <w:p w14:paraId="7F9C201C" w14:textId="77777777" w:rsidR="005F32D3" w:rsidRPr="00DD0B07" w:rsidRDefault="005F32D3"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Rocznie</w:t>
            </w:r>
          </w:p>
        </w:tc>
      </w:tr>
      <w:tr w:rsidR="005F32D3" w:rsidRPr="004E3242" w14:paraId="3573B252" w14:textId="77777777" w:rsidTr="00975531">
        <w:tc>
          <w:tcPr>
            <w:tcW w:w="286" w:type="pct"/>
            <w:shd w:val="clear" w:color="auto" w:fill="F2F2F2"/>
            <w:vAlign w:val="center"/>
          </w:tcPr>
          <w:p w14:paraId="531B1D46" w14:textId="77777777" w:rsidR="005F32D3" w:rsidRPr="004E3242" w:rsidRDefault="009F626F"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5</w:t>
            </w:r>
            <w:r w:rsidR="005F32D3">
              <w:rPr>
                <w:rFonts w:ascii="Arial" w:hAnsi="Arial" w:cs="Arial"/>
                <w:spacing w:val="4"/>
                <w:sz w:val="16"/>
                <w:szCs w:val="16"/>
              </w:rPr>
              <w:t>.</w:t>
            </w:r>
          </w:p>
        </w:tc>
        <w:tc>
          <w:tcPr>
            <w:tcW w:w="1368" w:type="pct"/>
            <w:shd w:val="clear" w:color="auto" w:fill="F2F2F2"/>
            <w:vAlign w:val="center"/>
          </w:tcPr>
          <w:p w14:paraId="523EE6C9" w14:textId="77777777" w:rsidR="005F32D3" w:rsidRPr="002F3D0C" w:rsidRDefault="00022437" w:rsidP="00975531">
            <w:pPr>
              <w:autoSpaceDE w:val="0"/>
              <w:autoSpaceDN w:val="0"/>
              <w:adjustRightInd w:val="0"/>
              <w:spacing w:before="60" w:after="60" w:line="240" w:lineRule="auto"/>
              <w:jc w:val="both"/>
              <w:rPr>
                <w:rFonts w:ascii="Arial" w:hAnsi="Arial" w:cs="Arial"/>
                <w:spacing w:val="4"/>
                <w:sz w:val="16"/>
                <w:szCs w:val="16"/>
              </w:rPr>
            </w:pPr>
            <w:r w:rsidRPr="00AC6D90">
              <w:rPr>
                <w:rFonts w:ascii="Arial" w:hAnsi="Arial" w:cs="Arial"/>
                <w:sz w:val="16"/>
                <w:szCs w:val="16"/>
              </w:rPr>
              <w:t>Wartość zakupionego sprzętu medyczne</w:t>
            </w:r>
            <w:r>
              <w:rPr>
                <w:rFonts w:ascii="Arial" w:hAnsi="Arial" w:cs="Arial"/>
                <w:sz w:val="16"/>
                <w:szCs w:val="16"/>
              </w:rPr>
              <w:t>go</w:t>
            </w:r>
          </w:p>
        </w:tc>
        <w:tc>
          <w:tcPr>
            <w:tcW w:w="529" w:type="pct"/>
            <w:shd w:val="clear" w:color="auto" w:fill="F2F2F2"/>
            <w:vAlign w:val="center"/>
          </w:tcPr>
          <w:p w14:paraId="52289D7C" w14:textId="77777777" w:rsidR="005F32D3" w:rsidRPr="004E3242" w:rsidRDefault="00022437" w:rsidP="00022437">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EUR</w:t>
            </w:r>
          </w:p>
        </w:tc>
        <w:tc>
          <w:tcPr>
            <w:tcW w:w="460" w:type="pct"/>
            <w:shd w:val="clear" w:color="auto" w:fill="F2F2F2"/>
            <w:vAlign w:val="center"/>
          </w:tcPr>
          <w:p w14:paraId="7B2E9089" w14:textId="77777777" w:rsidR="005F32D3" w:rsidRPr="004E3242" w:rsidRDefault="005F32D3" w:rsidP="00975531">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446BC697" w14:textId="77777777" w:rsidR="005F32D3" w:rsidRDefault="005F32D3"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n/d</w:t>
            </w:r>
          </w:p>
        </w:tc>
        <w:tc>
          <w:tcPr>
            <w:tcW w:w="533" w:type="pct"/>
            <w:shd w:val="clear" w:color="auto" w:fill="F2F2F2"/>
            <w:vAlign w:val="center"/>
          </w:tcPr>
          <w:p w14:paraId="75AE5B34" w14:textId="77777777" w:rsidR="005F32D3" w:rsidRDefault="00022437" w:rsidP="00975531">
            <w:pPr>
              <w:autoSpaceDE w:val="0"/>
              <w:autoSpaceDN w:val="0"/>
              <w:adjustRightInd w:val="0"/>
              <w:spacing w:before="60" w:after="60" w:line="240" w:lineRule="auto"/>
              <w:jc w:val="center"/>
              <w:rPr>
                <w:rFonts w:ascii="Arial" w:hAnsi="Arial" w:cs="Arial"/>
                <w:spacing w:val="4"/>
                <w:sz w:val="16"/>
                <w:szCs w:val="16"/>
              </w:rPr>
            </w:pPr>
            <w:r>
              <w:t xml:space="preserve"> </w:t>
            </w:r>
            <w:r w:rsidRPr="00022437">
              <w:rPr>
                <w:rFonts w:ascii="Arial" w:hAnsi="Arial" w:cs="Arial"/>
                <w:spacing w:val="4"/>
                <w:sz w:val="16"/>
                <w:szCs w:val="16"/>
              </w:rPr>
              <w:t>123 130 515</w:t>
            </w:r>
            <w:r w:rsidR="00C00AEB">
              <w:rPr>
                <w:rFonts w:ascii="Arial" w:hAnsi="Arial" w:cs="Arial"/>
                <w:spacing w:val="4"/>
                <w:sz w:val="16"/>
                <w:szCs w:val="16"/>
              </w:rPr>
              <w:t xml:space="preserve">  </w:t>
            </w:r>
            <w:r w:rsidR="005F32D3" w:rsidRPr="00EB33DB">
              <w:rPr>
                <w:rFonts w:ascii="Arial" w:hAnsi="Arial" w:cs="Arial"/>
                <w:spacing w:val="4"/>
                <w:sz w:val="16"/>
                <w:szCs w:val="16"/>
              </w:rPr>
              <w:t xml:space="preserve"> </w:t>
            </w:r>
            <w:r w:rsidR="005F32D3">
              <w:rPr>
                <w:rFonts w:ascii="Arial" w:hAnsi="Arial" w:cs="Arial"/>
                <w:spacing w:val="4"/>
                <w:sz w:val="16"/>
                <w:szCs w:val="16"/>
              </w:rPr>
              <w:t xml:space="preserve"> </w:t>
            </w:r>
          </w:p>
        </w:tc>
        <w:tc>
          <w:tcPr>
            <w:tcW w:w="528" w:type="pct"/>
            <w:shd w:val="clear" w:color="auto" w:fill="F2F2F2"/>
            <w:vAlign w:val="center"/>
          </w:tcPr>
          <w:p w14:paraId="3CEDDD9D" w14:textId="77777777" w:rsidR="005F32D3" w:rsidRPr="00DD0B07" w:rsidRDefault="005F32D3"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SL 2014</w:t>
            </w:r>
          </w:p>
        </w:tc>
        <w:tc>
          <w:tcPr>
            <w:tcW w:w="687" w:type="pct"/>
            <w:shd w:val="clear" w:color="auto" w:fill="F2F2F2"/>
            <w:vAlign w:val="center"/>
          </w:tcPr>
          <w:p w14:paraId="0C5BB677" w14:textId="77777777" w:rsidR="005F32D3" w:rsidRPr="00DD0B07" w:rsidRDefault="005F32D3" w:rsidP="00975531">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Rocznie</w:t>
            </w:r>
          </w:p>
        </w:tc>
      </w:tr>
      <w:tr w:rsidR="005F32D3" w:rsidRPr="004E3242" w14:paraId="2A7A50F3" w14:textId="77777777" w:rsidTr="004F05B6">
        <w:tc>
          <w:tcPr>
            <w:tcW w:w="286" w:type="pct"/>
            <w:shd w:val="clear" w:color="auto" w:fill="F2F2F2"/>
            <w:vAlign w:val="center"/>
          </w:tcPr>
          <w:p w14:paraId="328CCB62" w14:textId="77777777" w:rsidR="005F32D3" w:rsidRPr="004E3242" w:rsidRDefault="009F626F"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6</w:t>
            </w:r>
            <w:r w:rsidR="005F32D3">
              <w:rPr>
                <w:rFonts w:ascii="Arial" w:hAnsi="Arial" w:cs="Arial"/>
                <w:spacing w:val="4"/>
                <w:sz w:val="16"/>
                <w:szCs w:val="16"/>
              </w:rPr>
              <w:t>.</w:t>
            </w:r>
          </w:p>
        </w:tc>
        <w:tc>
          <w:tcPr>
            <w:tcW w:w="1368" w:type="pct"/>
            <w:shd w:val="clear" w:color="auto" w:fill="F2F2F2"/>
            <w:vAlign w:val="center"/>
          </w:tcPr>
          <w:p w14:paraId="5E632F0A" w14:textId="77777777" w:rsidR="005F32D3" w:rsidRPr="002F3D0C" w:rsidRDefault="005F32D3" w:rsidP="00772905">
            <w:pPr>
              <w:autoSpaceDE w:val="0"/>
              <w:autoSpaceDN w:val="0"/>
              <w:adjustRightInd w:val="0"/>
              <w:spacing w:before="60" w:after="60" w:line="240" w:lineRule="auto"/>
              <w:jc w:val="both"/>
              <w:rPr>
                <w:rFonts w:ascii="Arial" w:hAnsi="Arial" w:cs="Arial"/>
                <w:spacing w:val="4"/>
                <w:sz w:val="16"/>
                <w:szCs w:val="16"/>
              </w:rPr>
            </w:pPr>
            <w:r w:rsidRPr="00873466">
              <w:rPr>
                <w:rFonts w:ascii="Arial" w:hAnsi="Arial" w:cs="Arial"/>
                <w:sz w:val="16"/>
                <w:szCs w:val="16"/>
              </w:rPr>
              <w:t>Wartość wydatków kwalifikowalnych przeznaczonych na działania związane z pandemią COVID-19</w:t>
            </w:r>
            <w:r w:rsidR="00772905">
              <w:rPr>
                <w:rFonts w:ascii="Arial" w:hAnsi="Arial" w:cs="Arial"/>
                <w:sz w:val="16"/>
                <w:szCs w:val="16"/>
              </w:rPr>
              <w:t xml:space="preserve"> - </w:t>
            </w:r>
            <w:r w:rsidR="009F626F">
              <w:rPr>
                <w:rFonts w:ascii="Arial" w:hAnsi="Arial" w:cs="Arial"/>
                <w:sz w:val="16"/>
                <w:szCs w:val="16"/>
              </w:rPr>
              <w:t>CV29</w:t>
            </w:r>
          </w:p>
        </w:tc>
        <w:tc>
          <w:tcPr>
            <w:tcW w:w="529" w:type="pct"/>
            <w:shd w:val="clear" w:color="auto" w:fill="F2F2F2"/>
            <w:vAlign w:val="center"/>
          </w:tcPr>
          <w:p w14:paraId="1E107491" w14:textId="77777777" w:rsidR="005F32D3" w:rsidRPr="004E3242" w:rsidRDefault="009F626F" w:rsidP="009F626F">
            <w:pPr>
              <w:autoSpaceDE w:val="0"/>
              <w:autoSpaceDN w:val="0"/>
              <w:adjustRightInd w:val="0"/>
              <w:spacing w:before="60" w:after="60" w:line="240" w:lineRule="auto"/>
              <w:jc w:val="center"/>
              <w:rPr>
                <w:rFonts w:ascii="Arial" w:hAnsi="Arial" w:cs="Arial"/>
                <w:spacing w:val="4"/>
                <w:sz w:val="16"/>
                <w:szCs w:val="16"/>
              </w:rPr>
            </w:pPr>
            <w:r>
              <w:rPr>
                <w:rFonts w:ascii="Arial" w:hAnsi="Arial" w:cs="Arial"/>
                <w:sz w:val="16"/>
                <w:szCs w:val="16"/>
              </w:rPr>
              <w:t>EUR</w:t>
            </w:r>
          </w:p>
        </w:tc>
        <w:tc>
          <w:tcPr>
            <w:tcW w:w="460" w:type="pct"/>
            <w:shd w:val="clear" w:color="auto" w:fill="F2F2F2"/>
            <w:vAlign w:val="center"/>
          </w:tcPr>
          <w:p w14:paraId="7854A1A9" w14:textId="77777777" w:rsidR="005F32D3" w:rsidRPr="004E3242" w:rsidRDefault="005F32D3" w:rsidP="004F05B6">
            <w:pPr>
              <w:autoSpaceDE w:val="0"/>
              <w:autoSpaceDN w:val="0"/>
              <w:adjustRightInd w:val="0"/>
              <w:spacing w:before="60" w:after="60" w:line="240" w:lineRule="auto"/>
              <w:jc w:val="center"/>
              <w:rPr>
                <w:rFonts w:ascii="Arial" w:hAnsi="Arial" w:cs="Arial"/>
                <w:spacing w:val="4"/>
                <w:sz w:val="16"/>
                <w:szCs w:val="16"/>
              </w:rPr>
            </w:pPr>
            <w:r w:rsidRPr="004E3242">
              <w:rPr>
                <w:rFonts w:ascii="Arial" w:hAnsi="Arial" w:cs="Arial"/>
                <w:spacing w:val="4"/>
                <w:sz w:val="16"/>
                <w:szCs w:val="16"/>
              </w:rPr>
              <w:t>EFRR</w:t>
            </w:r>
          </w:p>
        </w:tc>
        <w:tc>
          <w:tcPr>
            <w:tcW w:w="608" w:type="pct"/>
            <w:shd w:val="clear" w:color="auto" w:fill="F2F2F2"/>
            <w:vAlign w:val="center"/>
          </w:tcPr>
          <w:p w14:paraId="61CAB911" w14:textId="77777777" w:rsidR="005F32D3" w:rsidRDefault="005F32D3"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n/d</w:t>
            </w:r>
          </w:p>
        </w:tc>
        <w:tc>
          <w:tcPr>
            <w:tcW w:w="533" w:type="pct"/>
            <w:shd w:val="clear" w:color="auto" w:fill="F2F2F2"/>
            <w:vAlign w:val="center"/>
          </w:tcPr>
          <w:p w14:paraId="392AB7F0" w14:textId="77777777" w:rsidR="005F32D3" w:rsidRDefault="009F626F" w:rsidP="004F05B6">
            <w:pPr>
              <w:autoSpaceDE w:val="0"/>
              <w:autoSpaceDN w:val="0"/>
              <w:adjustRightInd w:val="0"/>
              <w:spacing w:before="60" w:after="60" w:line="240" w:lineRule="auto"/>
              <w:jc w:val="center"/>
              <w:rPr>
                <w:rFonts w:ascii="Arial" w:hAnsi="Arial" w:cs="Arial"/>
                <w:spacing w:val="4"/>
                <w:sz w:val="16"/>
                <w:szCs w:val="16"/>
              </w:rPr>
            </w:pPr>
            <w:r w:rsidRPr="009F626F">
              <w:rPr>
                <w:rFonts w:ascii="Arial" w:hAnsi="Arial" w:cs="Arial"/>
                <w:spacing w:val="4"/>
                <w:sz w:val="16"/>
                <w:szCs w:val="16"/>
              </w:rPr>
              <w:t>26 382 022</w:t>
            </w:r>
            <w:r w:rsidR="00C00AEB">
              <w:rPr>
                <w:rFonts w:ascii="Arial" w:hAnsi="Arial" w:cs="Arial"/>
                <w:spacing w:val="4"/>
                <w:sz w:val="16"/>
                <w:szCs w:val="16"/>
              </w:rPr>
              <w:t xml:space="preserve">  </w:t>
            </w:r>
          </w:p>
        </w:tc>
        <w:tc>
          <w:tcPr>
            <w:tcW w:w="528" w:type="pct"/>
            <w:shd w:val="clear" w:color="auto" w:fill="F2F2F2"/>
            <w:vAlign w:val="center"/>
          </w:tcPr>
          <w:p w14:paraId="36DF4835" w14:textId="77777777" w:rsidR="005F32D3" w:rsidRPr="00DD0B07" w:rsidRDefault="005F32D3"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SL</w:t>
            </w:r>
            <w:r w:rsidR="009F626F">
              <w:rPr>
                <w:rFonts w:ascii="Arial" w:hAnsi="Arial" w:cs="Arial"/>
                <w:spacing w:val="4"/>
                <w:sz w:val="16"/>
                <w:szCs w:val="16"/>
              </w:rPr>
              <w:t xml:space="preserve"> </w:t>
            </w:r>
            <w:r>
              <w:rPr>
                <w:rFonts w:ascii="Arial" w:hAnsi="Arial" w:cs="Arial"/>
                <w:spacing w:val="4"/>
                <w:sz w:val="16"/>
                <w:szCs w:val="16"/>
              </w:rPr>
              <w:t>2014</w:t>
            </w:r>
          </w:p>
        </w:tc>
        <w:tc>
          <w:tcPr>
            <w:tcW w:w="687" w:type="pct"/>
            <w:shd w:val="clear" w:color="auto" w:fill="F2F2F2"/>
            <w:vAlign w:val="center"/>
          </w:tcPr>
          <w:p w14:paraId="2EE1E0D0" w14:textId="77777777" w:rsidR="005F32D3" w:rsidRPr="00DD0B07" w:rsidRDefault="005F32D3" w:rsidP="004F05B6">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Rocznie</w:t>
            </w:r>
          </w:p>
        </w:tc>
      </w:tr>
      <w:tr w:rsidR="003E61C9" w:rsidRPr="004E3242" w14:paraId="77E6A6DA" w14:textId="77777777" w:rsidTr="004F05B6">
        <w:tc>
          <w:tcPr>
            <w:tcW w:w="286" w:type="pct"/>
            <w:shd w:val="clear" w:color="auto" w:fill="F2F2F2"/>
            <w:vAlign w:val="center"/>
          </w:tcPr>
          <w:p w14:paraId="3149FE06" w14:textId="239F031A" w:rsidR="003E61C9" w:rsidRDefault="003E61C9" w:rsidP="003E61C9">
            <w:pPr>
              <w:autoSpaceDE w:val="0"/>
              <w:autoSpaceDN w:val="0"/>
              <w:adjustRightInd w:val="0"/>
              <w:spacing w:before="60" w:after="60" w:line="240" w:lineRule="auto"/>
              <w:jc w:val="center"/>
              <w:rPr>
                <w:rFonts w:ascii="Arial" w:hAnsi="Arial" w:cs="Arial"/>
                <w:spacing w:val="4"/>
                <w:sz w:val="16"/>
                <w:szCs w:val="16"/>
              </w:rPr>
            </w:pPr>
            <w:r>
              <w:rPr>
                <w:rFonts w:ascii="Arial" w:hAnsi="Arial" w:cs="Arial"/>
                <w:spacing w:val="4"/>
                <w:sz w:val="16"/>
                <w:szCs w:val="16"/>
              </w:rPr>
              <w:t>7.</w:t>
            </w:r>
          </w:p>
        </w:tc>
        <w:tc>
          <w:tcPr>
            <w:tcW w:w="1368" w:type="pct"/>
            <w:shd w:val="clear" w:color="auto" w:fill="F2F2F2"/>
            <w:vAlign w:val="center"/>
          </w:tcPr>
          <w:p w14:paraId="7EA2F262" w14:textId="3110D1E1" w:rsidR="003E61C9" w:rsidRPr="00DC275C" w:rsidRDefault="003E61C9" w:rsidP="003E61C9">
            <w:pPr>
              <w:autoSpaceDE w:val="0"/>
              <w:autoSpaceDN w:val="0"/>
              <w:adjustRightInd w:val="0"/>
              <w:spacing w:before="60" w:after="60" w:line="240" w:lineRule="auto"/>
              <w:jc w:val="both"/>
              <w:rPr>
                <w:rFonts w:ascii="Arial" w:hAnsi="Arial" w:cs="Arial"/>
                <w:sz w:val="16"/>
                <w:szCs w:val="16"/>
              </w:rPr>
            </w:pPr>
            <w:r w:rsidRPr="00DC275C">
              <w:rPr>
                <w:rFonts w:ascii="Arial" w:hAnsi="Arial" w:cs="Arial"/>
                <w:spacing w:val="4"/>
                <w:sz w:val="16"/>
                <w:szCs w:val="16"/>
              </w:rPr>
              <w:t>Liczba zakupionych jednostek taboru pasażerskiego w publicznym transporcie zbiorowym komunikacji miejskiej</w:t>
            </w:r>
          </w:p>
        </w:tc>
        <w:tc>
          <w:tcPr>
            <w:tcW w:w="529" w:type="pct"/>
            <w:shd w:val="clear" w:color="auto" w:fill="F2F2F2"/>
            <w:vAlign w:val="center"/>
          </w:tcPr>
          <w:p w14:paraId="4C39A15F" w14:textId="6D507DD3" w:rsidR="003E61C9" w:rsidRPr="00DC275C" w:rsidRDefault="003E61C9" w:rsidP="003E61C9">
            <w:pPr>
              <w:autoSpaceDE w:val="0"/>
              <w:autoSpaceDN w:val="0"/>
              <w:adjustRightInd w:val="0"/>
              <w:spacing w:before="60" w:after="60" w:line="240" w:lineRule="auto"/>
              <w:jc w:val="center"/>
              <w:rPr>
                <w:rFonts w:ascii="Arial" w:hAnsi="Arial" w:cs="Arial"/>
                <w:sz w:val="16"/>
                <w:szCs w:val="16"/>
              </w:rPr>
            </w:pPr>
            <w:r w:rsidRPr="00DC275C">
              <w:rPr>
                <w:rFonts w:ascii="Arial" w:hAnsi="Arial" w:cs="Arial"/>
                <w:spacing w:val="4"/>
                <w:sz w:val="16"/>
                <w:szCs w:val="16"/>
              </w:rPr>
              <w:t>szt.</w:t>
            </w:r>
          </w:p>
        </w:tc>
        <w:tc>
          <w:tcPr>
            <w:tcW w:w="460" w:type="pct"/>
            <w:shd w:val="clear" w:color="auto" w:fill="F2F2F2"/>
            <w:vAlign w:val="center"/>
          </w:tcPr>
          <w:p w14:paraId="59F09872" w14:textId="43F806BB" w:rsidR="003E61C9" w:rsidRPr="00DC275C" w:rsidRDefault="003E61C9" w:rsidP="003E61C9">
            <w:pPr>
              <w:autoSpaceDE w:val="0"/>
              <w:autoSpaceDN w:val="0"/>
              <w:adjustRightInd w:val="0"/>
              <w:spacing w:before="60" w:after="60" w:line="240" w:lineRule="auto"/>
              <w:jc w:val="center"/>
              <w:rPr>
                <w:rFonts w:ascii="Arial" w:hAnsi="Arial" w:cs="Arial"/>
                <w:spacing w:val="4"/>
                <w:sz w:val="16"/>
                <w:szCs w:val="16"/>
              </w:rPr>
            </w:pPr>
            <w:r w:rsidRPr="00DC275C">
              <w:rPr>
                <w:rFonts w:ascii="Arial" w:hAnsi="Arial" w:cs="Arial"/>
                <w:spacing w:val="4"/>
                <w:sz w:val="16"/>
                <w:szCs w:val="16"/>
              </w:rPr>
              <w:t>EFRR</w:t>
            </w:r>
          </w:p>
        </w:tc>
        <w:tc>
          <w:tcPr>
            <w:tcW w:w="608" w:type="pct"/>
            <w:shd w:val="clear" w:color="auto" w:fill="F2F2F2"/>
            <w:vAlign w:val="center"/>
          </w:tcPr>
          <w:p w14:paraId="7E152C92" w14:textId="1D27102C" w:rsidR="003E61C9" w:rsidRPr="00DC275C" w:rsidRDefault="003E61C9" w:rsidP="003E61C9">
            <w:pPr>
              <w:autoSpaceDE w:val="0"/>
              <w:autoSpaceDN w:val="0"/>
              <w:adjustRightInd w:val="0"/>
              <w:spacing w:before="60" w:after="60" w:line="240" w:lineRule="auto"/>
              <w:jc w:val="center"/>
              <w:rPr>
                <w:rFonts w:ascii="Arial" w:hAnsi="Arial" w:cs="Arial"/>
                <w:spacing w:val="4"/>
                <w:sz w:val="16"/>
                <w:szCs w:val="16"/>
              </w:rPr>
            </w:pPr>
            <w:r w:rsidRPr="00DC275C">
              <w:rPr>
                <w:rFonts w:ascii="Arial" w:hAnsi="Arial" w:cs="Arial"/>
                <w:spacing w:val="4"/>
                <w:sz w:val="16"/>
                <w:szCs w:val="16"/>
              </w:rPr>
              <w:t>n/d</w:t>
            </w:r>
          </w:p>
        </w:tc>
        <w:tc>
          <w:tcPr>
            <w:tcW w:w="533" w:type="pct"/>
            <w:shd w:val="clear" w:color="auto" w:fill="F2F2F2"/>
            <w:vAlign w:val="center"/>
          </w:tcPr>
          <w:p w14:paraId="0D5BD11B" w14:textId="250B0A36" w:rsidR="003E61C9" w:rsidRPr="00DC275C" w:rsidRDefault="00D11DE4" w:rsidP="003E61C9">
            <w:pPr>
              <w:autoSpaceDE w:val="0"/>
              <w:autoSpaceDN w:val="0"/>
              <w:adjustRightInd w:val="0"/>
              <w:spacing w:before="60" w:after="60" w:line="240" w:lineRule="auto"/>
              <w:jc w:val="center"/>
              <w:rPr>
                <w:rFonts w:ascii="Arial" w:hAnsi="Arial" w:cs="Arial"/>
                <w:spacing w:val="4"/>
                <w:sz w:val="16"/>
                <w:szCs w:val="16"/>
              </w:rPr>
            </w:pPr>
            <w:r w:rsidRPr="00DC275C">
              <w:rPr>
                <w:rFonts w:ascii="Arial" w:hAnsi="Arial" w:cs="Arial"/>
                <w:spacing w:val="4"/>
                <w:sz w:val="16"/>
                <w:szCs w:val="16"/>
              </w:rPr>
              <w:t>75</w:t>
            </w:r>
          </w:p>
        </w:tc>
        <w:tc>
          <w:tcPr>
            <w:tcW w:w="528" w:type="pct"/>
            <w:shd w:val="clear" w:color="auto" w:fill="F2F2F2"/>
            <w:vAlign w:val="center"/>
          </w:tcPr>
          <w:p w14:paraId="1671BA39" w14:textId="7EA43276" w:rsidR="003E61C9" w:rsidRPr="00DC275C" w:rsidRDefault="003E61C9" w:rsidP="003E61C9">
            <w:pPr>
              <w:autoSpaceDE w:val="0"/>
              <w:autoSpaceDN w:val="0"/>
              <w:adjustRightInd w:val="0"/>
              <w:spacing w:before="60" w:after="60" w:line="240" w:lineRule="auto"/>
              <w:jc w:val="center"/>
              <w:rPr>
                <w:rFonts w:ascii="Arial" w:hAnsi="Arial" w:cs="Arial"/>
                <w:spacing w:val="4"/>
                <w:sz w:val="16"/>
                <w:szCs w:val="16"/>
              </w:rPr>
            </w:pPr>
            <w:r w:rsidRPr="00DC275C">
              <w:rPr>
                <w:rFonts w:ascii="Arial" w:hAnsi="Arial" w:cs="Arial"/>
                <w:spacing w:val="4"/>
                <w:sz w:val="16"/>
                <w:szCs w:val="16"/>
              </w:rPr>
              <w:t>SL 2014</w:t>
            </w:r>
          </w:p>
        </w:tc>
        <w:tc>
          <w:tcPr>
            <w:tcW w:w="687" w:type="pct"/>
            <w:shd w:val="clear" w:color="auto" w:fill="F2F2F2"/>
            <w:vAlign w:val="center"/>
          </w:tcPr>
          <w:p w14:paraId="2401E624" w14:textId="7C30C7D5" w:rsidR="003E61C9" w:rsidRPr="00DC275C" w:rsidRDefault="003E61C9" w:rsidP="003E61C9">
            <w:pPr>
              <w:autoSpaceDE w:val="0"/>
              <w:autoSpaceDN w:val="0"/>
              <w:adjustRightInd w:val="0"/>
              <w:spacing w:before="60" w:after="60" w:line="240" w:lineRule="auto"/>
              <w:jc w:val="center"/>
              <w:rPr>
                <w:rFonts w:ascii="Arial" w:hAnsi="Arial" w:cs="Arial"/>
                <w:spacing w:val="4"/>
                <w:sz w:val="16"/>
                <w:szCs w:val="16"/>
              </w:rPr>
            </w:pPr>
            <w:r w:rsidRPr="00DC275C">
              <w:rPr>
                <w:rFonts w:ascii="Arial" w:hAnsi="Arial" w:cs="Arial"/>
                <w:spacing w:val="4"/>
                <w:sz w:val="16"/>
                <w:szCs w:val="16"/>
              </w:rPr>
              <w:t>Rocznie</w:t>
            </w:r>
          </w:p>
        </w:tc>
      </w:tr>
    </w:tbl>
    <w:p w14:paraId="31803566" w14:textId="77777777" w:rsidR="00AC0D5D" w:rsidRPr="005C1EA9" w:rsidRDefault="00AC0D5D" w:rsidP="00AC0D5D">
      <w:pPr>
        <w:autoSpaceDE w:val="0"/>
        <w:autoSpaceDN w:val="0"/>
        <w:adjustRightInd w:val="0"/>
        <w:spacing w:before="120" w:after="120"/>
        <w:jc w:val="both"/>
        <w:rPr>
          <w:rFonts w:ascii="Arial" w:hAnsi="Arial" w:cs="Arial"/>
          <w:sz w:val="20"/>
          <w:szCs w:val="20"/>
        </w:rPr>
      </w:pPr>
    </w:p>
    <w:p w14:paraId="1E8D4999" w14:textId="77777777" w:rsidR="005C1EA9" w:rsidRPr="00C86A58" w:rsidRDefault="00C86A58" w:rsidP="00C86A58">
      <w:pPr>
        <w:spacing w:before="120" w:after="120"/>
        <w:jc w:val="both"/>
        <w:rPr>
          <w:rFonts w:ascii="Arial" w:hAnsi="Arial" w:cs="Arial"/>
          <w:bCs/>
          <w:smallCaps/>
          <w:color w:val="669900"/>
          <w:spacing w:val="4"/>
          <w:sz w:val="20"/>
          <w:szCs w:val="20"/>
        </w:rPr>
      </w:pPr>
      <w:r>
        <w:rPr>
          <w:rFonts w:ascii="Arial" w:hAnsi="Arial" w:cs="Arial"/>
          <w:bCs/>
          <w:smallCaps/>
          <w:color w:val="669900"/>
          <w:spacing w:val="4"/>
          <w:sz w:val="20"/>
          <w:szCs w:val="20"/>
        </w:rPr>
        <w:t>Potencjalni b</w:t>
      </w:r>
      <w:r w:rsidRPr="00C86A58">
        <w:rPr>
          <w:rFonts w:ascii="Arial" w:hAnsi="Arial" w:cs="Arial"/>
          <w:bCs/>
          <w:smallCaps/>
          <w:color w:val="669900"/>
          <w:spacing w:val="4"/>
          <w:sz w:val="20"/>
          <w:szCs w:val="20"/>
        </w:rPr>
        <w:t>eneficjenci oraz grupy docelowe</w:t>
      </w:r>
    </w:p>
    <w:p w14:paraId="2D4D2742" w14:textId="77777777" w:rsidR="005F32D3" w:rsidRDefault="005F32D3" w:rsidP="005F32D3">
      <w:pPr>
        <w:spacing w:after="120"/>
        <w:jc w:val="both"/>
        <w:rPr>
          <w:rFonts w:ascii="Arial" w:hAnsi="Arial" w:cs="Arial"/>
          <w:sz w:val="20"/>
          <w:szCs w:val="20"/>
        </w:rPr>
      </w:pPr>
      <w:r>
        <w:rPr>
          <w:rFonts w:ascii="Arial" w:hAnsi="Arial" w:cs="Arial"/>
          <w:sz w:val="20"/>
          <w:szCs w:val="20"/>
        </w:rPr>
        <w:t>W przypadku interwencji w infrastrukturę ochrony zdrowia beneficjentami wparcia będą:</w:t>
      </w:r>
    </w:p>
    <w:p w14:paraId="03E7DD0E" w14:textId="77777777" w:rsidR="005F32D3" w:rsidRDefault="005F32D3" w:rsidP="005F32D3">
      <w:pPr>
        <w:numPr>
          <w:ilvl w:val="0"/>
          <w:numId w:val="110"/>
        </w:numPr>
        <w:spacing w:after="120"/>
        <w:jc w:val="both"/>
        <w:rPr>
          <w:rFonts w:ascii="Arial" w:hAnsi="Arial" w:cs="Arial"/>
          <w:sz w:val="20"/>
          <w:szCs w:val="20"/>
        </w:rPr>
      </w:pPr>
      <w:r w:rsidRPr="00AF5EBC">
        <w:rPr>
          <w:rFonts w:ascii="Arial" w:hAnsi="Arial" w:cs="Arial"/>
          <w:sz w:val="20"/>
          <w:szCs w:val="20"/>
        </w:rPr>
        <w:t>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w:t>
      </w:r>
      <w:r>
        <w:rPr>
          <w:rFonts w:ascii="Arial" w:hAnsi="Arial" w:cs="Arial"/>
          <w:sz w:val="20"/>
          <w:szCs w:val="20"/>
        </w:rPr>
        <w:t>dania naukowe i prace rozwojowe</w:t>
      </w:r>
      <w:r w:rsidRPr="00D65C66">
        <w:rPr>
          <w:rFonts w:ascii="Arial" w:hAnsi="Arial" w:cs="Arial"/>
          <w:sz w:val="20"/>
          <w:szCs w:val="20"/>
        </w:rPr>
        <w:t xml:space="preserve"> </w:t>
      </w:r>
      <w:r w:rsidRPr="00AF5EBC">
        <w:rPr>
          <w:rFonts w:ascii="Arial" w:hAnsi="Arial" w:cs="Arial"/>
          <w:sz w:val="20"/>
          <w:szCs w:val="20"/>
        </w:rPr>
        <w:t>w</w:t>
      </w:r>
      <w:r w:rsidR="00A065EA">
        <w:rPr>
          <w:rFonts w:ascii="Arial" w:hAnsi="Arial" w:cs="Arial"/>
          <w:sz w:val="20"/>
          <w:szCs w:val="20"/>
        </w:rPr>
        <w:t> </w:t>
      </w:r>
      <w:r w:rsidRPr="00AF5EBC">
        <w:rPr>
          <w:rFonts w:ascii="Arial" w:hAnsi="Arial" w:cs="Arial"/>
          <w:sz w:val="20"/>
          <w:szCs w:val="20"/>
        </w:rPr>
        <w:t>dziedzinie nauk medycznych, uczestnicz</w:t>
      </w:r>
      <w:r>
        <w:rPr>
          <w:rFonts w:ascii="Arial" w:hAnsi="Arial" w:cs="Arial"/>
          <w:sz w:val="20"/>
          <w:szCs w:val="20"/>
        </w:rPr>
        <w:t>ące w systemie ochrony zdrowia;</w:t>
      </w:r>
    </w:p>
    <w:p w14:paraId="71181FE6" w14:textId="77777777" w:rsidR="005F32D3" w:rsidRDefault="005F32D3" w:rsidP="005F32D3">
      <w:pPr>
        <w:numPr>
          <w:ilvl w:val="0"/>
          <w:numId w:val="110"/>
        </w:numPr>
        <w:spacing w:after="120"/>
        <w:jc w:val="both"/>
        <w:rPr>
          <w:rFonts w:ascii="Arial" w:hAnsi="Arial" w:cs="Arial"/>
          <w:sz w:val="20"/>
          <w:szCs w:val="20"/>
        </w:rPr>
      </w:pPr>
      <w:r w:rsidRPr="00AF5EBC">
        <w:rPr>
          <w:rFonts w:ascii="Arial" w:hAnsi="Arial" w:cs="Arial"/>
          <w:sz w:val="20"/>
          <w:szCs w:val="20"/>
        </w:rPr>
        <w:t xml:space="preserve">podmioty lecznicze (a także przedsiębiorcy powstali z ich przekształcenia) inne niż wymienione powyżej udzielające świadczeń zdrowotnych </w:t>
      </w:r>
      <w:r>
        <w:rPr>
          <w:rFonts w:ascii="Arial" w:hAnsi="Arial" w:cs="Arial"/>
          <w:sz w:val="20"/>
          <w:szCs w:val="20"/>
        </w:rPr>
        <w:t xml:space="preserve">dedykowanych chorobom zakaźnym; </w:t>
      </w:r>
    </w:p>
    <w:p w14:paraId="458CB523" w14:textId="77777777" w:rsidR="005F32D3" w:rsidRPr="00AF5EBC" w:rsidRDefault="005F32D3" w:rsidP="005F32D3">
      <w:pPr>
        <w:numPr>
          <w:ilvl w:val="0"/>
          <w:numId w:val="110"/>
        </w:numPr>
        <w:spacing w:after="120"/>
        <w:jc w:val="both"/>
        <w:rPr>
          <w:rFonts w:ascii="Arial" w:hAnsi="Arial" w:cs="Arial"/>
          <w:sz w:val="20"/>
          <w:szCs w:val="20"/>
        </w:rPr>
      </w:pPr>
      <w:r>
        <w:rPr>
          <w:rFonts w:ascii="Arial" w:hAnsi="Arial" w:cs="Arial"/>
          <w:sz w:val="20"/>
          <w:szCs w:val="20"/>
        </w:rPr>
        <w:t>podmioty lecznicze</w:t>
      </w:r>
      <w:r w:rsidRPr="00782527">
        <w:rPr>
          <w:rFonts w:ascii="Arial" w:hAnsi="Arial" w:cs="Arial"/>
          <w:sz w:val="20"/>
          <w:szCs w:val="20"/>
        </w:rPr>
        <w:t xml:space="preserve"> wyspecjalizowan</w:t>
      </w:r>
      <w:r>
        <w:rPr>
          <w:rFonts w:ascii="Arial" w:hAnsi="Arial" w:cs="Arial"/>
          <w:sz w:val="20"/>
          <w:szCs w:val="20"/>
        </w:rPr>
        <w:t>e</w:t>
      </w:r>
      <w:r w:rsidRPr="00782527">
        <w:rPr>
          <w:rFonts w:ascii="Arial" w:hAnsi="Arial" w:cs="Arial"/>
          <w:sz w:val="20"/>
          <w:szCs w:val="20"/>
        </w:rPr>
        <w:t xml:space="preserve"> w zakresie onkologii</w:t>
      </w:r>
      <w:r>
        <w:rPr>
          <w:rStyle w:val="Odwoanieprzypisudolnego"/>
          <w:rFonts w:ascii="Arial" w:hAnsi="Arial" w:cs="Arial"/>
          <w:sz w:val="20"/>
          <w:szCs w:val="20"/>
        </w:rPr>
        <w:footnoteReference w:id="103"/>
      </w:r>
      <w:r>
        <w:rPr>
          <w:rFonts w:ascii="Arial" w:hAnsi="Arial" w:cs="Arial"/>
          <w:sz w:val="20"/>
          <w:szCs w:val="20"/>
        </w:rPr>
        <w:t>;</w:t>
      </w:r>
      <w:r w:rsidRPr="00782527">
        <w:rPr>
          <w:rFonts w:ascii="Arial" w:hAnsi="Arial" w:cs="Arial"/>
          <w:sz w:val="20"/>
          <w:szCs w:val="20"/>
        </w:rPr>
        <w:t xml:space="preserve">  </w:t>
      </w:r>
      <w:r>
        <w:rPr>
          <w:rFonts w:ascii="Arial" w:hAnsi="Arial" w:cs="Arial"/>
          <w:sz w:val="20"/>
          <w:szCs w:val="20"/>
        </w:rPr>
        <w:t xml:space="preserve"> </w:t>
      </w:r>
    </w:p>
    <w:p w14:paraId="420DDFD9" w14:textId="5A945429" w:rsidR="005F32D3" w:rsidRDefault="005F32D3" w:rsidP="005F32D3">
      <w:pPr>
        <w:numPr>
          <w:ilvl w:val="0"/>
          <w:numId w:val="110"/>
        </w:numPr>
        <w:spacing w:after="120"/>
        <w:jc w:val="both"/>
        <w:rPr>
          <w:rFonts w:ascii="Arial" w:hAnsi="Arial" w:cs="Arial"/>
          <w:sz w:val="20"/>
          <w:szCs w:val="20"/>
        </w:rPr>
      </w:pPr>
      <w:r w:rsidRPr="00F42B20">
        <w:rPr>
          <w:rFonts w:ascii="Arial" w:hAnsi="Arial" w:cs="Arial"/>
          <w:sz w:val="20"/>
          <w:szCs w:val="20"/>
        </w:rPr>
        <w:t>Organy Państwowej Inspekcji Sanitarnej</w:t>
      </w:r>
      <w:r>
        <w:rPr>
          <w:rFonts w:ascii="Arial" w:hAnsi="Arial" w:cs="Arial"/>
          <w:sz w:val="20"/>
          <w:szCs w:val="20"/>
        </w:rPr>
        <w:t>, z wyłączeniem  granicznych stacji sanitarno-epidemiologicznych;</w:t>
      </w:r>
    </w:p>
    <w:p w14:paraId="29516365" w14:textId="77777777" w:rsidR="005F32D3" w:rsidRPr="005079D2" w:rsidRDefault="005F32D3" w:rsidP="005F32D3">
      <w:pPr>
        <w:numPr>
          <w:ilvl w:val="0"/>
          <w:numId w:val="110"/>
        </w:numPr>
        <w:spacing w:after="120"/>
        <w:jc w:val="both"/>
        <w:rPr>
          <w:rFonts w:ascii="Arial" w:hAnsi="Arial" w:cs="Arial"/>
          <w:sz w:val="20"/>
          <w:szCs w:val="20"/>
        </w:rPr>
      </w:pPr>
      <w:r w:rsidRPr="005079D2">
        <w:rPr>
          <w:rFonts w:ascii="Arial" w:hAnsi="Arial" w:cs="Arial"/>
          <w:sz w:val="20"/>
          <w:szCs w:val="20"/>
        </w:rPr>
        <w:t xml:space="preserve">inne jednostki/podmioty wskazane przez Ministra właściwego ds. zdrowia do realizacji działań związanych z zapobieganiem, przeciwdziałaniem i zwalczaniem COVID-19 </w:t>
      </w:r>
      <w:r>
        <w:rPr>
          <w:rFonts w:ascii="Arial" w:hAnsi="Arial" w:cs="Arial"/>
          <w:sz w:val="20"/>
          <w:szCs w:val="20"/>
        </w:rPr>
        <w:t>i / lub</w:t>
      </w:r>
      <w:r w:rsidRPr="005079D2">
        <w:rPr>
          <w:rFonts w:ascii="Arial" w:hAnsi="Arial" w:cs="Arial"/>
          <w:sz w:val="20"/>
          <w:szCs w:val="20"/>
        </w:rPr>
        <w:t xml:space="preserve"> innych chorób zakaźnych;</w:t>
      </w:r>
    </w:p>
    <w:p w14:paraId="325EF22F" w14:textId="77777777" w:rsidR="005F32D3" w:rsidRPr="00AF5EBC" w:rsidRDefault="005F32D3" w:rsidP="005F32D3">
      <w:pPr>
        <w:numPr>
          <w:ilvl w:val="0"/>
          <w:numId w:val="110"/>
        </w:numPr>
        <w:spacing w:after="120"/>
        <w:jc w:val="both"/>
        <w:rPr>
          <w:rFonts w:ascii="Arial" w:hAnsi="Arial" w:cs="Arial"/>
          <w:sz w:val="20"/>
          <w:szCs w:val="20"/>
        </w:rPr>
      </w:pPr>
      <w:r>
        <w:rPr>
          <w:rFonts w:ascii="Arial" w:hAnsi="Arial" w:cs="Arial"/>
          <w:sz w:val="20"/>
          <w:szCs w:val="20"/>
        </w:rPr>
        <w:t>Narodowe Centrum Krwi i Regionalne Centra Krwiodawstwa i Krwiolecznictwa;</w:t>
      </w:r>
    </w:p>
    <w:p w14:paraId="7F7DBC67" w14:textId="076D837D" w:rsidR="00842674" w:rsidRDefault="005F32D3" w:rsidP="00EE1F94">
      <w:pPr>
        <w:numPr>
          <w:ilvl w:val="0"/>
          <w:numId w:val="110"/>
        </w:numPr>
        <w:spacing w:after="120"/>
        <w:jc w:val="both"/>
        <w:rPr>
          <w:rFonts w:ascii="Arial" w:hAnsi="Arial" w:cs="Arial"/>
          <w:sz w:val="20"/>
          <w:szCs w:val="20"/>
        </w:rPr>
      </w:pPr>
      <w:r w:rsidRPr="008B0949">
        <w:rPr>
          <w:rFonts w:ascii="Arial" w:hAnsi="Arial" w:cs="Arial"/>
          <w:sz w:val="20"/>
          <w:szCs w:val="20"/>
        </w:rPr>
        <w:t>podmioty lecznicze</w:t>
      </w:r>
      <w:r w:rsidR="00102883">
        <w:rPr>
          <w:rFonts w:ascii="Arial" w:hAnsi="Arial" w:cs="Arial"/>
          <w:sz w:val="20"/>
          <w:szCs w:val="20"/>
        </w:rPr>
        <w:t xml:space="preserve"> </w:t>
      </w:r>
      <w:r w:rsidR="00EE1F94" w:rsidRPr="00EE1F94">
        <w:rPr>
          <w:rFonts w:ascii="Arial" w:hAnsi="Arial" w:cs="Arial"/>
          <w:sz w:val="20"/>
          <w:szCs w:val="20"/>
        </w:rPr>
        <w:t xml:space="preserve">(ośrodki referencyjne) </w:t>
      </w:r>
      <w:r w:rsidRPr="008B0949">
        <w:rPr>
          <w:rFonts w:ascii="Arial" w:hAnsi="Arial" w:cs="Arial"/>
          <w:sz w:val="20"/>
          <w:szCs w:val="20"/>
        </w:rPr>
        <w:t xml:space="preserve">przeszczepiające narządy, które posiadają pozwolenie ministra właściwego do spraw zdrowia wydane na podstawie </w:t>
      </w:r>
      <w:r>
        <w:rPr>
          <w:rFonts w:ascii="Arial" w:hAnsi="Arial" w:cs="Arial"/>
          <w:sz w:val="20"/>
          <w:szCs w:val="20"/>
        </w:rPr>
        <w:t>aktualnie obowiązujących przepisów</w:t>
      </w:r>
      <w:r w:rsidRPr="008B0949">
        <w:rPr>
          <w:rFonts w:ascii="Arial" w:hAnsi="Arial" w:cs="Arial"/>
          <w:sz w:val="20"/>
          <w:szCs w:val="20"/>
        </w:rPr>
        <w:t xml:space="preserve"> o</w:t>
      </w:r>
      <w:r w:rsidR="00A065EA">
        <w:rPr>
          <w:rFonts w:ascii="Arial" w:hAnsi="Arial" w:cs="Arial"/>
          <w:sz w:val="20"/>
          <w:szCs w:val="20"/>
        </w:rPr>
        <w:t> </w:t>
      </w:r>
      <w:r w:rsidRPr="008B0949">
        <w:rPr>
          <w:rFonts w:ascii="Arial" w:hAnsi="Arial" w:cs="Arial"/>
          <w:sz w:val="20"/>
          <w:szCs w:val="20"/>
        </w:rPr>
        <w:t>pobieraniu, przechowywaniu i przeszczepianiu komórek, tkanek i narządów</w:t>
      </w:r>
      <w:r w:rsidR="00842674">
        <w:rPr>
          <w:rFonts w:ascii="Arial" w:hAnsi="Arial" w:cs="Arial"/>
          <w:sz w:val="20"/>
          <w:szCs w:val="20"/>
        </w:rPr>
        <w:t>;</w:t>
      </w:r>
    </w:p>
    <w:p w14:paraId="718893F5" w14:textId="63F64053" w:rsidR="009A2445" w:rsidRPr="00842674" w:rsidRDefault="00842674" w:rsidP="005F32D3">
      <w:pPr>
        <w:spacing w:after="120"/>
        <w:jc w:val="both"/>
        <w:rPr>
          <w:rFonts w:ascii="Arial" w:hAnsi="Arial" w:cs="Arial"/>
          <w:sz w:val="20"/>
          <w:szCs w:val="20"/>
        </w:rPr>
      </w:pPr>
      <w:r w:rsidRPr="00102883">
        <w:rPr>
          <w:rFonts w:ascii="Arial" w:hAnsi="Arial" w:cs="Arial"/>
          <w:sz w:val="20"/>
          <w:szCs w:val="20"/>
        </w:rPr>
        <w:t>minister właściwy ds. zdrowia</w:t>
      </w:r>
      <w:r w:rsidR="00102883" w:rsidRPr="00102883">
        <w:rPr>
          <w:rFonts w:ascii="Arial" w:hAnsi="Arial" w:cs="Arial"/>
          <w:sz w:val="20"/>
          <w:szCs w:val="20"/>
        </w:rPr>
        <w:t>, w tym jako beneficjent projektu grantowego</w:t>
      </w:r>
      <w:r w:rsidR="00FE476A">
        <w:rPr>
          <w:rFonts w:ascii="Arial" w:hAnsi="Arial" w:cs="Arial"/>
          <w:sz w:val="20"/>
          <w:szCs w:val="20"/>
        </w:rPr>
        <w:t>.</w:t>
      </w:r>
      <w:r w:rsidRPr="00102883">
        <w:rPr>
          <w:rFonts w:ascii="Arial" w:hAnsi="Arial" w:cs="Arial"/>
          <w:sz w:val="20"/>
          <w:szCs w:val="20"/>
        </w:rPr>
        <w:t xml:space="preserve"> </w:t>
      </w:r>
      <w:r w:rsidR="00102883" w:rsidRPr="00102883">
        <w:rPr>
          <w:rFonts w:ascii="Arial" w:hAnsi="Arial" w:cs="Arial"/>
          <w:sz w:val="20"/>
          <w:szCs w:val="20"/>
        </w:rPr>
        <w:t xml:space="preserve">Grupami docelowymi wsparcia będą użytkownicy korzystający z infrastruktury/sprzętu/środków zakupionych w ramach działań na rzecz ww. podmiotów, w tym podmiotów leczniczych o charakterze ponadregionalnym oraz pacjenci wspartych placówek podstawowej opieki zdrowotnej. W przypadku realizacji projektów grantowych </w:t>
      </w:r>
      <w:proofErr w:type="spellStart"/>
      <w:r w:rsidR="00102883" w:rsidRPr="00102883">
        <w:rPr>
          <w:rFonts w:ascii="Arial" w:hAnsi="Arial" w:cs="Arial"/>
          <w:sz w:val="20"/>
          <w:szCs w:val="20"/>
        </w:rPr>
        <w:t>grantobiorcami</w:t>
      </w:r>
      <w:proofErr w:type="spellEnd"/>
      <w:r w:rsidR="00102883" w:rsidRPr="00102883">
        <w:rPr>
          <w:rFonts w:ascii="Arial" w:hAnsi="Arial" w:cs="Arial"/>
          <w:sz w:val="20"/>
          <w:szCs w:val="20"/>
        </w:rPr>
        <w:t xml:space="preserve"> będą podmioty publiczne, inne niż beneficjent projektu grantowego (MZ), wybrane w drodze otwartego naboru ogłoszonego przez beneficjenta projektu grantowego w ramach realizacji projektu grantowego, tj. podmioty lecznicze udzielające świadczeń opieki zdrowotnej na podstawie umowy zawartej z Dyrektorem właściwego oddziału wojewódzkiego NFZ o udzielanie </w:t>
      </w:r>
      <w:r w:rsidR="00102883" w:rsidRPr="00102883">
        <w:rPr>
          <w:rFonts w:ascii="Arial" w:hAnsi="Arial" w:cs="Arial"/>
          <w:sz w:val="20"/>
          <w:szCs w:val="20"/>
        </w:rPr>
        <w:lastRenderedPageBreak/>
        <w:t>świadczeń opieki zdrowotnej w rodzaju podstawowa opieka zdrowotna w zakresie świadczenia lekarza POZ.</w:t>
      </w:r>
    </w:p>
    <w:p w14:paraId="1FA0FF7D" w14:textId="77777777" w:rsidR="00DD0B07" w:rsidRPr="00DD0B07" w:rsidRDefault="00DD0B07" w:rsidP="00DD0B07">
      <w:pPr>
        <w:spacing w:before="120" w:after="120"/>
        <w:jc w:val="both"/>
        <w:rPr>
          <w:rFonts w:ascii="Arial" w:hAnsi="Arial" w:cs="Arial"/>
          <w:spacing w:val="4"/>
          <w:sz w:val="20"/>
          <w:szCs w:val="20"/>
        </w:rPr>
      </w:pPr>
      <w:r w:rsidRPr="00DD0B07">
        <w:rPr>
          <w:rFonts w:ascii="Arial" w:hAnsi="Arial" w:cs="Arial"/>
          <w:spacing w:val="4"/>
          <w:sz w:val="20"/>
          <w:szCs w:val="20"/>
        </w:rPr>
        <w:t>W sektorze energetyki beneficjentami wsparcia będą:</w:t>
      </w:r>
    </w:p>
    <w:p w14:paraId="7E761E05" w14:textId="77777777" w:rsidR="00DD0B07" w:rsidRPr="00842674" w:rsidRDefault="00DD0B07" w:rsidP="00842674">
      <w:pPr>
        <w:numPr>
          <w:ilvl w:val="0"/>
          <w:numId w:val="110"/>
        </w:numPr>
        <w:spacing w:after="120"/>
        <w:jc w:val="both"/>
        <w:rPr>
          <w:rFonts w:ascii="Arial" w:hAnsi="Arial" w:cs="Arial"/>
          <w:sz w:val="20"/>
          <w:szCs w:val="20"/>
        </w:rPr>
      </w:pPr>
      <w:r w:rsidRPr="00DD0B07">
        <w:rPr>
          <w:rFonts w:ascii="Arial" w:hAnsi="Arial" w:cs="Arial"/>
          <w:spacing w:val="4"/>
          <w:sz w:val="20"/>
          <w:szCs w:val="20"/>
        </w:rPr>
        <w:t xml:space="preserve">w </w:t>
      </w:r>
      <w:r w:rsidRPr="00842674">
        <w:rPr>
          <w:rFonts w:ascii="Arial" w:hAnsi="Arial" w:cs="Arial"/>
          <w:sz w:val="20"/>
          <w:szCs w:val="20"/>
        </w:rPr>
        <w:t xml:space="preserve">przypadku </w:t>
      </w:r>
      <w:bookmarkStart w:id="459" w:name="_Hlk63260109"/>
      <w:r w:rsidRPr="00842674">
        <w:rPr>
          <w:rFonts w:ascii="Arial" w:hAnsi="Arial" w:cs="Arial"/>
          <w:sz w:val="20"/>
          <w:szCs w:val="20"/>
        </w:rPr>
        <w:t xml:space="preserve">instalacji OZE do produkcji energii elektrycznej przez osoby fizyczne w budynkach mieszkalnych </w:t>
      </w:r>
      <w:bookmarkEnd w:id="459"/>
      <w:r w:rsidRPr="00842674">
        <w:rPr>
          <w:rFonts w:ascii="Arial" w:hAnsi="Arial" w:cs="Arial"/>
          <w:sz w:val="20"/>
          <w:szCs w:val="20"/>
        </w:rPr>
        <w:t>planowany jest projekt grantowy, którego beneficjentem będzie Narodowy Fundusz Ochrony Środowiska i Gospodarki Wodnej. Z uwagi na to, że interwencja będzie miała charakter horyzontalny i będzie dotyczyła całego kraju, grupami docelowymi wsparcia w zakresie OZE będą osoby fizyczne.</w:t>
      </w:r>
    </w:p>
    <w:p w14:paraId="146AAE30" w14:textId="37B8C42B" w:rsidR="00DD0B07" w:rsidRDefault="00DD0B07" w:rsidP="00842674">
      <w:pPr>
        <w:numPr>
          <w:ilvl w:val="0"/>
          <w:numId w:val="110"/>
        </w:numPr>
        <w:spacing w:after="120"/>
        <w:jc w:val="both"/>
        <w:rPr>
          <w:rFonts w:ascii="Arial" w:hAnsi="Arial" w:cs="Arial"/>
          <w:spacing w:val="4"/>
          <w:sz w:val="20"/>
          <w:szCs w:val="20"/>
        </w:rPr>
      </w:pPr>
      <w:r w:rsidRPr="00842674">
        <w:rPr>
          <w:rFonts w:ascii="Arial" w:hAnsi="Arial" w:cs="Arial"/>
          <w:sz w:val="20"/>
          <w:szCs w:val="20"/>
        </w:rPr>
        <w:t>w obszarze gazu ziemnego głównym beneficjentem w ramach priorytetu inwestycyjnego będ</w:t>
      </w:r>
      <w:r w:rsidR="003F5114">
        <w:rPr>
          <w:rFonts w:ascii="Arial" w:hAnsi="Arial" w:cs="Arial"/>
          <w:sz w:val="20"/>
          <w:szCs w:val="20"/>
        </w:rPr>
        <w:t>zie</w:t>
      </w:r>
      <w:r w:rsidRPr="00842674">
        <w:rPr>
          <w:rFonts w:ascii="Arial" w:hAnsi="Arial" w:cs="Arial"/>
          <w:sz w:val="20"/>
          <w:szCs w:val="20"/>
        </w:rPr>
        <w:t xml:space="preserve"> przedsiębiorstw</w:t>
      </w:r>
      <w:r w:rsidR="003F5114">
        <w:rPr>
          <w:rFonts w:ascii="Arial" w:hAnsi="Arial" w:cs="Arial"/>
          <w:sz w:val="20"/>
          <w:szCs w:val="20"/>
        </w:rPr>
        <w:t>o</w:t>
      </w:r>
      <w:r w:rsidRPr="00DD0B07">
        <w:rPr>
          <w:rFonts w:ascii="Arial" w:hAnsi="Arial" w:cs="Arial"/>
          <w:spacing w:val="4"/>
          <w:sz w:val="20"/>
          <w:szCs w:val="20"/>
        </w:rPr>
        <w:t xml:space="preserve"> energetyczne, prowadzące działalność </w:t>
      </w:r>
      <w:proofErr w:type="spellStart"/>
      <w:r w:rsidRPr="00DD0B07">
        <w:rPr>
          <w:rFonts w:ascii="Arial" w:hAnsi="Arial" w:cs="Arial"/>
          <w:spacing w:val="4"/>
          <w:sz w:val="20"/>
          <w:szCs w:val="20"/>
        </w:rPr>
        <w:t>przesyłu</w:t>
      </w:r>
      <w:proofErr w:type="spellEnd"/>
      <w:r w:rsidRPr="00DD0B07">
        <w:rPr>
          <w:rFonts w:ascii="Arial" w:hAnsi="Arial" w:cs="Arial"/>
          <w:spacing w:val="4"/>
          <w:sz w:val="20"/>
          <w:szCs w:val="20"/>
        </w:rPr>
        <w:t>,</w:t>
      </w:r>
      <w:r w:rsidRPr="00DD0B07" w:rsidDel="00B12738">
        <w:rPr>
          <w:rFonts w:ascii="Arial" w:hAnsi="Arial" w:cs="Arial"/>
          <w:spacing w:val="4"/>
          <w:sz w:val="20"/>
          <w:szCs w:val="20"/>
        </w:rPr>
        <w:t xml:space="preserve"> </w:t>
      </w:r>
      <w:r w:rsidRPr="00DD0B07">
        <w:rPr>
          <w:rFonts w:ascii="Arial" w:hAnsi="Arial" w:cs="Arial"/>
          <w:spacing w:val="4"/>
          <w:sz w:val="20"/>
          <w:szCs w:val="20"/>
        </w:rPr>
        <w:t>gazu ziemnego. Z uwagi na to, że interwencja będzie miała charakter horyzontalny i będzie dotyczyć całego kraju, grupami docelowymi będą użytkownicy korzystający z sieci gazowej.</w:t>
      </w:r>
    </w:p>
    <w:p w14:paraId="7D5E4FF7" w14:textId="3BEEFBF1" w:rsidR="003E61C9" w:rsidRPr="003E61C9" w:rsidRDefault="003E61C9" w:rsidP="003E61C9">
      <w:pPr>
        <w:spacing w:after="120"/>
        <w:jc w:val="both"/>
        <w:rPr>
          <w:rFonts w:ascii="Arial" w:hAnsi="Arial" w:cs="Arial"/>
          <w:spacing w:val="4"/>
          <w:sz w:val="20"/>
          <w:szCs w:val="20"/>
        </w:rPr>
      </w:pPr>
      <w:r w:rsidRPr="003E61C9">
        <w:rPr>
          <w:rFonts w:ascii="Arial" w:hAnsi="Arial" w:cs="Arial"/>
          <w:spacing w:val="4"/>
          <w:sz w:val="20"/>
          <w:szCs w:val="20"/>
        </w:rPr>
        <w:t>W sektorze transportu miejskiego potencjalnymi beneficjentami wsparcia są miasta (w tym ich związki, porozumienia, stowarzyszenia) objęte instrumentem ZIT</w:t>
      </w:r>
      <w:r w:rsidR="00066676" w:rsidRPr="00066676">
        <w:t xml:space="preserve"> </w:t>
      </w:r>
      <w:r w:rsidR="00066676" w:rsidRPr="00066676">
        <w:rPr>
          <w:rFonts w:ascii="Arial" w:hAnsi="Arial" w:cs="Arial"/>
          <w:spacing w:val="4"/>
          <w:sz w:val="20"/>
          <w:szCs w:val="20"/>
        </w:rPr>
        <w:t>oraz miasta średnie, w tym tracące funkcje społeczno-gospodarcze, o których mowa w rozdziale 3.1.2 Umowy Partnerstwa (lista 255 miast średnich)</w:t>
      </w:r>
      <w:r w:rsidRPr="003E61C9">
        <w:rPr>
          <w:rFonts w:ascii="Arial" w:hAnsi="Arial" w:cs="Arial"/>
          <w:spacing w:val="4"/>
          <w:sz w:val="20"/>
          <w:szCs w:val="20"/>
        </w:rPr>
        <w:t>. Potencjalnymi beneficjentami mogą też być działające w ich imieniu jednostki organizacyjne i spółki specjalnego przeznaczenia, a także zarządcy infrastruktury służącej transportowi miejskiemu, operatorzy publicznego transportu zbiorowego.</w:t>
      </w:r>
    </w:p>
    <w:p w14:paraId="464A708D" w14:textId="262EA7B9" w:rsidR="003E61C9" w:rsidRPr="00DD0B07" w:rsidRDefault="003E61C9" w:rsidP="003E61C9">
      <w:pPr>
        <w:spacing w:after="120"/>
        <w:jc w:val="both"/>
        <w:rPr>
          <w:rFonts w:ascii="Arial" w:hAnsi="Arial" w:cs="Arial"/>
          <w:spacing w:val="4"/>
          <w:sz w:val="20"/>
          <w:szCs w:val="20"/>
        </w:rPr>
      </w:pPr>
      <w:r w:rsidRPr="003E61C9">
        <w:rPr>
          <w:rFonts w:ascii="Arial" w:hAnsi="Arial" w:cs="Arial"/>
          <w:spacing w:val="4"/>
          <w:sz w:val="20"/>
          <w:szCs w:val="20"/>
        </w:rPr>
        <w:t>Z uwagi na to, że interwencja będzie miała charakter horyzontalny i dotyczyła miast i ich obszarów funkcjonalnych, grupami docelowymi wsparcia będą użytkownicy indywidualni i przedsiębiorcy korzystający z miejskiej infrastruktury transportowej i środków transportu zbiorowego dofinansowanych ze środków UE.</w:t>
      </w:r>
    </w:p>
    <w:p w14:paraId="5BA93164" w14:textId="77777777" w:rsidR="0046724A" w:rsidRDefault="00C86A58" w:rsidP="00C86A58">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Terytorialny obszar realizacji</w:t>
      </w:r>
      <w:r w:rsidR="0046724A">
        <w:rPr>
          <w:rFonts w:ascii="Arial" w:hAnsi="Arial" w:cs="Arial"/>
          <w:bCs/>
          <w:smallCaps/>
          <w:color w:val="669900"/>
          <w:spacing w:val="4"/>
          <w:sz w:val="20"/>
          <w:szCs w:val="20"/>
        </w:rPr>
        <w:t xml:space="preserve"> </w:t>
      </w:r>
    </w:p>
    <w:p w14:paraId="04D8ADE3" w14:textId="77777777" w:rsidR="003F5114" w:rsidRDefault="005A162D" w:rsidP="005A162D">
      <w:pPr>
        <w:spacing w:before="120" w:after="120"/>
        <w:jc w:val="both"/>
        <w:rPr>
          <w:rFonts w:ascii="Arial" w:hAnsi="Arial" w:cs="Arial"/>
          <w:sz w:val="20"/>
          <w:szCs w:val="20"/>
        </w:rPr>
      </w:pPr>
      <w:r>
        <w:rPr>
          <w:rFonts w:ascii="Arial" w:hAnsi="Arial" w:cs="Arial"/>
          <w:sz w:val="20"/>
          <w:szCs w:val="20"/>
        </w:rPr>
        <w:t>W</w:t>
      </w:r>
      <w:r w:rsidRPr="003C0D94">
        <w:rPr>
          <w:rFonts w:ascii="Arial" w:hAnsi="Arial" w:cs="Arial"/>
          <w:sz w:val="20"/>
          <w:szCs w:val="20"/>
        </w:rPr>
        <w:t>sparcie ma charakter horyzontalny i dotyczy całego kraju.</w:t>
      </w:r>
    </w:p>
    <w:p w14:paraId="079387CE" w14:textId="77777777" w:rsidR="005A162D" w:rsidRPr="003C0D94" w:rsidRDefault="005A162D" w:rsidP="005A162D">
      <w:pPr>
        <w:spacing w:before="120" w:after="120"/>
        <w:jc w:val="both"/>
        <w:rPr>
          <w:rFonts w:ascii="Arial" w:hAnsi="Arial" w:cs="Arial"/>
          <w:sz w:val="20"/>
          <w:szCs w:val="20"/>
        </w:rPr>
      </w:pPr>
      <w:r>
        <w:rPr>
          <w:rFonts w:ascii="Arial" w:hAnsi="Arial" w:cs="Arial"/>
          <w:sz w:val="20"/>
          <w:szCs w:val="20"/>
        </w:rPr>
        <w:t>Z</w:t>
      </w:r>
      <w:r w:rsidRPr="003C0D94">
        <w:rPr>
          <w:rFonts w:ascii="Arial" w:hAnsi="Arial" w:cs="Arial"/>
          <w:sz w:val="20"/>
          <w:szCs w:val="20"/>
        </w:rPr>
        <w:t>aplanowane</w:t>
      </w:r>
      <w:r w:rsidR="00482F57">
        <w:rPr>
          <w:rFonts w:ascii="Arial" w:hAnsi="Arial" w:cs="Arial"/>
          <w:sz w:val="20"/>
          <w:szCs w:val="20"/>
        </w:rPr>
        <w:t xml:space="preserve"> w sektorze zdrowia</w:t>
      </w:r>
      <w:r w:rsidRPr="003C0D94">
        <w:rPr>
          <w:rFonts w:ascii="Arial" w:hAnsi="Arial" w:cs="Arial"/>
          <w:sz w:val="20"/>
          <w:szCs w:val="20"/>
        </w:rPr>
        <w:t xml:space="preserve"> działania, poprzez wzmocnienie kluczowych elementów infrastruktury, będą wnosić wkład w poprawę stanu podmiotów leczniczych o znaczeniu ponadregionalnym, podmiotów leczniczych udzielających świadczeń dedykowanych chorobom zakaźnym</w:t>
      </w:r>
      <w:r>
        <w:rPr>
          <w:rFonts w:ascii="Arial" w:hAnsi="Arial" w:cs="Arial"/>
          <w:sz w:val="20"/>
          <w:szCs w:val="20"/>
        </w:rPr>
        <w:t xml:space="preserve"> oraz innych podmiotów</w:t>
      </w:r>
      <w:r w:rsidRPr="003C0D94">
        <w:rPr>
          <w:rFonts w:ascii="Arial" w:hAnsi="Arial" w:cs="Arial"/>
          <w:sz w:val="20"/>
          <w:szCs w:val="20"/>
        </w:rPr>
        <w:t xml:space="preserve">, a tym samym podniosą jakość życia na całym obszarze </w:t>
      </w:r>
      <w:r>
        <w:rPr>
          <w:rFonts w:ascii="Arial" w:hAnsi="Arial" w:cs="Arial"/>
          <w:sz w:val="20"/>
          <w:szCs w:val="20"/>
        </w:rPr>
        <w:t>P</w:t>
      </w:r>
      <w:r w:rsidRPr="003C0D94">
        <w:rPr>
          <w:rFonts w:ascii="Arial" w:hAnsi="Arial" w:cs="Arial"/>
          <w:sz w:val="20"/>
          <w:szCs w:val="20"/>
        </w:rPr>
        <w:t xml:space="preserve">olski. </w:t>
      </w:r>
      <w:r>
        <w:rPr>
          <w:rFonts w:ascii="Arial" w:hAnsi="Arial" w:cs="Arial"/>
          <w:sz w:val="20"/>
          <w:szCs w:val="20"/>
        </w:rPr>
        <w:t>Ponadto, z</w:t>
      </w:r>
      <w:r w:rsidRPr="00FD6114">
        <w:rPr>
          <w:rFonts w:ascii="Arial" w:hAnsi="Arial" w:cs="Arial"/>
          <w:sz w:val="20"/>
          <w:szCs w:val="20"/>
        </w:rPr>
        <w:t xml:space="preserve">aplanowane działania, poprzez wzmocnienie kluczowych elementów </w:t>
      </w:r>
      <w:r>
        <w:rPr>
          <w:rFonts w:ascii="Arial" w:hAnsi="Arial" w:cs="Arial"/>
          <w:sz w:val="20"/>
          <w:szCs w:val="20"/>
        </w:rPr>
        <w:t>systemu ochrony zdrowia</w:t>
      </w:r>
      <w:r w:rsidRPr="00FD6114">
        <w:rPr>
          <w:rFonts w:ascii="Arial" w:hAnsi="Arial" w:cs="Arial"/>
          <w:sz w:val="20"/>
          <w:szCs w:val="20"/>
        </w:rPr>
        <w:t>, będą wnosić wkład w poprawę bezpieczeństwa zdrowotnego</w:t>
      </w:r>
      <w:r>
        <w:rPr>
          <w:rFonts w:ascii="Arial" w:hAnsi="Arial" w:cs="Arial"/>
          <w:sz w:val="20"/>
          <w:szCs w:val="20"/>
        </w:rPr>
        <w:t>.</w:t>
      </w:r>
    </w:p>
    <w:p w14:paraId="41CD8F00" w14:textId="77777777" w:rsidR="005A162D" w:rsidRDefault="005A162D" w:rsidP="005A162D">
      <w:pPr>
        <w:spacing w:before="120" w:after="120"/>
        <w:jc w:val="both"/>
        <w:rPr>
          <w:rFonts w:ascii="Arial" w:hAnsi="Arial" w:cs="Arial"/>
          <w:sz w:val="20"/>
          <w:szCs w:val="20"/>
        </w:rPr>
      </w:pPr>
      <w:r>
        <w:rPr>
          <w:rFonts w:ascii="Arial" w:hAnsi="Arial" w:cs="Arial"/>
          <w:sz w:val="20"/>
          <w:szCs w:val="20"/>
        </w:rPr>
        <w:t xml:space="preserve">Planowane działania </w:t>
      </w:r>
      <w:r w:rsidRPr="00FD6114">
        <w:rPr>
          <w:rFonts w:ascii="Arial" w:hAnsi="Arial" w:cs="Arial"/>
          <w:sz w:val="20"/>
          <w:szCs w:val="20"/>
        </w:rPr>
        <w:t>ze względu na swój charakter, będą realizowane głównie na obszarze dużych ośrodków miejskic</w:t>
      </w:r>
      <w:r>
        <w:rPr>
          <w:rFonts w:ascii="Arial" w:hAnsi="Arial" w:cs="Arial"/>
          <w:sz w:val="20"/>
          <w:szCs w:val="20"/>
        </w:rPr>
        <w:t xml:space="preserve">h. Wsparcie odnosi się do jednostek </w:t>
      </w:r>
      <w:r w:rsidRPr="00FD6114">
        <w:rPr>
          <w:rFonts w:ascii="Arial" w:hAnsi="Arial" w:cs="Arial"/>
          <w:sz w:val="20"/>
          <w:szCs w:val="20"/>
        </w:rPr>
        <w:t xml:space="preserve">wysokiego poziomu referencyjności, udzielające </w:t>
      </w:r>
      <w:r>
        <w:rPr>
          <w:rFonts w:ascii="Arial" w:hAnsi="Arial" w:cs="Arial"/>
          <w:sz w:val="20"/>
          <w:szCs w:val="20"/>
        </w:rPr>
        <w:t xml:space="preserve">m. in. </w:t>
      </w:r>
      <w:r w:rsidRPr="00FD6114">
        <w:rPr>
          <w:rFonts w:ascii="Arial" w:hAnsi="Arial" w:cs="Arial"/>
          <w:sz w:val="20"/>
          <w:szCs w:val="20"/>
        </w:rPr>
        <w:t>wysokospecjalistycznych świadczeń medycznych</w:t>
      </w:r>
      <w:r>
        <w:rPr>
          <w:rFonts w:ascii="Arial" w:hAnsi="Arial" w:cs="Arial"/>
          <w:sz w:val="20"/>
          <w:szCs w:val="20"/>
        </w:rPr>
        <w:t xml:space="preserve">, czy specjalistycznych świadczeń realizowanych ambulatoryjnie. W podmiotach ponadregionalnych </w:t>
      </w:r>
      <w:r w:rsidRPr="00F42B20">
        <w:rPr>
          <w:rFonts w:ascii="Arial" w:hAnsi="Arial" w:cs="Arial"/>
          <w:sz w:val="20"/>
          <w:szCs w:val="20"/>
        </w:rPr>
        <w:t>w tym wyspecjalizowanych w</w:t>
      </w:r>
      <w:r w:rsidR="00A065EA">
        <w:rPr>
          <w:rFonts w:ascii="Arial" w:hAnsi="Arial" w:cs="Arial"/>
          <w:sz w:val="20"/>
          <w:szCs w:val="20"/>
        </w:rPr>
        <w:t> </w:t>
      </w:r>
      <w:r w:rsidRPr="00F42B20">
        <w:rPr>
          <w:rFonts w:ascii="Arial" w:hAnsi="Arial" w:cs="Arial"/>
          <w:sz w:val="20"/>
          <w:szCs w:val="20"/>
        </w:rPr>
        <w:t>zakresie onkologii</w:t>
      </w:r>
      <w:r w:rsidRPr="00F42B20" w:rsidDel="00F42B20">
        <w:rPr>
          <w:rFonts w:ascii="Arial" w:hAnsi="Arial" w:cs="Arial"/>
          <w:sz w:val="20"/>
          <w:szCs w:val="20"/>
        </w:rPr>
        <w:t xml:space="preserve"> </w:t>
      </w:r>
      <w:r>
        <w:rPr>
          <w:rFonts w:ascii="Arial" w:hAnsi="Arial" w:cs="Arial"/>
          <w:sz w:val="20"/>
          <w:szCs w:val="20"/>
        </w:rPr>
        <w:t xml:space="preserve">czy transplantologii </w:t>
      </w:r>
      <w:r w:rsidRPr="00FD6114">
        <w:rPr>
          <w:rFonts w:ascii="Arial" w:hAnsi="Arial" w:cs="Arial"/>
          <w:sz w:val="20"/>
          <w:szCs w:val="20"/>
        </w:rPr>
        <w:t>przyjmowani są pacjenci z całego kraju</w:t>
      </w:r>
      <w:r>
        <w:rPr>
          <w:rFonts w:ascii="Arial" w:hAnsi="Arial" w:cs="Arial"/>
          <w:sz w:val="20"/>
          <w:szCs w:val="20"/>
        </w:rPr>
        <w:t>, gdyż to w tych jednostkach oferowane są często nowe</w:t>
      </w:r>
      <w:r w:rsidRPr="00FD6114">
        <w:rPr>
          <w:rFonts w:ascii="Arial" w:hAnsi="Arial" w:cs="Arial"/>
          <w:sz w:val="20"/>
          <w:szCs w:val="20"/>
        </w:rPr>
        <w:t xml:space="preserve"> procedury i terapie stosowane w leczeniu ludzi.</w:t>
      </w:r>
    </w:p>
    <w:p w14:paraId="05F3D070" w14:textId="77777777" w:rsidR="005A162D" w:rsidRDefault="005A162D" w:rsidP="005A162D">
      <w:pPr>
        <w:spacing w:before="120" w:after="120"/>
        <w:jc w:val="both"/>
        <w:rPr>
          <w:rFonts w:ascii="Arial" w:hAnsi="Arial" w:cs="Arial"/>
          <w:bCs/>
          <w:sz w:val="20"/>
          <w:szCs w:val="20"/>
        </w:rPr>
      </w:pPr>
      <w:r w:rsidRPr="00FD6114">
        <w:rPr>
          <w:rFonts w:ascii="Arial" w:hAnsi="Arial" w:cs="Arial"/>
          <w:bCs/>
          <w:sz w:val="20"/>
          <w:szCs w:val="20"/>
        </w:rPr>
        <w:t xml:space="preserve">W związku z realizacją działań związanych z zapobieganiem, przeciwdziałaniem i zwalczaniem  COVID-19 </w:t>
      </w:r>
      <w:r>
        <w:rPr>
          <w:rFonts w:ascii="Arial" w:hAnsi="Arial" w:cs="Arial"/>
          <w:bCs/>
          <w:sz w:val="20"/>
          <w:szCs w:val="20"/>
        </w:rPr>
        <w:t>i / lub</w:t>
      </w:r>
      <w:r w:rsidRPr="00FD6114">
        <w:rPr>
          <w:rFonts w:ascii="Arial" w:hAnsi="Arial" w:cs="Arial"/>
          <w:bCs/>
          <w:sz w:val="20"/>
          <w:szCs w:val="20"/>
        </w:rPr>
        <w:t xml:space="preserve"> innych chorób zakaźnych wsparte zostaną podmioty lecznicze udzielające świadczeń </w:t>
      </w:r>
      <w:r>
        <w:rPr>
          <w:rFonts w:ascii="Arial" w:hAnsi="Arial" w:cs="Arial"/>
          <w:bCs/>
          <w:sz w:val="20"/>
          <w:szCs w:val="20"/>
        </w:rPr>
        <w:t>dedykowanych</w:t>
      </w:r>
      <w:r w:rsidRPr="00FD6114">
        <w:rPr>
          <w:rFonts w:ascii="Arial" w:hAnsi="Arial" w:cs="Arial"/>
          <w:bCs/>
          <w:sz w:val="20"/>
          <w:szCs w:val="20"/>
        </w:rPr>
        <w:t xml:space="preserve"> chor</w:t>
      </w:r>
      <w:r>
        <w:rPr>
          <w:rFonts w:ascii="Arial" w:hAnsi="Arial" w:cs="Arial"/>
          <w:bCs/>
          <w:sz w:val="20"/>
          <w:szCs w:val="20"/>
        </w:rPr>
        <w:t>obom</w:t>
      </w:r>
      <w:r w:rsidRPr="00FD6114">
        <w:rPr>
          <w:rFonts w:ascii="Arial" w:hAnsi="Arial" w:cs="Arial"/>
          <w:bCs/>
          <w:sz w:val="20"/>
          <w:szCs w:val="20"/>
        </w:rPr>
        <w:t xml:space="preserve"> zakaźny</w:t>
      </w:r>
      <w:r>
        <w:rPr>
          <w:rFonts w:ascii="Arial" w:hAnsi="Arial" w:cs="Arial"/>
          <w:bCs/>
          <w:sz w:val="20"/>
          <w:szCs w:val="20"/>
        </w:rPr>
        <w:t>m</w:t>
      </w:r>
      <w:r w:rsidRPr="00FD6114">
        <w:rPr>
          <w:rFonts w:ascii="Arial" w:hAnsi="Arial" w:cs="Arial"/>
          <w:bCs/>
          <w:sz w:val="20"/>
          <w:szCs w:val="20"/>
        </w:rPr>
        <w:t xml:space="preserve"> oraz inne podmioty zaangażowane w realizację działań związanych z zapobieganiem, przeciwdziałaniem i zwalczaniem COVID-19</w:t>
      </w:r>
      <w:r>
        <w:rPr>
          <w:rFonts w:ascii="Arial" w:hAnsi="Arial" w:cs="Arial"/>
          <w:bCs/>
          <w:sz w:val="20"/>
          <w:szCs w:val="20"/>
        </w:rPr>
        <w:t xml:space="preserve">. Ponadto, wsparte zostaną podmioty lecznicze, ale również instytucje systemu ochrony zdrowia jak organy </w:t>
      </w:r>
      <w:r w:rsidRPr="00F42B20">
        <w:rPr>
          <w:rFonts w:ascii="Arial" w:hAnsi="Arial" w:cs="Arial"/>
          <w:bCs/>
          <w:sz w:val="20"/>
          <w:szCs w:val="20"/>
        </w:rPr>
        <w:t>inspekcji sanitarnej czy podmiotów funkcjonujących w obszarze publicznej służby krwi</w:t>
      </w:r>
      <w:r>
        <w:rPr>
          <w:rFonts w:ascii="Arial" w:hAnsi="Arial" w:cs="Arial"/>
          <w:bCs/>
          <w:sz w:val="20"/>
          <w:szCs w:val="20"/>
        </w:rPr>
        <w:t>.</w:t>
      </w:r>
    </w:p>
    <w:p w14:paraId="75901F91" w14:textId="77777777" w:rsidR="00842674" w:rsidRPr="00DA4028" w:rsidRDefault="00842674" w:rsidP="005A162D">
      <w:pPr>
        <w:spacing w:before="120" w:after="120"/>
        <w:jc w:val="both"/>
        <w:rPr>
          <w:rFonts w:ascii="Arial" w:hAnsi="Arial" w:cs="Arial"/>
          <w:bCs/>
          <w:sz w:val="20"/>
          <w:szCs w:val="20"/>
        </w:rPr>
      </w:pPr>
      <w:r>
        <w:rPr>
          <w:rFonts w:ascii="Arial" w:hAnsi="Arial" w:cs="Arial"/>
          <w:bCs/>
          <w:sz w:val="20"/>
          <w:szCs w:val="20"/>
        </w:rPr>
        <w:t xml:space="preserve">W ramach projektów </w:t>
      </w:r>
      <w:proofErr w:type="spellStart"/>
      <w:r>
        <w:rPr>
          <w:rFonts w:ascii="Arial" w:hAnsi="Arial" w:cs="Arial"/>
          <w:bCs/>
          <w:sz w:val="20"/>
          <w:szCs w:val="20"/>
        </w:rPr>
        <w:t>pozakonkursowycho</w:t>
      </w:r>
      <w:proofErr w:type="spellEnd"/>
      <w:r>
        <w:rPr>
          <w:rFonts w:ascii="Arial" w:hAnsi="Arial" w:cs="Arial"/>
          <w:bCs/>
          <w:sz w:val="20"/>
          <w:szCs w:val="20"/>
        </w:rPr>
        <w:t xml:space="preserve"> na rzecz cyfryzacji POZ, planowane jest</w:t>
      </w:r>
      <w:r w:rsidRPr="00ED605B">
        <w:rPr>
          <w:rFonts w:ascii="Arial" w:hAnsi="Arial" w:cs="Arial"/>
          <w:bCs/>
          <w:sz w:val="20"/>
          <w:szCs w:val="20"/>
        </w:rPr>
        <w:t xml:space="preserve"> dotarcie przede wszystkim do grup pacjentów znajdujących się w szczególnej trudnej sytuacji, w tym zagrożonych wykluczeniem cyfrowym, posiadających ograniczony dostęp do ochrony zdrowia, pochodzących z mniejszych miejscowości, w których placówki POZ często nie byłyby w stanie samodzielnie zapewnić  dostępu do nowoczesnych e-Usług. W związku z powyższym  przy podziale alokacji w projek</w:t>
      </w:r>
      <w:r>
        <w:rPr>
          <w:rFonts w:ascii="Arial" w:hAnsi="Arial" w:cs="Arial"/>
          <w:bCs/>
          <w:sz w:val="20"/>
          <w:szCs w:val="20"/>
        </w:rPr>
        <w:t>tach</w:t>
      </w:r>
      <w:r w:rsidRPr="00ED605B">
        <w:rPr>
          <w:rFonts w:ascii="Arial" w:hAnsi="Arial" w:cs="Arial"/>
          <w:bCs/>
          <w:sz w:val="20"/>
          <w:szCs w:val="20"/>
        </w:rPr>
        <w:t xml:space="preserve"> będzie stosowane m.in. kryterium zamożności danej gminy, na terenie której znajduje się POZ.</w:t>
      </w:r>
    </w:p>
    <w:p w14:paraId="3517F76F" w14:textId="77777777" w:rsidR="005A162D" w:rsidRDefault="005A162D" w:rsidP="005A162D">
      <w:pPr>
        <w:spacing w:before="120" w:after="120"/>
        <w:jc w:val="both"/>
        <w:rPr>
          <w:rFonts w:ascii="Arial" w:hAnsi="Arial" w:cs="Arial"/>
          <w:sz w:val="20"/>
          <w:szCs w:val="20"/>
        </w:rPr>
      </w:pPr>
      <w:r>
        <w:rPr>
          <w:rFonts w:ascii="Arial" w:hAnsi="Arial" w:cs="Arial"/>
          <w:sz w:val="20"/>
          <w:szCs w:val="20"/>
        </w:rPr>
        <w:lastRenderedPageBreak/>
        <w:t>I</w:t>
      </w:r>
      <w:r w:rsidRPr="003C0D94">
        <w:rPr>
          <w:rFonts w:ascii="Arial" w:hAnsi="Arial" w:cs="Arial"/>
          <w:sz w:val="20"/>
          <w:szCs w:val="20"/>
        </w:rPr>
        <w:t xml:space="preserve">nwestycje realizowane w ramach </w:t>
      </w:r>
      <w:r>
        <w:rPr>
          <w:rFonts w:ascii="Arial" w:hAnsi="Arial" w:cs="Arial"/>
          <w:sz w:val="20"/>
          <w:szCs w:val="20"/>
        </w:rPr>
        <w:t xml:space="preserve">Osi </w:t>
      </w:r>
      <w:r w:rsidRPr="003C0D94">
        <w:rPr>
          <w:rFonts w:ascii="Arial" w:hAnsi="Arial" w:cs="Arial"/>
          <w:sz w:val="20"/>
          <w:szCs w:val="20"/>
        </w:rPr>
        <w:t>priorytet</w:t>
      </w:r>
      <w:r>
        <w:rPr>
          <w:rFonts w:ascii="Arial" w:hAnsi="Arial" w:cs="Arial"/>
          <w:sz w:val="20"/>
          <w:szCs w:val="20"/>
        </w:rPr>
        <w:t>owej</w:t>
      </w:r>
      <w:r w:rsidRPr="003C0D94">
        <w:rPr>
          <w:rFonts w:ascii="Arial" w:hAnsi="Arial" w:cs="Arial"/>
          <w:sz w:val="20"/>
          <w:szCs w:val="20"/>
        </w:rPr>
        <w:t xml:space="preserve"> mają istotny wpływ na inne obszary gospodarki </w:t>
      </w:r>
      <w:proofErr w:type="spellStart"/>
      <w:r w:rsidRPr="003C0D94">
        <w:rPr>
          <w:rFonts w:ascii="Arial" w:hAnsi="Arial" w:cs="Arial"/>
          <w:sz w:val="20"/>
          <w:szCs w:val="20"/>
        </w:rPr>
        <w:t>ibędą</w:t>
      </w:r>
      <w:proofErr w:type="spellEnd"/>
      <w:r w:rsidRPr="003C0D94">
        <w:rPr>
          <w:rFonts w:ascii="Arial" w:hAnsi="Arial" w:cs="Arial"/>
          <w:sz w:val="20"/>
          <w:szCs w:val="20"/>
        </w:rPr>
        <w:t xml:space="preserve"> w istotnej mierze zlokalizowane na terenach miejskich, przede wszystkim w miastach wojewódzkich (i obszarach powiązanych z nimi funkcjonalnie). </w:t>
      </w:r>
      <w:r>
        <w:rPr>
          <w:rFonts w:ascii="Arial" w:hAnsi="Arial" w:cs="Arial"/>
          <w:sz w:val="20"/>
          <w:szCs w:val="20"/>
        </w:rPr>
        <w:t>Z</w:t>
      </w:r>
      <w:r w:rsidRPr="003C0D94">
        <w:rPr>
          <w:rFonts w:ascii="Arial" w:hAnsi="Arial" w:cs="Arial"/>
          <w:sz w:val="20"/>
          <w:szCs w:val="20"/>
        </w:rPr>
        <w:t xml:space="preserve">akresem interwencji mogą być również objęte miasta regionalne i </w:t>
      </w:r>
      <w:proofErr w:type="spellStart"/>
      <w:r w:rsidRPr="003C0D94">
        <w:rPr>
          <w:rFonts w:ascii="Arial" w:hAnsi="Arial" w:cs="Arial"/>
          <w:sz w:val="20"/>
          <w:szCs w:val="20"/>
        </w:rPr>
        <w:t>subregionalne</w:t>
      </w:r>
      <w:proofErr w:type="spellEnd"/>
      <w:r w:rsidRPr="003C0D94">
        <w:rPr>
          <w:rFonts w:ascii="Arial" w:hAnsi="Arial" w:cs="Arial"/>
          <w:sz w:val="20"/>
          <w:szCs w:val="20"/>
        </w:rPr>
        <w:t>.</w:t>
      </w:r>
    </w:p>
    <w:p w14:paraId="737C3D9B" w14:textId="77777777" w:rsidR="000C7D83" w:rsidRPr="000C7D83" w:rsidRDefault="000C7D83" w:rsidP="000C7D83">
      <w:pPr>
        <w:spacing w:before="120" w:after="120"/>
        <w:jc w:val="both"/>
        <w:rPr>
          <w:rFonts w:ascii="Arial" w:hAnsi="Arial" w:cs="Arial"/>
          <w:spacing w:val="4"/>
          <w:sz w:val="20"/>
          <w:szCs w:val="20"/>
        </w:rPr>
      </w:pPr>
      <w:r w:rsidRPr="00600743">
        <w:rPr>
          <w:rFonts w:ascii="Arial" w:hAnsi="Arial" w:cs="Arial"/>
          <w:spacing w:val="4"/>
          <w:sz w:val="20"/>
          <w:szCs w:val="20"/>
        </w:rPr>
        <w:t xml:space="preserve">W ramach sektora energetyki działania planowane są do realizacji w obszarze całego kraju. Wzmocniona zostanie strategiczna infrastruktura energetyczna kraju. </w:t>
      </w:r>
      <w:r w:rsidRPr="00600743">
        <w:rPr>
          <w:rFonts w:ascii="Arial" w:hAnsi="Arial" w:cs="Arial"/>
          <w:spacing w:val="4"/>
          <w:sz w:val="20"/>
          <w:szCs w:val="20"/>
          <w:lang w:val="x-none"/>
        </w:rPr>
        <w:t>R</w:t>
      </w:r>
      <w:r w:rsidRPr="00600743">
        <w:rPr>
          <w:rFonts w:ascii="Arial" w:hAnsi="Arial" w:cs="Arial"/>
          <w:spacing w:val="4"/>
          <w:sz w:val="20"/>
          <w:szCs w:val="20"/>
        </w:rPr>
        <w:t>ealizacja inwestycji infrastrukturalnych gazu ziemnego ma duże znaczenie dla rozwoju gospodarczego, likwidacji barier rozwojowych oraz podnoszenia konkurencyjności w wymiarze krajowym oraz poszczególnych terytoriów. Natomiast rozwój OZE w budynkach mieszk</w:t>
      </w:r>
      <w:r w:rsidR="003F5114">
        <w:rPr>
          <w:rFonts w:ascii="Arial" w:hAnsi="Arial" w:cs="Arial"/>
          <w:spacing w:val="4"/>
          <w:sz w:val="20"/>
          <w:szCs w:val="20"/>
        </w:rPr>
        <w:t>alnych na obszarze całego kraju</w:t>
      </w:r>
      <w:r w:rsidRPr="00600743">
        <w:rPr>
          <w:rFonts w:ascii="Arial" w:hAnsi="Arial" w:cs="Arial"/>
          <w:spacing w:val="4"/>
          <w:sz w:val="20"/>
          <w:szCs w:val="20"/>
        </w:rPr>
        <w:t xml:space="preserve"> przyczyni się do zwiększenia udziału odnawialnych źródeł energii na poziomie gospodarstw domowych oraz do obniżenia emisji gazów cieplarnianych z sektora elektroenergetycznego.</w:t>
      </w:r>
    </w:p>
    <w:p w14:paraId="00544CD0" w14:textId="66E53ABF" w:rsidR="00BF569D" w:rsidRDefault="00BF569D" w:rsidP="00BF569D">
      <w:pPr>
        <w:spacing w:before="120" w:after="120"/>
        <w:jc w:val="both"/>
        <w:rPr>
          <w:rFonts w:ascii="Arial" w:hAnsi="Arial" w:cs="Arial"/>
          <w:sz w:val="20"/>
          <w:szCs w:val="20"/>
        </w:rPr>
      </w:pPr>
      <w:r w:rsidRPr="004E3242">
        <w:rPr>
          <w:rFonts w:ascii="Arial" w:hAnsi="Arial" w:cs="Arial"/>
          <w:sz w:val="20"/>
          <w:szCs w:val="20"/>
        </w:rPr>
        <w:t xml:space="preserve">Realizacja inwestycji zaplanowanych w ramach priorytetu inwestycyjnego sprzyjać będzie wypełnianiu założeń Strategii UE dla Regionu Morza Bałtyckiego. Planowane do realizacji projekty będą wpisywać się w szczególności w cele przyjęte dla obszaru priorytetowego ENERGY </w:t>
      </w:r>
      <w:r w:rsidRPr="004E3242">
        <w:rPr>
          <w:rFonts w:ascii="Arial" w:hAnsi="Arial" w:cs="Arial"/>
          <w:i/>
          <w:sz w:val="20"/>
          <w:szCs w:val="20"/>
        </w:rPr>
        <w:t>Poprawa dostępu do wydajnych oraz bezpiecznych rynków energii</w:t>
      </w:r>
      <w:r w:rsidRPr="004E3242">
        <w:rPr>
          <w:rFonts w:ascii="Arial" w:hAnsi="Arial" w:cs="Arial"/>
          <w:sz w:val="20"/>
          <w:szCs w:val="20"/>
        </w:rPr>
        <w:t xml:space="preserve"> oraz służyć będą osiągnięciu celu szczegółowego SUE RMB </w:t>
      </w:r>
      <w:r w:rsidRPr="004E3242">
        <w:rPr>
          <w:rFonts w:ascii="Arial" w:hAnsi="Arial" w:cs="Arial"/>
          <w:i/>
          <w:sz w:val="20"/>
          <w:szCs w:val="20"/>
        </w:rPr>
        <w:t>Adaptacja do zmiany klimatu, zapobieganie oraz zarządzanie ryzykiem</w:t>
      </w:r>
      <w:r w:rsidRPr="004E3242">
        <w:rPr>
          <w:rFonts w:ascii="Arial" w:hAnsi="Arial" w:cs="Arial"/>
          <w:sz w:val="20"/>
          <w:szCs w:val="20"/>
        </w:rPr>
        <w:t>.</w:t>
      </w:r>
    </w:p>
    <w:p w14:paraId="030BA9BA" w14:textId="3C5990BF" w:rsidR="003E61C9" w:rsidRPr="004E3242" w:rsidRDefault="003E61C9" w:rsidP="00BF569D">
      <w:pPr>
        <w:spacing w:before="120" w:after="120"/>
        <w:jc w:val="both"/>
        <w:rPr>
          <w:rFonts w:ascii="Arial" w:hAnsi="Arial" w:cs="Arial"/>
          <w:sz w:val="20"/>
          <w:szCs w:val="20"/>
        </w:rPr>
      </w:pPr>
      <w:r w:rsidRPr="003E61C9">
        <w:rPr>
          <w:rFonts w:ascii="Arial" w:hAnsi="Arial" w:cs="Arial"/>
          <w:sz w:val="20"/>
          <w:szCs w:val="20"/>
        </w:rPr>
        <w:t>W ramach sektora transportu miejskiego projekty realizowane będą na terenie całego kraju. Planowane działania ze względu na swój charakter, będą realizowane głównie na obszarze dużych ośrodków miejskich (miasta objęte instrumentem ZIT)</w:t>
      </w:r>
      <w:r w:rsidR="00066676" w:rsidRPr="00066676">
        <w:t xml:space="preserve"> </w:t>
      </w:r>
      <w:r w:rsidR="00066676" w:rsidRPr="00066676">
        <w:rPr>
          <w:rFonts w:ascii="Arial" w:hAnsi="Arial" w:cs="Arial"/>
          <w:sz w:val="20"/>
          <w:szCs w:val="20"/>
        </w:rPr>
        <w:t>oraz na obszarze miast średnich, w tym tracących funkcje społeczno-gospodarcze, o których mowa w rozdziale 3.1.2 Umowy Partnerstwa (lista 255 miast średnich)</w:t>
      </w:r>
      <w:r w:rsidRPr="003E61C9">
        <w:rPr>
          <w:rFonts w:ascii="Arial" w:hAnsi="Arial" w:cs="Arial"/>
          <w:sz w:val="20"/>
          <w:szCs w:val="20"/>
        </w:rPr>
        <w:t>.</w:t>
      </w:r>
    </w:p>
    <w:p w14:paraId="3D137173" w14:textId="77777777" w:rsidR="00B93CF8" w:rsidRDefault="00B93CF8" w:rsidP="00B93CF8">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Zasady wyboru projektów do dofinansowania</w:t>
      </w:r>
    </w:p>
    <w:p w14:paraId="2DF410DC" w14:textId="3DDF064D" w:rsidR="005A162D" w:rsidRDefault="005A162D" w:rsidP="005A162D">
      <w:pPr>
        <w:spacing w:before="120" w:after="120"/>
        <w:jc w:val="both"/>
        <w:rPr>
          <w:rFonts w:ascii="Arial" w:hAnsi="Arial" w:cs="Arial"/>
          <w:sz w:val="20"/>
          <w:szCs w:val="20"/>
        </w:rPr>
      </w:pPr>
      <w:r w:rsidRPr="00AB5264">
        <w:rPr>
          <w:rFonts w:ascii="Arial" w:hAnsi="Arial" w:cs="Arial"/>
          <w:bCs/>
          <w:sz w:val="20"/>
          <w:szCs w:val="20"/>
        </w:rPr>
        <w:t>W odniesieniu do obszaru zdrowia,</w:t>
      </w:r>
      <w:r w:rsidR="00EB5EBE">
        <w:rPr>
          <w:rFonts w:ascii="Arial" w:hAnsi="Arial" w:cs="Arial"/>
          <w:bCs/>
          <w:sz w:val="20"/>
          <w:szCs w:val="20"/>
        </w:rPr>
        <w:t xml:space="preserve"> w</w:t>
      </w:r>
      <w:r w:rsidR="00EB5EBE" w:rsidRPr="00EB5EBE">
        <w:rPr>
          <w:rFonts w:ascii="Arial" w:hAnsi="Arial" w:cs="Arial"/>
          <w:bCs/>
          <w:sz w:val="20"/>
          <w:szCs w:val="20"/>
        </w:rPr>
        <w:t>ybór projektów będzie dokonywany zgodnie z dotychczasową procedurą zatwierdzania Planu działań w sektorze zdrowia przez Komitet Sterujący ds. koordynacji interwencji EFSI w sektorze zdrowia (KS). Planowane proj</w:t>
      </w:r>
      <w:r w:rsidR="00EB5EBE">
        <w:rPr>
          <w:rFonts w:ascii="Arial" w:hAnsi="Arial" w:cs="Arial"/>
          <w:bCs/>
          <w:sz w:val="20"/>
          <w:szCs w:val="20"/>
        </w:rPr>
        <w:t>ekty pozakonkursowe lub projekty</w:t>
      </w:r>
      <w:r w:rsidR="00EB5EBE" w:rsidRPr="00EB5EBE">
        <w:rPr>
          <w:rFonts w:ascii="Arial" w:hAnsi="Arial" w:cs="Arial"/>
          <w:bCs/>
          <w:sz w:val="20"/>
          <w:szCs w:val="20"/>
        </w:rPr>
        <w:t xml:space="preserve"> w ramach konkursów, w zakresie w jakim będą one odpowiadać rekomendacjom KS dla kryteriów wyboru projek</w:t>
      </w:r>
      <w:r w:rsidR="00EB5EBE">
        <w:rPr>
          <w:rFonts w:ascii="Arial" w:hAnsi="Arial" w:cs="Arial"/>
          <w:bCs/>
          <w:sz w:val="20"/>
          <w:szCs w:val="20"/>
        </w:rPr>
        <w:t>tów realizowanych w ramach REACT</w:t>
      </w:r>
      <w:r w:rsidR="00EB5EBE" w:rsidRPr="00EB5EBE">
        <w:rPr>
          <w:rFonts w:ascii="Arial" w:hAnsi="Arial" w:cs="Arial"/>
          <w:bCs/>
          <w:sz w:val="20"/>
          <w:szCs w:val="20"/>
        </w:rPr>
        <w:t>-EU, będą oceniane z zastosowaniem przedmiotowych kryteriów. Dopuszcza się możliwość zastosowania trybu pozakonkursowego, pod warunkiem przyjęcia tego trybu w Planie działań w sektorze zdrowia przez KS.</w:t>
      </w:r>
      <w:r w:rsidR="006F7E61">
        <w:rPr>
          <w:rFonts w:ascii="Arial" w:hAnsi="Arial" w:cs="Arial"/>
          <w:bCs/>
          <w:sz w:val="20"/>
          <w:szCs w:val="20"/>
        </w:rPr>
        <w:t xml:space="preserve"> </w:t>
      </w:r>
      <w:r>
        <w:rPr>
          <w:rFonts w:ascii="Arial" w:hAnsi="Arial" w:cs="Arial"/>
          <w:bCs/>
          <w:sz w:val="20"/>
          <w:szCs w:val="20"/>
        </w:rPr>
        <w:t xml:space="preserve">Większość inwestycji realizowanych będzie przez podmioty jednoznacznie określone (np. </w:t>
      </w:r>
      <w:r>
        <w:rPr>
          <w:rFonts w:ascii="Arial" w:hAnsi="Arial" w:cs="Arial"/>
          <w:sz w:val="20"/>
          <w:szCs w:val="20"/>
        </w:rPr>
        <w:t>organy</w:t>
      </w:r>
      <w:r w:rsidRPr="00F42B20">
        <w:rPr>
          <w:rFonts w:ascii="Arial" w:hAnsi="Arial" w:cs="Arial"/>
          <w:sz w:val="20"/>
          <w:szCs w:val="20"/>
        </w:rPr>
        <w:t xml:space="preserve"> Państwowej Inspekcji Sanitarnej</w:t>
      </w:r>
      <w:r>
        <w:rPr>
          <w:rFonts w:ascii="Arial" w:hAnsi="Arial" w:cs="Arial"/>
          <w:sz w:val="20"/>
          <w:szCs w:val="20"/>
        </w:rPr>
        <w:t xml:space="preserve">, </w:t>
      </w:r>
      <w:r w:rsidRPr="005F0AEB">
        <w:rPr>
          <w:rFonts w:ascii="Arial" w:hAnsi="Arial" w:cs="Arial"/>
          <w:sz w:val="20"/>
          <w:szCs w:val="20"/>
        </w:rPr>
        <w:t>podmiot</w:t>
      </w:r>
      <w:r>
        <w:rPr>
          <w:rFonts w:ascii="Arial" w:hAnsi="Arial" w:cs="Arial"/>
          <w:sz w:val="20"/>
          <w:szCs w:val="20"/>
        </w:rPr>
        <w:t xml:space="preserve">y </w:t>
      </w:r>
      <w:r w:rsidRPr="005F0AEB">
        <w:rPr>
          <w:rFonts w:ascii="Arial" w:hAnsi="Arial" w:cs="Arial"/>
          <w:sz w:val="20"/>
          <w:szCs w:val="20"/>
        </w:rPr>
        <w:t>funkcjonując</w:t>
      </w:r>
      <w:r>
        <w:rPr>
          <w:rFonts w:ascii="Arial" w:hAnsi="Arial" w:cs="Arial"/>
          <w:sz w:val="20"/>
          <w:szCs w:val="20"/>
        </w:rPr>
        <w:t>e</w:t>
      </w:r>
      <w:r w:rsidRPr="005F0AEB">
        <w:rPr>
          <w:rFonts w:ascii="Arial" w:hAnsi="Arial" w:cs="Arial"/>
          <w:sz w:val="20"/>
          <w:szCs w:val="20"/>
        </w:rPr>
        <w:t xml:space="preserve"> w obszarze publicznej służby krwi</w:t>
      </w:r>
      <w:r>
        <w:rPr>
          <w:rFonts w:ascii="Arial" w:hAnsi="Arial" w:cs="Arial"/>
          <w:sz w:val="20"/>
          <w:szCs w:val="20"/>
        </w:rPr>
        <w:t xml:space="preserve">, czy </w:t>
      </w:r>
      <w:r w:rsidR="002D5D61" w:rsidRPr="002D5D61">
        <w:rPr>
          <w:rFonts w:ascii="Arial" w:hAnsi="Arial" w:cs="Arial"/>
          <w:sz w:val="20"/>
          <w:szCs w:val="20"/>
        </w:rPr>
        <w:t>ośrodki referencyjne przeszczepiające narządy</w:t>
      </w:r>
      <w:r>
        <w:rPr>
          <w:rFonts w:ascii="Arial" w:hAnsi="Arial" w:cs="Arial"/>
          <w:sz w:val="20"/>
          <w:szCs w:val="20"/>
        </w:rPr>
        <w:t>) i realizujące zadania o strategicznym znaczeniu dla kraju. Niezależnie od powyższego, tj. zastosowanej ścieżki (konkursowej bądź pozakonkursowej) wybór projektów do dofinansowania będzie następował w wyniku oceny poszczególnych przedsięwzięć w oparciu o</w:t>
      </w:r>
      <w:r w:rsidR="00A065EA">
        <w:rPr>
          <w:rFonts w:ascii="Arial" w:hAnsi="Arial" w:cs="Arial"/>
          <w:sz w:val="20"/>
          <w:szCs w:val="20"/>
        </w:rPr>
        <w:t> </w:t>
      </w:r>
      <w:r>
        <w:rPr>
          <w:rFonts w:ascii="Arial" w:hAnsi="Arial" w:cs="Arial"/>
          <w:sz w:val="20"/>
          <w:szCs w:val="20"/>
        </w:rPr>
        <w:t>obiektywne, precyzyjne i mierzalne kryteria wyboru. Dlatego w przypadkach, gdy wsparcie będzie kierowane do podmiotów / organów, które</w:t>
      </w:r>
      <w:r w:rsidRPr="00A1276A">
        <w:rPr>
          <w:rFonts w:ascii="Arial" w:hAnsi="Arial" w:cs="Arial"/>
          <w:sz w:val="20"/>
          <w:szCs w:val="20"/>
        </w:rPr>
        <w:t xml:space="preserve"> ze względu na charakter lub cel projektu, </w:t>
      </w:r>
      <w:r>
        <w:rPr>
          <w:rFonts w:ascii="Arial" w:hAnsi="Arial" w:cs="Arial"/>
          <w:sz w:val="20"/>
          <w:szCs w:val="20"/>
        </w:rPr>
        <w:t>są</w:t>
      </w:r>
      <w:r w:rsidRPr="00A1276A">
        <w:rPr>
          <w:rFonts w:ascii="Arial" w:hAnsi="Arial" w:cs="Arial"/>
          <w:sz w:val="20"/>
          <w:szCs w:val="20"/>
        </w:rPr>
        <w:t xml:space="preserve"> jednoznacznie określone przed złożeniem wniosku o dofinansowanie projektu</w:t>
      </w:r>
      <w:r>
        <w:rPr>
          <w:rFonts w:ascii="Arial" w:hAnsi="Arial" w:cs="Arial"/>
          <w:sz w:val="20"/>
          <w:szCs w:val="20"/>
        </w:rPr>
        <w:t>, realizowane będą w trybie pozakonkursowym.</w:t>
      </w:r>
      <w:r w:rsidRPr="00A1276A">
        <w:rPr>
          <w:rFonts w:ascii="Arial" w:hAnsi="Arial" w:cs="Arial"/>
          <w:sz w:val="20"/>
          <w:szCs w:val="20"/>
        </w:rPr>
        <w:t xml:space="preserve"> </w:t>
      </w:r>
      <w:r>
        <w:rPr>
          <w:rFonts w:ascii="Arial" w:hAnsi="Arial" w:cs="Arial"/>
          <w:sz w:val="20"/>
          <w:szCs w:val="20"/>
        </w:rPr>
        <w:t>Należy podkreślić, że zastosowanie trybu pozakonkursowego ze względu na specyfikę obszaru wsparcia, umożliwi precyzyjne skierowanie środków na zdiagnozowane problemy i</w:t>
      </w:r>
      <w:r w:rsidR="00A065EA">
        <w:rPr>
          <w:rFonts w:ascii="Arial" w:hAnsi="Arial" w:cs="Arial"/>
          <w:sz w:val="20"/>
          <w:szCs w:val="20"/>
        </w:rPr>
        <w:t> </w:t>
      </w:r>
      <w:r>
        <w:rPr>
          <w:rFonts w:ascii="Arial" w:hAnsi="Arial" w:cs="Arial"/>
          <w:sz w:val="20"/>
          <w:szCs w:val="20"/>
        </w:rPr>
        <w:t xml:space="preserve">identyfikowane potrzeby dotyczące sektora ochrony zdrowia. Realizacja projektu w formie pozakonkursowej będzie każdorazowo wymagała uzasadnienia. </w:t>
      </w:r>
    </w:p>
    <w:p w14:paraId="0737A61C" w14:textId="42D523B4" w:rsidR="00FB289C" w:rsidRPr="00854668" w:rsidRDefault="00600743" w:rsidP="005A162D">
      <w:pPr>
        <w:spacing w:before="120" w:after="120"/>
        <w:jc w:val="both"/>
        <w:rPr>
          <w:rFonts w:ascii="Arial" w:hAnsi="Arial" w:cs="Arial"/>
          <w:sz w:val="20"/>
          <w:szCs w:val="20"/>
        </w:rPr>
      </w:pPr>
      <w:bookmarkStart w:id="460" w:name="_Hlk96431373"/>
      <w:r>
        <w:rPr>
          <w:rFonts w:ascii="Arial" w:hAnsi="Arial" w:cs="Arial"/>
          <w:sz w:val="20"/>
          <w:szCs w:val="20"/>
        </w:rPr>
        <w:t xml:space="preserve">W trybie pozakonkursowym planowane są do realizacji </w:t>
      </w:r>
      <w:r w:rsidRPr="00854668">
        <w:rPr>
          <w:rFonts w:ascii="Arial" w:hAnsi="Arial" w:cs="Arial"/>
          <w:sz w:val="20"/>
          <w:szCs w:val="20"/>
        </w:rPr>
        <w:t xml:space="preserve">przez Ministerstwo Zdrowia </w:t>
      </w:r>
      <w:r>
        <w:rPr>
          <w:rFonts w:ascii="Arial" w:hAnsi="Arial" w:cs="Arial"/>
          <w:sz w:val="20"/>
          <w:szCs w:val="20"/>
        </w:rPr>
        <w:t xml:space="preserve">projekty mające na celu </w:t>
      </w:r>
      <w:r w:rsidRPr="00854668">
        <w:rPr>
          <w:rFonts w:ascii="Arial" w:hAnsi="Arial" w:cs="Arial"/>
          <w:sz w:val="20"/>
          <w:szCs w:val="20"/>
        </w:rPr>
        <w:t xml:space="preserve">udzielenia </w:t>
      </w:r>
      <w:r>
        <w:rPr>
          <w:rFonts w:ascii="Arial" w:hAnsi="Arial" w:cs="Arial"/>
          <w:sz w:val="20"/>
          <w:szCs w:val="20"/>
        </w:rPr>
        <w:t>wsparci</w:t>
      </w:r>
      <w:r w:rsidRPr="00854668">
        <w:rPr>
          <w:rFonts w:ascii="Arial" w:hAnsi="Arial" w:cs="Arial"/>
          <w:sz w:val="20"/>
          <w:szCs w:val="20"/>
        </w:rPr>
        <w:t>a</w:t>
      </w:r>
      <w:r>
        <w:rPr>
          <w:rFonts w:ascii="Arial" w:hAnsi="Arial" w:cs="Arial"/>
          <w:sz w:val="20"/>
          <w:szCs w:val="20"/>
        </w:rPr>
        <w:t xml:space="preserve"> cyfryzacji POZ </w:t>
      </w:r>
      <w:r w:rsidRPr="00854668">
        <w:rPr>
          <w:rFonts w:ascii="Arial" w:hAnsi="Arial" w:cs="Arial"/>
          <w:sz w:val="20"/>
          <w:szCs w:val="20"/>
        </w:rPr>
        <w:t>w ramach ogłoszonych naborów</w:t>
      </w:r>
      <w:r w:rsidR="00877CA4" w:rsidRPr="00877CA4">
        <w:rPr>
          <w:rFonts w:ascii="Arial" w:hAnsi="Arial" w:cs="Arial"/>
          <w:sz w:val="20"/>
          <w:szCs w:val="20"/>
        </w:rPr>
        <w:t xml:space="preserve"> </w:t>
      </w:r>
      <w:r w:rsidR="00877CA4">
        <w:rPr>
          <w:rFonts w:ascii="Arial" w:hAnsi="Arial" w:cs="Arial"/>
          <w:sz w:val="20"/>
          <w:szCs w:val="20"/>
        </w:rPr>
        <w:t>oraz wsparcie</w:t>
      </w:r>
      <w:r w:rsidR="00877CA4">
        <w:rPr>
          <w:rFonts w:ascii="Arial" w:hAnsi="Arial" w:cs="Arial"/>
          <w:iCs/>
          <w:spacing w:val="4"/>
          <w:sz w:val="20"/>
          <w:szCs w:val="20"/>
        </w:rPr>
        <w:t xml:space="preserve"> </w:t>
      </w:r>
      <w:r w:rsidR="00877CA4" w:rsidRPr="00185692">
        <w:rPr>
          <w:rFonts w:ascii="Arial" w:hAnsi="Arial" w:cs="Arial"/>
          <w:iCs/>
          <w:spacing w:val="4"/>
          <w:sz w:val="20"/>
          <w:szCs w:val="20"/>
        </w:rPr>
        <w:t>Powiatow</w:t>
      </w:r>
      <w:r w:rsidR="00877CA4">
        <w:rPr>
          <w:rFonts w:ascii="Arial" w:hAnsi="Arial" w:cs="Arial"/>
          <w:iCs/>
          <w:spacing w:val="4"/>
          <w:sz w:val="20"/>
          <w:szCs w:val="20"/>
        </w:rPr>
        <w:t>ych</w:t>
      </w:r>
      <w:r w:rsidR="00877CA4" w:rsidRPr="00185692">
        <w:rPr>
          <w:rFonts w:ascii="Arial" w:hAnsi="Arial" w:cs="Arial"/>
          <w:iCs/>
          <w:spacing w:val="4"/>
          <w:sz w:val="20"/>
          <w:szCs w:val="20"/>
        </w:rPr>
        <w:t xml:space="preserve"> Stacj</w:t>
      </w:r>
      <w:r w:rsidR="00877CA4">
        <w:rPr>
          <w:rFonts w:ascii="Arial" w:hAnsi="Arial" w:cs="Arial"/>
          <w:iCs/>
          <w:spacing w:val="4"/>
          <w:sz w:val="20"/>
          <w:szCs w:val="20"/>
        </w:rPr>
        <w:t>i</w:t>
      </w:r>
      <w:r w:rsidR="00877CA4" w:rsidRPr="00185692">
        <w:rPr>
          <w:rFonts w:ascii="Arial" w:hAnsi="Arial" w:cs="Arial"/>
          <w:iCs/>
          <w:spacing w:val="4"/>
          <w:sz w:val="20"/>
          <w:szCs w:val="20"/>
        </w:rPr>
        <w:t xml:space="preserve"> Sanitarno-Epidemiologiczn</w:t>
      </w:r>
      <w:r w:rsidR="00877CA4">
        <w:rPr>
          <w:rFonts w:ascii="Arial" w:hAnsi="Arial" w:cs="Arial"/>
          <w:iCs/>
          <w:spacing w:val="4"/>
          <w:sz w:val="20"/>
          <w:szCs w:val="20"/>
        </w:rPr>
        <w:t>ych</w:t>
      </w:r>
      <w:r>
        <w:rPr>
          <w:rFonts w:ascii="Arial" w:hAnsi="Arial" w:cs="Arial"/>
          <w:sz w:val="20"/>
          <w:szCs w:val="20"/>
        </w:rPr>
        <w:t>.</w:t>
      </w:r>
      <w:r w:rsidR="009B0BD5">
        <w:rPr>
          <w:rFonts w:ascii="Arial" w:hAnsi="Arial" w:cs="Arial"/>
          <w:sz w:val="20"/>
          <w:szCs w:val="20"/>
        </w:rPr>
        <w:t xml:space="preserve"> W odniesieniu do ww. typów projektów,</w:t>
      </w:r>
      <w:r w:rsidR="00431353">
        <w:rPr>
          <w:rFonts w:ascii="Arial" w:hAnsi="Arial" w:cs="Arial"/>
          <w:sz w:val="20"/>
          <w:szCs w:val="20"/>
        </w:rPr>
        <w:t xml:space="preserve"> możliwe </w:t>
      </w:r>
      <w:r w:rsidR="009B0BD5">
        <w:rPr>
          <w:rFonts w:ascii="Arial" w:hAnsi="Arial" w:cs="Arial"/>
          <w:sz w:val="20"/>
          <w:szCs w:val="20"/>
        </w:rPr>
        <w:t>będzie zastosowanie formuły projektów grantowych</w:t>
      </w:r>
      <w:r w:rsidR="00EC26B6">
        <w:rPr>
          <w:rFonts w:ascii="Arial" w:hAnsi="Arial" w:cs="Arial"/>
          <w:sz w:val="20"/>
          <w:szCs w:val="20"/>
        </w:rPr>
        <w:t xml:space="preserve"> </w:t>
      </w:r>
      <w:r w:rsidR="00EC26B6" w:rsidRPr="00EC26B6">
        <w:rPr>
          <w:rFonts w:ascii="Arial" w:hAnsi="Arial" w:cs="Arial"/>
          <w:sz w:val="20"/>
          <w:szCs w:val="20"/>
        </w:rPr>
        <w:t>i/lub formuły pozwalającej na ponoszenie wydatków w ramach upoważnienia podmiotu uprawnionego do ponoszenia wydatków na poziomie krajowym.</w:t>
      </w:r>
    </w:p>
    <w:bookmarkEnd w:id="460"/>
    <w:p w14:paraId="7CEC4002" w14:textId="77777777" w:rsidR="005A162D" w:rsidRPr="00AB5264" w:rsidRDefault="005A162D" w:rsidP="005A162D">
      <w:pPr>
        <w:spacing w:before="120" w:after="120"/>
        <w:jc w:val="both"/>
        <w:rPr>
          <w:rFonts w:ascii="Arial" w:hAnsi="Arial" w:cs="Arial"/>
          <w:bCs/>
          <w:sz w:val="20"/>
          <w:szCs w:val="20"/>
        </w:rPr>
      </w:pPr>
      <w:r w:rsidRPr="00DA4028">
        <w:rPr>
          <w:rFonts w:ascii="Arial" w:hAnsi="Arial" w:cs="Arial"/>
          <w:bCs/>
          <w:sz w:val="20"/>
          <w:szCs w:val="20"/>
        </w:rPr>
        <w:lastRenderedPageBreak/>
        <w:t>Warunkiem koniecznym dla podejmowania interwencji jest ich zgodność z uzgodnionym przez KS Planem działań. Zadaniem KS będzie również zapewnienie spójności zasad dla EFSI z mechanizmami dla wydatków krajowych.</w:t>
      </w:r>
    </w:p>
    <w:p w14:paraId="0E6083A4" w14:textId="77777777" w:rsidR="005A162D" w:rsidRDefault="005A162D" w:rsidP="005A162D">
      <w:pPr>
        <w:spacing w:before="120" w:after="120"/>
        <w:jc w:val="both"/>
        <w:rPr>
          <w:rFonts w:ascii="Arial" w:hAnsi="Arial" w:cs="Arial"/>
          <w:bCs/>
          <w:sz w:val="20"/>
          <w:szCs w:val="20"/>
        </w:rPr>
      </w:pPr>
      <w:r w:rsidRPr="00AB5264">
        <w:rPr>
          <w:rFonts w:ascii="Arial" w:hAnsi="Arial" w:cs="Arial"/>
          <w:bCs/>
          <w:sz w:val="20"/>
          <w:szCs w:val="20"/>
        </w:rPr>
        <w:t>W zakresie wsparcia podmiotów leczniczych - w</w:t>
      </w:r>
      <w:r w:rsidRPr="00DA4028">
        <w:rPr>
          <w:rFonts w:ascii="Arial" w:hAnsi="Arial" w:cs="Arial"/>
          <w:bCs/>
          <w:sz w:val="20"/>
          <w:szCs w:val="20"/>
        </w:rPr>
        <w:t>ybór projektów będzie oparty o dane wynikające z</w:t>
      </w:r>
      <w:r w:rsidR="00A065EA">
        <w:rPr>
          <w:rFonts w:ascii="Arial" w:hAnsi="Arial" w:cs="Arial"/>
          <w:bCs/>
          <w:sz w:val="20"/>
          <w:szCs w:val="20"/>
        </w:rPr>
        <w:t> </w:t>
      </w:r>
      <w:r w:rsidRPr="00DA4028">
        <w:rPr>
          <w:rFonts w:ascii="Arial" w:hAnsi="Arial" w:cs="Arial"/>
          <w:bCs/>
          <w:sz w:val="20"/>
          <w:szCs w:val="20"/>
        </w:rPr>
        <w:t>map potrzeb zdrowotnych</w:t>
      </w:r>
      <w:r w:rsidRPr="00AB5264">
        <w:rPr>
          <w:rFonts w:ascii="Arial" w:hAnsi="Arial" w:cs="Arial"/>
          <w:bCs/>
          <w:sz w:val="20"/>
          <w:szCs w:val="20"/>
        </w:rPr>
        <w:t xml:space="preserve"> </w:t>
      </w:r>
      <w:r w:rsidRPr="00DA4028">
        <w:rPr>
          <w:rFonts w:ascii="Arial" w:hAnsi="Arial" w:cs="Arial"/>
          <w:bCs/>
          <w:sz w:val="20"/>
          <w:szCs w:val="20"/>
        </w:rPr>
        <w:t>w dziedzinie medycyny oraz rodzaju świadczeń zbieżnym tematycznie z</w:t>
      </w:r>
      <w:r w:rsidR="00A065EA">
        <w:rPr>
          <w:rFonts w:ascii="Arial" w:hAnsi="Arial" w:cs="Arial"/>
          <w:bCs/>
          <w:sz w:val="20"/>
          <w:szCs w:val="20"/>
        </w:rPr>
        <w:t> </w:t>
      </w:r>
      <w:r w:rsidRPr="00DA4028">
        <w:rPr>
          <w:rFonts w:ascii="Arial" w:hAnsi="Arial" w:cs="Arial"/>
          <w:bCs/>
          <w:sz w:val="20"/>
          <w:szCs w:val="20"/>
        </w:rPr>
        <w:t>zakresem danego projektu.</w:t>
      </w:r>
      <w:r w:rsidRPr="00AB5264">
        <w:rPr>
          <w:rFonts w:ascii="Arial" w:hAnsi="Arial" w:cs="Arial"/>
          <w:bCs/>
          <w:sz w:val="20"/>
          <w:szCs w:val="20"/>
        </w:rPr>
        <w:t xml:space="preserve"> Dopuszcza się odstępstwo od mapy potrzeb zdrowotnych jedynie w</w:t>
      </w:r>
      <w:r w:rsidR="00A065EA">
        <w:rPr>
          <w:rFonts w:ascii="Arial" w:hAnsi="Arial" w:cs="Arial"/>
          <w:bCs/>
          <w:sz w:val="20"/>
          <w:szCs w:val="20"/>
        </w:rPr>
        <w:t> </w:t>
      </w:r>
      <w:r w:rsidRPr="00AB5264">
        <w:rPr>
          <w:rFonts w:ascii="Arial" w:hAnsi="Arial" w:cs="Arial"/>
          <w:bCs/>
          <w:sz w:val="20"/>
          <w:szCs w:val="20"/>
        </w:rPr>
        <w:t>przypadku, gdy dane zawarte w mapie nie odzwierciedlają faktycznego stanu potrzeb, wynikłych wskutek pandemii. Wówczas konieczne jest wskazanie w jakim zakresie zmieniły się potrzeby w</w:t>
      </w:r>
      <w:r w:rsidR="00A065EA">
        <w:rPr>
          <w:rFonts w:ascii="Arial" w:hAnsi="Arial" w:cs="Arial"/>
          <w:bCs/>
          <w:sz w:val="20"/>
          <w:szCs w:val="20"/>
        </w:rPr>
        <w:t> </w:t>
      </w:r>
      <w:r w:rsidRPr="00AB5264">
        <w:rPr>
          <w:rFonts w:ascii="Arial" w:hAnsi="Arial" w:cs="Arial"/>
          <w:bCs/>
          <w:sz w:val="20"/>
          <w:szCs w:val="20"/>
        </w:rPr>
        <w:t xml:space="preserve">stosunku do tych zawartych w mapie. Zaplanowane działania </w:t>
      </w:r>
      <w:r>
        <w:rPr>
          <w:rFonts w:ascii="Arial" w:hAnsi="Arial" w:cs="Arial"/>
          <w:bCs/>
          <w:sz w:val="20"/>
          <w:szCs w:val="20"/>
        </w:rPr>
        <w:t>będą</w:t>
      </w:r>
      <w:r w:rsidRPr="00AB5264">
        <w:rPr>
          <w:rFonts w:ascii="Arial" w:hAnsi="Arial" w:cs="Arial"/>
          <w:bCs/>
          <w:sz w:val="20"/>
          <w:szCs w:val="20"/>
        </w:rPr>
        <w:t xml:space="preserve"> wyczerpująco uzasadnione</w:t>
      </w:r>
      <w:r>
        <w:rPr>
          <w:rFonts w:ascii="Arial" w:hAnsi="Arial" w:cs="Arial"/>
          <w:bCs/>
          <w:sz w:val="20"/>
          <w:szCs w:val="20"/>
        </w:rPr>
        <w:t>,</w:t>
      </w:r>
      <w:r w:rsidRPr="00AB5264">
        <w:rPr>
          <w:rFonts w:ascii="Arial" w:hAnsi="Arial" w:cs="Arial"/>
          <w:bCs/>
          <w:sz w:val="20"/>
          <w:szCs w:val="20"/>
        </w:rPr>
        <w:t xml:space="preserve"> pod kątem istniejących deficytów w infrastrukturze</w:t>
      </w:r>
      <w:r>
        <w:rPr>
          <w:rFonts w:ascii="Arial" w:hAnsi="Arial" w:cs="Arial"/>
          <w:bCs/>
          <w:sz w:val="20"/>
          <w:szCs w:val="20"/>
        </w:rPr>
        <w:t>,</w:t>
      </w:r>
      <w:r w:rsidRPr="00AB5264">
        <w:rPr>
          <w:rFonts w:ascii="Arial" w:hAnsi="Arial" w:cs="Arial"/>
          <w:bCs/>
          <w:sz w:val="20"/>
          <w:szCs w:val="20"/>
        </w:rPr>
        <w:t xml:space="preserve"> oraz odpowiada</w:t>
      </w:r>
      <w:r>
        <w:rPr>
          <w:rFonts w:ascii="Arial" w:hAnsi="Arial" w:cs="Arial"/>
          <w:bCs/>
          <w:sz w:val="20"/>
          <w:szCs w:val="20"/>
        </w:rPr>
        <w:t>jące</w:t>
      </w:r>
      <w:r w:rsidRPr="00AB5264">
        <w:rPr>
          <w:rFonts w:ascii="Arial" w:hAnsi="Arial" w:cs="Arial"/>
          <w:bCs/>
          <w:sz w:val="20"/>
          <w:szCs w:val="20"/>
        </w:rPr>
        <w:t xml:space="preserve"> rzeczywistym i trwałym potrzebom związanym z sytuacją epidemiczną.</w:t>
      </w:r>
      <w:r>
        <w:rPr>
          <w:rFonts w:ascii="Arial" w:hAnsi="Arial" w:cs="Arial"/>
          <w:bCs/>
          <w:sz w:val="20"/>
          <w:szCs w:val="20"/>
        </w:rPr>
        <w:t xml:space="preserve"> Ponadto, nie przewiduje się wsparcia dla oddziałów szpitalnych, które w skutek reformy restrukturyzacji mogą zostać przeprofilowane lub skonsolidowane. Powyższe będzie weryfikowane m.in. poprzez analizę efektywności kosztowej podmiotów oraz świadczeń w</w:t>
      </w:r>
      <w:r w:rsidR="00A065EA">
        <w:rPr>
          <w:rFonts w:ascii="Arial" w:hAnsi="Arial" w:cs="Arial"/>
          <w:bCs/>
          <w:sz w:val="20"/>
          <w:szCs w:val="20"/>
        </w:rPr>
        <w:t> </w:t>
      </w:r>
      <w:r>
        <w:rPr>
          <w:rFonts w:ascii="Arial" w:hAnsi="Arial" w:cs="Arial"/>
          <w:bCs/>
          <w:sz w:val="20"/>
          <w:szCs w:val="20"/>
        </w:rPr>
        <w:t>planowanych do wsparcia zakresach. Analiza będzie również przeprowadzana pod kątem zgodności z zapisami Krajowego Planu Transformacji</w:t>
      </w:r>
      <w:r w:rsidRPr="00FB289C">
        <w:rPr>
          <w:rFonts w:ascii="Arial" w:hAnsi="Arial" w:cs="Arial"/>
          <w:bCs/>
          <w:sz w:val="20"/>
          <w:szCs w:val="20"/>
        </w:rPr>
        <w:t xml:space="preserve">. </w:t>
      </w:r>
      <w:r w:rsidR="00FB289C" w:rsidRPr="00FB289C">
        <w:rPr>
          <w:rFonts w:ascii="Arial" w:hAnsi="Arial" w:cs="Arial"/>
          <w:bCs/>
          <w:sz w:val="20"/>
          <w:szCs w:val="20"/>
        </w:rPr>
        <w:t xml:space="preserve">Wyłączenie z obowiązku zgodności z mapą potrzeb zdrowotnych oraz zapisami Planów Transformacji będzie obowiązywać </w:t>
      </w:r>
      <w:r w:rsidR="00FB289C" w:rsidRPr="00600743">
        <w:rPr>
          <w:rFonts w:ascii="Arial" w:hAnsi="Arial" w:cs="Arial"/>
          <w:bCs/>
          <w:sz w:val="20"/>
          <w:szCs w:val="20"/>
        </w:rPr>
        <w:t>dla projektów pozakonkursowych mających na celu wspa</w:t>
      </w:r>
      <w:r w:rsidR="00AC3363">
        <w:rPr>
          <w:rFonts w:ascii="Arial" w:hAnsi="Arial" w:cs="Arial"/>
          <w:bCs/>
          <w:sz w:val="20"/>
          <w:szCs w:val="20"/>
        </w:rPr>
        <w:t>r</w:t>
      </w:r>
      <w:r w:rsidR="00FB289C" w:rsidRPr="00600743">
        <w:rPr>
          <w:rFonts w:ascii="Arial" w:hAnsi="Arial" w:cs="Arial"/>
          <w:bCs/>
          <w:sz w:val="20"/>
          <w:szCs w:val="20"/>
        </w:rPr>
        <w:t>cie cyfryzacji POZ.</w:t>
      </w:r>
    </w:p>
    <w:p w14:paraId="27A6E83F" w14:textId="77777777" w:rsidR="00D61C47" w:rsidRPr="00AB5264" w:rsidRDefault="00D61C47" w:rsidP="005A162D">
      <w:pPr>
        <w:spacing w:before="120" w:after="120"/>
        <w:jc w:val="both"/>
        <w:rPr>
          <w:rFonts w:ascii="Arial" w:hAnsi="Arial" w:cs="Arial"/>
          <w:bCs/>
          <w:sz w:val="20"/>
          <w:szCs w:val="20"/>
        </w:rPr>
      </w:pPr>
      <w:r w:rsidRPr="001A2FF2">
        <w:rPr>
          <w:rFonts w:ascii="Arial" w:hAnsi="Arial" w:cs="Arial"/>
          <w:bCs/>
          <w:sz w:val="20"/>
          <w:szCs w:val="20"/>
        </w:rPr>
        <w:t xml:space="preserve">W celu zapewnienia skutecznej koordynacji inwestycji REACT-EU z założeniami reformy restrukturyzacji szpitali, inwestycje nie </w:t>
      </w:r>
      <w:r>
        <w:rPr>
          <w:rFonts w:ascii="Arial" w:hAnsi="Arial" w:cs="Arial"/>
          <w:bCs/>
          <w:sz w:val="20"/>
          <w:szCs w:val="20"/>
        </w:rPr>
        <w:t xml:space="preserve">będą mogły </w:t>
      </w:r>
      <w:r w:rsidRPr="001A2FF2">
        <w:rPr>
          <w:rFonts w:ascii="Arial" w:hAnsi="Arial" w:cs="Arial"/>
          <w:bCs/>
          <w:sz w:val="20"/>
          <w:szCs w:val="20"/>
        </w:rPr>
        <w:t xml:space="preserve">być realizowane na rzecz </w:t>
      </w:r>
      <w:r>
        <w:rPr>
          <w:rFonts w:ascii="Arial" w:hAnsi="Arial" w:cs="Arial"/>
          <w:bCs/>
          <w:sz w:val="20"/>
          <w:szCs w:val="20"/>
        </w:rPr>
        <w:t>szpitali</w:t>
      </w:r>
      <w:r w:rsidRPr="001A2FF2">
        <w:rPr>
          <w:rFonts w:ascii="Arial" w:hAnsi="Arial" w:cs="Arial"/>
          <w:bCs/>
          <w:sz w:val="20"/>
          <w:szCs w:val="20"/>
        </w:rPr>
        <w:t xml:space="preserve"> będąc</w:t>
      </w:r>
      <w:r>
        <w:rPr>
          <w:rFonts w:ascii="Arial" w:hAnsi="Arial" w:cs="Arial"/>
          <w:bCs/>
          <w:sz w:val="20"/>
          <w:szCs w:val="20"/>
        </w:rPr>
        <w:t>ych</w:t>
      </w:r>
      <w:r w:rsidRPr="001A2FF2">
        <w:rPr>
          <w:rFonts w:ascii="Arial" w:hAnsi="Arial" w:cs="Arial"/>
          <w:bCs/>
          <w:sz w:val="20"/>
          <w:szCs w:val="20"/>
        </w:rPr>
        <w:t xml:space="preserve"> w sytuacji ekonomiczno-finansowej zagrażającej trwałości projektu</w:t>
      </w:r>
      <w:r>
        <w:rPr>
          <w:rFonts w:ascii="Arial" w:hAnsi="Arial" w:cs="Arial"/>
          <w:bCs/>
          <w:sz w:val="20"/>
          <w:szCs w:val="20"/>
        </w:rPr>
        <w:t xml:space="preserve">. Natomiast </w:t>
      </w:r>
      <w:r>
        <w:rPr>
          <w:rFonts w:ascii="Arial" w:hAnsi="Arial" w:cs="Arial"/>
          <w:sz w:val="20"/>
          <w:szCs w:val="20"/>
        </w:rPr>
        <w:t>i</w:t>
      </w:r>
      <w:r w:rsidRPr="00AB5264">
        <w:rPr>
          <w:rFonts w:ascii="Arial" w:hAnsi="Arial" w:cs="Arial"/>
          <w:sz w:val="20"/>
          <w:szCs w:val="20"/>
        </w:rPr>
        <w:t>nwestycje</w:t>
      </w:r>
      <w:r>
        <w:rPr>
          <w:rFonts w:ascii="Arial" w:hAnsi="Arial" w:cs="Arial"/>
          <w:sz w:val="20"/>
          <w:szCs w:val="20"/>
        </w:rPr>
        <w:t xml:space="preserve"> wprowadzane</w:t>
      </w:r>
      <w:r>
        <w:rPr>
          <w:rFonts w:ascii="Arial" w:hAnsi="Arial" w:cs="Arial"/>
          <w:bCs/>
          <w:sz w:val="20"/>
          <w:szCs w:val="20"/>
        </w:rPr>
        <w:t xml:space="preserve"> do realizacji p</w:t>
      </w:r>
      <w:r w:rsidRPr="00BF135A">
        <w:rPr>
          <w:rFonts w:ascii="Arial" w:hAnsi="Arial" w:cs="Arial"/>
          <w:bCs/>
          <w:sz w:val="20"/>
          <w:szCs w:val="20"/>
        </w:rPr>
        <w:t>o wejściu w życie ustawy reformującej sektor szpitalnictwa</w:t>
      </w:r>
      <w:r>
        <w:rPr>
          <w:rFonts w:ascii="Arial" w:hAnsi="Arial" w:cs="Arial"/>
          <w:bCs/>
          <w:sz w:val="20"/>
          <w:szCs w:val="20"/>
        </w:rPr>
        <w:t>,</w:t>
      </w:r>
      <w:r w:rsidRPr="00AB5264">
        <w:rPr>
          <w:rFonts w:ascii="Arial" w:hAnsi="Arial" w:cs="Arial"/>
          <w:bCs/>
          <w:sz w:val="20"/>
          <w:szCs w:val="20"/>
        </w:rPr>
        <w:t xml:space="preserve"> </w:t>
      </w:r>
      <w:r>
        <w:rPr>
          <w:rFonts w:ascii="Arial" w:hAnsi="Arial" w:cs="Arial"/>
          <w:bCs/>
          <w:sz w:val="20"/>
          <w:szCs w:val="20"/>
        </w:rPr>
        <w:t>będą</w:t>
      </w:r>
      <w:r w:rsidRPr="00BF135A">
        <w:rPr>
          <w:rFonts w:ascii="Arial" w:hAnsi="Arial" w:cs="Arial"/>
          <w:bCs/>
          <w:sz w:val="20"/>
          <w:szCs w:val="20"/>
        </w:rPr>
        <w:t xml:space="preserve"> </w:t>
      </w:r>
      <w:r>
        <w:rPr>
          <w:rFonts w:ascii="Arial" w:hAnsi="Arial" w:cs="Arial"/>
          <w:bCs/>
          <w:sz w:val="20"/>
          <w:szCs w:val="20"/>
        </w:rPr>
        <w:t xml:space="preserve">musiały być z nią </w:t>
      </w:r>
      <w:r w:rsidRPr="00BF135A">
        <w:rPr>
          <w:rFonts w:ascii="Arial" w:hAnsi="Arial" w:cs="Arial"/>
          <w:bCs/>
          <w:sz w:val="20"/>
          <w:szCs w:val="20"/>
        </w:rPr>
        <w:t>zgodne.</w:t>
      </w:r>
      <w:r>
        <w:rPr>
          <w:rFonts w:ascii="Arial" w:hAnsi="Arial" w:cs="Arial"/>
          <w:bCs/>
          <w:sz w:val="20"/>
          <w:szCs w:val="20"/>
        </w:rPr>
        <w:t xml:space="preserve"> </w:t>
      </w:r>
    </w:p>
    <w:p w14:paraId="49287F2B" w14:textId="77777777" w:rsidR="005A162D" w:rsidRPr="00AB5264" w:rsidRDefault="005A162D" w:rsidP="005A162D">
      <w:pPr>
        <w:spacing w:after="120"/>
        <w:jc w:val="both"/>
        <w:rPr>
          <w:rFonts w:ascii="Arial" w:hAnsi="Arial" w:cs="Arial"/>
          <w:sz w:val="20"/>
          <w:szCs w:val="20"/>
        </w:rPr>
      </w:pPr>
      <w:r w:rsidRPr="00AB5264">
        <w:rPr>
          <w:rFonts w:ascii="Arial" w:hAnsi="Arial" w:cs="Arial"/>
          <w:bCs/>
          <w:sz w:val="20"/>
          <w:szCs w:val="20"/>
        </w:rPr>
        <w:t xml:space="preserve">W zakresie wsparcia podmiotów leczniczych </w:t>
      </w:r>
      <w:r>
        <w:rPr>
          <w:rFonts w:ascii="Arial" w:hAnsi="Arial" w:cs="Arial"/>
          <w:sz w:val="20"/>
          <w:szCs w:val="20"/>
        </w:rPr>
        <w:t>i</w:t>
      </w:r>
      <w:r w:rsidRPr="00AB5264">
        <w:rPr>
          <w:rFonts w:ascii="Arial" w:hAnsi="Arial" w:cs="Arial"/>
          <w:sz w:val="20"/>
          <w:szCs w:val="20"/>
        </w:rPr>
        <w:t>nwestycje będą realizowane wyłącznie w podmiotach posiadających umowę na świadczenie usług opieki zdrowotnej finansowanych ze środków publicznych. W przypadku poszerzenia działalności, wymagane będzie zobowiązanie do posiadania ww. umowy najpóźniej w kolejnym okresie kontraktowania świadczeń po zakończeniu realizacji projektu. Podejście to ma na celu realizowanie wyłącznie inwestycji zweryfikowanych zidentyfikowanymi deficytami i potrzebami, uwzględniającymi sytuację demograficzną</w:t>
      </w:r>
      <w:r>
        <w:rPr>
          <w:rFonts w:ascii="Arial" w:hAnsi="Arial" w:cs="Arial"/>
          <w:sz w:val="20"/>
          <w:szCs w:val="20"/>
        </w:rPr>
        <w:t xml:space="preserve"> </w:t>
      </w:r>
      <w:r w:rsidRPr="00AB5264">
        <w:rPr>
          <w:rFonts w:ascii="Arial" w:hAnsi="Arial" w:cs="Arial"/>
          <w:sz w:val="20"/>
          <w:szCs w:val="20"/>
        </w:rPr>
        <w:t>i epidemiologiczną oraz dostępność infrastruktury.</w:t>
      </w:r>
      <w:r>
        <w:rPr>
          <w:rFonts w:ascii="Arial" w:hAnsi="Arial" w:cs="Arial"/>
          <w:sz w:val="20"/>
          <w:szCs w:val="20"/>
        </w:rPr>
        <w:t xml:space="preserve"> </w:t>
      </w:r>
      <w:bookmarkStart w:id="461" w:name="_Hlk71641714"/>
      <w:r>
        <w:rPr>
          <w:rFonts w:ascii="Arial" w:hAnsi="Arial" w:cs="Arial"/>
          <w:sz w:val="20"/>
          <w:szCs w:val="20"/>
        </w:rPr>
        <w:t>W przypadku projektów skierowanych do podmiotów leczniczych</w:t>
      </w:r>
      <w:r w:rsidRPr="001A40A3">
        <w:rPr>
          <w:rFonts w:ascii="Arial" w:hAnsi="Arial" w:cs="Arial"/>
          <w:sz w:val="20"/>
          <w:szCs w:val="20"/>
        </w:rPr>
        <w:t xml:space="preserve"> </w:t>
      </w:r>
      <w:r w:rsidRPr="006009B7">
        <w:rPr>
          <w:rFonts w:ascii="Arial" w:hAnsi="Arial" w:cs="Arial"/>
          <w:sz w:val="20"/>
          <w:szCs w:val="20"/>
        </w:rPr>
        <w:t>wyspecjalizowanych w zakresie onkologii</w:t>
      </w:r>
      <w:r>
        <w:rPr>
          <w:rFonts w:ascii="Arial" w:hAnsi="Arial" w:cs="Arial"/>
          <w:sz w:val="20"/>
          <w:szCs w:val="20"/>
        </w:rPr>
        <w:t xml:space="preserve"> – inwestycje będą musiały wpisywać się w założenia Narodowej Strategii Onkologii na lata 2020-2030.</w:t>
      </w:r>
    </w:p>
    <w:bookmarkEnd w:id="461"/>
    <w:p w14:paraId="31A37CFF" w14:textId="77777777" w:rsidR="005A162D" w:rsidRPr="00AB5264" w:rsidRDefault="005A162D" w:rsidP="005A162D">
      <w:pPr>
        <w:jc w:val="both"/>
        <w:rPr>
          <w:rFonts w:ascii="Arial" w:hAnsi="Arial" w:cs="Arial"/>
          <w:sz w:val="20"/>
          <w:szCs w:val="20"/>
        </w:rPr>
      </w:pPr>
      <w:r w:rsidRPr="00AB5264">
        <w:rPr>
          <w:rFonts w:ascii="Arial" w:hAnsi="Arial" w:cs="Arial"/>
          <w:sz w:val="20"/>
          <w:szCs w:val="20"/>
        </w:rPr>
        <w:t xml:space="preserve">Projekty związane z zapobieganiem, przeciwdziałaniem i zwalczaniem COVID-19 oraz innych chorób zakaźnych – zarówno zakupowe, jak i budowlane – </w:t>
      </w:r>
      <w:r>
        <w:rPr>
          <w:rFonts w:ascii="Arial" w:hAnsi="Arial" w:cs="Arial"/>
          <w:sz w:val="20"/>
          <w:szCs w:val="20"/>
        </w:rPr>
        <w:t xml:space="preserve">mogą zostać </w:t>
      </w:r>
      <w:r w:rsidRPr="00AB5264">
        <w:rPr>
          <w:rFonts w:ascii="Arial" w:hAnsi="Arial" w:cs="Arial"/>
          <w:sz w:val="20"/>
          <w:szCs w:val="20"/>
        </w:rPr>
        <w:t>zwolnione z wymogu dotyczącego posiadania pozytywnej OCI</w:t>
      </w:r>
      <w:r>
        <w:rPr>
          <w:rFonts w:ascii="Arial" w:hAnsi="Arial" w:cs="Arial"/>
          <w:sz w:val="20"/>
          <w:szCs w:val="20"/>
        </w:rPr>
        <w:t xml:space="preserve">, o ile takie wyłączenia będą przewidywać przepisy prawa krajowego.  </w:t>
      </w:r>
    </w:p>
    <w:p w14:paraId="67FF1D73" w14:textId="77777777" w:rsidR="005A162D" w:rsidRPr="00DA4028" w:rsidRDefault="005A162D" w:rsidP="005A162D">
      <w:pPr>
        <w:spacing w:after="120"/>
        <w:jc w:val="both"/>
        <w:rPr>
          <w:rFonts w:ascii="Arial" w:hAnsi="Arial" w:cs="Arial"/>
          <w:sz w:val="20"/>
          <w:szCs w:val="20"/>
        </w:rPr>
      </w:pPr>
      <w:r w:rsidRPr="00DA4028">
        <w:rPr>
          <w:rFonts w:ascii="Arial" w:hAnsi="Arial" w:cs="Arial"/>
          <w:sz w:val="20"/>
          <w:szCs w:val="20"/>
        </w:rPr>
        <w:t>Projekty będą oceniane pod względem efektywności kosztowej, w tym wpływu na dostępność oraz skuteczność świadczonych usług. Podczas wyboru projektów zastosowane zostaną kryteria badające ich wpływ na:</w:t>
      </w:r>
    </w:p>
    <w:p w14:paraId="4119A450" w14:textId="77777777" w:rsidR="005A162D" w:rsidRPr="00AB5264" w:rsidRDefault="005A162D" w:rsidP="005A162D">
      <w:pPr>
        <w:numPr>
          <w:ilvl w:val="0"/>
          <w:numId w:val="111"/>
        </w:numPr>
        <w:spacing w:after="120"/>
        <w:jc w:val="both"/>
        <w:rPr>
          <w:rFonts w:ascii="Arial" w:hAnsi="Arial" w:cs="Arial"/>
          <w:sz w:val="20"/>
          <w:szCs w:val="20"/>
        </w:rPr>
      </w:pPr>
      <w:r w:rsidRPr="00DA4028">
        <w:rPr>
          <w:rFonts w:ascii="Arial" w:hAnsi="Arial" w:cs="Arial"/>
          <w:sz w:val="20"/>
          <w:szCs w:val="20"/>
        </w:rPr>
        <w:t>efektywność kosztową (z punktu widzenia projektu - osiągnięcie najlepszych efektów przy możliwie najniższych cenach, stopień wykorzystania (maksymalizacja) istniejącej oraz powstałej infrastruktury;</w:t>
      </w:r>
      <w:r w:rsidRPr="00AB5264">
        <w:rPr>
          <w:rFonts w:ascii="Arial" w:hAnsi="Arial" w:cs="Arial"/>
          <w:sz w:val="20"/>
          <w:szCs w:val="20"/>
        </w:rPr>
        <w:t xml:space="preserve"> </w:t>
      </w:r>
      <w:r>
        <w:rPr>
          <w:rFonts w:ascii="Arial" w:hAnsi="Arial" w:cs="Arial"/>
          <w:sz w:val="20"/>
          <w:szCs w:val="20"/>
        </w:rPr>
        <w:t xml:space="preserve">dla projektów skierowanych do podmiotów leczniczych </w:t>
      </w:r>
      <w:r w:rsidRPr="00DA4028">
        <w:rPr>
          <w:rFonts w:ascii="Arial" w:hAnsi="Arial" w:cs="Arial"/>
          <w:sz w:val="20"/>
          <w:szCs w:val="20"/>
        </w:rPr>
        <w:t>- analiza ex</w:t>
      </w:r>
      <w:r w:rsidR="00A065EA">
        <w:rPr>
          <w:rFonts w:ascii="Arial" w:hAnsi="Arial" w:cs="Arial"/>
          <w:sz w:val="20"/>
          <w:szCs w:val="20"/>
        </w:rPr>
        <w:t>-</w:t>
      </w:r>
      <w:r w:rsidRPr="00DA4028">
        <w:rPr>
          <w:rFonts w:ascii="Arial" w:hAnsi="Arial" w:cs="Arial"/>
          <w:sz w:val="20"/>
          <w:szCs w:val="20"/>
        </w:rPr>
        <w:t xml:space="preserve"> </w:t>
      </w:r>
      <w:proofErr w:type="spellStart"/>
      <w:r w:rsidRPr="00DA4028">
        <w:rPr>
          <w:rFonts w:ascii="Arial" w:hAnsi="Arial" w:cs="Arial"/>
          <w:sz w:val="20"/>
          <w:szCs w:val="20"/>
        </w:rPr>
        <w:t>ante</w:t>
      </w:r>
      <w:proofErr w:type="spellEnd"/>
      <w:r w:rsidRPr="00DA4028">
        <w:rPr>
          <w:rFonts w:ascii="Arial" w:hAnsi="Arial" w:cs="Arial"/>
          <w:sz w:val="20"/>
          <w:szCs w:val="20"/>
        </w:rPr>
        <w:t xml:space="preserve"> efektywności kosztowej inwestycji w odniesieniu do oddziałów</w:t>
      </w:r>
      <w:r>
        <w:rPr>
          <w:rFonts w:ascii="Arial" w:hAnsi="Arial" w:cs="Arial"/>
          <w:sz w:val="20"/>
          <w:szCs w:val="20"/>
        </w:rPr>
        <w:t>/jednostek</w:t>
      </w:r>
      <w:r w:rsidRPr="00DA4028">
        <w:rPr>
          <w:rFonts w:ascii="Arial" w:hAnsi="Arial" w:cs="Arial"/>
          <w:sz w:val="20"/>
          <w:szCs w:val="20"/>
        </w:rPr>
        <w:t>, w których realizowana będzie inwestycja oraz całego podmiotu, promowanie wnioskodawców, którzy wykazują największą efektywność finansową, u których w wyniku realizacji projektu poprawi się efektywność finansowa, w tym poprzez zastosowanie nowoczesnych rozwiązań z zakresu IT, rozwiązań z zakresu efektywności energetycznej, w szczególności obniżenia zużycia energii lub efektywniejszego jej wykorzystywania/ zmniejszenia energochłonności przez obiekt, tj. działania w zakresie modernizacji energetycznej budynków. Dodatkowo, projekty powinny przyczyniać się do ograniczenia kosztów systemu ochrony zdrowia</w:t>
      </w:r>
    </w:p>
    <w:p w14:paraId="0FC15B3F" w14:textId="77777777" w:rsidR="005A162D" w:rsidRPr="00DA4028" w:rsidRDefault="005A162D" w:rsidP="005A162D">
      <w:pPr>
        <w:numPr>
          <w:ilvl w:val="0"/>
          <w:numId w:val="111"/>
        </w:numPr>
        <w:spacing w:after="120"/>
        <w:jc w:val="both"/>
        <w:rPr>
          <w:rFonts w:ascii="Arial" w:hAnsi="Arial" w:cs="Arial"/>
          <w:sz w:val="20"/>
          <w:szCs w:val="20"/>
        </w:rPr>
      </w:pPr>
      <w:r w:rsidRPr="00DA4028">
        <w:rPr>
          <w:rFonts w:ascii="Arial" w:hAnsi="Arial" w:cs="Arial"/>
          <w:sz w:val="20"/>
          <w:szCs w:val="20"/>
        </w:rPr>
        <w:lastRenderedPageBreak/>
        <w:t>dostępność (zwiększenie dostępności do specjalistycznych i wysokospecjalistycznych świadczeń zdrowotnych mierzone poprzez m.in. odniesienie się do stopnia wykorzystania łóżek szpitalnych, oczekiwanego skróceni</w:t>
      </w:r>
      <w:r>
        <w:rPr>
          <w:rFonts w:ascii="Arial" w:hAnsi="Arial" w:cs="Arial"/>
          <w:sz w:val="20"/>
          <w:szCs w:val="20"/>
        </w:rPr>
        <w:t>a</w:t>
      </w:r>
      <w:r w:rsidRPr="00DA4028">
        <w:rPr>
          <w:rFonts w:ascii="Arial" w:hAnsi="Arial" w:cs="Arial"/>
          <w:sz w:val="20"/>
          <w:szCs w:val="20"/>
        </w:rPr>
        <w:t xml:space="preserve"> czasu hospitalizacji, inicjatyw konsolidacyjnych i</w:t>
      </w:r>
      <w:r w:rsidR="00A065EA">
        <w:rPr>
          <w:rFonts w:ascii="Arial" w:hAnsi="Arial" w:cs="Arial"/>
          <w:sz w:val="20"/>
          <w:szCs w:val="20"/>
        </w:rPr>
        <w:t> </w:t>
      </w:r>
      <w:r w:rsidRPr="00DA4028">
        <w:rPr>
          <w:rFonts w:ascii="Arial" w:hAnsi="Arial" w:cs="Arial"/>
          <w:sz w:val="20"/>
          <w:szCs w:val="20"/>
        </w:rPr>
        <w:t>innych form współpracy, działań w zakresie reorganizacji</w:t>
      </w:r>
      <w:r>
        <w:rPr>
          <w:rFonts w:ascii="Arial" w:hAnsi="Arial" w:cs="Arial"/>
          <w:sz w:val="20"/>
          <w:szCs w:val="20"/>
        </w:rPr>
        <w:t xml:space="preserve"> </w:t>
      </w:r>
      <w:r w:rsidRPr="00DA4028">
        <w:rPr>
          <w:rFonts w:ascii="Arial" w:hAnsi="Arial" w:cs="Arial"/>
          <w:sz w:val="20"/>
          <w:szCs w:val="20"/>
        </w:rPr>
        <w:t>i restrukturyzacji wewnątrz podmiotów, w celu maksymalizacji wykorzystania infrastruktury, w tym sąsiadującej, oraz stopnia jej dostosowania do istniejących deficytów, poprawa dostępności dla osób niepełnosprawnych, niesamodzielnych, dzieci i osób starszych),</w:t>
      </w:r>
      <w:r>
        <w:rPr>
          <w:rFonts w:ascii="Arial" w:hAnsi="Arial" w:cs="Arial"/>
          <w:sz w:val="20"/>
          <w:szCs w:val="20"/>
        </w:rPr>
        <w:t xml:space="preserve"> </w:t>
      </w:r>
      <w:r w:rsidRPr="00DA4028">
        <w:rPr>
          <w:rFonts w:ascii="Arial" w:hAnsi="Arial" w:cs="Arial"/>
          <w:sz w:val="20"/>
          <w:szCs w:val="20"/>
        </w:rPr>
        <w:t>skuteczność (zwiększenie skuteczności diagnostyki oraz leczenia mierzona poprzez m.in. odniesienie się do parametrów takich jak spadek ryzyka zakażeń szpitalnych, poprawa szybkości, zaawansowania technologicznego oraz poziomu precyzji diagnostyki, poprawa jakości i trafności wdrażanych metod leczenia)</w:t>
      </w:r>
      <w:r>
        <w:rPr>
          <w:rFonts w:ascii="Arial" w:hAnsi="Arial" w:cs="Arial"/>
          <w:sz w:val="20"/>
          <w:szCs w:val="20"/>
        </w:rPr>
        <w:t xml:space="preserve"> – powyższe kryterium dotyczy projektów skierowanych do podmiotów leczniczych</w:t>
      </w:r>
      <w:r w:rsidR="000F2145">
        <w:rPr>
          <w:rFonts w:ascii="Arial" w:hAnsi="Arial" w:cs="Arial"/>
          <w:sz w:val="20"/>
          <w:szCs w:val="20"/>
        </w:rPr>
        <w:t>,</w:t>
      </w:r>
      <w:r w:rsidR="000F2145" w:rsidRPr="000F2145">
        <w:rPr>
          <w:rFonts w:ascii="Arial" w:hAnsi="Arial" w:cs="Arial"/>
          <w:sz w:val="20"/>
          <w:szCs w:val="20"/>
        </w:rPr>
        <w:t xml:space="preserve"> </w:t>
      </w:r>
      <w:r w:rsidR="000F2145">
        <w:rPr>
          <w:rFonts w:ascii="Arial" w:hAnsi="Arial" w:cs="Arial"/>
          <w:sz w:val="20"/>
          <w:szCs w:val="20"/>
        </w:rPr>
        <w:t>poza obszarem wsparcia POZ.</w:t>
      </w:r>
      <w:r>
        <w:rPr>
          <w:rFonts w:ascii="Arial" w:hAnsi="Arial" w:cs="Arial"/>
          <w:sz w:val="20"/>
          <w:szCs w:val="20"/>
        </w:rPr>
        <w:t>.</w:t>
      </w:r>
    </w:p>
    <w:p w14:paraId="07D62C9F" w14:textId="77777777" w:rsidR="009A2445" w:rsidRDefault="009A2445" w:rsidP="009C1725">
      <w:pPr>
        <w:spacing w:after="120"/>
        <w:jc w:val="both"/>
        <w:rPr>
          <w:rFonts w:ascii="Arial" w:hAnsi="Arial" w:cs="Arial"/>
          <w:sz w:val="20"/>
          <w:szCs w:val="20"/>
        </w:rPr>
      </w:pPr>
    </w:p>
    <w:p w14:paraId="3E7A9419" w14:textId="77777777" w:rsidR="009C1725" w:rsidRPr="009C1725" w:rsidRDefault="009C1725" w:rsidP="009C1725">
      <w:pPr>
        <w:spacing w:after="120"/>
        <w:jc w:val="both"/>
        <w:rPr>
          <w:rFonts w:ascii="Arial" w:hAnsi="Arial" w:cs="Arial"/>
          <w:sz w:val="20"/>
          <w:szCs w:val="20"/>
        </w:rPr>
      </w:pPr>
      <w:r w:rsidRPr="009C1725">
        <w:rPr>
          <w:rFonts w:ascii="Arial" w:hAnsi="Arial" w:cs="Arial"/>
          <w:sz w:val="20"/>
          <w:szCs w:val="20"/>
        </w:rPr>
        <w:t xml:space="preserve">W ramach </w:t>
      </w:r>
      <w:r w:rsidR="00A523DE">
        <w:rPr>
          <w:rFonts w:ascii="Arial" w:hAnsi="Arial" w:cs="Arial"/>
          <w:sz w:val="20"/>
          <w:szCs w:val="20"/>
        </w:rPr>
        <w:t>obszaru energetyki</w:t>
      </w:r>
      <w:r w:rsidRPr="009C1725">
        <w:rPr>
          <w:rFonts w:ascii="Arial" w:hAnsi="Arial" w:cs="Arial"/>
          <w:sz w:val="20"/>
          <w:szCs w:val="20"/>
        </w:rPr>
        <w:t xml:space="preserve"> wsparciem objęte zostaną projekty wyłan</w:t>
      </w:r>
      <w:r w:rsidR="004B2E94">
        <w:rPr>
          <w:rFonts w:ascii="Arial" w:hAnsi="Arial" w:cs="Arial"/>
          <w:sz w:val="20"/>
          <w:szCs w:val="20"/>
        </w:rPr>
        <w:t xml:space="preserve">iane w trybie pozakonkursowym. </w:t>
      </w:r>
      <w:r w:rsidRPr="009C1725">
        <w:rPr>
          <w:rFonts w:ascii="Arial" w:hAnsi="Arial" w:cs="Arial"/>
          <w:sz w:val="20"/>
          <w:szCs w:val="20"/>
        </w:rPr>
        <w:t xml:space="preserve"> </w:t>
      </w:r>
    </w:p>
    <w:p w14:paraId="7F904FBB" w14:textId="60BE6857" w:rsidR="000C7D83" w:rsidRDefault="000C7D83" w:rsidP="00461CC4">
      <w:pPr>
        <w:spacing w:after="120"/>
        <w:jc w:val="both"/>
        <w:rPr>
          <w:rFonts w:ascii="Arial" w:hAnsi="Arial" w:cs="Arial"/>
          <w:sz w:val="20"/>
          <w:szCs w:val="20"/>
        </w:rPr>
      </w:pPr>
      <w:r w:rsidRPr="00600743">
        <w:rPr>
          <w:rFonts w:ascii="Arial" w:hAnsi="Arial" w:cs="Arial"/>
          <w:sz w:val="20"/>
          <w:szCs w:val="20"/>
        </w:rPr>
        <w:t xml:space="preserve">Trybem pozakonkursowym objęty zostanie projekt w formule grantowej z zakresu </w:t>
      </w:r>
      <w:r w:rsidRPr="00600743">
        <w:rPr>
          <w:rFonts w:ascii="Arial" w:hAnsi="Arial" w:cs="Arial"/>
          <w:iCs/>
          <w:sz w:val="20"/>
          <w:szCs w:val="20"/>
        </w:rPr>
        <w:t xml:space="preserve">instalacji OZE do produkcji energii elektrycznej przez osoby fizyczne w budynkach mieszkalnych </w:t>
      </w:r>
      <w:r w:rsidRPr="00600743">
        <w:rPr>
          <w:rFonts w:ascii="Arial" w:hAnsi="Arial" w:cs="Arial"/>
          <w:sz w:val="20"/>
          <w:szCs w:val="20"/>
        </w:rPr>
        <w:t xml:space="preserve">oraz projekty z zakresu </w:t>
      </w:r>
      <w:proofErr w:type="spellStart"/>
      <w:r w:rsidRPr="00600743">
        <w:rPr>
          <w:rFonts w:ascii="Arial" w:hAnsi="Arial" w:cs="Arial"/>
          <w:sz w:val="20"/>
          <w:szCs w:val="20"/>
        </w:rPr>
        <w:t>przesyłu</w:t>
      </w:r>
      <w:proofErr w:type="spellEnd"/>
      <w:r w:rsidRPr="00600743">
        <w:rPr>
          <w:rFonts w:ascii="Arial" w:hAnsi="Arial" w:cs="Arial"/>
          <w:sz w:val="20"/>
          <w:szCs w:val="20"/>
        </w:rPr>
        <w:t xml:space="preserve"> gazu ziemnego.</w:t>
      </w:r>
    </w:p>
    <w:p w14:paraId="1EA81B3C" w14:textId="12925C8D" w:rsidR="00BF4090" w:rsidRPr="00BF4090" w:rsidRDefault="00461CC4" w:rsidP="00BF4090">
      <w:pPr>
        <w:spacing w:after="120"/>
        <w:jc w:val="both"/>
        <w:rPr>
          <w:rFonts w:ascii="Arial" w:hAnsi="Arial" w:cs="Arial"/>
          <w:spacing w:val="4"/>
          <w:sz w:val="20"/>
          <w:szCs w:val="20"/>
        </w:rPr>
      </w:pPr>
      <w:r w:rsidRPr="00461CC4">
        <w:rPr>
          <w:rFonts w:ascii="Arial" w:hAnsi="Arial" w:cs="Arial"/>
          <w:spacing w:val="4"/>
          <w:sz w:val="20"/>
          <w:szCs w:val="20"/>
        </w:rPr>
        <w:t xml:space="preserve">Wybór projektów do dofinansowania będzie następował w wyniku oceny poszczególnych projektów w oparciu o obiektywne kryteria zatwierdzone przez Komitet Monitorujący. Kryteria wyboru będą służyły zapewnieniu efektywnej i prawidłowej realizacji celów określonych dla priorytetu inwestycyjnego. Kryteria będą precyzyjne, mierzalne i obiektywne.  W przypadku projektu grantowego realizowanego przez Narodowy Fundusz Ochrony Środowiska i Gospodarki Wodnej, </w:t>
      </w:r>
      <w:proofErr w:type="spellStart"/>
      <w:r w:rsidRPr="00461CC4">
        <w:rPr>
          <w:rFonts w:ascii="Arial" w:hAnsi="Arial" w:cs="Arial"/>
          <w:spacing w:val="4"/>
          <w:sz w:val="20"/>
          <w:szCs w:val="20"/>
        </w:rPr>
        <w:t>grantobiorcy</w:t>
      </w:r>
      <w:proofErr w:type="spellEnd"/>
      <w:r w:rsidRPr="00461CC4">
        <w:rPr>
          <w:rFonts w:ascii="Arial" w:hAnsi="Arial" w:cs="Arial"/>
          <w:spacing w:val="4"/>
          <w:sz w:val="20"/>
          <w:szCs w:val="20"/>
        </w:rPr>
        <w:t xml:space="preserve"> wybierani będą w drodze otwartego naboru, ogłoszonego przez beneficjenta projektu </w:t>
      </w:r>
      <w:proofErr w:type="spellStart"/>
      <w:r w:rsidRPr="00461CC4">
        <w:rPr>
          <w:rFonts w:ascii="Arial" w:hAnsi="Arial" w:cs="Arial"/>
          <w:spacing w:val="4"/>
          <w:sz w:val="20"/>
          <w:szCs w:val="20"/>
        </w:rPr>
        <w:t>grantowego.</w:t>
      </w:r>
      <w:r w:rsidR="00BF4090" w:rsidRPr="00BF4090">
        <w:rPr>
          <w:rFonts w:ascii="Arial" w:hAnsi="Arial" w:cs="Arial"/>
          <w:spacing w:val="4"/>
          <w:sz w:val="20"/>
          <w:szCs w:val="20"/>
        </w:rPr>
        <w:t>Wybór</w:t>
      </w:r>
      <w:proofErr w:type="spellEnd"/>
      <w:r w:rsidR="00BF4090" w:rsidRPr="00BF4090">
        <w:rPr>
          <w:rFonts w:ascii="Arial" w:hAnsi="Arial" w:cs="Arial"/>
          <w:spacing w:val="4"/>
          <w:sz w:val="20"/>
          <w:szCs w:val="20"/>
        </w:rPr>
        <w:t xml:space="preserve"> do dofinansowania projektów transportu miejskiego nastąpi w trybie pozakonkursowym i konkursowym. </w:t>
      </w:r>
    </w:p>
    <w:p w14:paraId="3229A24B" w14:textId="77777777" w:rsidR="00BF4090" w:rsidRPr="00BF4090" w:rsidRDefault="00BF4090" w:rsidP="00BF4090">
      <w:pPr>
        <w:spacing w:after="120"/>
        <w:jc w:val="both"/>
        <w:rPr>
          <w:rFonts w:ascii="Arial" w:hAnsi="Arial" w:cs="Arial"/>
          <w:spacing w:val="4"/>
          <w:sz w:val="20"/>
          <w:szCs w:val="20"/>
        </w:rPr>
      </w:pPr>
      <w:r w:rsidRPr="00BF4090">
        <w:rPr>
          <w:rFonts w:ascii="Arial" w:hAnsi="Arial" w:cs="Arial"/>
          <w:spacing w:val="4"/>
          <w:sz w:val="20"/>
          <w:szCs w:val="20"/>
        </w:rPr>
        <w:t xml:space="preserve">Tryb pozakonkursowy będzie stosowany wobec inwestycji uwzględnionych w ramach opracowanych przez miasta Strategii Zintegrowanych Inwestycji Terytorialnych (ZIT). Dotyczyć będzie w szczególności projektów zgłoszonych dotychczas przez miasta wojewódzkie jako potencjalne wzmocnienie efektów działań podjętych w ramach osi VI </w:t>
      </w:r>
      <w:proofErr w:type="spellStart"/>
      <w:r w:rsidRPr="00BF4090">
        <w:rPr>
          <w:rFonts w:ascii="Arial" w:hAnsi="Arial" w:cs="Arial"/>
          <w:spacing w:val="4"/>
          <w:sz w:val="20"/>
          <w:szCs w:val="20"/>
        </w:rPr>
        <w:t>POIiŚ</w:t>
      </w:r>
      <w:proofErr w:type="spellEnd"/>
      <w:r w:rsidRPr="00BF4090">
        <w:rPr>
          <w:rFonts w:ascii="Arial" w:hAnsi="Arial" w:cs="Arial"/>
          <w:spacing w:val="4"/>
          <w:sz w:val="20"/>
          <w:szCs w:val="20"/>
        </w:rPr>
        <w:t>.</w:t>
      </w:r>
    </w:p>
    <w:p w14:paraId="2FE05244" w14:textId="0243D464" w:rsidR="00BF4090" w:rsidRPr="00461CC4" w:rsidRDefault="00BF4090" w:rsidP="00BF4090">
      <w:pPr>
        <w:spacing w:after="120"/>
        <w:jc w:val="both"/>
        <w:rPr>
          <w:rFonts w:ascii="Arial" w:hAnsi="Arial" w:cs="Arial"/>
          <w:spacing w:val="4"/>
          <w:sz w:val="20"/>
          <w:szCs w:val="20"/>
        </w:rPr>
      </w:pPr>
      <w:r w:rsidRPr="00BF4090">
        <w:rPr>
          <w:rFonts w:ascii="Arial" w:hAnsi="Arial" w:cs="Arial"/>
          <w:spacing w:val="4"/>
          <w:sz w:val="20"/>
          <w:szCs w:val="20"/>
        </w:rPr>
        <w:t>Tryb konkursowy dotyczyć będzie projektów bez względu na posiadaną strategię ZIT, w tym m.in. dotyczących przygotowania Planów Zrównoważonej Mobilności Miejskiej.</w:t>
      </w:r>
    </w:p>
    <w:p w14:paraId="3272F191" w14:textId="77777777" w:rsidR="000F1ED1" w:rsidRDefault="000F1ED1" w:rsidP="000F1ED1">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Zasady </w:t>
      </w:r>
      <w:r>
        <w:rPr>
          <w:rFonts w:ascii="Arial" w:hAnsi="Arial" w:cs="Arial"/>
          <w:bCs/>
          <w:smallCaps/>
          <w:color w:val="669900"/>
          <w:spacing w:val="4"/>
          <w:sz w:val="20"/>
          <w:szCs w:val="20"/>
        </w:rPr>
        <w:t>kontroli</w:t>
      </w:r>
      <w:r w:rsidRPr="004E3242">
        <w:rPr>
          <w:rFonts w:ascii="Arial" w:hAnsi="Arial" w:cs="Arial"/>
          <w:bCs/>
          <w:smallCaps/>
          <w:color w:val="669900"/>
          <w:spacing w:val="4"/>
          <w:sz w:val="20"/>
          <w:szCs w:val="20"/>
        </w:rPr>
        <w:t xml:space="preserve"> projekt</w:t>
      </w:r>
      <w:r w:rsidR="009E25C7">
        <w:rPr>
          <w:rFonts w:ascii="Arial" w:hAnsi="Arial" w:cs="Arial"/>
          <w:bCs/>
          <w:smallCaps/>
          <w:color w:val="669900"/>
          <w:spacing w:val="4"/>
          <w:sz w:val="20"/>
          <w:szCs w:val="20"/>
        </w:rPr>
        <w:t>u g</w:t>
      </w:r>
      <w:r>
        <w:rPr>
          <w:rFonts w:ascii="Arial" w:hAnsi="Arial" w:cs="Arial"/>
          <w:bCs/>
          <w:smallCaps/>
          <w:color w:val="669900"/>
          <w:spacing w:val="4"/>
          <w:sz w:val="20"/>
          <w:szCs w:val="20"/>
        </w:rPr>
        <w:t>r</w:t>
      </w:r>
      <w:r w:rsidR="009E25C7">
        <w:rPr>
          <w:rFonts w:ascii="Arial" w:hAnsi="Arial" w:cs="Arial"/>
          <w:bCs/>
          <w:smallCaps/>
          <w:color w:val="669900"/>
          <w:spacing w:val="4"/>
          <w:sz w:val="20"/>
          <w:szCs w:val="20"/>
        </w:rPr>
        <w:t>a</w:t>
      </w:r>
      <w:r>
        <w:rPr>
          <w:rFonts w:ascii="Arial" w:hAnsi="Arial" w:cs="Arial"/>
          <w:bCs/>
          <w:smallCaps/>
          <w:color w:val="669900"/>
          <w:spacing w:val="4"/>
          <w:sz w:val="20"/>
          <w:szCs w:val="20"/>
        </w:rPr>
        <w:t>ntowego</w:t>
      </w:r>
    </w:p>
    <w:p w14:paraId="7EAA0843" w14:textId="77777777" w:rsidR="000F1ED1" w:rsidRPr="000F1ED1" w:rsidRDefault="000F1ED1" w:rsidP="009A244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Arial" w:hAnsi="Arial" w:cs="Arial"/>
          <w:color w:val="000000"/>
          <w:sz w:val="20"/>
          <w:szCs w:val="20"/>
          <w:lang w:eastAsia="pl-PL"/>
        </w:rPr>
      </w:pPr>
      <w:r w:rsidRPr="000F1ED1">
        <w:rPr>
          <w:rFonts w:ascii="Arial" w:hAnsi="Arial" w:cs="Arial"/>
          <w:color w:val="000000"/>
          <w:sz w:val="20"/>
          <w:szCs w:val="20"/>
          <w:lang w:eastAsia="pl-PL"/>
        </w:rPr>
        <w:t>Istotą kontroli zarządczych Programu „Mój prąd” jest weryfikacja, czy współfinansowane produkty i</w:t>
      </w:r>
      <w:r w:rsidR="00A065EA">
        <w:rPr>
          <w:rFonts w:ascii="Arial" w:hAnsi="Arial" w:cs="Arial"/>
          <w:color w:val="000000"/>
          <w:sz w:val="20"/>
          <w:szCs w:val="20"/>
          <w:lang w:eastAsia="pl-PL"/>
        </w:rPr>
        <w:t> </w:t>
      </w:r>
      <w:r w:rsidRPr="000F1ED1">
        <w:rPr>
          <w:rFonts w:ascii="Arial" w:hAnsi="Arial" w:cs="Arial"/>
          <w:color w:val="000000"/>
          <w:sz w:val="20"/>
          <w:szCs w:val="20"/>
          <w:lang w:eastAsia="pl-PL"/>
        </w:rPr>
        <w:t>usługi zostały faktycznie dostarczone lub wyświadczone, czy wydatki deklarowane przez beneficjentów zostały poniesione (opłacone) oraz czy spełniają one wymogi obowiązującego prawa, programu operacyjnego i warunki wsparcia operacji.</w:t>
      </w:r>
    </w:p>
    <w:p w14:paraId="5C0BE235" w14:textId="77777777" w:rsidR="000F1ED1" w:rsidRPr="000F1ED1" w:rsidRDefault="000F1ED1" w:rsidP="009A244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Arial" w:hAnsi="Arial" w:cs="Arial"/>
          <w:color w:val="000000"/>
          <w:sz w:val="20"/>
          <w:szCs w:val="20"/>
          <w:lang w:eastAsia="pl-PL"/>
        </w:rPr>
      </w:pPr>
      <w:r w:rsidRPr="000F1ED1">
        <w:rPr>
          <w:rFonts w:ascii="Arial" w:hAnsi="Arial" w:cs="Arial"/>
          <w:color w:val="000000"/>
          <w:sz w:val="20"/>
          <w:szCs w:val="20"/>
          <w:lang w:eastAsia="pl-PL"/>
        </w:rPr>
        <w:t>Kontrole obejmować będą:</w:t>
      </w:r>
    </w:p>
    <w:p w14:paraId="4EF1EC6F" w14:textId="77777777" w:rsidR="000F1ED1" w:rsidRPr="000F1ED1" w:rsidRDefault="000F1ED1" w:rsidP="009A2445">
      <w:pPr>
        <w:numPr>
          <w:ilvl w:val="1"/>
          <w:numId w:val="85"/>
        </w:numPr>
        <w:tabs>
          <w:tab w:val="left" w:pos="-720"/>
          <w:tab w:val="left" w:pos="0"/>
          <w:tab w:val="left" w:pos="567"/>
          <w:tab w:val="left" w:pos="1440"/>
          <w:tab w:val="left" w:pos="2160"/>
          <w:tab w:val="left" w:pos="2880"/>
          <w:tab w:val="left" w:pos="3600"/>
          <w:tab w:val="left" w:pos="4320"/>
        </w:tabs>
        <w:autoSpaceDE w:val="0"/>
        <w:autoSpaceDN w:val="0"/>
        <w:adjustRightInd w:val="0"/>
        <w:spacing w:after="120" w:line="240" w:lineRule="auto"/>
        <w:ind w:left="567" w:hanging="294"/>
        <w:jc w:val="both"/>
        <w:rPr>
          <w:rFonts w:ascii="Arial" w:hAnsi="Arial" w:cs="Arial"/>
          <w:color w:val="000000"/>
          <w:sz w:val="20"/>
          <w:szCs w:val="20"/>
          <w:lang w:eastAsia="pl-PL"/>
        </w:rPr>
      </w:pPr>
      <w:r w:rsidRPr="000F1ED1">
        <w:rPr>
          <w:rFonts w:ascii="Arial" w:hAnsi="Arial" w:cs="Arial"/>
          <w:color w:val="000000"/>
          <w:sz w:val="20"/>
          <w:szCs w:val="20"/>
          <w:lang w:eastAsia="pl-PL"/>
        </w:rPr>
        <w:t xml:space="preserve">weryfikacje administracyjne (tj. kontrole na dokumentach) w odniesieniu do składanych przez beneficjenta projektu grantowego (NFOŚiGW) wniosków o płatność oraz </w:t>
      </w:r>
    </w:p>
    <w:p w14:paraId="32084EB8" w14:textId="77777777" w:rsidR="000F1ED1" w:rsidRPr="000F1ED1" w:rsidRDefault="000F1ED1" w:rsidP="009A2445">
      <w:pPr>
        <w:numPr>
          <w:ilvl w:val="1"/>
          <w:numId w:val="85"/>
        </w:numPr>
        <w:tabs>
          <w:tab w:val="left" w:pos="-720"/>
          <w:tab w:val="left" w:pos="0"/>
          <w:tab w:val="left" w:pos="567"/>
          <w:tab w:val="left" w:pos="1440"/>
          <w:tab w:val="left" w:pos="2160"/>
          <w:tab w:val="left" w:pos="2880"/>
          <w:tab w:val="left" w:pos="3600"/>
          <w:tab w:val="left" w:pos="4320"/>
        </w:tabs>
        <w:autoSpaceDE w:val="0"/>
        <w:autoSpaceDN w:val="0"/>
        <w:adjustRightInd w:val="0"/>
        <w:spacing w:after="120" w:line="240" w:lineRule="auto"/>
        <w:ind w:left="567" w:hanging="294"/>
        <w:jc w:val="both"/>
        <w:rPr>
          <w:rFonts w:ascii="Arial" w:hAnsi="Arial" w:cs="Arial"/>
          <w:color w:val="000000"/>
          <w:sz w:val="20"/>
          <w:szCs w:val="20"/>
          <w:lang w:eastAsia="pl-PL"/>
        </w:rPr>
      </w:pPr>
      <w:r w:rsidRPr="000F1ED1">
        <w:rPr>
          <w:rFonts w:ascii="Arial" w:hAnsi="Arial" w:cs="Arial"/>
          <w:color w:val="000000"/>
          <w:sz w:val="20"/>
          <w:szCs w:val="20"/>
          <w:lang w:eastAsia="pl-PL"/>
        </w:rPr>
        <w:t xml:space="preserve">kontrole operacji na miejscu, prowadzone zarówno u beneficjenta grantu, jak i u ostatecznego odbiorcy. </w:t>
      </w:r>
    </w:p>
    <w:p w14:paraId="03C0AE02" w14:textId="77777777" w:rsidR="000F1ED1" w:rsidRPr="000F1ED1" w:rsidRDefault="000F1ED1" w:rsidP="009A244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Arial" w:hAnsi="Arial" w:cs="Arial"/>
          <w:color w:val="000000"/>
          <w:sz w:val="20"/>
          <w:szCs w:val="20"/>
          <w:lang w:eastAsia="pl-PL"/>
        </w:rPr>
      </w:pPr>
      <w:r w:rsidRPr="000F1ED1">
        <w:rPr>
          <w:rFonts w:ascii="Arial" w:hAnsi="Arial" w:cs="Arial"/>
          <w:color w:val="000000"/>
          <w:sz w:val="20"/>
          <w:szCs w:val="20"/>
          <w:lang w:eastAsia="pl-PL"/>
        </w:rPr>
        <w:t>Należy podkreślić, że system kontroli Programu „Mój prąd” zakłada konieczność sprawdzenia na miejscu faktycznego funkcjonowania instalacji/urządzeń, niezależnie od prowadzonego przez beneficjenta grantu bieżącego monitoringu,</w:t>
      </w:r>
      <w:r w:rsidRPr="000F1ED1">
        <w:rPr>
          <w:rFonts w:ascii="Arial" w:hAnsi="Arial" w:cs="Arial"/>
          <w:color w:val="0000FF"/>
          <w:sz w:val="20"/>
          <w:szCs w:val="20"/>
          <w:lang w:eastAsia="pl-PL"/>
        </w:rPr>
        <w:t xml:space="preserve"> </w:t>
      </w:r>
      <w:r w:rsidRPr="000F1ED1">
        <w:rPr>
          <w:rFonts w:ascii="Arial" w:hAnsi="Arial" w:cs="Arial"/>
          <w:color w:val="000000"/>
          <w:sz w:val="20"/>
          <w:szCs w:val="20"/>
          <w:lang w:eastAsia="pl-PL"/>
        </w:rPr>
        <w:t xml:space="preserve">weryfikacji dokumentów i kontroli realizacji zadań przez </w:t>
      </w:r>
      <w:proofErr w:type="spellStart"/>
      <w:r w:rsidRPr="000F1ED1">
        <w:rPr>
          <w:rFonts w:ascii="Arial" w:hAnsi="Arial" w:cs="Arial"/>
          <w:color w:val="000000"/>
          <w:sz w:val="20"/>
          <w:szCs w:val="20"/>
          <w:lang w:eastAsia="pl-PL"/>
        </w:rPr>
        <w:t>grantobiorców</w:t>
      </w:r>
      <w:proofErr w:type="spellEnd"/>
      <w:r w:rsidRPr="000F1ED1">
        <w:rPr>
          <w:rFonts w:ascii="Arial" w:hAnsi="Arial" w:cs="Arial"/>
          <w:color w:val="000000"/>
          <w:sz w:val="20"/>
          <w:szCs w:val="20"/>
          <w:lang w:eastAsia="pl-PL"/>
        </w:rPr>
        <w:t xml:space="preserve">. </w:t>
      </w:r>
    </w:p>
    <w:p w14:paraId="11E028F1" w14:textId="77777777" w:rsidR="000F1ED1" w:rsidRPr="000F1ED1" w:rsidRDefault="000F1ED1" w:rsidP="009A244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Arial" w:hAnsi="Arial" w:cs="Arial"/>
          <w:color w:val="000000"/>
          <w:sz w:val="20"/>
          <w:szCs w:val="20"/>
          <w:lang w:eastAsia="pl-PL"/>
        </w:rPr>
      </w:pPr>
      <w:r w:rsidRPr="000F1ED1">
        <w:rPr>
          <w:rFonts w:ascii="Arial" w:hAnsi="Arial" w:cs="Arial"/>
          <w:color w:val="000000"/>
          <w:sz w:val="20"/>
          <w:szCs w:val="20"/>
          <w:lang w:eastAsia="pl-PL"/>
        </w:rPr>
        <w:t>W ramach weryfikacji administracyjnych kontroli podlegać będzie 100% wniosków o płatność.</w:t>
      </w:r>
    </w:p>
    <w:p w14:paraId="5F8F7174" w14:textId="77777777" w:rsidR="000F1ED1" w:rsidRPr="000F1ED1" w:rsidRDefault="000F1ED1" w:rsidP="009A244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Arial" w:hAnsi="Arial" w:cs="Arial"/>
          <w:color w:val="000000"/>
          <w:sz w:val="20"/>
          <w:szCs w:val="20"/>
          <w:lang w:eastAsia="pl-PL"/>
        </w:rPr>
      </w:pPr>
      <w:r w:rsidRPr="000F1ED1">
        <w:rPr>
          <w:rFonts w:ascii="Arial" w:hAnsi="Arial" w:cs="Arial"/>
          <w:color w:val="000000"/>
          <w:sz w:val="20"/>
          <w:szCs w:val="20"/>
          <w:lang w:eastAsia="pl-PL"/>
        </w:rPr>
        <w:lastRenderedPageBreak/>
        <w:t xml:space="preserve">Kontrola na miejscu realizowana będzie na próbie, zgodnie z zaakceptowaną przez IZ metodyką wyboru. </w:t>
      </w:r>
    </w:p>
    <w:p w14:paraId="1D00490F" w14:textId="77777777" w:rsidR="000F1ED1" w:rsidRPr="000F1ED1" w:rsidRDefault="000F1ED1" w:rsidP="009A244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Arial" w:hAnsi="Arial" w:cs="Arial"/>
          <w:color w:val="000000"/>
          <w:sz w:val="20"/>
          <w:szCs w:val="20"/>
          <w:lang w:eastAsia="pl-PL"/>
        </w:rPr>
      </w:pPr>
      <w:r w:rsidRPr="000F1ED1">
        <w:rPr>
          <w:rFonts w:ascii="Arial" w:hAnsi="Arial" w:cs="Arial"/>
          <w:color w:val="000000"/>
          <w:sz w:val="20"/>
          <w:szCs w:val="20"/>
          <w:lang w:eastAsia="pl-PL"/>
        </w:rPr>
        <w:t xml:space="preserve">System kontroli Programu „Mój prąd” zostanie szczegółowo zaplanowany z uwzględnieniem wytycznych KE dla Państw członkowskich dotyczących kontroli zarządczych (okres programowania 2014–2020) oraz w oparciu o zasady określone w Wytycznych w zakresie kontroli realizacji programów operacyjnych na lata 2014-2020 i Zaleceniach dla instytucji zaangażowanych w realizację PO </w:t>
      </w:r>
      <w:proofErr w:type="spellStart"/>
      <w:r w:rsidRPr="000F1ED1">
        <w:rPr>
          <w:rFonts w:ascii="Arial" w:hAnsi="Arial" w:cs="Arial"/>
          <w:color w:val="000000"/>
          <w:sz w:val="20"/>
          <w:szCs w:val="20"/>
          <w:lang w:eastAsia="pl-PL"/>
        </w:rPr>
        <w:t>IiŚ</w:t>
      </w:r>
      <w:proofErr w:type="spellEnd"/>
      <w:r w:rsidRPr="000F1ED1">
        <w:rPr>
          <w:rFonts w:ascii="Arial" w:hAnsi="Arial" w:cs="Arial"/>
          <w:color w:val="000000"/>
          <w:sz w:val="20"/>
          <w:szCs w:val="20"/>
          <w:lang w:eastAsia="pl-PL"/>
        </w:rPr>
        <w:t xml:space="preserve"> 2014-2020 w zakresie procedur kontrolnych i systemu rocznych rozliczeń.</w:t>
      </w:r>
    </w:p>
    <w:p w14:paraId="2EFF76BA" w14:textId="77777777" w:rsidR="000F1ED1" w:rsidRPr="000F1ED1" w:rsidRDefault="000F1ED1" w:rsidP="009A2445">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Arial" w:hAnsi="Arial" w:cs="Arial"/>
          <w:color w:val="000000"/>
          <w:sz w:val="20"/>
          <w:szCs w:val="20"/>
          <w:lang w:eastAsia="pl-PL"/>
        </w:rPr>
      </w:pPr>
      <w:r w:rsidRPr="000F1ED1">
        <w:rPr>
          <w:rFonts w:ascii="Arial" w:hAnsi="Arial" w:cs="Arial"/>
          <w:color w:val="000000"/>
          <w:sz w:val="20"/>
          <w:szCs w:val="20"/>
          <w:lang w:eastAsia="pl-PL"/>
        </w:rPr>
        <w:t xml:space="preserve">Zadania w zakresie kontroli </w:t>
      </w:r>
      <w:r w:rsidR="002A4858">
        <w:rPr>
          <w:rFonts w:ascii="Arial" w:hAnsi="Arial" w:cs="Arial"/>
          <w:color w:val="000000"/>
          <w:sz w:val="20"/>
          <w:szCs w:val="20"/>
          <w:lang w:eastAsia="pl-PL"/>
        </w:rPr>
        <w:t>projektu</w:t>
      </w:r>
      <w:r w:rsidRPr="000F1ED1">
        <w:rPr>
          <w:rFonts w:ascii="Arial" w:hAnsi="Arial" w:cs="Arial"/>
          <w:color w:val="000000"/>
          <w:sz w:val="20"/>
          <w:szCs w:val="20"/>
          <w:lang w:eastAsia="pl-PL"/>
        </w:rPr>
        <w:t xml:space="preserve"> będą realizowane przez właściwą IP zaangażowaną w realizację priorytetu.</w:t>
      </w:r>
    </w:p>
    <w:p w14:paraId="197A92D7" w14:textId="77777777" w:rsidR="000F1ED1" w:rsidRDefault="000F1ED1" w:rsidP="00B93CF8">
      <w:pPr>
        <w:spacing w:before="120" w:after="120"/>
        <w:jc w:val="both"/>
        <w:rPr>
          <w:rFonts w:ascii="Arial" w:hAnsi="Arial" w:cs="Arial"/>
          <w:bCs/>
          <w:smallCaps/>
          <w:color w:val="669900"/>
          <w:spacing w:val="4"/>
          <w:sz w:val="20"/>
          <w:szCs w:val="20"/>
        </w:rPr>
      </w:pPr>
    </w:p>
    <w:p w14:paraId="0E6010B5" w14:textId="77777777" w:rsidR="004D5675" w:rsidRDefault="004D5675" w:rsidP="004D5675">
      <w:pPr>
        <w:autoSpaceDE w:val="0"/>
        <w:autoSpaceDN w:val="0"/>
        <w:adjustRightInd w:val="0"/>
        <w:spacing w:before="120" w:after="120"/>
        <w:jc w:val="both"/>
        <w:rPr>
          <w:rFonts w:ascii="Arial" w:hAnsi="Arial" w:cs="Arial"/>
          <w:spacing w:val="4"/>
          <w:sz w:val="20"/>
          <w:szCs w:val="20"/>
        </w:rPr>
      </w:pPr>
      <w:r>
        <w:rPr>
          <w:rFonts w:ascii="Arial" w:hAnsi="Arial" w:cs="Arial"/>
          <w:spacing w:val="4"/>
          <w:sz w:val="20"/>
          <w:szCs w:val="20"/>
        </w:rPr>
        <w:t xml:space="preserve">W ramach sektora energetyki </w:t>
      </w:r>
      <w:r>
        <w:rPr>
          <w:rFonts w:ascii="Arial" w:hAnsi="Arial" w:cs="Arial"/>
          <w:color w:val="000000"/>
          <w:sz w:val="20"/>
          <w:szCs w:val="20"/>
          <w:lang w:eastAsia="pl-PL"/>
        </w:rPr>
        <w:t>w ramach wdrażania osi priorytetowej XI (projekt grantowy)</w:t>
      </w:r>
      <w:r>
        <w:rPr>
          <w:rFonts w:ascii="Arial" w:hAnsi="Arial" w:cs="Arial"/>
          <w:spacing w:val="4"/>
          <w:sz w:val="20"/>
          <w:szCs w:val="20"/>
        </w:rPr>
        <w:t xml:space="preserve"> IP będzie dążyć do zapewnienia odpowiedniej rozdzielności funkcji na dwóch poziomach:</w:t>
      </w:r>
    </w:p>
    <w:p w14:paraId="166DB7FD" w14:textId="77777777" w:rsidR="004D5675" w:rsidRDefault="004D5675" w:rsidP="004D5675">
      <w:pPr>
        <w:autoSpaceDE w:val="0"/>
        <w:autoSpaceDN w:val="0"/>
        <w:adjustRightInd w:val="0"/>
        <w:spacing w:before="120" w:after="120"/>
        <w:jc w:val="both"/>
        <w:rPr>
          <w:rFonts w:ascii="Arial" w:hAnsi="Arial" w:cs="Arial"/>
          <w:spacing w:val="4"/>
          <w:sz w:val="20"/>
          <w:szCs w:val="20"/>
        </w:rPr>
      </w:pPr>
      <w:r>
        <w:rPr>
          <w:rFonts w:ascii="Arial" w:hAnsi="Arial" w:cs="Arial"/>
          <w:spacing w:val="4"/>
          <w:sz w:val="20"/>
          <w:szCs w:val="20"/>
        </w:rPr>
        <w:t xml:space="preserve">- w ramach </w:t>
      </w:r>
      <w:r>
        <w:rPr>
          <w:rFonts w:ascii="Arial" w:hAnsi="Arial" w:cs="Arial"/>
          <w:color w:val="000000"/>
          <w:sz w:val="20"/>
          <w:szCs w:val="20"/>
          <w:lang w:eastAsia="pl-PL"/>
        </w:rPr>
        <w:t xml:space="preserve">struktury organizacyjnej oraz procedur </w:t>
      </w:r>
      <w:r>
        <w:rPr>
          <w:rFonts w:ascii="Arial" w:hAnsi="Arial" w:cs="Arial"/>
          <w:spacing w:val="4"/>
          <w:sz w:val="20"/>
          <w:szCs w:val="20"/>
        </w:rPr>
        <w:t xml:space="preserve">IP zostanie zapewniona rozdzielność funkcji kontrolnych </w:t>
      </w:r>
      <w:r>
        <w:rPr>
          <w:rFonts w:ascii="Arial" w:hAnsi="Arial" w:cs="Arial"/>
          <w:color w:val="000000"/>
          <w:sz w:val="20"/>
          <w:szCs w:val="20"/>
          <w:lang w:eastAsia="pl-PL"/>
        </w:rPr>
        <w:t>(kontrole projektu, weryfikacja wniosków o płatność) i funkcji zarządczych (z uwzględnieniem w szczególności procesów oceny wniosku o dofinansowanie i wyboru projektu, zawierania i rozwiązywania umowy o dofinansowanie);</w:t>
      </w:r>
    </w:p>
    <w:p w14:paraId="0A381C49" w14:textId="77777777" w:rsidR="004D5675" w:rsidRDefault="004D5675" w:rsidP="004D5675">
      <w:pPr>
        <w:autoSpaceDE w:val="0"/>
        <w:autoSpaceDN w:val="0"/>
        <w:adjustRightInd w:val="0"/>
        <w:spacing w:before="120" w:after="120"/>
        <w:jc w:val="both"/>
        <w:rPr>
          <w:rFonts w:ascii="Arial" w:hAnsi="Arial" w:cs="Arial"/>
          <w:spacing w:val="4"/>
          <w:sz w:val="20"/>
          <w:szCs w:val="20"/>
        </w:rPr>
      </w:pPr>
      <w:r>
        <w:rPr>
          <w:rFonts w:ascii="Arial" w:hAnsi="Arial" w:cs="Arial"/>
          <w:spacing w:val="4"/>
          <w:sz w:val="20"/>
          <w:szCs w:val="20"/>
        </w:rPr>
        <w:t xml:space="preserve">- w ramach </w:t>
      </w:r>
      <w:r>
        <w:rPr>
          <w:rFonts w:ascii="Arial" w:hAnsi="Arial" w:cs="Arial"/>
          <w:color w:val="000000"/>
          <w:sz w:val="20"/>
          <w:szCs w:val="20"/>
          <w:lang w:eastAsia="pl-PL"/>
        </w:rPr>
        <w:t xml:space="preserve">struktury organizacyjnej oraz procedur </w:t>
      </w:r>
      <w:r>
        <w:rPr>
          <w:rFonts w:ascii="Arial" w:hAnsi="Arial" w:cs="Arial"/>
          <w:spacing w:val="4"/>
          <w:sz w:val="20"/>
          <w:szCs w:val="20"/>
        </w:rPr>
        <w:t xml:space="preserve">beneficjenta projektu grantowego </w:t>
      </w:r>
      <w:r w:rsidR="00C320AF">
        <w:rPr>
          <w:rFonts w:ascii="Arial" w:hAnsi="Arial" w:cs="Arial"/>
          <w:spacing w:val="4"/>
          <w:sz w:val="20"/>
          <w:szCs w:val="20"/>
        </w:rPr>
        <w:t xml:space="preserve">zostanie </w:t>
      </w:r>
      <w:r>
        <w:rPr>
          <w:rFonts w:ascii="Arial" w:hAnsi="Arial" w:cs="Arial"/>
          <w:spacing w:val="4"/>
          <w:sz w:val="20"/>
          <w:szCs w:val="20"/>
        </w:rPr>
        <w:t xml:space="preserve">zapewniona rozdzielność funkcji w zakresie procesów </w:t>
      </w:r>
      <w:r>
        <w:rPr>
          <w:rFonts w:ascii="Arial" w:hAnsi="Arial" w:cs="Arial"/>
          <w:color w:val="000000"/>
          <w:sz w:val="20"/>
          <w:szCs w:val="20"/>
          <w:lang w:eastAsia="pl-PL"/>
        </w:rPr>
        <w:t xml:space="preserve">wyboru </w:t>
      </w:r>
      <w:proofErr w:type="spellStart"/>
      <w:r>
        <w:rPr>
          <w:rFonts w:ascii="Arial" w:hAnsi="Arial" w:cs="Arial"/>
          <w:color w:val="000000"/>
          <w:sz w:val="20"/>
          <w:szCs w:val="20"/>
          <w:lang w:eastAsia="pl-PL"/>
        </w:rPr>
        <w:t>grantobiorców</w:t>
      </w:r>
      <w:proofErr w:type="spellEnd"/>
      <w:r>
        <w:rPr>
          <w:rFonts w:ascii="Arial" w:hAnsi="Arial" w:cs="Arial"/>
          <w:color w:val="000000"/>
          <w:sz w:val="20"/>
          <w:szCs w:val="20"/>
          <w:lang w:eastAsia="pl-PL"/>
        </w:rPr>
        <w:t>, zawierania umów o powierzeniu grantu od procesów rozliczania projektów.</w:t>
      </w:r>
    </w:p>
    <w:p w14:paraId="25A1D8EA" w14:textId="77777777" w:rsidR="004D5675" w:rsidRDefault="004D5675" w:rsidP="004D5675">
      <w:pPr>
        <w:autoSpaceDE w:val="0"/>
        <w:autoSpaceDN w:val="0"/>
        <w:adjustRightInd w:val="0"/>
        <w:spacing w:before="120" w:after="120"/>
        <w:jc w:val="both"/>
        <w:rPr>
          <w:rFonts w:ascii="Arial" w:hAnsi="Arial" w:cs="Arial"/>
          <w:spacing w:val="4"/>
          <w:sz w:val="20"/>
          <w:szCs w:val="20"/>
        </w:rPr>
      </w:pPr>
      <w:r>
        <w:rPr>
          <w:rFonts w:ascii="Arial" w:hAnsi="Arial" w:cs="Arial"/>
          <w:spacing w:val="4"/>
          <w:sz w:val="20"/>
          <w:szCs w:val="20"/>
        </w:rPr>
        <w:t xml:space="preserve">Szczegółowe rozwiązania </w:t>
      </w:r>
      <w:proofErr w:type="spellStart"/>
      <w:r>
        <w:rPr>
          <w:rFonts w:ascii="Arial" w:hAnsi="Arial" w:cs="Arial"/>
          <w:spacing w:val="4"/>
          <w:sz w:val="20"/>
          <w:szCs w:val="20"/>
        </w:rPr>
        <w:t>bedą</w:t>
      </w:r>
      <w:proofErr w:type="spellEnd"/>
      <w:r>
        <w:rPr>
          <w:rFonts w:ascii="Arial" w:hAnsi="Arial" w:cs="Arial"/>
          <w:spacing w:val="4"/>
          <w:sz w:val="20"/>
          <w:szCs w:val="20"/>
        </w:rPr>
        <w:t xml:space="preserve"> zawarte oraz aktualizowane m.in. w Opisie Funkcji i Procedur oraz w </w:t>
      </w:r>
      <w:r>
        <w:rPr>
          <w:rFonts w:ascii="Arial" w:hAnsi="Arial" w:cs="Arial"/>
          <w:color w:val="000000"/>
          <w:sz w:val="20"/>
          <w:szCs w:val="20"/>
          <w:lang w:eastAsia="pl-PL"/>
        </w:rPr>
        <w:t>Instrukcji wykonawczej IP i procedurach beneficjenta dotyczących realizacji projektu grantowego</w:t>
      </w:r>
      <w:r w:rsidR="000C7CE6">
        <w:rPr>
          <w:rFonts w:ascii="Arial" w:hAnsi="Arial" w:cs="Arial"/>
          <w:color w:val="000000"/>
          <w:sz w:val="20"/>
          <w:szCs w:val="20"/>
          <w:lang w:eastAsia="pl-PL"/>
        </w:rPr>
        <w:t>.</w:t>
      </w:r>
    </w:p>
    <w:p w14:paraId="4D0B4BEB" w14:textId="77777777" w:rsidR="004D5675" w:rsidRDefault="004D5675" w:rsidP="00B93CF8">
      <w:pPr>
        <w:spacing w:before="120" w:after="120"/>
        <w:jc w:val="both"/>
        <w:rPr>
          <w:rFonts w:ascii="Arial" w:hAnsi="Arial" w:cs="Arial"/>
          <w:bCs/>
          <w:smallCaps/>
          <w:color w:val="669900"/>
          <w:spacing w:val="4"/>
          <w:sz w:val="20"/>
          <w:szCs w:val="20"/>
        </w:rPr>
      </w:pPr>
    </w:p>
    <w:p w14:paraId="456C5814" w14:textId="77777777" w:rsidR="00B93CF8" w:rsidRPr="004E3242" w:rsidRDefault="00B93CF8" w:rsidP="00B93CF8">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Zakres wykorzystania instrumentów finansowych</w:t>
      </w:r>
    </w:p>
    <w:p w14:paraId="687BCBB5" w14:textId="77777777" w:rsidR="00B93CF8" w:rsidRDefault="00B93CF8" w:rsidP="00B93CF8">
      <w:pPr>
        <w:spacing w:before="120" w:after="120"/>
        <w:jc w:val="both"/>
        <w:rPr>
          <w:rFonts w:ascii="Arial" w:hAnsi="Arial" w:cs="Arial"/>
          <w:bCs/>
          <w:spacing w:val="4"/>
          <w:sz w:val="20"/>
          <w:szCs w:val="20"/>
        </w:rPr>
      </w:pPr>
      <w:r w:rsidRPr="004E3242">
        <w:rPr>
          <w:rFonts w:ascii="Arial" w:hAnsi="Arial" w:cs="Arial"/>
          <w:bCs/>
          <w:spacing w:val="4"/>
          <w:sz w:val="20"/>
          <w:szCs w:val="20"/>
        </w:rPr>
        <w:t>W ramach priorytetu inwestycyjnego nie przewiduje się wsparcia w formie instrumentów finansowych.</w:t>
      </w:r>
    </w:p>
    <w:p w14:paraId="7042D3CA" w14:textId="77777777" w:rsidR="00BF569D" w:rsidRPr="004E3242" w:rsidRDefault="00BF569D" w:rsidP="00B93CF8">
      <w:pPr>
        <w:spacing w:before="120" w:after="120"/>
        <w:jc w:val="both"/>
        <w:rPr>
          <w:rFonts w:ascii="Arial" w:hAnsi="Arial" w:cs="Arial"/>
          <w:bCs/>
          <w:spacing w:val="4"/>
          <w:sz w:val="20"/>
          <w:szCs w:val="20"/>
        </w:rPr>
      </w:pPr>
      <w:r w:rsidRPr="004E3242">
        <w:rPr>
          <w:rFonts w:ascii="Arial" w:hAnsi="Arial" w:cs="Arial"/>
          <w:sz w:val="20"/>
          <w:szCs w:val="20"/>
        </w:rPr>
        <w:t xml:space="preserve">Priorytet </w:t>
      </w:r>
      <w:r>
        <w:rPr>
          <w:rFonts w:ascii="Arial" w:hAnsi="Arial" w:cs="Arial"/>
          <w:sz w:val="20"/>
          <w:szCs w:val="20"/>
        </w:rPr>
        <w:t xml:space="preserve">nie </w:t>
      </w:r>
      <w:r w:rsidRPr="004E3242">
        <w:rPr>
          <w:rFonts w:ascii="Arial" w:hAnsi="Arial" w:cs="Arial"/>
          <w:sz w:val="20"/>
          <w:szCs w:val="20"/>
        </w:rPr>
        <w:t>jest objęty zasadami pomocy publicznej</w:t>
      </w:r>
      <w:r w:rsidR="000C7CE6">
        <w:rPr>
          <w:rFonts w:ascii="Arial" w:hAnsi="Arial" w:cs="Arial"/>
          <w:sz w:val="20"/>
          <w:szCs w:val="20"/>
        </w:rPr>
        <w:t>.</w:t>
      </w:r>
    </w:p>
    <w:p w14:paraId="4EC3E1F2" w14:textId="77777777" w:rsidR="00B93CF8" w:rsidRPr="004E3242" w:rsidRDefault="00B93CF8" w:rsidP="00B93CF8">
      <w:pPr>
        <w:widowControl w:val="0"/>
        <w:autoSpaceDE w:val="0"/>
        <w:autoSpaceDN w:val="0"/>
        <w:adjustRightInd w:val="0"/>
        <w:spacing w:before="120" w:after="120"/>
        <w:jc w:val="both"/>
        <w:rPr>
          <w:rFonts w:ascii="Arial" w:hAnsi="Arial" w:cs="Arial"/>
          <w:sz w:val="20"/>
          <w:szCs w:val="20"/>
        </w:rPr>
      </w:pPr>
    </w:p>
    <w:p w14:paraId="4BBFDA9A" w14:textId="77777777" w:rsidR="00B93CF8" w:rsidRPr="004E3242" w:rsidRDefault="00B93CF8" w:rsidP="00B93CF8">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Wpływ dużych projektów na realizację celów osi priorytetowej</w:t>
      </w:r>
    </w:p>
    <w:p w14:paraId="1A32300C" w14:textId="77777777" w:rsidR="002A4ABB" w:rsidRDefault="00555975" w:rsidP="002A4ABB">
      <w:pPr>
        <w:spacing w:after="120"/>
        <w:jc w:val="both"/>
      </w:pPr>
      <w:r>
        <w:rPr>
          <w:rFonts w:ascii="Arial" w:hAnsi="Arial" w:cs="Arial"/>
          <w:sz w:val="20"/>
          <w:szCs w:val="20"/>
        </w:rPr>
        <w:t>W ramach osi priorytetowej</w:t>
      </w:r>
      <w:r w:rsidR="00293A03">
        <w:rPr>
          <w:rFonts w:ascii="Arial" w:hAnsi="Arial" w:cs="Arial"/>
          <w:sz w:val="20"/>
          <w:szCs w:val="20"/>
        </w:rPr>
        <w:t xml:space="preserve"> w obszarze energetyki</w:t>
      </w:r>
      <w:r>
        <w:rPr>
          <w:rFonts w:ascii="Arial" w:hAnsi="Arial" w:cs="Arial"/>
          <w:sz w:val="20"/>
          <w:szCs w:val="20"/>
        </w:rPr>
        <w:t xml:space="preserve"> </w:t>
      </w:r>
      <w:r w:rsidR="002A4ABB" w:rsidRPr="004E3242">
        <w:rPr>
          <w:rFonts w:ascii="Arial" w:hAnsi="Arial" w:cs="Arial"/>
          <w:spacing w:val="4"/>
          <w:sz w:val="20"/>
          <w:szCs w:val="20"/>
        </w:rPr>
        <w:t>nie można wykluczyć, że projek</w:t>
      </w:r>
      <w:r w:rsidR="002A4ABB">
        <w:rPr>
          <w:rFonts w:ascii="Arial" w:hAnsi="Arial" w:cs="Arial"/>
          <w:spacing w:val="4"/>
          <w:sz w:val="20"/>
          <w:szCs w:val="20"/>
        </w:rPr>
        <w:t xml:space="preserve">ty duże, </w:t>
      </w:r>
      <w:r w:rsidR="002A4ABB" w:rsidRPr="004E3242">
        <w:rPr>
          <w:rFonts w:ascii="Arial" w:hAnsi="Arial" w:cs="Arial"/>
          <w:spacing w:val="4"/>
          <w:sz w:val="20"/>
          <w:szCs w:val="20"/>
        </w:rPr>
        <w:t>zgodnie z art. 100 rozporządzenia ogólnego</w:t>
      </w:r>
      <w:r w:rsidR="002A4ABB">
        <w:rPr>
          <w:rFonts w:ascii="Arial" w:hAnsi="Arial" w:cs="Arial"/>
          <w:spacing w:val="4"/>
          <w:sz w:val="20"/>
          <w:szCs w:val="20"/>
        </w:rPr>
        <w:t xml:space="preserve">, zostaną zidentyfikowane. </w:t>
      </w:r>
    </w:p>
    <w:p w14:paraId="1269F7A1" w14:textId="77777777" w:rsidR="002A4ABB" w:rsidRPr="005C1EA9" w:rsidRDefault="002A4ABB" w:rsidP="005C1EA9">
      <w:pPr>
        <w:spacing w:after="120"/>
        <w:jc w:val="both"/>
        <w:rPr>
          <w:rFonts w:ascii="Arial" w:hAnsi="Arial" w:cs="Arial"/>
          <w:sz w:val="20"/>
          <w:szCs w:val="20"/>
        </w:rPr>
      </w:pPr>
    </w:p>
    <w:p w14:paraId="064DA8F8" w14:textId="77777777" w:rsidR="005C1EA9" w:rsidRDefault="00B93CF8" w:rsidP="00B93CF8">
      <w:pPr>
        <w:spacing w:before="120" w:after="120"/>
        <w:jc w:val="both"/>
        <w:rPr>
          <w:rFonts w:ascii="Arial" w:hAnsi="Arial" w:cs="Arial"/>
          <w:bCs/>
          <w:smallCaps/>
          <w:color w:val="669900"/>
          <w:spacing w:val="4"/>
          <w:sz w:val="20"/>
          <w:szCs w:val="20"/>
        </w:rPr>
      </w:pPr>
      <w:r w:rsidRPr="00B93CF8">
        <w:rPr>
          <w:rFonts w:ascii="Arial" w:hAnsi="Arial" w:cs="Arial"/>
          <w:bCs/>
          <w:smallCaps/>
          <w:color w:val="669900"/>
          <w:spacing w:val="4"/>
          <w:sz w:val="20"/>
          <w:szCs w:val="20"/>
        </w:rPr>
        <w:t>Kategorie interwencji (EUR)</w:t>
      </w:r>
    </w:p>
    <w:p w14:paraId="6C57DE86" w14:textId="77777777" w:rsidR="00ED68D5" w:rsidRPr="004E3242" w:rsidRDefault="00ED68D5" w:rsidP="00ED68D5">
      <w:pPr>
        <w:spacing w:after="120" w:line="280" w:lineRule="atLeast"/>
        <w:jc w:val="both"/>
        <w:rPr>
          <w:rFonts w:ascii="Arial" w:hAnsi="Arial" w:cs="Arial"/>
          <w:bCs/>
          <w:i/>
          <w:iCs/>
          <w:color w:val="808000"/>
          <w:spacing w:val="4"/>
          <w:sz w:val="20"/>
          <w:szCs w:val="20"/>
        </w:rPr>
      </w:pPr>
    </w:p>
    <w:tbl>
      <w:tblPr>
        <w:tblW w:w="4973"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17"/>
        <w:gridCol w:w="1278"/>
        <w:gridCol w:w="318"/>
        <w:gridCol w:w="813"/>
        <w:gridCol w:w="1129"/>
        <w:gridCol w:w="244"/>
        <w:gridCol w:w="754"/>
        <w:gridCol w:w="1271"/>
        <w:gridCol w:w="320"/>
        <w:gridCol w:w="724"/>
        <w:gridCol w:w="1568"/>
      </w:tblGrid>
      <w:tr w:rsidR="00ED68D5" w:rsidRPr="004E3242" w14:paraId="437A621A" w14:textId="77777777" w:rsidTr="00ED68D5">
        <w:trPr>
          <w:trHeight w:val="210"/>
        </w:trPr>
        <w:tc>
          <w:tcPr>
            <w:tcW w:w="1134" w:type="pct"/>
            <w:gridSpan w:val="2"/>
            <w:shd w:val="clear" w:color="auto" w:fill="99CC00"/>
            <w:vAlign w:val="center"/>
          </w:tcPr>
          <w:p w14:paraId="0200AFDF"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Obszar interwencji</w:t>
            </w:r>
          </w:p>
        </w:tc>
        <w:tc>
          <w:tcPr>
            <w:tcW w:w="172" w:type="pct"/>
            <w:shd w:val="clear" w:color="auto" w:fill="FFFFFF"/>
          </w:tcPr>
          <w:p w14:paraId="6F67B4C8" w14:textId="77777777" w:rsidR="00ED68D5" w:rsidRPr="004E3242" w:rsidRDefault="00ED68D5" w:rsidP="00EB5A30">
            <w:pPr>
              <w:spacing w:before="60" w:after="60" w:line="240" w:lineRule="auto"/>
              <w:jc w:val="center"/>
              <w:rPr>
                <w:rFonts w:ascii="Arial" w:hAnsi="Arial" w:cs="Arial"/>
                <w:color w:val="FFFFFF"/>
                <w:sz w:val="16"/>
                <w:szCs w:val="16"/>
              </w:rPr>
            </w:pPr>
          </w:p>
        </w:tc>
        <w:tc>
          <w:tcPr>
            <w:tcW w:w="1051" w:type="pct"/>
            <w:gridSpan w:val="2"/>
            <w:shd w:val="clear" w:color="auto" w:fill="99CC00"/>
            <w:vAlign w:val="center"/>
          </w:tcPr>
          <w:p w14:paraId="788F5464"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Forma finansowania</w:t>
            </w:r>
          </w:p>
        </w:tc>
        <w:tc>
          <w:tcPr>
            <w:tcW w:w="132" w:type="pct"/>
            <w:shd w:val="clear" w:color="auto" w:fill="FFFFFF"/>
          </w:tcPr>
          <w:p w14:paraId="2DA57B49" w14:textId="77777777" w:rsidR="00ED68D5" w:rsidRPr="004E3242" w:rsidRDefault="00ED68D5" w:rsidP="00EB5A30">
            <w:pPr>
              <w:spacing w:before="60" w:after="60" w:line="240" w:lineRule="auto"/>
              <w:jc w:val="center"/>
              <w:rPr>
                <w:rFonts w:ascii="Arial" w:hAnsi="Arial" w:cs="Arial"/>
                <w:color w:val="FFFFFF"/>
                <w:sz w:val="16"/>
                <w:szCs w:val="16"/>
              </w:rPr>
            </w:pPr>
          </w:p>
        </w:tc>
        <w:tc>
          <w:tcPr>
            <w:tcW w:w="1096" w:type="pct"/>
            <w:gridSpan w:val="2"/>
            <w:shd w:val="clear" w:color="auto" w:fill="99CC00"/>
            <w:vAlign w:val="center"/>
          </w:tcPr>
          <w:p w14:paraId="40777C35"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Terytorium</w:t>
            </w:r>
          </w:p>
        </w:tc>
        <w:tc>
          <w:tcPr>
            <w:tcW w:w="173" w:type="pct"/>
            <w:shd w:val="clear" w:color="auto" w:fill="FFFFFF"/>
          </w:tcPr>
          <w:p w14:paraId="42E4CB2E" w14:textId="77777777" w:rsidR="00ED68D5" w:rsidRPr="004E3242" w:rsidRDefault="00ED68D5" w:rsidP="00EB5A30">
            <w:pPr>
              <w:spacing w:before="60" w:after="60" w:line="240" w:lineRule="auto"/>
              <w:jc w:val="center"/>
              <w:rPr>
                <w:rFonts w:ascii="Arial" w:hAnsi="Arial" w:cs="Arial"/>
                <w:color w:val="FFFFFF"/>
                <w:sz w:val="16"/>
                <w:szCs w:val="16"/>
              </w:rPr>
            </w:pPr>
          </w:p>
        </w:tc>
        <w:tc>
          <w:tcPr>
            <w:tcW w:w="1241" w:type="pct"/>
            <w:gridSpan w:val="2"/>
            <w:shd w:val="clear" w:color="auto" w:fill="99CC00"/>
            <w:vAlign w:val="center"/>
          </w:tcPr>
          <w:p w14:paraId="5E5379F4"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Mechanizmy realizacji wymiaru terytorialnego</w:t>
            </w:r>
          </w:p>
        </w:tc>
      </w:tr>
      <w:tr w:rsidR="00ED68D5" w:rsidRPr="004E3242" w14:paraId="48FB9761" w14:textId="77777777" w:rsidTr="00ED68D5">
        <w:trPr>
          <w:trHeight w:val="174"/>
        </w:trPr>
        <w:tc>
          <w:tcPr>
            <w:tcW w:w="442" w:type="pct"/>
            <w:shd w:val="clear" w:color="auto" w:fill="99CC00"/>
            <w:vAlign w:val="center"/>
          </w:tcPr>
          <w:p w14:paraId="49125ED4"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692" w:type="pct"/>
            <w:shd w:val="clear" w:color="auto" w:fill="99CC00"/>
            <w:vAlign w:val="center"/>
          </w:tcPr>
          <w:p w14:paraId="60CCCD9F"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72" w:type="pct"/>
            <w:shd w:val="clear" w:color="auto" w:fill="FFFFFF"/>
          </w:tcPr>
          <w:p w14:paraId="2BF9281A" w14:textId="77777777" w:rsidR="00ED68D5" w:rsidRPr="004E3242" w:rsidRDefault="00ED68D5" w:rsidP="00EB5A30">
            <w:pPr>
              <w:spacing w:before="60" w:after="60" w:line="240" w:lineRule="auto"/>
              <w:jc w:val="center"/>
              <w:rPr>
                <w:rFonts w:ascii="Arial" w:hAnsi="Arial" w:cs="Arial"/>
                <w:color w:val="FFFFFF"/>
                <w:sz w:val="16"/>
                <w:szCs w:val="16"/>
              </w:rPr>
            </w:pPr>
          </w:p>
        </w:tc>
        <w:tc>
          <w:tcPr>
            <w:tcW w:w="440" w:type="pct"/>
            <w:shd w:val="clear" w:color="auto" w:fill="99CC00"/>
            <w:vAlign w:val="center"/>
          </w:tcPr>
          <w:p w14:paraId="10843109"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611" w:type="pct"/>
            <w:shd w:val="clear" w:color="auto" w:fill="99CC00"/>
            <w:vAlign w:val="center"/>
          </w:tcPr>
          <w:p w14:paraId="3A59D39A"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32" w:type="pct"/>
            <w:shd w:val="clear" w:color="auto" w:fill="FFFFFF"/>
          </w:tcPr>
          <w:p w14:paraId="231790AA" w14:textId="77777777" w:rsidR="00ED68D5" w:rsidRPr="004E3242" w:rsidRDefault="00ED68D5" w:rsidP="00EB5A30">
            <w:pPr>
              <w:spacing w:before="60" w:after="60" w:line="240" w:lineRule="auto"/>
              <w:jc w:val="center"/>
              <w:rPr>
                <w:rFonts w:ascii="Arial" w:hAnsi="Arial" w:cs="Arial"/>
                <w:color w:val="FFFFFF"/>
                <w:sz w:val="16"/>
                <w:szCs w:val="16"/>
              </w:rPr>
            </w:pPr>
          </w:p>
        </w:tc>
        <w:tc>
          <w:tcPr>
            <w:tcW w:w="408" w:type="pct"/>
            <w:shd w:val="clear" w:color="auto" w:fill="99CC00"/>
            <w:vAlign w:val="center"/>
          </w:tcPr>
          <w:p w14:paraId="5A159BCE"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688" w:type="pct"/>
            <w:shd w:val="clear" w:color="auto" w:fill="99CC00"/>
            <w:vAlign w:val="center"/>
          </w:tcPr>
          <w:p w14:paraId="0A0703B5"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c>
          <w:tcPr>
            <w:tcW w:w="173" w:type="pct"/>
            <w:shd w:val="clear" w:color="auto" w:fill="FFFFFF"/>
          </w:tcPr>
          <w:p w14:paraId="4A25F060" w14:textId="77777777" w:rsidR="00ED68D5" w:rsidRPr="004E3242" w:rsidRDefault="00ED68D5" w:rsidP="00EB5A30">
            <w:pPr>
              <w:spacing w:before="60" w:after="60" w:line="240" w:lineRule="auto"/>
              <w:jc w:val="center"/>
              <w:rPr>
                <w:rFonts w:ascii="Arial" w:hAnsi="Arial" w:cs="Arial"/>
                <w:color w:val="FFFFFF"/>
                <w:sz w:val="16"/>
                <w:szCs w:val="16"/>
              </w:rPr>
            </w:pPr>
          </w:p>
        </w:tc>
        <w:tc>
          <w:tcPr>
            <w:tcW w:w="392" w:type="pct"/>
            <w:shd w:val="clear" w:color="auto" w:fill="99CC00"/>
            <w:vAlign w:val="center"/>
          </w:tcPr>
          <w:p w14:paraId="2C836081"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Kod</w:t>
            </w:r>
          </w:p>
        </w:tc>
        <w:tc>
          <w:tcPr>
            <w:tcW w:w="849" w:type="pct"/>
            <w:shd w:val="clear" w:color="auto" w:fill="99CC00"/>
            <w:vAlign w:val="center"/>
          </w:tcPr>
          <w:p w14:paraId="4719EF3B" w14:textId="77777777" w:rsidR="00ED68D5" w:rsidRPr="004E3242" w:rsidRDefault="00ED68D5" w:rsidP="00EB5A30">
            <w:pPr>
              <w:spacing w:before="60" w:after="60" w:line="240" w:lineRule="auto"/>
              <w:jc w:val="center"/>
              <w:rPr>
                <w:rFonts w:ascii="Arial" w:hAnsi="Arial" w:cs="Arial"/>
                <w:color w:val="FFFFFF"/>
                <w:sz w:val="16"/>
                <w:szCs w:val="16"/>
              </w:rPr>
            </w:pPr>
            <w:r w:rsidRPr="004E3242">
              <w:rPr>
                <w:rFonts w:ascii="Arial" w:hAnsi="Arial" w:cs="Arial"/>
                <w:color w:val="FFFFFF"/>
                <w:sz w:val="16"/>
                <w:szCs w:val="16"/>
              </w:rPr>
              <w:t>Kwota</w:t>
            </w:r>
          </w:p>
        </w:tc>
      </w:tr>
      <w:tr w:rsidR="00ED68D5" w:rsidRPr="004E3242" w14:paraId="0C57F5A9" w14:textId="77777777" w:rsidTr="00ED68D5">
        <w:trPr>
          <w:trHeight w:val="532"/>
        </w:trPr>
        <w:tc>
          <w:tcPr>
            <w:tcW w:w="442" w:type="pct"/>
            <w:shd w:val="clear" w:color="auto" w:fill="F2F2F2"/>
            <w:vAlign w:val="center"/>
          </w:tcPr>
          <w:p w14:paraId="3A548FF4" w14:textId="77777777" w:rsidR="007D5F85" w:rsidRDefault="008E421D" w:rsidP="00F17D94">
            <w:pPr>
              <w:spacing w:before="120" w:after="120" w:line="288" w:lineRule="auto"/>
              <w:jc w:val="center"/>
              <w:rPr>
                <w:rFonts w:ascii="Arial" w:hAnsi="Arial" w:cs="Arial"/>
                <w:sz w:val="16"/>
                <w:szCs w:val="16"/>
              </w:rPr>
            </w:pPr>
            <w:r>
              <w:rPr>
                <w:rFonts w:ascii="Arial" w:hAnsi="Arial" w:cs="Arial"/>
                <w:sz w:val="16"/>
                <w:szCs w:val="16"/>
              </w:rPr>
              <w:t>008</w:t>
            </w:r>
          </w:p>
          <w:p w14:paraId="592364AC" w14:textId="24F6AE9D" w:rsidR="008E421D" w:rsidRDefault="008E421D" w:rsidP="00F17D94">
            <w:pPr>
              <w:spacing w:before="120" w:after="120" w:line="288" w:lineRule="auto"/>
              <w:jc w:val="center"/>
              <w:rPr>
                <w:rFonts w:ascii="Arial" w:hAnsi="Arial" w:cs="Arial"/>
                <w:sz w:val="16"/>
                <w:szCs w:val="16"/>
              </w:rPr>
            </w:pPr>
            <w:r>
              <w:rPr>
                <w:rFonts w:ascii="Arial" w:hAnsi="Arial" w:cs="Arial"/>
                <w:sz w:val="16"/>
                <w:szCs w:val="16"/>
              </w:rPr>
              <w:t>0</w:t>
            </w:r>
            <w:r w:rsidR="00785EAB">
              <w:rPr>
                <w:rFonts w:ascii="Arial" w:hAnsi="Arial" w:cs="Arial"/>
                <w:sz w:val="16"/>
                <w:szCs w:val="16"/>
              </w:rPr>
              <w:t>10</w:t>
            </w:r>
          </w:p>
          <w:p w14:paraId="26957E26" w14:textId="7EBFCF85" w:rsidR="00603248" w:rsidRDefault="00603248" w:rsidP="00F17D94">
            <w:pPr>
              <w:spacing w:before="120" w:after="120" w:line="288" w:lineRule="auto"/>
              <w:jc w:val="center"/>
              <w:rPr>
                <w:rFonts w:ascii="Arial" w:hAnsi="Arial" w:cs="Arial"/>
                <w:sz w:val="16"/>
                <w:szCs w:val="16"/>
              </w:rPr>
            </w:pPr>
            <w:r>
              <w:rPr>
                <w:rFonts w:ascii="Arial" w:hAnsi="Arial" w:cs="Arial"/>
                <w:sz w:val="16"/>
                <w:szCs w:val="16"/>
              </w:rPr>
              <w:t>043</w:t>
            </w:r>
          </w:p>
          <w:p w14:paraId="1F891861" w14:textId="4E91FC5A" w:rsidR="008A5501" w:rsidRDefault="008A5501" w:rsidP="00F17D94">
            <w:pPr>
              <w:spacing w:before="120" w:after="120" w:line="288" w:lineRule="auto"/>
              <w:jc w:val="center"/>
              <w:rPr>
                <w:rFonts w:ascii="Arial" w:hAnsi="Arial" w:cs="Arial"/>
                <w:sz w:val="16"/>
                <w:szCs w:val="16"/>
              </w:rPr>
            </w:pPr>
            <w:r>
              <w:rPr>
                <w:rFonts w:ascii="Arial" w:hAnsi="Arial" w:cs="Arial"/>
                <w:sz w:val="16"/>
                <w:szCs w:val="16"/>
              </w:rPr>
              <w:t>044</w:t>
            </w:r>
          </w:p>
          <w:p w14:paraId="3DD9FCF1" w14:textId="77777777" w:rsidR="007D5F85" w:rsidRPr="004E3242" w:rsidRDefault="00F131D1" w:rsidP="00F17D94">
            <w:pPr>
              <w:spacing w:before="120" w:after="120" w:line="288" w:lineRule="auto"/>
              <w:jc w:val="center"/>
              <w:rPr>
                <w:rFonts w:ascii="Arial" w:hAnsi="Arial" w:cs="Arial"/>
                <w:sz w:val="16"/>
                <w:szCs w:val="16"/>
              </w:rPr>
            </w:pPr>
            <w:r>
              <w:rPr>
                <w:rFonts w:ascii="Arial" w:hAnsi="Arial" w:cs="Arial"/>
                <w:sz w:val="16"/>
                <w:szCs w:val="16"/>
              </w:rPr>
              <w:t>053</w:t>
            </w:r>
          </w:p>
        </w:tc>
        <w:tc>
          <w:tcPr>
            <w:tcW w:w="692" w:type="pct"/>
            <w:shd w:val="clear" w:color="auto" w:fill="F2F2F2"/>
            <w:vAlign w:val="center"/>
          </w:tcPr>
          <w:p w14:paraId="41E53A78" w14:textId="5FB7F7F5" w:rsidR="00995598" w:rsidRDefault="00CE37DB" w:rsidP="00735489">
            <w:pPr>
              <w:spacing w:before="120" w:after="120" w:line="240" w:lineRule="auto"/>
              <w:jc w:val="center"/>
              <w:rPr>
                <w:rFonts w:ascii="Arial" w:hAnsi="Arial" w:cs="Arial"/>
                <w:sz w:val="16"/>
                <w:szCs w:val="16"/>
              </w:rPr>
            </w:pPr>
            <w:r>
              <w:rPr>
                <w:rFonts w:ascii="Arial" w:hAnsi="Arial" w:cs="Arial"/>
                <w:sz w:val="16"/>
                <w:szCs w:val="16"/>
              </w:rPr>
              <w:t>1</w:t>
            </w:r>
            <w:r w:rsidR="00995598" w:rsidRPr="00995598">
              <w:rPr>
                <w:rFonts w:ascii="Arial" w:hAnsi="Arial" w:cs="Arial"/>
                <w:sz w:val="16"/>
                <w:szCs w:val="16"/>
              </w:rPr>
              <w:t>26 796</w:t>
            </w:r>
            <w:r w:rsidR="00995598">
              <w:rPr>
                <w:rFonts w:ascii="Arial" w:hAnsi="Arial" w:cs="Arial"/>
                <w:sz w:val="16"/>
                <w:szCs w:val="16"/>
              </w:rPr>
              <w:t> </w:t>
            </w:r>
            <w:r w:rsidR="00995598" w:rsidRPr="00995598">
              <w:rPr>
                <w:rFonts w:ascii="Arial" w:hAnsi="Arial" w:cs="Arial"/>
                <w:sz w:val="16"/>
                <w:szCs w:val="16"/>
              </w:rPr>
              <w:t>800</w:t>
            </w:r>
          </w:p>
          <w:p w14:paraId="7423561D" w14:textId="6F86F33C" w:rsidR="00735489" w:rsidRDefault="00E94FB7" w:rsidP="00735489">
            <w:pPr>
              <w:spacing w:before="120" w:after="120" w:line="240" w:lineRule="auto"/>
              <w:jc w:val="center"/>
              <w:rPr>
                <w:rFonts w:ascii="Arial" w:hAnsi="Arial" w:cs="Arial"/>
                <w:sz w:val="16"/>
                <w:szCs w:val="16"/>
              </w:rPr>
            </w:pPr>
            <w:r w:rsidRPr="00E94FB7">
              <w:rPr>
                <w:rFonts w:ascii="Arial" w:hAnsi="Arial" w:cs="Arial"/>
                <w:sz w:val="16"/>
                <w:szCs w:val="16"/>
              </w:rPr>
              <w:t>190 195</w:t>
            </w:r>
            <w:r w:rsidR="00735489">
              <w:rPr>
                <w:rFonts w:ascii="Arial" w:hAnsi="Arial" w:cs="Arial"/>
                <w:sz w:val="16"/>
                <w:szCs w:val="16"/>
              </w:rPr>
              <w:t> </w:t>
            </w:r>
            <w:r w:rsidRPr="00E94FB7">
              <w:rPr>
                <w:rFonts w:ascii="Arial" w:hAnsi="Arial" w:cs="Arial"/>
                <w:sz w:val="16"/>
                <w:szCs w:val="16"/>
              </w:rPr>
              <w:t>200</w:t>
            </w:r>
          </w:p>
          <w:p w14:paraId="0912E342" w14:textId="1B4D00C5" w:rsidR="00603248" w:rsidRDefault="008A5501" w:rsidP="00735489">
            <w:pPr>
              <w:spacing w:before="120" w:after="120" w:line="240" w:lineRule="auto"/>
              <w:jc w:val="center"/>
              <w:rPr>
                <w:rFonts w:ascii="Arial" w:hAnsi="Arial" w:cs="Arial"/>
                <w:sz w:val="16"/>
                <w:szCs w:val="16"/>
              </w:rPr>
            </w:pPr>
            <w:r>
              <w:rPr>
                <w:rFonts w:ascii="Arial" w:hAnsi="Arial" w:cs="Arial"/>
                <w:sz w:val="16"/>
                <w:szCs w:val="16"/>
              </w:rPr>
              <w:t>65 743 914</w:t>
            </w:r>
          </w:p>
          <w:p w14:paraId="0BE20503" w14:textId="77777777" w:rsidR="008A5501" w:rsidRDefault="008A5501" w:rsidP="00735489">
            <w:pPr>
              <w:spacing w:before="120" w:after="120" w:line="240" w:lineRule="auto"/>
              <w:jc w:val="center"/>
              <w:rPr>
                <w:rFonts w:ascii="Arial" w:hAnsi="Arial" w:cs="Arial"/>
                <w:sz w:val="16"/>
                <w:szCs w:val="16"/>
              </w:rPr>
            </w:pPr>
            <w:r>
              <w:rPr>
                <w:rFonts w:ascii="Arial" w:hAnsi="Arial" w:cs="Arial"/>
                <w:sz w:val="16"/>
                <w:szCs w:val="16"/>
              </w:rPr>
              <w:t>4 351 610</w:t>
            </w:r>
          </w:p>
          <w:p w14:paraId="58EA2815" w14:textId="302798C6" w:rsidR="00ED68D5" w:rsidRPr="00F224F6" w:rsidRDefault="00B766B0" w:rsidP="00316FE8">
            <w:pPr>
              <w:spacing w:before="120" w:after="120" w:line="240" w:lineRule="auto"/>
              <w:jc w:val="center"/>
              <w:rPr>
                <w:rFonts w:ascii="Arial" w:hAnsi="Arial" w:cs="Arial"/>
                <w:sz w:val="16"/>
                <w:szCs w:val="16"/>
              </w:rPr>
            </w:pPr>
            <w:r>
              <w:rPr>
                <w:rFonts w:ascii="Arial" w:hAnsi="Arial" w:cs="Arial"/>
                <w:sz w:val="16"/>
                <w:szCs w:val="16"/>
              </w:rPr>
              <w:t>350 087 479</w:t>
            </w:r>
          </w:p>
        </w:tc>
        <w:tc>
          <w:tcPr>
            <w:tcW w:w="172" w:type="pct"/>
            <w:shd w:val="clear" w:color="auto" w:fill="FFFFFF"/>
          </w:tcPr>
          <w:p w14:paraId="2A10A61E" w14:textId="77777777" w:rsidR="00ED68D5" w:rsidRPr="00F224F6" w:rsidRDefault="00ED68D5" w:rsidP="00EB5A30">
            <w:pPr>
              <w:suppressAutoHyphens/>
              <w:spacing w:before="60" w:after="60" w:line="240" w:lineRule="auto"/>
              <w:jc w:val="center"/>
              <w:rPr>
                <w:rFonts w:ascii="Arial" w:hAnsi="Arial" w:cs="Arial"/>
                <w:sz w:val="16"/>
                <w:szCs w:val="16"/>
              </w:rPr>
            </w:pPr>
          </w:p>
        </w:tc>
        <w:tc>
          <w:tcPr>
            <w:tcW w:w="440" w:type="pct"/>
            <w:shd w:val="clear" w:color="auto" w:fill="F2F2F2"/>
            <w:vAlign w:val="center"/>
          </w:tcPr>
          <w:p w14:paraId="5BC1835F" w14:textId="77777777" w:rsidR="00ED68D5" w:rsidRPr="00F224F6" w:rsidRDefault="00C54171" w:rsidP="00EB5A30">
            <w:pPr>
              <w:suppressAutoHyphens/>
              <w:spacing w:before="60" w:after="60" w:line="240" w:lineRule="auto"/>
              <w:jc w:val="center"/>
              <w:rPr>
                <w:rFonts w:ascii="Arial" w:hAnsi="Arial" w:cs="Arial"/>
                <w:sz w:val="16"/>
                <w:szCs w:val="16"/>
              </w:rPr>
            </w:pPr>
            <w:r>
              <w:rPr>
                <w:rFonts w:ascii="Arial" w:hAnsi="Arial" w:cs="Arial"/>
                <w:sz w:val="16"/>
                <w:szCs w:val="16"/>
              </w:rPr>
              <w:t>01</w:t>
            </w:r>
          </w:p>
        </w:tc>
        <w:tc>
          <w:tcPr>
            <w:tcW w:w="611" w:type="pct"/>
            <w:shd w:val="clear" w:color="auto" w:fill="F2F2F2"/>
            <w:vAlign w:val="center"/>
          </w:tcPr>
          <w:p w14:paraId="311E3477" w14:textId="279B4124" w:rsidR="00771856" w:rsidRDefault="00771856" w:rsidP="00ED68D5">
            <w:pPr>
              <w:spacing w:before="60" w:after="60" w:line="240" w:lineRule="auto"/>
              <w:jc w:val="center"/>
              <w:rPr>
                <w:rFonts w:ascii="Arial" w:hAnsi="Arial" w:cs="Arial"/>
                <w:sz w:val="16"/>
                <w:szCs w:val="16"/>
              </w:rPr>
            </w:pPr>
            <w:r w:rsidRPr="00771856">
              <w:rPr>
                <w:rFonts w:ascii="Arial" w:hAnsi="Arial" w:cs="Arial"/>
                <w:sz w:val="16"/>
                <w:szCs w:val="16"/>
              </w:rPr>
              <w:t>737 175</w:t>
            </w:r>
            <w:r>
              <w:rPr>
                <w:rFonts w:ascii="Arial" w:hAnsi="Arial" w:cs="Arial"/>
                <w:sz w:val="16"/>
                <w:szCs w:val="16"/>
              </w:rPr>
              <w:t> </w:t>
            </w:r>
            <w:r w:rsidRPr="00771856">
              <w:rPr>
                <w:rFonts w:ascii="Arial" w:hAnsi="Arial" w:cs="Arial"/>
                <w:sz w:val="16"/>
                <w:szCs w:val="16"/>
              </w:rPr>
              <w:t>003</w:t>
            </w:r>
          </w:p>
          <w:p w14:paraId="1F29C3E1" w14:textId="451E6969" w:rsidR="00ED68D5" w:rsidRPr="00F224F6" w:rsidRDefault="00ED68D5" w:rsidP="00ED68D5">
            <w:pPr>
              <w:spacing w:before="60" w:after="60" w:line="240" w:lineRule="auto"/>
              <w:jc w:val="center"/>
              <w:rPr>
                <w:rFonts w:ascii="Arial" w:hAnsi="Arial" w:cs="Arial"/>
                <w:sz w:val="16"/>
                <w:szCs w:val="16"/>
              </w:rPr>
            </w:pPr>
          </w:p>
        </w:tc>
        <w:tc>
          <w:tcPr>
            <w:tcW w:w="132" w:type="pct"/>
            <w:shd w:val="clear" w:color="auto" w:fill="FFFFFF"/>
          </w:tcPr>
          <w:p w14:paraId="204C4597" w14:textId="77777777" w:rsidR="00ED68D5" w:rsidRPr="00F224F6" w:rsidRDefault="00ED68D5" w:rsidP="00EB5A30">
            <w:pPr>
              <w:suppressAutoHyphens/>
              <w:spacing w:before="60" w:after="60" w:line="240" w:lineRule="auto"/>
              <w:jc w:val="center"/>
              <w:rPr>
                <w:rFonts w:ascii="Arial" w:hAnsi="Arial" w:cs="Arial"/>
                <w:sz w:val="16"/>
                <w:szCs w:val="16"/>
              </w:rPr>
            </w:pPr>
          </w:p>
        </w:tc>
        <w:tc>
          <w:tcPr>
            <w:tcW w:w="408" w:type="pct"/>
            <w:shd w:val="clear" w:color="auto" w:fill="F2F2F2"/>
            <w:vAlign w:val="center"/>
          </w:tcPr>
          <w:p w14:paraId="291663D6" w14:textId="77777777" w:rsidR="00ED68D5" w:rsidRPr="00F224F6" w:rsidRDefault="00C54171" w:rsidP="00EB5A30">
            <w:pPr>
              <w:suppressAutoHyphens/>
              <w:spacing w:before="60" w:after="60" w:line="240" w:lineRule="auto"/>
              <w:jc w:val="center"/>
              <w:rPr>
                <w:rFonts w:ascii="Arial" w:hAnsi="Arial" w:cs="Arial"/>
                <w:sz w:val="16"/>
                <w:szCs w:val="16"/>
              </w:rPr>
            </w:pPr>
            <w:r>
              <w:rPr>
                <w:rFonts w:ascii="Arial" w:hAnsi="Arial" w:cs="Arial"/>
                <w:sz w:val="16"/>
                <w:szCs w:val="16"/>
              </w:rPr>
              <w:t>07</w:t>
            </w:r>
          </w:p>
        </w:tc>
        <w:tc>
          <w:tcPr>
            <w:tcW w:w="688" w:type="pct"/>
            <w:shd w:val="clear" w:color="auto" w:fill="F2F2F2"/>
            <w:vAlign w:val="center"/>
          </w:tcPr>
          <w:p w14:paraId="0F1D6613" w14:textId="6C95B9C4" w:rsidR="00771856" w:rsidRDefault="00771856" w:rsidP="00EB5A30">
            <w:pPr>
              <w:spacing w:before="60" w:after="60" w:line="240" w:lineRule="auto"/>
              <w:jc w:val="center"/>
              <w:rPr>
                <w:rFonts w:ascii="Arial" w:hAnsi="Arial" w:cs="Arial"/>
                <w:sz w:val="16"/>
                <w:szCs w:val="16"/>
              </w:rPr>
            </w:pPr>
            <w:r w:rsidRPr="00771856">
              <w:rPr>
                <w:rFonts w:ascii="Arial" w:hAnsi="Arial" w:cs="Arial"/>
                <w:sz w:val="16"/>
                <w:szCs w:val="16"/>
              </w:rPr>
              <w:t>737 175</w:t>
            </w:r>
            <w:r>
              <w:rPr>
                <w:rFonts w:ascii="Arial" w:hAnsi="Arial" w:cs="Arial"/>
                <w:sz w:val="16"/>
                <w:szCs w:val="16"/>
              </w:rPr>
              <w:t> </w:t>
            </w:r>
            <w:r w:rsidRPr="00771856">
              <w:rPr>
                <w:rFonts w:ascii="Arial" w:hAnsi="Arial" w:cs="Arial"/>
                <w:sz w:val="16"/>
                <w:szCs w:val="16"/>
              </w:rPr>
              <w:t>003</w:t>
            </w:r>
          </w:p>
          <w:p w14:paraId="472497CC" w14:textId="3ABEC759" w:rsidR="00ED68D5" w:rsidRPr="00F224F6" w:rsidRDefault="00ED68D5" w:rsidP="00ED68D5">
            <w:pPr>
              <w:spacing w:before="60" w:after="60" w:line="240" w:lineRule="auto"/>
              <w:jc w:val="center"/>
              <w:rPr>
                <w:rFonts w:ascii="Arial" w:hAnsi="Arial" w:cs="Arial"/>
                <w:sz w:val="16"/>
                <w:szCs w:val="16"/>
              </w:rPr>
            </w:pPr>
          </w:p>
        </w:tc>
        <w:tc>
          <w:tcPr>
            <w:tcW w:w="173" w:type="pct"/>
            <w:shd w:val="clear" w:color="auto" w:fill="FFFFFF"/>
          </w:tcPr>
          <w:p w14:paraId="61E05A34" w14:textId="77777777" w:rsidR="00ED68D5" w:rsidRPr="00F224F6" w:rsidRDefault="00ED68D5" w:rsidP="00EB5A30">
            <w:pPr>
              <w:suppressAutoHyphens/>
              <w:spacing w:before="60" w:after="60" w:line="240" w:lineRule="auto"/>
              <w:jc w:val="center"/>
              <w:rPr>
                <w:rFonts w:ascii="Arial" w:hAnsi="Arial" w:cs="Arial"/>
                <w:sz w:val="16"/>
                <w:szCs w:val="16"/>
              </w:rPr>
            </w:pPr>
          </w:p>
        </w:tc>
        <w:tc>
          <w:tcPr>
            <w:tcW w:w="392" w:type="pct"/>
            <w:shd w:val="clear" w:color="auto" w:fill="F2F2F2"/>
            <w:vAlign w:val="center"/>
          </w:tcPr>
          <w:p w14:paraId="76F168B6" w14:textId="77777777" w:rsidR="00ED68D5" w:rsidRPr="00F224F6" w:rsidRDefault="00C54171" w:rsidP="00EB5A30">
            <w:pPr>
              <w:suppressAutoHyphens/>
              <w:spacing w:before="60" w:after="60" w:line="240" w:lineRule="auto"/>
              <w:jc w:val="center"/>
              <w:rPr>
                <w:rFonts w:ascii="Arial" w:hAnsi="Arial" w:cs="Arial"/>
                <w:sz w:val="16"/>
                <w:szCs w:val="16"/>
              </w:rPr>
            </w:pPr>
            <w:r>
              <w:rPr>
                <w:rFonts w:ascii="Arial" w:hAnsi="Arial" w:cs="Arial"/>
                <w:sz w:val="16"/>
                <w:szCs w:val="16"/>
              </w:rPr>
              <w:t>07</w:t>
            </w:r>
          </w:p>
        </w:tc>
        <w:tc>
          <w:tcPr>
            <w:tcW w:w="849" w:type="pct"/>
            <w:shd w:val="clear" w:color="auto" w:fill="F2F2F2"/>
            <w:vAlign w:val="center"/>
          </w:tcPr>
          <w:p w14:paraId="0E67F8C6" w14:textId="5DCA7D26" w:rsidR="00771856" w:rsidRDefault="00771856" w:rsidP="00EB5A30">
            <w:pPr>
              <w:spacing w:before="60" w:after="60" w:line="240" w:lineRule="auto"/>
              <w:jc w:val="center"/>
              <w:rPr>
                <w:rFonts w:ascii="Arial" w:hAnsi="Arial" w:cs="Arial"/>
                <w:sz w:val="16"/>
                <w:szCs w:val="16"/>
              </w:rPr>
            </w:pPr>
            <w:r w:rsidRPr="00771856">
              <w:rPr>
                <w:rFonts w:ascii="Arial" w:hAnsi="Arial" w:cs="Arial"/>
                <w:sz w:val="16"/>
                <w:szCs w:val="16"/>
              </w:rPr>
              <w:t>737 175</w:t>
            </w:r>
            <w:r>
              <w:rPr>
                <w:rFonts w:ascii="Arial" w:hAnsi="Arial" w:cs="Arial"/>
                <w:sz w:val="16"/>
                <w:szCs w:val="16"/>
              </w:rPr>
              <w:t> </w:t>
            </w:r>
            <w:r w:rsidRPr="00771856">
              <w:rPr>
                <w:rFonts w:ascii="Arial" w:hAnsi="Arial" w:cs="Arial"/>
                <w:sz w:val="16"/>
                <w:szCs w:val="16"/>
              </w:rPr>
              <w:t>003</w:t>
            </w:r>
          </w:p>
          <w:p w14:paraId="24E1FA9C" w14:textId="43F271E1" w:rsidR="00ED68D5" w:rsidRPr="004E3242" w:rsidRDefault="00ED68D5" w:rsidP="00ED68D5">
            <w:pPr>
              <w:spacing w:before="60" w:after="60" w:line="240" w:lineRule="auto"/>
              <w:jc w:val="center"/>
              <w:rPr>
                <w:rFonts w:ascii="Arial" w:hAnsi="Arial" w:cs="Arial"/>
                <w:sz w:val="16"/>
                <w:szCs w:val="16"/>
              </w:rPr>
            </w:pPr>
          </w:p>
        </w:tc>
      </w:tr>
      <w:tr w:rsidR="00ED68D5" w:rsidRPr="004E3242" w14:paraId="08BF8509" w14:textId="77777777" w:rsidTr="00ED68D5">
        <w:trPr>
          <w:trHeight w:val="647"/>
        </w:trPr>
        <w:tc>
          <w:tcPr>
            <w:tcW w:w="442" w:type="pct"/>
            <w:shd w:val="clear" w:color="auto" w:fill="D6E3BC"/>
            <w:vAlign w:val="center"/>
          </w:tcPr>
          <w:p w14:paraId="257816B5" w14:textId="77777777" w:rsidR="00ED68D5" w:rsidRPr="004E3242" w:rsidRDefault="00ED68D5" w:rsidP="00EB5A30">
            <w:pPr>
              <w:spacing w:before="60" w:after="60" w:line="240" w:lineRule="auto"/>
              <w:jc w:val="center"/>
              <w:rPr>
                <w:rFonts w:ascii="Arial" w:hAnsi="Arial" w:cs="Arial"/>
                <w:sz w:val="16"/>
                <w:szCs w:val="16"/>
              </w:rPr>
            </w:pPr>
            <w:r w:rsidRPr="004E3242">
              <w:rPr>
                <w:rFonts w:ascii="Arial" w:hAnsi="Arial" w:cs="Arial"/>
                <w:sz w:val="16"/>
                <w:szCs w:val="16"/>
              </w:rPr>
              <w:lastRenderedPageBreak/>
              <w:t>Razem</w:t>
            </w:r>
          </w:p>
        </w:tc>
        <w:tc>
          <w:tcPr>
            <w:tcW w:w="692" w:type="pct"/>
            <w:shd w:val="clear" w:color="auto" w:fill="D6E3BC"/>
            <w:vAlign w:val="center"/>
          </w:tcPr>
          <w:p w14:paraId="26A10280" w14:textId="64170036" w:rsidR="00771856" w:rsidRDefault="00771856" w:rsidP="00EB5A30">
            <w:pPr>
              <w:spacing w:before="60" w:after="60" w:line="240" w:lineRule="auto"/>
              <w:jc w:val="center"/>
              <w:rPr>
                <w:rFonts w:ascii="Arial" w:hAnsi="Arial" w:cs="Arial"/>
                <w:sz w:val="16"/>
                <w:szCs w:val="16"/>
              </w:rPr>
            </w:pPr>
            <w:r w:rsidRPr="00771856">
              <w:rPr>
                <w:rFonts w:ascii="Arial" w:hAnsi="Arial" w:cs="Arial"/>
                <w:sz w:val="16"/>
                <w:szCs w:val="16"/>
              </w:rPr>
              <w:t>737 175</w:t>
            </w:r>
            <w:r>
              <w:rPr>
                <w:rFonts w:ascii="Arial" w:hAnsi="Arial" w:cs="Arial"/>
                <w:sz w:val="16"/>
                <w:szCs w:val="16"/>
              </w:rPr>
              <w:t> </w:t>
            </w:r>
            <w:r w:rsidRPr="00771856">
              <w:rPr>
                <w:rFonts w:ascii="Arial" w:hAnsi="Arial" w:cs="Arial"/>
                <w:sz w:val="16"/>
                <w:szCs w:val="16"/>
              </w:rPr>
              <w:t>003</w:t>
            </w:r>
          </w:p>
          <w:p w14:paraId="63B94450" w14:textId="4707A8B1" w:rsidR="00ED68D5" w:rsidRPr="00F224F6" w:rsidRDefault="00ED68D5" w:rsidP="00ED68D5">
            <w:pPr>
              <w:spacing w:before="60" w:after="60" w:line="240" w:lineRule="auto"/>
              <w:jc w:val="center"/>
              <w:rPr>
                <w:rFonts w:ascii="Arial" w:hAnsi="Arial" w:cs="Arial"/>
                <w:sz w:val="16"/>
                <w:szCs w:val="16"/>
              </w:rPr>
            </w:pPr>
          </w:p>
        </w:tc>
        <w:tc>
          <w:tcPr>
            <w:tcW w:w="172" w:type="pct"/>
            <w:shd w:val="clear" w:color="auto" w:fill="FFFFFF"/>
          </w:tcPr>
          <w:p w14:paraId="557EA31A" w14:textId="77777777" w:rsidR="00ED68D5" w:rsidRPr="00F224F6" w:rsidRDefault="00ED68D5" w:rsidP="00EB5A30">
            <w:pPr>
              <w:spacing w:before="60" w:after="60" w:line="240" w:lineRule="auto"/>
              <w:jc w:val="center"/>
              <w:rPr>
                <w:rFonts w:ascii="Arial" w:hAnsi="Arial" w:cs="Arial"/>
                <w:color w:val="FFFFFF"/>
                <w:sz w:val="16"/>
                <w:szCs w:val="16"/>
              </w:rPr>
            </w:pPr>
          </w:p>
        </w:tc>
        <w:tc>
          <w:tcPr>
            <w:tcW w:w="440" w:type="pct"/>
            <w:shd w:val="clear" w:color="auto" w:fill="D6E3BC"/>
            <w:vAlign w:val="center"/>
          </w:tcPr>
          <w:p w14:paraId="764407D1" w14:textId="77777777" w:rsidR="00ED68D5" w:rsidRPr="00F224F6" w:rsidRDefault="00ED68D5" w:rsidP="00EB5A30">
            <w:pPr>
              <w:spacing w:before="60" w:after="60" w:line="240" w:lineRule="auto"/>
              <w:jc w:val="center"/>
              <w:rPr>
                <w:rFonts w:ascii="Arial" w:hAnsi="Arial" w:cs="Arial"/>
                <w:sz w:val="16"/>
                <w:szCs w:val="16"/>
              </w:rPr>
            </w:pPr>
            <w:r w:rsidRPr="00F224F6">
              <w:rPr>
                <w:rFonts w:ascii="Arial" w:hAnsi="Arial" w:cs="Arial"/>
                <w:sz w:val="16"/>
                <w:szCs w:val="16"/>
              </w:rPr>
              <w:t>Razem</w:t>
            </w:r>
          </w:p>
        </w:tc>
        <w:tc>
          <w:tcPr>
            <w:tcW w:w="611" w:type="pct"/>
            <w:shd w:val="clear" w:color="auto" w:fill="D6E3BC"/>
            <w:vAlign w:val="center"/>
          </w:tcPr>
          <w:p w14:paraId="663BE250" w14:textId="3C087D64" w:rsidR="00771856" w:rsidRDefault="00771856" w:rsidP="00D90C7E">
            <w:pPr>
              <w:spacing w:before="60" w:after="60" w:line="240" w:lineRule="auto"/>
              <w:rPr>
                <w:rFonts w:ascii="Arial" w:hAnsi="Arial" w:cs="Arial"/>
                <w:sz w:val="16"/>
                <w:szCs w:val="16"/>
              </w:rPr>
            </w:pPr>
            <w:r w:rsidRPr="00771856">
              <w:rPr>
                <w:rFonts w:ascii="Arial" w:hAnsi="Arial" w:cs="Arial"/>
                <w:sz w:val="16"/>
                <w:szCs w:val="16"/>
              </w:rPr>
              <w:t>737 175</w:t>
            </w:r>
            <w:r>
              <w:rPr>
                <w:rFonts w:ascii="Arial" w:hAnsi="Arial" w:cs="Arial"/>
                <w:sz w:val="16"/>
                <w:szCs w:val="16"/>
              </w:rPr>
              <w:t> </w:t>
            </w:r>
            <w:r w:rsidRPr="00771856">
              <w:rPr>
                <w:rFonts w:ascii="Arial" w:hAnsi="Arial" w:cs="Arial"/>
                <w:sz w:val="16"/>
                <w:szCs w:val="16"/>
              </w:rPr>
              <w:t>003</w:t>
            </w:r>
          </w:p>
          <w:p w14:paraId="57D89B9B" w14:textId="0BDF73FB" w:rsidR="00ED68D5" w:rsidRPr="00F224F6" w:rsidRDefault="00ED68D5" w:rsidP="00ED68D5">
            <w:pPr>
              <w:spacing w:before="60" w:after="60" w:line="240" w:lineRule="auto"/>
              <w:jc w:val="center"/>
              <w:rPr>
                <w:rFonts w:ascii="Arial" w:hAnsi="Arial" w:cs="Arial"/>
                <w:sz w:val="16"/>
                <w:szCs w:val="16"/>
              </w:rPr>
            </w:pPr>
          </w:p>
        </w:tc>
        <w:tc>
          <w:tcPr>
            <w:tcW w:w="132" w:type="pct"/>
            <w:shd w:val="clear" w:color="auto" w:fill="FFFFFF"/>
          </w:tcPr>
          <w:p w14:paraId="2BD6627A" w14:textId="77777777" w:rsidR="00ED68D5" w:rsidRPr="00F224F6" w:rsidRDefault="00ED68D5" w:rsidP="00EB5A30">
            <w:pPr>
              <w:spacing w:before="60" w:after="60" w:line="240" w:lineRule="auto"/>
              <w:jc w:val="center"/>
              <w:rPr>
                <w:rFonts w:ascii="Arial" w:hAnsi="Arial" w:cs="Arial"/>
                <w:color w:val="FFFFFF"/>
                <w:sz w:val="16"/>
                <w:szCs w:val="16"/>
              </w:rPr>
            </w:pPr>
          </w:p>
        </w:tc>
        <w:tc>
          <w:tcPr>
            <w:tcW w:w="408" w:type="pct"/>
            <w:shd w:val="clear" w:color="auto" w:fill="D6E3BC"/>
            <w:vAlign w:val="center"/>
          </w:tcPr>
          <w:p w14:paraId="5A8C9BA4" w14:textId="77777777" w:rsidR="00ED68D5" w:rsidRPr="00F224F6" w:rsidRDefault="00ED68D5" w:rsidP="00EB5A30">
            <w:pPr>
              <w:spacing w:before="60" w:after="60" w:line="240" w:lineRule="auto"/>
              <w:jc w:val="center"/>
              <w:rPr>
                <w:rFonts w:ascii="Arial" w:hAnsi="Arial" w:cs="Arial"/>
                <w:sz w:val="16"/>
                <w:szCs w:val="16"/>
              </w:rPr>
            </w:pPr>
            <w:r w:rsidRPr="00F224F6">
              <w:rPr>
                <w:rFonts w:ascii="Arial" w:hAnsi="Arial" w:cs="Arial"/>
                <w:sz w:val="16"/>
                <w:szCs w:val="16"/>
              </w:rPr>
              <w:t>Razem</w:t>
            </w:r>
          </w:p>
        </w:tc>
        <w:tc>
          <w:tcPr>
            <w:tcW w:w="688" w:type="pct"/>
            <w:shd w:val="clear" w:color="auto" w:fill="D6E3BC"/>
            <w:vAlign w:val="center"/>
          </w:tcPr>
          <w:p w14:paraId="43B6695B" w14:textId="10BCD1AB" w:rsidR="00771856" w:rsidRDefault="00771856" w:rsidP="00EB5A30">
            <w:pPr>
              <w:spacing w:before="60" w:after="60" w:line="240" w:lineRule="auto"/>
              <w:jc w:val="center"/>
              <w:rPr>
                <w:rFonts w:ascii="Arial" w:hAnsi="Arial" w:cs="Arial"/>
                <w:sz w:val="16"/>
                <w:szCs w:val="16"/>
              </w:rPr>
            </w:pPr>
            <w:r w:rsidRPr="00771856">
              <w:rPr>
                <w:rFonts w:ascii="Arial" w:hAnsi="Arial" w:cs="Arial"/>
                <w:sz w:val="16"/>
                <w:szCs w:val="16"/>
              </w:rPr>
              <w:t>737 175</w:t>
            </w:r>
            <w:r>
              <w:rPr>
                <w:rFonts w:ascii="Arial" w:hAnsi="Arial" w:cs="Arial"/>
                <w:sz w:val="16"/>
                <w:szCs w:val="16"/>
              </w:rPr>
              <w:t> </w:t>
            </w:r>
            <w:r w:rsidRPr="00771856">
              <w:rPr>
                <w:rFonts w:ascii="Arial" w:hAnsi="Arial" w:cs="Arial"/>
                <w:sz w:val="16"/>
                <w:szCs w:val="16"/>
              </w:rPr>
              <w:t>003</w:t>
            </w:r>
          </w:p>
          <w:p w14:paraId="11760985" w14:textId="16712A52" w:rsidR="00ED68D5" w:rsidRPr="00F224F6" w:rsidRDefault="00ED68D5" w:rsidP="00ED68D5">
            <w:pPr>
              <w:spacing w:before="60" w:after="60" w:line="240" w:lineRule="auto"/>
              <w:jc w:val="center"/>
              <w:rPr>
                <w:rFonts w:ascii="Arial" w:hAnsi="Arial" w:cs="Arial"/>
                <w:sz w:val="16"/>
                <w:szCs w:val="16"/>
              </w:rPr>
            </w:pPr>
          </w:p>
        </w:tc>
        <w:tc>
          <w:tcPr>
            <w:tcW w:w="173" w:type="pct"/>
            <w:shd w:val="clear" w:color="auto" w:fill="FFFFFF"/>
          </w:tcPr>
          <w:p w14:paraId="7857F866" w14:textId="77777777" w:rsidR="00ED68D5" w:rsidRPr="00F224F6" w:rsidRDefault="00ED68D5" w:rsidP="00EB5A30">
            <w:pPr>
              <w:spacing w:before="60" w:after="60" w:line="240" w:lineRule="auto"/>
              <w:jc w:val="center"/>
              <w:rPr>
                <w:rFonts w:ascii="Arial" w:hAnsi="Arial" w:cs="Arial"/>
                <w:color w:val="FFFFFF"/>
                <w:sz w:val="16"/>
                <w:szCs w:val="16"/>
              </w:rPr>
            </w:pPr>
          </w:p>
        </w:tc>
        <w:tc>
          <w:tcPr>
            <w:tcW w:w="392" w:type="pct"/>
            <w:shd w:val="clear" w:color="auto" w:fill="D6E3BC"/>
            <w:vAlign w:val="center"/>
          </w:tcPr>
          <w:p w14:paraId="61E14D06" w14:textId="77777777" w:rsidR="00ED68D5" w:rsidRPr="00F224F6" w:rsidRDefault="00ED68D5" w:rsidP="00EB5A30">
            <w:pPr>
              <w:spacing w:before="60" w:after="60" w:line="240" w:lineRule="auto"/>
              <w:jc w:val="center"/>
              <w:rPr>
                <w:rFonts w:ascii="Arial" w:hAnsi="Arial" w:cs="Arial"/>
                <w:sz w:val="16"/>
                <w:szCs w:val="16"/>
              </w:rPr>
            </w:pPr>
            <w:r w:rsidRPr="00F224F6">
              <w:rPr>
                <w:rFonts w:ascii="Arial" w:hAnsi="Arial" w:cs="Arial"/>
                <w:sz w:val="16"/>
                <w:szCs w:val="16"/>
              </w:rPr>
              <w:t>Razem</w:t>
            </w:r>
          </w:p>
        </w:tc>
        <w:tc>
          <w:tcPr>
            <w:tcW w:w="849" w:type="pct"/>
            <w:shd w:val="clear" w:color="auto" w:fill="D6E3BC"/>
            <w:vAlign w:val="center"/>
          </w:tcPr>
          <w:p w14:paraId="4E3C7203" w14:textId="039C1DC2" w:rsidR="00771856" w:rsidRDefault="00771856" w:rsidP="00EB5A30">
            <w:pPr>
              <w:spacing w:before="60" w:after="60" w:line="240" w:lineRule="auto"/>
              <w:jc w:val="center"/>
              <w:rPr>
                <w:rFonts w:ascii="Arial" w:hAnsi="Arial" w:cs="Arial"/>
                <w:sz w:val="16"/>
                <w:szCs w:val="16"/>
              </w:rPr>
            </w:pPr>
            <w:r w:rsidRPr="00771856">
              <w:rPr>
                <w:rFonts w:ascii="Arial" w:hAnsi="Arial" w:cs="Arial"/>
                <w:sz w:val="16"/>
                <w:szCs w:val="16"/>
              </w:rPr>
              <w:t>737 175</w:t>
            </w:r>
            <w:r>
              <w:rPr>
                <w:rFonts w:ascii="Arial" w:hAnsi="Arial" w:cs="Arial"/>
                <w:sz w:val="16"/>
                <w:szCs w:val="16"/>
              </w:rPr>
              <w:t> </w:t>
            </w:r>
            <w:r w:rsidRPr="00771856">
              <w:rPr>
                <w:rFonts w:ascii="Arial" w:hAnsi="Arial" w:cs="Arial"/>
                <w:sz w:val="16"/>
                <w:szCs w:val="16"/>
              </w:rPr>
              <w:t>003</w:t>
            </w:r>
          </w:p>
          <w:p w14:paraId="2094D517" w14:textId="0E713FDE" w:rsidR="00ED68D5" w:rsidRPr="004E3242" w:rsidRDefault="00ED68D5" w:rsidP="00ED68D5">
            <w:pPr>
              <w:spacing w:before="60" w:after="60" w:line="240" w:lineRule="auto"/>
              <w:jc w:val="center"/>
              <w:rPr>
                <w:rFonts w:ascii="Arial" w:hAnsi="Arial" w:cs="Arial"/>
                <w:sz w:val="16"/>
                <w:szCs w:val="16"/>
              </w:rPr>
            </w:pPr>
          </w:p>
        </w:tc>
      </w:tr>
    </w:tbl>
    <w:p w14:paraId="365F6E28" w14:textId="77777777" w:rsidR="00ED68D5" w:rsidRPr="00B93CF8" w:rsidRDefault="00ED68D5" w:rsidP="00B93CF8">
      <w:pPr>
        <w:spacing w:before="120" w:after="120"/>
        <w:jc w:val="both"/>
        <w:rPr>
          <w:rFonts w:ascii="Arial" w:hAnsi="Arial" w:cs="Arial"/>
          <w:bCs/>
          <w:smallCaps/>
          <w:color w:val="669900"/>
          <w:spacing w:val="4"/>
          <w:sz w:val="20"/>
          <w:szCs w:val="20"/>
        </w:rPr>
      </w:pPr>
    </w:p>
    <w:p w14:paraId="0611BDBD" w14:textId="77777777" w:rsidR="00702978" w:rsidRPr="004E3242" w:rsidRDefault="00702978" w:rsidP="00702978">
      <w:pPr>
        <w:spacing w:after="0" w:line="240" w:lineRule="auto"/>
        <w:jc w:val="both"/>
        <w:rPr>
          <w:rFonts w:ascii="Arial" w:hAnsi="Arial" w:cs="Arial"/>
          <w:bCs/>
          <w:smallCaps/>
          <w:color w:val="669900"/>
          <w:spacing w:val="4"/>
          <w:sz w:val="20"/>
          <w:szCs w:val="20"/>
        </w:rPr>
      </w:pPr>
    </w:p>
    <w:p w14:paraId="71A8C0E4" w14:textId="77777777" w:rsidR="005C1EA9" w:rsidRPr="005C1EA9" w:rsidRDefault="00C7477C" w:rsidP="005C1EA9">
      <w:pPr>
        <w:numPr>
          <w:ilvl w:val="2"/>
          <w:numId w:val="3"/>
        </w:numPr>
        <w:shd w:val="clear" w:color="auto" w:fill="D6E3BC"/>
        <w:spacing w:before="240" w:after="240"/>
        <w:outlineLvl w:val="2"/>
        <w:rPr>
          <w:rFonts w:ascii="Arial" w:hAnsi="Arial"/>
          <w:smallCaps/>
          <w:color w:val="000000"/>
          <w:spacing w:val="15"/>
          <w:sz w:val="24"/>
          <w:szCs w:val="24"/>
          <w:u w:color="A8C743"/>
          <w:lang w:eastAsia="pl-PL"/>
        </w:rPr>
      </w:pPr>
      <w:bookmarkStart w:id="462" w:name="_Toc83810573"/>
      <w:r w:rsidRPr="005C1EA9">
        <w:rPr>
          <w:rFonts w:ascii="Arial" w:hAnsi="Arial"/>
          <w:smallCaps/>
          <w:color w:val="000000"/>
          <w:spacing w:val="15"/>
          <w:sz w:val="24"/>
          <w:szCs w:val="24"/>
          <w:u w:color="A8C743"/>
          <w:lang w:eastAsia="pl-PL"/>
        </w:rPr>
        <w:t>Oś priorytetowa</w:t>
      </w:r>
      <w:r>
        <w:rPr>
          <w:rFonts w:ascii="Arial" w:hAnsi="Arial"/>
          <w:smallCaps/>
          <w:color w:val="000000"/>
          <w:spacing w:val="15"/>
          <w:sz w:val="24"/>
          <w:szCs w:val="24"/>
          <w:u w:color="A8C743"/>
          <w:lang w:eastAsia="pl-PL"/>
        </w:rPr>
        <w:t xml:space="preserve"> </w:t>
      </w:r>
      <w:r w:rsidRPr="005C1EA9">
        <w:rPr>
          <w:rFonts w:ascii="Arial" w:hAnsi="Arial"/>
          <w:smallCaps/>
          <w:color w:val="000000"/>
          <w:spacing w:val="15"/>
          <w:sz w:val="24"/>
          <w:szCs w:val="24"/>
          <w:u w:color="A8C743"/>
          <w:lang w:eastAsia="pl-PL"/>
        </w:rPr>
        <w:t>X</w:t>
      </w:r>
      <w:r>
        <w:rPr>
          <w:rFonts w:ascii="Arial" w:hAnsi="Arial"/>
          <w:smallCaps/>
          <w:color w:val="000000"/>
          <w:spacing w:val="15"/>
          <w:sz w:val="24"/>
          <w:szCs w:val="24"/>
          <w:u w:color="A8C743"/>
          <w:lang w:eastAsia="pl-PL"/>
        </w:rPr>
        <w:t>II</w:t>
      </w:r>
      <w:r w:rsidRPr="005C1EA9">
        <w:rPr>
          <w:rFonts w:ascii="Arial" w:hAnsi="Arial"/>
          <w:smallCaps/>
          <w:color w:val="000000"/>
          <w:spacing w:val="15"/>
          <w:sz w:val="24"/>
          <w:szCs w:val="24"/>
          <w:u w:color="A8C743"/>
          <w:lang w:eastAsia="pl-PL"/>
        </w:rPr>
        <w:t xml:space="preserve">: </w:t>
      </w:r>
      <w:r w:rsidRPr="005C1EA9">
        <w:rPr>
          <w:rFonts w:ascii="Arial" w:hAnsi="Arial" w:cs="Arial"/>
          <w:sz w:val="20"/>
          <w:szCs w:val="20"/>
        </w:rPr>
        <w:t>POMOC TECHNICZN</w:t>
      </w:r>
      <w:r>
        <w:rPr>
          <w:rFonts w:ascii="Arial" w:hAnsi="Arial" w:cs="Arial"/>
          <w:sz w:val="20"/>
          <w:szCs w:val="20"/>
        </w:rPr>
        <w:t>A REACT-EU</w:t>
      </w:r>
      <w:bookmarkEnd w:id="462"/>
    </w:p>
    <w:p w14:paraId="71FCE4BC" w14:textId="77777777" w:rsidR="002C5154" w:rsidRPr="006571A0" w:rsidRDefault="002C5154" w:rsidP="00CA468D">
      <w:pPr>
        <w:spacing w:after="120"/>
        <w:jc w:val="both"/>
        <w:rPr>
          <w:rFonts w:ascii="Arial" w:hAnsi="Arial"/>
          <w:sz w:val="20"/>
          <w:szCs w:val="20"/>
        </w:rPr>
      </w:pPr>
      <w:r w:rsidRPr="006571A0">
        <w:rPr>
          <w:rFonts w:ascii="Arial" w:hAnsi="Arial"/>
          <w:sz w:val="20"/>
          <w:szCs w:val="20"/>
        </w:rPr>
        <w:t>Pandemia COVID-19 wymaga nadzwyczajnych środków w celu uruchomienia inwestycji i</w:t>
      </w:r>
      <w:r w:rsidR="00954372" w:rsidRPr="006571A0">
        <w:rPr>
          <w:rFonts w:ascii="Arial" w:hAnsi="Arial"/>
          <w:sz w:val="20"/>
          <w:szCs w:val="20"/>
        </w:rPr>
        <w:t> </w:t>
      </w:r>
      <w:r w:rsidRPr="006571A0">
        <w:rPr>
          <w:rFonts w:ascii="Arial" w:hAnsi="Arial"/>
          <w:sz w:val="20"/>
          <w:szCs w:val="20"/>
        </w:rPr>
        <w:t xml:space="preserve">skoncentrowania wsparcia finansowego na działaniach przeprowadzanych w kluczowych pierwszych latach odbudowy po pandemii. Komisja Europejska proponuje dodatkowe zasoby w ramach trwających programów z okresu programowania 2014-2020, w tym </w:t>
      </w:r>
      <w:proofErr w:type="spellStart"/>
      <w:r w:rsidRPr="006571A0">
        <w:rPr>
          <w:rFonts w:ascii="Arial" w:hAnsi="Arial"/>
          <w:sz w:val="20"/>
          <w:szCs w:val="20"/>
        </w:rPr>
        <w:t>POIiŚ</w:t>
      </w:r>
      <w:proofErr w:type="spellEnd"/>
      <w:r w:rsidRPr="006571A0">
        <w:rPr>
          <w:rFonts w:ascii="Arial" w:hAnsi="Arial"/>
          <w:sz w:val="20"/>
          <w:szCs w:val="20"/>
        </w:rPr>
        <w:t xml:space="preserve">, pochodzące z </w:t>
      </w:r>
      <w:r w:rsidR="003E000F">
        <w:rPr>
          <w:rFonts w:ascii="Arial" w:hAnsi="Arial"/>
          <w:sz w:val="20"/>
          <w:szCs w:val="20"/>
        </w:rPr>
        <w:t>REACT-EU</w:t>
      </w:r>
      <w:r w:rsidRPr="006571A0">
        <w:rPr>
          <w:rFonts w:ascii="Arial" w:hAnsi="Arial"/>
          <w:sz w:val="20"/>
          <w:szCs w:val="20"/>
        </w:rPr>
        <w:t>. Funkcjonowanie efektywnego systemu zarządzania i</w:t>
      </w:r>
      <w:r w:rsidR="00954372" w:rsidRPr="006571A0">
        <w:rPr>
          <w:rFonts w:ascii="Arial" w:hAnsi="Arial"/>
          <w:sz w:val="20"/>
          <w:szCs w:val="20"/>
        </w:rPr>
        <w:t> </w:t>
      </w:r>
      <w:r w:rsidRPr="006571A0">
        <w:rPr>
          <w:rFonts w:ascii="Arial" w:hAnsi="Arial"/>
          <w:sz w:val="20"/>
          <w:szCs w:val="20"/>
        </w:rPr>
        <w:t xml:space="preserve">wdrażania środków </w:t>
      </w:r>
      <w:r w:rsidR="003E000F">
        <w:rPr>
          <w:rFonts w:ascii="Arial" w:hAnsi="Arial"/>
          <w:sz w:val="20"/>
          <w:szCs w:val="20"/>
        </w:rPr>
        <w:t>REACT-EU</w:t>
      </w:r>
      <w:r w:rsidRPr="006571A0">
        <w:rPr>
          <w:rFonts w:ascii="Arial" w:hAnsi="Arial"/>
          <w:sz w:val="20"/>
          <w:szCs w:val="20"/>
        </w:rPr>
        <w:t xml:space="preserve"> wymaga adekwatnych środków w ramach pomocy technicznej.</w:t>
      </w:r>
    </w:p>
    <w:p w14:paraId="0DDFEE85" w14:textId="77777777" w:rsidR="002C5154" w:rsidRPr="006571A0" w:rsidRDefault="002C5154" w:rsidP="00CA468D">
      <w:pPr>
        <w:spacing w:after="120"/>
        <w:jc w:val="both"/>
        <w:rPr>
          <w:rFonts w:ascii="Arial" w:hAnsi="Arial"/>
          <w:sz w:val="20"/>
          <w:szCs w:val="20"/>
        </w:rPr>
      </w:pPr>
      <w:r w:rsidRPr="006571A0">
        <w:rPr>
          <w:rFonts w:ascii="Arial" w:hAnsi="Arial"/>
          <w:sz w:val="20"/>
          <w:szCs w:val="20"/>
        </w:rPr>
        <w:t>Działania w ramach osi będą wspierać realizację między innymi operacji w ramach osi priorytetowej XI</w:t>
      </w:r>
      <w:r w:rsidR="007C3C9F" w:rsidRPr="006571A0">
        <w:rPr>
          <w:rFonts w:ascii="Arial" w:hAnsi="Arial"/>
          <w:sz w:val="20"/>
          <w:szCs w:val="20"/>
        </w:rPr>
        <w:t>.</w:t>
      </w:r>
      <w:r w:rsidRPr="006571A0">
        <w:rPr>
          <w:rFonts w:ascii="Arial" w:hAnsi="Arial"/>
          <w:sz w:val="20"/>
          <w:szCs w:val="20"/>
        </w:rPr>
        <w:t xml:space="preserve">, przeznaczonej na wdrażanie kryzysowych działań naprawczych realizowanych w ramach </w:t>
      </w:r>
      <w:proofErr w:type="spellStart"/>
      <w:r w:rsidRPr="006571A0">
        <w:rPr>
          <w:rFonts w:ascii="Arial" w:hAnsi="Arial"/>
          <w:sz w:val="20"/>
          <w:szCs w:val="20"/>
        </w:rPr>
        <w:t>POIiŚ</w:t>
      </w:r>
      <w:proofErr w:type="spellEnd"/>
      <w:r w:rsidRPr="006571A0">
        <w:rPr>
          <w:rFonts w:ascii="Arial" w:hAnsi="Arial"/>
          <w:sz w:val="20"/>
          <w:szCs w:val="20"/>
        </w:rPr>
        <w:t xml:space="preserve"> w</w:t>
      </w:r>
      <w:r w:rsidR="00954372" w:rsidRPr="006571A0">
        <w:rPr>
          <w:rFonts w:ascii="Arial" w:hAnsi="Arial"/>
          <w:sz w:val="20"/>
          <w:szCs w:val="20"/>
        </w:rPr>
        <w:t> </w:t>
      </w:r>
      <w:r w:rsidRPr="006571A0">
        <w:rPr>
          <w:rFonts w:ascii="Arial" w:hAnsi="Arial"/>
          <w:sz w:val="20"/>
          <w:szCs w:val="20"/>
        </w:rPr>
        <w:t>kontekście pandemii COVID-19 i przygotowującej do ekologicznej i cyfrowej odbudowy gospodarki. Działania te będą spójne z X</w:t>
      </w:r>
      <w:r w:rsidR="007C3C9F" w:rsidRPr="006571A0">
        <w:rPr>
          <w:rFonts w:ascii="Arial" w:hAnsi="Arial"/>
          <w:sz w:val="20"/>
          <w:szCs w:val="20"/>
        </w:rPr>
        <w:t>.</w:t>
      </w:r>
      <w:r w:rsidRPr="006571A0">
        <w:rPr>
          <w:rFonts w:ascii="Arial" w:hAnsi="Arial"/>
          <w:sz w:val="20"/>
          <w:szCs w:val="20"/>
        </w:rPr>
        <w:t xml:space="preserve"> osią priorytetową Pomocy techniczna </w:t>
      </w:r>
      <w:proofErr w:type="spellStart"/>
      <w:r w:rsidRPr="006571A0">
        <w:rPr>
          <w:rFonts w:ascii="Arial" w:hAnsi="Arial"/>
          <w:sz w:val="20"/>
          <w:szCs w:val="20"/>
        </w:rPr>
        <w:t>POIiŚ</w:t>
      </w:r>
      <w:proofErr w:type="spellEnd"/>
      <w:r w:rsidRPr="006571A0">
        <w:rPr>
          <w:rFonts w:ascii="Arial" w:hAnsi="Arial"/>
          <w:sz w:val="20"/>
          <w:szCs w:val="20"/>
        </w:rPr>
        <w:t xml:space="preserve"> i komplementarne ze</w:t>
      </w:r>
      <w:r w:rsidR="00954372" w:rsidRPr="006571A0">
        <w:rPr>
          <w:rFonts w:ascii="Arial" w:hAnsi="Arial"/>
          <w:sz w:val="20"/>
          <w:szCs w:val="20"/>
        </w:rPr>
        <w:t> </w:t>
      </w:r>
      <w:r w:rsidRPr="006571A0">
        <w:rPr>
          <w:rFonts w:ascii="Arial" w:hAnsi="Arial"/>
          <w:sz w:val="20"/>
          <w:szCs w:val="20"/>
        </w:rPr>
        <w:t>wsparciem udzielanym na ten cel z innych krajowych programów operacyjnych. Wsparcie będzie udzielane zgodnie Rozporządzeniem delegowanym Komisji (UE) 2019/1867</w:t>
      </w:r>
      <w:r w:rsidR="006D648C" w:rsidRPr="006571A0">
        <w:rPr>
          <w:rFonts w:ascii="Arial" w:hAnsi="Arial"/>
          <w:sz w:val="20"/>
          <w:szCs w:val="20"/>
        </w:rPr>
        <w:t xml:space="preserve"> </w:t>
      </w:r>
      <w:r w:rsidRPr="006571A0">
        <w:rPr>
          <w:rFonts w:ascii="Arial" w:hAnsi="Arial"/>
          <w:sz w:val="20"/>
          <w:szCs w:val="20"/>
        </w:rPr>
        <w:t>z</w:t>
      </w:r>
      <w:r w:rsidR="006D648C" w:rsidRPr="006571A0">
        <w:rPr>
          <w:rFonts w:ascii="Arial" w:hAnsi="Arial"/>
          <w:sz w:val="20"/>
          <w:szCs w:val="20"/>
        </w:rPr>
        <w:t xml:space="preserve"> </w:t>
      </w:r>
      <w:r w:rsidRPr="006571A0">
        <w:rPr>
          <w:rFonts w:ascii="Arial" w:hAnsi="Arial"/>
          <w:sz w:val="20"/>
          <w:szCs w:val="20"/>
        </w:rPr>
        <w:t>dnia 28 sierpnia 2019 r.</w:t>
      </w:r>
      <w:r w:rsidR="006D648C" w:rsidRPr="006571A0">
        <w:rPr>
          <w:rFonts w:ascii="Arial" w:hAnsi="Arial"/>
          <w:sz w:val="20"/>
          <w:szCs w:val="20"/>
        </w:rPr>
        <w:t xml:space="preserve"> </w:t>
      </w:r>
      <w:r w:rsidRPr="006571A0">
        <w:rPr>
          <w:rFonts w:ascii="Arial" w:hAnsi="Arial"/>
          <w:sz w:val="20"/>
          <w:szCs w:val="20"/>
        </w:rPr>
        <w:t>uzupełniającym rozporządzenie Parlamentu Europejskiego i Rady (UE) nr 1303/2013 w oparciu o</w:t>
      </w:r>
      <w:r w:rsidR="00954372" w:rsidRPr="006571A0">
        <w:rPr>
          <w:rFonts w:ascii="Arial" w:hAnsi="Arial"/>
          <w:sz w:val="20"/>
          <w:szCs w:val="20"/>
        </w:rPr>
        <w:t> </w:t>
      </w:r>
      <w:r w:rsidRPr="006571A0">
        <w:rPr>
          <w:rFonts w:ascii="Arial" w:hAnsi="Arial"/>
          <w:sz w:val="20"/>
          <w:szCs w:val="20"/>
        </w:rPr>
        <w:t>stawki ryczałtowe</w:t>
      </w:r>
      <w:r w:rsidR="00853A67" w:rsidRPr="006571A0">
        <w:rPr>
          <w:rFonts w:ascii="Arial" w:hAnsi="Arial"/>
          <w:sz w:val="20"/>
          <w:szCs w:val="20"/>
        </w:rPr>
        <w:t>. Zastosowana</w:t>
      </w:r>
      <w:r w:rsidRPr="006571A0">
        <w:rPr>
          <w:rFonts w:ascii="Arial" w:hAnsi="Arial"/>
          <w:sz w:val="20"/>
          <w:szCs w:val="20"/>
        </w:rPr>
        <w:t xml:space="preserve"> będzie stawk</w:t>
      </w:r>
      <w:r w:rsidR="00853A67" w:rsidRPr="006571A0">
        <w:rPr>
          <w:rFonts w:ascii="Arial" w:hAnsi="Arial"/>
          <w:sz w:val="20"/>
          <w:szCs w:val="20"/>
        </w:rPr>
        <w:t>a</w:t>
      </w:r>
      <w:r w:rsidRPr="006571A0">
        <w:rPr>
          <w:rFonts w:ascii="Arial" w:hAnsi="Arial"/>
          <w:sz w:val="20"/>
          <w:szCs w:val="20"/>
        </w:rPr>
        <w:t xml:space="preserve"> ryczałtow</w:t>
      </w:r>
      <w:r w:rsidR="00B07069" w:rsidRPr="006571A0">
        <w:rPr>
          <w:rFonts w:ascii="Arial" w:hAnsi="Arial"/>
          <w:sz w:val="20"/>
          <w:szCs w:val="20"/>
        </w:rPr>
        <w:t>a</w:t>
      </w:r>
      <w:r w:rsidRPr="006571A0">
        <w:rPr>
          <w:rFonts w:ascii="Arial" w:hAnsi="Arial"/>
          <w:sz w:val="20"/>
          <w:szCs w:val="20"/>
        </w:rPr>
        <w:t xml:space="preserve"> wynosząc</w:t>
      </w:r>
      <w:r w:rsidR="00B07069" w:rsidRPr="006571A0">
        <w:rPr>
          <w:rFonts w:ascii="Arial" w:hAnsi="Arial"/>
          <w:sz w:val="20"/>
          <w:szCs w:val="20"/>
        </w:rPr>
        <w:t>a</w:t>
      </w:r>
      <w:r w:rsidRPr="006571A0">
        <w:rPr>
          <w:rFonts w:ascii="Arial" w:hAnsi="Arial"/>
          <w:sz w:val="20"/>
          <w:szCs w:val="20"/>
        </w:rPr>
        <w:t xml:space="preserve"> 4% kwot</w:t>
      </w:r>
      <w:r w:rsidR="00853A67" w:rsidRPr="006571A0">
        <w:rPr>
          <w:rFonts w:ascii="Arial" w:hAnsi="Arial"/>
          <w:sz w:val="20"/>
          <w:szCs w:val="20"/>
        </w:rPr>
        <w:t>y</w:t>
      </w:r>
      <w:r w:rsidRPr="006571A0">
        <w:rPr>
          <w:rFonts w:ascii="Arial" w:hAnsi="Arial"/>
          <w:sz w:val="20"/>
          <w:szCs w:val="20"/>
        </w:rPr>
        <w:t xml:space="preserve"> wydatków kwalifikowalnych na operacje w ramach osi priorytetowej XI</w:t>
      </w:r>
      <w:r w:rsidR="00B07069" w:rsidRPr="006571A0">
        <w:rPr>
          <w:rFonts w:ascii="Arial" w:hAnsi="Arial"/>
          <w:sz w:val="20"/>
          <w:szCs w:val="20"/>
        </w:rPr>
        <w:t>.</w:t>
      </w:r>
      <w:r w:rsidRPr="006571A0">
        <w:rPr>
          <w:rFonts w:ascii="Arial" w:hAnsi="Arial"/>
          <w:sz w:val="20"/>
          <w:szCs w:val="20"/>
        </w:rPr>
        <w:t>, wdrażającej kryzysowe działania naprawcze realizowane w ramach PO</w:t>
      </w:r>
      <w:r w:rsidR="001A5053" w:rsidRPr="006571A0">
        <w:rPr>
          <w:rFonts w:ascii="Arial" w:hAnsi="Arial"/>
          <w:sz w:val="20"/>
          <w:szCs w:val="20"/>
        </w:rPr>
        <w:t xml:space="preserve"> </w:t>
      </w:r>
      <w:proofErr w:type="spellStart"/>
      <w:r w:rsidRPr="006571A0">
        <w:rPr>
          <w:rFonts w:ascii="Arial" w:hAnsi="Arial"/>
          <w:sz w:val="20"/>
          <w:szCs w:val="20"/>
        </w:rPr>
        <w:t>I</w:t>
      </w:r>
      <w:r w:rsidR="001A5053" w:rsidRPr="006571A0">
        <w:rPr>
          <w:rFonts w:ascii="Arial" w:hAnsi="Arial"/>
          <w:sz w:val="20"/>
          <w:szCs w:val="20"/>
        </w:rPr>
        <w:t>iŚ</w:t>
      </w:r>
      <w:proofErr w:type="spellEnd"/>
      <w:r w:rsidRPr="006571A0">
        <w:rPr>
          <w:rFonts w:ascii="Arial" w:hAnsi="Arial"/>
          <w:sz w:val="20"/>
          <w:szCs w:val="20"/>
        </w:rPr>
        <w:t xml:space="preserve"> w</w:t>
      </w:r>
      <w:r w:rsidR="00A02FDD" w:rsidRPr="006571A0">
        <w:rPr>
          <w:rFonts w:ascii="Arial" w:hAnsi="Arial"/>
          <w:sz w:val="20"/>
          <w:szCs w:val="20"/>
        </w:rPr>
        <w:t xml:space="preserve"> </w:t>
      </w:r>
      <w:r w:rsidRPr="006571A0">
        <w:rPr>
          <w:rFonts w:ascii="Arial" w:hAnsi="Arial"/>
          <w:sz w:val="20"/>
          <w:szCs w:val="20"/>
        </w:rPr>
        <w:t>kontekście pandemii COVID-19 i przygotowujące</w:t>
      </w:r>
      <w:r w:rsidR="00853A67" w:rsidRPr="006571A0">
        <w:rPr>
          <w:rFonts w:ascii="Arial" w:hAnsi="Arial"/>
          <w:sz w:val="20"/>
          <w:szCs w:val="20"/>
        </w:rPr>
        <w:t>j</w:t>
      </w:r>
      <w:r w:rsidRPr="006571A0">
        <w:rPr>
          <w:rFonts w:ascii="Arial" w:hAnsi="Arial"/>
          <w:sz w:val="20"/>
          <w:szCs w:val="20"/>
        </w:rPr>
        <w:t xml:space="preserve"> do</w:t>
      </w:r>
      <w:r w:rsidR="00954372" w:rsidRPr="006571A0">
        <w:rPr>
          <w:rFonts w:ascii="Arial" w:hAnsi="Arial"/>
          <w:sz w:val="20"/>
          <w:szCs w:val="20"/>
        </w:rPr>
        <w:t> </w:t>
      </w:r>
      <w:r w:rsidRPr="006571A0">
        <w:rPr>
          <w:rFonts w:ascii="Arial" w:hAnsi="Arial"/>
          <w:sz w:val="20"/>
          <w:szCs w:val="20"/>
        </w:rPr>
        <w:t>ekologicznej i cyfrowej odbudowy gospodarki (REACT-EU).</w:t>
      </w:r>
    </w:p>
    <w:p w14:paraId="62CE1F48" w14:textId="77777777" w:rsidR="00566D1A" w:rsidRPr="006571A0" w:rsidRDefault="00566D1A" w:rsidP="00CA468D">
      <w:pPr>
        <w:spacing w:after="120"/>
        <w:jc w:val="both"/>
        <w:rPr>
          <w:rFonts w:ascii="Arial" w:hAnsi="Arial"/>
          <w:sz w:val="20"/>
          <w:szCs w:val="20"/>
        </w:rPr>
      </w:pPr>
      <w:r w:rsidRPr="006571A0">
        <w:rPr>
          <w:rFonts w:ascii="Arial" w:hAnsi="Arial"/>
          <w:sz w:val="20"/>
          <w:szCs w:val="20"/>
        </w:rPr>
        <w:t xml:space="preserve">W ramach osi priorytetowej zaplanowano realizację działań, których celem będzie przeciwdziałanie negatywnym skutkom pandemii COVID-19. Instytucje systemu wdrażania </w:t>
      </w:r>
      <w:proofErr w:type="spellStart"/>
      <w:r w:rsidRPr="006571A0">
        <w:rPr>
          <w:rFonts w:ascii="Arial" w:hAnsi="Arial"/>
          <w:sz w:val="20"/>
          <w:szCs w:val="20"/>
        </w:rPr>
        <w:t>POIiŚ</w:t>
      </w:r>
      <w:proofErr w:type="spellEnd"/>
      <w:r w:rsidRPr="006571A0">
        <w:rPr>
          <w:rFonts w:ascii="Arial" w:hAnsi="Arial"/>
          <w:sz w:val="20"/>
          <w:szCs w:val="20"/>
        </w:rPr>
        <w:t xml:space="preserve"> </w:t>
      </w:r>
      <w:r w:rsidR="00B07069" w:rsidRPr="006571A0">
        <w:rPr>
          <w:rFonts w:ascii="Arial" w:hAnsi="Arial"/>
          <w:sz w:val="20"/>
          <w:szCs w:val="20"/>
        </w:rPr>
        <w:t>w okresie pandemii ponoszą znacznie wyższe koszty i angażują znacznie więcej zasobów ludzkich i technicznych do</w:t>
      </w:r>
      <w:r w:rsidR="00954372" w:rsidRPr="006571A0">
        <w:rPr>
          <w:rFonts w:ascii="Arial" w:hAnsi="Arial"/>
          <w:sz w:val="20"/>
          <w:szCs w:val="20"/>
        </w:rPr>
        <w:t> </w:t>
      </w:r>
      <w:r w:rsidR="00B07069" w:rsidRPr="006571A0">
        <w:rPr>
          <w:rFonts w:ascii="Arial" w:hAnsi="Arial"/>
          <w:sz w:val="20"/>
          <w:szCs w:val="20"/>
        </w:rPr>
        <w:t xml:space="preserve">osiągnięcia zakładanych efektów. Jest to spowodowane </w:t>
      </w:r>
      <w:r w:rsidRPr="006571A0">
        <w:rPr>
          <w:rFonts w:ascii="Arial" w:hAnsi="Arial"/>
          <w:sz w:val="20"/>
          <w:szCs w:val="20"/>
        </w:rPr>
        <w:t>koniecznoś</w:t>
      </w:r>
      <w:r w:rsidR="00B07069" w:rsidRPr="006571A0">
        <w:rPr>
          <w:rFonts w:ascii="Arial" w:hAnsi="Arial"/>
          <w:sz w:val="20"/>
          <w:szCs w:val="20"/>
        </w:rPr>
        <w:t>cią</w:t>
      </w:r>
      <w:r w:rsidRPr="006571A0">
        <w:rPr>
          <w:rFonts w:ascii="Arial" w:hAnsi="Arial"/>
          <w:sz w:val="20"/>
          <w:szCs w:val="20"/>
        </w:rPr>
        <w:t xml:space="preserve"> wdrożenia nowych działań w ramach pozostałych osi </w:t>
      </w:r>
      <w:proofErr w:type="spellStart"/>
      <w:r w:rsidRPr="006571A0">
        <w:rPr>
          <w:rFonts w:ascii="Arial" w:hAnsi="Arial"/>
          <w:sz w:val="20"/>
          <w:szCs w:val="20"/>
        </w:rPr>
        <w:t>POIiŚ</w:t>
      </w:r>
      <w:proofErr w:type="spellEnd"/>
      <w:r w:rsidRPr="006571A0">
        <w:rPr>
          <w:rFonts w:ascii="Arial" w:hAnsi="Arial"/>
          <w:sz w:val="20"/>
          <w:szCs w:val="20"/>
        </w:rPr>
        <w:t>, nakierowanych na zwalczanie skutków pandemii COVID-19</w:t>
      </w:r>
      <w:r w:rsidR="00B07069" w:rsidRPr="006571A0">
        <w:rPr>
          <w:rFonts w:ascii="Arial" w:hAnsi="Arial"/>
          <w:sz w:val="20"/>
          <w:szCs w:val="20"/>
        </w:rPr>
        <w:t>.</w:t>
      </w:r>
      <w:r w:rsidRPr="006571A0">
        <w:rPr>
          <w:rFonts w:ascii="Arial" w:hAnsi="Arial"/>
          <w:sz w:val="20"/>
          <w:szCs w:val="20"/>
        </w:rPr>
        <w:t xml:space="preserve"> Dlatego środki pomocy technicznej będą wykorzystane również do odbudowy potencjału administracyjnego instytucji systemu wdrażania </w:t>
      </w:r>
      <w:proofErr w:type="spellStart"/>
      <w:r w:rsidRPr="006571A0">
        <w:rPr>
          <w:rFonts w:ascii="Arial" w:hAnsi="Arial"/>
          <w:sz w:val="20"/>
          <w:szCs w:val="20"/>
        </w:rPr>
        <w:t>POIiŚ</w:t>
      </w:r>
      <w:proofErr w:type="spellEnd"/>
      <w:r w:rsidRPr="006571A0">
        <w:rPr>
          <w:rFonts w:ascii="Arial" w:hAnsi="Arial"/>
          <w:sz w:val="20"/>
          <w:szCs w:val="20"/>
        </w:rPr>
        <w:t>, uszczuplonego na skutek pandemii.</w:t>
      </w:r>
    </w:p>
    <w:p w14:paraId="18930B7D" w14:textId="77777777" w:rsidR="00CA468D" w:rsidRDefault="00CA468D" w:rsidP="00CA468D">
      <w:pPr>
        <w:spacing w:after="120"/>
        <w:jc w:val="both"/>
        <w:rPr>
          <w:rFonts w:ascii="Arial" w:hAnsi="Arial" w:cs="Arial"/>
          <w:sz w:val="20"/>
          <w:szCs w:val="20"/>
        </w:rPr>
      </w:pPr>
      <w:r w:rsidRPr="00CA468D">
        <w:rPr>
          <w:rFonts w:ascii="Arial" w:hAnsi="Arial" w:cs="Arial"/>
          <w:sz w:val="20"/>
          <w:szCs w:val="20"/>
        </w:rPr>
        <w:t>Oś priorytetowa przeznaczona jest przede wszystkim na wsparcie przygotowania, wdrożenia, kontroli i</w:t>
      </w:r>
      <w:r w:rsidR="00A065EA">
        <w:rPr>
          <w:rFonts w:ascii="Arial" w:hAnsi="Arial" w:cs="Arial"/>
          <w:sz w:val="20"/>
          <w:szCs w:val="20"/>
        </w:rPr>
        <w:t> </w:t>
      </w:r>
      <w:r w:rsidRPr="00CA468D">
        <w:rPr>
          <w:rFonts w:ascii="Arial" w:hAnsi="Arial" w:cs="Arial"/>
          <w:sz w:val="20"/>
          <w:szCs w:val="20"/>
        </w:rPr>
        <w:t>audytu, ewaluacji oraz informacji i promocji kryzysowych działań naprawczych realizowanych w</w:t>
      </w:r>
      <w:r w:rsidR="00A065EA">
        <w:rPr>
          <w:rFonts w:ascii="Arial" w:hAnsi="Arial" w:cs="Arial"/>
          <w:sz w:val="20"/>
          <w:szCs w:val="20"/>
        </w:rPr>
        <w:t> </w:t>
      </w:r>
      <w:r w:rsidRPr="00CA468D">
        <w:rPr>
          <w:rFonts w:ascii="Arial" w:hAnsi="Arial" w:cs="Arial"/>
          <w:sz w:val="20"/>
          <w:szCs w:val="20"/>
        </w:rPr>
        <w:t xml:space="preserve">ramach PO </w:t>
      </w:r>
      <w:proofErr w:type="spellStart"/>
      <w:r w:rsidRPr="00CA468D">
        <w:rPr>
          <w:rFonts w:ascii="Arial" w:hAnsi="Arial" w:cs="Arial"/>
          <w:sz w:val="20"/>
          <w:szCs w:val="20"/>
        </w:rPr>
        <w:t>IiŚ</w:t>
      </w:r>
      <w:proofErr w:type="spellEnd"/>
      <w:r w:rsidRPr="00CA468D">
        <w:rPr>
          <w:rFonts w:ascii="Arial" w:hAnsi="Arial" w:cs="Arial"/>
          <w:sz w:val="20"/>
          <w:szCs w:val="20"/>
        </w:rPr>
        <w:t xml:space="preserve"> obejmujących zakresem interwencji cel tematyczny „Wspieranie kryzysowych działań naprawczych w kontekście pandemii COVID-19 i przygotowania do ekologicznej i cyfrowej odbudowy gospodarki zwiększającej jej odporność”. Oś obejmuje również wsparcie wdrożenia PO </w:t>
      </w:r>
      <w:proofErr w:type="spellStart"/>
      <w:r w:rsidRPr="00CA468D">
        <w:rPr>
          <w:rFonts w:ascii="Arial" w:hAnsi="Arial" w:cs="Arial"/>
          <w:sz w:val="20"/>
          <w:szCs w:val="20"/>
        </w:rPr>
        <w:t>IiŚ</w:t>
      </w:r>
      <w:proofErr w:type="spellEnd"/>
      <w:r w:rsidRPr="00CA468D">
        <w:rPr>
          <w:rFonts w:ascii="Arial" w:hAnsi="Arial" w:cs="Arial"/>
          <w:sz w:val="20"/>
          <w:szCs w:val="20"/>
        </w:rPr>
        <w:t xml:space="preserve"> w zakresie finansowania wynagrodzeń pracowników IP PO </w:t>
      </w:r>
      <w:proofErr w:type="spellStart"/>
      <w:r w:rsidRPr="00CA468D">
        <w:rPr>
          <w:rFonts w:ascii="Arial" w:hAnsi="Arial" w:cs="Arial"/>
          <w:sz w:val="20"/>
          <w:szCs w:val="20"/>
        </w:rPr>
        <w:t>IiŚ</w:t>
      </w:r>
      <w:proofErr w:type="spellEnd"/>
      <w:r w:rsidRPr="00CA468D">
        <w:rPr>
          <w:rFonts w:ascii="Arial" w:hAnsi="Arial" w:cs="Arial"/>
          <w:sz w:val="20"/>
          <w:szCs w:val="20"/>
        </w:rPr>
        <w:t xml:space="preserve"> i IW PO </w:t>
      </w:r>
      <w:proofErr w:type="spellStart"/>
      <w:r w:rsidRPr="00CA468D">
        <w:rPr>
          <w:rFonts w:ascii="Arial" w:hAnsi="Arial" w:cs="Arial"/>
          <w:sz w:val="20"/>
          <w:szCs w:val="20"/>
        </w:rPr>
        <w:t>IiŚ</w:t>
      </w:r>
      <w:proofErr w:type="spellEnd"/>
      <w:r w:rsidRPr="00CA468D">
        <w:rPr>
          <w:rFonts w:ascii="Arial" w:hAnsi="Arial" w:cs="Arial"/>
          <w:sz w:val="20"/>
          <w:szCs w:val="20"/>
        </w:rPr>
        <w:t xml:space="preserve"> realizujących zadania w</w:t>
      </w:r>
      <w:r w:rsidR="00954372">
        <w:rPr>
          <w:rFonts w:ascii="Arial" w:hAnsi="Arial" w:cs="Arial"/>
          <w:sz w:val="20"/>
          <w:szCs w:val="20"/>
        </w:rPr>
        <w:t> </w:t>
      </w:r>
      <w:r w:rsidRPr="00CA468D">
        <w:rPr>
          <w:rFonts w:ascii="Arial" w:hAnsi="Arial" w:cs="Arial"/>
          <w:sz w:val="20"/>
          <w:szCs w:val="20"/>
        </w:rPr>
        <w:t xml:space="preserve">osiach PO </w:t>
      </w:r>
      <w:proofErr w:type="spellStart"/>
      <w:r w:rsidRPr="00CA468D">
        <w:rPr>
          <w:rFonts w:ascii="Arial" w:hAnsi="Arial" w:cs="Arial"/>
          <w:sz w:val="20"/>
          <w:szCs w:val="20"/>
        </w:rPr>
        <w:t>IiŚ</w:t>
      </w:r>
      <w:proofErr w:type="spellEnd"/>
      <w:r w:rsidRPr="00CA468D">
        <w:rPr>
          <w:rFonts w:ascii="Arial" w:hAnsi="Arial" w:cs="Arial"/>
          <w:sz w:val="20"/>
          <w:szCs w:val="20"/>
        </w:rPr>
        <w:t xml:space="preserve"> </w:t>
      </w:r>
      <w:r w:rsidR="00B47754" w:rsidRPr="00CA468D">
        <w:rPr>
          <w:rFonts w:ascii="Arial" w:hAnsi="Arial" w:cs="Arial"/>
          <w:sz w:val="20"/>
          <w:szCs w:val="20"/>
        </w:rPr>
        <w:t xml:space="preserve">innych </w:t>
      </w:r>
      <w:r w:rsidRPr="00CA468D">
        <w:rPr>
          <w:rFonts w:ascii="Arial" w:hAnsi="Arial" w:cs="Arial"/>
          <w:sz w:val="20"/>
          <w:szCs w:val="20"/>
        </w:rPr>
        <w:t>niż oś XI.</w:t>
      </w:r>
    </w:p>
    <w:p w14:paraId="5C2C7753" w14:textId="77777777" w:rsidR="002F6164" w:rsidRPr="00CA468D" w:rsidRDefault="002F6164" w:rsidP="00CA468D">
      <w:pPr>
        <w:spacing w:after="120"/>
        <w:jc w:val="both"/>
        <w:rPr>
          <w:rFonts w:ascii="Arial" w:hAnsi="Arial" w:cs="Arial"/>
          <w:sz w:val="20"/>
          <w:szCs w:val="20"/>
        </w:rPr>
      </w:pPr>
    </w:p>
    <w:p w14:paraId="30EA9ED8" w14:textId="77777777" w:rsidR="002F6164" w:rsidRPr="006571A0" w:rsidRDefault="00D976B0" w:rsidP="002F6164">
      <w:pPr>
        <w:spacing w:after="0" w:line="240" w:lineRule="auto"/>
        <w:jc w:val="both"/>
        <w:rPr>
          <w:rFonts w:ascii="Arial" w:hAnsi="Arial"/>
          <w:sz w:val="20"/>
          <w:szCs w:val="20"/>
        </w:rPr>
      </w:pPr>
      <w:r w:rsidRPr="006571A0">
        <w:rPr>
          <w:rFonts w:ascii="Arial" w:hAnsi="Arial"/>
          <w:sz w:val="20"/>
          <w:szCs w:val="20"/>
        </w:rPr>
        <w:t>W</w:t>
      </w:r>
      <w:r w:rsidR="002F6164" w:rsidRPr="006571A0">
        <w:rPr>
          <w:rFonts w:ascii="Arial" w:hAnsi="Arial"/>
          <w:sz w:val="20"/>
          <w:szCs w:val="20"/>
        </w:rPr>
        <w:t xml:space="preserve"> ramach osi priorytetowej XII będą prowadzone działania informacyjne i promocyjne mające na celu:</w:t>
      </w:r>
    </w:p>
    <w:p w14:paraId="33DC8954" w14:textId="77777777" w:rsidR="002F6164" w:rsidRPr="006571A0" w:rsidRDefault="002F6164" w:rsidP="002F6164">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 xml:space="preserve">informowanie i zachęcanie potencjalnych beneficjentów do skorzystania ze środków dostępnych w ramach XI osi </w:t>
      </w:r>
      <w:r w:rsidR="001A5053" w:rsidRPr="006571A0">
        <w:rPr>
          <w:rFonts w:ascii="Arial" w:hAnsi="Arial" w:cs="Arial"/>
          <w:sz w:val="20"/>
          <w:szCs w:val="20"/>
        </w:rPr>
        <w:t xml:space="preserve">PO </w:t>
      </w:r>
      <w:proofErr w:type="spellStart"/>
      <w:r w:rsidR="001A5053" w:rsidRPr="006571A0">
        <w:rPr>
          <w:rFonts w:ascii="Arial" w:hAnsi="Arial" w:cs="Arial"/>
          <w:sz w:val="20"/>
          <w:szCs w:val="20"/>
        </w:rPr>
        <w:t>IiŚ</w:t>
      </w:r>
      <w:proofErr w:type="spellEnd"/>
      <w:r w:rsidRPr="006571A0">
        <w:rPr>
          <w:rFonts w:ascii="Arial" w:hAnsi="Arial" w:cs="Arial"/>
          <w:bCs/>
          <w:iCs/>
          <w:sz w:val="20"/>
          <w:szCs w:val="20"/>
        </w:rPr>
        <w:t xml:space="preserve"> realizowanej z zasobów REACT-EU,</w:t>
      </w:r>
    </w:p>
    <w:p w14:paraId="2E8D3295" w14:textId="77777777" w:rsidR="002F6164" w:rsidRPr="006571A0" w:rsidRDefault="002F6164" w:rsidP="002F6164">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informowanie opinii publicznej o działaniach i efektach inicjatywy REACT-EU, w tym pokazanie pozytywnego wpływu wsparcia z Funduszy Europejskich, zapewnienie szerokiego społecznego poparcia dla działań finansowanych w ramach RAECT-EU, ze szczególnym uwzględnieniem Europejskiej Wartości Dodanej i współpracy europejskiej w obszarze zwalczania efektów COVID-19.</w:t>
      </w:r>
      <w:r w:rsidR="00D976B0" w:rsidRPr="006571A0">
        <w:rPr>
          <w:rFonts w:ascii="Arial" w:hAnsi="Arial"/>
          <w:sz w:val="20"/>
          <w:szCs w:val="20"/>
        </w:rPr>
        <w:t xml:space="preserve"> Podkreślenie znaczenia wkładu z Funduszy Europejskich będzie realizowane m.in.</w:t>
      </w:r>
      <w:r w:rsidR="00047DAF" w:rsidRPr="006571A0">
        <w:rPr>
          <w:rFonts w:ascii="Arial" w:hAnsi="Arial"/>
          <w:sz w:val="20"/>
          <w:szCs w:val="20"/>
        </w:rPr>
        <w:t> </w:t>
      </w:r>
      <w:r w:rsidR="00D976B0" w:rsidRPr="006571A0">
        <w:rPr>
          <w:rFonts w:ascii="Arial" w:hAnsi="Arial"/>
          <w:sz w:val="20"/>
          <w:szCs w:val="20"/>
        </w:rPr>
        <w:t>poprzez:</w:t>
      </w:r>
    </w:p>
    <w:p w14:paraId="79DA5A83" w14:textId="77777777" w:rsidR="00D976B0" w:rsidRPr="006571A0" w:rsidRDefault="002F6164" w:rsidP="00D976B0">
      <w:pPr>
        <w:numPr>
          <w:ilvl w:val="0"/>
          <w:numId w:val="112"/>
        </w:numPr>
        <w:spacing w:after="0" w:line="240" w:lineRule="auto"/>
        <w:ind w:left="993" w:hanging="426"/>
        <w:jc w:val="both"/>
        <w:rPr>
          <w:rFonts w:ascii="Arial" w:hAnsi="Arial"/>
          <w:sz w:val="20"/>
          <w:szCs w:val="20"/>
        </w:rPr>
      </w:pPr>
      <w:r w:rsidRPr="006571A0">
        <w:rPr>
          <w:rFonts w:ascii="Arial" w:hAnsi="Arial"/>
          <w:sz w:val="20"/>
          <w:szCs w:val="20"/>
        </w:rPr>
        <w:lastRenderedPageBreak/>
        <w:t>zapewnianie informacji o dofinasowaniu z Funduszy Europejskich poprzez podawanie w</w:t>
      </w:r>
      <w:r w:rsidR="00047DAF" w:rsidRPr="006571A0">
        <w:rPr>
          <w:rFonts w:ascii="Arial" w:hAnsi="Arial"/>
          <w:sz w:val="20"/>
          <w:szCs w:val="20"/>
        </w:rPr>
        <w:t> </w:t>
      </w:r>
      <w:r w:rsidRPr="006571A0">
        <w:rPr>
          <w:rFonts w:ascii="Arial" w:hAnsi="Arial"/>
          <w:sz w:val="20"/>
          <w:szCs w:val="20"/>
        </w:rPr>
        <w:t>informacjach prasowych/materiałach w mediach społecznościowych/materiałach publikowanych w Internecie cytatów z wypowiedzi przedstawicieli KE;</w:t>
      </w:r>
    </w:p>
    <w:p w14:paraId="48CF525E" w14:textId="77777777" w:rsidR="00D976B0" w:rsidRPr="006571A0" w:rsidRDefault="002F6164" w:rsidP="00D976B0">
      <w:pPr>
        <w:numPr>
          <w:ilvl w:val="0"/>
          <w:numId w:val="112"/>
        </w:numPr>
        <w:spacing w:after="0" w:line="240" w:lineRule="auto"/>
        <w:ind w:left="993" w:hanging="426"/>
        <w:jc w:val="both"/>
        <w:rPr>
          <w:rFonts w:ascii="Arial" w:hAnsi="Arial"/>
          <w:sz w:val="20"/>
          <w:szCs w:val="20"/>
        </w:rPr>
      </w:pPr>
      <w:r w:rsidRPr="006571A0">
        <w:rPr>
          <w:rFonts w:ascii="Arial" w:hAnsi="Arial"/>
          <w:sz w:val="20"/>
          <w:szCs w:val="20"/>
        </w:rPr>
        <w:t>przekazywanie opinii publicznej informacji na temat REACT-EU w zakresie prezentacji obszarów wsparcia i dostępnych instrumentów, a także roli REACT-EU w zwalczaniu skutków pandemii COVID-19 oraz informacji o konkretnych projektach finansowanych z</w:t>
      </w:r>
      <w:r w:rsidR="00047DAF" w:rsidRPr="006571A0">
        <w:rPr>
          <w:rFonts w:ascii="Arial" w:hAnsi="Arial"/>
          <w:sz w:val="20"/>
          <w:szCs w:val="20"/>
        </w:rPr>
        <w:t> </w:t>
      </w:r>
      <w:r w:rsidRPr="006571A0">
        <w:rPr>
          <w:rFonts w:ascii="Arial" w:hAnsi="Arial"/>
          <w:sz w:val="20"/>
          <w:szCs w:val="20"/>
        </w:rPr>
        <w:t>tego źródła,</w:t>
      </w:r>
    </w:p>
    <w:p w14:paraId="5497C6E0" w14:textId="77777777" w:rsidR="00D976B0" w:rsidRDefault="002F6164" w:rsidP="00D976B0">
      <w:pPr>
        <w:numPr>
          <w:ilvl w:val="0"/>
          <w:numId w:val="112"/>
        </w:numPr>
        <w:spacing w:after="0" w:line="240" w:lineRule="auto"/>
        <w:ind w:left="993" w:hanging="426"/>
        <w:jc w:val="both"/>
        <w:rPr>
          <w:rFonts w:ascii="Arial" w:hAnsi="Arial"/>
          <w:sz w:val="20"/>
          <w:szCs w:val="20"/>
        </w:rPr>
      </w:pPr>
      <w:r w:rsidRPr="006571A0">
        <w:rPr>
          <w:rFonts w:ascii="Arial" w:hAnsi="Arial"/>
          <w:sz w:val="20"/>
          <w:szCs w:val="20"/>
        </w:rPr>
        <w:t>aktywizację i zwiększenie udziału beneficjentów/odbiorców ostatecznych w instrumentach finansowych realizowanych ze środków REACT-EU w działaniach komunikacyjnych skierowanych do opinii publicznej. Będzie się to odbywać poprzez informowanie przez ww.</w:t>
      </w:r>
      <w:r w:rsidR="00047DAF" w:rsidRPr="006571A0">
        <w:rPr>
          <w:rFonts w:ascii="Arial" w:hAnsi="Arial"/>
          <w:sz w:val="20"/>
          <w:szCs w:val="20"/>
        </w:rPr>
        <w:t> </w:t>
      </w:r>
      <w:r w:rsidRPr="006571A0">
        <w:rPr>
          <w:rFonts w:ascii="Arial" w:hAnsi="Arial"/>
          <w:sz w:val="20"/>
          <w:szCs w:val="20"/>
        </w:rPr>
        <w:t>podmioty w mediach społecznościowych, publikacjach i materiałach informacyjnych o</w:t>
      </w:r>
      <w:r w:rsidR="00047DAF" w:rsidRPr="006571A0">
        <w:rPr>
          <w:rFonts w:ascii="Arial" w:hAnsi="Arial"/>
          <w:sz w:val="20"/>
          <w:szCs w:val="20"/>
        </w:rPr>
        <w:t> </w:t>
      </w:r>
      <w:r w:rsidRPr="006571A0">
        <w:rPr>
          <w:rFonts w:ascii="Arial" w:hAnsi="Arial"/>
          <w:sz w:val="20"/>
          <w:szCs w:val="20"/>
        </w:rPr>
        <w:t>uzyskanym przez nie wsparciu ze środków REACT-EU.</w:t>
      </w:r>
    </w:p>
    <w:p w14:paraId="5DB55A56" w14:textId="77777777" w:rsidR="00233343" w:rsidRPr="006571A0" w:rsidRDefault="00233343" w:rsidP="00233343">
      <w:pPr>
        <w:spacing w:after="0" w:line="240" w:lineRule="auto"/>
        <w:ind w:left="993"/>
        <w:jc w:val="both"/>
        <w:rPr>
          <w:rFonts w:ascii="Arial" w:hAnsi="Arial"/>
          <w:sz w:val="20"/>
          <w:szCs w:val="20"/>
        </w:rPr>
      </w:pPr>
    </w:p>
    <w:p w14:paraId="115782B7" w14:textId="77777777" w:rsidR="00D976B0" w:rsidRPr="006571A0" w:rsidRDefault="002F6164" w:rsidP="002F6164">
      <w:pPr>
        <w:spacing w:after="0" w:line="240" w:lineRule="auto"/>
        <w:jc w:val="both"/>
        <w:rPr>
          <w:rFonts w:ascii="Arial" w:hAnsi="Arial"/>
          <w:sz w:val="20"/>
          <w:szCs w:val="20"/>
        </w:rPr>
      </w:pPr>
      <w:r w:rsidRPr="006571A0">
        <w:rPr>
          <w:rFonts w:ascii="Arial" w:hAnsi="Arial"/>
          <w:sz w:val="20"/>
          <w:szCs w:val="20"/>
        </w:rPr>
        <w:t>Działania komunikacyjne będą się odbywać we współpracy z instytucjami europejskimi, krajowymi, regionalnymi, a także partnerami społeczno-gospodarczymi. W celu uniknięcia podwójnych standardów komunikacji oprócz instytucji zaangażowanych w realizację programu w działania promocyjne i komunikacyjne</w:t>
      </w:r>
      <w:r w:rsidR="00BB1EB8" w:rsidRPr="006571A0">
        <w:rPr>
          <w:rFonts w:ascii="Arial" w:hAnsi="Arial"/>
          <w:sz w:val="20"/>
          <w:szCs w:val="20"/>
        </w:rPr>
        <w:t xml:space="preserve"> </w:t>
      </w:r>
      <w:r w:rsidRPr="006571A0">
        <w:rPr>
          <w:rFonts w:ascii="Arial" w:hAnsi="Arial"/>
          <w:sz w:val="20"/>
          <w:szCs w:val="20"/>
        </w:rPr>
        <w:t>zaangażowane będą również inne władze publiczne, jeżeli są one właściwe terytorialnie lub rzeczowo dla danej inwestycji REACT-EU. W prowadzone działania w</w:t>
      </w:r>
      <w:r w:rsidR="00047DAF" w:rsidRPr="006571A0">
        <w:rPr>
          <w:rFonts w:ascii="Arial" w:hAnsi="Arial"/>
          <w:sz w:val="20"/>
          <w:szCs w:val="20"/>
        </w:rPr>
        <w:t> </w:t>
      </w:r>
      <w:r w:rsidRPr="006571A0">
        <w:rPr>
          <w:rFonts w:ascii="Arial" w:hAnsi="Arial"/>
          <w:sz w:val="20"/>
          <w:szCs w:val="20"/>
        </w:rPr>
        <w:t>istotnym stopniu zostaną zaangażowani beneficjenci.</w:t>
      </w:r>
      <w:r w:rsidR="00801F19" w:rsidRPr="006571A0">
        <w:rPr>
          <w:rFonts w:ascii="Arial" w:hAnsi="Arial"/>
          <w:sz w:val="20"/>
          <w:szCs w:val="20"/>
        </w:rPr>
        <w:t xml:space="preserve"> </w:t>
      </w:r>
      <w:r w:rsidRPr="006571A0">
        <w:rPr>
          <w:rFonts w:ascii="Arial" w:hAnsi="Arial"/>
          <w:sz w:val="20"/>
          <w:szCs w:val="20"/>
        </w:rPr>
        <w:t>IZ dołoży wszelkich starań by komunikaty, tworzone przez władze publiczne nie włączone bezpośrednio w realizację programu, jednakowoż właściwe terytorialnie lub</w:t>
      </w:r>
      <w:r w:rsidR="00801F19" w:rsidRPr="006571A0">
        <w:rPr>
          <w:rFonts w:ascii="Arial" w:hAnsi="Arial"/>
          <w:sz w:val="20"/>
          <w:szCs w:val="20"/>
        </w:rPr>
        <w:t xml:space="preserve"> </w:t>
      </w:r>
      <w:r w:rsidRPr="006571A0">
        <w:rPr>
          <w:rFonts w:ascii="Arial" w:hAnsi="Arial"/>
          <w:sz w:val="20"/>
          <w:szCs w:val="20"/>
        </w:rPr>
        <w:t xml:space="preserve">rzeczowo dla danej inwestycji </w:t>
      </w:r>
      <w:proofErr w:type="spellStart"/>
      <w:r w:rsidR="00A37634" w:rsidRPr="006571A0">
        <w:rPr>
          <w:rFonts w:ascii="Arial" w:hAnsi="Arial" w:cs="Arial"/>
          <w:sz w:val="20"/>
          <w:szCs w:val="20"/>
        </w:rPr>
        <w:t>POIiŚ</w:t>
      </w:r>
      <w:proofErr w:type="spellEnd"/>
      <w:r w:rsidRPr="006571A0">
        <w:rPr>
          <w:rFonts w:ascii="Arial" w:hAnsi="Arial"/>
          <w:sz w:val="20"/>
          <w:szCs w:val="20"/>
        </w:rPr>
        <w:t xml:space="preserve"> z REACT-EU, spełniały kryteria rzetelnej informacji wykorzystania Funduszy Europejskich do realizacji działań rozwojowych kraju.</w:t>
      </w:r>
    </w:p>
    <w:p w14:paraId="653E686A" w14:textId="77777777" w:rsidR="00D976B0" w:rsidRPr="006571A0" w:rsidRDefault="00D976B0" w:rsidP="002F6164">
      <w:pPr>
        <w:spacing w:after="0" w:line="240" w:lineRule="auto"/>
        <w:jc w:val="both"/>
        <w:rPr>
          <w:rFonts w:ascii="Arial" w:hAnsi="Arial"/>
          <w:sz w:val="20"/>
          <w:szCs w:val="20"/>
        </w:rPr>
      </w:pPr>
    </w:p>
    <w:p w14:paraId="2638A4B8" w14:textId="77777777" w:rsidR="00D976B0" w:rsidRPr="006571A0" w:rsidRDefault="002F6164" w:rsidP="002F6164">
      <w:pPr>
        <w:spacing w:after="0" w:line="240" w:lineRule="auto"/>
        <w:jc w:val="both"/>
        <w:rPr>
          <w:rFonts w:ascii="Arial" w:hAnsi="Arial"/>
          <w:sz w:val="20"/>
          <w:szCs w:val="20"/>
        </w:rPr>
      </w:pPr>
      <w:r w:rsidRPr="006571A0">
        <w:rPr>
          <w:rFonts w:ascii="Arial" w:hAnsi="Arial"/>
          <w:sz w:val="20"/>
          <w:szCs w:val="20"/>
        </w:rPr>
        <w:t>Kanały komunikacji:</w:t>
      </w:r>
    </w:p>
    <w:p w14:paraId="6613E422" w14:textId="77777777" w:rsidR="00D976B0" w:rsidRPr="006571A0" w:rsidRDefault="002F6164" w:rsidP="002F6164">
      <w:pPr>
        <w:spacing w:after="0" w:line="240" w:lineRule="auto"/>
        <w:jc w:val="both"/>
        <w:rPr>
          <w:rFonts w:ascii="Arial" w:hAnsi="Arial"/>
          <w:sz w:val="20"/>
          <w:szCs w:val="20"/>
        </w:rPr>
      </w:pPr>
      <w:r w:rsidRPr="006571A0">
        <w:rPr>
          <w:rFonts w:ascii="Arial" w:hAnsi="Arial"/>
          <w:sz w:val="20"/>
          <w:szCs w:val="20"/>
        </w:rPr>
        <w:t xml:space="preserve">W związku z wiedzą na temat głównych trendów w komunikacji oraz ze względu na charakter wyodrębnionych grup docelowych podstawowym kanałem komunikacji będzie Internet. </w:t>
      </w:r>
    </w:p>
    <w:p w14:paraId="2423DC85" w14:textId="77777777" w:rsidR="00D976B0" w:rsidRPr="006571A0" w:rsidRDefault="00D976B0" w:rsidP="002F6164">
      <w:pPr>
        <w:spacing w:after="0" w:line="240" w:lineRule="auto"/>
        <w:jc w:val="both"/>
        <w:rPr>
          <w:rFonts w:ascii="Arial" w:hAnsi="Arial"/>
          <w:sz w:val="20"/>
          <w:szCs w:val="20"/>
        </w:rPr>
      </w:pPr>
    </w:p>
    <w:p w14:paraId="0ECFB0F0" w14:textId="77777777" w:rsidR="00D976B0" w:rsidRDefault="002F6164" w:rsidP="002F6164">
      <w:pPr>
        <w:spacing w:after="0" w:line="240" w:lineRule="auto"/>
        <w:jc w:val="both"/>
        <w:rPr>
          <w:rFonts w:ascii="Arial" w:hAnsi="Arial"/>
          <w:sz w:val="20"/>
          <w:szCs w:val="20"/>
        </w:rPr>
      </w:pPr>
      <w:r w:rsidRPr="006571A0">
        <w:rPr>
          <w:rFonts w:ascii="Arial" w:hAnsi="Arial"/>
          <w:sz w:val="20"/>
          <w:szCs w:val="20"/>
        </w:rPr>
        <w:t>Komunikacja skierowana do potencjalnych beneficjentów będzie się odbywała za pomocą:</w:t>
      </w:r>
    </w:p>
    <w:p w14:paraId="50C399C3" w14:textId="77777777" w:rsidR="00233343" w:rsidRPr="006571A0" w:rsidRDefault="00233343" w:rsidP="002F6164">
      <w:pPr>
        <w:spacing w:after="0" w:line="240" w:lineRule="auto"/>
        <w:jc w:val="both"/>
        <w:rPr>
          <w:rFonts w:ascii="Arial" w:hAnsi="Arial"/>
          <w:sz w:val="20"/>
          <w:szCs w:val="20"/>
        </w:rPr>
      </w:pPr>
    </w:p>
    <w:p w14:paraId="7AEEBEFA"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 xml:space="preserve">strony dedykowanej </w:t>
      </w:r>
      <w:proofErr w:type="spellStart"/>
      <w:r w:rsidRPr="006571A0">
        <w:rPr>
          <w:rFonts w:ascii="Arial" w:hAnsi="Arial" w:cs="Arial"/>
          <w:bCs/>
          <w:iCs/>
          <w:sz w:val="20"/>
          <w:szCs w:val="20"/>
        </w:rPr>
        <w:t>PO</w:t>
      </w:r>
      <w:r w:rsidR="00D976B0" w:rsidRPr="006571A0">
        <w:rPr>
          <w:rFonts w:ascii="Arial" w:hAnsi="Arial" w:cs="Arial"/>
          <w:bCs/>
          <w:iCs/>
          <w:sz w:val="20"/>
          <w:szCs w:val="20"/>
        </w:rPr>
        <w:t>IiŚ</w:t>
      </w:r>
      <w:proofErr w:type="spellEnd"/>
      <w:r w:rsidRPr="006571A0">
        <w:rPr>
          <w:rFonts w:ascii="Arial" w:hAnsi="Arial" w:cs="Arial"/>
          <w:bCs/>
          <w:iCs/>
          <w:sz w:val="20"/>
          <w:szCs w:val="20"/>
        </w:rPr>
        <w:t xml:space="preserve"> –</w:t>
      </w:r>
      <w:r w:rsidR="00BB1EB8" w:rsidRPr="006571A0">
        <w:rPr>
          <w:rFonts w:ascii="Arial" w:hAnsi="Arial" w:cs="Arial"/>
          <w:bCs/>
          <w:iCs/>
          <w:sz w:val="20"/>
          <w:szCs w:val="20"/>
        </w:rPr>
        <w:t xml:space="preserve"> </w:t>
      </w:r>
      <w:r w:rsidRPr="006571A0">
        <w:rPr>
          <w:rFonts w:ascii="Arial" w:hAnsi="Arial" w:cs="Arial"/>
          <w:bCs/>
          <w:iCs/>
          <w:sz w:val="20"/>
          <w:szCs w:val="20"/>
        </w:rPr>
        <w:t>stworzona zostanie zakładka dedykowana REACT-EU,</w:t>
      </w:r>
    </w:p>
    <w:p w14:paraId="342187AA"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Portalu Funduszy Europejskich,</w:t>
      </w:r>
    </w:p>
    <w:p w14:paraId="055E4E91"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materiałów i treści sponsorowan</w:t>
      </w:r>
      <w:r w:rsidR="00D976B0" w:rsidRPr="006571A0">
        <w:rPr>
          <w:rFonts w:ascii="Arial" w:hAnsi="Arial" w:cs="Arial"/>
          <w:bCs/>
          <w:iCs/>
          <w:sz w:val="20"/>
          <w:szCs w:val="20"/>
        </w:rPr>
        <w:t>ych</w:t>
      </w:r>
      <w:r w:rsidRPr="006571A0">
        <w:rPr>
          <w:rFonts w:ascii="Arial" w:hAnsi="Arial" w:cs="Arial"/>
          <w:bCs/>
          <w:iCs/>
          <w:sz w:val="20"/>
          <w:szCs w:val="20"/>
        </w:rPr>
        <w:t xml:space="preserve"> na stronach/portalach internetowych wybranych ze względu na charakter grup docelowych będących użytkownikami tych stron i portali,</w:t>
      </w:r>
    </w:p>
    <w:p w14:paraId="0DF8C0EF"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mediów społecznościowych i stron internetowych Instytucji systemu wdrażania.</w:t>
      </w:r>
    </w:p>
    <w:p w14:paraId="1B0E4367" w14:textId="77777777" w:rsidR="00D976B0" w:rsidRPr="006571A0" w:rsidRDefault="00D976B0" w:rsidP="002F6164">
      <w:pPr>
        <w:spacing w:after="0" w:line="240" w:lineRule="auto"/>
        <w:jc w:val="both"/>
        <w:rPr>
          <w:rFonts w:ascii="Arial" w:hAnsi="Arial"/>
          <w:sz w:val="20"/>
          <w:szCs w:val="20"/>
        </w:rPr>
      </w:pPr>
    </w:p>
    <w:p w14:paraId="0D3C9133" w14:textId="77777777" w:rsidR="00233343" w:rsidRDefault="002F6164" w:rsidP="00233343">
      <w:pPr>
        <w:spacing w:after="0" w:line="240" w:lineRule="auto"/>
        <w:jc w:val="both"/>
        <w:rPr>
          <w:rFonts w:ascii="Arial" w:hAnsi="Arial"/>
          <w:sz w:val="20"/>
          <w:szCs w:val="20"/>
        </w:rPr>
      </w:pPr>
      <w:r w:rsidRPr="006571A0">
        <w:rPr>
          <w:rFonts w:ascii="Arial" w:hAnsi="Arial"/>
          <w:sz w:val="20"/>
          <w:szCs w:val="20"/>
        </w:rPr>
        <w:t>Komunikacja do beneficjentów będzie się odbywała przede wszystkim za pomocą:</w:t>
      </w:r>
    </w:p>
    <w:p w14:paraId="679B0FA4" w14:textId="77777777" w:rsidR="00233343" w:rsidRPr="006571A0" w:rsidRDefault="00233343" w:rsidP="002F6164">
      <w:pPr>
        <w:spacing w:after="0" w:line="240" w:lineRule="auto"/>
        <w:jc w:val="both"/>
        <w:rPr>
          <w:rFonts w:ascii="Arial" w:hAnsi="Arial"/>
          <w:sz w:val="20"/>
          <w:szCs w:val="20"/>
        </w:rPr>
      </w:pPr>
    </w:p>
    <w:p w14:paraId="42B3F6AC" w14:textId="77777777" w:rsidR="00D976B0" w:rsidRPr="00233343" w:rsidRDefault="002F6164" w:rsidP="00233343">
      <w:pPr>
        <w:numPr>
          <w:ilvl w:val="0"/>
          <w:numId w:val="106"/>
        </w:numPr>
        <w:tabs>
          <w:tab w:val="left" w:pos="567"/>
        </w:tabs>
        <w:ind w:left="567" w:hanging="283"/>
        <w:jc w:val="both"/>
        <w:rPr>
          <w:rFonts w:ascii="Arial" w:hAnsi="Arial" w:cs="Arial"/>
          <w:bCs/>
          <w:iCs/>
          <w:sz w:val="20"/>
          <w:szCs w:val="20"/>
        </w:rPr>
      </w:pPr>
      <w:r w:rsidRPr="00233343">
        <w:rPr>
          <w:rFonts w:ascii="Arial" w:hAnsi="Arial" w:cs="Arial"/>
          <w:bCs/>
          <w:iCs/>
          <w:sz w:val="20"/>
          <w:szCs w:val="20"/>
        </w:rPr>
        <w:t xml:space="preserve">strony dedykowanej </w:t>
      </w:r>
      <w:proofErr w:type="spellStart"/>
      <w:r w:rsidRPr="00233343">
        <w:rPr>
          <w:rFonts w:ascii="Arial" w:hAnsi="Arial" w:cs="Arial"/>
          <w:bCs/>
          <w:iCs/>
          <w:sz w:val="20"/>
          <w:szCs w:val="20"/>
        </w:rPr>
        <w:t>POI</w:t>
      </w:r>
      <w:r w:rsidR="00D976B0" w:rsidRPr="00233343">
        <w:rPr>
          <w:rFonts w:ascii="Arial" w:hAnsi="Arial" w:cs="Arial"/>
          <w:bCs/>
          <w:iCs/>
          <w:sz w:val="20"/>
          <w:szCs w:val="20"/>
        </w:rPr>
        <w:t>iŚ</w:t>
      </w:r>
      <w:proofErr w:type="spellEnd"/>
      <w:r w:rsidRPr="00233343">
        <w:rPr>
          <w:rFonts w:ascii="Arial" w:hAnsi="Arial" w:cs="Arial"/>
          <w:bCs/>
          <w:iCs/>
          <w:sz w:val="20"/>
          <w:szCs w:val="20"/>
        </w:rPr>
        <w:t xml:space="preserve"> -</w:t>
      </w:r>
      <w:r w:rsidR="00047DAF" w:rsidRPr="00233343">
        <w:rPr>
          <w:rFonts w:ascii="Arial" w:hAnsi="Arial" w:cs="Arial"/>
          <w:bCs/>
          <w:iCs/>
          <w:sz w:val="20"/>
          <w:szCs w:val="20"/>
        </w:rPr>
        <w:t xml:space="preserve"> </w:t>
      </w:r>
      <w:r w:rsidRPr="00233343">
        <w:rPr>
          <w:rFonts w:ascii="Arial" w:hAnsi="Arial" w:cs="Arial"/>
          <w:bCs/>
          <w:iCs/>
          <w:sz w:val="20"/>
          <w:szCs w:val="20"/>
        </w:rPr>
        <w:t>stworzona zostanie zakładka dedykowana REACT-EU,</w:t>
      </w:r>
    </w:p>
    <w:p w14:paraId="0D0AF423"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Portalu Funduszy Europejskich,</w:t>
      </w:r>
    </w:p>
    <w:p w14:paraId="78449969"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mediów społecznościowych i stron internetowych Instytucji systemu wdrażania.</w:t>
      </w:r>
    </w:p>
    <w:p w14:paraId="7ABE41E9" w14:textId="77777777" w:rsidR="00D976B0" w:rsidRPr="006571A0" w:rsidRDefault="002F6164" w:rsidP="002F6164">
      <w:pPr>
        <w:spacing w:after="120"/>
        <w:jc w:val="both"/>
        <w:rPr>
          <w:rFonts w:ascii="Arial" w:hAnsi="Arial"/>
          <w:sz w:val="20"/>
          <w:szCs w:val="20"/>
        </w:rPr>
      </w:pPr>
      <w:r w:rsidRPr="006571A0">
        <w:rPr>
          <w:rFonts w:ascii="Arial" w:hAnsi="Arial"/>
          <w:sz w:val="20"/>
          <w:szCs w:val="20"/>
        </w:rPr>
        <w:t>Komunikacja skierowana do ogółu społeczeństwa będzie się odbywała za pomocą:</w:t>
      </w:r>
    </w:p>
    <w:p w14:paraId="6FF36FB8"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mediów szerokiego zasięgu oraz stron internetowych, mediów społecznościowych, instytucji ds. koordynacji umowy partnerstwa w zakresie info-</w:t>
      </w:r>
      <w:proofErr w:type="spellStart"/>
      <w:r w:rsidRPr="006571A0">
        <w:rPr>
          <w:rFonts w:ascii="Arial" w:hAnsi="Arial" w:cs="Arial"/>
          <w:bCs/>
          <w:iCs/>
          <w:sz w:val="20"/>
          <w:szCs w:val="20"/>
        </w:rPr>
        <w:t>promo</w:t>
      </w:r>
      <w:proofErr w:type="spellEnd"/>
      <w:r w:rsidRPr="006571A0">
        <w:rPr>
          <w:rFonts w:ascii="Arial" w:hAnsi="Arial" w:cs="Arial"/>
          <w:bCs/>
          <w:iCs/>
          <w:sz w:val="20"/>
          <w:szCs w:val="20"/>
        </w:rPr>
        <w:t>, instytucji pośredniczących,</w:t>
      </w:r>
    </w:p>
    <w:p w14:paraId="6911CB38"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mediów społecznościowych/stron internetowych/komunikacji do mediów realizowanej przez beneficjentów,</w:t>
      </w:r>
    </w:p>
    <w:p w14:paraId="6AAE1A67"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 xml:space="preserve">zakładki dedykowanej REACT-EU na stronie </w:t>
      </w:r>
      <w:hyperlink r:id="rId14" w:history="1">
        <w:r w:rsidR="009966D5" w:rsidRPr="006571A0">
          <w:rPr>
            <w:rStyle w:val="Hipercze"/>
            <w:rFonts w:cs="Arial"/>
            <w:bCs/>
            <w:iCs/>
          </w:rPr>
          <w:t>www.pois.gov.pl</w:t>
        </w:r>
      </w:hyperlink>
      <w:r w:rsidRPr="006571A0">
        <w:rPr>
          <w:rFonts w:ascii="Arial" w:hAnsi="Arial" w:cs="Arial"/>
          <w:bCs/>
          <w:iCs/>
          <w:sz w:val="20"/>
          <w:szCs w:val="20"/>
        </w:rPr>
        <w:t>;</w:t>
      </w:r>
    </w:p>
    <w:p w14:paraId="3437D34F" w14:textId="77777777" w:rsidR="00D976B0" w:rsidRPr="006571A0" w:rsidRDefault="002F6164" w:rsidP="00D976B0">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Portalu Funduszy Europejskich.</w:t>
      </w:r>
    </w:p>
    <w:p w14:paraId="5CB25B22" w14:textId="77777777" w:rsidR="00D976B0" w:rsidRPr="006571A0" w:rsidRDefault="002F6164" w:rsidP="002F6164">
      <w:pPr>
        <w:spacing w:after="120"/>
        <w:jc w:val="both"/>
        <w:rPr>
          <w:rFonts w:ascii="Arial" w:hAnsi="Arial"/>
          <w:sz w:val="20"/>
          <w:szCs w:val="20"/>
        </w:rPr>
      </w:pPr>
      <w:r w:rsidRPr="006571A0">
        <w:rPr>
          <w:rFonts w:ascii="Arial" w:hAnsi="Arial"/>
          <w:sz w:val="20"/>
          <w:szCs w:val="20"/>
        </w:rPr>
        <w:lastRenderedPageBreak/>
        <w:t xml:space="preserve">Ponadto komunikacja dotycząca REACT-EU będzie prowadzona komplementarnie z komunikacją programu, który będzie kontynuacją </w:t>
      </w:r>
      <w:proofErr w:type="spellStart"/>
      <w:r w:rsidRPr="006571A0">
        <w:rPr>
          <w:rFonts w:ascii="Arial" w:hAnsi="Arial"/>
          <w:sz w:val="20"/>
          <w:szCs w:val="20"/>
        </w:rPr>
        <w:t>PO</w:t>
      </w:r>
      <w:r w:rsidR="00D976B0" w:rsidRPr="006571A0">
        <w:rPr>
          <w:rFonts w:ascii="Arial" w:hAnsi="Arial"/>
          <w:sz w:val="20"/>
          <w:szCs w:val="20"/>
        </w:rPr>
        <w:t>Ii</w:t>
      </w:r>
      <w:r w:rsidR="00B36F45" w:rsidRPr="006571A0">
        <w:rPr>
          <w:rFonts w:ascii="Arial" w:hAnsi="Arial"/>
          <w:sz w:val="20"/>
          <w:szCs w:val="20"/>
        </w:rPr>
        <w:t>Ś</w:t>
      </w:r>
      <w:proofErr w:type="spellEnd"/>
      <w:r w:rsidRPr="006571A0">
        <w:rPr>
          <w:rFonts w:ascii="Arial" w:hAnsi="Arial"/>
          <w:sz w:val="20"/>
          <w:szCs w:val="20"/>
        </w:rPr>
        <w:t xml:space="preserve"> w latach 2021</w:t>
      </w:r>
      <w:r w:rsidR="00C10002">
        <w:rPr>
          <w:rFonts w:ascii="Arial" w:hAnsi="Arial"/>
          <w:sz w:val="20"/>
          <w:szCs w:val="20"/>
        </w:rPr>
        <w:t>-</w:t>
      </w:r>
      <w:r w:rsidRPr="006571A0">
        <w:rPr>
          <w:rFonts w:ascii="Arial" w:hAnsi="Arial"/>
          <w:sz w:val="20"/>
          <w:szCs w:val="20"/>
        </w:rPr>
        <w:t>2027. To oznacza, że informacja o REACT-EU zostanie merytorycznie włączona do prowadzonych działań informacyjno-promocyjnych oraz zostanie objęta systemem instrumentów informacyjno-edukacyjnych skierowanych do potencjalnych beneficjentów.</w:t>
      </w:r>
    </w:p>
    <w:p w14:paraId="415F1499" w14:textId="77777777" w:rsidR="00D976B0" w:rsidRPr="006571A0" w:rsidRDefault="002F6164" w:rsidP="002F6164">
      <w:pPr>
        <w:spacing w:after="120"/>
        <w:jc w:val="both"/>
        <w:rPr>
          <w:rFonts w:ascii="Arial" w:hAnsi="Arial"/>
          <w:sz w:val="20"/>
          <w:szCs w:val="20"/>
        </w:rPr>
      </w:pPr>
      <w:r w:rsidRPr="006571A0">
        <w:rPr>
          <w:rFonts w:ascii="Arial" w:hAnsi="Arial"/>
          <w:sz w:val="20"/>
          <w:szCs w:val="20"/>
        </w:rPr>
        <w:t>Grupy docelowe:</w:t>
      </w:r>
    </w:p>
    <w:p w14:paraId="77A604F9" w14:textId="77777777" w:rsidR="00D976B0" w:rsidRPr="006571A0" w:rsidRDefault="002F6164" w:rsidP="00B36F45">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 xml:space="preserve">ogół społeczeństwa, </w:t>
      </w:r>
    </w:p>
    <w:p w14:paraId="3719CB07" w14:textId="77777777" w:rsidR="00D976B0" w:rsidRPr="006571A0" w:rsidRDefault="002F6164" w:rsidP="00B36F45">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 xml:space="preserve">potencjalni beneficjenci, </w:t>
      </w:r>
    </w:p>
    <w:p w14:paraId="738EAE12" w14:textId="77777777" w:rsidR="002F6164" w:rsidRPr="006571A0" w:rsidRDefault="002F6164" w:rsidP="00B36F45">
      <w:pPr>
        <w:numPr>
          <w:ilvl w:val="0"/>
          <w:numId w:val="106"/>
        </w:numPr>
        <w:tabs>
          <w:tab w:val="left" w:pos="567"/>
        </w:tabs>
        <w:ind w:left="567" w:hanging="283"/>
        <w:jc w:val="both"/>
        <w:rPr>
          <w:rFonts w:ascii="Arial" w:hAnsi="Arial" w:cs="Arial"/>
          <w:bCs/>
          <w:iCs/>
          <w:sz w:val="20"/>
          <w:szCs w:val="20"/>
        </w:rPr>
      </w:pPr>
      <w:r w:rsidRPr="006571A0">
        <w:rPr>
          <w:rFonts w:ascii="Arial" w:hAnsi="Arial" w:cs="Arial"/>
          <w:bCs/>
          <w:iCs/>
          <w:sz w:val="20"/>
          <w:szCs w:val="20"/>
        </w:rPr>
        <w:t>beneficjenci.</w:t>
      </w:r>
    </w:p>
    <w:p w14:paraId="43B8E346" w14:textId="77777777" w:rsidR="002F6164" w:rsidRDefault="002F6164" w:rsidP="002F6164">
      <w:pPr>
        <w:spacing w:after="120"/>
        <w:jc w:val="both"/>
        <w:rPr>
          <w:rFonts w:ascii="Arial" w:hAnsi="Arial" w:cs="Arial"/>
          <w:sz w:val="20"/>
          <w:szCs w:val="20"/>
        </w:rPr>
      </w:pPr>
      <w:r w:rsidRPr="00CA468D">
        <w:rPr>
          <w:rFonts w:ascii="Arial" w:hAnsi="Arial" w:cs="Arial"/>
          <w:sz w:val="20"/>
          <w:szCs w:val="20"/>
        </w:rPr>
        <w:t>Oś swym zasięgiem obejmuje cały kraj, analogicznie jak dla osi XI</w:t>
      </w:r>
      <w:r>
        <w:rPr>
          <w:rFonts w:ascii="Arial" w:hAnsi="Arial" w:cs="Arial"/>
          <w:sz w:val="20"/>
          <w:szCs w:val="20"/>
        </w:rPr>
        <w:t>,</w:t>
      </w:r>
      <w:r w:rsidRPr="00CA468D">
        <w:rPr>
          <w:rFonts w:ascii="Arial" w:hAnsi="Arial" w:cs="Arial"/>
          <w:sz w:val="20"/>
          <w:szCs w:val="20"/>
        </w:rPr>
        <w:t xml:space="preserve"> nie wyodrębniono kategorii regionów, tj. regionów lepiej i słabiej rozwiniętych.</w:t>
      </w:r>
    </w:p>
    <w:p w14:paraId="26F3BC4A" w14:textId="77777777" w:rsidR="002F6164" w:rsidRPr="002F6164" w:rsidRDefault="002F6164" w:rsidP="00CA468D">
      <w:pPr>
        <w:spacing w:after="120"/>
        <w:jc w:val="both"/>
        <w:rPr>
          <w:rFonts w:ascii="Arial" w:hAnsi="Arial" w:cs="Arial"/>
          <w:bCs/>
          <w:smallCaps/>
          <w:color w:val="669900"/>
          <w:spacing w:val="4"/>
          <w:sz w:val="20"/>
          <w:szCs w:val="20"/>
        </w:rPr>
      </w:pPr>
    </w:p>
    <w:p w14:paraId="6F8B1DC6" w14:textId="77777777" w:rsidR="004E3242" w:rsidRDefault="004E3242" w:rsidP="004E3242">
      <w:pPr>
        <w:spacing w:before="120" w:after="120"/>
        <w:jc w:val="both"/>
        <w:rPr>
          <w:rFonts w:ascii="Arial" w:hAnsi="Arial" w:cs="Arial"/>
          <w:b/>
          <w:bCs/>
          <w:smallCaps/>
          <w:color w:val="669900"/>
          <w:spacing w:val="4"/>
          <w:sz w:val="20"/>
          <w:szCs w:val="20"/>
        </w:rPr>
      </w:pPr>
      <w:r w:rsidRPr="004E3242">
        <w:rPr>
          <w:rFonts w:ascii="Arial" w:hAnsi="Arial" w:cs="Arial"/>
          <w:bCs/>
          <w:smallCaps/>
          <w:color w:val="669900"/>
          <w:spacing w:val="4"/>
          <w:sz w:val="20"/>
          <w:szCs w:val="20"/>
        </w:rPr>
        <w:t>CELE SZCZEGÓŁOWE I OCZEKIWANE REZULTATY</w:t>
      </w:r>
      <w:r w:rsidRPr="004E3242">
        <w:rPr>
          <w:rFonts w:ascii="Arial" w:hAnsi="Arial" w:cs="Arial"/>
          <w:b/>
          <w:bCs/>
          <w:smallCaps/>
          <w:color w:val="669900"/>
          <w:spacing w:val="4"/>
          <w:sz w:val="20"/>
          <w:szCs w:val="20"/>
        </w:rPr>
        <w:t xml:space="preserve"> </w:t>
      </w:r>
    </w:p>
    <w:p w14:paraId="47022C4A" w14:textId="77777777" w:rsidR="00CA468D" w:rsidRDefault="00CA468D" w:rsidP="00CA468D">
      <w:pPr>
        <w:spacing w:after="120"/>
        <w:jc w:val="both"/>
        <w:rPr>
          <w:rFonts w:ascii="Arial" w:hAnsi="Arial" w:cs="Arial"/>
          <w:spacing w:val="4"/>
          <w:sz w:val="20"/>
          <w:szCs w:val="20"/>
        </w:rPr>
      </w:pPr>
      <w:r>
        <w:rPr>
          <w:rFonts w:ascii="Arial" w:hAnsi="Arial" w:cs="Arial"/>
          <w:spacing w:val="4"/>
          <w:sz w:val="20"/>
          <w:szCs w:val="20"/>
        </w:rPr>
        <w:t>Cele szczegółowe:</w:t>
      </w:r>
    </w:p>
    <w:p w14:paraId="3969FA5C" w14:textId="77777777" w:rsidR="00CA468D" w:rsidRDefault="00CA468D" w:rsidP="00CA468D">
      <w:pPr>
        <w:tabs>
          <w:tab w:val="left" w:pos="993"/>
        </w:tabs>
        <w:jc w:val="both"/>
        <w:rPr>
          <w:rFonts w:ascii="Arial" w:hAnsi="Arial" w:cs="Arial"/>
          <w:bCs/>
          <w:iCs/>
          <w:sz w:val="20"/>
          <w:szCs w:val="20"/>
        </w:rPr>
      </w:pPr>
      <w:r>
        <w:rPr>
          <w:rFonts w:ascii="Arial" w:hAnsi="Arial" w:cs="Arial"/>
          <w:bCs/>
          <w:iCs/>
          <w:sz w:val="20"/>
          <w:szCs w:val="20"/>
        </w:rPr>
        <w:t xml:space="preserve">Celem osi priorytetowej jest zapewnienie wysokiej jakości oraz efektywnego procesu programowania oraz wdrożenia osi XI. </w:t>
      </w:r>
      <w:proofErr w:type="spellStart"/>
      <w:r>
        <w:rPr>
          <w:rFonts w:ascii="Arial" w:hAnsi="Arial" w:cs="Arial"/>
          <w:bCs/>
          <w:iCs/>
          <w:sz w:val="20"/>
          <w:szCs w:val="20"/>
        </w:rPr>
        <w:t>POIiŚ</w:t>
      </w:r>
      <w:proofErr w:type="spellEnd"/>
      <w:r>
        <w:rPr>
          <w:rFonts w:ascii="Arial" w:hAnsi="Arial" w:cs="Arial"/>
          <w:bCs/>
          <w:iCs/>
          <w:sz w:val="20"/>
          <w:szCs w:val="20"/>
        </w:rPr>
        <w:t xml:space="preserve"> poprzez:</w:t>
      </w:r>
    </w:p>
    <w:p w14:paraId="31B66F58" w14:textId="77777777" w:rsidR="00CA468D" w:rsidRDefault="00CA468D" w:rsidP="003D6239">
      <w:pPr>
        <w:numPr>
          <w:ilvl w:val="0"/>
          <w:numId w:val="106"/>
        </w:numPr>
        <w:tabs>
          <w:tab w:val="left" w:pos="567"/>
        </w:tabs>
        <w:ind w:left="567" w:hanging="283"/>
        <w:jc w:val="both"/>
        <w:rPr>
          <w:rFonts w:ascii="Arial" w:hAnsi="Arial" w:cs="Arial"/>
          <w:bCs/>
          <w:iCs/>
          <w:sz w:val="20"/>
          <w:szCs w:val="20"/>
        </w:rPr>
      </w:pPr>
      <w:r>
        <w:rPr>
          <w:rFonts w:ascii="Arial" w:hAnsi="Arial" w:cs="Arial"/>
          <w:bCs/>
          <w:iCs/>
          <w:sz w:val="20"/>
          <w:szCs w:val="20"/>
        </w:rPr>
        <w:t xml:space="preserve">zapewnienie niezbędnych zasobów ludzkich oraz warunków techniczno-organizacyjnych dla sprawnej realizacji procesu przygotowania, wdrożenia, kontroli i audytu, ewaluacji oraz informacji i promocji kryzysowych działań naprawczych realizowanych w ramach PO </w:t>
      </w:r>
      <w:proofErr w:type="spellStart"/>
      <w:r>
        <w:rPr>
          <w:rFonts w:ascii="Arial" w:hAnsi="Arial" w:cs="Arial"/>
          <w:bCs/>
          <w:iCs/>
          <w:sz w:val="20"/>
          <w:szCs w:val="20"/>
        </w:rPr>
        <w:t>IiŚ</w:t>
      </w:r>
      <w:proofErr w:type="spellEnd"/>
      <w:r>
        <w:rPr>
          <w:rFonts w:ascii="Arial" w:hAnsi="Arial" w:cs="Arial"/>
          <w:bCs/>
          <w:iCs/>
          <w:sz w:val="20"/>
          <w:szCs w:val="20"/>
        </w:rPr>
        <w:t xml:space="preserve"> obejmujących zakresem interwencji cel tematyczny „Wspieranie kryzysowych działań naprawczych w kontekście pandemii COVID-19 i przygotowania do ekologicznej i cyfrowej odbudowy gospodarki zwiększającej jej odporność”;</w:t>
      </w:r>
    </w:p>
    <w:p w14:paraId="3EDA473B" w14:textId="77777777" w:rsidR="00CA468D" w:rsidRDefault="00CA468D" w:rsidP="003D6239">
      <w:pPr>
        <w:numPr>
          <w:ilvl w:val="0"/>
          <w:numId w:val="106"/>
        </w:numPr>
        <w:tabs>
          <w:tab w:val="left" w:pos="567"/>
        </w:tabs>
        <w:ind w:left="567" w:hanging="283"/>
        <w:jc w:val="both"/>
        <w:rPr>
          <w:rFonts w:ascii="Arial" w:hAnsi="Arial" w:cs="Arial"/>
          <w:bCs/>
          <w:iCs/>
          <w:sz w:val="20"/>
          <w:szCs w:val="20"/>
        </w:rPr>
      </w:pPr>
      <w:r>
        <w:rPr>
          <w:rFonts w:ascii="Arial" w:hAnsi="Arial" w:cs="Arial"/>
          <w:bCs/>
          <w:iCs/>
          <w:sz w:val="20"/>
          <w:szCs w:val="20"/>
        </w:rPr>
        <w:t xml:space="preserve">zapewnienie sprawnego i odpornego na nadużycia finansowe systemu wydatkowania środków </w:t>
      </w:r>
      <w:proofErr w:type="spellStart"/>
      <w:r>
        <w:rPr>
          <w:rFonts w:ascii="Arial" w:hAnsi="Arial" w:cs="Arial"/>
          <w:bCs/>
          <w:iCs/>
          <w:sz w:val="20"/>
          <w:szCs w:val="20"/>
        </w:rPr>
        <w:t>POIiŚ</w:t>
      </w:r>
      <w:proofErr w:type="spellEnd"/>
      <w:r>
        <w:rPr>
          <w:rFonts w:ascii="Arial" w:hAnsi="Arial" w:cs="Arial"/>
          <w:bCs/>
          <w:iCs/>
          <w:sz w:val="20"/>
          <w:szCs w:val="20"/>
        </w:rPr>
        <w:t xml:space="preserve"> pochodzących z </w:t>
      </w:r>
      <w:r w:rsidR="003E000F">
        <w:rPr>
          <w:rFonts w:ascii="Arial" w:hAnsi="Arial" w:cs="Arial"/>
          <w:bCs/>
          <w:iCs/>
          <w:sz w:val="20"/>
          <w:szCs w:val="20"/>
        </w:rPr>
        <w:t>REACT-EU</w:t>
      </w:r>
      <w:r>
        <w:rPr>
          <w:rFonts w:ascii="Arial" w:hAnsi="Arial" w:cs="Arial"/>
          <w:bCs/>
          <w:iCs/>
          <w:sz w:val="20"/>
          <w:szCs w:val="20"/>
        </w:rPr>
        <w:t>;</w:t>
      </w:r>
    </w:p>
    <w:p w14:paraId="56EB681E" w14:textId="77777777" w:rsidR="00CA468D" w:rsidRDefault="00CA468D" w:rsidP="003D6239">
      <w:pPr>
        <w:numPr>
          <w:ilvl w:val="0"/>
          <w:numId w:val="106"/>
        </w:numPr>
        <w:tabs>
          <w:tab w:val="left" w:pos="567"/>
        </w:tabs>
        <w:ind w:left="567" w:hanging="283"/>
        <w:jc w:val="both"/>
        <w:rPr>
          <w:rFonts w:ascii="Arial" w:hAnsi="Arial" w:cs="Arial"/>
          <w:bCs/>
          <w:iCs/>
          <w:sz w:val="20"/>
          <w:szCs w:val="20"/>
        </w:rPr>
      </w:pPr>
      <w:r>
        <w:rPr>
          <w:rFonts w:ascii="Arial" w:hAnsi="Arial" w:cs="Arial"/>
          <w:bCs/>
          <w:iCs/>
          <w:sz w:val="20"/>
          <w:szCs w:val="20"/>
        </w:rPr>
        <w:t>zapewnienie sprawnego i efektywnego systemu komunikowania o środkach pochodzących z</w:t>
      </w:r>
      <w:r w:rsidR="00A065EA">
        <w:rPr>
          <w:rFonts w:ascii="Arial" w:hAnsi="Arial" w:cs="Arial"/>
          <w:bCs/>
          <w:iCs/>
          <w:sz w:val="20"/>
          <w:szCs w:val="20"/>
        </w:rPr>
        <w:t> </w:t>
      </w:r>
      <w:r w:rsidR="003E000F">
        <w:rPr>
          <w:rFonts w:ascii="Arial" w:hAnsi="Arial" w:cs="Arial"/>
          <w:bCs/>
          <w:iCs/>
          <w:sz w:val="20"/>
          <w:szCs w:val="20"/>
        </w:rPr>
        <w:t>REACT-EU</w:t>
      </w:r>
      <w:r>
        <w:rPr>
          <w:rFonts w:ascii="Arial" w:hAnsi="Arial" w:cs="Arial"/>
          <w:bCs/>
          <w:iCs/>
          <w:sz w:val="20"/>
          <w:szCs w:val="20"/>
        </w:rPr>
        <w:t>, oraz wykorzystaniu tych środków w reakcji na sytuację związaną z COVID -19 w kraju;</w:t>
      </w:r>
    </w:p>
    <w:p w14:paraId="20061DE4" w14:textId="77777777" w:rsidR="00CA468D" w:rsidRDefault="00CA468D" w:rsidP="003D6239">
      <w:pPr>
        <w:numPr>
          <w:ilvl w:val="0"/>
          <w:numId w:val="106"/>
        </w:numPr>
        <w:tabs>
          <w:tab w:val="left" w:pos="567"/>
        </w:tabs>
        <w:ind w:left="567" w:hanging="283"/>
        <w:jc w:val="both"/>
        <w:rPr>
          <w:rFonts w:ascii="Arial" w:hAnsi="Arial" w:cs="Arial"/>
          <w:bCs/>
          <w:iCs/>
          <w:sz w:val="20"/>
          <w:szCs w:val="20"/>
        </w:rPr>
      </w:pPr>
      <w:r>
        <w:rPr>
          <w:rFonts w:ascii="Arial" w:hAnsi="Arial" w:cs="Arial"/>
          <w:bCs/>
          <w:iCs/>
          <w:sz w:val="20"/>
          <w:szCs w:val="20"/>
        </w:rPr>
        <w:t>wzmocnienie potencjału beneficjentów i potencjalnych beneficjentów poprzez szkolenia z</w:t>
      </w:r>
      <w:r w:rsidR="00A065EA">
        <w:rPr>
          <w:rFonts w:ascii="Arial" w:hAnsi="Arial" w:cs="Arial"/>
          <w:bCs/>
          <w:iCs/>
          <w:sz w:val="20"/>
          <w:szCs w:val="20"/>
        </w:rPr>
        <w:t> </w:t>
      </w:r>
      <w:r>
        <w:rPr>
          <w:rFonts w:ascii="Arial" w:hAnsi="Arial" w:cs="Arial"/>
          <w:bCs/>
          <w:iCs/>
          <w:sz w:val="20"/>
          <w:szCs w:val="20"/>
        </w:rPr>
        <w:t xml:space="preserve">zakresu </w:t>
      </w:r>
      <w:r w:rsidR="003E000F">
        <w:rPr>
          <w:rFonts w:ascii="Arial" w:hAnsi="Arial" w:cs="Arial"/>
          <w:bCs/>
          <w:iCs/>
          <w:sz w:val="20"/>
          <w:szCs w:val="20"/>
        </w:rPr>
        <w:t>REACT-EU</w:t>
      </w:r>
      <w:r>
        <w:rPr>
          <w:rFonts w:ascii="Arial" w:hAnsi="Arial" w:cs="Arial"/>
          <w:bCs/>
          <w:iCs/>
          <w:sz w:val="20"/>
          <w:szCs w:val="20"/>
        </w:rPr>
        <w:t>;</w:t>
      </w:r>
    </w:p>
    <w:p w14:paraId="25B58940" w14:textId="77777777" w:rsidR="00CA468D" w:rsidRDefault="00CA468D" w:rsidP="003D6239">
      <w:pPr>
        <w:numPr>
          <w:ilvl w:val="0"/>
          <w:numId w:val="106"/>
        </w:numPr>
        <w:tabs>
          <w:tab w:val="left" w:pos="567"/>
        </w:tabs>
        <w:ind w:left="567" w:hanging="283"/>
        <w:jc w:val="both"/>
        <w:rPr>
          <w:rFonts w:ascii="Arial" w:hAnsi="Arial" w:cs="Arial"/>
          <w:bCs/>
          <w:iCs/>
          <w:sz w:val="20"/>
          <w:szCs w:val="20"/>
        </w:rPr>
      </w:pPr>
      <w:r>
        <w:rPr>
          <w:rFonts w:ascii="Arial" w:hAnsi="Arial" w:cs="Arial"/>
          <w:bCs/>
          <w:iCs/>
          <w:sz w:val="20"/>
          <w:szCs w:val="20"/>
        </w:rPr>
        <w:t xml:space="preserve">zapewnienie ewaluacji działań wdrażanych ze środków </w:t>
      </w:r>
      <w:proofErr w:type="spellStart"/>
      <w:r>
        <w:rPr>
          <w:rFonts w:ascii="Arial" w:hAnsi="Arial" w:cs="Arial"/>
          <w:bCs/>
          <w:iCs/>
          <w:sz w:val="20"/>
          <w:szCs w:val="20"/>
        </w:rPr>
        <w:t>POIiŚ</w:t>
      </w:r>
      <w:proofErr w:type="spellEnd"/>
      <w:r>
        <w:rPr>
          <w:rFonts w:ascii="Arial" w:hAnsi="Arial" w:cs="Arial"/>
          <w:bCs/>
          <w:iCs/>
          <w:sz w:val="20"/>
          <w:szCs w:val="20"/>
        </w:rPr>
        <w:t xml:space="preserve"> pochodzących z </w:t>
      </w:r>
      <w:r w:rsidR="003E000F">
        <w:rPr>
          <w:rFonts w:ascii="Arial" w:hAnsi="Arial" w:cs="Arial"/>
          <w:bCs/>
          <w:iCs/>
          <w:sz w:val="20"/>
          <w:szCs w:val="20"/>
        </w:rPr>
        <w:t>REACT-EU</w:t>
      </w:r>
      <w:r>
        <w:rPr>
          <w:rFonts w:ascii="Arial" w:hAnsi="Arial" w:cs="Arial"/>
          <w:bCs/>
          <w:iCs/>
          <w:sz w:val="20"/>
          <w:szCs w:val="20"/>
        </w:rPr>
        <w:t>.</w:t>
      </w:r>
    </w:p>
    <w:p w14:paraId="405F126C" w14:textId="77777777" w:rsidR="00CA468D" w:rsidRDefault="00CA468D" w:rsidP="00CA468D">
      <w:pPr>
        <w:tabs>
          <w:tab w:val="left" w:pos="567"/>
        </w:tabs>
        <w:spacing w:after="120"/>
        <w:jc w:val="both"/>
        <w:rPr>
          <w:rFonts w:ascii="Arial" w:hAnsi="Arial" w:cs="Arial"/>
          <w:bCs/>
          <w:iCs/>
          <w:sz w:val="20"/>
          <w:szCs w:val="20"/>
        </w:rPr>
      </w:pPr>
      <w:r>
        <w:rPr>
          <w:rFonts w:ascii="Arial" w:hAnsi="Arial" w:cs="Arial"/>
          <w:bCs/>
          <w:iCs/>
          <w:sz w:val="20"/>
          <w:szCs w:val="20"/>
        </w:rPr>
        <w:t xml:space="preserve">Dodatkowym celem osi będzie kontynuacja zapewnienia niezbędnych, wysokiej jakości zasobów ludzkich w </w:t>
      </w:r>
      <w:r>
        <w:rPr>
          <w:rFonts w:ascii="Arial" w:hAnsi="Arial" w:cs="Arial"/>
          <w:sz w:val="20"/>
          <w:szCs w:val="20"/>
        </w:rPr>
        <w:t xml:space="preserve">IP </w:t>
      </w:r>
      <w:proofErr w:type="spellStart"/>
      <w:r>
        <w:rPr>
          <w:rFonts w:ascii="Arial" w:hAnsi="Arial" w:cs="Arial"/>
          <w:sz w:val="20"/>
          <w:szCs w:val="20"/>
        </w:rPr>
        <w:t>POIiŚ</w:t>
      </w:r>
      <w:proofErr w:type="spellEnd"/>
      <w:r>
        <w:rPr>
          <w:rFonts w:ascii="Arial" w:hAnsi="Arial" w:cs="Arial"/>
          <w:sz w:val="20"/>
          <w:szCs w:val="20"/>
        </w:rPr>
        <w:t xml:space="preserve"> i IW </w:t>
      </w:r>
      <w:proofErr w:type="spellStart"/>
      <w:r>
        <w:rPr>
          <w:rFonts w:ascii="Arial" w:hAnsi="Arial" w:cs="Arial"/>
          <w:sz w:val="20"/>
          <w:szCs w:val="20"/>
        </w:rPr>
        <w:t>POIiŚ</w:t>
      </w:r>
      <w:proofErr w:type="spellEnd"/>
      <w:r>
        <w:rPr>
          <w:rFonts w:ascii="Arial" w:hAnsi="Arial" w:cs="Arial"/>
          <w:sz w:val="20"/>
          <w:szCs w:val="20"/>
        </w:rPr>
        <w:t xml:space="preserve"> realizujących zadania także w innych osiach niż oś XI. </w:t>
      </w:r>
      <w:r w:rsidR="00C95A5B" w:rsidRPr="006571A0">
        <w:rPr>
          <w:rFonts w:ascii="Arial" w:hAnsi="Arial" w:cs="Arial"/>
          <w:sz w:val="20"/>
          <w:szCs w:val="20"/>
        </w:rPr>
        <w:t>Pracownicy Instytucji sytemu wdrażania z powodu pandemii pracują w trudnych warunkach, wynikających z</w:t>
      </w:r>
      <w:r w:rsidR="002C2159" w:rsidRPr="006571A0">
        <w:rPr>
          <w:rFonts w:ascii="Arial" w:hAnsi="Arial" w:cs="Arial"/>
          <w:sz w:val="20"/>
          <w:szCs w:val="20"/>
        </w:rPr>
        <w:t> </w:t>
      </w:r>
      <w:r w:rsidR="00C95A5B" w:rsidRPr="006571A0">
        <w:rPr>
          <w:rFonts w:ascii="Arial" w:hAnsi="Arial" w:cs="Arial"/>
          <w:sz w:val="20"/>
          <w:szCs w:val="20"/>
        </w:rPr>
        <w:t>obciążenia nowymi zadaniami, konieczności reorganizacji trybu pracy oraz  dostosowania do</w:t>
      </w:r>
      <w:r w:rsidR="002C2159" w:rsidRPr="006571A0">
        <w:rPr>
          <w:rFonts w:ascii="Arial" w:hAnsi="Arial" w:cs="Arial"/>
          <w:sz w:val="20"/>
          <w:szCs w:val="20"/>
        </w:rPr>
        <w:t> </w:t>
      </w:r>
      <w:r w:rsidR="00C95A5B" w:rsidRPr="006571A0">
        <w:rPr>
          <w:rFonts w:ascii="Arial" w:hAnsi="Arial" w:cs="Arial"/>
          <w:sz w:val="20"/>
          <w:szCs w:val="20"/>
        </w:rPr>
        <w:t>wymogów pracy zdalnej wymagają wsparcia.</w:t>
      </w:r>
      <w:r w:rsidR="00C95A5B" w:rsidRPr="00C95A5B">
        <w:rPr>
          <w:rFonts w:ascii="Arial" w:hAnsi="Arial" w:cs="Arial"/>
          <w:sz w:val="20"/>
          <w:szCs w:val="20"/>
        </w:rPr>
        <w:t xml:space="preserve"> </w:t>
      </w:r>
      <w:r w:rsidR="00C95A5B">
        <w:rPr>
          <w:rFonts w:ascii="Arial" w:hAnsi="Arial" w:cs="Arial"/>
          <w:sz w:val="20"/>
          <w:szCs w:val="20"/>
        </w:rPr>
        <w:t>Komplementarne wsparcie finansowania wynagrodzeń względem osi X. Pomoc Techniczna.</w:t>
      </w:r>
    </w:p>
    <w:p w14:paraId="1A529F97" w14:textId="77777777" w:rsidR="00CA468D" w:rsidRDefault="00CA468D" w:rsidP="00CA468D">
      <w:pPr>
        <w:spacing w:after="120"/>
        <w:jc w:val="both"/>
        <w:rPr>
          <w:rFonts w:ascii="Arial" w:hAnsi="Arial" w:cs="Arial"/>
          <w:spacing w:val="4"/>
          <w:sz w:val="20"/>
          <w:szCs w:val="20"/>
        </w:rPr>
      </w:pPr>
      <w:r>
        <w:rPr>
          <w:rFonts w:ascii="Arial" w:hAnsi="Arial" w:cs="Arial"/>
          <w:spacing w:val="4"/>
          <w:sz w:val="20"/>
          <w:szCs w:val="20"/>
        </w:rPr>
        <w:t>Osiągnięcie ww. celów powinno przynieść następujące rezultaty:</w:t>
      </w:r>
    </w:p>
    <w:p w14:paraId="6EC11BF9" w14:textId="77777777" w:rsidR="00CA468D" w:rsidRDefault="00CA468D" w:rsidP="003D6239">
      <w:pPr>
        <w:numPr>
          <w:ilvl w:val="0"/>
          <w:numId w:val="107"/>
        </w:numPr>
        <w:spacing w:after="120"/>
        <w:ind w:left="709" w:hanging="283"/>
        <w:jc w:val="both"/>
        <w:rPr>
          <w:rFonts w:ascii="Arial" w:hAnsi="Arial" w:cs="Arial"/>
          <w:spacing w:val="4"/>
          <w:sz w:val="20"/>
          <w:szCs w:val="20"/>
        </w:rPr>
      </w:pPr>
      <w:r>
        <w:rPr>
          <w:rFonts w:ascii="Arial" w:hAnsi="Arial" w:cs="Arial"/>
          <w:sz w:val="20"/>
          <w:szCs w:val="20"/>
        </w:rPr>
        <w:t xml:space="preserve">dostępność optymalnych warunków pracy oraz niezbędnej i kompetentnej kadry pracowników umożliwiającej sprawne i efektywne wdrażanie </w:t>
      </w:r>
      <w:proofErr w:type="spellStart"/>
      <w:r>
        <w:rPr>
          <w:rFonts w:ascii="Arial" w:hAnsi="Arial" w:cs="Arial"/>
          <w:bCs/>
          <w:iCs/>
          <w:sz w:val="20"/>
          <w:szCs w:val="20"/>
        </w:rPr>
        <w:t>POIiŚ</w:t>
      </w:r>
      <w:proofErr w:type="spellEnd"/>
      <w:r>
        <w:rPr>
          <w:rFonts w:ascii="Arial" w:hAnsi="Arial" w:cs="Arial"/>
          <w:bCs/>
          <w:iCs/>
          <w:sz w:val="20"/>
          <w:szCs w:val="20"/>
        </w:rPr>
        <w:t>, w tym zwłaszcza osi XI.;</w:t>
      </w:r>
    </w:p>
    <w:p w14:paraId="015B2189" w14:textId="77777777" w:rsidR="0039219B" w:rsidRPr="006571A0" w:rsidRDefault="0039219B" w:rsidP="003D6239">
      <w:pPr>
        <w:numPr>
          <w:ilvl w:val="0"/>
          <w:numId w:val="107"/>
        </w:numPr>
        <w:spacing w:after="120"/>
        <w:ind w:left="709"/>
        <w:jc w:val="both"/>
        <w:rPr>
          <w:rFonts w:ascii="Arial" w:hAnsi="Arial" w:cs="Arial"/>
          <w:sz w:val="20"/>
          <w:szCs w:val="20"/>
        </w:rPr>
      </w:pPr>
      <w:r w:rsidRPr="006571A0">
        <w:rPr>
          <w:rFonts w:ascii="Arial" w:hAnsi="Arial"/>
          <w:sz w:val="20"/>
          <w:szCs w:val="20"/>
        </w:rPr>
        <w:t xml:space="preserve">działania informacyjne i promocyjne dostarczą beneficjentom i oraz potencjalnym beneficjentom rzetelnej, kompleksowej i spójnej wiedzy o celach interwencji </w:t>
      </w:r>
      <w:proofErr w:type="spellStart"/>
      <w:r w:rsidRPr="006571A0">
        <w:rPr>
          <w:rFonts w:ascii="Arial" w:hAnsi="Arial"/>
          <w:sz w:val="20"/>
          <w:szCs w:val="20"/>
        </w:rPr>
        <w:t>POIiŚ</w:t>
      </w:r>
      <w:proofErr w:type="spellEnd"/>
      <w:r w:rsidRPr="006571A0">
        <w:rPr>
          <w:rFonts w:ascii="Arial" w:hAnsi="Arial"/>
          <w:sz w:val="20"/>
          <w:szCs w:val="20"/>
        </w:rPr>
        <w:t xml:space="preserve"> </w:t>
      </w:r>
      <w:r w:rsidRPr="006571A0">
        <w:rPr>
          <w:rFonts w:ascii="Arial" w:hAnsi="Arial"/>
          <w:sz w:val="20"/>
          <w:szCs w:val="20"/>
        </w:rPr>
        <w:lastRenderedPageBreak/>
        <w:t>realizowanej ze środków REACT-EU, w tym o zakresie wsparcia, wymaganiach dotyczących realizacji i wymogów komunikowania projektów. Będą w nich uwzględnione informacje o</w:t>
      </w:r>
      <w:r w:rsidR="002C2159" w:rsidRPr="006571A0">
        <w:rPr>
          <w:rFonts w:ascii="Arial" w:hAnsi="Arial"/>
          <w:sz w:val="20"/>
          <w:szCs w:val="20"/>
        </w:rPr>
        <w:t> </w:t>
      </w:r>
      <w:r w:rsidRPr="006571A0">
        <w:rPr>
          <w:rFonts w:ascii="Arial" w:hAnsi="Arial"/>
          <w:sz w:val="20"/>
          <w:szCs w:val="20"/>
        </w:rPr>
        <w:t>zakresie wsparcia, wymaganiach dotyczących realizacji projektów, a także skierowane do</w:t>
      </w:r>
      <w:r w:rsidR="002C2159" w:rsidRPr="006571A0">
        <w:rPr>
          <w:rFonts w:ascii="Arial" w:hAnsi="Arial"/>
          <w:sz w:val="20"/>
          <w:szCs w:val="20"/>
        </w:rPr>
        <w:t> </w:t>
      </w:r>
      <w:r w:rsidRPr="006571A0">
        <w:rPr>
          <w:rFonts w:ascii="Arial" w:hAnsi="Arial"/>
          <w:sz w:val="20"/>
          <w:szCs w:val="20"/>
        </w:rPr>
        <w:t xml:space="preserve">opinii publicznej </w:t>
      </w:r>
      <w:r w:rsidR="002F6164" w:rsidRPr="006571A0">
        <w:rPr>
          <w:rFonts w:ascii="Arial" w:hAnsi="Arial"/>
          <w:sz w:val="20"/>
          <w:szCs w:val="20"/>
        </w:rPr>
        <w:t xml:space="preserve">informacje </w:t>
      </w:r>
      <w:r w:rsidRPr="006571A0">
        <w:rPr>
          <w:rFonts w:ascii="Arial" w:hAnsi="Arial"/>
          <w:sz w:val="20"/>
          <w:szCs w:val="20"/>
        </w:rPr>
        <w:t xml:space="preserve">o celach i efektach inicjatywy REACT-EU. </w:t>
      </w:r>
      <w:r w:rsidR="002F6164" w:rsidRPr="006571A0">
        <w:rPr>
          <w:rFonts w:ascii="Arial" w:hAnsi="Arial"/>
          <w:sz w:val="20"/>
          <w:szCs w:val="20"/>
        </w:rPr>
        <w:t xml:space="preserve">Działania informacyjne i promocyjne pokażą </w:t>
      </w:r>
      <w:r w:rsidRPr="006571A0">
        <w:rPr>
          <w:rFonts w:ascii="Arial" w:hAnsi="Arial"/>
          <w:sz w:val="20"/>
          <w:szCs w:val="20"/>
        </w:rPr>
        <w:t>pozytywn</w:t>
      </w:r>
      <w:r w:rsidR="002F6164" w:rsidRPr="006571A0">
        <w:rPr>
          <w:rFonts w:ascii="Arial" w:hAnsi="Arial"/>
          <w:sz w:val="20"/>
          <w:szCs w:val="20"/>
        </w:rPr>
        <w:t>y</w:t>
      </w:r>
      <w:r w:rsidRPr="006571A0">
        <w:rPr>
          <w:rFonts w:ascii="Arial" w:hAnsi="Arial"/>
          <w:sz w:val="20"/>
          <w:szCs w:val="20"/>
        </w:rPr>
        <w:t xml:space="preserve"> wpływ wsparcia z Funduszy Europejskich, zapewni</w:t>
      </w:r>
      <w:r w:rsidR="002F6164" w:rsidRPr="006571A0">
        <w:rPr>
          <w:rFonts w:ascii="Arial" w:hAnsi="Arial"/>
          <w:sz w:val="20"/>
          <w:szCs w:val="20"/>
        </w:rPr>
        <w:t>ą</w:t>
      </w:r>
      <w:r w:rsidRPr="006571A0">
        <w:rPr>
          <w:rFonts w:ascii="Arial" w:hAnsi="Arial"/>
          <w:sz w:val="20"/>
          <w:szCs w:val="20"/>
        </w:rPr>
        <w:t xml:space="preserve"> szerokie społeczne poparci</w:t>
      </w:r>
      <w:r w:rsidR="002F6164" w:rsidRPr="006571A0">
        <w:rPr>
          <w:rFonts w:ascii="Arial" w:hAnsi="Arial"/>
          <w:sz w:val="20"/>
          <w:szCs w:val="20"/>
        </w:rPr>
        <w:t>e</w:t>
      </w:r>
      <w:r w:rsidRPr="006571A0">
        <w:rPr>
          <w:rFonts w:ascii="Arial" w:hAnsi="Arial"/>
          <w:sz w:val="20"/>
          <w:szCs w:val="20"/>
        </w:rPr>
        <w:t xml:space="preserve"> dla działań finansowanych w ramach RAECT-EU ze</w:t>
      </w:r>
      <w:r w:rsidR="002C2159" w:rsidRPr="006571A0">
        <w:rPr>
          <w:rFonts w:ascii="Arial" w:hAnsi="Arial"/>
          <w:sz w:val="20"/>
          <w:szCs w:val="20"/>
        </w:rPr>
        <w:t> </w:t>
      </w:r>
      <w:r w:rsidRPr="006571A0">
        <w:rPr>
          <w:rFonts w:ascii="Arial" w:hAnsi="Arial"/>
          <w:sz w:val="20"/>
          <w:szCs w:val="20"/>
        </w:rPr>
        <w:t>szczególnym uwzględnieniem Europejskiej Wartości Dodanej oraz współpracy europejskiej w obszarze zwalczania efektów COVID-19.</w:t>
      </w:r>
    </w:p>
    <w:p w14:paraId="202244D6" w14:textId="77777777" w:rsidR="00CA468D" w:rsidRPr="006571A0" w:rsidRDefault="007C3C9F" w:rsidP="007C3C9F">
      <w:pPr>
        <w:numPr>
          <w:ilvl w:val="0"/>
          <w:numId w:val="107"/>
        </w:numPr>
        <w:spacing w:after="120"/>
        <w:ind w:left="709"/>
        <w:jc w:val="both"/>
        <w:rPr>
          <w:rFonts w:ascii="Arial" w:hAnsi="Arial" w:cs="Arial"/>
          <w:sz w:val="20"/>
          <w:szCs w:val="20"/>
        </w:rPr>
      </w:pPr>
      <w:r w:rsidRPr="006571A0">
        <w:rPr>
          <w:rFonts w:ascii="Arial" w:hAnsi="Arial"/>
          <w:sz w:val="20"/>
          <w:szCs w:val="20"/>
        </w:rPr>
        <w:t>dzięki ewaluacji efektów podjętych działań, będzie możliwa ocena efektywności wdrożenia instrumentu REACT-EU i ewentualne wypracowanie propozycji modyfikacji sposobu wdrożenia.</w:t>
      </w:r>
    </w:p>
    <w:p w14:paraId="5DB784D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Wskaźniki rezultatu</w:t>
      </w:r>
    </w:p>
    <w:tbl>
      <w:tblPr>
        <w:tblW w:w="511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6"/>
        <w:gridCol w:w="1452"/>
        <w:gridCol w:w="1008"/>
        <w:gridCol w:w="954"/>
        <w:gridCol w:w="848"/>
        <w:gridCol w:w="795"/>
        <w:gridCol w:w="1452"/>
        <w:gridCol w:w="1257"/>
        <w:gridCol w:w="1283"/>
      </w:tblGrid>
      <w:tr w:rsidR="004E3242" w:rsidRPr="004E3242" w14:paraId="20200436" w14:textId="77777777" w:rsidTr="007A40B2">
        <w:trPr>
          <w:trHeight w:val="428"/>
        </w:trPr>
        <w:tc>
          <w:tcPr>
            <w:tcW w:w="240" w:type="pct"/>
            <w:tcBorders>
              <w:bottom w:val="single" w:sz="4" w:space="0" w:color="FFFFFF"/>
            </w:tcBorders>
            <w:shd w:val="clear" w:color="auto" w:fill="99CC00"/>
            <w:vAlign w:val="center"/>
          </w:tcPr>
          <w:p w14:paraId="646FC278" w14:textId="77777777" w:rsidR="004E3242" w:rsidRPr="004E3242" w:rsidRDefault="004E3242" w:rsidP="004E3242">
            <w:pPr>
              <w:spacing w:after="0" w:line="240" w:lineRule="auto"/>
              <w:jc w:val="center"/>
              <w:rPr>
                <w:rFonts w:ascii="Arial" w:hAnsi="Arial" w:cs="Arial"/>
                <w:b/>
                <w:sz w:val="16"/>
                <w:szCs w:val="16"/>
              </w:rPr>
            </w:pPr>
            <w:r w:rsidRPr="004E3242">
              <w:rPr>
                <w:rFonts w:ascii="Arial" w:hAnsi="Arial" w:cs="Arial"/>
                <w:b/>
                <w:sz w:val="16"/>
                <w:szCs w:val="16"/>
              </w:rPr>
              <w:t>Lp.</w:t>
            </w:r>
          </w:p>
        </w:tc>
        <w:tc>
          <w:tcPr>
            <w:tcW w:w="764" w:type="pct"/>
            <w:tcBorders>
              <w:bottom w:val="single" w:sz="4" w:space="0" w:color="FFFFFF"/>
            </w:tcBorders>
            <w:shd w:val="clear" w:color="auto" w:fill="99CC00"/>
            <w:vAlign w:val="center"/>
          </w:tcPr>
          <w:p w14:paraId="2E846B15" w14:textId="77777777" w:rsidR="004E3242" w:rsidRPr="004E3242" w:rsidRDefault="004E3242" w:rsidP="004E3242">
            <w:pPr>
              <w:spacing w:after="0" w:line="240" w:lineRule="auto"/>
              <w:jc w:val="center"/>
              <w:rPr>
                <w:rFonts w:ascii="Arial" w:hAnsi="Arial" w:cs="Arial"/>
                <w:b/>
                <w:sz w:val="16"/>
                <w:szCs w:val="16"/>
              </w:rPr>
            </w:pPr>
            <w:r w:rsidRPr="004E3242">
              <w:rPr>
                <w:rFonts w:ascii="Arial" w:hAnsi="Arial" w:cs="Arial"/>
                <w:b/>
                <w:sz w:val="16"/>
                <w:szCs w:val="16"/>
              </w:rPr>
              <w:t>Wskaźnik</w:t>
            </w:r>
          </w:p>
        </w:tc>
        <w:tc>
          <w:tcPr>
            <w:tcW w:w="530" w:type="pct"/>
            <w:tcBorders>
              <w:bottom w:val="single" w:sz="4" w:space="0" w:color="FFFFFF"/>
            </w:tcBorders>
            <w:shd w:val="clear" w:color="auto" w:fill="99CC00"/>
            <w:vAlign w:val="center"/>
          </w:tcPr>
          <w:p w14:paraId="290CD747" w14:textId="77777777" w:rsidR="004E3242" w:rsidRPr="004E3242" w:rsidRDefault="004E3242" w:rsidP="004E3242">
            <w:pPr>
              <w:spacing w:after="0" w:line="240" w:lineRule="auto"/>
              <w:jc w:val="center"/>
              <w:rPr>
                <w:rFonts w:ascii="Arial" w:hAnsi="Arial" w:cs="Arial"/>
                <w:b/>
                <w:sz w:val="16"/>
                <w:szCs w:val="16"/>
              </w:rPr>
            </w:pPr>
            <w:r w:rsidRPr="004E3242">
              <w:rPr>
                <w:rFonts w:ascii="Arial" w:hAnsi="Arial" w:cs="Arial"/>
                <w:b/>
                <w:sz w:val="16"/>
                <w:szCs w:val="16"/>
              </w:rPr>
              <w:t>Jednostka pomiaru</w:t>
            </w:r>
          </w:p>
        </w:tc>
        <w:tc>
          <w:tcPr>
            <w:tcW w:w="502" w:type="pct"/>
            <w:tcBorders>
              <w:bottom w:val="single" w:sz="4" w:space="0" w:color="FFFFFF"/>
            </w:tcBorders>
            <w:shd w:val="clear" w:color="auto" w:fill="99CC00"/>
            <w:vAlign w:val="center"/>
          </w:tcPr>
          <w:p w14:paraId="6CAB7FAE" w14:textId="77777777" w:rsidR="004E3242" w:rsidRPr="004E3242" w:rsidRDefault="004E3242" w:rsidP="004E3242">
            <w:pPr>
              <w:snapToGrid w:val="0"/>
              <w:spacing w:after="0" w:line="240" w:lineRule="auto"/>
              <w:jc w:val="center"/>
              <w:rPr>
                <w:rFonts w:ascii="Arial" w:hAnsi="Arial" w:cs="Arial"/>
                <w:b/>
                <w:sz w:val="16"/>
                <w:szCs w:val="16"/>
              </w:rPr>
            </w:pPr>
            <w:r w:rsidRPr="004E3242">
              <w:rPr>
                <w:rFonts w:ascii="Arial" w:hAnsi="Arial" w:cs="Arial"/>
                <w:b/>
                <w:sz w:val="16"/>
                <w:szCs w:val="16"/>
              </w:rPr>
              <w:t>Kategoria regionu</w:t>
            </w:r>
          </w:p>
        </w:tc>
        <w:tc>
          <w:tcPr>
            <w:tcW w:w="446" w:type="pct"/>
            <w:tcBorders>
              <w:bottom w:val="single" w:sz="4" w:space="0" w:color="FFFFFF"/>
            </w:tcBorders>
            <w:shd w:val="clear" w:color="auto" w:fill="99CC00"/>
            <w:vAlign w:val="center"/>
          </w:tcPr>
          <w:p w14:paraId="0A4E1B98" w14:textId="77777777" w:rsidR="004E3242" w:rsidRPr="004E3242" w:rsidRDefault="004E3242" w:rsidP="004E3242">
            <w:pPr>
              <w:snapToGrid w:val="0"/>
              <w:spacing w:after="0" w:line="240" w:lineRule="auto"/>
              <w:jc w:val="center"/>
              <w:rPr>
                <w:rFonts w:ascii="Arial" w:hAnsi="Arial" w:cs="Arial"/>
                <w:b/>
                <w:sz w:val="16"/>
                <w:szCs w:val="16"/>
              </w:rPr>
            </w:pPr>
            <w:r w:rsidRPr="004E3242">
              <w:rPr>
                <w:rFonts w:ascii="Arial" w:hAnsi="Arial" w:cs="Arial"/>
                <w:b/>
                <w:sz w:val="16"/>
                <w:szCs w:val="16"/>
              </w:rPr>
              <w:t>Wartość bazowa</w:t>
            </w:r>
          </w:p>
        </w:tc>
        <w:tc>
          <w:tcPr>
            <w:tcW w:w="418" w:type="pct"/>
            <w:tcBorders>
              <w:bottom w:val="single" w:sz="4" w:space="0" w:color="FFFFFF"/>
            </w:tcBorders>
            <w:shd w:val="clear" w:color="auto" w:fill="99CC00"/>
            <w:vAlign w:val="center"/>
          </w:tcPr>
          <w:p w14:paraId="7185408D" w14:textId="77777777" w:rsidR="004E3242" w:rsidRPr="004E3242" w:rsidRDefault="004E3242" w:rsidP="004E3242">
            <w:pPr>
              <w:spacing w:after="0" w:line="240" w:lineRule="auto"/>
              <w:jc w:val="center"/>
              <w:rPr>
                <w:rFonts w:ascii="Arial" w:hAnsi="Arial" w:cs="Arial"/>
                <w:b/>
                <w:sz w:val="16"/>
                <w:szCs w:val="16"/>
              </w:rPr>
            </w:pPr>
            <w:r w:rsidRPr="004E3242">
              <w:rPr>
                <w:rFonts w:ascii="Arial" w:hAnsi="Arial" w:cs="Arial"/>
                <w:b/>
                <w:sz w:val="16"/>
                <w:szCs w:val="16"/>
              </w:rPr>
              <w:t>Rok bazowy</w:t>
            </w:r>
          </w:p>
        </w:tc>
        <w:tc>
          <w:tcPr>
            <w:tcW w:w="764" w:type="pct"/>
            <w:tcBorders>
              <w:bottom w:val="single" w:sz="4" w:space="0" w:color="FFFFFF"/>
            </w:tcBorders>
            <w:shd w:val="clear" w:color="auto" w:fill="99CC00"/>
            <w:vAlign w:val="center"/>
          </w:tcPr>
          <w:p w14:paraId="200A531E" w14:textId="77777777" w:rsidR="004E3242" w:rsidRPr="004E3242" w:rsidRDefault="004E3242" w:rsidP="004E3242">
            <w:pPr>
              <w:snapToGrid w:val="0"/>
              <w:spacing w:after="0" w:line="240" w:lineRule="auto"/>
              <w:jc w:val="center"/>
              <w:rPr>
                <w:rFonts w:ascii="Arial" w:hAnsi="Arial" w:cs="Arial"/>
                <w:b/>
                <w:sz w:val="16"/>
                <w:szCs w:val="16"/>
              </w:rPr>
            </w:pPr>
            <w:r w:rsidRPr="004E3242">
              <w:rPr>
                <w:rFonts w:ascii="Arial" w:hAnsi="Arial" w:cs="Arial"/>
                <w:b/>
                <w:sz w:val="16"/>
                <w:szCs w:val="16"/>
              </w:rPr>
              <w:t>Wartość docelowa</w:t>
            </w:r>
            <w:r w:rsidRPr="004E3242">
              <w:rPr>
                <w:rFonts w:ascii="Arial" w:hAnsi="Arial" w:cs="Arial"/>
                <w:b/>
                <w:sz w:val="16"/>
                <w:szCs w:val="16"/>
              </w:rPr>
              <w:br/>
              <w:t>(na rok 2023)</w:t>
            </w:r>
          </w:p>
          <w:p w14:paraId="47235CF8" w14:textId="77777777" w:rsidR="004E3242" w:rsidRPr="004E3242" w:rsidRDefault="004E3242" w:rsidP="004E3242">
            <w:pPr>
              <w:snapToGrid w:val="0"/>
              <w:spacing w:after="0" w:line="240" w:lineRule="auto"/>
              <w:jc w:val="center"/>
              <w:rPr>
                <w:rFonts w:ascii="Arial" w:hAnsi="Arial" w:cs="Arial"/>
                <w:b/>
                <w:sz w:val="16"/>
                <w:szCs w:val="16"/>
              </w:rPr>
            </w:pPr>
            <w:r w:rsidRPr="004E3242">
              <w:rPr>
                <w:rFonts w:ascii="Arial" w:hAnsi="Arial" w:cs="Arial"/>
                <w:b/>
                <w:sz w:val="16"/>
                <w:szCs w:val="16"/>
              </w:rPr>
              <w:t>wartość ogółem</w:t>
            </w:r>
          </w:p>
        </w:tc>
        <w:tc>
          <w:tcPr>
            <w:tcW w:w="661" w:type="pct"/>
            <w:tcBorders>
              <w:bottom w:val="single" w:sz="4" w:space="0" w:color="FFFFFF"/>
            </w:tcBorders>
            <w:shd w:val="clear" w:color="auto" w:fill="99CC00"/>
            <w:vAlign w:val="center"/>
          </w:tcPr>
          <w:p w14:paraId="32B28357" w14:textId="77777777" w:rsidR="004E3242" w:rsidRPr="004E3242" w:rsidRDefault="004E3242" w:rsidP="004E3242">
            <w:pPr>
              <w:spacing w:after="0" w:line="240" w:lineRule="auto"/>
              <w:jc w:val="center"/>
              <w:rPr>
                <w:rFonts w:ascii="Arial" w:hAnsi="Arial" w:cs="Arial"/>
                <w:b/>
                <w:sz w:val="16"/>
                <w:szCs w:val="16"/>
              </w:rPr>
            </w:pPr>
            <w:r w:rsidRPr="004E3242">
              <w:rPr>
                <w:rFonts w:ascii="Arial" w:hAnsi="Arial" w:cs="Arial"/>
                <w:b/>
                <w:sz w:val="16"/>
                <w:szCs w:val="16"/>
              </w:rPr>
              <w:t>Źródło danych</w:t>
            </w:r>
          </w:p>
        </w:tc>
        <w:tc>
          <w:tcPr>
            <w:tcW w:w="675" w:type="pct"/>
            <w:tcBorders>
              <w:bottom w:val="single" w:sz="4" w:space="0" w:color="FFFFFF"/>
            </w:tcBorders>
            <w:shd w:val="clear" w:color="auto" w:fill="99CC00"/>
            <w:vAlign w:val="center"/>
          </w:tcPr>
          <w:p w14:paraId="05657401" w14:textId="77777777" w:rsidR="004E3242" w:rsidRPr="004E3242" w:rsidRDefault="004E3242" w:rsidP="004E3242">
            <w:pPr>
              <w:spacing w:after="0" w:line="240" w:lineRule="auto"/>
              <w:jc w:val="center"/>
              <w:rPr>
                <w:rFonts w:ascii="Arial" w:hAnsi="Arial" w:cs="Arial"/>
                <w:b/>
                <w:sz w:val="16"/>
                <w:szCs w:val="16"/>
              </w:rPr>
            </w:pPr>
            <w:r w:rsidRPr="004E3242">
              <w:rPr>
                <w:rFonts w:ascii="Arial" w:hAnsi="Arial" w:cs="Arial"/>
                <w:b/>
                <w:sz w:val="16"/>
                <w:szCs w:val="16"/>
              </w:rPr>
              <w:t>Częstotliwość raportowania</w:t>
            </w:r>
          </w:p>
        </w:tc>
      </w:tr>
      <w:tr w:rsidR="00B36F45" w:rsidRPr="004E3242" w14:paraId="546A0A9E" w14:textId="77777777" w:rsidTr="007A40B2">
        <w:trPr>
          <w:trHeight w:val="428"/>
        </w:trPr>
        <w:tc>
          <w:tcPr>
            <w:tcW w:w="240" w:type="pct"/>
            <w:shd w:val="clear" w:color="auto" w:fill="F2F2F2"/>
            <w:vAlign w:val="center"/>
          </w:tcPr>
          <w:p w14:paraId="074E47CA" w14:textId="77777777" w:rsidR="00B36F45" w:rsidRPr="004E3242" w:rsidRDefault="00B36F45" w:rsidP="004E3242">
            <w:pPr>
              <w:spacing w:after="0" w:line="240" w:lineRule="auto"/>
              <w:jc w:val="center"/>
              <w:rPr>
                <w:rFonts w:ascii="Arial" w:hAnsi="Arial" w:cs="Arial"/>
                <w:sz w:val="16"/>
                <w:szCs w:val="16"/>
              </w:rPr>
            </w:pPr>
            <w:r w:rsidRPr="004E3242">
              <w:rPr>
                <w:rFonts w:ascii="Arial" w:hAnsi="Arial" w:cs="Arial"/>
                <w:sz w:val="16"/>
                <w:szCs w:val="16"/>
              </w:rPr>
              <w:t>1.</w:t>
            </w:r>
          </w:p>
        </w:tc>
        <w:tc>
          <w:tcPr>
            <w:tcW w:w="764" w:type="pct"/>
            <w:shd w:val="clear" w:color="auto" w:fill="F2F2F2"/>
            <w:vAlign w:val="center"/>
          </w:tcPr>
          <w:p w14:paraId="6124BE63" w14:textId="77777777" w:rsidR="00B36F45" w:rsidRPr="004E3242" w:rsidRDefault="00B36F45" w:rsidP="004E3242">
            <w:pPr>
              <w:spacing w:after="0" w:line="240" w:lineRule="auto"/>
              <w:jc w:val="center"/>
              <w:rPr>
                <w:rFonts w:ascii="Arial" w:hAnsi="Arial" w:cs="Arial"/>
                <w:sz w:val="16"/>
                <w:szCs w:val="16"/>
              </w:rPr>
            </w:pPr>
            <w:r>
              <w:rPr>
                <w:rFonts w:ascii="Arial" w:eastAsia="Times New Roman" w:hAnsi="Arial" w:cs="Arial"/>
                <w:sz w:val="16"/>
                <w:szCs w:val="16"/>
                <w:lang w:eastAsia="pl-PL"/>
              </w:rPr>
              <w:t>Średni czas zatwierdzenia projektu (od złożenia wniosku o dofinansowanie do podpisania umowy)</w:t>
            </w:r>
          </w:p>
        </w:tc>
        <w:tc>
          <w:tcPr>
            <w:tcW w:w="530" w:type="pct"/>
            <w:shd w:val="clear" w:color="auto" w:fill="F2F2F2"/>
            <w:vAlign w:val="center"/>
          </w:tcPr>
          <w:p w14:paraId="59A8CA09" w14:textId="77777777" w:rsidR="00B36F45" w:rsidRPr="004E3242" w:rsidRDefault="00B36F45" w:rsidP="004E3242">
            <w:pPr>
              <w:spacing w:after="0" w:line="240" w:lineRule="auto"/>
              <w:jc w:val="center"/>
              <w:rPr>
                <w:rFonts w:ascii="Arial" w:hAnsi="Arial" w:cs="Arial"/>
                <w:sz w:val="16"/>
                <w:szCs w:val="16"/>
              </w:rPr>
            </w:pPr>
            <w:r>
              <w:rPr>
                <w:rFonts w:ascii="Arial" w:hAnsi="Arial" w:cs="Arial"/>
                <w:sz w:val="16"/>
                <w:szCs w:val="16"/>
              </w:rPr>
              <w:t>liczba dni</w:t>
            </w:r>
          </w:p>
        </w:tc>
        <w:tc>
          <w:tcPr>
            <w:tcW w:w="502" w:type="pct"/>
            <w:shd w:val="clear" w:color="auto" w:fill="F2F2F2"/>
            <w:vAlign w:val="center"/>
          </w:tcPr>
          <w:p w14:paraId="3B5B8E97" w14:textId="77777777" w:rsidR="00B36F45" w:rsidRPr="004E3242" w:rsidRDefault="00B36F45" w:rsidP="004E3242">
            <w:pPr>
              <w:snapToGrid w:val="0"/>
              <w:spacing w:after="0" w:line="240" w:lineRule="auto"/>
              <w:jc w:val="center"/>
              <w:rPr>
                <w:rFonts w:ascii="Arial" w:hAnsi="Arial" w:cs="Arial"/>
                <w:sz w:val="16"/>
                <w:szCs w:val="16"/>
              </w:rPr>
            </w:pPr>
            <w:r>
              <w:rPr>
                <w:rFonts w:ascii="Arial" w:hAnsi="Arial" w:cs="Arial"/>
                <w:sz w:val="16"/>
                <w:szCs w:val="16"/>
              </w:rPr>
              <w:t>n/d</w:t>
            </w:r>
          </w:p>
        </w:tc>
        <w:tc>
          <w:tcPr>
            <w:tcW w:w="446" w:type="pct"/>
            <w:shd w:val="clear" w:color="auto" w:fill="F2F2F2"/>
            <w:vAlign w:val="center"/>
          </w:tcPr>
          <w:p w14:paraId="427A1018" w14:textId="77777777" w:rsidR="00B36F45" w:rsidRPr="004E3242" w:rsidRDefault="00B36F45" w:rsidP="004E3242">
            <w:pPr>
              <w:snapToGrid w:val="0"/>
              <w:spacing w:after="0" w:line="240" w:lineRule="auto"/>
              <w:jc w:val="center"/>
              <w:rPr>
                <w:rFonts w:ascii="Arial" w:hAnsi="Arial" w:cs="Arial"/>
                <w:sz w:val="16"/>
                <w:szCs w:val="16"/>
              </w:rPr>
            </w:pPr>
            <w:r w:rsidRPr="004E3242">
              <w:rPr>
                <w:rFonts w:ascii="Arial" w:hAnsi="Arial" w:cs="Arial"/>
                <w:sz w:val="16"/>
                <w:szCs w:val="16"/>
              </w:rPr>
              <w:t>298,9</w:t>
            </w:r>
          </w:p>
        </w:tc>
        <w:tc>
          <w:tcPr>
            <w:tcW w:w="418" w:type="pct"/>
            <w:shd w:val="clear" w:color="auto" w:fill="F2F2F2"/>
            <w:vAlign w:val="center"/>
          </w:tcPr>
          <w:p w14:paraId="5FC84F5E" w14:textId="77777777" w:rsidR="00B36F45" w:rsidRPr="004E3242" w:rsidRDefault="00B36F45" w:rsidP="004E3242">
            <w:pPr>
              <w:spacing w:after="0" w:line="240" w:lineRule="auto"/>
              <w:jc w:val="center"/>
              <w:rPr>
                <w:rFonts w:ascii="Arial" w:hAnsi="Arial" w:cs="Arial"/>
                <w:sz w:val="16"/>
                <w:szCs w:val="16"/>
              </w:rPr>
            </w:pPr>
            <w:r w:rsidRPr="004E3242">
              <w:rPr>
                <w:rFonts w:ascii="Arial" w:hAnsi="Arial" w:cs="Arial"/>
                <w:sz w:val="16"/>
                <w:szCs w:val="16"/>
              </w:rPr>
              <w:t>2013</w:t>
            </w:r>
          </w:p>
        </w:tc>
        <w:tc>
          <w:tcPr>
            <w:tcW w:w="764" w:type="pct"/>
            <w:shd w:val="clear" w:color="auto" w:fill="F2F2F2"/>
            <w:vAlign w:val="center"/>
          </w:tcPr>
          <w:p w14:paraId="2299C382" w14:textId="77777777" w:rsidR="00B36F45" w:rsidRPr="004E3242" w:rsidRDefault="00B36F45" w:rsidP="004E3242">
            <w:pPr>
              <w:snapToGrid w:val="0"/>
              <w:spacing w:after="0" w:line="240" w:lineRule="auto"/>
              <w:jc w:val="center"/>
              <w:rPr>
                <w:rFonts w:ascii="Arial" w:hAnsi="Arial" w:cs="Arial"/>
                <w:sz w:val="16"/>
                <w:szCs w:val="16"/>
              </w:rPr>
            </w:pPr>
            <w:r w:rsidRPr="00B36F45">
              <w:rPr>
                <w:rFonts w:ascii="Arial" w:hAnsi="Arial" w:cs="Arial"/>
                <w:sz w:val="16"/>
                <w:szCs w:val="16"/>
              </w:rPr>
              <w:t>281</w:t>
            </w:r>
          </w:p>
        </w:tc>
        <w:tc>
          <w:tcPr>
            <w:tcW w:w="661" w:type="pct"/>
            <w:shd w:val="clear" w:color="auto" w:fill="F2F2F2"/>
            <w:vAlign w:val="center"/>
          </w:tcPr>
          <w:p w14:paraId="7FEE1D73" w14:textId="77777777" w:rsidR="00B36F45" w:rsidRPr="004E3242" w:rsidRDefault="00B36F45" w:rsidP="004E3242">
            <w:pPr>
              <w:spacing w:after="0" w:line="240" w:lineRule="auto"/>
              <w:jc w:val="center"/>
              <w:rPr>
                <w:rFonts w:ascii="Arial" w:hAnsi="Arial" w:cs="Arial"/>
                <w:sz w:val="16"/>
                <w:szCs w:val="16"/>
              </w:rPr>
            </w:pPr>
            <w:r w:rsidRPr="004E3242">
              <w:rPr>
                <w:rFonts w:ascii="Arial" w:hAnsi="Arial" w:cs="Arial"/>
                <w:sz w:val="16"/>
                <w:szCs w:val="16"/>
              </w:rPr>
              <w:t>System monitorowania</w:t>
            </w:r>
          </w:p>
        </w:tc>
        <w:tc>
          <w:tcPr>
            <w:tcW w:w="675" w:type="pct"/>
            <w:shd w:val="clear" w:color="auto" w:fill="F2F2F2"/>
            <w:vAlign w:val="center"/>
          </w:tcPr>
          <w:p w14:paraId="6CECD310" w14:textId="77777777" w:rsidR="00B36F45" w:rsidRPr="004E3242" w:rsidRDefault="00B36F45" w:rsidP="004E3242">
            <w:pPr>
              <w:spacing w:after="0" w:line="240" w:lineRule="auto"/>
              <w:jc w:val="center"/>
              <w:rPr>
                <w:rFonts w:ascii="Arial" w:hAnsi="Arial" w:cs="Arial"/>
                <w:sz w:val="16"/>
                <w:szCs w:val="16"/>
              </w:rPr>
            </w:pPr>
            <w:r>
              <w:rPr>
                <w:rFonts w:ascii="Arial" w:hAnsi="Arial" w:cs="Arial"/>
                <w:sz w:val="16"/>
                <w:szCs w:val="16"/>
              </w:rPr>
              <w:t>rocznie</w:t>
            </w:r>
          </w:p>
        </w:tc>
      </w:tr>
      <w:tr w:rsidR="00853A02" w14:paraId="181FE139" w14:textId="77777777" w:rsidTr="00EB1C5B">
        <w:trPr>
          <w:trHeight w:val="428"/>
        </w:trPr>
        <w:tc>
          <w:tcPr>
            <w:tcW w:w="240" w:type="pct"/>
            <w:shd w:val="clear" w:color="auto" w:fill="F2F2F2"/>
            <w:vAlign w:val="center"/>
          </w:tcPr>
          <w:p w14:paraId="03262858" w14:textId="77777777" w:rsidR="00853A02" w:rsidRPr="004E3242" w:rsidRDefault="00853A02" w:rsidP="00EB1C5B">
            <w:pPr>
              <w:spacing w:after="0" w:line="240" w:lineRule="auto"/>
              <w:rPr>
                <w:rFonts w:ascii="Arial" w:hAnsi="Arial" w:cs="Arial"/>
                <w:sz w:val="16"/>
                <w:szCs w:val="16"/>
              </w:rPr>
            </w:pPr>
            <w:r>
              <w:rPr>
                <w:rFonts w:ascii="Arial" w:hAnsi="Arial" w:cs="Arial"/>
                <w:sz w:val="16"/>
                <w:szCs w:val="16"/>
              </w:rPr>
              <w:t>2.</w:t>
            </w:r>
          </w:p>
        </w:tc>
        <w:tc>
          <w:tcPr>
            <w:tcW w:w="764" w:type="pct"/>
            <w:shd w:val="clear" w:color="auto" w:fill="F2F2F2"/>
            <w:vAlign w:val="center"/>
          </w:tcPr>
          <w:p w14:paraId="69E65C62" w14:textId="77777777" w:rsidR="00853A02" w:rsidRPr="00070ACB" w:rsidRDefault="00853A02" w:rsidP="00EB1C5B">
            <w:pPr>
              <w:spacing w:after="0" w:line="240" w:lineRule="auto"/>
              <w:jc w:val="center"/>
              <w:rPr>
                <w:rFonts w:ascii="Arial" w:eastAsia="Times New Roman" w:hAnsi="Arial" w:cs="Arial"/>
                <w:sz w:val="16"/>
                <w:szCs w:val="16"/>
                <w:lang w:eastAsia="pl-PL"/>
              </w:rPr>
            </w:pPr>
            <w:r w:rsidRPr="00070ACB">
              <w:rPr>
                <w:rFonts w:ascii="Arial" w:eastAsia="Times New Roman" w:hAnsi="Arial" w:cs="Arial"/>
                <w:sz w:val="16"/>
                <w:szCs w:val="16"/>
                <w:lang w:eastAsia="pl-PL"/>
              </w:rPr>
              <w:t>Odsetek mieszkańców</w:t>
            </w:r>
          </w:p>
          <w:p w14:paraId="45730015" w14:textId="77777777" w:rsidR="00853A02" w:rsidRPr="00070ACB" w:rsidRDefault="00853A02" w:rsidP="00EB1C5B">
            <w:pPr>
              <w:spacing w:after="0" w:line="240" w:lineRule="auto"/>
              <w:jc w:val="center"/>
              <w:rPr>
                <w:rFonts w:ascii="Arial" w:eastAsia="Times New Roman" w:hAnsi="Arial" w:cs="Arial"/>
                <w:sz w:val="16"/>
                <w:szCs w:val="16"/>
                <w:lang w:eastAsia="pl-PL"/>
              </w:rPr>
            </w:pPr>
            <w:r w:rsidRPr="00070ACB">
              <w:rPr>
                <w:rFonts w:ascii="Arial" w:eastAsia="Times New Roman" w:hAnsi="Arial" w:cs="Arial"/>
                <w:sz w:val="16"/>
                <w:szCs w:val="16"/>
                <w:lang w:eastAsia="pl-PL"/>
              </w:rPr>
              <w:t>Polski</w:t>
            </w:r>
          </w:p>
          <w:p w14:paraId="67D7065C" w14:textId="77777777" w:rsidR="00853A02" w:rsidRPr="00070ACB" w:rsidRDefault="00853A02" w:rsidP="00EB1C5B">
            <w:pPr>
              <w:spacing w:after="0" w:line="240" w:lineRule="auto"/>
              <w:jc w:val="center"/>
              <w:rPr>
                <w:rFonts w:ascii="Arial" w:eastAsia="Times New Roman" w:hAnsi="Arial" w:cs="Arial"/>
                <w:sz w:val="16"/>
                <w:szCs w:val="16"/>
                <w:lang w:eastAsia="pl-PL"/>
              </w:rPr>
            </w:pPr>
            <w:r w:rsidRPr="00070ACB">
              <w:rPr>
                <w:rFonts w:ascii="Arial" w:eastAsia="Times New Roman" w:hAnsi="Arial" w:cs="Arial"/>
                <w:sz w:val="16"/>
                <w:szCs w:val="16"/>
                <w:lang w:eastAsia="pl-PL"/>
              </w:rPr>
              <w:t>dostrzegających</w:t>
            </w:r>
          </w:p>
          <w:p w14:paraId="3F1BE45E" w14:textId="77777777" w:rsidR="00853A02" w:rsidRPr="00070ACB" w:rsidRDefault="00853A02" w:rsidP="00EB1C5B">
            <w:pPr>
              <w:spacing w:after="0" w:line="240" w:lineRule="auto"/>
              <w:jc w:val="center"/>
              <w:rPr>
                <w:rFonts w:ascii="Arial" w:eastAsia="Times New Roman" w:hAnsi="Arial" w:cs="Arial"/>
                <w:sz w:val="16"/>
                <w:szCs w:val="16"/>
                <w:lang w:eastAsia="pl-PL"/>
              </w:rPr>
            </w:pPr>
            <w:r w:rsidRPr="00070ACB">
              <w:rPr>
                <w:rFonts w:ascii="Arial" w:eastAsia="Times New Roman" w:hAnsi="Arial" w:cs="Arial"/>
                <w:sz w:val="16"/>
                <w:szCs w:val="16"/>
                <w:lang w:eastAsia="pl-PL"/>
              </w:rPr>
              <w:t>wpływ FE na rozwój</w:t>
            </w:r>
          </w:p>
          <w:p w14:paraId="2C14C809" w14:textId="77777777" w:rsidR="00853A02" w:rsidRDefault="00853A02" w:rsidP="00EB1C5B">
            <w:pPr>
              <w:spacing w:after="0" w:line="240" w:lineRule="auto"/>
              <w:jc w:val="center"/>
              <w:rPr>
                <w:rFonts w:ascii="Arial" w:eastAsia="Times New Roman" w:hAnsi="Arial" w:cs="Arial"/>
                <w:sz w:val="16"/>
                <w:szCs w:val="16"/>
                <w:lang w:eastAsia="pl-PL"/>
              </w:rPr>
            </w:pPr>
            <w:r w:rsidRPr="00070ACB">
              <w:rPr>
                <w:rFonts w:ascii="Arial" w:eastAsia="Times New Roman" w:hAnsi="Arial" w:cs="Arial"/>
                <w:sz w:val="16"/>
                <w:szCs w:val="16"/>
                <w:lang w:eastAsia="pl-PL"/>
              </w:rPr>
              <w:t>Polski</w:t>
            </w:r>
          </w:p>
        </w:tc>
        <w:tc>
          <w:tcPr>
            <w:tcW w:w="530" w:type="pct"/>
            <w:shd w:val="clear" w:color="auto" w:fill="F2F2F2"/>
            <w:vAlign w:val="center"/>
          </w:tcPr>
          <w:p w14:paraId="344ACB99" w14:textId="77777777" w:rsidR="00853A02" w:rsidRDefault="00853A02" w:rsidP="00EB1C5B">
            <w:pPr>
              <w:spacing w:after="0" w:line="240" w:lineRule="auto"/>
              <w:jc w:val="center"/>
              <w:rPr>
                <w:rFonts w:ascii="Arial" w:hAnsi="Arial" w:cs="Arial"/>
                <w:sz w:val="16"/>
                <w:szCs w:val="16"/>
              </w:rPr>
            </w:pPr>
            <w:r>
              <w:rPr>
                <w:rFonts w:ascii="Arial" w:hAnsi="Arial" w:cs="Arial"/>
                <w:sz w:val="16"/>
                <w:szCs w:val="16"/>
              </w:rPr>
              <w:t>%</w:t>
            </w:r>
          </w:p>
        </w:tc>
        <w:tc>
          <w:tcPr>
            <w:tcW w:w="502" w:type="pct"/>
            <w:shd w:val="clear" w:color="auto" w:fill="F2F2F2"/>
            <w:vAlign w:val="center"/>
          </w:tcPr>
          <w:p w14:paraId="34718D9D" w14:textId="77777777" w:rsidR="00853A02" w:rsidRDefault="00853A02" w:rsidP="00EB1C5B">
            <w:pPr>
              <w:snapToGrid w:val="0"/>
              <w:spacing w:after="0" w:line="240" w:lineRule="auto"/>
              <w:jc w:val="center"/>
              <w:rPr>
                <w:rFonts w:ascii="Arial" w:hAnsi="Arial" w:cs="Arial"/>
                <w:sz w:val="16"/>
                <w:szCs w:val="16"/>
              </w:rPr>
            </w:pPr>
            <w:r>
              <w:rPr>
                <w:rFonts w:ascii="Arial" w:hAnsi="Arial" w:cs="Arial"/>
                <w:sz w:val="16"/>
                <w:szCs w:val="16"/>
              </w:rPr>
              <w:t>n/d</w:t>
            </w:r>
          </w:p>
        </w:tc>
        <w:tc>
          <w:tcPr>
            <w:tcW w:w="446" w:type="pct"/>
            <w:shd w:val="clear" w:color="auto" w:fill="F2F2F2"/>
            <w:vAlign w:val="center"/>
          </w:tcPr>
          <w:p w14:paraId="0352A27F" w14:textId="77777777" w:rsidR="00853A02" w:rsidRPr="004E3242" w:rsidRDefault="00853A02" w:rsidP="00EB1C5B">
            <w:pPr>
              <w:snapToGrid w:val="0"/>
              <w:spacing w:after="0" w:line="240" w:lineRule="auto"/>
              <w:jc w:val="center"/>
              <w:rPr>
                <w:rFonts w:ascii="Arial" w:hAnsi="Arial" w:cs="Arial"/>
                <w:sz w:val="16"/>
                <w:szCs w:val="16"/>
              </w:rPr>
            </w:pPr>
            <w:r>
              <w:rPr>
                <w:rFonts w:ascii="Arial" w:hAnsi="Arial" w:cs="Arial"/>
                <w:sz w:val="16"/>
                <w:szCs w:val="16"/>
              </w:rPr>
              <w:t>84</w:t>
            </w:r>
          </w:p>
        </w:tc>
        <w:tc>
          <w:tcPr>
            <w:tcW w:w="418" w:type="pct"/>
            <w:shd w:val="clear" w:color="auto" w:fill="F2F2F2"/>
            <w:vAlign w:val="center"/>
          </w:tcPr>
          <w:p w14:paraId="1430892D" w14:textId="77777777" w:rsidR="00853A02" w:rsidRPr="004E3242" w:rsidRDefault="00853A02" w:rsidP="00EB1C5B">
            <w:pPr>
              <w:spacing w:after="0" w:line="240" w:lineRule="auto"/>
              <w:jc w:val="center"/>
              <w:rPr>
                <w:rFonts w:ascii="Arial" w:hAnsi="Arial" w:cs="Arial"/>
                <w:sz w:val="16"/>
                <w:szCs w:val="16"/>
              </w:rPr>
            </w:pPr>
            <w:r>
              <w:rPr>
                <w:rFonts w:ascii="Arial" w:hAnsi="Arial" w:cs="Arial"/>
                <w:sz w:val="16"/>
                <w:szCs w:val="16"/>
              </w:rPr>
              <w:t>2020</w:t>
            </w:r>
          </w:p>
        </w:tc>
        <w:tc>
          <w:tcPr>
            <w:tcW w:w="764" w:type="pct"/>
            <w:shd w:val="clear" w:color="auto" w:fill="F2F2F2"/>
            <w:vAlign w:val="center"/>
          </w:tcPr>
          <w:p w14:paraId="250B4F2E" w14:textId="77777777" w:rsidR="00853A02" w:rsidRPr="00B36F45" w:rsidRDefault="00853A02" w:rsidP="00EB1C5B">
            <w:pPr>
              <w:snapToGrid w:val="0"/>
              <w:spacing w:after="0" w:line="240" w:lineRule="auto"/>
              <w:jc w:val="center"/>
              <w:rPr>
                <w:rFonts w:ascii="Arial" w:hAnsi="Arial" w:cs="Arial"/>
                <w:sz w:val="16"/>
                <w:szCs w:val="16"/>
              </w:rPr>
            </w:pPr>
            <w:r>
              <w:rPr>
                <w:rFonts w:ascii="Arial" w:hAnsi="Arial" w:cs="Arial"/>
                <w:sz w:val="16"/>
                <w:szCs w:val="16"/>
              </w:rPr>
              <w:t>90</w:t>
            </w:r>
          </w:p>
        </w:tc>
        <w:tc>
          <w:tcPr>
            <w:tcW w:w="661" w:type="pct"/>
            <w:shd w:val="clear" w:color="auto" w:fill="F2F2F2"/>
            <w:vAlign w:val="center"/>
          </w:tcPr>
          <w:p w14:paraId="3DE95B4C" w14:textId="77777777" w:rsidR="00853A02" w:rsidRPr="00070ACB" w:rsidRDefault="00853A02" w:rsidP="00EB1C5B">
            <w:pPr>
              <w:spacing w:after="0" w:line="240" w:lineRule="auto"/>
              <w:jc w:val="center"/>
              <w:rPr>
                <w:rFonts w:ascii="Arial" w:hAnsi="Arial" w:cs="Arial"/>
                <w:sz w:val="16"/>
                <w:szCs w:val="16"/>
              </w:rPr>
            </w:pPr>
            <w:r w:rsidRPr="00070ACB">
              <w:rPr>
                <w:rFonts w:ascii="Arial" w:hAnsi="Arial" w:cs="Arial"/>
                <w:sz w:val="16"/>
                <w:szCs w:val="16"/>
              </w:rPr>
              <w:t>Badania</w:t>
            </w:r>
          </w:p>
          <w:p w14:paraId="3C60464E" w14:textId="77777777" w:rsidR="00853A02" w:rsidRPr="00070ACB" w:rsidRDefault="00853A02" w:rsidP="00EB1C5B">
            <w:pPr>
              <w:spacing w:after="0" w:line="240" w:lineRule="auto"/>
              <w:jc w:val="center"/>
              <w:rPr>
                <w:rFonts w:ascii="Arial" w:hAnsi="Arial" w:cs="Arial"/>
                <w:sz w:val="16"/>
                <w:szCs w:val="16"/>
              </w:rPr>
            </w:pPr>
            <w:r w:rsidRPr="00070ACB">
              <w:rPr>
                <w:rFonts w:ascii="Arial" w:hAnsi="Arial" w:cs="Arial"/>
                <w:sz w:val="16"/>
                <w:szCs w:val="16"/>
              </w:rPr>
              <w:t>społeczne</w:t>
            </w:r>
          </w:p>
          <w:p w14:paraId="5475F40E" w14:textId="77777777" w:rsidR="00853A02" w:rsidRPr="004E3242" w:rsidRDefault="00853A02" w:rsidP="00EB1C5B">
            <w:pPr>
              <w:spacing w:after="0" w:line="240" w:lineRule="auto"/>
              <w:jc w:val="center"/>
              <w:rPr>
                <w:rFonts w:ascii="Arial" w:hAnsi="Arial" w:cs="Arial"/>
                <w:sz w:val="16"/>
                <w:szCs w:val="16"/>
              </w:rPr>
            </w:pPr>
            <w:r w:rsidRPr="00070ACB">
              <w:rPr>
                <w:rFonts w:ascii="Arial" w:hAnsi="Arial" w:cs="Arial"/>
                <w:sz w:val="16"/>
                <w:szCs w:val="16"/>
              </w:rPr>
              <w:t>(</w:t>
            </w:r>
            <w:proofErr w:type="spellStart"/>
            <w:r w:rsidRPr="00070ACB">
              <w:rPr>
                <w:rFonts w:ascii="Arial" w:hAnsi="Arial" w:cs="Arial"/>
                <w:sz w:val="16"/>
                <w:szCs w:val="16"/>
              </w:rPr>
              <w:t>społeczeń</w:t>
            </w:r>
            <w:proofErr w:type="spellEnd"/>
            <w:r w:rsidRPr="00070ACB">
              <w:rPr>
                <w:rFonts w:ascii="Arial" w:hAnsi="Arial" w:cs="Arial"/>
                <w:sz w:val="16"/>
                <w:szCs w:val="16"/>
              </w:rPr>
              <w:t xml:space="preserve">- </w:t>
            </w:r>
            <w:proofErr w:type="spellStart"/>
            <w:r w:rsidRPr="00070ACB">
              <w:rPr>
                <w:rFonts w:ascii="Arial" w:hAnsi="Arial" w:cs="Arial"/>
                <w:sz w:val="16"/>
                <w:szCs w:val="16"/>
              </w:rPr>
              <w:t>stwo</w:t>
            </w:r>
            <w:proofErr w:type="spellEnd"/>
            <w:r w:rsidRPr="00070ACB">
              <w:rPr>
                <w:rFonts w:ascii="Arial" w:hAnsi="Arial" w:cs="Arial"/>
                <w:sz w:val="16"/>
                <w:szCs w:val="16"/>
              </w:rPr>
              <w:t>)</w:t>
            </w:r>
          </w:p>
        </w:tc>
        <w:tc>
          <w:tcPr>
            <w:tcW w:w="675" w:type="pct"/>
            <w:shd w:val="clear" w:color="auto" w:fill="F2F2F2"/>
            <w:vAlign w:val="center"/>
          </w:tcPr>
          <w:p w14:paraId="4C208F22" w14:textId="77777777" w:rsidR="00853A02" w:rsidRDefault="00853A02" w:rsidP="00EB1C5B">
            <w:pPr>
              <w:spacing w:after="0" w:line="240" w:lineRule="auto"/>
              <w:jc w:val="center"/>
              <w:rPr>
                <w:rFonts w:ascii="Arial" w:hAnsi="Arial" w:cs="Arial"/>
                <w:sz w:val="16"/>
                <w:szCs w:val="16"/>
              </w:rPr>
            </w:pPr>
            <w:r>
              <w:rPr>
                <w:rFonts w:ascii="Arial" w:hAnsi="Arial" w:cs="Arial"/>
                <w:sz w:val="16"/>
                <w:szCs w:val="16"/>
              </w:rPr>
              <w:t>rocznie</w:t>
            </w:r>
          </w:p>
        </w:tc>
      </w:tr>
    </w:tbl>
    <w:p w14:paraId="1A10015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Zakres interwencji </w:t>
      </w:r>
    </w:p>
    <w:p w14:paraId="730FC123" w14:textId="77777777" w:rsidR="00CA468D" w:rsidRDefault="00CA468D" w:rsidP="00CA468D">
      <w:p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Zakres interwencji obejmie całe terytorium RP. </w:t>
      </w:r>
    </w:p>
    <w:p w14:paraId="3E7162D0" w14:textId="77777777" w:rsidR="00CA468D" w:rsidRDefault="00CA468D" w:rsidP="00CA468D">
      <w:p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W ramach osi będzie możliwa interwencja w zakresie porycia kosztów:</w:t>
      </w:r>
    </w:p>
    <w:p w14:paraId="1EE88C39" w14:textId="77777777" w:rsidR="00CA468D" w:rsidRDefault="00CA468D" w:rsidP="003D6239">
      <w:pPr>
        <w:numPr>
          <w:ilvl w:val="0"/>
          <w:numId w:val="106"/>
        </w:numPr>
        <w:tabs>
          <w:tab w:val="left" w:pos="567"/>
        </w:tabs>
        <w:ind w:left="567"/>
        <w:jc w:val="both"/>
        <w:rPr>
          <w:rFonts w:ascii="Arial" w:hAnsi="Arial" w:cs="Arial"/>
          <w:bCs/>
          <w:iCs/>
          <w:sz w:val="20"/>
          <w:szCs w:val="20"/>
        </w:rPr>
      </w:pPr>
      <w:r>
        <w:rPr>
          <w:rFonts w:ascii="Arial" w:hAnsi="Arial" w:cs="Arial"/>
          <w:bCs/>
          <w:iCs/>
          <w:sz w:val="20"/>
          <w:szCs w:val="20"/>
        </w:rPr>
        <w:t xml:space="preserve">zatrudnienia w związku z działaniami naprawczymi realizowanymi w ramach </w:t>
      </w:r>
      <w:proofErr w:type="spellStart"/>
      <w:r>
        <w:rPr>
          <w:rFonts w:ascii="Arial" w:hAnsi="Arial" w:cs="Arial"/>
          <w:bCs/>
          <w:iCs/>
          <w:sz w:val="20"/>
          <w:szCs w:val="20"/>
        </w:rPr>
        <w:t>POIiŚ</w:t>
      </w:r>
      <w:proofErr w:type="spellEnd"/>
      <w:r>
        <w:rPr>
          <w:rFonts w:ascii="Arial" w:hAnsi="Arial" w:cs="Arial"/>
          <w:bCs/>
          <w:iCs/>
          <w:sz w:val="20"/>
          <w:szCs w:val="20"/>
        </w:rPr>
        <w:t xml:space="preserve"> obejmujących zakresem interwencji cel tematyczny „Wspieranie kryzysowych działań naprawczych w kontekście pandemii COVID-19 i przygotowania do ekologicznej i cyfrowej odbudowy gospodarki zwiększającej jej odporność” i audytem tych działań;</w:t>
      </w:r>
    </w:p>
    <w:p w14:paraId="5A582532" w14:textId="77777777" w:rsidR="00CA468D" w:rsidRDefault="00CA468D" w:rsidP="003D6239">
      <w:pPr>
        <w:numPr>
          <w:ilvl w:val="0"/>
          <w:numId w:val="106"/>
        </w:num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podnoszenia kwalifikacji personelu zaangażowanego w realizację XI. osi m.in. poprzez szkolenia oraz inne formy podnoszenia kwalifikacji;</w:t>
      </w:r>
    </w:p>
    <w:p w14:paraId="0297DBBD" w14:textId="77777777" w:rsidR="00CA468D" w:rsidRDefault="00CA468D" w:rsidP="003D6239">
      <w:pPr>
        <w:numPr>
          <w:ilvl w:val="0"/>
          <w:numId w:val="106"/>
        </w:num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zakupu i instalacji sprzętu i wyposażenia dla personelu zaangażowanego w realizację XI. Osi;</w:t>
      </w:r>
    </w:p>
    <w:p w14:paraId="16D59CB5" w14:textId="77777777" w:rsidR="00CA468D" w:rsidRDefault="00CA468D" w:rsidP="003D6239">
      <w:pPr>
        <w:numPr>
          <w:ilvl w:val="0"/>
          <w:numId w:val="108"/>
        </w:numPr>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wsparcia procesu zarządzania i wdrażania XI. osi, w tym m.in:</w:t>
      </w:r>
    </w:p>
    <w:p w14:paraId="1BE98454" w14:textId="77777777" w:rsidR="00CA468D" w:rsidRDefault="00CA468D" w:rsidP="003D6239">
      <w:pPr>
        <w:numPr>
          <w:ilvl w:val="0"/>
          <w:numId w:val="109"/>
        </w:numPr>
        <w:tabs>
          <w:tab w:val="clear" w:pos="720"/>
          <w:tab w:val="num" w:pos="1211"/>
        </w:tabs>
        <w:spacing w:after="120"/>
        <w:ind w:left="1211"/>
        <w:jc w:val="both"/>
        <w:rPr>
          <w:rFonts w:ascii="Arial" w:eastAsia="Times New Roman" w:hAnsi="Arial" w:cs="Arial"/>
          <w:sz w:val="20"/>
          <w:szCs w:val="20"/>
          <w:lang w:eastAsia="pl-PL"/>
        </w:rPr>
      </w:pPr>
      <w:r>
        <w:rPr>
          <w:rFonts w:ascii="Arial" w:eastAsia="Times New Roman" w:hAnsi="Arial" w:cs="Arial"/>
          <w:sz w:val="20"/>
          <w:szCs w:val="20"/>
          <w:lang w:eastAsia="pl-PL"/>
        </w:rPr>
        <w:t>wsparcia procesu oceny i selekcji projektów;</w:t>
      </w:r>
    </w:p>
    <w:p w14:paraId="68865A50" w14:textId="77777777" w:rsidR="00CA468D" w:rsidRDefault="00CA468D" w:rsidP="003D6239">
      <w:pPr>
        <w:numPr>
          <w:ilvl w:val="0"/>
          <w:numId w:val="109"/>
        </w:numPr>
        <w:tabs>
          <w:tab w:val="clear" w:pos="720"/>
          <w:tab w:val="num" w:pos="1211"/>
        </w:tabs>
        <w:spacing w:after="120"/>
        <w:ind w:left="1211"/>
        <w:jc w:val="both"/>
        <w:rPr>
          <w:rFonts w:ascii="Arial" w:eastAsia="Times New Roman" w:hAnsi="Arial" w:cs="Arial"/>
          <w:sz w:val="20"/>
          <w:szCs w:val="20"/>
          <w:lang w:eastAsia="pl-PL"/>
        </w:rPr>
      </w:pPr>
      <w:r>
        <w:rPr>
          <w:rFonts w:ascii="Arial" w:eastAsia="Times New Roman" w:hAnsi="Arial" w:cs="Arial"/>
          <w:sz w:val="20"/>
          <w:szCs w:val="20"/>
          <w:lang w:eastAsia="pl-PL"/>
        </w:rPr>
        <w:t>wsparcia procesu kontroli oraz działań związanych ze zwalczaniem nadużyć finansowych na szkodę UE;</w:t>
      </w:r>
    </w:p>
    <w:p w14:paraId="05439A10" w14:textId="77777777" w:rsidR="00CA468D" w:rsidRDefault="00CA468D" w:rsidP="003D6239">
      <w:pPr>
        <w:numPr>
          <w:ilvl w:val="0"/>
          <w:numId w:val="109"/>
        </w:numPr>
        <w:tabs>
          <w:tab w:val="clear" w:pos="720"/>
          <w:tab w:val="num" w:pos="1211"/>
        </w:tabs>
        <w:spacing w:after="120"/>
        <w:ind w:left="1211"/>
        <w:jc w:val="both"/>
        <w:rPr>
          <w:rFonts w:ascii="Arial" w:eastAsia="Times New Roman" w:hAnsi="Arial" w:cs="Arial"/>
          <w:sz w:val="20"/>
          <w:szCs w:val="20"/>
          <w:lang w:eastAsia="pl-PL"/>
        </w:rPr>
      </w:pPr>
      <w:r>
        <w:rPr>
          <w:rFonts w:ascii="Arial" w:eastAsia="Times New Roman" w:hAnsi="Arial" w:cs="Arial"/>
          <w:sz w:val="20"/>
          <w:szCs w:val="20"/>
          <w:lang w:eastAsia="pl-PL"/>
        </w:rPr>
        <w:t>przygotowania analiz, ekspertyz, ocen, sprawozdań, badań ewaluacyjnych;</w:t>
      </w:r>
    </w:p>
    <w:p w14:paraId="0D7A19FA" w14:textId="77777777" w:rsidR="00CA468D" w:rsidRDefault="00CA468D" w:rsidP="003D6239">
      <w:pPr>
        <w:numPr>
          <w:ilvl w:val="0"/>
          <w:numId w:val="106"/>
        </w:numPr>
        <w:rPr>
          <w:rFonts w:ascii="Arial" w:hAnsi="Arial" w:cs="Arial"/>
          <w:bCs/>
          <w:iCs/>
          <w:sz w:val="20"/>
          <w:szCs w:val="20"/>
        </w:rPr>
      </w:pPr>
      <w:r>
        <w:rPr>
          <w:rFonts w:ascii="Arial" w:hAnsi="Arial" w:cs="Arial"/>
          <w:sz w:val="20"/>
          <w:szCs w:val="20"/>
        </w:rPr>
        <w:lastRenderedPageBreak/>
        <w:t xml:space="preserve">zatrudnienia pracowników IP </w:t>
      </w:r>
      <w:proofErr w:type="spellStart"/>
      <w:r>
        <w:rPr>
          <w:rFonts w:ascii="Arial" w:hAnsi="Arial" w:cs="Arial"/>
          <w:sz w:val="20"/>
          <w:szCs w:val="20"/>
        </w:rPr>
        <w:t>POIiŚ</w:t>
      </w:r>
      <w:proofErr w:type="spellEnd"/>
      <w:r>
        <w:rPr>
          <w:rFonts w:ascii="Arial" w:hAnsi="Arial" w:cs="Arial"/>
          <w:sz w:val="20"/>
          <w:szCs w:val="20"/>
        </w:rPr>
        <w:t xml:space="preserve"> i IW </w:t>
      </w:r>
      <w:proofErr w:type="spellStart"/>
      <w:r>
        <w:rPr>
          <w:rFonts w:ascii="Arial" w:hAnsi="Arial" w:cs="Arial"/>
          <w:sz w:val="20"/>
          <w:szCs w:val="20"/>
        </w:rPr>
        <w:t>POIiŚ</w:t>
      </w:r>
      <w:proofErr w:type="spellEnd"/>
      <w:r>
        <w:rPr>
          <w:rStyle w:val="Odwoanieprzypisudolnego"/>
          <w:rFonts w:ascii="Arial" w:hAnsi="Arial" w:cs="Arial"/>
          <w:sz w:val="20"/>
          <w:szCs w:val="20"/>
        </w:rPr>
        <w:footnoteReference w:id="104"/>
      </w:r>
      <w:r>
        <w:rPr>
          <w:rFonts w:ascii="Arial" w:hAnsi="Arial" w:cs="Arial"/>
          <w:sz w:val="20"/>
          <w:szCs w:val="20"/>
        </w:rPr>
        <w:t xml:space="preserve"> nie zajmujących się wdrażaniem XI. osi priorytetowej, </w:t>
      </w:r>
      <w:r w:rsidR="002C2159">
        <w:rPr>
          <w:rFonts w:ascii="Arial" w:hAnsi="Arial" w:cs="Arial"/>
          <w:sz w:val="20"/>
          <w:szCs w:val="20"/>
        </w:rPr>
        <w:t>k</w:t>
      </w:r>
      <w:r>
        <w:rPr>
          <w:rFonts w:ascii="Arial" w:hAnsi="Arial" w:cs="Arial"/>
          <w:sz w:val="20"/>
          <w:szCs w:val="20"/>
        </w:rPr>
        <w:t>omplementarne wsparcie finansowania wynagrodzeń względem osi X. Pomoc Techniczna;</w:t>
      </w:r>
    </w:p>
    <w:p w14:paraId="20434E36" w14:textId="77777777" w:rsidR="00CA468D" w:rsidRDefault="00CA468D" w:rsidP="003D6239">
      <w:pPr>
        <w:numPr>
          <w:ilvl w:val="0"/>
          <w:numId w:val="106"/>
        </w:numPr>
        <w:rPr>
          <w:rFonts w:ascii="Arial" w:hAnsi="Arial" w:cs="Arial"/>
          <w:sz w:val="20"/>
          <w:szCs w:val="20"/>
        </w:rPr>
      </w:pPr>
      <w:r>
        <w:rPr>
          <w:rFonts w:ascii="Arial" w:hAnsi="Arial" w:cs="Arial"/>
          <w:sz w:val="20"/>
          <w:szCs w:val="20"/>
        </w:rPr>
        <w:t>archiwizacji i przechowywania dokumentacji wytworzonej w związku z realizacją zadań finansowanych z XI. i XII. Osi;</w:t>
      </w:r>
    </w:p>
    <w:p w14:paraId="511C1E8B" w14:textId="77777777" w:rsidR="00CA468D" w:rsidRDefault="00CA468D" w:rsidP="003D6239">
      <w:pPr>
        <w:numPr>
          <w:ilvl w:val="0"/>
          <w:numId w:val="106"/>
        </w:numPr>
        <w:tabs>
          <w:tab w:val="left" w:pos="567"/>
        </w:tabs>
        <w:ind w:left="567"/>
        <w:jc w:val="both"/>
        <w:rPr>
          <w:rFonts w:ascii="Arial" w:hAnsi="Arial" w:cs="Arial"/>
          <w:bCs/>
          <w:iCs/>
          <w:sz w:val="20"/>
          <w:szCs w:val="20"/>
        </w:rPr>
      </w:pPr>
      <w:r>
        <w:rPr>
          <w:rFonts w:ascii="Arial" w:hAnsi="Arial" w:cs="Arial"/>
          <w:bCs/>
          <w:iCs/>
          <w:sz w:val="20"/>
          <w:szCs w:val="20"/>
        </w:rPr>
        <w:t xml:space="preserve">prowadzenia działań informacyjno-promocyjnych w zakresie możliwości i efektów </w:t>
      </w:r>
      <w:r>
        <w:rPr>
          <w:rFonts w:ascii="Arial" w:hAnsi="Arial" w:cs="Arial"/>
          <w:sz w:val="20"/>
          <w:szCs w:val="20"/>
        </w:rPr>
        <w:t>wsparcia</w:t>
      </w:r>
      <w:r>
        <w:rPr>
          <w:rFonts w:ascii="Arial" w:hAnsi="Arial" w:cs="Arial"/>
          <w:bCs/>
          <w:iCs/>
          <w:sz w:val="20"/>
          <w:szCs w:val="20"/>
        </w:rPr>
        <w:t xml:space="preserve"> z</w:t>
      </w:r>
      <w:r w:rsidR="00A065EA">
        <w:rPr>
          <w:rFonts w:ascii="Arial" w:hAnsi="Arial" w:cs="Arial"/>
          <w:bCs/>
          <w:iCs/>
          <w:sz w:val="20"/>
          <w:szCs w:val="20"/>
        </w:rPr>
        <w:t> </w:t>
      </w:r>
      <w:r w:rsidR="00D10190">
        <w:rPr>
          <w:rFonts w:ascii="Arial" w:hAnsi="Arial" w:cs="Arial"/>
          <w:bCs/>
          <w:iCs/>
          <w:sz w:val="20"/>
          <w:szCs w:val="20"/>
        </w:rPr>
        <w:t>REACT-EU</w:t>
      </w:r>
      <w:r>
        <w:rPr>
          <w:rFonts w:ascii="Arial" w:hAnsi="Arial" w:cs="Arial"/>
          <w:bCs/>
          <w:iCs/>
          <w:sz w:val="20"/>
          <w:szCs w:val="20"/>
        </w:rPr>
        <w:t xml:space="preserve"> w ramach </w:t>
      </w:r>
      <w:proofErr w:type="spellStart"/>
      <w:r>
        <w:rPr>
          <w:rFonts w:ascii="Arial" w:hAnsi="Arial" w:cs="Arial"/>
          <w:bCs/>
          <w:iCs/>
          <w:sz w:val="20"/>
          <w:szCs w:val="20"/>
        </w:rPr>
        <w:t>POIiŚ</w:t>
      </w:r>
      <w:proofErr w:type="spellEnd"/>
      <w:r>
        <w:rPr>
          <w:rFonts w:ascii="Arial" w:hAnsi="Arial" w:cs="Arial"/>
          <w:bCs/>
          <w:iCs/>
          <w:sz w:val="20"/>
          <w:szCs w:val="20"/>
        </w:rPr>
        <w:t>;</w:t>
      </w:r>
    </w:p>
    <w:p w14:paraId="3ECCABCA" w14:textId="77777777" w:rsidR="00CA468D" w:rsidRDefault="00CA468D" w:rsidP="003D6239">
      <w:pPr>
        <w:numPr>
          <w:ilvl w:val="0"/>
          <w:numId w:val="106"/>
        </w:numPr>
        <w:tabs>
          <w:tab w:val="left" w:pos="567"/>
        </w:tabs>
        <w:ind w:left="567"/>
        <w:jc w:val="both"/>
        <w:rPr>
          <w:rFonts w:ascii="Arial" w:hAnsi="Arial" w:cs="Arial"/>
          <w:bCs/>
          <w:iCs/>
          <w:sz w:val="20"/>
          <w:szCs w:val="20"/>
        </w:rPr>
      </w:pPr>
      <w:r>
        <w:rPr>
          <w:rFonts w:ascii="Arial" w:hAnsi="Arial" w:cs="Arial"/>
          <w:bCs/>
          <w:iCs/>
          <w:sz w:val="20"/>
          <w:szCs w:val="20"/>
        </w:rPr>
        <w:t xml:space="preserve">szkoleń dla beneficjentów oraz potencjalnych beneficjentów z zakresu wsparcia w ramach </w:t>
      </w:r>
      <w:r w:rsidR="00D10190">
        <w:rPr>
          <w:rFonts w:ascii="Arial" w:hAnsi="Arial" w:cs="Arial"/>
          <w:bCs/>
          <w:iCs/>
          <w:sz w:val="20"/>
          <w:szCs w:val="20"/>
        </w:rPr>
        <w:t>REACT-EU</w:t>
      </w:r>
      <w:r>
        <w:rPr>
          <w:rFonts w:ascii="Arial" w:hAnsi="Arial" w:cs="Arial"/>
        </w:rPr>
        <w:t>.</w:t>
      </w:r>
    </w:p>
    <w:p w14:paraId="4CE7306F" w14:textId="77777777" w:rsidR="004E3242" w:rsidRDefault="004E3242" w:rsidP="004E3242">
      <w:pPr>
        <w:spacing w:after="120"/>
        <w:jc w:val="both"/>
        <w:rPr>
          <w:rFonts w:ascii="Arial" w:hAnsi="Arial" w:cs="Arial"/>
          <w:bCs/>
          <w:smallCaps/>
          <w:color w:val="669900"/>
          <w:spacing w:val="4"/>
          <w:sz w:val="20"/>
          <w:szCs w:val="20"/>
        </w:rPr>
      </w:pPr>
      <w:r w:rsidRPr="004E3242">
        <w:rPr>
          <w:rFonts w:ascii="Arial" w:eastAsia="Times New Roman" w:hAnsi="Arial" w:cs="Arial"/>
          <w:sz w:val="20"/>
          <w:szCs w:val="20"/>
          <w:lang w:eastAsia="pl-PL"/>
        </w:rPr>
        <w:t> </w:t>
      </w:r>
      <w:r w:rsidRPr="004E3242">
        <w:rPr>
          <w:rFonts w:ascii="Arial" w:hAnsi="Arial" w:cs="Arial"/>
          <w:bCs/>
          <w:smallCaps/>
          <w:color w:val="669900"/>
          <w:spacing w:val="4"/>
          <w:sz w:val="20"/>
          <w:szCs w:val="20"/>
        </w:rPr>
        <w:t>beneficjenci oraz grupy docelowe</w:t>
      </w:r>
    </w:p>
    <w:p w14:paraId="5C39FA2C" w14:textId="77777777" w:rsidR="00B47754" w:rsidRPr="00B47754" w:rsidRDefault="00B47754" w:rsidP="00B47754">
      <w:pPr>
        <w:tabs>
          <w:tab w:val="right" w:pos="9070"/>
        </w:tabs>
        <w:spacing w:after="120"/>
        <w:jc w:val="both"/>
        <w:rPr>
          <w:rFonts w:ascii="Arial" w:eastAsia="Times New Roman" w:hAnsi="Arial" w:cs="Arial"/>
          <w:sz w:val="20"/>
          <w:szCs w:val="20"/>
          <w:lang w:eastAsia="pl-PL"/>
        </w:rPr>
      </w:pPr>
      <w:r w:rsidRPr="00B47754">
        <w:rPr>
          <w:rFonts w:ascii="Arial" w:eastAsia="Times New Roman" w:hAnsi="Arial" w:cs="Arial"/>
          <w:sz w:val="20"/>
          <w:szCs w:val="20"/>
          <w:lang w:eastAsia="pl-PL"/>
        </w:rPr>
        <w:t>Kwota alokacji przeznaczonej na oś XII. zostanie podzielona pomiędzy instytucje  zaangażowane w</w:t>
      </w:r>
      <w:r w:rsidR="00A065EA">
        <w:rPr>
          <w:rFonts w:ascii="Arial" w:eastAsia="Times New Roman" w:hAnsi="Arial" w:cs="Arial"/>
          <w:sz w:val="20"/>
          <w:szCs w:val="20"/>
          <w:lang w:eastAsia="pl-PL"/>
        </w:rPr>
        <w:t> </w:t>
      </w:r>
      <w:r w:rsidRPr="00B47754">
        <w:rPr>
          <w:rFonts w:ascii="Arial" w:eastAsia="Times New Roman" w:hAnsi="Arial" w:cs="Arial"/>
          <w:sz w:val="20"/>
          <w:szCs w:val="20"/>
          <w:lang w:eastAsia="pl-PL"/>
        </w:rPr>
        <w:t xml:space="preserve">przygotowanie, wdrożenie, kontrolę, audyt, ewaluację, informację i promocję kryzysowych działań naprawczych realizowanych w ramach środków </w:t>
      </w:r>
      <w:proofErr w:type="spellStart"/>
      <w:r w:rsidRPr="00B47754">
        <w:rPr>
          <w:rFonts w:ascii="Arial" w:eastAsia="Times New Roman" w:hAnsi="Arial" w:cs="Arial"/>
          <w:sz w:val="20"/>
          <w:szCs w:val="20"/>
          <w:lang w:eastAsia="pl-PL"/>
        </w:rPr>
        <w:t>POIiŚ</w:t>
      </w:r>
      <w:proofErr w:type="spellEnd"/>
      <w:r w:rsidRPr="00B47754">
        <w:rPr>
          <w:rFonts w:ascii="Arial" w:eastAsia="Times New Roman" w:hAnsi="Arial" w:cs="Arial"/>
          <w:sz w:val="20"/>
          <w:szCs w:val="20"/>
          <w:lang w:eastAsia="pl-PL"/>
        </w:rPr>
        <w:t xml:space="preserve"> pochodzących z </w:t>
      </w:r>
      <w:r w:rsidR="00D10190">
        <w:rPr>
          <w:rFonts w:ascii="Arial" w:eastAsia="Times New Roman" w:hAnsi="Arial" w:cs="Arial"/>
          <w:sz w:val="20"/>
          <w:szCs w:val="20"/>
          <w:lang w:eastAsia="pl-PL"/>
        </w:rPr>
        <w:t>REACT-EU</w:t>
      </w:r>
      <w:r w:rsidR="007C3C9F">
        <w:rPr>
          <w:rFonts w:ascii="Arial" w:eastAsia="Times New Roman" w:hAnsi="Arial" w:cs="Arial"/>
          <w:sz w:val="20"/>
          <w:szCs w:val="20"/>
          <w:lang w:eastAsia="pl-PL"/>
        </w:rPr>
        <w:t xml:space="preserve">, </w:t>
      </w:r>
      <w:r w:rsidR="007C3C9F" w:rsidRPr="006571A0">
        <w:rPr>
          <w:rFonts w:ascii="Arial" w:eastAsia="Times New Roman" w:hAnsi="Arial" w:cs="Arial"/>
          <w:sz w:val="20"/>
          <w:szCs w:val="20"/>
          <w:lang w:eastAsia="pl-PL"/>
        </w:rPr>
        <w:t>w tym instytucje horyzontalne realizujące zadania koordynacyjne na poziomie Umowy Partnerstwa</w:t>
      </w:r>
      <w:r w:rsidRPr="006571A0">
        <w:rPr>
          <w:rFonts w:ascii="Arial" w:eastAsia="Times New Roman" w:hAnsi="Arial" w:cs="Arial"/>
          <w:sz w:val="20"/>
          <w:szCs w:val="20"/>
          <w:lang w:eastAsia="pl-PL"/>
        </w:rPr>
        <w:t>.</w:t>
      </w:r>
      <w:r w:rsidRPr="00B47754">
        <w:rPr>
          <w:rFonts w:ascii="Arial" w:eastAsia="Times New Roman" w:hAnsi="Arial" w:cs="Arial"/>
          <w:sz w:val="20"/>
          <w:szCs w:val="20"/>
          <w:lang w:eastAsia="pl-PL"/>
        </w:rPr>
        <w:t xml:space="preserve"> Oś XII. obejmuj</w:t>
      </w:r>
      <w:r w:rsidR="002C2159">
        <w:rPr>
          <w:rFonts w:ascii="Arial" w:eastAsia="Times New Roman" w:hAnsi="Arial" w:cs="Arial"/>
          <w:sz w:val="20"/>
          <w:szCs w:val="20"/>
          <w:lang w:eastAsia="pl-PL"/>
        </w:rPr>
        <w:t>e</w:t>
      </w:r>
      <w:r w:rsidRPr="00B47754">
        <w:rPr>
          <w:rFonts w:ascii="Arial" w:eastAsia="Times New Roman" w:hAnsi="Arial" w:cs="Arial"/>
          <w:sz w:val="20"/>
          <w:szCs w:val="20"/>
          <w:lang w:eastAsia="pl-PL"/>
        </w:rPr>
        <w:t xml:space="preserve"> również wsparcie wdrożenia </w:t>
      </w:r>
      <w:proofErr w:type="spellStart"/>
      <w:r w:rsidRPr="00B47754">
        <w:rPr>
          <w:rFonts w:ascii="Arial" w:eastAsia="Times New Roman" w:hAnsi="Arial" w:cs="Arial"/>
          <w:sz w:val="20"/>
          <w:szCs w:val="20"/>
          <w:lang w:eastAsia="pl-PL"/>
        </w:rPr>
        <w:t>POIiŚ</w:t>
      </w:r>
      <w:proofErr w:type="spellEnd"/>
      <w:r w:rsidRPr="00B47754">
        <w:rPr>
          <w:rFonts w:ascii="Arial" w:eastAsia="Times New Roman" w:hAnsi="Arial" w:cs="Arial"/>
          <w:sz w:val="20"/>
          <w:szCs w:val="20"/>
          <w:lang w:eastAsia="pl-PL"/>
        </w:rPr>
        <w:t xml:space="preserve"> w zakresie finansowania wynagrodzeń pracowników IP </w:t>
      </w:r>
      <w:proofErr w:type="spellStart"/>
      <w:r w:rsidRPr="00B47754">
        <w:rPr>
          <w:rFonts w:ascii="Arial" w:eastAsia="Times New Roman" w:hAnsi="Arial" w:cs="Arial"/>
          <w:sz w:val="20"/>
          <w:szCs w:val="20"/>
          <w:lang w:eastAsia="pl-PL"/>
        </w:rPr>
        <w:t>POIiŚ</w:t>
      </w:r>
      <w:proofErr w:type="spellEnd"/>
      <w:r w:rsidRPr="00B47754">
        <w:rPr>
          <w:rFonts w:ascii="Arial" w:eastAsia="Times New Roman" w:hAnsi="Arial" w:cs="Arial"/>
          <w:sz w:val="20"/>
          <w:szCs w:val="20"/>
          <w:lang w:eastAsia="pl-PL"/>
        </w:rPr>
        <w:t xml:space="preserve"> i IW </w:t>
      </w:r>
      <w:proofErr w:type="spellStart"/>
      <w:r w:rsidRPr="00B47754">
        <w:rPr>
          <w:rFonts w:ascii="Arial" w:eastAsia="Times New Roman" w:hAnsi="Arial" w:cs="Arial"/>
          <w:sz w:val="20"/>
          <w:szCs w:val="20"/>
          <w:lang w:eastAsia="pl-PL"/>
        </w:rPr>
        <w:t>POIiŚ</w:t>
      </w:r>
      <w:proofErr w:type="spellEnd"/>
      <w:r w:rsidRPr="00B47754">
        <w:rPr>
          <w:rFonts w:ascii="Arial" w:eastAsia="Times New Roman" w:hAnsi="Arial" w:cs="Arial"/>
          <w:sz w:val="20"/>
          <w:szCs w:val="20"/>
          <w:lang w:eastAsia="pl-PL"/>
        </w:rPr>
        <w:t xml:space="preserve"> nie zajmujących się wdrażaniem XI. osi priorytetowej</w:t>
      </w:r>
      <w:r>
        <w:rPr>
          <w:rStyle w:val="Odwoanieprzypisudolnego"/>
          <w:rFonts w:ascii="Arial" w:hAnsi="Arial" w:cs="Arial"/>
          <w:sz w:val="20"/>
          <w:szCs w:val="20"/>
        </w:rPr>
        <w:footnoteReference w:id="105"/>
      </w:r>
      <w:r>
        <w:rPr>
          <w:rFonts w:ascii="Arial" w:hAnsi="Arial" w:cs="Arial"/>
          <w:sz w:val="20"/>
          <w:szCs w:val="20"/>
        </w:rPr>
        <w:t xml:space="preserve"> (Komplementarne wsparcie finansowania wynagrodzeń względem osi X. Pomoc </w:t>
      </w:r>
      <w:r>
        <w:rPr>
          <w:rFonts w:ascii="Arial" w:eastAsia="Times New Roman" w:hAnsi="Arial" w:cs="Arial"/>
          <w:sz w:val="20"/>
          <w:szCs w:val="20"/>
          <w:lang w:eastAsia="pl-PL"/>
        </w:rPr>
        <w:t>Techniczna)</w:t>
      </w:r>
      <w:r w:rsidR="002C2159">
        <w:rPr>
          <w:rFonts w:ascii="Arial" w:eastAsia="Times New Roman" w:hAnsi="Arial" w:cs="Arial"/>
          <w:sz w:val="20"/>
          <w:szCs w:val="20"/>
          <w:lang w:eastAsia="pl-PL"/>
        </w:rPr>
        <w:t>.</w:t>
      </w:r>
    </w:p>
    <w:p w14:paraId="373F60BF" w14:textId="77777777" w:rsidR="00C9357C" w:rsidRDefault="00C9357C" w:rsidP="00B47754">
      <w:pPr>
        <w:tabs>
          <w:tab w:val="right" w:pos="9070"/>
        </w:tabs>
        <w:spacing w:after="120"/>
        <w:jc w:val="both"/>
        <w:rPr>
          <w:rFonts w:ascii="Arial" w:eastAsia="Times New Roman" w:hAnsi="Arial" w:cs="Arial"/>
          <w:sz w:val="20"/>
          <w:szCs w:val="20"/>
          <w:lang w:eastAsia="pl-PL"/>
        </w:rPr>
      </w:pPr>
    </w:p>
    <w:p w14:paraId="156F556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r w:rsidRPr="004E3242">
        <w:rPr>
          <w:rFonts w:ascii="Arial" w:hAnsi="Arial" w:cs="Arial"/>
          <w:bCs/>
          <w:smallCaps/>
          <w:color w:val="669900"/>
          <w:spacing w:val="4"/>
          <w:sz w:val="20"/>
          <w:szCs w:val="20"/>
        </w:rPr>
        <w:t>Zasady finansowania osi priorytetowej, w tym pomoc publiczna</w:t>
      </w:r>
    </w:p>
    <w:p w14:paraId="6B2C3E56" w14:textId="77777777" w:rsidR="004E3242" w:rsidRPr="004E3242" w:rsidRDefault="00B47754" w:rsidP="004E3242">
      <w:pPr>
        <w:tabs>
          <w:tab w:val="right" w:pos="9070"/>
        </w:tabs>
        <w:spacing w:after="1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Dotacja bezzwrotna. </w:t>
      </w:r>
      <w:r w:rsidR="00C9357C" w:rsidRPr="004E3242">
        <w:rPr>
          <w:rFonts w:ascii="Arial" w:eastAsia="Times New Roman" w:hAnsi="Arial" w:cs="Arial"/>
          <w:sz w:val="20"/>
          <w:szCs w:val="20"/>
          <w:lang w:eastAsia="pl-PL"/>
        </w:rPr>
        <w:t>Nie przewiduje się wsparcia w formie instrumentów finansowych.</w:t>
      </w:r>
    </w:p>
    <w:p w14:paraId="1B6054F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r w:rsidRPr="004E3242">
        <w:rPr>
          <w:rFonts w:ascii="Arial" w:hAnsi="Arial" w:cs="Arial"/>
          <w:bCs/>
          <w:smallCaps/>
          <w:color w:val="669900"/>
          <w:spacing w:val="4"/>
          <w:sz w:val="20"/>
          <w:szCs w:val="20"/>
        </w:rPr>
        <w:t>Wpływ dużych projektów na realizację celów osi priorytetowej</w:t>
      </w:r>
    </w:p>
    <w:p w14:paraId="59A94F8A" w14:textId="77777777" w:rsidR="00C9357C" w:rsidRPr="004E3242" w:rsidRDefault="00C9357C" w:rsidP="00C9357C">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Nie przewiduje się realizacji dużych projektów.</w:t>
      </w:r>
    </w:p>
    <w:p w14:paraId="4F5D54F9"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p>
    <w:p w14:paraId="4A91A741"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Wskaźniki produktu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0A0" w:firstRow="1" w:lastRow="0" w:firstColumn="1" w:lastColumn="0" w:noHBand="0" w:noVBand="0"/>
      </w:tblPr>
      <w:tblGrid>
        <w:gridCol w:w="596"/>
        <w:gridCol w:w="1889"/>
        <w:gridCol w:w="946"/>
        <w:gridCol w:w="1120"/>
        <w:gridCol w:w="1111"/>
        <w:gridCol w:w="1127"/>
        <w:gridCol w:w="1302"/>
        <w:gridCol w:w="1195"/>
      </w:tblGrid>
      <w:tr w:rsidR="004E3242" w:rsidRPr="004E3242" w14:paraId="1F1900E9" w14:textId="77777777" w:rsidTr="00B47754">
        <w:trPr>
          <w:trHeight w:val="501"/>
          <w:tblHeader/>
        </w:trPr>
        <w:tc>
          <w:tcPr>
            <w:tcW w:w="321" w:type="pct"/>
            <w:shd w:val="clear" w:color="auto" w:fill="99CC00"/>
            <w:vAlign w:val="center"/>
          </w:tcPr>
          <w:p w14:paraId="50CA3770" w14:textId="77777777" w:rsidR="004E3242" w:rsidRPr="004E3242" w:rsidRDefault="004E3242" w:rsidP="004E3242">
            <w:pPr>
              <w:spacing w:before="20" w:after="20" w:line="240" w:lineRule="auto"/>
              <w:jc w:val="center"/>
              <w:rPr>
                <w:rFonts w:ascii="Arial" w:hAnsi="Arial" w:cs="Arial"/>
                <w:color w:val="FFFFFF"/>
                <w:sz w:val="16"/>
                <w:szCs w:val="16"/>
              </w:rPr>
            </w:pPr>
            <w:r w:rsidRPr="004E3242">
              <w:rPr>
                <w:rFonts w:ascii="Arial" w:hAnsi="Arial" w:cs="Arial"/>
                <w:bCs/>
                <w:color w:val="FFFFFF"/>
                <w:sz w:val="16"/>
                <w:szCs w:val="16"/>
              </w:rPr>
              <w:t>L.p.</w:t>
            </w:r>
          </w:p>
        </w:tc>
        <w:tc>
          <w:tcPr>
            <w:tcW w:w="1017" w:type="pct"/>
            <w:shd w:val="clear" w:color="auto" w:fill="99CC00"/>
            <w:vAlign w:val="center"/>
          </w:tcPr>
          <w:p w14:paraId="78BDA0D2" w14:textId="77777777" w:rsidR="004E3242" w:rsidRPr="004E3242" w:rsidRDefault="004E3242" w:rsidP="004E3242">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Wskaźnik</w:t>
            </w:r>
          </w:p>
        </w:tc>
        <w:tc>
          <w:tcPr>
            <w:tcW w:w="509" w:type="pct"/>
            <w:shd w:val="clear" w:color="auto" w:fill="99CC00"/>
            <w:vAlign w:val="center"/>
          </w:tcPr>
          <w:p w14:paraId="1DCF9007" w14:textId="77777777" w:rsidR="004E3242" w:rsidRPr="004E3242" w:rsidRDefault="004E3242" w:rsidP="004E3242">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Jednostka miary</w:t>
            </w:r>
          </w:p>
        </w:tc>
        <w:tc>
          <w:tcPr>
            <w:tcW w:w="603" w:type="pct"/>
            <w:shd w:val="clear" w:color="auto" w:fill="99CC00"/>
            <w:vAlign w:val="center"/>
          </w:tcPr>
          <w:p w14:paraId="3ED51A36" w14:textId="77777777" w:rsidR="004E3242" w:rsidRPr="004E3242" w:rsidRDefault="004E3242" w:rsidP="004E3242">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Fundusz</w:t>
            </w:r>
          </w:p>
        </w:tc>
        <w:tc>
          <w:tcPr>
            <w:tcW w:w="598" w:type="pct"/>
            <w:shd w:val="clear" w:color="auto" w:fill="99CC00"/>
            <w:vAlign w:val="center"/>
          </w:tcPr>
          <w:p w14:paraId="105B4FE7" w14:textId="77777777" w:rsidR="004E3242" w:rsidRPr="004E3242" w:rsidRDefault="004E3242" w:rsidP="004E3242">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Kategoria regionu</w:t>
            </w:r>
          </w:p>
        </w:tc>
        <w:tc>
          <w:tcPr>
            <w:tcW w:w="607" w:type="pct"/>
            <w:shd w:val="clear" w:color="auto" w:fill="99CC00"/>
            <w:vAlign w:val="center"/>
          </w:tcPr>
          <w:p w14:paraId="1A1512EF" w14:textId="77777777" w:rsidR="004E3242" w:rsidRPr="004E3242" w:rsidRDefault="004E3242" w:rsidP="004E3242">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Wartość docelowa</w:t>
            </w:r>
            <w:r w:rsidRPr="004E3242">
              <w:rPr>
                <w:rFonts w:ascii="Arial" w:hAnsi="Arial" w:cs="Arial"/>
                <w:bCs/>
                <w:color w:val="FFFFFF"/>
                <w:sz w:val="16"/>
                <w:szCs w:val="16"/>
                <w:vertAlign w:val="superscript"/>
              </w:rPr>
              <w:footnoteReference w:id="106"/>
            </w:r>
          </w:p>
        </w:tc>
        <w:tc>
          <w:tcPr>
            <w:tcW w:w="701" w:type="pct"/>
            <w:shd w:val="clear" w:color="auto" w:fill="99CC00"/>
            <w:vAlign w:val="center"/>
          </w:tcPr>
          <w:p w14:paraId="35840F46" w14:textId="77777777" w:rsidR="004E3242" w:rsidRPr="004E3242" w:rsidRDefault="004E3242" w:rsidP="004E3242">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Źródło pozyskiwania danych nt. wartości</w:t>
            </w:r>
          </w:p>
        </w:tc>
        <w:tc>
          <w:tcPr>
            <w:tcW w:w="643" w:type="pct"/>
            <w:shd w:val="clear" w:color="auto" w:fill="99CC00"/>
            <w:vAlign w:val="center"/>
          </w:tcPr>
          <w:p w14:paraId="264ACFF7" w14:textId="77777777" w:rsidR="004E3242" w:rsidRPr="004E3242" w:rsidRDefault="004E3242" w:rsidP="004E3242">
            <w:pPr>
              <w:spacing w:before="20" w:after="20" w:line="240" w:lineRule="auto"/>
              <w:jc w:val="center"/>
              <w:rPr>
                <w:rFonts w:ascii="Arial" w:hAnsi="Arial" w:cs="Arial"/>
                <w:bCs/>
                <w:color w:val="FFFFFF"/>
                <w:sz w:val="16"/>
                <w:szCs w:val="16"/>
              </w:rPr>
            </w:pPr>
            <w:r w:rsidRPr="004E3242">
              <w:rPr>
                <w:rFonts w:ascii="Arial" w:hAnsi="Arial" w:cs="Arial"/>
                <w:bCs/>
                <w:color w:val="FFFFFF"/>
                <w:sz w:val="16"/>
                <w:szCs w:val="16"/>
              </w:rPr>
              <w:t>Częstotliwość pomiaru</w:t>
            </w:r>
          </w:p>
        </w:tc>
      </w:tr>
      <w:tr w:rsidR="00B47754" w:rsidRPr="004E3242" w14:paraId="66EC6F82" w14:textId="77777777" w:rsidTr="00B47754">
        <w:tc>
          <w:tcPr>
            <w:tcW w:w="321" w:type="pct"/>
            <w:shd w:val="clear" w:color="auto" w:fill="F2F2F2"/>
            <w:vAlign w:val="center"/>
          </w:tcPr>
          <w:p w14:paraId="1D44BDBE" w14:textId="77777777" w:rsidR="00B47754" w:rsidRPr="004E3242" w:rsidRDefault="006958DB" w:rsidP="004E3242">
            <w:pPr>
              <w:spacing w:before="20" w:after="20" w:line="240" w:lineRule="auto"/>
              <w:jc w:val="center"/>
              <w:rPr>
                <w:rFonts w:ascii="Arial" w:hAnsi="Arial" w:cs="Arial"/>
                <w:sz w:val="16"/>
                <w:szCs w:val="16"/>
              </w:rPr>
            </w:pPr>
            <w:r>
              <w:rPr>
                <w:rFonts w:ascii="Arial" w:hAnsi="Arial" w:cs="Arial"/>
                <w:sz w:val="16"/>
                <w:szCs w:val="16"/>
              </w:rPr>
              <w:t>1</w:t>
            </w:r>
            <w:r w:rsidR="00B47754" w:rsidRPr="004E3242">
              <w:rPr>
                <w:rFonts w:ascii="Arial" w:hAnsi="Arial" w:cs="Arial"/>
                <w:sz w:val="16"/>
                <w:szCs w:val="16"/>
              </w:rPr>
              <w:t>.</w:t>
            </w:r>
          </w:p>
        </w:tc>
        <w:tc>
          <w:tcPr>
            <w:tcW w:w="1017" w:type="pct"/>
            <w:shd w:val="clear" w:color="auto" w:fill="F2F2F2"/>
            <w:vAlign w:val="center"/>
          </w:tcPr>
          <w:p w14:paraId="712FE65B" w14:textId="77777777" w:rsidR="00B47754" w:rsidRPr="004E3242" w:rsidRDefault="00B47754" w:rsidP="004E3242">
            <w:pPr>
              <w:spacing w:before="20" w:after="20" w:line="240" w:lineRule="auto"/>
              <w:rPr>
                <w:rFonts w:ascii="Arial" w:hAnsi="Arial" w:cs="Arial"/>
                <w:sz w:val="16"/>
                <w:szCs w:val="16"/>
              </w:rPr>
            </w:pPr>
            <w:r>
              <w:rPr>
                <w:rFonts w:ascii="Arial" w:hAnsi="Arial" w:cs="Arial"/>
                <w:sz w:val="16"/>
                <w:szCs w:val="16"/>
              </w:rPr>
              <w:t>Liczba przeprowadzonych ewaluacji</w:t>
            </w:r>
          </w:p>
        </w:tc>
        <w:tc>
          <w:tcPr>
            <w:tcW w:w="509" w:type="pct"/>
            <w:shd w:val="clear" w:color="auto" w:fill="F2F2F2"/>
            <w:vAlign w:val="center"/>
          </w:tcPr>
          <w:p w14:paraId="55A52413"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szt.</w:t>
            </w:r>
          </w:p>
        </w:tc>
        <w:tc>
          <w:tcPr>
            <w:tcW w:w="603" w:type="pct"/>
            <w:shd w:val="clear" w:color="auto" w:fill="F2F2F2"/>
            <w:vAlign w:val="center"/>
          </w:tcPr>
          <w:p w14:paraId="3B65BFD9"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EFRR</w:t>
            </w:r>
          </w:p>
        </w:tc>
        <w:tc>
          <w:tcPr>
            <w:tcW w:w="598" w:type="pct"/>
            <w:shd w:val="clear" w:color="auto" w:fill="F2F2F2"/>
            <w:vAlign w:val="center"/>
          </w:tcPr>
          <w:p w14:paraId="497DC498"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n/d</w:t>
            </w:r>
          </w:p>
        </w:tc>
        <w:tc>
          <w:tcPr>
            <w:tcW w:w="607" w:type="pct"/>
            <w:shd w:val="clear" w:color="auto" w:fill="F2F2F2"/>
            <w:vAlign w:val="center"/>
          </w:tcPr>
          <w:p w14:paraId="78EBD01C"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n/d</w:t>
            </w:r>
          </w:p>
        </w:tc>
        <w:tc>
          <w:tcPr>
            <w:tcW w:w="701" w:type="pct"/>
            <w:shd w:val="clear" w:color="auto" w:fill="F2F2F2"/>
            <w:vAlign w:val="center"/>
          </w:tcPr>
          <w:p w14:paraId="099BBAA9"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System monitorowania</w:t>
            </w:r>
          </w:p>
        </w:tc>
        <w:tc>
          <w:tcPr>
            <w:tcW w:w="643" w:type="pct"/>
            <w:shd w:val="clear" w:color="auto" w:fill="F2F2F2"/>
            <w:vAlign w:val="center"/>
          </w:tcPr>
          <w:p w14:paraId="36549BDE"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Półrocznie</w:t>
            </w:r>
          </w:p>
        </w:tc>
      </w:tr>
      <w:tr w:rsidR="00B47754" w:rsidRPr="004E3242" w14:paraId="42867DA5" w14:textId="77777777" w:rsidTr="00B47754">
        <w:tc>
          <w:tcPr>
            <w:tcW w:w="321" w:type="pct"/>
            <w:shd w:val="clear" w:color="auto" w:fill="F2F2F2"/>
            <w:vAlign w:val="center"/>
          </w:tcPr>
          <w:p w14:paraId="177EC298" w14:textId="77777777" w:rsidR="00B47754" w:rsidRPr="004E3242" w:rsidRDefault="006958DB" w:rsidP="004E3242">
            <w:pPr>
              <w:spacing w:before="20" w:after="20" w:line="240" w:lineRule="auto"/>
              <w:jc w:val="center"/>
              <w:rPr>
                <w:rFonts w:ascii="Arial" w:hAnsi="Arial" w:cs="Arial"/>
                <w:sz w:val="16"/>
                <w:szCs w:val="16"/>
              </w:rPr>
            </w:pPr>
            <w:r>
              <w:rPr>
                <w:rFonts w:ascii="Arial" w:hAnsi="Arial" w:cs="Arial"/>
                <w:sz w:val="16"/>
                <w:szCs w:val="16"/>
              </w:rPr>
              <w:t>2</w:t>
            </w:r>
            <w:r w:rsidR="00B47754" w:rsidRPr="004E3242">
              <w:rPr>
                <w:rFonts w:ascii="Arial" w:hAnsi="Arial" w:cs="Arial"/>
                <w:sz w:val="16"/>
                <w:szCs w:val="16"/>
              </w:rPr>
              <w:t>.</w:t>
            </w:r>
          </w:p>
        </w:tc>
        <w:tc>
          <w:tcPr>
            <w:tcW w:w="1017" w:type="pct"/>
            <w:shd w:val="clear" w:color="auto" w:fill="F2F2F2"/>
            <w:vAlign w:val="center"/>
          </w:tcPr>
          <w:p w14:paraId="74FBF810" w14:textId="77777777" w:rsidR="00B47754" w:rsidRPr="004E3242" w:rsidRDefault="00B47754" w:rsidP="004E3242">
            <w:pPr>
              <w:spacing w:before="20" w:after="20" w:line="240" w:lineRule="auto"/>
              <w:rPr>
                <w:rFonts w:ascii="Arial" w:hAnsi="Arial" w:cs="Arial"/>
                <w:sz w:val="16"/>
                <w:szCs w:val="16"/>
              </w:rPr>
            </w:pPr>
            <w:r>
              <w:rPr>
                <w:rFonts w:ascii="Arial" w:hAnsi="Arial" w:cs="Arial"/>
                <w:sz w:val="16"/>
                <w:szCs w:val="16"/>
              </w:rPr>
              <w:t>Liczba uczestników form szkoleniowych dla beneficjentów</w:t>
            </w:r>
          </w:p>
        </w:tc>
        <w:tc>
          <w:tcPr>
            <w:tcW w:w="509" w:type="pct"/>
            <w:shd w:val="clear" w:color="auto" w:fill="F2F2F2"/>
            <w:vAlign w:val="center"/>
          </w:tcPr>
          <w:p w14:paraId="01687C85"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osoba</w:t>
            </w:r>
          </w:p>
        </w:tc>
        <w:tc>
          <w:tcPr>
            <w:tcW w:w="603" w:type="pct"/>
            <w:shd w:val="clear" w:color="auto" w:fill="F2F2F2"/>
            <w:vAlign w:val="center"/>
          </w:tcPr>
          <w:p w14:paraId="207DB3CA"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EFRR</w:t>
            </w:r>
          </w:p>
        </w:tc>
        <w:tc>
          <w:tcPr>
            <w:tcW w:w="598" w:type="pct"/>
            <w:shd w:val="clear" w:color="auto" w:fill="F2F2F2"/>
            <w:vAlign w:val="center"/>
          </w:tcPr>
          <w:p w14:paraId="11670C14"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n/d</w:t>
            </w:r>
          </w:p>
        </w:tc>
        <w:tc>
          <w:tcPr>
            <w:tcW w:w="607" w:type="pct"/>
            <w:shd w:val="clear" w:color="auto" w:fill="F2F2F2"/>
            <w:vAlign w:val="center"/>
          </w:tcPr>
          <w:p w14:paraId="39470304"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n/d</w:t>
            </w:r>
          </w:p>
        </w:tc>
        <w:tc>
          <w:tcPr>
            <w:tcW w:w="701" w:type="pct"/>
            <w:shd w:val="clear" w:color="auto" w:fill="F2F2F2"/>
            <w:vAlign w:val="center"/>
          </w:tcPr>
          <w:p w14:paraId="744B84EF"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System monitorowania</w:t>
            </w:r>
          </w:p>
        </w:tc>
        <w:tc>
          <w:tcPr>
            <w:tcW w:w="643" w:type="pct"/>
            <w:shd w:val="clear" w:color="auto" w:fill="F2F2F2"/>
            <w:vAlign w:val="center"/>
          </w:tcPr>
          <w:p w14:paraId="1037AA21"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Półrocznie</w:t>
            </w:r>
          </w:p>
        </w:tc>
      </w:tr>
      <w:tr w:rsidR="00B47754" w:rsidRPr="004E3242" w14:paraId="5DBE369A" w14:textId="77777777" w:rsidTr="00B47754">
        <w:tc>
          <w:tcPr>
            <w:tcW w:w="321" w:type="pct"/>
            <w:shd w:val="clear" w:color="auto" w:fill="F2F2F2"/>
            <w:vAlign w:val="center"/>
          </w:tcPr>
          <w:p w14:paraId="3C8EEB9F" w14:textId="77777777" w:rsidR="00B47754" w:rsidRPr="004E3242" w:rsidRDefault="006958DB" w:rsidP="004E3242">
            <w:pPr>
              <w:spacing w:before="20" w:after="20" w:line="240" w:lineRule="auto"/>
              <w:jc w:val="center"/>
              <w:rPr>
                <w:rFonts w:ascii="Arial" w:hAnsi="Arial" w:cs="Arial"/>
                <w:sz w:val="16"/>
                <w:szCs w:val="16"/>
              </w:rPr>
            </w:pPr>
            <w:r>
              <w:rPr>
                <w:rFonts w:ascii="Arial" w:hAnsi="Arial" w:cs="Arial"/>
                <w:sz w:val="16"/>
                <w:szCs w:val="16"/>
              </w:rPr>
              <w:t>3</w:t>
            </w:r>
            <w:r w:rsidR="00B47754" w:rsidRPr="004E3242">
              <w:rPr>
                <w:rFonts w:ascii="Arial" w:hAnsi="Arial" w:cs="Arial"/>
                <w:sz w:val="16"/>
                <w:szCs w:val="16"/>
              </w:rPr>
              <w:t>.</w:t>
            </w:r>
          </w:p>
        </w:tc>
        <w:tc>
          <w:tcPr>
            <w:tcW w:w="1017" w:type="pct"/>
            <w:shd w:val="clear" w:color="auto" w:fill="F2F2F2"/>
            <w:vAlign w:val="center"/>
          </w:tcPr>
          <w:p w14:paraId="51F213F1" w14:textId="77777777" w:rsidR="00B47754" w:rsidRPr="004E3242" w:rsidRDefault="00B47754" w:rsidP="004E3242">
            <w:pPr>
              <w:spacing w:before="20" w:after="20" w:line="240" w:lineRule="auto"/>
              <w:rPr>
                <w:rFonts w:ascii="Arial" w:hAnsi="Arial" w:cs="Arial"/>
                <w:sz w:val="16"/>
                <w:szCs w:val="16"/>
              </w:rPr>
            </w:pPr>
            <w:r>
              <w:rPr>
                <w:rFonts w:ascii="Arial" w:hAnsi="Arial" w:cs="Arial"/>
                <w:sz w:val="16"/>
                <w:szCs w:val="16"/>
              </w:rPr>
              <w:t>Liczba materiałów informacyjnych lub promocyjnych wydanych w formie elektronicznej</w:t>
            </w:r>
          </w:p>
        </w:tc>
        <w:tc>
          <w:tcPr>
            <w:tcW w:w="509" w:type="pct"/>
            <w:shd w:val="clear" w:color="auto" w:fill="F2F2F2"/>
            <w:vAlign w:val="center"/>
          </w:tcPr>
          <w:p w14:paraId="4EF3F4F1"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szt.</w:t>
            </w:r>
          </w:p>
        </w:tc>
        <w:tc>
          <w:tcPr>
            <w:tcW w:w="603" w:type="pct"/>
            <w:shd w:val="clear" w:color="auto" w:fill="F2F2F2"/>
            <w:vAlign w:val="center"/>
          </w:tcPr>
          <w:p w14:paraId="0008AD14"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EFRR</w:t>
            </w:r>
          </w:p>
        </w:tc>
        <w:tc>
          <w:tcPr>
            <w:tcW w:w="598" w:type="pct"/>
            <w:shd w:val="clear" w:color="auto" w:fill="F2F2F2"/>
            <w:vAlign w:val="center"/>
          </w:tcPr>
          <w:p w14:paraId="67E47E7A"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n/d</w:t>
            </w:r>
          </w:p>
        </w:tc>
        <w:tc>
          <w:tcPr>
            <w:tcW w:w="607" w:type="pct"/>
            <w:shd w:val="clear" w:color="auto" w:fill="F2F2F2"/>
            <w:vAlign w:val="center"/>
          </w:tcPr>
          <w:p w14:paraId="43D50096"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n/d</w:t>
            </w:r>
          </w:p>
        </w:tc>
        <w:tc>
          <w:tcPr>
            <w:tcW w:w="701" w:type="pct"/>
            <w:shd w:val="clear" w:color="auto" w:fill="F2F2F2"/>
            <w:vAlign w:val="center"/>
          </w:tcPr>
          <w:p w14:paraId="5D84620B"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 xml:space="preserve">System monitorowania </w:t>
            </w:r>
          </w:p>
        </w:tc>
        <w:tc>
          <w:tcPr>
            <w:tcW w:w="643" w:type="pct"/>
            <w:shd w:val="clear" w:color="auto" w:fill="F2F2F2"/>
            <w:vAlign w:val="center"/>
          </w:tcPr>
          <w:p w14:paraId="3AB21AE2" w14:textId="77777777" w:rsidR="00B47754" w:rsidRPr="004E3242" w:rsidRDefault="00B47754" w:rsidP="004E3242">
            <w:pPr>
              <w:spacing w:before="20" w:after="20" w:line="240" w:lineRule="auto"/>
              <w:jc w:val="center"/>
              <w:rPr>
                <w:rFonts w:ascii="Arial" w:hAnsi="Arial" w:cs="Arial"/>
                <w:sz w:val="16"/>
                <w:szCs w:val="16"/>
              </w:rPr>
            </w:pPr>
            <w:r>
              <w:rPr>
                <w:rFonts w:ascii="Arial" w:hAnsi="Arial" w:cs="Arial"/>
                <w:sz w:val="16"/>
                <w:szCs w:val="16"/>
              </w:rPr>
              <w:t>Półrocznie</w:t>
            </w:r>
          </w:p>
        </w:tc>
      </w:tr>
    </w:tbl>
    <w:p w14:paraId="65419E5D" w14:textId="77777777" w:rsidR="004E3242" w:rsidRPr="008D78A4" w:rsidRDefault="004E3242" w:rsidP="004E3242">
      <w:pPr>
        <w:spacing w:before="120" w:after="120"/>
        <w:jc w:val="both"/>
        <w:rPr>
          <w:rFonts w:ascii="Arial" w:hAnsi="Arial" w:cs="Arial"/>
          <w:bCs/>
          <w:smallCaps/>
          <w:color w:val="669900"/>
          <w:spacing w:val="4"/>
          <w:sz w:val="20"/>
          <w:szCs w:val="20"/>
        </w:rPr>
      </w:pPr>
      <w:r w:rsidRPr="008D78A4">
        <w:rPr>
          <w:rFonts w:ascii="Arial" w:hAnsi="Arial" w:cs="Arial"/>
          <w:bCs/>
          <w:smallCaps/>
          <w:color w:val="669900"/>
          <w:spacing w:val="4"/>
          <w:sz w:val="20"/>
          <w:szCs w:val="20"/>
        </w:rPr>
        <w:t>Kategorie interwencji (EUR)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1126"/>
        <w:gridCol w:w="1882"/>
        <w:gridCol w:w="375"/>
        <w:gridCol w:w="312"/>
        <w:gridCol w:w="810"/>
        <w:gridCol w:w="1192"/>
        <w:gridCol w:w="306"/>
        <w:gridCol w:w="373"/>
        <w:gridCol w:w="1125"/>
        <w:gridCol w:w="1547"/>
        <w:gridCol w:w="238"/>
      </w:tblGrid>
      <w:tr w:rsidR="004E3242" w:rsidRPr="008D78A4" w14:paraId="2F2330E6" w14:textId="77777777" w:rsidTr="00642207">
        <w:trPr>
          <w:cantSplit/>
          <w:tblHeader/>
        </w:trPr>
        <w:tc>
          <w:tcPr>
            <w:tcW w:w="1619" w:type="pct"/>
            <w:gridSpan w:val="2"/>
            <w:shd w:val="clear" w:color="auto" w:fill="99CC00"/>
            <w:vAlign w:val="center"/>
          </w:tcPr>
          <w:p w14:paraId="21654F9F"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Obszar interwencji</w:t>
            </w:r>
          </w:p>
        </w:tc>
        <w:tc>
          <w:tcPr>
            <w:tcW w:w="202" w:type="pct"/>
            <w:shd w:val="clear" w:color="auto" w:fill="FFFFFF"/>
          </w:tcPr>
          <w:p w14:paraId="46AC4793" w14:textId="77777777" w:rsidR="004E3242" w:rsidRPr="008D78A4" w:rsidRDefault="004E3242" w:rsidP="004E3242">
            <w:pPr>
              <w:spacing w:before="20" w:after="20" w:line="240" w:lineRule="auto"/>
              <w:jc w:val="center"/>
              <w:rPr>
                <w:rFonts w:ascii="Arial" w:hAnsi="Arial" w:cs="Arial"/>
                <w:color w:val="FFFFFF"/>
                <w:sz w:val="16"/>
                <w:szCs w:val="16"/>
              </w:rPr>
            </w:pPr>
          </w:p>
        </w:tc>
        <w:tc>
          <w:tcPr>
            <w:tcW w:w="1411" w:type="pct"/>
            <w:gridSpan w:val="4"/>
            <w:shd w:val="clear" w:color="auto" w:fill="99CC00"/>
            <w:vAlign w:val="center"/>
          </w:tcPr>
          <w:p w14:paraId="5A42B0D0"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Forma finansowania</w:t>
            </w:r>
          </w:p>
        </w:tc>
        <w:tc>
          <w:tcPr>
            <w:tcW w:w="201" w:type="pct"/>
            <w:shd w:val="clear" w:color="auto" w:fill="FFFFFF"/>
          </w:tcPr>
          <w:p w14:paraId="4B85F04E" w14:textId="77777777" w:rsidR="004E3242" w:rsidRPr="008D78A4" w:rsidRDefault="004E3242" w:rsidP="004E3242">
            <w:pPr>
              <w:spacing w:before="20" w:after="20" w:line="240" w:lineRule="auto"/>
              <w:jc w:val="center"/>
              <w:rPr>
                <w:rFonts w:ascii="Arial" w:hAnsi="Arial" w:cs="Arial"/>
                <w:color w:val="FFFFFF"/>
                <w:sz w:val="16"/>
                <w:szCs w:val="16"/>
              </w:rPr>
            </w:pPr>
          </w:p>
        </w:tc>
        <w:tc>
          <w:tcPr>
            <w:tcW w:w="1439" w:type="pct"/>
            <w:gridSpan w:val="2"/>
            <w:shd w:val="clear" w:color="auto" w:fill="99CC00"/>
            <w:vAlign w:val="center"/>
          </w:tcPr>
          <w:p w14:paraId="6C60CAE2"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Terytorium</w:t>
            </w:r>
          </w:p>
        </w:tc>
        <w:tc>
          <w:tcPr>
            <w:tcW w:w="129" w:type="pct"/>
            <w:shd w:val="clear" w:color="auto" w:fill="FFFFFF"/>
          </w:tcPr>
          <w:p w14:paraId="5854252E" w14:textId="77777777" w:rsidR="004E3242" w:rsidRPr="008D78A4" w:rsidRDefault="004E3242" w:rsidP="004E3242">
            <w:pPr>
              <w:spacing w:before="20" w:after="20" w:line="240" w:lineRule="auto"/>
              <w:jc w:val="center"/>
              <w:rPr>
                <w:rFonts w:ascii="Arial" w:hAnsi="Arial" w:cs="Arial"/>
                <w:color w:val="FFFFFF"/>
                <w:sz w:val="16"/>
                <w:szCs w:val="16"/>
              </w:rPr>
            </w:pPr>
          </w:p>
        </w:tc>
      </w:tr>
      <w:tr w:rsidR="004E3242" w:rsidRPr="008D78A4" w14:paraId="2B9891B4" w14:textId="77777777" w:rsidTr="00642207">
        <w:trPr>
          <w:cantSplit/>
          <w:tblHeader/>
        </w:trPr>
        <w:tc>
          <w:tcPr>
            <w:tcW w:w="606" w:type="pct"/>
            <w:shd w:val="clear" w:color="auto" w:fill="99CC00"/>
            <w:vAlign w:val="center"/>
          </w:tcPr>
          <w:p w14:paraId="7417C390"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lastRenderedPageBreak/>
              <w:t>Kod</w:t>
            </w:r>
          </w:p>
        </w:tc>
        <w:tc>
          <w:tcPr>
            <w:tcW w:w="1012" w:type="pct"/>
            <w:shd w:val="clear" w:color="auto" w:fill="99CC00"/>
            <w:vAlign w:val="center"/>
          </w:tcPr>
          <w:p w14:paraId="4EB66D9D"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Kwota</w:t>
            </w:r>
          </w:p>
        </w:tc>
        <w:tc>
          <w:tcPr>
            <w:tcW w:w="202" w:type="pct"/>
            <w:shd w:val="clear" w:color="auto" w:fill="FFFFFF"/>
          </w:tcPr>
          <w:p w14:paraId="4797F514" w14:textId="77777777" w:rsidR="004E3242" w:rsidRPr="008D78A4" w:rsidRDefault="004E3242" w:rsidP="004E3242">
            <w:pPr>
              <w:spacing w:before="20" w:after="20" w:line="240" w:lineRule="auto"/>
              <w:jc w:val="center"/>
              <w:rPr>
                <w:rFonts w:ascii="Arial" w:hAnsi="Arial" w:cs="Arial"/>
                <w:color w:val="FFFFFF"/>
                <w:sz w:val="16"/>
                <w:szCs w:val="16"/>
              </w:rPr>
            </w:pPr>
          </w:p>
        </w:tc>
        <w:tc>
          <w:tcPr>
            <w:tcW w:w="604" w:type="pct"/>
            <w:gridSpan w:val="2"/>
            <w:shd w:val="clear" w:color="auto" w:fill="99CC00"/>
            <w:vAlign w:val="center"/>
          </w:tcPr>
          <w:p w14:paraId="2BA1E053"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Kod</w:t>
            </w:r>
          </w:p>
        </w:tc>
        <w:tc>
          <w:tcPr>
            <w:tcW w:w="807" w:type="pct"/>
            <w:gridSpan w:val="2"/>
            <w:shd w:val="clear" w:color="auto" w:fill="99CC00"/>
            <w:vAlign w:val="center"/>
          </w:tcPr>
          <w:p w14:paraId="7C27A4BE"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Kwota</w:t>
            </w:r>
          </w:p>
        </w:tc>
        <w:tc>
          <w:tcPr>
            <w:tcW w:w="201" w:type="pct"/>
            <w:shd w:val="clear" w:color="auto" w:fill="FFFFFF"/>
          </w:tcPr>
          <w:p w14:paraId="17E81000" w14:textId="77777777" w:rsidR="004E3242" w:rsidRPr="008D78A4" w:rsidRDefault="004E3242" w:rsidP="004E3242">
            <w:pPr>
              <w:spacing w:before="20" w:after="20" w:line="240" w:lineRule="auto"/>
              <w:jc w:val="center"/>
              <w:rPr>
                <w:rFonts w:ascii="Arial" w:hAnsi="Arial" w:cs="Arial"/>
                <w:color w:val="FFFFFF"/>
                <w:sz w:val="16"/>
                <w:szCs w:val="16"/>
              </w:rPr>
            </w:pPr>
          </w:p>
        </w:tc>
        <w:tc>
          <w:tcPr>
            <w:tcW w:w="606" w:type="pct"/>
            <w:shd w:val="clear" w:color="auto" w:fill="99CC00"/>
            <w:vAlign w:val="center"/>
          </w:tcPr>
          <w:p w14:paraId="3CBA96F5"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Kod</w:t>
            </w:r>
          </w:p>
        </w:tc>
        <w:tc>
          <w:tcPr>
            <w:tcW w:w="833" w:type="pct"/>
            <w:shd w:val="clear" w:color="auto" w:fill="99CC00"/>
            <w:vAlign w:val="center"/>
          </w:tcPr>
          <w:p w14:paraId="5D3E0F5E" w14:textId="77777777" w:rsidR="004E3242" w:rsidRPr="008D78A4" w:rsidRDefault="004E3242" w:rsidP="004E3242">
            <w:pPr>
              <w:spacing w:before="20" w:after="20" w:line="240" w:lineRule="auto"/>
              <w:jc w:val="center"/>
              <w:rPr>
                <w:rFonts w:ascii="Arial" w:hAnsi="Arial" w:cs="Arial"/>
                <w:color w:val="FFFFFF"/>
                <w:sz w:val="16"/>
                <w:szCs w:val="16"/>
              </w:rPr>
            </w:pPr>
            <w:r w:rsidRPr="008D78A4">
              <w:rPr>
                <w:rFonts w:ascii="Arial" w:hAnsi="Arial" w:cs="Arial"/>
                <w:color w:val="FFFFFF"/>
                <w:sz w:val="16"/>
                <w:szCs w:val="16"/>
              </w:rPr>
              <w:t>Kwota</w:t>
            </w:r>
          </w:p>
        </w:tc>
        <w:tc>
          <w:tcPr>
            <w:tcW w:w="129" w:type="pct"/>
            <w:shd w:val="clear" w:color="auto" w:fill="FFFFFF"/>
          </w:tcPr>
          <w:p w14:paraId="30E0653D" w14:textId="77777777" w:rsidR="004E3242" w:rsidRPr="008D78A4" w:rsidRDefault="004E3242" w:rsidP="004E3242">
            <w:pPr>
              <w:spacing w:before="20" w:after="20" w:line="240" w:lineRule="auto"/>
              <w:jc w:val="center"/>
              <w:rPr>
                <w:rFonts w:ascii="Arial" w:hAnsi="Arial" w:cs="Arial"/>
                <w:color w:val="FFFFFF"/>
                <w:sz w:val="16"/>
                <w:szCs w:val="16"/>
              </w:rPr>
            </w:pPr>
          </w:p>
        </w:tc>
      </w:tr>
      <w:tr w:rsidR="00642207" w:rsidRPr="008D78A4" w14:paraId="5B27063D" w14:textId="77777777" w:rsidTr="00642207">
        <w:trPr>
          <w:cantSplit/>
          <w:tblHeader/>
        </w:trPr>
        <w:tc>
          <w:tcPr>
            <w:tcW w:w="606" w:type="pct"/>
            <w:shd w:val="clear" w:color="auto" w:fill="F2F2F2"/>
          </w:tcPr>
          <w:p w14:paraId="171A773E" w14:textId="77777777" w:rsidR="00642207" w:rsidRPr="008D78A4" w:rsidRDefault="00642207" w:rsidP="00EB1CDF">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121</w:t>
            </w:r>
          </w:p>
        </w:tc>
        <w:tc>
          <w:tcPr>
            <w:tcW w:w="1012" w:type="pct"/>
            <w:shd w:val="clear" w:color="auto" w:fill="F2F2F2"/>
            <w:vAlign w:val="bottom"/>
          </w:tcPr>
          <w:p w14:paraId="363741F6" w14:textId="5BBB1D20" w:rsidR="00810F9E" w:rsidRDefault="00810F9E" w:rsidP="00F35BA0">
            <w:pPr>
              <w:spacing w:before="20" w:after="20" w:line="240" w:lineRule="auto"/>
              <w:jc w:val="center"/>
              <w:rPr>
                <w:rFonts w:ascii="Arial" w:hAnsi="Arial" w:cs="Arial"/>
                <w:sz w:val="16"/>
                <w:szCs w:val="16"/>
              </w:rPr>
            </w:pPr>
            <w:r>
              <w:rPr>
                <w:rFonts w:ascii="Arial" w:hAnsi="Arial" w:cs="Arial"/>
                <w:sz w:val="16"/>
                <w:szCs w:val="16"/>
              </w:rPr>
              <w:t>30 422 962</w:t>
            </w:r>
          </w:p>
          <w:p w14:paraId="2C522752" w14:textId="29ABE458" w:rsidR="00642207" w:rsidRPr="00277975" w:rsidRDefault="00642207" w:rsidP="00EB1CDF">
            <w:pPr>
              <w:spacing w:before="20" w:after="20" w:line="240" w:lineRule="auto"/>
              <w:jc w:val="center"/>
              <w:rPr>
                <w:rFonts w:ascii="Arial" w:hAnsi="Arial" w:cs="Arial"/>
                <w:sz w:val="16"/>
                <w:szCs w:val="16"/>
              </w:rPr>
            </w:pPr>
          </w:p>
        </w:tc>
        <w:tc>
          <w:tcPr>
            <w:tcW w:w="202" w:type="pct"/>
            <w:shd w:val="clear" w:color="auto" w:fill="FFFFFF"/>
          </w:tcPr>
          <w:p w14:paraId="66BB3C7E" w14:textId="77777777" w:rsidR="00642207" w:rsidRPr="008D78A4" w:rsidRDefault="00642207" w:rsidP="00EB1CDF">
            <w:pPr>
              <w:suppressAutoHyphens/>
              <w:spacing w:before="20" w:after="20" w:line="240" w:lineRule="auto"/>
              <w:jc w:val="center"/>
              <w:rPr>
                <w:rFonts w:ascii="Arial" w:hAnsi="Arial" w:cs="Arial"/>
                <w:sz w:val="16"/>
                <w:szCs w:val="16"/>
              </w:rPr>
            </w:pPr>
          </w:p>
        </w:tc>
        <w:tc>
          <w:tcPr>
            <w:tcW w:w="604" w:type="pct"/>
            <w:gridSpan w:val="2"/>
            <w:shd w:val="clear" w:color="auto" w:fill="F2F2F2"/>
          </w:tcPr>
          <w:p w14:paraId="380CA775" w14:textId="77777777" w:rsidR="00642207" w:rsidRPr="008D78A4" w:rsidRDefault="00642207" w:rsidP="00EB1CDF">
            <w:pPr>
              <w:suppressAutoHyphens/>
              <w:spacing w:before="20" w:after="20" w:line="240" w:lineRule="auto"/>
              <w:jc w:val="center"/>
              <w:rPr>
                <w:rFonts w:ascii="Arial" w:hAnsi="Arial" w:cs="Arial"/>
                <w:sz w:val="16"/>
                <w:szCs w:val="16"/>
              </w:rPr>
            </w:pPr>
            <w:r w:rsidRPr="008D78A4">
              <w:rPr>
                <w:rFonts w:ascii="Arial" w:hAnsi="Arial" w:cs="Arial"/>
                <w:sz w:val="16"/>
                <w:szCs w:val="16"/>
              </w:rPr>
              <w:t>01</w:t>
            </w:r>
          </w:p>
        </w:tc>
        <w:tc>
          <w:tcPr>
            <w:tcW w:w="807" w:type="pct"/>
            <w:gridSpan w:val="2"/>
            <w:shd w:val="clear" w:color="auto" w:fill="F2F2F2"/>
          </w:tcPr>
          <w:p w14:paraId="5009E468" w14:textId="6F472E35" w:rsidR="00377D20" w:rsidRDefault="00377D20" w:rsidP="00EB1CDF">
            <w:pPr>
              <w:spacing w:before="20" w:after="20" w:line="240" w:lineRule="auto"/>
              <w:jc w:val="center"/>
              <w:rPr>
                <w:rFonts w:ascii="Arial" w:hAnsi="Arial" w:cs="Arial"/>
                <w:bCs/>
                <w:sz w:val="16"/>
                <w:szCs w:val="16"/>
              </w:rPr>
            </w:pPr>
            <w:r w:rsidRPr="00377D20">
              <w:rPr>
                <w:rFonts w:ascii="Arial" w:hAnsi="Arial" w:cs="Arial"/>
                <w:bCs/>
                <w:sz w:val="16"/>
                <w:szCs w:val="16"/>
              </w:rPr>
              <w:t>30 715</w:t>
            </w:r>
            <w:r>
              <w:rPr>
                <w:rFonts w:ascii="Arial" w:hAnsi="Arial" w:cs="Arial"/>
                <w:bCs/>
                <w:sz w:val="16"/>
                <w:szCs w:val="16"/>
              </w:rPr>
              <w:t> </w:t>
            </w:r>
            <w:r w:rsidRPr="00377D20">
              <w:rPr>
                <w:rFonts w:ascii="Arial" w:hAnsi="Arial" w:cs="Arial"/>
                <w:bCs/>
                <w:sz w:val="16"/>
                <w:szCs w:val="16"/>
              </w:rPr>
              <w:t>624</w:t>
            </w:r>
          </w:p>
          <w:p w14:paraId="69D2BBAC" w14:textId="4263BC64" w:rsidR="00642207" w:rsidRPr="008D78A4" w:rsidRDefault="00642207" w:rsidP="00EB1CDF">
            <w:pPr>
              <w:spacing w:before="20" w:after="20" w:line="240" w:lineRule="auto"/>
              <w:jc w:val="center"/>
              <w:rPr>
                <w:rFonts w:ascii="Arial" w:hAnsi="Arial" w:cs="Arial"/>
                <w:bCs/>
                <w:sz w:val="16"/>
                <w:szCs w:val="16"/>
              </w:rPr>
            </w:pPr>
          </w:p>
        </w:tc>
        <w:tc>
          <w:tcPr>
            <w:tcW w:w="201" w:type="pct"/>
            <w:shd w:val="clear" w:color="auto" w:fill="FFFFFF"/>
          </w:tcPr>
          <w:p w14:paraId="5476AFD7" w14:textId="77777777" w:rsidR="00642207" w:rsidRPr="008D78A4" w:rsidRDefault="00642207" w:rsidP="00EB1CDF">
            <w:pPr>
              <w:suppressAutoHyphens/>
              <w:spacing w:before="20" w:after="20" w:line="240" w:lineRule="auto"/>
              <w:jc w:val="center"/>
              <w:rPr>
                <w:rFonts w:ascii="Arial" w:hAnsi="Arial" w:cs="Arial"/>
                <w:sz w:val="16"/>
                <w:szCs w:val="16"/>
              </w:rPr>
            </w:pPr>
          </w:p>
        </w:tc>
        <w:tc>
          <w:tcPr>
            <w:tcW w:w="606" w:type="pct"/>
            <w:shd w:val="clear" w:color="auto" w:fill="F2F2F2"/>
          </w:tcPr>
          <w:p w14:paraId="6844BCB2" w14:textId="77777777" w:rsidR="00642207" w:rsidRPr="008D78A4" w:rsidRDefault="00642207" w:rsidP="00EB1CDF">
            <w:pPr>
              <w:suppressAutoHyphens/>
              <w:spacing w:before="20" w:after="20" w:line="240" w:lineRule="auto"/>
              <w:jc w:val="center"/>
              <w:rPr>
                <w:rFonts w:ascii="Arial" w:hAnsi="Arial" w:cs="Arial"/>
                <w:sz w:val="16"/>
                <w:szCs w:val="16"/>
              </w:rPr>
            </w:pPr>
            <w:r w:rsidRPr="008D78A4">
              <w:rPr>
                <w:rFonts w:ascii="Arial" w:hAnsi="Arial" w:cs="Arial"/>
                <w:sz w:val="16"/>
                <w:szCs w:val="16"/>
              </w:rPr>
              <w:t>07</w:t>
            </w:r>
          </w:p>
        </w:tc>
        <w:tc>
          <w:tcPr>
            <w:tcW w:w="833" w:type="pct"/>
            <w:shd w:val="clear" w:color="auto" w:fill="F2F2F2"/>
          </w:tcPr>
          <w:p w14:paraId="2746BF9C" w14:textId="69AB4550" w:rsidR="00377D20" w:rsidRDefault="00377D20" w:rsidP="00EB1CDF">
            <w:pPr>
              <w:spacing w:before="20" w:after="20" w:line="240" w:lineRule="auto"/>
              <w:jc w:val="center"/>
              <w:rPr>
                <w:rFonts w:ascii="Arial" w:hAnsi="Arial" w:cs="Arial"/>
                <w:bCs/>
                <w:sz w:val="16"/>
                <w:szCs w:val="16"/>
              </w:rPr>
            </w:pPr>
            <w:r w:rsidRPr="00377D20">
              <w:rPr>
                <w:rFonts w:ascii="Arial" w:hAnsi="Arial" w:cs="Arial"/>
                <w:bCs/>
                <w:sz w:val="16"/>
                <w:szCs w:val="16"/>
              </w:rPr>
              <w:t>30 715</w:t>
            </w:r>
            <w:r>
              <w:rPr>
                <w:rFonts w:ascii="Arial" w:hAnsi="Arial" w:cs="Arial"/>
                <w:bCs/>
                <w:sz w:val="16"/>
                <w:szCs w:val="16"/>
              </w:rPr>
              <w:t> </w:t>
            </w:r>
            <w:r w:rsidRPr="00377D20">
              <w:rPr>
                <w:rFonts w:ascii="Arial" w:hAnsi="Arial" w:cs="Arial"/>
                <w:bCs/>
                <w:sz w:val="16"/>
                <w:szCs w:val="16"/>
              </w:rPr>
              <w:t>624</w:t>
            </w:r>
          </w:p>
          <w:p w14:paraId="393FD839" w14:textId="073F198E" w:rsidR="00642207" w:rsidRPr="008D78A4" w:rsidRDefault="00642207" w:rsidP="00EB1CDF">
            <w:pPr>
              <w:spacing w:before="20" w:after="20" w:line="240" w:lineRule="auto"/>
              <w:jc w:val="center"/>
              <w:rPr>
                <w:rFonts w:ascii="Arial" w:hAnsi="Arial" w:cs="Arial"/>
                <w:bCs/>
                <w:sz w:val="16"/>
                <w:szCs w:val="16"/>
              </w:rPr>
            </w:pPr>
          </w:p>
        </w:tc>
        <w:tc>
          <w:tcPr>
            <w:tcW w:w="129" w:type="pct"/>
            <w:shd w:val="clear" w:color="auto" w:fill="FFFFFF"/>
          </w:tcPr>
          <w:p w14:paraId="6156D49A" w14:textId="77777777" w:rsidR="00642207" w:rsidRPr="008D78A4" w:rsidRDefault="00642207" w:rsidP="00EB1CDF">
            <w:pPr>
              <w:suppressAutoHyphens/>
              <w:spacing w:before="20" w:after="20" w:line="240" w:lineRule="auto"/>
              <w:jc w:val="center"/>
              <w:rPr>
                <w:rFonts w:ascii="Arial" w:hAnsi="Arial" w:cs="Arial"/>
                <w:sz w:val="16"/>
                <w:szCs w:val="16"/>
              </w:rPr>
            </w:pPr>
          </w:p>
        </w:tc>
      </w:tr>
      <w:tr w:rsidR="00642207" w:rsidRPr="008D78A4" w14:paraId="74C3124E" w14:textId="77777777" w:rsidTr="00642207">
        <w:trPr>
          <w:cantSplit/>
          <w:tblHeader/>
        </w:trPr>
        <w:tc>
          <w:tcPr>
            <w:tcW w:w="606" w:type="pct"/>
            <w:shd w:val="clear" w:color="auto" w:fill="F2F2F2"/>
            <w:vAlign w:val="center"/>
          </w:tcPr>
          <w:p w14:paraId="03273A64" w14:textId="77777777" w:rsidR="00642207" w:rsidRPr="008D78A4" w:rsidRDefault="00642207" w:rsidP="00EB1CDF">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122</w:t>
            </w:r>
          </w:p>
        </w:tc>
        <w:tc>
          <w:tcPr>
            <w:tcW w:w="1012" w:type="pct"/>
            <w:shd w:val="clear" w:color="auto" w:fill="F2F2F2"/>
            <w:vAlign w:val="bottom"/>
          </w:tcPr>
          <w:p w14:paraId="7EB6A6F4" w14:textId="750F2D5D" w:rsidR="00B07EF7" w:rsidRDefault="00B07EF7" w:rsidP="00EB1CDF">
            <w:pPr>
              <w:spacing w:before="20" w:after="20" w:line="240" w:lineRule="auto"/>
              <w:jc w:val="center"/>
              <w:rPr>
                <w:rFonts w:ascii="Arial" w:hAnsi="Arial" w:cs="Arial"/>
                <w:sz w:val="16"/>
                <w:szCs w:val="16"/>
              </w:rPr>
            </w:pPr>
            <w:r>
              <w:rPr>
                <w:rFonts w:ascii="Arial" w:hAnsi="Arial" w:cs="Arial"/>
                <w:sz w:val="16"/>
                <w:szCs w:val="16"/>
              </w:rPr>
              <w:t>60 000</w:t>
            </w:r>
          </w:p>
          <w:p w14:paraId="12F7B4D8" w14:textId="1AC40C2B" w:rsidR="00642207" w:rsidRPr="00277975" w:rsidRDefault="00642207" w:rsidP="00B07EF7">
            <w:pPr>
              <w:spacing w:before="20" w:after="20" w:line="240" w:lineRule="auto"/>
              <w:jc w:val="center"/>
              <w:rPr>
                <w:rFonts w:ascii="Arial" w:hAnsi="Arial" w:cs="Arial"/>
                <w:sz w:val="16"/>
                <w:szCs w:val="16"/>
              </w:rPr>
            </w:pPr>
          </w:p>
        </w:tc>
        <w:tc>
          <w:tcPr>
            <w:tcW w:w="202" w:type="pct"/>
            <w:shd w:val="clear" w:color="auto" w:fill="FFFFFF"/>
          </w:tcPr>
          <w:p w14:paraId="43E183E2" w14:textId="77777777" w:rsidR="00642207" w:rsidRPr="008D78A4" w:rsidRDefault="00642207" w:rsidP="00EB1CDF">
            <w:pPr>
              <w:spacing w:before="20" w:after="20" w:line="240" w:lineRule="auto"/>
              <w:jc w:val="center"/>
              <w:rPr>
                <w:rFonts w:ascii="Arial" w:hAnsi="Arial" w:cs="Arial"/>
                <w:b/>
                <w:color w:val="FFFFFF"/>
                <w:sz w:val="16"/>
                <w:szCs w:val="16"/>
              </w:rPr>
            </w:pPr>
          </w:p>
        </w:tc>
        <w:tc>
          <w:tcPr>
            <w:tcW w:w="604" w:type="pct"/>
            <w:gridSpan w:val="2"/>
            <w:shd w:val="clear" w:color="auto" w:fill="D6E3BC"/>
            <w:vAlign w:val="center"/>
          </w:tcPr>
          <w:p w14:paraId="3D8D5589" w14:textId="77777777" w:rsidR="00642207" w:rsidRPr="008D78A4" w:rsidRDefault="00642207" w:rsidP="00EB1CDF">
            <w:pPr>
              <w:spacing w:before="20" w:after="20" w:line="240" w:lineRule="auto"/>
              <w:jc w:val="center"/>
              <w:rPr>
                <w:rFonts w:ascii="Arial" w:hAnsi="Arial" w:cs="Arial"/>
                <w:sz w:val="16"/>
                <w:szCs w:val="16"/>
              </w:rPr>
            </w:pPr>
            <w:r w:rsidRPr="008D78A4">
              <w:rPr>
                <w:rFonts w:ascii="Arial" w:hAnsi="Arial" w:cs="Arial"/>
                <w:sz w:val="16"/>
                <w:szCs w:val="16"/>
              </w:rPr>
              <w:t>Razem</w:t>
            </w:r>
          </w:p>
        </w:tc>
        <w:tc>
          <w:tcPr>
            <w:tcW w:w="807" w:type="pct"/>
            <w:gridSpan w:val="2"/>
            <w:shd w:val="clear" w:color="auto" w:fill="D6E3BC"/>
            <w:vAlign w:val="center"/>
          </w:tcPr>
          <w:p w14:paraId="39700E51" w14:textId="6B6C2781" w:rsidR="00377D20" w:rsidRDefault="00377D20" w:rsidP="00EB1CDF">
            <w:pPr>
              <w:spacing w:before="20" w:after="20" w:line="240" w:lineRule="auto"/>
              <w:jc w:val="center"/>
              <w:rPr>
                <w:rFonts w:ascii="Arial" w:hAnsi="Arial" w:cs="Arial"/>
                <w:sz w:val="16"/>
                <w:szCs w:val="16"/>
              </w:rPr>
            </w:pPr>
            <w:r w:rsidRPr="00377D20">
              <w:rPr>
                <w:rFonts w:ascii="Arial" w:hAnsi="Arial" w:cs="Arial"/>
                <w:sz w:val="16"/>
                <w:szCs w:val="16"/>
              </w:rPr>
              <w:t>30 715</w:t>
            </w:r>
            <w:r>
              <w:rPr>
                <w:rFonts w:ascii="Arial" w:hAnsi="Arial" w:cs="Arial"/>
                <w:sz w:val="16"/>
                <w:szCs w:val="16"/>
              </w:rPr>
              <w:t> </w:t>
            </w:r>
            <w:r w:rsidRPr="00377D20">
              <w:rPr>
                <w:rFonts w:ascii="Arial" w:hAnsi="Arial" w:cs="Arial"/>
                <w:sz w:val="16"/>
                <w:szCs w:val="16"/>
              </w:rPr>
              <w:t>624</w:t>
            </w:r>
          </w:p>
          <w:p w14:paraId="0012DB7B" w14:textId="6E138E35" w:rsidR="00642207" w:rsidRPr="008D78A4" w:rsidRDefault="00642207" w:rsidP="00EB1CDF">
            <w:pPr>
              <w:spacing w:before="20" w:after="20" w:line="240" w:lineRule="auto"/>
              <w:jc w:val="center"/>
              <w:rPr>
                <w:rFonts w:ascii="Arial" w:hAnsi="Arial" w:cs="Arial"/>
                <w:sz w:val="16"/>
                <w:szCs w:val="16"/>
              </w:rPr>
            </w:pPr>
          </w:p>
        </w:tc>
        <w:tc>
          <w:tcPr>
            <w:tcW w:w="201" w:type="pct"/>
            <w:shd w:val="clear" w:color="auto" w:fill="FFFFFF"/>
          </w:tcPr>
          <w:p w14:paraId="6E7AA039" w14:textId="77777777" w:rsidR="00642207" w:rsidRPr="008D78A4" w:rsidRDefault="00642207" w:rsidP="00EB1CDF">
            <w:pPr>
              <w:spacing w:before="20" w:after="20" w:line="240" w:lineRule="auto"/>
              <w:jc w:val="center"/>
              <w:rPr>
                <w:rFonts w:ascii="Arial" w:hAnsi="Arial" w:cs="Arial"/>
                <w:b/>
                <w:color w:val="FFFFFF"/>
                <w:sz w:val="16"/>
                <w:szCs w:val="16"/>
              </w:rPr>
            </w:pPr>
          </w:p>
        </w:tc>
        <w:tc>
          <w:tcPr>
            <w:tcW w:w="606" w:type="pct"/>
            <w:shd w:val="clear" w:color="auto" w:fill="D6E3BC"/>
            <w:vAlign w:val="center"/>
          </w:tcPr>
          <w:p w14:paraId="7161A0CB" w14:textId="77777777" w:rsidR="00642207" w:rsidRPr="008D78A4" w:rsidRDefault="00642207" w:rsidP="00EB1CDF">
            <w:pPr>
              <w:spacing w:before="20" w:after="20" w:line="240" w:lineRule="auto"/>
              <w:jc w:val="center"/>
              <w:rPr>
                <w:rFonts w:ascii="Arial" w:hAnsi="Arial" w:cs="Arial"/>
                <w:sz w:val="16"/>
                <w:szCs w:val="16"/>
              </w:rPr>
            </w:pPr>
            <w:r w:rsidRPr="008D78A4">
              <w:rPr>
                <w:rFonts w:ascii="Arial" w:hAnsi="Arial" w:cs="Arial"/>
                <w:sz w:val="16"/>
                <w:szCs w:val="16"/>
              </w:rPr>
              <w:t>Razem</w:t>
            </w:r>
          </w:p>
        </w:tc>
        <w:tc>
          <w:tcPr>
            <w:tcW w:w="833" w:type="pct"/>
            <w:shd w:val="clear" w:color="auto" w:fill="D6E3BC"/>
            <w:vAlign w:val="center"/>
          </w:tcPr>
          <w:p w14:paraId="041228D2" w14:textId="7A83B652" w:rsidR="00377D20" w:rsidRDefault="00377D20" w:rsidP="00EB1CDF">
            <w:pPr>
              <w:spacing w:before="20" w:after="20" w:line="240" w:lineRule="auto"/>
              <w:jc w:val="center"/>
              <w:rPr>
                <w:rFonts w:ascii="Arial" w:hAnsi="Arial" w:cs="Arial"/>
                <w:sz w:val="16"/>
                <w:szCs w:val="16"/>
              </w:rPr>
            </w:pPr>
            <w:r w:rsidRPr="00377D20">
              <w:rPr>
                <w:rFonts w:ascii="Arial" w:hAnsi="Arial" w:cs="Arial"/>
                <w:sz w:val="16"/>
                <w:szCs w:val="16"/>
              </w:rPr>
              <w:t>30 715</w:t>
            </w:r>
            <w:r>
              <w:rPr>
                <w:rFonts w:ascii="Arial" w:hAnsi="Arial" w:cs="Arial"/>
                <w:sz w:val="16"/>
                <w:szCs w:val="16"/>
              </w:rPr>
              <w:t> </w:t>
            </w:r>
            <w:r w:rsidRPr="00377D20">
              <w:rPr>
                <w:rFonts w:ascii="Arial" w:hAnsi="Arial" w:cs="Arial"/>
                <w:sz w:val="16"/>
                <w:szCs w:val="16"/>
              </w:rPr>
              <w:t>624</w:t>
            </w:r>
          </w:p>
          <w:p w14:paraId="6277D3DA" w14:textId="7F43771E" w:rsidR="00642207" w:rsidRPr="008D78A4" w:rsidRDefault="00642207" w:rsidP="00EB1CDF">
            <w:pPr>
              <w:spacing w:before="20" w:after="20" w:line="240" w:lineRule="auto"/>
              <w:jc w:val="center"/>
              <w:rPr>
                <w:rFonts w:ascii="Arial" w:hAnsi="Arial" w:cs="Arial"/>
                <w:sz w:val="16"/>
                <w:szCs w:val="16"/>
              </w:rPr>
            </w:pPr>
          </w:p>
        </w:tc>
        <w:tc>
          <w:tcPr>
            <w:tcW w:w="129" w:type="pct"/>
            <w:shd w:val="clear" w:color="auto" w:fill="FFFFFF"/>
          </w:tcPr>
          <w:p w14:paraId="2A074A88" w14:textId="77777777" w:rsidR="00642207" w:rsidRPr="008D78A4" w:rsidRDefault="00642207" w:rsidP="00EB1CDF">
            <w:pPr>
              <w:spacing w:before="20" w:after="20" w:line="240" w:lineRule="auto"/>
              <w:jc w:val="center"/>
              <w:rPr>
                <w:rFonts w:ascii="Arial" w:hAnsi="Arial" w:cs="Arial"/>
                <w:b/>
                <w:color w:val="FFFFFF"/>
                <w:sz w:val="16"/>
                <w:szCs w:val="16"/>
              </w:rPr>
            </w:pPr>
          </w:p>
        </w:tc>
      </w:tr>
      <w:tr w:rsidR="00642207" w:rsidRPr="008D78A4" w14:paraId="51D5CD0D" w14:textId="77777777" w:rsidTr="00277975">
        <w:trPr>
          <w:gridAfter w:val="5"/>
          <w:wAfter w:w="1934" w:type="pct"/>
          <w:cantSplit/>
          <w:tblHeader/>
        </w:trPr>
        <w:tc>
          <w:tcPr>
            <w:tcW w:w="606" w:type="pct"/>
            <w:shd w:val="clear" w:color="auto" w:fill="F2F2F2"/>
            <w:vAlign w:val="center"/>
          </w:tcPr>
          <w:p w14:paraId="7AA21E70" w14:textId="77777777" w:rsidR="00642207" w:rsidRPr="008D78A4" w:rsidRDefault="00642207" w:rsidP="00EB1CDF">
            <w:pPr>
              <w:spacing w:before="20" w:after="20" w:line="240" w:lineRule="auto"/>
              <w:jc w:val="center"/>
              <w:rPr>
                <w:rFonts w:ascii="Arial" w:hAnsi="Arial" w:cs="Arial"/>
                <w:color w:val="000000"/>
                <w:sz w:val="16"/>
                <w:szCs w:val="16"/>
              </w:rPr>
            </w:pPr>
            <w:r w:rsidRPr="004E3242">
              <w:rPr>
                <w:rFonts w:ascii="Arial" w:hAnsi="Arial" w:cs="Arial"/>
                <w:color w:val="000000"/>
                <w:sz w:val="16"/>
                <w:szCs w:val="16"/>
              </w:rPr>
              <w:t>123</w:t>
            </w:r>
          </w:p>
        </w:tc>
        <w:tc>
          <w:tcPr>
            <w:tcW w:w="1012" w:type="pct"/>
            <w:shd w:val="clear" w:color="auto" w:fill="F2F2F2"/>
            <w:vAlign w:val="bottom"/>
          </w:tcPr>
          <w:p w14:paraId="3876A24D" w14:textId="77777777" w:rsidR="00642207" w:rsidRPr="00277975" w:rsidRDefault="00642207" w:rsidP="00EB1CDF">
            <w:pPr>
              <w:spacing w:before="20" w:after="20" w:line="240" w:lineRule="auto"/>
              <w:jc w:val="center"/>
              <w:rPr>
                <w:rFonts w:ascii="Arial" w:hAnsi="Arial" w:cs="Arial"/>
                <w:sz w:val="16"/>
                <w:szCs w:val="16"/>
              </w:rPr>
            </w:pPr>
            <w:r w:rsidRPr="00642207">
              <w:rPr>
                <w:rFonts w:ascii="Arial" w:hAnsi="Arial" w:cs="Arial"/>
                <w:sz w:val="16"/>
                <w:szCs w:val="16"/>
              </w:rPr>
              <w:t>232 662</w:t>
            </w:r>
          </w:p>
        </w:tc>
        <w:tc>
          <w:tcPr>
            <w:tcW w:w="202" w:type="pct"/>
            <w:shd w:val="clear" w:color="auto" w:fill="FFFFFF"/>
          </w:tcPr>
          <w:p w14:paraId="3A3D484D" w14:textId="77777777" w:rsidR="00642207" w:rsidRPr="008D78A4" w:rsidRDefault="00642207" w:rsidP="00EB1CDF">
            <w:pPr>
              <w:spacing w:before="20" w:after="20" w:line="240" w:lineRule="auto"/>
              <w:jc w:val="center"/>
              <w:rPr>
                <w:rFonts w:ascii="Arial" w:hAnsi="Arial" w:cs="Arial"/>
                <w:sz w:val="16"/>
                <w:szCs w:val="16"/>
              </w:rPr>
            </w:pPr>
          </w:p>
        </w:tc>
        <w:tc>
          <w:tcPr>
            <w:tcW w:w="168" w:type="pct"/>
            <w:shd w:val="clear" w:color="auto" w:fill="FFFFFF"/>
          </w:tcPr>
          <w:p w14:paraId="5C0B9421" w14:textId="77777777" w:rsidR="00642207" w:rsidRPr="008D78A4" w:rsidRDefault="00642207" w:rsidP="00EB1CDF">
            <w:pPr>
              <w:spacing w:before="20" w:after="20" w:line="240" w:lineRule="auto"/>
              <w:jc w:val="center"/>
              <w:rPr>
                <w:rFonts w:ascii="Arial" w:hAnsi="Arial" w:cs="Arial"/>
                <w:sz w:val="16"/>
                <w:szCs w:val="16"/>
              </w:rPr>
            </w:pPr>
          </w:p>
        </w:tc>
        <w:tc>
          <w:tcPr>
            <w:tcW w:w="1078" w:type="pct"/>
            <w:gridSpan w:val="2"/>
            <w:shd w:val="clear" w:color="auto" w:fill="FFFFFF"/>
          </w:tcPr>
          <w:p w14:paraId="433E8DE1" w14:textId="77777777" w:rsidR="00642207" w:rsidRPr="008D78A4" w:rsidRDefault="00642207" w:rsidP="00EB1CDF">
            <w:pPr>
              <w:spacing w:before="20" w:after="20" w:line="240" w:lineRule="auto"/>
              <w:jc w:val="center"/>
              <w:rPr>
                <w:rFonts w:ascii="Arial" w:hAnsi="Arial" w:cs="Arial"/>
                <w:sz w:val="16"/>
                <w:szCs w:val="16"/>
              </w:rPr>
            </w:pPr>
          </w:p>
        </w:tc>
      </w:tr>
      <w:tr w:rsidR="00FC3C87" w:rsidRPr="004E3242" w14:paraId="3502C203" w14:textId="77777777" w:rsidTr="00277975">
        <w:trPr>
          <w:gridAfter w:val="5"/>
          <w:wAfter w:w="1934" w:type="pct"/>
          <w:cantSplit/>
          <w:tblHeader/>
        </w:trPr>
        <w:tc>
          <w:tcPr>
            <w:tcW w:w="606" w:type="pct"/>
            <w:shd w:val="clear" w:color="auto" w:fill="D6E3BC"/>
          </w:tcPr>
          <w:p w14:paraId="12283D2C" w14:textId="77777777" w:rsidR="00FC3C87" w:rsidRPr="008D78A4" w:rsidRDefault="00FC3C87" w:rsidP="004E3242">
            <w:pPr>
              <w:spacing w:before="20" w:after="20" w:line="240" w:lineRule="auto"/>
              <w:jc w:val="center"/>
              <w:rPr>
                <w:rFonts w:ascii="Arial" w:hAnsi="Arial" w:cs="Arial"/>
                <w:sz w:val="16"/>
                <w:szCs w:val="16"/>
              </w:rPr>
            </w:pPr>
            <w:r w:rsidRPr="008D78A4">
              <w:rPr>
                <w:rFonts w:ascii="Arial" w:hAnsi="Arial" w:cs="Arial"/>
                <w:sz w:val="16"/>
                <w:szCs w:val="16"/>
              </w:rPr>
              <w:t>Razem</w:t>
            </w:r>
          </w:p>
        </w:tc>
        <w:tc>
          <w:tcPr>
            <w:tcW w:w="1012" w:type="pct"/>
            <w:shd w:val="clear" w:color="auto" w:fill="D6E3BC"/>
          </w:tcPr>
          <w:p w14:paraId="0B601EAE" w14:textId="00A06937" w:rsidR="00377D20" w:rsidRDefault="00377D20" w:rsidP="002829B6">
            <w:pPr>
              <w:spacing w:before="20" w:after="20" w:line="240" w:lineRule="auto"/>
              <w:jc w:val="center"/>
              <w:rPr>
                <w:rFonts w:ascii="Arial" w:hAnsi="Arial" w:cs="Arial"/>
                <w:sz w:val="16"/>
                <w:szCs w:val="16"/>
              </w:rPr>
            </w:pPr>
            <w:r w:rsidRPr="00377D20">
              <w:rPr>
                <w:rFonts w:ascii="Arial" w:hAnsi="Arial" w:cs="Arial"/>
                <w:sz w:val="16"/>
                <w:szCs w:val="16"/>
              </w:rPr>
              <w:t>30 715</w:t>
            </w:r>
            <w:r>
              <w:rPr>
                <w:rFonts w:ascii="Arial" w:hAnsi="Arial" w:cs="Arial"/>
                <w:sz w:val="16"/>
                <w:szCs w:val="16"/>
              </w:rPr>
              <w:t> </w:t>
            </w:r>
            <w:r w:rsidRPr="00377D20">
              <w:rPr>
                <w:rFonts w:ascii="Arial" w:hAnsi="Arial" w:cs="Arial"/>
                <w:sz w:val="16"/>
                <w:szCs w:val="16"/>
              </w:rPr>
              <w:t>624</w:t>
            </w:r>
          </w:p>
          <w:p w14:paraId="4A70272F" w14:textId="550E4671" w:rsidR="00FC3C87" w:rsidRPr="004E3242" w:rsidRDefault="00FC3C87" w:rsidP="002829B6">
            <w:pPr>
              <w:spacing w:before="20" w:after="20" w:line="240" w:lineRule="auto"/>
              <w:jc w:val="center"/>
              <w:rPr>
                <w:rFonts w:ascii="Arial" w:hAnsi="Arial" w:cs="Arial"/>
                <w:sz w:val="16"/>
                <w:szCs w:val="16"/>
              </w:rPr>
            </w:pPr>
          </w:p>
        </w:tc>
        <w:tc>
          <w:tcPr>
            <w:tcW w:w="202" w:type="pct"/>
            <w:shd w:val="clear" w:color="auto" w:fill="FFFFFF"/>
          </w:tcPr>
          <w:p w14:paraId="4B9C00B4" w14:textId="77777777" w:rsidR="00FC3C87" w:rsidRPr="004E3242" w:rsidRDefault="00FC3C87" w:rsidP="004E3242">
            <w:pPr>
              <w:spacing w:before="20" w:after="20" w:line="240" w:lineRule="auto"/>
              <w:jc w:val="center"/>
              <w:rPr>
                <w:rFonts w:ascii="Arial" w:hAnsi="Arial" w:cs="Arial"/>
                <w:sz w:val="16"/>
                <w:szCs w:val="16"/>
              </w:rPr>
            </w:pPr>
          </w:p>
        </w:tc>
        <w:tc>
          <w:tcPr>
            <w:tcW w:w="168" w:type="pct"/>
            <w:shd w:val="clear" w:color="auto" w:fill="FFFFFF"/>
          </w:tcPr>
          <w:p w14:paraId="3AD3CFEF" w14:textId="77777777" w:rsidR="00FC3C87" w:rsidRPr="004E3242" w:rsidRDefault="00FC3C87" w:rsidP="004E3242">
            <w:pPr>
              <w:spacing w:before="20" w:after="20" w:line="240" w:lineRule="auto"/>
              <w:jc w:val="center"/>
              <w:rPr>
                <w:rFonts w:ascii="Arial" w:hAnsi="Arial" w:cs="Arial"/>
                <w:sz w:val="16"/>
                <w:szCs w:val="16"/>
              </w:rPr>
            </w:pPr>
          </w:p>
        </w:tc>
        <w:tc>
          <w:tcPr>
            <w:tcW w:w="1078" w:type="pct"/>
            <w:gridSpan w:val="2"/>
            <w:shd w:val="clear" w:color="auto" w:fill="FFFFFF"/>
          </w:tcPr>
          <w:p w14:paraId="6ADCD5CB" w14:textId="77777777" w:rsidR="00FC3C87" w:rsidRPr="004E3242" w:rsidRDefault="00FC3C87" w:rsidP="004E3242">
            <w:pPr>
              <w:spacing w:before="20" w:after="20" w:line="240" w:lineRule="auto"/>
              <w:jc w:val="center"/>
              <w:rPr>
                <w:rFonts w:ascii="Arial" w:hAnsi="Arial" w:cs="Arial"/>
                <w:sz w:val="16"/>
                <w:szCs w:val="16"/>
              </w:rPr>
            </w:pPr>
          </w:p>
        </w:tc>
      </w:tr>
    </w:tbl>
    <w:p w14:paraId="45D9AAE8" w14:textId="77777777" w:rsidR="004E3242" w:rsidRPr="004E3242" w:rsidRDefault="004E3242" w:rsidP="004E3242">
      <w:pPr>
        <w:rPr>
          <w:rFonts w:ascii="Arial" w:hAnsi="Arial" w:cs="Arial"/>
          <w:sz w:val="20"/>
          <w:szCs w:val="20"/>
        </w:rPr>
      </w:pPr>
    </w:p>
    <w:p w14:paraId="4A7E5A80" w14:textId="77777777" w:rsidR="004E3242" w:rsidRPr="004E3242" w:rsidRDefault="004E3242" w:rsidP="004E3242">
      <w:pPr>
        <w:rPr>
          <w:rFonts w:ascii="Arial" w:hAnsi="Arial" w:cs="Arial"/>
          <w:sz w:val="20"/>
          <w:szCs w:val="20"/>
        </w:rPr>
      </w:pPr>
    </w:p>
    <w:p w14:paraId="6C62C0A1"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eastAsia="Times New Roman" w:hAnsi="Arial"/>
          <w:bCs/>
          <w:smallCaps/>
          <w:color w:val="000000"/>
          <w:spacing w:val="15"/>
          <w:sz w:val="28"/>
          <w:szCs w:val="28"/>
          <w:lang w:eastAsia="pl-PL"/>
        </w:rPr>
      </w:pPr>
      <w:bookmarkStart w:id="463" w:name="_Toc402941952"/>
      <w:bookmarkStart w:id="464" w:name="_Toc402942261"/>
      <w:bookmarkStart w:id="465" w:name="_Toc402942033"/>
      <w:bookmarkStart w:id="466" w:name="_Toc402942342"/>
      <w:bookmarkStart w:id="467" w:name="_Toc402942034"/>
      <w:bookmarkStart w:id="468" w:name="_Toc402942343"/>
      <w:bookmarkStart w:id="469" w:name="_Toc402942036"/>
      <w:bookmarkStart w:id="470" w:name="_Toc402942345"/>
      <w:bookmarkStart w:id="471" w:name="_Toc402942037"/>
      <w:bookmarkStart w:id="472" w:name="_Toc402942346"/>
      <w:bookmarkStart w:id="473" w:name="_Toc402942038"/>
      <w:bookmarkStart w:id="474" w:name="_Toc402942347"/>
      <w:bookmarkStart w:id="475" w:name="cz5"/>
      <w:bookmarkStart w:id="476" w:name="sowa"/>
      <w:bookmarkStart w:id="477" w:name="gazela"/>
      <w:bookmarkStart w:id="478" w:name="_Toc394315022"/>
      <w:bookmarkStart w:id="479" w:name="_Toc394315216"/>
      <w:bookmarkStart w:id="480" w:name="_Toc394315247"/>
      <w:bookmarkStart w:id="481" w:name="_Toc394315404"/>
      <w:bookmarkStart w:id="482" w:name="_Toc394315437"/>
      <w:bookmarkStart w:id="483" w:name="_Toc394315557"/>
      <w:bookmarkStart w:id="484" w:name="_Toc394315600"/>
      <w:bookmarkStart w:id="485" w:name="_Toc394315655"/>
      <w:bookmarkStart w:id="486" w:name="_Toc394316146"/>
      <w:bookmarkStart w:id="487" w:name="_Toc394316201"/>
      <w:bookmarkStart w:id="488" w:name="_Toc394316258"/>
      <w:bookmarkStart w:id="489" w:name="_Toc394316392"/>
      <w:bookmarkStart w:id="490" w:name="_Toc394316511"/>
      <w:bookmarkStart w:id="491" w:name="_Toc394317214"/>
      <w:bookmarkStart w:id="492" w:name="_Toc394317366"/>
      <w:bookmarkStart w:id="493" w:name="_Toc394317434"/>
      <w:bookmarkStart w:id="494" w:name="_Toc394317501"/>
      <w:bookmarkStart w:id="495" w:name="_Toc394318071"/>
      <w:bookmarkStart w:id="496" w:name="_Toc394318150"/>
      <w:bookmarkStart w:id="497" w:name="_Toc394318465"/>
      <w:bookmarkStart w:id="498" w:name="_Toc394318567"/>
      <w:bookmarkStart w:id="499" w:name="_Toc394318632"/>
      <w:bookmarkStart w:id="500" w:name="_Toc394318699"/>
      <w:bookmarkStart w:id="501" w:name="_Toc394318764"/>
      <w:bookmarkStart w:id="502" w:name="_Toc394318856"/>
      <w:bookmarkStart w:id="503" w:name="_Toc394319422"/>
      <w:bookmarkStart w:id="504" w:name="_Toc394319493"/>
      <w:bookmarkStart w:id="505" w:name="_Toc394319564"/>
      <w:bookmarkStart w:id="506" w:name="_Toc394319656"/>
      <w:bookmarkStart w:id="507" w:name="_Toc394319756"/>
      <w:bookmarkStart w:id="508" w:name="_Toc402942039"/>
      <w:bookmarkStart w:id="509" w:name="_Toc402942348"/>
      <w:bookmarkStart w:id="510" w:name="_Toc394315023"/>
      <w:bookmarkStart w:id="511" w:name="_Toc394315217"/>
      <w:bookmarkStart w:id="512" w:name="_Toc394315248"/>
      <w:bookmarkStart w:id="513" w:name="_Toc394315405"/>
      <w:bookmarkStart w:id="514" w:name="_Toc394315438"/>
      <w:bookmarkStart w:id="515" w:name="_Toc394315558"/>
      <w:bookmarkStart w:id="516" w:name="_Toc394315601"/>
      <w:bookmarkStart w:id="517" w:name="_Toc394315656"/>
      <w:bookmarkStart w:id="518" w:name="_Toc394316147"/>
      <w:bookmarkStart w:id="519" w:name="_Toc394316202"/>
      <w:bookmarkStart w:id="520" w:name="_Toc394316259"/>
      <w:bookmarkStart w:id="521" w:name="_Toc394316393"/>
      <w:bookmarkStart w:id="522" w:name="_Toc394316512"/>
      <w:bookmarkStart w:id="523" w:name="_Toc394317215"/>
      <w:bookmarkStart w:id="524" w:name="_Toc394317367"/>
      <w:bookmarkStart w:id="525" w:name="_Toc394317435"/>
      <w:bookmarkStart w:id="526" w:name="_Toc394317502"/>
      <w:bookmarkStart w:id="527" w:name="_Toc394318072"/>
      <w:bookmarkStart w:id="528" w:name="_Toc394318151"/>
      <w:bookmarkStart w:id="529" w:name="_Toc394318466"/>
      <w:bookmarkStart w:id="530" w:name="_Toc394318568"/>
      <w:bookmarkStart w:id="531" w:name="_Toc394318633"/>
      <w:bookmarkStart w:id="532" w:name="_Toc394318700"/>
      <w:bookmarkStart w:id="533" w:name="_Toc394318765"/>
      <w:bookmarkStart w:id="534" w:name="_Toc394318857"/>
      <w:bookmarkStart w:id="535" w:name="_Toc394319423"/>
      <w:bookmarkStart w:id="536" w:name="_Toc394319494"/>
      <w:bookmarkStart w:id="537" w:name="_Toc394319565"/>
      <w:bookmarkStart w:id="538" w:name="_Toc394319657"/>
      <w:bookmarkStart w:id="539" w:name="_Toc394319757"/>
      <w:bookmarkStart w:id="540" w:name="_Toc402942040"/>
      <w:bookmarkStart w:id="541" w:name="_Toc402942349"/>
      <w:bookmarkStart w:id="542" w:name="_Toc83810574"/>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4E3242">
        <w:rPr>
          <w:rFonts w:ascii="Arial" w:eastAsia="Times New Roman" w:hAnsi="Arial"/>
          <w:bCs/>
          <w:smallCaps/>
          <w:color w:val="000000"/>
          <w:spacing w:val="15"/>
          <w:sz w:val="28"/>
          <w:szCs w:val="28"/>
          <w:lang w:eastAsia="pl-PL"/>
        </w:rPr>
        <w:t>Plan finansowy programu</w:t>
      </w:r>
      <w:bookmarkEnd w:id="542"/>
    </w:p>
    <w:p w14:paraId="2384E26A" w14:textId="77777777" w:rsidR="004E3242" w:rsidRPr="004E3242" w:rsidRDefault="004E3242" w:rsidP="004E3242">
      <w:pPr>
        <w:autoSpaceDE w:val="0"/>
        <w:autoSpaceDN w:val="0"/>
        <w:adjustRightInd w:val="0"/>
        <w:spacing w:before="120" w:after="120"/>
        <w:jc w:val="both"/>
        <w:rPr>
          <w:rFonts w:ascii="Arial" w:hAnsi="Arial" w:cs="Arial"/>
          <w:sz w:val="20"/>
          <w:szCs w:val="20"/>
        </w:rPr>
      </w:pPr>
      <w:bookmarkStart w:id="543" w:name="_Toc359334174"/>
      <w:proofErr w:type="spellStart"/>
      <w:r w:rsidRPr="004E3242">
        <w:rPr>
          <w:rFonts w:ascii="Arial" w:hAnsi="Arial" w:cs="Arial"/>
          <w:spacing w:val="4"/>
          <w:sz w:val="20"/>
          <w:szCs w:val="20"/>
        </w:rPr>
        <w:t>POIiŚ</w:t>
      </w:r>
      <w:proofErr w:type="spellEnd"/>
      <w:r w:rsidRPr="004E3242">
        <w:rPr>
          <w:rFonts w:ascii="Arial" w:hAnsi="Arial" w:cs="Arial"/>
          <w:sz w:val="20"/>
          <w:szCs w:val="20"/>
        </w:rPr>
        <w:t xml:space="preserve"> </w:t>
      </w:r>
      <w:r w:rsidRPr="004E3242">
        <w:rPr>
          <w:rFonts w:ascii="Arial" w:hAnsi="Arial" w:cs="Arial"/>
          <w:spacing w:val="4"/>
          <w:sz w:val="20"/>
          <w:szCs w:val="20"/>
        </w:rPr>
        <w:t xml:space="preserve">2014-2020 </w:t>
      </w:r>
      <w:r w:rsidRPr="004E3242">
        <w:rPr>
          <w:rFonts w:ascii="Arial" w:hAnsi="Arial" w:cs="Arial"/>
          <w:sz w:val="20"/>
          <w:szCs w:val="20"/>
        </w:rPr>
        <w:t>jest krajowym programem operacyjnym finansowanym ze środków Europejskiego Funduszu Rozwoju Regionalnego (EFRR) i Funduszu Spójności (FS). Obszarem realizacji programu jest obszar całej Polski, tj. 15 regionów zaliczonych do kategorii słabiej rozwiniętych oraz Mazowsze jako region lepiej rozwinięty o specjalnym statusie, wynikającym z rozporządzenia ramowego, jako były region słabo rozwinięty.</w:t>
      </w:r>
    </w:p>
    <w:p w14:paraId="3BEED526" w14:textId="393003F3" w:rsidR="004E3242" w:rsidRDefault="004E3242" w:rsidP="004E3242">
      <w:pPr>
        <w:tabs>
          <w:tab w:val="left" w:pos="0"/>
        </w:tabs>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Alokacja UE na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w:t>
      </w:r>
      <w:r w:rsidRPr="004E3242">
        <w:rPr>
          <w:rFonts w:ascii="Arial" w:hAnsi="Arial" w:cs="Arial"/>
          <w:spacing w:val="4"/>
          <w:sz w:val="20"/>
          <w:szCs w:val="20"/>
        </w:rPr>
        <w:t xml:space="preserve">2014-2020 </w:t>
      </w:r>
      <w:r w:rsidRPr="004E3242">
        <w:rPr>
          <w:rFonts w:ascii="Arial" w:hAnsi="Arial" w:cs="Arial"/>
          <w:sz w:val="20"/>
          <w:szCs w:val="20"/>
        </w:rPr>
        <w:t xml:space="preserve">wynosi </w:t>
      </w:r>
      <w:r w:rsidR="00E97C1F" w:rsidRPr="00E97C1F">
        <w:rPr>
          <w:rFonts w:ascii="Arial" w:hAnsi="Arial" w:cs="Arial"/>
          <w:b/>
          <w:bCs/>
          <w:sz w:val="20"/>
          <w:szCs w:val="20"/>
        </w:rPr>
        <w:t>4 973 939</w:t>
      </w:r>
      <w:r w:rsidR="00AF7B73">
        <w:rPr>
          <w:rFonts w:ascii="Arial" w:hAnsi="Arial" w:cs="Arial"/>
          <w:b/>
          <w:bCs/>
          <w:sz w:val="20"/>
          <w:szCs w:val="20"/>
        </w:rPr>
        <w:t> </w:t>
      </w:r>
      <w:r w:rsidR="00E97C1F" w:rsidRPr="00E97C1F">
        <w:rPr>
          <w:rFonts w:ascii="Arial" w:hAnsi="Arial" w:cs="Arial"/>
          <w:b/>
          <w:bCs/>
          <w:sz w:val="20"/>
          <w:szCs w:val="20"/>
        </w:rPr>
        <w:t>282</w:t>
      </w:r>
      <w:r w:rsidR="00AF7B73">
        <w:rPr>
          <w:rFonts w:ascii="Arial" w:hAnsi="Arial" w:cs="Arial"/>
          <w:b/>
          <w:bCs/>
          <w:sz w:val="20"/>
          <w:szCs w:val="20"/>
        </w:rPr>
        <w:t xml:space="preserve"> </w:t>
      </w:r>
      <w:r w:rsidRPr="004E3242">
        <w:rPr>
          <w:rFonts w:ascii="Arial" w:hAnsi="Arial" w:cs="Arial"/>
          <w:b/>
          <w:bCs/>
          <w:sz w:val="20"/>
          <w:szCs w:val="20"/>
        </w:rPr>
        <w:t>EUR z EFRR</w:t>
      </w:r>
      <w:r w:rsidR="00AF7B73">
        <w:rPr>
          <w:rFonts w:ascii="Arial" w:hAnsi="Arial" w:cs="Arial"/>
          <w:b/>
          <w:bCs/>
          <w:sz w:val="20"/>
          <w:szCs w:val="20"/>
        </w:rPr>
        <w:t xml:space="preserve">, </w:t>
      </w:r>
      <w:r w:rsidR="00AA4985" w:rsidRPr="00AA4985">
        <w:rPr>
          <w:rFonts w:ascii="Arial" w:hAnsi="Arial" w:cs="Arial"/>
          <w:b/>
          <w:bCs/>
          <w:sz w:val="20"/>
          <w:szCs w:val="20"/>
        </w:rPr>
        <w:t>767 890</w:t>
      </w:r>
      <w:r w:rsidR="00AA4985">
        <w:rPr>
          <w:rFonts w:ascii="Arial" w:hAnsi="Arial" w:cs="Arial"/>
          <w:b/>
          <w:bCs/>
          <w:sz w:val="20"/>
          <w:szCs w:val="20"/>
        </w:rPr>
        <w:t> </w:t>
      </w:r>
      <w:r w:rsidR="00AA4985" w:rsidRPr="00AA4985">
        <w:rPr>
          <w:rFonts w:ascii="Arial" w:hAnsi="Arial" w:cs="Arial"/>
          <w:b/>
          <w:bCs/>
          <w:sz w:val="20"/>
          <w:szCs w:val="20"/>
        </w:rPr>
        <w:t>627</w:t>
      </w:r>
      <w:r w:rsidR="00AA4985">
        <w:rPr>
          <w:rFonts w:ascii="Arial" w:hAnsi="Arial" w:cs="Arial"/>
          <w:b/>
          <w:bCs/>
          <w:sz w:val="20"/>
          <w:szCs w:val="20"/>
        </w:rPr>
        <w:t xml:space="preserve"> </w:t>
      </w:r>
      <w:r w:rsidR="00AF7B73">
        <w:rPr>
          <w:rFonts w:ascii="Arial" w:hAnsi="Arial" w:cs="Arial"/>
          <w:b/>
          <w:bCs/>
          <w:sz w:val="20"/>
          <w:szCs w:val="20"/>
        </w:rPr>
        <w:t xml:space="preserve">EUR z EFRR </w:t>
      </w:r>
      <w:r w:rsidR="00AF7B73">
        <w:rPr>
          <w:rFonts w:ascii="Arial" w:hAnsi="Arial" w:cs="Arial"/>
          <w:b/>
          <w:bCs/>
          <w:sz w:val="20"/>
          <w:szCs w:val="20"/>
        </w:rPr>
        <w:br/>
        <w:t>w ramach REACT-EU</w:t>
      </w:r>
      <w:r w:rsidRPr="004E3242">
        <w:rPr>
          <w:rFonts w:ascii="Arial" w:hAnsi="Arial" w:cs="Arial"/>
          <w:sz w:val="20"/>
          <w:szCs w:val="20"/>
        </w:rPr>
        <w:t xml:space="preserve"> i </w:t>
      </w:r>
      <w:r w:rsidR="00E97C1F" w:rsidRPr="00E97C1F">
        <w:rPr>
          <w:rFonts w:ascii="Arial" w:hAnsi="Arial" w:cs="Arial"/>
          <w:b/>
          <w:bCs/>
          <w:sz w:val="20"/>
          <w:szCs w:val="20"/>
        </w:rPr>
        <w:t>22 436 807</w:t>
      </w:r>
      <w:r w:rsidR="00E97C1F">
        <w:rPr>
          <w:rFonts w:ascii="Arial" w:hAnsi="Arial" w:cs="Arial"/>
          <w:b/>
          <w:bCs/>
          <w:sz w:val="20"/>
          <w:szCs w:val="20"/>
        </w:rPr>
        <w:t> </w:t>
      </w:r>
      <w:r w:rsidR="00E97C1F" w:rsidRPr="00E97C1F">
        <w:rPr>
          <w:rFonts w:ascii="Arial" w:hAnsi="Arial" w:cs="Arial"/>
          <w:b/>
          <w:bCs/>
          <w:sz w:val="20"/>
          <w:szCs w:val="20"/>
        </w:rPr>
        <w:t>603</w:t>
      </w:r>
      <w:r w:rsidR="00E97C1F">
        <w:rPr>
          <w:rFonts w:ascii="Arial" w:hAnsi="Arial" w:cs="Arial"/>
          <w:b/>
          <w:bCs/>
          <w:sz w:val="20"/>
          <w:szCs w:val="20"/>
        </w:rPr>
        <w:t xml:space="preserve"> </w:t>
      </w:r>
      <w:r w:rsidRPr="004E3242">
        <w:rPr>
          <w:rFonts w:ascii="Arial" w:hAnsi="Arial" w:cs="Arial"/>
          <w:b/>
          <w:bCs/>
          <w:sz w:val="20"/>
          <w:szCs w:val="20"/>
        </w:rPr>
        <w:t>EUR z FS</w:t>
      </w:r>
      <w:r w:rsidRPr="004E3242">
        <w:rPr>
          <w:rFonts w:ascii="Arial" w:hAnsi="Arial" w:cs="Arial"/>
          <w:sz w:val="20"/>
          <w:szCs w:val="20"/>
        </w:rPr>
        <w:t xml:space="preserve">. Minimalne zaangażowanie środków krajowych, szacowane na podstawie art. 120 rozporządzenia ramowego, zakładającego maksymalny poziom dofinansowania każdej osi priorytetowej EFRR w regionach słabiej rozwiniętych na poziomie 85% i dla Mazowsza na poziomie 80% oraz każdej osi priorytetowej FS na poziomie 85%, wynosi w momencie </w:t>
      </w:r>
      <w:r w:rsidRPr="004E3242">
        <w:rPr>
          <w:rFonts w:ascii="Arial" w:hAnsi="Arial" w:cs="Arial"/>
          <w:b/>
          <w:sz w:val="20"/>
          <w:szCs w:val="20"/>
        </w:rPr>
        <w:t xml:space="preserve">programowania </w:t>
      </w:r>
      <w:r w:rsidR="006B1583" w:rsidRPr="006B1583">
        <w:rPr>
          <w:rFonts w:ascii="Arial" w:hAnsi="Arial" w:cs="Arial"/>
          <w:b/>
          <w:sz w:val="20"/>
          <w:szCs w:val="20"/>
        </w:rPr>
        <w:t>4 858 694</w:t>
      </w:r>
      <w:r w:rsidR="006B1583">
        <w:rPr>
          <w:rFonts w:ascii="Arial" w:hAnsi="Arial" w:cs="Arial"/>
          <w:b/>
          <w:sz w:val="20"/>
          <w:szCs w:val="20"/>
        </w:rPr>
        <w:t> </w:t>
      </w:r>
      <w:r w:rsidR="006B1583" w:rsidRPr="006B1583">
        <w:rPr>
          <w:rFonts w:ascii="Arial" w:hAnsi="Arial" w:cs="Arial"/>
          <w:b/>
          <w:sz w:val="20"/>
          <w:szCs w:val="20"/>
        </w:rPr>
        <w:t>101</w:t>
      </w:r>
      <w:r w:rsidR="006B1583">
        <w:rPr>
          <w:rFonts w:ascii="Arial" w:hAnsi="Arial" w:cs="Arial"/>
          <w:b/>
          <w:sz w:val="20"/>
          <w:szCs w:val="20"/>
        </w:rPr>
        <w:t xml:space="preserve"> </w:t>
      </w:r>
      <w:r w:rsidRPr="0067315D">
        <w:rPr>
          <w:rFonts w:ascii="Arial" w:hAnsi="Arial" w:cs="Arial"/>
          <w:b/>
          <w:sz w:val="20"/>
          <w:szCs w:val="20"/>
        </w:rPr>
        <w:t>EUR</w:t>
      </w:r>
      <w:r w:rsidRPr="0067315D">
        <w:rPr>
          <w:rFonts w:ascii="Arial" w:hAnsi="Arial" w:cs="Arial"/>
          <w:sz w:val="20"/>
          <w:szCs w:val="20"/>
        </w:rPr>
        <w:t>.</w:t>
      </w:r>
      <w:r w:rsidRPr="004E3242">
        <w:rPr>
          <w:rFonts w:ascii="Arial" w:hAnsi="Arial" w:cs="Arial"/>
          <w:sz w:val="20"/>
          <w:szCs w:val="20"/>
        </w:rPr>
        <w:t xml:space="preserve"> W realizację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zaangażowane będą środki krajowe </w:t>
      </w:r>
      <w:r w:rsidR="00AF7B73">
        <w:rPr>
          <w:rFonts w:ascii="Arial" w:hAnsi="Arial" w:cs="Arial"/>
          <w:sz w:val="20"/>
          <w:szCs w:val="20"/>
        </w:rPr>
        <w:br/>
      </w:r>
      <w:r w:rsidRPr="004E3242">
        <w:rPr>
          <w:rFonts w:ascii="Arial" w:hAnsi="Arial" w:cs="Arial"/>
          <w:sz w:val="20"/>
          <w:szCs w:val="20"/>
        </w:rPr>
        <w:t xml:space="preserve">i prywatne. Zakłada się, że ostateczne zaangażowanie środków krajowych, głównie prywatnych, </w:t>
      </w:r>
      <w:r w:rsidR="00AF7B73">
        <w:rPr>
          <w:rFonts w:ascii="Arial" w:hAnsi="Arial" w:cs="Arial"/>
          <w:sz w:val="20"/>
          <w:szCs w:val="20"/>
        </w:rPr>
        <w:br/>
      </w:r>
      <w:r w:rsidRPr="004E3242">
        <w:rPr>
          <w:rFonts w:ascii="Arial" w:hAnsi="Arial" w:cs="Arial"/>
          <w:sz w:val="20"/>
          <w:szCs w:val="20"/>
        </w:rPr>
        <w:t xml:space="preserve">w momencie zamknięcia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będzie mogło być wyższe, w zależności od zakresu i stopnia udzielonej pomocy publicznej</w:t>
      </w:r>
      <w:r w:rsidRPr="004E3242">
        <w:rPr>
          <w:rFonts w:ascii="Arial" w:hAnsi="Arial" w:cs="Arial"/>
          <w:sz w:val="20"/>
          <w:szCs w:val="20"/>
          <w:vertAlign w:val="superscript"/>
        </w:rPr>
        <w:footnoteReference w:id="107"/>
      </w:r>
      <w:r w:rsidRPr="004E3242">
        <w:rPr>
          <w:rFonts w:ascii="Arial" w:hAnsi="Arial" w:cs="Arial"/>
          <w:sz w:val="20"/>
          <w:szCs w:val="20"/>
        </w:rPr>
        <w:t xml:space="preserve">. </w:t>
      </w:r>
    </w:p>
    <w:p w14:paraId="5473E812" w14:textId="77777777" w:rsidR="00036C0A" w:rsidRPr="00036C0A" w:rsidRDefault="00036C0A" w:rsidP="00036C0A">
      <w:pPr>
        <w:tabs>
          <w:tab w:val="left" w:pos="0"/>
        </w:tabs>
        <w:autoSpaceDE w:val="0"/>
        <w:autoSpaceDN w:val="0"/>
        <w:adjustRightInd w:val="0"/>
        <w:spacing w:before="120" w:after="120"/>
        <w:jc w:val="both"/>
        <w:rPr>
          <w:rFonts w:ascii="Arial" w:hAnsi="Arial" w:cs="Arial"/>
          <w:sz w:val="20"/>
          <w:szCs w:val="20"/>
        </w:rPr>
      </w:pPr>
      <w:r w:rsidRPr="00036C0A">
        <w:rPr>
          <w:rFonts w:ascii="Arial" w:hAnsi="Arial" w:cs="Arial"/>
          <w:sz w:val="20"/>
          <w:szCs w:val="20"/>
        </w:rPr>
        <w:t>Zgodnie z zapisami rozporządzenia REACT-EU</w:t>
      </w:r>
      <w:r w:rsidR="00532370">
        <w:rPr>
          <w:rStyle w:val="Odwoanieprzypisudolnego"/>
          <w:rFonts w:ascii="Arial" w:hAnsi="Arial" w:cs="Arial"/>
          <w:sz w:val="20"/>
          <w:szCs w:val="20"/>
        </w:rPr>
        <w:footnoteReference w:id="108"/>
      </w:r>
      <w:r w:rsidRPr="00036C0A">
        <w:rPr>
          <w:rFonts w:ascii="Arial" w:hAnsi="Arial" w:cs="Arial"/>
          <w:sz w:val="20"/>
          <w:szCs w:val="20"/>
        </w:rPr>
        <w:t xml:space="preserve">, alokacji REACT-EU nie dotyczy podział na poszczególne kategorie regionów, natomiast dla XI osi priorytetowej wspieranej ze środków REACT-EU zaprogramowanych w ramach nowego celu tematycznego </w:t>
      </w:r>
      <w:r>
        <w:rPr>
          <w:rFonts w:ascii="Arial" w:hAnsi="Arial" w:cs="Arial"/>
          <w:sz w:val="20"/>
          <w:szCs w:val="20"/>
        </w:rPr>
        <w:t>zastosowano stopę dofinansowania UE wynoszącą</w:t>
      </w:r>
      <w:r w:rsidRPr="00036C0A">
        <w:rPr>
          <w:rFonts w:ascii="Arial" w:hAnsi="Arial" w:cs="Arial"/>
          <w:sz w:val="20"/>
          <w:szCs w:val="20"/>
        </w:rPr>
        <w:t xml:space="preserve"> 100%.</w:t>
      </w:r>
    </w:p>
    <w:p w14:paraId="7D9AEF80"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Podstawa certyfikacji</w:t>
      </w:r>
    </w:p>
    <w:p w14:paraId="3BE2F018" w14:textId="77777777" w:rsidR="004E3242" w:rsidRPr="004E3242" w:rsidRDefault="004E3242" w:rsidP="004E3242">
      <w:pPr>
        <w:spacing w:before="120" w:after="120"/>
        <w:jc w:val="both"/>
        <w:rPr>
          <w:rFonts w:ascii="Arial" w:hAnsi="Arial" w:cs="Arial"/>
          <w:iCs/>
          <w:color w:val="000000"/>
          <w:sz w:val="20"/>
          <w:szCs w:val="20"/>
        </w:rPr>
      </w:pPr>
      <w:r w:rsidRPr="004E3242">
        <w:rPr>
          <w:rFonts w:ascii="Arial" w:hAnsi="Arial" w:cs="Arial"/>
          <w:iCs/>
          <w:color w:val="000000"/>
          <w:sz w:val="20"/>
          <w:szCs w:val="20"/>
        </w:rPr>
        <w:t xml:space="preserve">Podstawę obliczania wkładu UE w ramach </w:t>
      </w:r>
      <w:proofErr w:type="spellStart"/>
      <w:r w:rsidRPr="004E3242">
        <w:rPr>
          <w:rFonts w:ascii="Arial" w:hAnsi="Arial" w:cs="Arial"/>
          <w:iCs/>
          <w:color w:val="000000"/>
          <w:sz w:val="20"/>
          <w:szCs w:val="20"/>
        </w:rPr>
        <w:t>POIiŚ</w:t>
      </w:r>
      <w:proofErr w:type="spellEnd"/>
      <w:r w:rsidRPr="004E3242">
        <w:rPr>
          <w:rFonts w:ascii="Arial" w:hAnsi="Arial" w:cs="Arial"/>
          <w:iCs/>
          <w:color w:val="000000"/>
          <w:sz w:val="20"/>
          <w:szCs w:val="20"/>
        </w:rPr>
        <w:t xml:space="preserve"> stanowią całkowite wydatki kwalifikowalne.</w:t>
      </w:r>
    </w:p>
    <w:p w14:paraId="0C21A67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 xml:space="preserve">Kategorie regionów </w:t>
      </w:r>
    </w:p>
    <w:p w14:paraId="01FB92E6" w14:textId="77777777" w:rsidR="004E3242" w:rsidRPr="004E3242" w:rsidRDefault="004E3242" w:rsidP="004E3242">
      <w:pPr>
        <w:spacing w:before="120" w:after="120"/>
        <w:jc w:val="both"/>
        <w:rPr>
          <w:rFonts w:ascii="Arial" w:hAnsi="Arial" w:cs="Arial"/>
          <w:iCs/>
          <w:color w:val="000000"/>
          <w:sz w:val="20"/>
          <w:szCs w:val="20"/>
        </w:rPr>
      </w:pPr>
      <w:r w:rsidRPr="004E3242">
        <w:rPr>
          <w:rFonts w:ascii="Arial" w:hAnsi="Arial" w:cs="Arial"/>
          <w:iCs/>
          <w:color w:val="000000"/>
          <w:sz w:val="20"/>
          <w:szCs w:val="20"/>
        </w:rPr>
        <w:t xml:space="preserve">W każdej osi priorytetowej </w:t>
      </w:r>
      <w:proofErr w:type="spellStart"/>
      <w:r w:rsidRPr="004E3242">
        <w:rPr>
          <w:rFonts w:ascii="Arial" w:hAnsi="Arial" w:cs="Arial"/>
          <w:iCs/>
          <w:color w:val="000000"/>
          <w:sz w:val="20"/>
          <w:szCs w:val="20"/>
        </w:rPr>
        <w:t>POIiŚ</w:t>
      </w:r>
      <w:proofErr w:type="spellEnd"/>
      <w:r w:rsidRPr="004E3242">
        <w:rPr>
          <w:rFonts w:ascii="Arial" w:hAnsi="Arial" w:cs="Arial"/>
          <w:iCs/>
          <w:color w:val="000000"/>
          <w:sz w:val="20"/>
          <w:szCs w:val="20"/>
        </w:rPr>
        <w:t xml:space="preserve"> </w:t>
      </w:r>
      <w:r w:rsidRPr="004E3242">
        <w:rPr>
          <w:rFonts w:ascii="Arial" w:hAnsi="Arial" w:cs="Arial"/>
          <w:spacing w:val="4"/>
          <w:sz w:val="20"/>
          <w:szCs w:val="20"/>
        </w:rPr>
        <w:t xml:space="preserve">2014-2020 </w:t>
      </w:r>
      <w:r w:rsidRPr="004E3242">
        <w:rPr>
          <w:rFonts w:ascii="Arial" w:hAnsi="Arial" w:cs="Arial"/>
          <w:iCs/>
          <w:color w:val="000000"/>
          <w:sz w:val="20"/>
          <w:szCs w:val="20"/>
        </w:rPr>
        <w:t xml:space="preserve">finansowanej z EFRR funkcjonują dwie koperty finansowe – jedna dla 15 regionów, a druga dla Mazowsza z poziomami dofinansowania wynoszącymi odpowiednio 85% i 80%. Zgodnie z UP, osie finansowane z EFRR są „osiami standardowymi”. Osie te </w:t>
      </w:r>
      <w:r w:rsidRPr="004E3242">
        <w:rPr>
          <w:rFonts w:ascii="Arial" w:hAnsi="Arial" w:cs="Arial"/>
          <w:iCs/>
          <w:color w:val="000000"/>
          <w:sz w:val="20"/>
          <w:szCs w:val="20"/>
        </w:rPr>
        <w:lastRenderedPageBreak/>
        <w:t xml:space="preserve">nie mają, co do zasady, charakteru ogólnopolskiego – zasięg oddziaływania projektu można przypisać </w:t>
      </w:r>
      <w:r w:rsidRPr="004E3242">
        <w:rPr>
          <w:rFonts w:ascii="Arial" w:hAnsi="Arial" w:cs="Arial"/>
          <w:iCs/>
          <w:color w:val="000000"/>
          <w:sz w:val="20"/>
          <w:szCs w:val="20"/>
        </w:rPr>
        <w:br/>
        <w:t>do miejsca realizacji. Ustalona dla nich relacja pomiędzy kopertami regionów słabiej rozwiniętych i Mazowsza wynika z analizy potrzeb i dostępności środków.</w:t>
      </w:r>
      <w:r w:rsidRPr="004E3242">
        <w:rPr>
          <w:rFonts w:ascii="Arial" w:hAnsi="Arial" w:cs="Arial"/>
          <w:sz w:val="20"/>
          <w:szCs w:val="20"/>
        </w:rPr>
        <w:t xml:space="preserve"> </w:t>
      </w:r>
      <w:r w:rsidRPr="004E3242">
        <w:rPr>
          <w:rFonts w:ascii="Arial" w:hAnsi="Arial" w:cs="Arial"/>
          <w:iCs/>
          <w:color w:val="000000"/>
          <w:sz w:val="20"/>
          <w:szCs w:val="20"/>
        </w:rPr>
        <w:t xml:space="preserve">Na etapie wdrażania projektów wydatki będą przypisywane do kopert poszczególnych kategorii regionów proporcjonalnie do liczby regionów, których dotyczy projekt. Przykładowo dla projektu realizowanego na obszarze 5 województw, w tym województwa mazowieckiego, środki będą pochodziły w 80% z koperty dla regionów słabiej rozwiniętych, a w 20% z koperty finansowej dla Mazowsza. Możliwe będzie również sfinansowanie projektu realizowanego na obszarze całego kraju. Wówczas środki na wsparcie tego projektu będą pochodziły w 1/16 z koperty mazowieckiej, a w 15/16 ze środków przeznaczonych dla kategorii regionów słabiej rozwiniętych. W osiach priorytetowych finansowanych z FS, zgodnie z przepisami rozporządzenia ramowego, nie wydziela się alokacji na poszczególne kategorie regionów. </w:t>
      </w:r>
    </w:p>
    <w:p w14:paraId="2B3F4478"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Rezerwa wykonania</w:t>
      </w:r>
    </w:p>
    <w:p w14:paraId="35326AF1"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W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w:t>
      </w:r>
      <w:r w:rsidRPr="004E3242">
        <w:rPr>
          <w:rFonts w:ascii="Arial" w:hAnsi="Arial" w:cs="Arial"/>
          <w:spacing w:val="4"/>
          <w:sz w:val="20"/>
          <w:szCs w:val="20"/>
        </w:rPr>
        <w:t xml:space="preserve">2014-2020 </w:t>
      </w:r>
      <w:r w:rsidRPr="004E3242">
        <w:rPr>
          <w:rFonts w:ascii="Arial" w:hAnsi="Arial" w:cs="Arial"/>
          <w:sz w:val="20"/>
          <w:szCs w:val="20"/>
        </w:rPr>
        <w:t>wyodrębniona została rezerwa wykonania w wysokości 6% jego całkowitej alokacji EFRR, w tym po 6% dla każdej z kategorii regionów oraz 6,19% jego całkowitej alokacji FS. Wyższa rezerwa z FS wynika z wyłączenia z rezerwy wykonania – zgodnie z przepisami rozporządzenia ramowego - programu PO Pomoc Techniczna, finansowanego z FS.</w:t>
      </w:r>
    </w:p>
    <w:p w14:paraId="6A3D64A2" w14:textId="77777777" w:rsidR="004E3242" w:rsidRPr="004E3242" w:rsidRDefault="004E3242" w:rsidP="004E3242">
      <w:pPr>
        <w:autoSpaceDE w:val="0"/>
        <w:autoSpaceDN w:val="0"/>
        <w:adjustRightInd w:val="0"/>
        <w:spacing w:before="120" w:after="120"/>
        <w:jc w:val="both"/>
        <w:rPr>
          <w:rFonts w:ascii="Arial" w:hAnsi="Arial" w:cs="Arial"/>
          <w:sz w:val="20"/>
          <w:szCs w:val="20"/>
        </w:rPr>
      </w:pPr>
      <w:r w:rsidRPr="004E3242">
        <w:rPr>
          <w:rFonts w:ascii="Arial" w:hAnsi="Arial" w:cs="Arial"/>
          <w:sz w:val="20"/>
          <w:szCs w:val="20"/>
        </w:rPr>
        <w:t xml:space="preserve">Udział rezerwy wykonania w podziale na lata dla każdego roku wynosi 6% EFRR i 6,19% FS. Rezerwa wykonania ustanawiana jest w każdej osi priorytetowej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w:t>
      </w:r>
      <w:r w:rsidRPr="004E3242">
        <w:rPr>
          <w:rFonts w:ascii="Arial" w:hAnsi="Arial" w:cs="Arial"/>
          <w:spacing w:val="4"/>
          <w:sz w:val="20"/>
          <w:szCs w:val="20"/>
        </w:rPr>
        <w:t xml:space="preserve">2014-2020 </w:t>
      </w:r>
      <w:r w:rsidRPr="004E3242">
        <w:rPr>
          <w:rFonts w:ascii="Arial" w:hAnsi="Arial" w:cs="Arial"/>
          <w:sz w:val="20"/>
          <w:szCs w:val="20"/>
        </w:rPr>
        <w:t xml:space="preserve">w proporcjach z przedziału 5%-6,52%. Z wyjątkiem osi Pomoc techniczna (FS), dla której zgodnie z przepisami, nie ustanowiono rezerwy (wyłączenie osi pomocy technicznej wymaga dla zachowania wymaganego poziomu na funduszu w programie odpowiedniego zwiększenia rezerwy na inną/inne osie finansowane z FS). </w:t>
      </w:r>
      <w:bookmarkEnd w:id="543"/>
    </w:p>
    <w:p w14:paraId="504A86D3"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Koncentracja tematyczna</w:t>
      </w:r>
    </w:p>
    <w:p w14:paraId="56231CAD" w14:textId="77777777" w:rsidR="004E3242" w:rsidRPr="004E3242" w:rsidRDefault="004E3242" w:rsidP="004E3242">
      <w:pPr>
        <w:spacing w:before="120" w:after="120"/>
        <w:jc w:val="both"/>
        <w:rPr>
          <w:rFonts w:ascii="Arial" w:hAnsi="Arial" w:cs="Arial"/>
          <w:sz w:val="20"/>
          <w:szCs w:val="20"/>
        </w:rPr>
      </w:pPr>
      <w:r w:rsidRPr="004E3242">
        <w:rPr>
          <w:rFonts w:ascii="Arial" w:hAnsi="Arial" w:cs="Arial"/>
          <w:sz w:val="20"/>
          <w:szCs w:val="20"/>
        </w:rPr>
        <w:t xml:space="preserve">Założone w </w:t>
      </w:r>
      <w:proofErr w:type="spellStart"/>
      <w:r w:rsidRPr="004E3242">
        <w:rPr>
          <w:rFonts w:ascii="Arial" w:hAnsi="Arial" w:cs="Arial"/>
          <w:sz w:val="20"/>
          <w:szCs w:val="20"/>
        </w:rPr>
        <w:t>POIiŚ</w:t>
      </w:r>
      <w:proofErr w:type="spellEnd"/>
      <w:r w:rsidRPr="004E3242">
        <w:rPr>
          <w:rFonts w:ascii="Arial" w:hAnsi="Arial" w:cs="Arial"/>
          <w:sz w:val="20"/>
          <w:szCs w:val="20"/>
        </w:rPr>
        <w:t xml:space="preserve"> </w:t>
      </w:r>
      <w:r w:rsidRPr="004E3242">
        <w:rPr>
          <w:rFonts w:ascii="Arial" w:hAnsi="Arial" w:cs="Arial"/>
          <w:spacing w:val="4"/>
          <w:sz w:val="20"/>
          <w:szCs w:val="20"/>
        </w:rPr>
        <w:t xml:space="preserve">2014-2020 </w:t>
      </w:r>
      <w:r w:rsidRPr="004E3242">
        <w:rPr>
          <w:rFonts w:ascii="Arial" w:hAnsi="Arial" w:cs="Arial"/>
          <w:sz w:val="20"/>
          <w:szCs w:val="20"/>
        </w:rPr>
        <w:t>poziomy koncentracji wynikają z UP i pozwalają zachować, wymagane na poziomie UP przez rozporządzenia unijne, poziomy koncentracji.</w:t>
      </w:r>
    </w:p>
    <w:p w14:paraId="1C0FF264"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Charakter osi priorytetowych finansowanych z EFRR</w:t>
      </w:r>
    </w:p>
    <w:p w14:paraId="2AD29C21" w14:textId="77777777" w:rsidR="004E3242" w:rsidRPr="004E3242" w:rsidRDefault="004E3242" w:rsidP="004E3242">
      <w:pPr>
        <w:spacing w:before="120" w:after="120"/>
        <w:rPr>
          <w:rFonts w:ascii="Arial" w:hAnsi="Arial" w:cs="Arial"/>
          <w:sz w:val="20"/>
          <w:szCs w:val="20"/>
        </w:rPr>
      </w:pPr>
      <w:r w:rsidRPr="004E3242">
        <w:rPr>
          <w:rFonts w:ascii="Arial" w:hAnsi="Arial" w:cs="Arial"/>
          <w:sz w:val="20"/>
        </w:rPr>
        <w:t xml:space="preserve">Osie EFRR w </w:t>
      </w:r>
      <w:proofErr w:type="spellStart"/>
      <w:r w:rsidRPr="004E3242">
        <w:rPr>
          <w:rFonts w:ascii="Arial" w:hAnsi="Arial" w:cs="Arial"/>
          <w:sz w:val="20"/>
        </w:rPr>
        <w:t>POIiŚ</w:t>
      </w:r>
      <w:proofErr w:type="spellEnd"/>
      <w:r w:rsidRPr="004E3242">
        <w:rPr>
          <w:rFonts w:ascii="Arial" w:hAnsi="Arial" w:cs="Arial"/>
          <w:sz w:val="20"/>
        </w:rPr>
        <w:t xml:space="preserve"> </w:t>
      </w:r>
      <w:r w:rsidRPr="004E3242">
        <w:rPr>
          <w:rFonts w:ascii="Arial" w:hAnsi="Arial" w:cs="Arial"/>
          <w:spacing w:val="4"/>
          <w:sz w:val="20"/>
          <w:szCs w:val="20"/>
        </w:rPr>
        <w:t xml:space="preserve">2014-2020 </w:t>
      </w:r>
      <w:r w:rsidRPr="004E3242">
        <w:rPr>
          <w:rFonts w:ascii="Arial" w:hAnsi="Arial" w:cs="Arial"/>
          <w:sz w:val="20"/>
        </w:rPr>
        <w:t>mają charakter osi standardowych.</w:t>
      </w:r>
    </w:p>
    <w:p w14:paraId="6CBC617F" w14:textId="77777777" w:rsidR="004E3242" w:rsidRPr="004E3242" w:rsidRDefault="004E3242" w:rsidP="004E3242">
      <w:pPr>
        <w:spacing w:after="120" w:line="280" w:lineRule="atLeast"/>
        <w:rPr>
          <w:rFonts w:ascii="Arial" w:hAnsi="Arial" w:cs="Arial"/>
          <w:sz w:val="20"/>
          <w:szCs w:val="20"/>
        </w:rPr>
        <w:sectPr w:rsidR="004E3242" w:rsidRPr="004E3242" w:rsidSect="00C73ABE">
          <w:pgSz w:w="11906" w:h="16838"/>
          <w:pgMar w:top="1418" w:right="1418" w:bottom="1418" w:left="1418" w:header="709" w:footer="709" w:gutter="0"/>
          <w:cols w:space="708"/>
          <w:titlePg/>
          <w:docGrid w:linePitch="360"/>
        </w:sectPr>
      </w:pPr>
    </w:p>
    <w:p w14:paraId="11F5383B" w14:textId="77777777" w:rsidR="004E3242" w:rsidRPr="0067315D" w:rsidRDefault="004E3242" w:rsidP="004E3242">
      <w:pPr>
        <w:numPr>
          <w:ilvl w:val="1"/>
          <w:numId w:val="3"/>
        </w:numPr>
        <w:shd w:val="clear" w:color="auto" w:fill="BFBFBF"/>
        <w:spacing w:before="360" w:after="240"/>
        <w:outlineLvl w:val="1"/>
        <w:rPr>
          <w:rFonts w:ascii="Arial" w:hAnsi="Arial"/>
          <w:smallCaps/>
          <w:color w:val="000000"/>
          <w:spacing w:val="15"/>
          <w:sz w:val="24"/>
          <w:lang w:eastAsia="pl-PL"/>
        </w:rPr>
      </w:pPr>
      <w:bookmarkStart w:id="544" w:name="_Toc402942042"/>
      <w:bookmarkStart w:id="545" w:name="_Toc402942351"/>
      <w:bookmarkStart w:id="546" w:name="_Toc83810575"/>
      <w:bookmarkEnd w:id="544"/>
      <w:bookmarkEnd w:id="545"/>
      <w:r w:rsidRPr="0067315D">
        <w:rPr>
          <w:rFonts w:ascii="Arial" w:hAnsi="Arial"/>
          <w:smallCaps/>
          <w:color w:val="000000"/>
          <w:spacing w:val="15"/>
          <w:sz w:val="24"/>
          <w:lang w:eastAsia="pl-PL"/>
        </w:rPr>
        <w:lastRenderedPageBreak/>
        <w:t>Tabela zobowiązań</w:t>
      </w:r>
      <w:bookmarkEnd w:id="546"/>
      <w:r w:rsidRPr="0067315D">
        <w:rPr>
          <w:rFonts w:ascii="Arial" w:hAnsi="Arial"/>
          <w:smallCaps/>
          <w:color w:val="000000"/>
          <w:spacing w:val="15"/>
          <w:sz w:val="24"/>
          <w:lang w:eastAsia="pl-PL"/>
        </w:rPr>
        <w:t xml:space="preserve"> </w:t>
      </w:r>
    </w:p>
    <w:p w14:paraId="077AE2EA" w14:textId="77777777" w:rsidR="004E3242" w:rsidRPr="004E3242" w:rsidRDefault="004E3242" w:rsidP="004E3242">
      <w:pPr>
        <w:spacing w:after="120" w:line="280" w:lineRule="atLeast"/>
        <w:jc w:val="both"/>
        <w:rPr>
          <w:rFonts w:ascii="Arial" w:hAnsi="Arial" w:cs="Arial"/>
          <w:bCs/>
          <w:spacing w:val="4"/>
          <w:sz w:val="20"/>
          <w:szCs w:val="20"/>
        </w:rPr>
      </w:pPr>
      <w:r w:rsidRPr="004E3242">
        <w:rPr>
          <w:rFonts w:ascii="Arial" w:hAnsi="Arial" w:cs="Arial"/>
          <w:bCs/>
          <w:smallCaps/>
          <w:color w:val="669900"/>
          <w:spacing w:val="4"/>
          <w:sz w:val="20"/>
          <w:szCs w:val="20"/>
        </w:rPr>
        <w:t>(EUR)</w:t>
      </w:r>
    </w:p>
    <w:tbl>
      <w:tblPr>
        <w:tblW w:w="15138" w:type="dxa"/>
        <w:tblCellMar>
          <w:left w:w="70" w:type="dxa"/>
          <w:right w:w="70" w:type="dxa"/>
        </w:tblCellMar>
        <w:tblLook w:val="04A0" w:firstRow="1" w:lastRow="0" w:firstColumn="1" w:lastColumn="0" w:noHBand="0" w:noVBand="1"/>
      </w:tblPr>
      <w:tblGrid>
        <w:gridCol w:w="406"/>
        <w:gridCol w:w="439"/>
        <w:gridCol w:w="747"/>
        <w:gridCol w:w="687"/>
        <w:gridCol w:w="747"/>
        <w:gridCol w:w="687"/>
        <w:gridCol w:w="747"/>
        <w:gridCol w:w="687"/>
        <w:gridCol w:w="747"/>
        <w:gridCol w:w="687"/>
        <w:gridCol w:w="747"/>
        <w:gridCol w:w="687"/>
        <w:gridCol w:w="747"/>
        <w:gridCol w:w="687"/>
        <w:gridCol w:w="919"/>
        <w:gridCol w:w="879"/>
        <w:gridCol w:w="720"/>
        <w:gridCol w:w="719"/>
        <w:gridCol w:w="1134"/>
        <w:gridCol w:w="1318"/>
      </w:tblGrid>
      <w:tr w:rsidR="00F11D9B" w:rsidRPr="004E3242" w14:paraId="04F8687B" w14:textId="77777777" w:rsidTr="00CA0279">
        <w:trPr>
          <w:trHeight w:val="307"/>
        </w:trPr>
        <w:tc>
          <w:tcPr>
            <w:tcW w:w="0" w:type="auto"/>
            <w:vMerge w:val="restart"/>
            <w:tcBorders>
              <w:top w:val="single" w:sz="8" w:space="0" w:color="B4D207"/>
              <w:left w:val="single" w:sz="8" w:space="0" w:color="B4D207"/>
              <w:bottom w:val="single" w:sz="8" w:space="0" w:color="B4D207"/>
              <w:right w:val="single" w:sz="8" w:space="0" w:color="B4D207"/>
            </w:tcBorders>
            <w:shd w:val="clear" w:color="000000" w:fill="99CC00"/>
            <w:textDirection w:val="btLr"/>
            <w:vAlign w:val="center"/>
          </w:tcPr>
          <w:p w14:paraId="105FD652"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Fundusz</w:t>
            </w:r>
          </w:p>
        </w:tc>
        <w:tc>
          <w:tcPr>
            <w:tcW w:w="0" w:type="auto"/>
            <w:vMerge w:val="restart"/>
            <w:tcBorders>
              <w:top w:val="single" w:sz="8" w:space="0" w:color="B4D207"/>
              <w:left w:val="single" w:sz="8" w:space="0" w:color="B4D207"/>
              <w:bottom w:val="single" w:sz="8" w:space="0" w:color="B4D207"/>
              <w:right w:val="single" w:sz="8" w:space="0" w:color="B4D207"/>
            </w:tcBorders>
            <w:shd w:val="clear" w:color="000000" w:fill="99CC00"/>
            <w:textDirection w:val="btLr"/>
            <w:vAlign w:val="center"/>
          </w:tcPr>
          <w:p w14:paraId="47ADBAD1"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Kategoria regionu</w:t>
            </w:r>
          </w:p>
        </w:tc>
        <w:tc>
          <w:tcPr>
            <w:tcW w:w="0" w:type="auto"/>
            <w:gridSpan w:val="2"/>
            <w:tcBorders>
              <w:top w:val="single" w:sz="8" w:space="0" w:color="B4D207"/>
              <w:left w:val="nil"/>
              <w:bottom w:val="single" w:sz="8" w:space="0" w:color="B4D207"/>
              <w:right w:val="single" w:sz="8" w:space="0" w:color="B4D207"/>
            </w:tcBorders>
            <w:shd w:val="clear" w:color="000000" w:fill="99CC00"/>
            <w:vAlign w:val="center"/>
          </w:tcPr>
          <w:p w14:paraId="6EE4B226"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2014</w:t>
            </w:r>
          </w:p>
        </w:tc>
        <w:tc>
          <w:tcPr>
            <w:tcW w:w="0" w:type="auto"/>
            <w:gridSpan w:val="2"/>
            <w:tcBorders>
              <w:top w:val="single" w:sz="8" w:space="0" w:color="B4D207"/>
              <w:left w:val="nil"/>
              <w:bottom w:val="single" w:sz="8" w:space="0" w:color="B4D207"/>
              <w:right w:val="single" w:sz="8" w:space="0" w:color="B4D207"/>
            </w:tcBorders>
            <w:shd w:val="clear" w:color="000000" w:fill="99CC00"/>
            <w:vAlign w:val="center"/>
          </w:tcPr>
          <w:p w14:paraId="56934DEB"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2015</w:t>
            </w:r>
          </w:p>
        </w:tc>
        <w:tc>
          <w:tcPr>
            <w:tcW w:w="0" w:type="auto"/>
            <w:gridSpan w:val="2"/>
            <w:tcBorders>
              <w:top w:val="single" w:sz="8" w:space="0" w:color="B4D207"/>
              <w:left w:val="nil"/>
              <w:bottom w:val="single" w:sz="8" w:space="0" w:color="B4D207"/>
              <w:right w:val="single" w:sz="8" w:space="0" w:color="B4D207"/>
            </w:tcBorders>
            <w:shd w:val="clear" w:color="000000" w:fill="99CC00"/>
            <w:vAlign w:val="center"/>
          </w:tcPr>
          <w:p w14:paraId="6C2122C9"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2016</w:t>
            </w:r>
          </w:p>
        </w:tc>
        <w:tc>
          <w:tcPr>
            <w:tcW w:w="0" w:type="auto"/>
            <w:gridSpan w:val="2"/>
            <w:tcBorders>
              <w:top w:val="single" w:sz="8" w:space="0" w:color="B4D207"/>
              <w:left w:val="nil"/>
              <w:bottom w:val="single" w:sz="8" w:space="0" w:color="B4D207"/>
              <w:right w:val="single" w:sz="8" w:space="0" w:color="B4D207"/>
            </w:tcBorders>
            <w:shd w:val="clear" w:color="000000" w:fill="99CC00"/>
            <w:vAlign w:val="center"/>
          </w:tcPr>
          <w:p w14:paraId="4E4060DF"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2017</w:t>
            </w:r>
          </w:p>
        </w:tc>
        <w:tc>
          <w:tcPr>
            <w:tcW w:w="0" w:type="auto"/>
            <w:gridSpan w:val="2"/>
            <w:tcBorders>
              <w:top w:val="single" w:sz="8" w:space="0" w:color="B4D207"/>
              <w:left w:val="nil"/>
              <w:bottom w:val="single" w:sz="8" w:space="0" w:color="B4D207"/>
              <w:right w:val="single" w:sz="8" w:space="0" w:color="B4D207"/>
            </w:tcBorders>
            <w:shd w:val="clear" w:color="000000" w:fill="99CC00"/>
            <w:vAlign w:val="center"/>
          </w:tcPr>
          <w:p w14:paraId="16D11B90"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2018</w:t>
            </w:r>
          </w:p>
        </w:tc>
        <w:tc>
          <w:tcPr>
            <w:tcW w:w="0" w:type="auto"/>
            <w:gridSpan w:val="2"/>
            <w:tcBorders>
              <w:top w:val="single" w:sz="8" w:space="0" w:color="B4D207"/>
              <w:left w:val="nil"/>
              <w:bottom w:val="single" w:sz="8" w:space="0" w:color="B4D207"/>
              <w:right w:val="single" w:sz="8" w:space="0" w:color="B4D207"/>
            </w:tcBorders>
            <w:shd w:val="clear" w:color="000000" w:fill="99CC00"/>
            <w:vAlign w:val="center"/>
          </w:tcPr>
          <w:p w14:paraId="6F1B20E7"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2019</w:t>
            </w:r>
          </w:p>
        </w:tc>
        <w:tc>
          <w:tcPr>
            <w:tcW w:w="0" w:type="auto"/>
            <w:gridSpan w:val="2"/>
            <w:tcBorders>
              <w:top w:val="single" w:sz="8" w:space="0" w:color="B4D207"/>
              <w:left w:val="nil"/>
              <w:bottom w:val="single" w:sz="8" w:space="0" w:color="B4D207"/>
              <w:right w:val="single" w:sz="8" w:space="0" w:color="B4D207"/>
            </w:tcBorders>
            <w:shd w:val="clear" w:color="000000" w:fill="99CC00"/>
            <w:vAlign w:val="center"/>
          </w:tcPr>
          <w:p w14:paraId="7ECA2398"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2020</w:t>
            </w:r>
          </w:p>
        </w:tc>
        <w:tc>
          <w:tcPr>
            <w:tcW w:w="720" w:type="dxa"/>
            <w:tcBorders>
              <w:top w:val="single" w:sz="8" w:space="0" w:color="B4D207"/>
              <w:left w:val="nil"/>
              <w:bottom w:val="single" w:sz="8" w:space="0" w:color="B4D207"/>
              <w:right w:val="single" w:sz="8" w:space="0" w:color="B4D207"/>
            </w:tcBorders>
            <w:shd w:val="clear" w:color="000000" w:fill="99CC00"/>
          </w:tcPr>
          <w:p w14:paraId="2BC46ACB"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Pr>
                <w:rFonts w:ascii="Arial" w:eastAsia="Times New Roman" w:hAnsi="Arial" w:cs="Arial"/>
                <w:b/>
                <w:bCs/>
                <w:color w:val="666633"/>
                <w:sz w:val="16"/>
                <w:szCs w:val="16"/>
                <w:lang w:eastAsia="pl-PL"/>
              </w:rPr>
              <w:t>2021</w:t>
            </w:r>
          </w:p>
        </w:tc>
        <w:tc>
          <w:tcPr>
            <w:tcW w:w="709" w:type="dxa"/>
            <w:tcBorders>
              <w:top w:val="single" w:sz="8" w:space="0" w:color="B4D207"/>
              <w:left w:val="single" w:sz="8" w:space="0" w:color="B4D207"/>
              <w:bottom w:val="single" w:sz="8" w:space="0" w:color="B4D207"/>
              <w:right w:val="single" w:sz="8" w:space="0" w:color="B4D207"/>
            </w:tcBorders>
            <w:shd w:val="clear" w:color="000000" w:fill="99CC00"/>
          </w:tcPr>
          <w:p w14:paraId="2941A8DE"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Pr>
                <w:rFonts w:ascii="Arial" w:eastAsia="Times New Roman" w:hAnsi="Arial" w:cs="Arial"/>
                <w:b/>
                <w:bCs/>
                <w:color w:val="666633"/>
                <w:sz w:val="16"/>
                <w:szCs w:val="16"/>
                <w:lang w:eastAsia="pl-PL"/>
              </w:rPr>
              <w:t>2022</w:t>
            </w:r>
          </w:p>
        </w:tc>
        <w:tc>
          <w:tcPr>
            <w:tcW w:w="2452" w:type="dxa"/>
            <w:gridSpan w:val="2"/>
            <w:tcBorders>
              <w:top w:val="single" w:sz="8" w:space="0" w:color="B4D207"/>
              <w:left w:val="single" w:sz="8" w:space="0" w:color="B4D207"/>
              <w:bottom w:val="single" w:sz="8" w:space="0" w:color="B4D207"/>
              <w:right w:val="single" w:sz="8" w:space="0" w:color="B4D207"/>
            </w:tcBorders>
            <w:shd w:val="clear" w:color="000000" w:fill="99CC00"/>
            <w:vAlign w:val="center"/>
          </w:tcPr>
          <w:p w14:paraId="56F80C30"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Razem</w:t>
            </w:r>
          </w:p>
        </w:tc>
      </w:tr>
      <w:tr w:rsidR="00B1542C" w:rsidRPr="004E3242" w14:paraId="0A0BA76B" w14:textId="77777777" w:rsidTr="00CA0279">
        <w:trPr>
          <w:trHeight w:val="789"/>
        </w:trPr>
        <w:tc>
          <w:tcPr>
            <w:tcW w:w="0" w:type="auto"/>
            <w:vMerge/>
            <w:tcBorders>
              <w:top w:val="single" w:sz="8" w:space="0" w:color="B4D207"/>
              <w:left w:val="single" w:sz="8" w:space="0" w:color="B4D207"/>
              <w:bottom w:val="single" w:sz="8" w:space="0" w:color="B4D207"/>
              <w:right w:val="single" w:sz="8" w:space="0" w:color="B4D207"/>
            </w:tcBorders>
            <w:vAlign w:val="center"/>
          </w:tcPr>
          <w:p w14:paraId="48CCDE65" w14:textId="77777777" w:rsidR="00F11D9B" w:rsidRPr="004E3242" w:rsidRDefault="00F11D9B" w:rsidP="004E3242">
            <w:pPr>
              <w:spacing w:after="0" w:line="240" w:lineRule="auto"/>
              <w:rPr>
                <w:rFonts w:ascii="Arial" w:eastAsia="Times New Roman" w:hAnsi="Arial" w:cs="Arial"/>
                <w:b/>
                <w:bCs/>
                <w:color w:val="666633"/>
                <w:sz w:val="16"/>
                <w:szCs w:val="16"/>
                <w:lang w:eastAsia="pl-PL"/>
              </w:rPr>
            </w:pPr>
          </w:p>
        </w:tc>
        <w:tc>
          <w:tcPr>
            <w:tcW w:w="0" w:type="auto"/>
            <w:vMerge/>
            <w:tcBorders>
              <w:top w:val="single" w:sz="8" w:space="0" w:color="B4D207"/>
              <w:left w:val="single" w:sz="8" w:space="0" w:color="B4D207"/>
              <w:bottom w:val="single" w:sz="8" w:space="0" w:color="B4D207"/>
              <w:right w:val="single" w:sz="8" w:space="0" w:color="B4D207"/>
            </w:tcBorders>
            <w:vAlign w:val="center"/>
          </w:tcPr>
          <w:p w14:paraId="767CACDE" w14:textId="77777777" w:rsidR="00F11D9B" w:rsidRPr="004E3242" w:rsidRDefault="00F11D9B" w:rsidP="004E3242">
            <w:pPr>
              <w:spacing w:after="0" w:line="240" w:lineRule="auto"/>
              <w:rPr>
                <w:rFonts w:ascii="Arial" w:eastAsia="Times New Roman" w:hAnsi="Arial" w:cs="Arial"/>
                <w:b/>
                <w:bCs/>
                <w:color w:val="666633"/>
                <w:sz w:val="16"/>
                <w:szCs w:val="16"/>
                <w:lang w:eastAsia="pl-PL"/>
              </w:rPr>
            </w:pPr>
          </w:p>
        </w:tc>
        <w:tc>
          <w:tcPr>
            <w:tcW w:w="0" w:type="auto"/>
            <w:tcBorders>
              <w:top w:val="nil"/>
              <w:left w:val="nil"/>
              <w:bottom w:val="single" w:sz="8" w:space="0" w:color="B4D207"/>
              <w:right w:val="single" w:sz="8" w:space="0" w:color="B4D207"/>
            </w:tcBorders>
            <w:shd w:val="clear" w:color="000000" w:fill="99CC00"/>
            <w:textDirection w:val="btLr"/>
            <w:vAlign w:val="center"/>
          </w:tcPr>
          <w:p w14:paraId="2800BB3C"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3F1BA691"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rezerwa wykonania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22D1E43E"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692DD0A6"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rezerwa wykonania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1DAA5E01"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2BE4FCD8"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rezerwa wykonania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0AC4B1F4"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36EB9C0F"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rezerwa wykonania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07CEAAB1"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1E770778"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rezerwa wykonania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57663ECA"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0883AE11"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wykonania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3EB97E1E"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0" w:type="auto"/>
            <w:tcBorders>
              <w:top w:val="nil"/>
              <w:left w:val="nil"/>
              <w:bottom w:val="single" w:sz="8" w:space="0" w:color="B4D207"/>
              <w:right w:val="single" w:sz="8" w:space="0" w:color="B4D207"/>
            </w:tcBorders>
            <w:shd w:val="clear" w:color="000000" w:fill="99CC00"/>
            <w:textDirection w:val="btLr"/>
            <w:vAlign w:val="center"/>
          </w:tcPr>
          <w:p w14:paraId="6D282AB9"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rezerwa wykonania</w:t>
            </w:r>
          </w:p>
        </w:tc>
        <w:tc>
          <w:tcPr>
            <w:tcW w:w="720" w:type="dxa"/>
            <w:tcBorders>
              <w:top w:val="single" w:sz="8" w:space="0" w:color="B4D207"/>
              <w:left w:val="nil"/>
              <w:bottom w:val="single" w:sz="8" w:space="0" w:color="B4D207"/>
              <w:right w:val="single" w:sz="8" w:space="0" w:color="B4D207"/>
            </w:tcBorders>
            <w:shd w:val="clear" w:color="000000" w:fill="99CC00"/>
            <w:textDirection w:val="btLr"/>
          </w:tcPr>
          <w:p w14:paraId="38FBF5A4" w14:textId="77777777" w:rsidR="00F11D9B" w:rsidRPr="004E3242" w:rsidRDefault="006F27F0" w:rsidP="004E3242">
            <w:pPr>
              <w:spacing w:after="0" w:line="240" w:lineRule="auto"/>
              <w:jc w:val="center"/>
              <w:rPr>
                <w:rFonts w:ascii="Arial" w:eastAsia="Times New Roman" w:hAnsi="Arial" w:cs="Arial"/>
                <w:b/>
                <w:bCs/>
                <w:color w:val="666633"/>
                <w:sz w:val="16"/>
                <w:szCs w:val="16"/>
                <w:lang w:eastAsia="pl-PL"/>
              </w:rPr>
            </w:pPr>
            <w:proofErr w:type="spellStart"/>
            <w:r>
              <w:rPr>
                <w:rFonts w:ascii="Arial" w:eastAsia="Times New Roman" w:hAnsi="Arial" w:cs="Arial"/>
                <w:b/>
                <w:bCs/>
                <w:color w:val="666633"/>
                <w:sz w:val="16"/>
                <w:szCs w:val="16"/>
                <w:lang w:eastAsia="pl-PL"/>
              </w:rPr>
              <w:t>całkowita</w:t>
            </w:r>
            <w:r w:rsidR="00B1542C">
              <w:rPr>
                <w:rFonts w:ascii="Arial" w:eastAsia="Times New Roman" w:hAnsi="Arial" w:cs="Arial"/>
                <w:b/>
                <w:bCs/>
                <w:color w:val="666633"/>
                <w:sz w:val="16"/>
                <w:szCs w:val="16"/>
                <w:lang w:eastAsia="pl-PL"/>
              </w:rPr>
              <w:t>alokacja</w:t>
            </w:r>
            <w:proofErr w:type="spellEnd"/>
          </w:p>
        </w:tc>
        <w:tc>
          <w:tcPr>
            <w:tcW w:w="709" w:type="dxa"/>
            <w:tcBorders>
              <w:top w:val="single" w:sz="8" w:space="0" w:color="B4D207"/>
              <w:left w:val="single" w:sz="8" w:space="0" w:color="B4D207"/>
              <w:bottom w:val="single" w:sz="8" w:space="0" w:color="B4D207"/>
              <w:right w:val="single" w:sz="8" w:space="0" w:color="B4D207"/>
            </w:tcBorders>
            <w:shd w:val="clear" w:color="000000" w:fill="99CC00"/>
            <w:textDirection w:val="btLr"/>
          </w:tcPr>
          <w:p w14:paraId="350B66ED" w14:textId="77777777" w:rsidR="00F11D9B" w:rsidRPr="004E3242" w:rsidRDefault="006F27F0" w:rsidP="004E3242">
            <w:pPr>
              <w:spacing w:after="0" w:line="240" w:lineRule="auto"/>
              <w:jc w:val="center"/>
              <w:rPr>
                <w:rFonts w:ascii="Arial" w:eastAsia="Times New Roman" w:hAnsi="Arial" w:cs="Arial"/>
                <w:b/>
                <w:bCs/>
                <w:color w:val="666633"/>
                <w:sz w:val="16"/>
                <w:szCs w:val="16"/>
                <w:lang w:eastAsia="pl-PL"/>
              </w:rPr>
            </w:pPr>
            <w:proofErr w:type="spellStart"/>
            <w:r>
              <w:rPr>
                <w:rFonts w:ascii="Arial" w:eastAsia="Times New Roman" w:hAnsi="Arial" w:cs="Arial"/>
                <w:b/>
                <w:bCs/>
                <w:color w:val="666633"/>
                <w:sz w:val="16"/>
                <w:szCs w:val="16"/>
                <w:lang w:eastAsia="pl-PL"/>
              </w:rPr>
              <w:t>całkowita</w:t>
            </w:r>
            <w:r w:rsidR="00B1542C">
              <w:rPr>
                <w:rFonts w:ascii="Arial" w:eastAsia="Times New Roman" w:hAnsi="Arial" w:cs="Arial"/>
                <w:b/>
                <w:bCs/>
                <w:color w:val="666633"/>
                <w:sz w:val="16"/>
                <w:szCs w:val="16"/>
                <w:lang w:eastAsia="pl-PL"/>
              </w:rPr>
              <w:t>alokacja</w:t>
            </w:r>
            <w:proofErr w:type="spellEnd"/>
          </w:p>
        </w:tc>
        <w:tc>
          <w:tcPr>
            <w:tcW w:w="1134" w:type="dxa"/>
            <w:tcBorders>
              <w:top w:val="nil"/>
              <w:left w:val="single" w:sz="8" w:space="0" w:color="B4D207"/>
              <w:bottom w:val="single" w:sz="8" w:space="0" w:color="B4D207"/>
              <w:right w:val="single" w:sz="8" w:space="0" w:color="B4D207"/>
            </w:tcBorders>
            <w:shd w:val="clear" w:color="000000" w:fill="99CC00"/>
            <w:textDirection w:val="btLr"/>
            <w:vAlign w:val="center"/>
          </w:tcPr>
          <w:p w14:paraId="11785D7B"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główna alokacja</w:t>
            </w:r>
          </w:p>
        </w:tc>
        <w:tc>
          <w:tcPr>
            <w:tcW w:w="1318" w:type="dxa"/>
            <w:tcBorders>
              <w:top w:val="nil"/>
              <w:left w:val="nil"/>
              <w:bottom w:val="single" w:sz="8" w:space="0" w:color="B4D207"/>
              <w:right w:val="single" w:sz="8" w:space="0" w:color="B4D207"/>
            </w:tcBorders>
            <w:shd w:val="clear" w:color="000000" w:fill="99CC00"/>
            <w:textDirection w:val="btLr"/>
            <w:vAlign w:val="center"/>
          </w:tcPr>
          <w:p w14:paraId="51A6E0D2" w14:textId="77777777" w:rsidR="00F11D9B" w:rsidRPr="004E3242" w:rsidRDefault="00F11D9B" w:rsidP="004E3242">
            <w:pPr>
              <w:spacing w:after="0" w:line="240" w:lineRule="auto"/>
              <w:jc w:val="center"/>
              <w:rPr>
                <w:rFonts w:ascii="Arial" w:eastAsia="Times New Roman" w:hAnsi="Arial" w:cs="Arial"/>
                <w:b/>
                <w:bCs/>
                <w:color w:val="666633"/>
                <w:sz w:val="16"/>
                <w:szCs w:val="16"/>
                <w:lang w:eastAsia="pl-PL"/>
              </w:rPr>
            </w:pPr>
            <w:r w:rsidRPr="004E3242">
              <w:rPr>
                <w:rFonts w:ascii="Arial" w:eastAsia="Times New Roman" w:hAnsi="Arial" w:cs="Arial"/>
                <w:b/>
                <w:bCs/>
                <w:color w:val="666633"/>
                <w:sz w:val="16"/>
                <w:szCs w:val="16"/>
                <w:lang w:eastAsia="pl-PL"/>
              </w:rPr>
              <w:t>rezerwa wykonania</w:t>
            </w:r>
          </w:p>
        </w:tc>
      </w:tr>
      <w:tr w:rsidR="00B1542C" w:rsidRPr="004E3242" w14:paraId="435C6625" w14:textId="77777777" w:rsidTr="00F96B31">
        <w:trPr>
          <w:trHeight w:val="914"/>
        </w:trPr>
        <w:tc>
          <w:tcPr>
            <w:tcW w:w="0" w:type="auto"/>
            <w:tcBorders>
              <w:top w:val="nil"/>
              <w:left w:val="single" w:sz="8" w:space="0" w:color="B4D207"/>
              <w:bottom w:val="single" w:sz="8" w:space="0" w:color="B4D207"/>
              <w:right w:val="single" w:sz="8" w:space="0" w:color="B4D207"/>
            </w:tcBorders>
            <w:shd w:val="clear" w:color="auto" w:fill="auto"/>
            <w:textDirection w:val="btLr"/>
            <w:vAlign w:val="center"/>
          </w:tcPr>
          <w:p w14:paraId="7C226026" w14:textId="77777777" w:rsidR="00F11D9B" w:rsidRPr="004E3242" w:rsidRDefault="00F11D9B"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FS</w:t>
            </w:r>
          </w:p>
        </w:tc>
        <w:tc>
          <w:tcPr>
            <w:tcW w:w="0" w:type="auto"/>
            <w:tcBorders>
              <w:top w:val="nil"/>
              <w:left w:val="nil"/>
              <w:bottom w:val="single" w:sz="8" w:space="0" w:color="B4D207"/>
              <w:right w:val="single" w:sz="8" w:space="0" w:color="B4D207"/>
            </w:tcBorders>
            <w:shd w:val="clear" w:color="auto" w:fill="auto"/>
            <w:textDirection w:val="btLr"/>
            <w:vAlign w:val="center"/>
          </w:tcPr>
          <w:p w14:paraId="4DCF9F6B"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Nie dotyczy</w:t>
            </w:r>
          </w:p>
        </w:tc>
        <w:tc>
          <w:tcPr>
            <w:tcW w:w="0" w:type="auto"/>
            <w:tcBorders>
              <w:top w:val="nil"/>
              <w:left w:val="nil"/>
              <w:bottom w:val="single" w:sz="8" w:space="0" w:color="B4D207"/>
              <w:right w:val="single" w:sz="8" w:space="0" w:color="B4D207"/>
            </w:tcBorders>
            <w:shd w:val="clear" w:color="auto" w:fill="auto"/>
            <w:vAlign w:val="center"/>
          </w:tcPr>
          <w:p w14:paraId="3123B166"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2 567 530 719</w:t>
            </w:r>
          </w:p>
        </w:tc>
        <w:tc>
          <w:tcPr>
            <w:tcW w:w="0" w:type="auto"/>
            <w:tcBorders>
              <w:top w:val="nil"/>
              <w:left w:val="nil"/>
              <w:bottom w:val="single" w:sz="8" w:space="0" w:color="B4D207"/>
              <w:right w:val="single" w:sz="8" w:space="0" w:color="B4D207"/>
            </w:tcBorders>
            <w:shd w:val="clear" w:color="auto" w:fill="auto"/>
            <w:vAlign w:val="center"/>
          </w:tcPr>
          <w:p w14:paraId="4159749D"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169 318 876</w:t>
            </w:r>
          </w:p>
        </w:tc>
        <w:tc>
          <w:tcPr>
            <w:tcW w:w="0" w:type="auto"/>
            <w:tcBorders>
              <w:top w:val="nil"/>
              <w:left w:val="nil"/>
              <w:bottom w:val="single" w:sz="8" w:space="0" w:color="B4D207"/>
              <w:right w:val="single" w:sz="8" w:space="0" w:color="B4D207"/>
            </w:tcBorders>
            <w:shd w:val="clear" w:color="auto" w:fill="auto"/>
            <w:vAlign w:val="center"/>
          </w:tcPr>
          <w:p w14:paraId="1FDB8DB8"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2 722 807 553</w:t>
            </w:r>
          </w:p>
        </w:tc>
        <w:tc>
          <w:tcPr>
            <w:tcW w:w="0" w:type="auto"/>
            <w:tcBorders>
              <w:top w:val="nil"/>
              <w:left w:val="nil"/>
              <w:bottom w:val="single" w:sz="8" w:space="0" w:color="B4D207"/>
              <w:right w:val="single" w:sz="8" w:space="0" w:color="B4D207"/>
            </w:tcBorders>
            <w:shd w:val="clear" w:color="auto" w:fill="auto"/>
            <w:vAlign w:val="center"/>
          </w:tcPr>
          <w:p w14:paraId="44D887C9"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179 558 792</w:t>
            </w:r>
          </w:p>
        </w:tc>
        <w:tc>
          <w:tcPr>
            <w:tcW w:w="0" w:type="auto"/>
            <w:tcBorders>
              <w:top w:val="nil"/>
              <w:left w:val="nil"/>
              <w:bottom w:val="single" w:sz="8" w:space="0" w:color="B4D207"/>
              <w:right w:val="single" w:sz="8" w:space="0" w:color="B4D207"/>
            </w:tcBorders>
            <w:shd w:val="clear" w:color="auto" w:fill="auto"/>
            <w:vAlign w:val="center"/>
          </w:tcPr>
          <w:p w14:paraId="41DE0FD9"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2 884 110 508</w:t>
            </w:r>
          </w:p>
        </w:tc>
        <w:tc>
          <w:tcPr>
            <w:tcW w:w="0" w:type="auto"/>
            <w:tcBorders>
              <w:top w:val="nil"/>
              <w:left w:val="nil"/>
              <w:bottom w:val="single" w:sz="8" w:space="0" w:color="B4D207"/>
              <w:right w:val="single" w:sz="8" w:space="0" w:color="B4D207"/>
            </w:tcBorders>
            <w:shd w:val="clear" w:color="auto" w:fill="auto"/>
            <w:vAlign w:val="center"/>
          </w:tcPr>
          <w:p w14:paraId="7F12CBE6"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190 196 108</w:t>
            </w:r>
          </w:p>
        </w:tc>
        <w:tc>
          <w:tcPr>
            <w:tcW w:w="0" w:type="auto"/>
            <w:tcBorders>
              <w:top w:val="nil"/>
              <w:left w:val="nil"/>
              <w:bottom w:val="single" w:sz="8" w:space="0" w:color="B4D207"/>
              <w:right w:val="single" w:sz="8" w:space="0" w:color="B4D207"/>
            </w:tcBorders>
            <w:shd w:val="clear" w:color="auto" w:fill="auto"/>
            <w:vAlign w:val="center"/>
          </w:tcPr>
          <w:p w14:paraId="0F252F1E"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3 027 296 911</w:t>
            </w:r>
          </w:p>
        </w:tc>
        <w:tc>
          <w:tcPr>
            <w:tcW w:w="0" w:type="auto"/>
            <w:tcBorders>
              <w:top w:val="nil"/>
              <w:left w:val="nil"/>
              <w:bottom w:val="single" w:sz="8" w:space="0" w:color="B4D207"/>
              <w:right w:val="single" w:sz="8" w:space="0" w:color="B4D207"/>
            </w:tcBorders>
            <w:shd w:val="clear" w:color="auto" w:fill="auto"/>
            <w:vAlign w:val="center"/>
          </w:tcPr>
          <w:p w14:paraId="208D4F6B"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199 638 707</w:t>
            </w:r>
          </w:p>
        </w:tc>
        <w:tc>
          <w:tcPr>
            <w:tcW w:w="0" w:type="auto"/>
            <w:tcBorders>
              <w:top w:val="nil"/>
              <w:left w:val="nil"/>
              <w:bottom w:val="single" w:sz="8" w:space="0" w:color="B4D207"/>
              <w:right w:val="single" w:sz="8" w:space="0" w:color="B4D207"/>
            </w:tcBorders>
            <w:shd w:val="clear" w:color="auto" w:fill="auto"/>
            <w:vAlign w:val="center"/>
          </w:tcPr>
          <w:p w14:paraId="682C7437"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3 165 360 386</w:t>
            </w:r>
          </w:p>
        </w:tc>
        <w:tc>
          <w:tcPr>
            <w:tcW w:w="0" w:type="auto"/>
            <w:tcBorders>
              <w:top w:val="nil"/>
              <w:left w:val="nil"/>
              <w:bottom w:val="single" w:sz="8" w:space="0" w:color="B4D207"/>
              <w:right w:val="single" w:sz="8" w:space="0" w:color="B4D207"/>
            </w:tcBorders>
            <w:shd w:val="clear" w:color="auto" w:fill="auto"/>
            <w:vAlign w:val="center"/>
          </w:tcPr>
          <w:p w14:paraId="0C73529A"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208 743 467</w:t>
            </w:r>
          </w:p>
        </w:tc>
        <w:tc>
          <w:tcPr>
            <w:tcW w:w="0" w:type="auto"/>
            <w:tcBorders>
              <w:top w:val="nil"/>
              <w:left w:val="nil"/>
              <w:bottom w:val="single" w:sz="8" w:space="0" w:color="B4D207"/>
              <w:right w:val="single" w:sz="8" w:space="0" w:color="B4D207"/>
            </w:tcBorders>
            <w:shd w:val="clear" w:color="auto" w:fill="auto"/>
            <w:vAlign w:val="center"/>
          </w:tcPr>
          <w:p w14:paraId="3F3491A5" w14:textId="77777777" w:rsidR="00F11D9B" w:rsidRDefault="00F11D9B"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r>
              <w:rPr>
                <w:rFonts w:ascii="Arial" w:eastAsia="Times New Roman" w:hAnsi="Arial" w:cs="Arial"/>
                <w:color w:val="000000"/>
                <w:sz w:val="16"/>
                <w:szCs w:val="16"/>
                <w:lang w:eastAsia="pl-PL"/>
              </w:rPr>
              <w:br/>
            </w:r>
          </w:p>
          <w:p w14:paraId="5EC44D84"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373179">
              <w:rPr>
                <w:rFonts w:ascii="Arial" w:eastAsia="Times New Roman" w:hAnsi="Arial" w:cs="Arial"/>
                <w:color w:val="000000"/>
                <w:sz w:val="16"/>
                <w:szCs w:val="16"/>
                <w:lang w:eastAsia="pl-PL"/>
              </w:rPr>
              <w:t>3 307 491 373</w:t>
            </w:r>
          </w:p>
        </w:tc>
        <w:tc>
          <w:tcPr>
            <w:tcW w:w="0" w:type="auto"/>
            <w:tcBorders>
              <w:top w:val="nil"/>
              <w:left w:val="nil"/>
              <w:bottom w:val="single" w:sz="8" w:space="0" w:color="B4D207"/>
              <w:right w:val="single" w:sz="8" w:space="0" w:color="B4D207"/>
            </w:tcBorders>
            <w:shd w:val="clear" w:color="auto" w:fill="auto"/>
            <w:vAlign w:val="center"/>
          </w:tcPr>
          <w:p w14:paraId="2BDEB458"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218 215 384</w:t>
            </w:r>
          </w:p>
        </w:tc>
        <w:tc>
          <w:tcPr>
            <w:tcW w:w="0" w:type="auto"/>
            <w:tcBorders>
              <w:top w:val="nil"/>
              <w:left w:val="nil"/>
              <w:bottom w:val="single" w:sz="8" w:space="0" w:color="B4D207"/>
              <w:right w:val="single" w:sz="8" w:space="0" w:color="B4D207"/>
            </w:tcBorders>
            <w:shd w:val="clear" w:color="auto" w:fill="auto"/>
            <w:vAlign w:val="center"/>
          </w:tcPr>
          <w:p w14:paraId="19B96352" w14:textId="77777777" w:rsidR="00F11D9B" w:rsidRDefault="00F11D9B" w:rsidP="00CF620E">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r>
              <w:rPr>
                <w:rFonts w:ascii="Arial" w:eastAsia="Times New Roman" w:hAnsi="Arial" w:cs="Arial"/>
                <w:color w:val="000000"/>
                <w:sz w:val="16"/>
                <w:szCs w:val="16"/>
                <w:lang w:eastAsia="pl-PL"/>
              </w:rPr>
              <w:br/>
            </w:r>
          </w:p>
          <w:p w14:paraId="782401F9" w14:textId="77777777" w:rsidR="00F11D9B" w:rsidRDefault="00F11D9B"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3 369 730 810</w:t>
            </w:r>
          </w:p>
          <w:p w14:paraId="186CAEB6"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p>
        </w:tc>
        <w:tc>
          <w:tcPr>
            <w:tcW w:w="0" w:type="auto"/>
            <w:tcBorders>
              <w:top w:val="nil"/>
              <w:left w:val="nil"/>
              <w:bottom w:val="single" w:sz="8" w:space="0" w:color="B4D207"/>
              <w:right w:val="single" w:sz="8" w:space="0" w:color="B4D207"/>
            </w:tcBorders>
            <w:shd w:val="clear" w:color="auto" w:fill="auto"/>
            <w:vAlign w:val="center"/>
          </w:tcPr>
          <w:p w14:paraId="1C773C55"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226 808 009</w:t>
            </w:r>
          </w:p>
        </w:tc>
        <w:tc>
          <w:tcPr>
            <w:tcW w:w="720" w:type="dxa"/>
            <w:tcBorders>
              <w:top w:val="single" w:sz="8" w:space="0" w:color="B4D207"/>
              <w:left w:val="nil"/>
              <w:bottom w:val="single" w:sz="4" w:space="0" w:color="9BBB59"/>
              <w:right w:val="single" w:sz="8" w:space="0" w:color="B4D207"/>
            </w:tcBorders>
          </w:tcPr>
          <w:p w14:paraId="255255E8" w14:textId="77777777" w:rsidR="00F11D9B" w:rsidRDefault="00F11D9B" w:rsidP="004E2979">
            <w:pPr>
              <w:spacing w:after="0" w:line="240" w:lineRule="auto"/>
              <w:rPr>
                <w:rFonts w:ascii="Arial" w:eastAsia="Times New Roman" w:hAnsi="Arial" w:cs="Arial"/>
                <w:color w:val="000000"/>
                <w:sz w:val="16"/>
                <w:szCs w:val="16"/>
                <w:lang w:eastAsia="pl-PL"/>
              </w:rPr>
            </w:pPr>
          </w:p>
          <w:p w14:paraId="62B674A1" w14:textId="77777777" w:rsidR="00B42944" w:rsidRDefault="00B42944" w:rsidP="004E2979">
            <w:pPr>
              <w:spacing w:after="0" w:line="240" w:lineRule="auto"/>
              <w:rPr>
                <w:rFonts w:ascii="Arial" w:eastAsia="Times New Roman" w:hAnsi="Arial" w:cs="Arial"/>
                <w:color w:val="000000"/>
                <w:sz w:val="16"/>
                <w:szCs w:val="16"/>
                <w:lang w:eastAsia="pl-PL"/>
              </w:rPr>
            </w:pPr>
          </w:p>
          <w:p w14:paraId="0CA52C0B" w14:textId="77777777" w:rsidR="00B42944" w:rsidRDefault="006100B4" w:rsidP="0008777D">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p w14:paraId="37975686" w14:textId="77777777" w:rsidR="00B42944" w:rsidRDefault="00B42944" w:rsidP="004E2979">
            <w:pPr>
              <w:spacing w:after="0" w:line="240" w:lineRule="auto"/>
              <w:rPr>
                <w:rFonts w:ascii="Arial" w:eastAsia="Times New Roman" w:hAnsi="Arial" w:cs="Arial"/>
                <w:color w:val="000000"/>
                <w:sz w:val="16"/>
                <w:szCs w:val="16"/>
                <w:lang w:eastAsia="pl-PL"/>
              </w:rPr>
            </w:pPr>
          </w:p>
        </w:tc>
        <w:tc>
          <w:tcPr>
            <w:tcW w:w="709" w:type="dxa"/>
            <w:tcBorders>
              <w:top w:val="single" w:sz="8" w:space="0" w:color="B4D207"/>
              <w:left w:val="single" w:sz="8" w:space="0" w:color="B4D207"/>
              <w:bottom w:val="single" w:sz="4" w:space="0" w:color="9BBB59"/>
              <w:right w:val="single" w:sz="8" w:space="0" w:color="B4D207"/>
            </w:tcBorders>
          </w:tcPr>
          <w:p w14:paraId="43DF12D2" w14:textId="77777777" w:rsidR="00C06DFA" w:rsidRDefault="00C06DFA" w:rsidP="004E2979">
            <w:pPr>
              <w:spacing w:after="0" w:line="240" w:lineRule="auto"/>
              <w:rPr>
                <w:rFonts w:ascii="Arial" w:eastAsia="Times New Roman" w:hAnsi="Arial" w:cs="Arial"/>
                <w:color w:val="000000"/>
                <w:sz w:val="16"/>
                <w:szCs w:val="16"/>
                <w:lang w:eastAsia="pl-PL"/>
              </w:rPr>
            </w:pPr>
          </w:p>
          <w:p w14:paraId="5FE1C858" w14:textId="77777777" w:rsidR="00F11D9B" w:rsidRDefault="00F11D9B" w:rsidP="00C06DFA">
            <w:pPr>
              <w:spacing w:after="0"/>
              <w:rPr>
                <w:rFonts w:ascii="Arial" w:eastAsia="Times New Roman" w:hAnsi="Arial" w:cs="Arial"/>
                <w:sz w:val="16"/>
                <w:szCs w:val="16"/>
                <w:lang w:eastAsia="pl-PL"/>
              </w:rPr>
            </w:pPr>
          </w:p>
          <w:p w14:paraId="73CFD1CD" w14:textId="77777777" w:rsidR="00C06DFA" w:rsidRPr="00C06DFA" w:rsidRDefault="006100B4" w:rsidP="0008777D">
            <w:pPr>
              <w:jc w:val="center"/>
              <w:rPr>
                <w:rFonts w:ascii="Arial" w:eastAsia="Times New Roman" w:hAnsi="Arial" w:cs="Arial"/>
                <w:sz w:val="16"/>
                <w:szCs w:val="16"/>
                <w:lang w:eastAsia="pl-PL"/>
              </w:rPr>
            </w:pPr>
            <w:r>
              <w:rPr>
                <w:rFonts w:ascii="Arial" w:eastAsia="Times New Roman" w:hAnsi="Arial" w:cs="Arial"/>
                <w:sz w:val="16"/>
                <w:szCs w:val="16"/>
                <w:lang w:eastAsia="pl-PL"/>
              </w:rPr>
              <w:t>n/d</w:t>
            </w:r>
          </w:p>
        </w:tc>
        <w:tc>
          <w:tcPr>
            <w:tcW w:w="1134" w:type="dxa"/>
            <w:tcBorders>
              <w:top w:val="nil"/>
              <w:left w:val="single" w:sz="8" w:space="0" w:color="B4D207"/>
              <w:bottom w:val="single" w:sz="8" w:space="0" w:color="B4D207"/>
              <w:right w:val="single" w:sz="8" w:space="0" w:color="B4D207"/>
            </w:tcBorders>
            <w:shd w:val="clear" w:color="auto" w:fill="auto"/>
            <w:vAlign w:val="center"/>
          </w:tcPr>
          <w:p w14:paraId="06B08CA7" w14:textId="77777777" w:rsidR="00F11D9B" w:rsidRDefault="00F11D9B" w:rsidP="007B14D8">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21 044 328 260</w:t>
            </w:r>
          </w:p>
          <w:p w14:paraId="3E109ACA"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p>
        </w:tc>
        <w:tc>
          <w:tcPr>
            <w:tcW w:w="1318" w:type="dxa"/>
            <w:tcBorders>
              <w:top w:val="nil"/>
              <w:left w:val="nil"/>
              <w:bottom w:val="single" w:sz="8" w:space="0" w:color="B4D207"/>
              <w:right w:val="single" w:sz="8" w:space="0" w:color="B4D207"/>
            </w:tcBorders>
            <w:shd w:val="clear" w:color="auto" w:fill="auto"/>
            <w:vAlign w:val="center"/>
          </w:tcPr>
          <w:p w14:paraId="1E0F1319" w14:textId="77777777" w:rsidR="00F11D9B" w:rsidRPr="004E3242" w:rsidRDefault="00F11D9B"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1 392 479 343</w:t>
            </w:r>
          </w:p>
        </w:tc>
      </w:tr>
      <w:tr w:rsidR="00B1542C" w:rsidRPr="004E3242" w14:paraId="5DD07474" w14:textId="77777777" w:rsidTr="00F96B31">
        <w:trPr>
          <w:trHeight w:val="380"/>
        </w:trPr>
        <w:tc>
          <w:tcPr>
            <w:tcW w:w="0" w:type="auto"/>
            <w:vMerge w:val="restart"/>
            <w:tcBorders>
              <w:top w:val="nil"/>
              <w:left w:val="single" w:sz="8" w:space="0" w:color="B4D207"/>
              <w:bottom w:val="single" w:sz="8" w:space="0" w:color="B4D207"/>
              <w:right w:val="single" w:sz="8" w:space="0" w:color="B4D207"/>
            </w:tcBorders>
            <w:shd w:val="clear" w:color="auto" w:fill="auto"/>
            <w:textDirection w:val="btLr"/>
            <w:vAlign w:val="center"/>
          </w:tcPr>
          <w:p w14:paraId="4AC77EE5" w14:textId="77777777" w:rsidR="00B42944" w:rsidRPr="004E3242" w:rsidRDefault="00B42944"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EFRR</w:t>
            </w:r>
          </w:p>
        </w:tc>
        <w:tc>
          <w:tcPr>
            <w:tcW w:w="0" w:type="auto"/>
            <w:tcBorders>
              <w:top w:val="nil"/>
              <w:left w:val="nil"/>
              <w:bottom w:val="single" w:sz="8" w:space="0" w:color="B4D207"/>
              <w:right w:val="single" w:sz="8" w:space="0" w:color="B4D207"/>
            </w:tcBorders>
            <w:shd w:val="clear" w:color="auto" w:fill="auto"/>
            <w:textDirection w:val="btLr"/>
            <w:vAlign w:val="center"/>
          </w:tcPr>
          <w:p w14:paraId="625BEEC8"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0" w:type="auto"/>
            <w:tcBorders>
              <w:top w:val="nil"/>
              <w:left w:val="nil"/>
              <w:bottom w:val="single" w:sz="8" w:space="0" w:color="B4D207"/>
              <w:right w:val="single" w:sz="8" w:space="0" w:color="B4D207"/>
            </w:tcBorders>
            <w:shd w:val="clear" w:color="auto" w:fill="auto"/>
            <w:vAlign w:val="center"/>
          </w:tcPr>
          <w:p w14:paraId="7BE45574"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537 222 889</w:t>
            </w:r>
          </w:p>
        </w:tc>
        <w:tc>
          <w:tcPr>
            <w:tcW w:w="0" w:type="auto"/>
            <w:tcBorders>
              <w:top w:val="nil"/>
              <w:left w:val="nil"/>
              <w:bottom w:val="single" w:sz="8" w:space="0" w:color="B4D207"/>
              <w:right w:val="single" w:sz="8" w:space="0" w:color="B4D207"/>
            </w:tcBorders>
            <w:shd w:val="clear" w:color="auto" w:fill="auto"/>
            <w:vAlign w:val="center"/>
          </w:tcPr>
          <w:p w14:paraId="01AF4B70"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34 290 823</w:t>
            </w:r>
          </w:p>
        </w:tc>
        <w:tc>
          <w:tcPr>
            <w:tcW w:w="0" w:type="auto"/>
            <w:tcBorders>
              <w:top w:val="nil"/>
              <w:left w:val="nil"/>
              <w:bottom w:val="single" w:sz="8" w:space="0" w:color="B4D207"/>
              <w:right w:val="single" w:sz="8" w:space="0" w:color="B4D207"/>
            </w:tcBorders>
            <w:shd w:val="clear" w:color="auto" w:fill="auto"/>
            <w:vAlign w:val="center"/>
          </w:tcPr>
          <w:p w14:paraId="3CEDCAC0"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568 743 057</w:t>
            </w:r>
          </w:p>
        </w:tc>
        <w:tc>
          <w:tcPr>
            <w:tcW w:w="0" w:type="auto"/>
            <w:tcBorders>
              <w:top w:val="nil"/>
              <w:left w:val="nil"/>
              <w:bottom w:val="single" w:sz="8" w:space="0" w:color="B4D207"/>
              <w:right w:val="single" w:sz="8" w:space="0" w:color="B4D207"/>
            </w:tcBorders>
            <w:shd w:val="clear" w:color="auto" w:fill="auto"/>
            <w:vAlign w:val="center"/>
          </w:tcPr>
          <w:p w14:paraId="0987F109"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36 302 748</w:t>
            </w:r>
          </w:p>
        </w:tc>
        <w:tc>
          <w:tcPr>
            <w:tcW w:w="0" w:type="auto"/>
            <w:tcBorders>
              <w:top w:val="nil"/>
              <w:left w:val="nil"/>
              <w:bottom w:val="single" w:sz="8" w:space="0" w:color="B4D207"/>
              <w:right w:val="single" w:sz="8" w:space="0" w:color="B4D207"/>
            </w:tcBorders>
            <w:shd w:val="clear" w:color="auto" w:fill="auto"/>
            <w:vAlign w:val="center"/>
          </w:tcPr>
          <w:p w14:paraId="3F36A31D"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601 608 951</w:t>
            </w:r>
          </w:p>
        </w:tc>
        <w:tc>
          <w:tcPr>
            <w:tcW w:w="0" w:type="auto"/>
            <w:tcBorders>
              <w:top w:val="nil"/>
              <w:left w:val="nil"/>
              <w:bottom w:val="single" w:sz="8" w:space="0" w:color="B4D207"/>
              <w:right w:val="single" w:sz="8" w:space="0" w:color="B4D207"/>
            </w:tcBorders>
            <w:shd w:val="clear" w:color="auto" w:fill="auto"/>
            <w:vAlign w:val="center"/>
          </w:tcPr>
          <w:p w14:paraId="2E1C55E5"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38 400 571</w:t>
            </w:r>
          </w:p>
        </w:tc>
        <w:tc>
          <w:tcPr>
            <w:tcW w:w="0" w:type="auto"/>
            <w:tcBorders>
              <w:top w:val="nil"/>
              <w:left w:val="nil"/>
              <w:bottom w:val="single" w:sz="8" w:space="0" w:color="B4D207"/>
              <w:right w:val="single" w:sz="8" w:space="0" w:color="B4D207"/>
            </w:tcBorders>
            <w:shd w:val="clear" w:color="auto" w:fill="auto"/>
            <w:vAlign w:val="center"/>
          </w:tcPr>
          <w:p w14:paraId="1017FB2D"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631 594 688</w:t>
            </w:r>
          </w:p>
        </w:tc>
        <w:tc>
          <w:tcPr>
            <w:tcW w:w="0" w:type="auto"/>
            <w:tcBorders>
              <w:top w:val="nil"/>
              <w:left w:val="nil"/>
              <w:bottom w:val="single" w:sz="8" w:space="0" w:color="B4D207"/>
              <w:right w:val="single" w:sz="8" w:space="0" w:color="B4D207"/>
            </w:tcBorders>
            <w:shd w:val="clear" w:color="auto" w:fill="auto"/>
            <w:vAlign w:val="center"/>
          </w:tcPr>
          <w:p w14:paraId="030B9DAE"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40 314 555</w:t>
            </w:r>
          </w:p>
        </w:tc>
        <w:tc>
          <w:tcPr>
            <w:tcW w:w="0" w:type="auto"/>
            <w:tcBorders>
              <w:top w:val="nil"/>
              <w:left w:val="nil"/>
              <w:bottom w:val="single" w:sz="8" w:space="0" w:color="B4D207"/>
              <w:right w:val="single" w:sz="8" w:space="0" w:color="B4D207"/>
            </w:tcBorders>
            <w:shd w:val="clear" w:color="auto" w:fill="auto"/>
            <w:vAlign w:val="center"/>
          </w:tcPr>
          <w:p w14:paraId="6FACD5C1"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661 630 824</w:t>
            </w:r>
          </w:p>
        </w:tc>
        <w:tc>
          <w:tcPr>
            <w:tcW w:w="0" w:type="auto"/>
            <w:tcBorders>
              <w:top w:val="nil"/>
              <w:left w:val="nil"/>
              <w:bottom w:val="single" w:sz="8" w:space="0" w:color="B4D207"/>
              <w:right w:val="single" w:sz="8" w:space="0" w:color="B4D207"/>
            </w:tcBorders>
            <w:shd w:val="clear" w:color="auto" w:fill="auto"/>
            <w:vAlign w:val="center"/>
          </w:tcPr>
          <w:p w14:paraId="54913A23"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42 231 755</w:t>
            </w:r>
          </w:p>
        </w:tc>
        <w:tc>
          <w:tcPr>
            <w:tcW w:w="0" w:type="auto"/>
            <w:tcBorders>
              <w:top w:val="nil"/>
              <w:left w:val="nil"/>
              <w:bottom w:val="single" w:sz="8" w:space="0" w:color="B4D207"/>
              <w:right w:val="single" w:sz="8" w:space="0" w:color="B4D207"/>
            </w:tcBorders>
            <w:shd w:val="clear" w:color="auto" w:fill="auto"/>
            <w:vAlign w:val="center"/>
          </w:tcPr>
          <w:p w14:paraId="62702635"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691 590 781</w:t>
            </w:r>
          </w:p>
        </w:tc>
        <w:tc>
          <w:tcPr>
            <w:tcW w:w="0" w:type="auto"/>
            <w:tcBorders>
              <w:top w:val="nil"/>
              <w:left w:val="nil"/>
              <w:bottom w:val="single" w:sz="8" w:space="0" w:color="B4D207"/>
              <w:right w:val="single" w:sz="8" w:space="0" w:color="B4D207"/>
            </w:tcBorders>
            <w:shd w:val="clear" w:color="auto" w:fill="auto"/>
            <w:vAlign w:val="center"/>
          </w:tcPr>
          <w:p w14:paraId="0376A2C3"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44 144 092</w:t>
            </w:r>
          </w:p>
        </w:tc>
        <w:tc>
          <w:tcPr>
            <w:tcW w:w="0" w:type="auto"/>
            <w:tcBorders>
              <w:top w:val="nil"/>
              <w:left w:val="nil"/>
              <w:bottom w:val="single" w:sz="8" w:space="0" w:color="B4D207"/>
              <w:right w:val="single" w:sz="8" w:space="0" w:color="B4D207"/>
            </w:tcBorders>
            <w:shd w:val="clear" w:color="auto" w:fill="auto"/>
            <w:vAlign w:val="center"/>
          </w:tcPr>
          <w:p w14:paraId="794ECEB4" w14:textId="77777777" w:rsidR="00B42944" w:rsidRDefault="00B42944" w:rsidP="00CF620E">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p w14:paraId="5F5CD49D" w14:textId="77777777" w:rsidR="00B42944" w:rsidRDefault="00B42944"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781 090 836</w:t>
            </w:r>
          </w:p>
          <w:p w14:paraId="07556361"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p>
        </w:tc>
        <w:tc>
          <w:tcPr>
            <w:tcW w:w="0" w:type="auto"/>
            <w:tcBorders>
              <w:top w:val="nil"/>
              <w:left w:val="nil"/>
              <w:bottom w:val="single" w:sz="8" w:space="0" w:color="B4D207"/>
              <w:right w:val="single" w:sz="8" w:space="0" w:color="B4D207"/>
            </w:tcBorders>
            <w:shd w:val="clear" w:color="auto" w:fill="auto"/>
            <w:vAlign w:val="center"/>
          </w:tcPr>
          <w:p w14:paraId="71D239A1"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46 043</w:t>
            </w:r>
            <w:r w:rsidR="0008777D">
              <w:rPr>
                <w:rFonts w:ascii="Arial" w:eastAsia="Times New Roman" w:hAnsi="Arial" w:cs="Arial"/>
                <w:color w:val="000000"/>
                <w:sz w:val="16"/>
                <w:szCs w:val="16"/>
                <w:lang w:eastAsia="pl-PL"/>
              </w:rPr>
              <w:t> </w:t>
            </w:r>
            <w:r w:rsidRPr="004E3242">
              <w:rPr>
                <w:rFonts w:ascii="Arial" w:eastAsia="Times New Roman" w:hAnsi="Arial" w:cs="Arial"/>
                <w:color w:val="000000"/>
                <w:sz w:val="16"/>
                <w:szCs w:val="16"/>
                <w:lang w:eastAsia="pl-PL"/>
              </w:rPr>
              <w:t>077</w:t>
            </w:r>
          </w:p>
        </w:tc>
        <w:tc>
          <w:tcPr>
            <w:tcW w:w="720" w:type="dxa"/>
            <w:tcBorders>
              <w:top w:val="single" w:sz="4" w:space="0" w:color="9BBB59"/>
              <w:left w:val="nil"/>
              <w:bottom w:val="single" w:sz="4" w:space="0" w:color="9BBB59"/>
              <w:right w:val="single" w:sz="8" w:space="0" w:color="B4D207"/>
            </w:tcBorders>
          </w:tcPr>
          <w:p w14:paraId="28F9DAF0" w14:textId="77777777" w:rsidR="00B42944" w:rsidRDefault="00B42944" w:rsidP="0008777D">
            <w:pPr>
              <w:spacing w:after="0" w:line="240" w:lineRule="auto"/>
              <w:jc w:val="center"/>
              <w:rPr>
                <w:rFonts w:ascii="Arial" w:eastAsia="Times New Roman" w:hAnsi="Arial" w:cs="Arial"/>
                <w:color w:val="000000"/>
                <w:sz w:val="16"/>
                <w:szCs w:val="16"/>
                <w:lang w:eastAsia="pl-PL"/>
              </w:rPr>
            </w:pPr>
          </w:p>
          <w:p w14:paraId="1450EFFF" w14:textId="77777777" w:rsidR="0008777D" w:rsidRDefault="0008777D" w:rsidP="0008777D">
            <w:pPr>
              <w:spacing w:after="0" w:line="240" w:lineRule="auto"/>
              <w:jc w:val="center"/>
              <w:rPr>
                <w:rFonts w:ascii="Arial" w:eastAsia="Times New Roman" w:hAnsi="Arial" w:cs="Arial"/>
                <w:color w:val="000000"/>
                <w:sz w:val="16"/>
                <w:szCs w:val="16"/>
                <w:lang w:eastAsia="pl-PL"/>
              </w:rPr>
            </w:pPr>
          </w:p>
          <w:p w14:paraId="0013D611" w14:textId="77777777" w:rsidR="0008777D" w:rsidRDefault="006F6D45" w:rsidP="0008777D">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p w14:paraId="14080825" w14:textId="77777777" w:rsidR="0008777D" w:rsidRDefault="0008777D" w:rsidP="0008777D">
            <w:pPr>
              <w:spacing w:after="0" w:line="240" w:lineRule="auto"/>
              <w:jc w:val="center"/>
              <w:rPr>
                <w:rFonts w:ascii="Arial" w:eastAsia="Times New Roman" w:hAnsi="Arial" w:cs="Arial"/>
                <w:color w:val="000000"/>
                <w:sz w:val="16"/>
                <w:szCs w:val="16"/>
                <w:lang w:eastAsia="pl-PL"/>
              </w:rPr>
            </w:pPr>
          </w:p>
        </w:tc>
        <w:tc>
          <w:tcPr>
            <w:tcW w:w="709" w:type="dxa"/>
            <w:tcBorders>
              <w:top w:val="single" w:sz="4" w:space="0" w:color="9BBB59"/>
              <w:left w:val="single" w:sz="8" w:space="0" w:color="B4D207"/>
              <w:bottom w:val="single" w:sz="4" w:space="0" w:color="9BBB59"/>
              <w:right w:val="single" w:sz="8" w:space="0" w:color="B4D207"/>
            </w:tcBorders>
          </w:tcPr>
          <w:p w14:paraId="132D2F3D" w14:textId="77777777" w:rsidR="0008777D" w:rsidRDefault="0008777D" w:rsidP="0008777D">
            <w:pPr>
              <w:spacing w:after="0" w:line="240" w:lineRule="auto"/>
              <w:jc w:val="center"/>
              <w:rPr>
                <w:rFonts w:ascii="Arial" w:eastAsia="Times New Roman" w:hAnsi="Arial" w:cs="Arial"/>
                <w:color w:val="000000"/>
                <w:sz w:val="16"/>
                <w:szCs w:val="16"/>
                <w:lang w:eastAsia="pl-PL"/>
              </w:rPr>
            </w:pPr>
          </w:p>
          <w:p w14:paraId="4779F658" w14:textId="77777777" w:rsidR="0008777D" w:rsidRDefault="0008777D" w:rsidP="0008777D">
            <w:pPr>
              <w:spacing w:after="0" w:line="240" w:lineRule="auto"/>
              <w:jc w:val="center"/>
              <w:rPr>
                <w:rFonts w:ascii="Arial" w:eastAsia="Times New Roman" w:hAnsi="Arial" w:cs="Arial"/>
                <w:color w:val="000000"/>
                <w:sz w:val="16"/>
                <w:szCs w:val="16"/>
                <w:lang w:eastAsia="pl-PL"/>
              </w:rPr>
            </w:pPr>
          </w:p>
          <w:p w14:paraId="2CEC64AE" w14:textId="77777777" w:rsidR="0008777D" w:rsidRDefault="006F6D45" w:rsidP="0008777D">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p w14:paraId="03DF3F41" w14:textId="77777777" w:rsidR="00B42944" w:rsidRDefault="00B42944" w:rsidP="0008777D">
            <w:pPr>
              <w:spacing w:after="0" w:line="240" w:lineRule="auto"/>
              <w:jc w:val="center"/>
              <w:rPr>
                <w:rFonts w:ascii="Arial" w:eastAsia="Times New Roman" w:hAnsi="Arial" w:cs="Arial"/>
                <w:color w:val="000000"/>
                <w:sz w:val="16"/>
                <w:szCs w:val="16"/>
                <w:lang w:eastAsia="pl-PL"/>
              </w:rPr>
            </w:pPr>
          </w:p>
        </w:tc>
        <w:tc>
          <w:tcPr>
            <w:tcW w:w="1134" w:type="dxa"/>
            <w:tcBorders>
              <w:top w:val="nil"/>
              <w:left w:val="single" w:sz="8" w:space="0" w:color="B4D207"/>
              <w:bottom w:val="single" w:sz="8" w:space="0" w:color="B4D207"/>
              <w:right w:val="single" w:sz="8" w:space="0" w:color="B4D207"/>
            </w:tcBorders>
            <w:shd w:val="clear" w:color="auto" w:fill="auto"/>
            <w:vAlign w:val="center"/>
          </w:tcPr>
          <w:p w14:paraId="268A6480" w14:textId="77777777" w:rsidR="00B42944" w:rsidRDefault="00B42944" w:rsidP="007B14D8">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4 473 482 026</w:t>
            </w:r>
          </w:p>
          <w:p w14:paraId="263E4BB5"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p>
        </w:tc>
        <w:tc>
          <w:tcPr>
            <w:tcW w:w="1318" w:type="dxa"/>
            <w:tcBorders>
              <w:top w:val="nil"/>
              <w:left w:val="nil"/>
              <w:bottom w:val="single" w:sz="8" w:space="0" w:color="B4D207"/>
              <w:right w:val="single" w:sz="8" w:space="0" w:color="B4D207"/>
            </w:tcBorders>
            <w:shd w:val="clear" w:color="auto" w:fill="auto"/>
            <w:vAlign w:val="center"/>
          </w:tcPr>
          <w:p w14:paraId="3EEB23FD"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281 727 621</w:t>
            </w:r>
          </w:p>
        </w:tc>
      </w:tr>
      <w:tr w:rsidR="00B1542C" w:rsidRPr="004E3242" w14:paraId="7D371B7E" w14:textId="77777777" w:rsidTr="00F96B31">
        <w:trPr>
          <w:trHeight w:val="380"/>
        </w:trPr>
        <w:tc>
          <w:tcPr>
            <w:tcW w:w="0" w:type="auto"/>
            <w:vMerge/>
            <w:tcBorders>
              <w:top w:val="nil"/>
              <w:left w:val="single" w:sz="8" w:space="0" w:color="B4D207"/>
              <w:bottom w:val="single" w:sz="8" w:space="0" w:color="B4D207"/>
              <w:right w:val="single" w:sz="8" w:space="0" w:color="B4D207"/>
            </w:tcBorders>
            <w:vAlign w:val="center"/>
          </w:tcPr>
          <w:p w14:paraId="2110744A" w14:textId="77777777" w:rsidR="00B42944" w:rsidRPr="004E3242" w:rsidRDefault="00B42944" w:rsidP="004E3242">
            <w:pPr>
              <w:spacing w:after="0" w:line="240" w:lineRule="auto"/>
              <w:rPr>
                <w:rFonts w:ascii="Arial" w:eastAsia="Times New Roman" w:hAnsi="Arial" w:cs="Arial"/>
                <w:b/>
                <w:bCs/>
                <w:color w:val="000000"/>
                <w:sz w:val="16"/>
                <w:szCs w:val="16"/>
                <w:lang w:eastAsia="pl-PL"/>
              </w:rPr>
            </w:pPr>
          </w:p>
        </w:tc>
        <w:tc>
          <w:tcPr>
            <w:tcW w:w="0" w:type="auto"/>
            <w:tcBorders>
              <w:top w:val="nil"/>
              <w:left w:val="nil"/>
              <w:bottom w:val="single" w:sz="8" w:space="0" w:color="B4D207"/>
              <w:right w:val="single" w:sz="8" w:space="0" w:color="B4D207"/>
            </w:tcBorders>
            <w:shd w:val="clear" w:color="auto" w:fill="auto"/>
            <w:textDirection w:val="btLr"/>
            <w:vAlign w:val="center"/>
          </w:tcPr>
          <w:p w14:paraId="0F49EED0"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0" w:type="auto"/>
            <w:tcBorders>
              <w:top w:val="nil"/>
              <w:left w:val="nil"/>
              <w:bottom w:val="single" w:sz="8" w:space="0" w:color="B4D207"/>
              <w:right w:val="single" w:sz="8" w:space="0" w:color="B4D207"/>
            </w:tcBorders>
            <w:shd w:val="clear" w:color="auto" w:fill="auto"/>
            <w:vAlign w:val="center"/>
          </w:tcPr>
          <w:p w14:paraId="225B5052"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26 581 902</w:t>
            </w:r>
          </w:p>
        </w:tc>
        <w:tc>
          <w:tcPr>
            <w:tcW w:w="0" w:type="auto"/>
            <w:tcBorders>
              <w:top w:val="nil"/>
              <w:left w:val="nil"/>
              <w:bottom w:val="single" w:sz="8" w:space="0" w:color="B4D207"/>
              <w:right w:val="single" w:sz="8" w:space="0" w:color="B4D207"/>
            </w:tcBorders>
            <w:shd w:val="clear" w:color="auto" w:fill="auto"/>
            <w:vAlign w:val="center"/>
          </w:tcPr>
          <w:p w14:paraId="24251A74"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1 696 717</w:t>
            </w:r>
          </w:p>
        </w:tc>
        <w:tc>
          <w:tcPr>
            <w:tcW w:w="0" w:type="auto"/>
            <w:tcBorders>
              <w:top w:val="nil"/>
              <w:left w:val="nil"/>
              <w:bottom w:val="single" w:sz="8" w:space="0" w:color="B4D207"/>
              <w:right w:val="single" w:sz="8" w:space="0" w:color="B4D207"/>
            </w:tcBorders>
            <w:shd w:val="clear" w:color="auto" w:fill="auto"/>
            <w:vAlign w:val="center"/>
          </w:tcPr>
          <w:p w14:paraId="3E74A49D"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27 123 222</w:t>
            </w:r>
          </w:p>
        </w:tc>
        <w:tc>
          <w:tcPr>
            <w:tcW w:w="0" w:type="auto"/>
            <w:tcBorders>
              <w:top w:val="nil"/>
              <w:left w:val="nil"/>
              <w:bottom w:val="single" w:sz="8" w:space="0" w:color="B4D207"/>
              <w:right w:val="single" w:sz="8" w:space="0" w:color="B4D207"/>
            </w:tcBorders>
            <w:shd w:val="clear" w:color="auto" w:fill="auto"/>
            <w:vAlign w:val="center"/>
          </w:tcPr>
          <w:p w14:paraId="1BDBF806"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1 731 270</w:t>
            </w:r>
          </w:p>
        </w:tc>
        <w:tc>
          <w:tcPr>
            <w:tcW w:w="0" w:type="auto"/>
            <w:tcBorders>
              <w:top w:val="nil"/>
              <w:left w:val="nil"/>
              <w:bottom w:val="single" w:sz="8" w:space="0" w:color="B4D207"/>
              <w:right w:val="single" w:sz="8" w:space="0" w:color="B4D207"/>
            </w:tcBorders>
            <w:shd w:val="clear" w:color="auto" w:fill="auto"/>
            <w:vAlign w:val="center"/>
          </w:tcPr>
          <w:p w14:paraId="60C6C19D"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27 674 984</w:t>
            </w:r>
          </w:p>
        </w:tc>
        <w:tc>
          <w:tcPr>
            <w:tcW w:w="0" w:type="auto"/>
            <w:tcBorders>
              <w:top w:val="nil"/>
              <w:left w:val="nil"/>
              <w:bottom w:val="single" w:sz="8" w:space="0" w:color="B4D207"/>
              <w:right w:val="single" w:sz="8" w:space="0" w:color="B4D207"/>
            </w:tcBorders>
            <w:shd w:val="clear" w:color="auto" w:fill="auto"/>
            <w:vAlign w:val="center"/>
          </w:tcPr>
          <w:p w14:paraId="43FE9028"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1 766 488</w:t>
            </w:r>
          </w:p>
        </w:tc>
        <w:tc>
          <w:tcPr>
            <w:tcW w:w="0" w:type="auto"/>
            <w:tcBorders>
              <w:top w:val="nil"/>
              <w:left w:val="nil"/>
              <w:bottom w:val="single" w:sz="8" w:space="0" w:color="B4D207"/>
              <w:right w:val="single" w:sz="8" w:space="0" w:color="B4D207"/>
            </w:tcBorders>
            <w:shd w:val="clear" w:color="auto" w:fill="auto"/>
            <w:vAlign w:val="center"/>
          </w:tcPr>
          <w:p w14:paraId="17ED2C7E"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28 235 780</w:t>
            </w:r>
          </w:p>
        </w:tc>
        <w:tc>
          <w:tcPr>
            <w:tcW w:w="0" w:type="auto"/>
            <w:tcBorders>
              <w:top w:val="nil"/>
              <w:left w:val="nil"/>
              <w:bottom w:val="single" w:sz="8" w:space="0" w:color="B4D207"/>
              <w:right w:val="single" w:sz="8" w:space="0" w:color="B4D207"/>
            </w:tcBorders>
            <w:shd w:val="clear" w:color="auto" w:fill="auto"/>
            <w:vAlign w:val="center"/>
          </w:tcPr>
          <w:p w14:paraId="00D0AF13"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1 802 284</w:t>
            </w:r>
          </w:p>
        </w:tc>
        <w:tc>
          <w:tcPr>
            <w:tcW w:w="0" w:type="auto"/>
            <w:tcBorders>
              <w:top w:val="nil"/>
              <w:left w:val="nil"/>
              <w:bottom w:val="single" w:sz="8" w:space="0" w:color="B4D207"/>
              <w:right w:val="single" w:sz="8" w:space="0" w:color="B4D207"/>
            </w:tcBorders>
            <w:shd w:val="clear" w:color="auto" w:fill="auto"/>
            <w:vAlign w:val="center"/>
          </w:tcPr>
          <w:p w14:paraId="60D92273"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28 807 225</w:t>
            </w:r>
          </w:p>
        </w:tc>
        <w:tc>
          <w:tcPr>
            <w:tcW w:w="0" w:type="auto"/>
            <w:tcBorders>
              <w:top w:val="nil"/>
              <w:left w:val="nil"/>
              <w:bottom w:val="single" w:sz="8" w:space="0" w:color="B4D207"/>
              <w:right w:val="single" w:sz="8" w:space="0" w:color="B4D207"/>
            </w:tcBorders>
            <w:shd w:val="clear" w:color="auto" w:fill="auto"/>
            <w:vAlign w:val="center"/>
          </w:tcPr>
          <w:p w14:paraId="050B789D"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1 838 759</w:t>
            </w:r>
          </w:p>
        </w:tc>
        <w:tc>
          <w:tcPr>
            <w:tcW w:w="0" w:type="auto"/>
            <w:tcBorders>
              <w:top w:val="nil"/>
              <w:left w:val="nil"/>
              <w:bottom w:val="single" w:sz="8" w:space="0" w:color="B4D207"/>
              <w:right w:val="single" w:sz="8" w:space="0" w:color="B4D207"/>
            </w:tcBorders>
            <w:shd w:val="clear" w:color="auto" w:fill="auto"/>
            <w:vAlign w:val="center"/>
          </w:tcPr>
          <w:p w14:paraId="241ECE04"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29 389 549</w:t>
            </w:r>
          </w:p>
        </w:tc>
        <w:tc>
          <w:tcPr>
            <w:tcW w:w="0" w:type="auto"/>
            <w:tcBorders>
              <w:top w:val="nil"/>
              <w:left w:val="nil"/>
              <w:bottom w:val="single" w:sz="8" w:space="0" w:color="B4D207"/>
              <w:right w:val="single" w:sz="8" w:space="0" w:color="B4D207"/>
            </w:tcBorders>
            <w:shd w:val="clear" w:color="auto" w:fill="auto"/>
            <w:vAlign w:val="center"/>
          </w:tcPr>
          <w:p w14:paraId="4CD24505"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1 875 929</w:t>
            </w:r>
          </w:p>
        </w:tc>
        <w:tc>
          <w:tcPr>
            <w:tcW w:w="0" w:type="auto"/>
            <w:tcBorders>
              <w:top w:val="nil"/>
              <w:left w:val="nil"/>
              <w:bottom w:val="single" w:sz="8" w:space="0" w:color="B4D207"/>
              <w:right w:val="single" w:sz="8" w:space="0" w:color="B4D207"/>
            </w:tcBorders>
            <w:shd w:val="clear" w:color="auto" w:fill="auto"/>
            <w:vAlign w:val="center"/>
          </w:tcPr>
          <w:p w14:paraId="39AEBB4A" w14:textId="77777777" w:rsidR="00B42944" w:rsidRDefault="00B42944" w:rsidP="00CF620E">
            <w:pPr>
              <w:spacing w:after="0" w:line="240" w:lineRule="auto"/>
              <w:rPr>
                <w:rFonts w:ascii="Arial" w:eastAsia="Times New Roman" w:hAnsi="Arial" w:cs="Arial"/>
                <w:color w:val="000000"/>
                <w:sz w:val="16"/>
                <w:szCs w:val="16"/>
                <w:lang w:eastAsia="pl-PL"/>
              </w:rPr>
            </w:pPr>
          </w:p>
          <w:p w14:paraId="7F53E3FD" w14:textId="77777777" w:rsidR="00B42944" w:rsidRDefault="00B42944" w:rsidP="007B14D8">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38 291 720</w:t>
            </w:r>
          </w:p>
          <w:p w14:paraId="505E6682"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p>
        </w:tc>
        <w:tc>
          <w:tcPr>
            <w:tcW w:w="0" w:type="auto"/>
            <w:tcBorders>
              <w:top w:val="nil"/>
              <w:left w:val="nil"/>
              <w:bottom w:val="single" w:sz="8" w:space="0" w:color="B4D207"/>
              <w:right w:val="single" w:sz="8" w:space="0" w:color="B4D207"/>
            </w:tcBorders>
            <w:shd w:val="clear" w:color="auto" w:fill="auto"/>
            <w:vAlign w:val="center"/>
          </w:tcPr>
          <w:p w14:paraId="508F5DF8"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1 913 806</w:t>
            </w:r>
          </w:p>
        </w:tc>
        <w:tc>
          <w:tcPr>
            <w:tcW w:w="720" w:type="dxa"/>
            <w:tcBorders>
              <w:top w:val="single" w:sz="4" w:space="0" w:color="9BBB59"/>
              <w:left w:val="nil"/>
              <w:bottom w:val="single" w:sz="4" w:space="0" w:color="9BBB59"/>
              <w:right w:val="single" w:sz="8" w:space="0" w:color="B4D207"/>
            </w:tcBorders>
          </w:tcPr>
          <w:p w14:paraId="2714DDA5"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6687C1A8"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011D2526" w14:textId="77777777" w:rsidR="00775A77" w:rsidRDefault="00775A77" w:rsidP="0008777D">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p w14:paraId="5626D17C"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2A3F621C" w14:textId="77777777" w:rsidR="00B42944" w:rsidRDefault="00B42944" w:rsidP="0008777D">
            <w:pPr>
              <w:spacing w:after="0" w:line="240" w:lineRule="auto"/>
              <w:jc w:val="center"/>
              <w:rPr>
                <w:rFonts w:ascii="Arial" w:eastAsia="Times New Roman" w:hAnsi="Arial" w:cs="Arial"/>
                <w:color w:val="000000"/>
                <w:sz w:val="16"/>
                <w:szCs w:val="16"/>
                <w:lang w:eastAsia="pl-PL"/>
              </w:rPr>
            </w:pPr>
          </w:p>
        </w:tc>
        <w:tc>
          <w:tcPr>
            <w:tcW w:w="709" w:type="dxa"/>
            <w:tcBorders>
              <w:top w:val="single" w:sz="4" w:space="0" w:color="9BBB59"/>
              <w:left w:val="single" w:sz="8" w:space="0" w:color="B4D207"/>
              <w:bottom w:val="single" w:sz="4" w:space="0" w:color="9BBB59"/>
              <w:right w:val="single" w:sz="8" w:space="0" w:color="B4D207"/>
            </w:tcBorders>
          </w:tcPr>
          <w:p w14:paraId="5CA385DE"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08536A3F"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031FA924" w14:textId="77777777" w:rsidR="00775A77" w:rsidRDefault="00775A77" w:rsidP="0008777D">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p w14:paraId="70A86AAB"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081122DB" w14:textId="77777777" w:rsidR="00B42944" w:rsidRDefault="00B42944" w:rsidP="0008777D">
            <w:pPr>
              <w:spacing w:after="0" w:line="240" w:lineRule="auto"/>
              <w:jc w:val="center"/>
              <w:rPr>
                <w:rFonts w:ascii="Arial" w:eastAsia="Times New Roman" w:hAnsi="Arial" w:cs="Arial"/>
                <w:color w:val="000000"/>
                <w:sz w:val="16"/>
                <w:szCs w:val="16"/>
                <w:lang w:eastAsia="pl-PL"/>
              </w:rPr>
            </w:pPr>
          </w:p>
        </w:tc>
        <w:tc>
          <w:tcPr>
            <w:tcW w:w="1134" w:type="dxa"/>
            <w:tcBorders>
              <w:top w:val="nil"/>
              <w:left w:val="single" w:sz="8" w:space="0" w:color="B4D207"/>
              <w:bottom w:val="single" w:sz="8" w:space="0" w:color="B4D207"/>
              <w:right w:val="single" w:sz="8" w:space="0" w:color="B4D207"/>
            </w:tcBorders>
            <w:shd w:val="clear" w:color="auto" w:fill="auto"/>
            <w:vAlign w:val="center"/>
          </w:tcPr>
          <w:p w14:paraId="1472D200" w14:textId="77777777" w:rsidR="00B42944" w:rsidRDefault="00B42944" w:rsidP="00C75DF5">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206 104 382</w:t>
            </w:r>
          </w:p>
          <w:p w14:paraId="13EF0472"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p>
        </w:tc>
        <w:tc>
          <w:tcPr>
            <w:tcW w:w="1318" w:type="dxa"/>
            <w:tcBorders>
              <w:top w:val="nil"/>
              <w:left w:val="nil"/>
              <w:bottom w:val="single" w:sz="8" w:space="0" w:color="B4D207"/>
              <w:right w:val="single" w:sz="8" w:space="0" w:color="B4D207"/>
            </w:tcBorders>
            <w:shd w:val="clear" w:color="auto" w:fill="auto"/>
            <w:vAlign w:val="center"/>
          </w:tcPr>
          <w:p w14:paraId="538A56F7"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12 625 253</w:t>
            </w:r>
          </w:p>
        </w:tc>
      </w:tr>
      <w:tr w:rsidR="00B1542C" w:rsidRPr="004E3242" w14:paraId="62C46B78" w14:textId="77777777" w:rsidTr="00F96B31">
        <w:trPr>
          <w:trHeight w:val="307"/>
        </w:trPr>
        <w:tc>
          <w:tcPr>
            <w:tcW w:w="0" w:type="auto"/>
            <w:vMerge/>
            <w:tcBorders>
              <w:top w:val="nil"/>
              <w:left w:val="single" w:sz="8" w:space="0" w:color="B4D207"/>
              <w:bottom w:val="single" w:sz="8" w:space="0" w:color="B4D207"/>
              <w:right w:val="single" w:sz="8" w:space="0" w:color="B4D207"/>
            </w:tcBorders>
            <w:vAlign w:val="center"/>
          </w:tcPr>
          <w:p w14:paraId="4626A1D7" w14:textId="77777777" w:rsidR="00B42944" w:rsidRPr="004E3242" w:rsidRDefault="00B42944" w:rsidP="004E3242">
            <w:pPr>
              <w:spacing w:after="0" w:line="240" w:lineRule="auto"/>
              <w:rPr>
                <w:rFonts w:ascii="Arial" w:eastAsia="Times New Roman" w:hAnsi="Arial" w:cs="Arial"/>
                <w:b/>
                <w:bCs/>
                <w:color w:val="000000"/>
                <w:sz w:val="16"/>
                <w:szCs w:val="16"/>
                <w:lang w:eastAsia="pl-PL"/>
              </w:rPr>
            </w:pPr>
          </w:p>
        </w:tc>
        <w:tc>
          <w:tcPr>
            <w:tcW w:w="0" w:type="auto"/>
            <w:tcBorders>
              <w:top w:val="nil"/>
              <w:left w:val="nil"/>
              <w:bottom w:val="single" w:sz="8" w:space="0" w:color="B4D207"/>
              <w:right w:val="single" w:sz="8" w:space="0" w:color="B4D207"/>
            </w:tcBorders>
            <w:shd w:val="clear" w:color="auto" w:fill="auto"/>
            <w:textDirection w:val="btLr"/>
            <w:vAlign w:val="center"/>
          </w:tcPr>
          <w:p w14:paraId="531B92B1"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Razem</w:t>
            </w:r>
          </w:p>
        </w:tc>
        <w:tc>
          <w:tcPr>
            <w:tcW w:w="0" w:type="auto"/>
            <w:tcBorders>
              <w:top w:val="nil"/>
              <w:left w:val="nil"/>
              <w:bottom w:val="single" w:sz="8" w:space="0" w:color="B4D207"/>
              <w:right w:val="single" w:sz="8" w:space="0" w:color="B4D207"/>
            </w:tcBorders>
            <w:shd w:val="clear" w:color="auto" w:fill="auto"/>
            <w:vAlign w:val="center"/>
          </w:tcPr>
          <w:p w14:paraId="63D7651E"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563 804 791</w:t>
            </w:r>
          </w:p>
        </w:tc>
        <w:tc>
          <w:tcPr>
            <w:tcW w:w="0" w:type="auto"/>
            <w:tcBorders>
              <w:top w:val="nil"/>
              <w:left w:val="nil"/>
              <w:bottom w:val="single" w:sz="8" w:space="0" w:color="B4D207"/>
              <w:right w:val="single" w:sz="8" w:space="0" w:color="B4D207"/>
            </w:tcBorders>
            <w:shd w:val="clear" w:color="auto" w:fill="auto"/>
            <w:vAlign w:val="center"/>
          </w:tcPr>
          <w:p w14:paraId="594F216A"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35 987 540</w:t>
            </w:r>
          </w:p>
        </w:tc>
        <w:tc>
          <w:tcPr>
            <w:tcW w:w="0" w:type="auto"/>
            <w:tcBorders>
              <w:top w:val="nil"/>
              <w:left w:val="nil"/>
              <w:bottom w:val="single" w:sz="8" w:space="0" w:color="B4D207"/>
              <w:right w:val="single" w:sz="8" w:space="0" w:color="B4D207"/>
            </w:tcBorders>
            <w:shd w:val="clear" w:color="auto" w:fill="auto"/>
            <w:vAlign w:val="center"/>
          </w:tcPr>
          <w:p w14:paraId="4BC1C077"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595 866 279</w:t>
            </w:r>
          </w:p>
        </w:tc>
        <w:tc>
          <w:tcPr>
            <w:tcW w:w="0" w:type="auto"/>
            <w:tcBorders>
              <w:top w:val="nil"/>
              <w:left w:val="nil"/>
              <w:bottom w:val="single" w:sz="8" w:space="0" w:color="B4D207"/>
              <w:right w:val="single" w:sz="8" w:space="0" w:color="B4D207"/>
            </w:tcBorders>
            <w:shd w:val="clear" w:color="auto" w:fill="auto"/>
            <w:vAlign w:val="center"/>
          </w:tcPr>
          <w:p w14:paraId="630170B7"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38 034 018</w:t>
            </w:r>
          </w:p>
        </w:tc>
        <w:tc>
          <w:tcPr>
            <w:tcW w:w="0" w:type="auto"/>
            <w:tcBorders>
              <w:top w:val="nil"/>
              <w:left w:val="nil"/>
              <w:bottom w:val="single" w:sz="8" w:space="0" w:color="B4D207"/>
              <w:right w:val="single" w:sz="8" w:space="0" w:color="B4D207"/>
            </w:tcBorders>
            <w:shd w:val="clear" w:color="auto" w:fill="auto"/>
            <w:vAlign w:val="center"/>
          </w:tcPr>
          <w:p w14:paraId="494E145E"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629 283 935</w:t>
            </w:r>
          </w:p>
        </w:tc>
        <w:tc>
          <w:tcPr>
            <w:tcW w:w="0" w:type="auto"/>
            <w:tcBorders>
              <w:top w:val="nil"/>
              <w:left w:val="nil"/>
              <w:bottom w:val="single" w:sz="8" w:space="0" w:color="B4D207"/>
              <w:right w:val="single" w:sz="8" w:space="0" w:color="B4D207"/>
            </w:tcBorders>
            <w:shd w:val="clear" w:color="auto" w:fill="auto"/>
            <w:vAlign w:val="center"/>
          </w:tcPr>
          <w:p w14:paraId="5370259A"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40 167 059</w:t>
            </w:r>
          </w:p>
        </w:tc>
        <w:tc>
          <w:tcPr>
            <w:tcW w:w="0" w:type="auto"/>
            <w:tcBorders>
              <w:top w:val="nil"/>
              <w:left w:val="nil"/>
              <w:bottom w:val="single" w:sz="8" w:space="0" w:color="B4D207"/>
              <w:right w:val="single" w:sz="8" w:space="0" w:color="B4D207"/>
            </w:tcBorders>
            <w:shd w:val="clear" w:color="auto" w:fill="auto"/>
            <w:vAlign w:val="center"/>
          </w:tcPr>
          <w:p w14:paraId="105F5B6A"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659 830 468</w:t>
            </w:r>
          </w:p>
        </w:tc>
        <w:tc>
          <w:tcPr>
            <w:tcW w:w="0" w:type="auto"/>
            <w:tcBorders>
              <w:top w:val="nil"/>
              <w:left w:val="nil"/>
              <w:bottom w:val="single" w:sz="8" w:space="0" w:color="B4D207"/>
              <w:right w:val="single" w:sz="8" w:space="0" w:color="B4D207"/>
            </w:tcBorders>
            <w:shd w:val="clear" w:color="auto" w:fill="auto"/>
            <w:vAlign w:val="center"/>
          </w:tcPr>
          <w:p w14:paraId="3542BC83"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42 116 839</w:t>
            </w:r>
          </w:p>
        </w:tc>
        <w:tc>
          <w:tcPr>
            <w:tcW w:w="0" w:type="auto"/>
            <w:tcBorders>
              <w:top w:val="nil"/>
              <w:left w:val="nil"/>
              <w:bottom w:val="single" w:sz="8" w:space="0" w:color="B4D207"/>
              <w:right w:val="single" w:sz="8" w:space="0" w:color="B4D207"/>
            </w:tcBorders>
            <w:shd w:val="clear" w:color="auto" w:fill="auto"/>
            <w:vAlign w:val="center"/>
          </w:tcPr>
          <w:p w14:paraId="5C46C09C"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690 438 049</w:t>
            </w:r>
          </w:p>
        </w:tc>
        <w:tc>
          <w:tcPr>
            <w:tcW w:w="0" w:type="auto"/>
            <w:tcBorders>
              <w:top w:val="nil"/>
              <w:left w:val="nil"/>
              <w:bottom w:val="single" w:sz="8" w:space="0" w:color="B4D207"/>
              <w:right w:val="single" w:sz="8" w:space="0" w:color="B4D207"/>
            </w:tcBorders>
            <w:shd w:val="clear" w:color="auto" w:fill="auto"/>
            <w:vAlign w:val="center"/>
          </w:tcPr>
          <w:p w14:paraId="21580467"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44 070 514</w:t>
            </w:r>
          </w:p>
        </w:tc>
        <w:tc>
          <w:tcPr>
            <w:tcW w:w="0" w:type="auto"/>
            <w:tcBorders>
              <w:top w:val="nil"/>
              <w:left w:val="nil"/>
              <w:bottom w:val="single" w:sz="8" w:space="0" w:color="B4D207"/>
              <w:right w:val="single" w:sz="8" w:space="0" w:color="B4D207"/>
            </w:tcBorders>
            <w:shd w:val="clear" w:color="auto" w:fill="auto"/>
            <w:vAlign w:val="center"/>
          </w:tcPr>
          <w:p w14:paraId="48ADB431"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720 980 330</w:t>
            </w:r>
          </w:p>
        </w:tc>
        <w:tc>
          <w:tcPr>
            <w:tcW w:w="0" w:type="auto"/>
            <w:tcBorders>
              <w:top w:val="nil"/>
              <w:left w:val="nil"/>
              <w:bottom w:val="single" w:sz="8" w:space="0" w:color="B4D207"/>
              <w:right w:val="single" w:sz="8" w:space="0" w:color="B4D207"/>
            </w:tcBorders>
            <w:shd w:val="clear" w:color="auto" w:fill="auto"/>
            <w:vAlign w:val="center"/>
          </w:tcPr>
          <w:p w14:paraId="4AE68E4C"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46 020 021</w:t>
            </w:r>
          </w:p>
        </w:tc>
        <w:tc>
          <w:tcPr>
            <w:tcW w:w="0" w:type="auto"/>
            <w:tcBorders>
              <w:top w:val="nil"/>
              <w:left w:val="nil"/>
              <w:bottom w:val="single" w:sz="8" w:space="0" w:color="B4D207"/>
              <w:right w:val="single" w:sz="8" w:space="0" w:color="B4D207"/>
            </w:tcBorders>
            <w:shd w:val="clear" w:color="auto" w:fill="auto"/>
            <w:vAlign w:val="center"/>
          </w:tcPr>
          <w:p w14:paraId="09EDD2ED" w14:textId="77777777" w:rsidR="00B42944" w:rsidRDefault="00B42944" w:rsidP="00CF620E">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p w14:paraId="03C1955C" w14:textId="77777777" w:rsidR="00B42944" w:rsidRDefault="00B42944"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819 382 556</w:t>
            </w:r>
          </w:p>
          <w:p w14:paraId="348B93EF"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p>
        </w:tc>
        <w:tc>
          <w:tcPr>
            <w:tcW w:w="0" w:type="auto"/>
            <w:tcBorders>
              <w:top w:val="nil"/>
              <w:left w:val="nil"/>
              <w:bottom w:val="single" w:sz="8" w:space="0" w:color="B4D207"/>
              <w:right w:val="single" w:sz="8" w:space="0" w:color="B4D207"/>
            </w:tcBorders>
            <w:shd w:val="clear" w:color="auto" w:fill="auto"/>
            <w:vAlign w:val="center"/>
          </w:tcPr>
          <w:p w14:paraId="69B7036D"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47 956 883</w:t>
            </w:r>
          </w:p>
        </w:tc>
        <w:tc>
          <w:tcPr>
            <w:tcW w:w="720" w:type="dxa"/>
            <w:tcBorders>
              <w:top w:val="single" w:sz="4" w:space="0" w:color="9BBB59"/>
              <w:left w:val="nil"/>
              <w:bottom w:val="single" w:sz="8" w:space="0" w:color="B4D207"/>
              <w:right w:val="single" w:sz="8" w:space="0" w:color="B4D207"/>
            </w:tcBorders>
          </w:tcPr>
          <w:p w14:paraId="2D0B5101"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262F5620"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0107DD66" w14:textId="77777777" w:rsidR="00B42944" w:rsidRDefault="00775A77" w:rsidP="0008777D">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709" w:type="dxa"/>
            <w:tcBorders>
              <w:top w:val="single" w:sz="4" w:space="0" w:color="9BBB59"/>
              <w:left w:val="single" w:sz="8" w:space="0" w:color="B4D207"/>
              <w:bottom w:val="single" w:sz="8" w:space="0" w:color="B4D207"/>
              <w:right w:val="single" w:sz="8" w:space="0" w:color="B4D207"/>
            </w:tcBorders>
          </w:tcPr>
          <w:p w14:paraId="25C54861"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1C767F2B" w14:textId="77777777" w:rsidR="00775A77" w:rsidRDefault="00775A77" w:rsidP="0008777D">
            <w:pPr>
              <w:spacing w:after="0" w:line="240" w:lineRule="auto"/>
              <w:jc w:val="center"/>
              <w:rPr>
                <w:rFonts w:ascii="Arial" w:eastAsia="Times New Roman" w:hAnsi="Arial" w:cs="Arial"/>
                <w:color w:val="000000"/>
                <w:sz w:val="16"/>
                <w:szCs w:val="16"/>
                <w:lang w:eastAsia="pl-PL"/>
              </w:rPr>
            </w:pPr>
          </w:p>
          <w:p w14:paraId="08F95001" w14:textId="77777777" w:rsidR="00B42944" w:rsidRDefault="00775A77" w:rsidP="0008777D">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1134" w:type="dxa"/>
            <w:tcBorders>
              <w:top w:val="nil"/>
              <w:left w:val="single" w:sz="8" w:space="0" w:color="B4D207"/>
              <w:bottom w:val="single" w:sz="8" w:space="0" w:color="B4D207"/>
              <w:right w:val="single" w:sz="8" w:space="0" w:color="B4D207"/>
            </w:tcBorders>
            <w:shd w:val="clear" w:color="auto" w:fill="auto"/>
            <w:vAlign w:val="center"/>
          </w:tcPr>
          <w:p w14:paraId="5F7EFB1C" w14:textId="77777777" w:rsidR="00B42944" w:rsidRDefault="00B42944" w:rsidP="007B14D8">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4 679 586 408</w:t>
            </w:r>
          </w:p>
          <w:p w14:paraId="257440F8"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p>
        </w:tc>
        <w:tc>
          <w:tcPr>
            <w:tcW w:w="1318" w:type="dxa"/>
            <w:tcBorders>
              <w:top w:val="nil"/>
              <w:left w:val="nil"/>
              <w:bottom w:val="single" w:sz="8" w:space="0" w:color="B4D207"/>
              <w:right w:val="single" w:sz="8" w:space="0" w:color="B4D207"/>
            </w:tcBorders>
            <w:shd w:val="clear" w:color="auto" w:fill="auto"/>
            <w:vAlign w:val="center"/>
          </w:tcPr>
          <w:p w14:paraId="77ED3984" w14:textId="77777777" w:rsidR="00B42944" w:rsidRPr="004E3242" w:rsidRDefault="00B42944"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294 352 874</w:t>
            </w:r>
          </w:p>
        </w:tc>
      </w:tr>
      <w:tr w:rsidR="00B1542C" w:rsidRPr="004E3242" w14:paraId="496A8CDC" w14:textId="77777777" w:rsidTr="00607EC1">
        <w:trPr>
          <w:cantSplit/>
          <w:trHeight w:val="1134"/>
        </w:trPr>
        <w:tc>
          <w:tcPr>
            <w:tcW w:w="0" w:type="auto"/>
            <w:tcBorders>
              <w:top w:val="nil"/>
              <w:left w:val="single" w:sz="8" w:space="0" w:color="B4D207"/>
              <w:bottom w:val="single" w:sz="8" w:space="0" w:color="B4D207"/>
              <w:right w:val="single" w:sz="8" w:space="0" w:color="B4D207"/>
            </w:tcBorders>
            <w:textDirection w:val="btLr"/>
            <w:vAlign w:val="center"/>
          </w:tcPr>
          <w:p w14:paraId="245BD7CD" w14:textId="77777777" w:rsidR="00B1542C" w:rsidRPr="004E3242" w:rsidRDefault="00B1542C" w:rsidP="00607EC1">
            <w:pPr>
              <w:spacing w:after="0" w:line="240" w:lineRule="auto"/>
              <w:ind w:left="113" w:right="113"/>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EFRR REACT-EU</w:t>
            </w:r>
          </w:p>
        </w:tc>
        <w:tc>
          <w:tcPr>
            <w:tcW w:w="0" w:type="auto"/>
            <w:tcBorders>
              <w:top w:val="nil"/>
              <w:left w:val="nil"/>
              <w:bottom w:val="single" w:sz="8" w:space="0" w:color="B4D207"/>
              <w:right w:val="single" w:sz="8" w:space="0" w:color="B4D207"/>
            </w:tcBorders>
            <w:shd w:val="clear" w:color="auto" w:fill="auto"/>
            <w:vAlign w:val="center"/>
          </w:tcPr>
          <w:p w14:paraId="72729AF4" w14:textId="77777777" w:rsidR="00B1542C" w:rsidRPr="004E3242" w:rsidRDefault="00B1542C"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31AF676C"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311F598D"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1ABB3C5C"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1C074980"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5E9B7031"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0C2BE697"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0B39D9B8"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4562176C"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5F29712F"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53E807F1"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078589A9"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28FEDB75"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5435E0C8" w14:textId="77777777" w:rsidR="00B1542C"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0" w:type="auto"/>
            <w:tcBorders>
              <w:top w:val="nil"/>
              <w:left w:val="nil"/>
              <w:bottom w:val="single" w:sz="8" w:space="0" w:color="B4D207"/>
              <w:right w:val="single" w:sz="8" w:space="0" w:color="B4D207"/>
            </w:tcBorders>
            <w:shd w:val="clear" w:color="auto" w:fill="auto"/>
            <w:vAlign w:val="center"/>
          </w:tcPr>
          <w:p w14:paraId="31FD4B39"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720" w:type="dxa"/>
            <w:tcBorders>
              <w:left w:val="nil"/>
              <w:bottom w:val="single" w:sz="8" w:space="0" w:color="B4D207"/>
              <w:right w:val="single" w:sz="8" w:space="0" w:color="B4D207"/>
            </w:tcBorders>
          </w:tcPr>
          <w:p w14:paraId="5D3B9921" w14:textId="77777777" w:rsidR="00607EC1" w:rsidRDefault="00607EC1" w:rsidP="00607EC1">
            <w:pPr>
              <w:spacing w:after="0" w:line="240" w:lineRule="auto"/>
              <w:jc w:val="center"/>
              <w:rPr>
                <w:rFonts w:ascii="Arial" w:eastAsia="Times New Roman" w:hAnsi="Arial" w:cs="Arial"/>
                <w:color w:val="000000"/>
                <w:sz w:val="16"/>
                <w:szCs w:val="16"/>
                <w:lang w:eastAsia="pl-PL"/>
              </w:rPr>
            </w:pPr>
          </w:p>
          <w:p w14:paraId="526E7582" w14:textId="77777777" w:rsidR="00607EC1" w:rsidRDefault="00607EC1" w:rsidP="00607EC1">
            <w:pPr>
              <w:spacing w:after="0" w:line="240" w:lineRule="auto"/>
              <w:jc w:val="center"/>
              <w:rPr>
                <w:rFonts w:ascii="Arial" w:eastAsia="Times New Roman" w:hAnsi="Arial" w:cs="Arial"/>
                <w:color w:val="000000"/>
                <w:sz w:val="16"/>
                <w:szCs w:val="16"/>
                <w:lang w:eastAsia="pl-PL"/>
              </w:rPr>
            </w:pPr>
          </w:p>
          <w:p w14:paraId="729ED2FE" w14:textId="77777777" w:rsidR="00B1542C" w:rsidRDefault="00362208" w:rsidP="00607EC1">
            <w:pPr>
              <w:spacing w:after="0" w:line="240" w:lineRule="auto"/>
              <w:jc w:val="center"/>
              <w:rPr>
                <w:rFonts w:ascii="Arial" w:eastAsia="Times New Roman" w:hAnsi="Arial" w:cs="Arial"/>
                <w:color w:val="000000"/>
                <w:sz w:val="16"/>
                <w:szCs w:val="16"/>
                <w:lang w:eastAsia="pl-PL"/>
              </w:rPr>
            </w:pPr>
            <w:r w:rsidRPr="00362208">
              <w:rPr>
                <w:rFonts w:ascii="Arial" w:eastAsia="Times New Roman" w:hAnsi="Arial" w:cs="Arial"/>
                <w:color w:val="000000"/>
                <w:sz w:val="16"/>
                <w:szCs w:val="16"/>
                <w:lang w:eastAsia="pl-PL"/>
              </w:rPr>
              <w:t>674 874 457</w:t>
            </w:r>
          </w:p>
        </w:tc>
        <w:tc>
          <w:tcPr>
            <w:tcW w:w="709" w:type="dxa"/>
            <w:tcBorders>
              <w:left w:val="single" w:sz="8" w:space="0" w:color="B4D207"/>
              <w:bottom w:val="single" w:sz="8" w:space="0" w:color="B4D207"/>
              <w:right w:val="single" w:sz="8" w:space="0" w:color="B4D207"/>
            </w:tcBorders>
          </w:tcPr>
          <w:p w14:paraId="52114126" w14:textId="77777777" w:rsidR="00607EC1" w:rsidRDefault="00607EC1" w:rsidP="00607EC1">
            <w:pPr>
              <w:spacing w:after="0" w:line="240" w:lineRule="auto"/>
              <w:jc w:val="center"/>
              <w:rPr>
                <w:rFonts w:ascii="Arial" w:eastAsia="Times New Roman" w:hAnsi="Arial" w:cs="Arial"/>
                <w:color w:val="000000"/>
                <w:sz w:val="16"/>
                <w:szCs w:val="16"/>
                <w:lang w:eastAsia="pl-PL"/>
              </w:rPr>
            </w:pPr>
          </w:p>
          <w:p w14:paraId="7AFD37C7" w14:textId="77777777" w:rsidR="00607EC1" w:rsidRDefault="00607EC1" w:rsidP="002D20AA">
            <w:pPr>
              <w:spacing w:after="0" w:line="240" w:lineRule="auto"/>
              <w:rPr>
                <w:rFonts w:ascii="Arial" w:eastAsia="Times New Roman" w:hAnsi="Arial" w:cs="Arial"/>
                <w:color w:val="000000"/>
                <w:sz w:val="16"/>
                <w:szCs w:val="16"/>
                <w:lang w:eastAsia="pl-PL"/>
              </w:rPr>
            </w:pPr>
          </w:p>
          <w:p w14:paraId="5F51B97D" w14:textId="26866788" w:rsidR="00B1542C" w:rsidRDefault="00E50A38"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w:t>
            </w:r>
            <w:r w:rsidR="002D20AA" w:rsidRPr="002D20AA">
              <w:rPr>
                <w:rFonts w:ascii="Arial" w:eastAsia="Times New Roman" w:hAnsi="Arial" w:cs="Arial"/>
                <w:color w:val="000000"/>
                <w:sz w:val="16"/>
                <w:szCs w:val="16"/>
                <w:lang w:eastAsia="pl-PL"/>
              </w:rPr>
              <w:t>3 016</w:t>
            </w:r>
            <w:r w:rsidR="00C5503C">
              <w:rPr>
                <w:rFonts w:ascii="Arial" w:eastAsia="Times New Roman" w:hAnsi="Arial" w:cs="Arial"/>
                <w:color w:val="000000"/>
                <w:sz w:val="16"/>
                <w:szCs w:val="16"/>
                <w:lang w:eastAsia="pl-PL"/>
              </w:rPr>
              <w:t> </w:t>
            </w:r>
            <w:r w:rsidR="002D20AA" w:rsidRPr="002D20AA">
              <w:rPr>
                <w:rFonts w:ascii="Arial" w:eastAsia="Times New Roman" w:hAnsi="Arial" w:cs="Arial"/>
                <w:color w:val="000000"/>
                <w:sz w:val="16"/>
                <w:szCs w:val="16"/>
                <w:lang w:eastAsia="pl-PL"/>
              </w:rPr>
              <w:t>170</w:t>
            </w:r>
          </w:p>
        </w:tc>
        <w:tc>
          <w:tcPr>
            <w:tcW w:w="1134" w:type="dxa"/>
            <w:tcBorders>
              <w:top w:val="nil"/>
              <w:left w:val="single" w:sz="8" w:space="0" w:color="B4D207"/>
              <w:bottom w:val="single" w:sz="8" w:space="0" w:color="B4D207"/>
              <w:right w:val="single" w:sz="8" w:space="0" w:color="B4D207"/>
            </w:tcBorders>
            <w:shd w:val="clear" w:color="auto" w:fill="auto"/>
            <w:vAlign w:val="center"/>
          </w:tcPr>
          <w:p w14:paraId="164C3083" w14:textId="55689AEE" w:rsidR="00E50A38" w:rsidRDefault="00E50A38" w:rsidP="00607EC1">
            <w:pPr>
              <w:spacing w:after="0" w:line="240" w:lineRule="auto"/>
              <w:jc w:val="center"/>
              <w:rPr>
                <w:rFonts w:ascii="Arial" w:eastAsia="Times New Roman" w:hAnsi="Arial" w:cs="Arial"/>
                <w:color w:val="000000"/>
                <w:sz w:val="16"/>
                <w:szCs w:val="16"/>
                <w:lang w:eastAsia="pl-PL"/>
              </w:rPr>
            </w:pPr>
            <w:r w:rsidRPr="00E50A38">
              <w:rPr>
                <w:rFonts w:ascii="Arial" w:eastAsia="Times New Roman" w:hAnsi="Arial" w:cs="Arial"/>
                <w:color w:val="000000"/>
                <w:sz w:val="16"/>
                <w:szCs w:val="16"/>
                <w:lang w:eastAsia="pl-PL"/>
              </w:rPr>
              <w:t>767 890</w:t>
            </w:r>
            <w:r>
              <w:rPr>
                <w:rFonts w:ascii="Arial" w:eastAsia="Times New Roman" w:hAnsi="Arial" w:cs="Arial"/>
                <w:color w:val="000000"/>
                <w:sz w:val="16"/>
                <w:szCs w:val="16"/>
                <w:lang w:eastAsia="pl-PL"/>
              </w:rPr>
              <w:t> </w:t>
            </w:r>
            <w:r w:rsidRPr="00E50A38">
              <w:rPr>
                <w:rFonts w:ascii="Arial" w:eastAsia="Times New Roman" w:hAnsi="Arial" w:cs="Arial"/>
                <w:color w:val="000000"/>
                <w:sz w:val="16"/>
                <w:szCs w:val="16"/>
                <w:lang w:eastAsia="pl-PL"/>
              </w:rPr>
              <w:t>627</w:t>
            </w:r>
          </w:p>
          <w:p w14:paraId="5B1637C8" w14:textId="325D703C" w:rsidR="00B1542C" w:rsidDel="00F070AF" w:rsidRDefault="00B1542C" w:rsidP="00607EC1">
            <w:pPr>
              <w:spacing w:after="0" w:line="240" w:lineRule="auto"/>
              <w:jc w:val="center"/>
              <w:rPr>
                <w:rFonts w:ascii="Arial" w:eastAsia="Times New Roman" w:hAnsi="Arial" w:cs="Arial"/>
                <w:color w:val="000000"/>
                <w:sz w:val="16"/>
                <w:szCs w:val="16"/>
                <w:lang w:eastAsia="pl-PL"/>
              </w:rPr>
            </w:pPr>
          </w:p>
        </w:tc>
        <w:tc>
          <w:tcPr>
            <w:tcW w:w="1318" w:type="dxa"/>
            <w:tcBorders>
              <w:top w:val="nil"/>
              <w:left w:val="nil"/>
              <w:bottom w:val="single" w:sz="8" w:space="0" w:color="B4D207"/>
              <w:right w:val="single" w:sz="8" w:space="0" w:color="B4D207"/>
            </w:tcBorders>
            <w:shd w:val="clear" w:color="auto" w:fill="auto"/>
            <w:vAlign w:val="center"/>
          </w:tcPr>
          <w:p w14:paraId="7E66D0F0" w14:textId="77777777" w:rsidR="00B1542C" w:rsidRPr="004E3242" w:rsidRDefault="00043C8E" w:rsidP="00607E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r>
      <w:tr w:rsidR="00B1542C" w:rsidRPr="004E3242" w14:paraId="326286C1" w14:textId="77777777" w:rsidTr="00CA0279">
        <w:trPr>
          <w:trHeight w:val="292"/>
        </w:trPr>
        <w:tc>
          <w:tcPr>
            <w:tcW w:w="0" w:type="auto"/>
            <w:gridSpan w:val="2"/>
            <w:tcBorders>
              <w:top w:val="single" w:sz="8" w:space="0" w:color="B4D207"/>
              <w:left w:val="single" w:sz="8" w:space="0" w:color="B4D207"/>
              <w:bottom w:val="nil"/>
              <w:right w:val="single" w:sz="8" w:space="0" w:color="B4D207"/>
            </w:tcBorders>
            <w:shd w:val="clear" w:color="000000" w:fill="E0E0E0"/>
            <w:vAlign w:val="center"/>
          </w:tcPr>
          <w:p w14:paraId="17AAAF90"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Razem</w:t>
            </w:r>
          </w:p>
        </w:tc>
        <w:tc>
          <w:tcPr>
            <w:tcW w:w="0" w:type="auto"/>
            <w:vMerge w:val="restart"/>
            <w:tcBorders>
              <w:top w:val="nil"/>
              <w:left w:val="single" w:sz="8" w:space="0" w:color="B4D207"/>
              <w:bottom w:val="single" w:sz="8" w:space="0" w:color="B4D207"/>
              <w:right w:val="single" w:sz="8" w:space="0" w:color="B4D207"/>
            </w:tcBorders>
            <w:shd w:val="clear" w:color="000000" w:fill="E0E0E0"/>
            <w:vAlign w:val="center"/>
          </w:tcPr>
          <w:p w14:paraId="0A1DE069"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3 131 335 510</w:t>
            </w:r>
          </w:p>
        </w:tc>
        <w:tc>
          <w:tcPr>
            <w:tcW w:w="0" w:type="auto"/>
            <w:vMerge w:val="restart"/>
            <w:tcBorders>
              <w:top w:val="nil"/>
              <w:left w:val="single" w:sz="8" w:space="0" w:color="B4D207"/>
              <w:bottom w:val="single" w:sz="8" w:space="0" w:color="B4D207"/>
              <w:right w:val="single" w:sz="8" w:space="0" w:color="B4D207"/>
            </w:tcBorders>
            <w:shd w:val="clear" w:color="000000" w:fill="E0E0E0"/>
            <w:vAlign w:val="center"/>
          </w:tcPr>
          <w:p w14:paraId="3736DF5B"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205 306 416</w:t>
            </w:r>
          </w:p>
        </w:tc>
        <w:tc>
          <w:tcPr>
            <w:tcW w:w="0" w:type="auto"/>
            <w:vMerge w:val="restart"/>
            <w:tcBorders>
              <w:top w:val="nil"/>
              <w:left w:val="single" w:sz="8" w:space="0" w:color="B4D207"/>
              <w:bottom w:val="single" w:sz="8" w:space="0" w:color="B4D207"/>
              <w:right w:val="single" w:sz="8" w:space="0" w:color="B4D207"/>
            </w:tcBorders>
            <w:shd w:val="clear" w:color="000000" w:fill="E0E0E0"/>
            <w:vAlign w:val="center"/>
          </w:tcPr>
          <w:p w14:paraId="4F237D46"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3 318 673 832</w:t>
            </w:r>
          </w:p>
        </w:tc>
        <w:tc>
          <w:tcPr>
            <w:tcW w:w="0" w:type="auto"/>
            <w:vMerge w:val="restart"/>
            <w:tcBorders>
              <w:top w:val="nil"/>
              <w:left w:val="single" w:sz="8" w:space="0" w:color="B4D207"/>
              <w:bottom w:val="single" w:sz="8" w:space="0" w:color="B4D207"/>
              <w:right w:val="single" w:sz="8" w:space="0" w:color="B4D207"/>
            </w:tcBorders>
            <w:shd w:val="clear" w:color="000000" w:fill="E0E0E0"/>
            <w:vAlign w:val="center"/>
          </w:tcPr>
          <w:p w14:paraId="1F89D0C1"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217 592 810</w:t>
            </w:r>
          </w:p>
        </w:tc>
        <w:tc>
          <w:tcPr>
            <w:tcW w:w="0" w:type="auto"/>
            <w:vMerge w:val="restart"/>
            <w:tcBorders>
              <w:top w:val="nil"/>
              <w:left w:val="single" w:sz="8" w:space="0" w:color="B4D207"/>
              <w:bottom w:val="single" w:sz="8" w:space="0" w:color="B4D207"/>
              <w:right w:val="single" w:sz="8" w:space="0" w:color="B4D207"/>
            </w:tcBorders>
            <w:shd w:val="clear" w:color="000000" w:fill="E0E0E0"/>
            <w:vAlign w:val="center"/>
          </w:tcPr>
          <w:p w14:paraId="051A4C4A"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3 513 394 443</w:t>
            </w:r>
          </w:p>
        </w:tc>
        <w:tc>
          <w:tcPr>
            <w:tcW w:w="0" w:type="auto"/>
            <w:vMerge w:val="restart"/>
            <w:tcBorders>
              <w:top w:val="nil"/>
              <w:left w:val="single" w:sz="8" w:space="0" w:color="B4D207"/>
              <w:bottom w:val="single" w:sz="8" w:space="0" w:color="B4D207"/>
              <w:right w:val="single" w:sz="8" w:space="0" w:color="B4D207"/>
            </w:tcBorders>
            <w:shd w:val="clear" w:color="000000" w:fill="E0E0E0"/>
            <w:vAlign w:val="center"/>
          </w:tcPr>
          <w:p w14:paraId="5CED73FE"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230 363 167</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1C87D18F"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3 687 127 379</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217F1F36"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241 755 546</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24DD204D"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3 855 798 435</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522D00F7"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252 813 981</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238AD927"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r>
              <w:rPr>
                <w:rFonts w:ascii="Arial" w:eastAsia="Times New Roman" w:hAnsi="Arial" w:cs="Arial"/>
                <w:b/>
                <w:bCs/>
                <w:color w:val="000000"/>
                <w:sz w:val="16"/>
                <w:szCs w:val="16"/>
                <w:lang w:eastAsia="pl-PL"/>
              </w:rPr>
              <w:br/>
            </w:r>
            <w:r w:rsidRPr="00006FFC">
              <w:rPr>
                <w:rFonts w:ascii="Arial" w:eastAsia="Times New Roman" w:hAnsi="Arial" w:cs="Arial"/>
                <w:b/>
                <w:bCs/>
                <w:color w:val="000000"/>
                <w:sz w:val="16"/>
                <w:szCs w:val="16"/>
                <w:lang w:eastAsia="pl-PL"/>
              </w:rPr>
              <w:t>4 028 471 703</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20B96358"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264 235 405</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0324E6F6"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r>
              <w:rPr>
                <w:rFonts w:ascii="Arial" w:eastAsia="Times New Roman" w:hAnsi="Arial" w:cs="Arial"/>
                <w:b/>
                <w:bCs/>
                <w:color w:val="000000"/>
                <w:sz w:val="16"/>
                <w:szCs w:val="16"/>
                <w:lang w:eastAsia="pl-PL"/>
              </w:rPr>
              <w:br/>
            </w:r>
            <w:r w:rsidRPr="00006FFC">
              <w:rPr>
                <w:rFonts w:ascii="Arial" w:eastAsia="Times New Roman" w:hAnsi="Arial" w:cs="Arial"/>
                <w:b/>
                <w:bCs/>
                <w:color w:val="000000"/>
                <w:sz w:val="16"/>
                <w:szCs w:val="16"/>
                <w:lang w:eastAsia="pl-PL"/>
              </w:rPr>
              <w:t>4 189 113 366</w:t>
            </w:r>
          </w:p>
        </w:tc>
        <w:tc>
          <w:tcPr>
            <w:tcW w:w="0" w:type="auto"/>
            <w:vMerge w:val="restart"/>
            <w:tcBorders>
              <w:top w:val="nil"/>
              <w:left w:val="single" w:sz="8" w:space="0" w:color="B4D207"/>
              <w:bottom w:val="single" w:sz="8" w:space="0" w:color="B4D207"/>
              <w:right w:val="single" w:sz="8" w:space="0" w:color="B4D207"/>
            </w:tcBorders>
            <w:shd w:val="clear" w:color="000000" w:fill="D9D9D9"/>
            <w:vAlign w:val="center"/>
          </w:tcPr>
          <w:p w14:paraId="39BD237D" w14:textId="77777777" w:rsidR="00465CA0" w:rsidRPr="006738E7"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274 764 892</w:t>
            </w:r>
            <w:r>
              <w:rPr>
                <w:rFonts w:ascii="Arial" w:eastAsia="Times New Roman" w:hAnsi="Arial" w:cs="Arial"/>
                <w:b/>
                <w:bCs/>
                <w:color w:val="000000"/>
                <w:sz w:val="16"/>
                <w:szCs w:val="16"/>
                <w:lang w:eastAsia="pl-PL"/>
              </w:rPr>
              <w:t> </w:t>
            </w:r>
          </w:p>
        </w:tc>
        <w:tc>
          <w:tcPr>
            <w:tcW w:w="720" w:type="dxa"/>
            <w:vMerge w:val="restart"/>
            <w:tcBorders>
              <w:top w:val="single" w:sz="8" w:space="0" w:color="B4D207"/>
              <w:left w:val="single" w:sz="8" w:space="0" w:color="B4D207"/>
              <w:bottom w:val="single" w:sz="8" w:space="0" w:color="B4D207"/>
              <w:right w:val="single" w:sz="8" w:space="0" w:color="B4D207"/>
            </w:tcBorders>
            <w:shd w:val="clear" w:color="000000" w:fill="D9D9D9"/>
          </w:tcPr>
          <w:p w14:paraId="28074E20" w14:textId="77777777" w:rsidR="00362208" w:rsidRDefault="00362208" w:rsidP="004E3242">
            <w:pPr>
              <w:spacing w:after="0" w:line="240" w:lineRule="auto"/>
              <w:jc w:val="center"/>
              <w:rPr>
                <w:rFonts w:ascii="Arial" w:eastAsia="Times New Roman" w:hAnsi="Arial" w:cs="Arial"/>
                <w:b/>
                <w:bCs/>
                <w:color w:val="000000"/>
                <w:sz w:val="16"/>
                <w:szCs w:val="16"/>
                <w:lang w:eastAsia="pl-PL"/>
              </w:rPr>
            </w:pPr>
          </w:p>
          <w:p w14:paraId="3B4CF8B1" w14:textId="77777777" w:rsidR="00362208" w:rsidRDefault="00362208" w:rsidP="004E3242">
            <w:pPr>
              <w:spacing w:after="0" w:line="240" w:lineRule="auto"/>
              <w:jc w:val="center"/>
              <w:rPr>
                <w:rFonts w:ascii="Arial" w:eastAsia="Times New Roman" w:hAnsi="Arial" w:cs="Arial"/>
                <w:b/>
                <w:bCs/>
                <w:color w:val="000000"/>
                <w:sz w:val="16"/>
                <w:szCs w:val="16"/>
                <w:lang w:eastAsia="pl-PL"/>
              </w:rPr>
            </w:pPr>
          </w:p>
          <w:p w14:paraId="12ED7AB1" w14:textId="77777777" w:rsidR="0008777D" w:rsidRDefault="00362208" w:rsidP="004E3242">
            <w:pPr>
              <w:spacing w:after="0" w:line="240" w:lineRule="auto"/>
              <w:jc w:val="center"/>
              <w:rPr>
                <w:rFonts w:ascii="Arial" w:eastAsia="Times New Roman" w:hAnsi="Arial" w:cs="Arial"/>
                <w:b/>
                <w:bCs/>
                <w:color w:val="000000"/>
                <w:sz w:val="16"/>
                <w:szCs w:val="16"/>
                <w:lang w:eastAsia="pl-PL"/>
              </w:rPr>
            </w:pPr>
            <w:r w:rsidRPr="00362208">
              <w:rPr>
                <w:rFonts w:ascii="Arial" w:eastAsia="Times New Roman" w:hAnsi="Arial" w:cs="Arial"/>
                <w:b/>
                <w:bCs/>
                <w:color w:val="000000"/>
                <w:sz w:val="16"/>
                <w:szCs w:val="16"/>
                <w:lang w:eastAsia="pl-PL"/>
              </w:rPr>
              <w:t>674 874 457</w:t>
            </w:r>
          </w:p>
        </w:tc>
        <w:tc>
          <w:tcPr>
            <w:tcW w:w="709" w:type="dxa"/>
            <w:vMerge w:val="restart"/>
            <w:tcBorders>
              <w:top w:val="single" w:sz="8" w:space="0" w:color="B4D207"/>
              <w:left w:val="single" w:sz="8" w:space="0" w:color="B4D207"/>
              <w:bottom w:val="single" w:sz="8" w:space="0" w:color="B4D207"/>
              <w:right w:val="single" w:sz="8" w:space="0" w:color="B4D207"/>
            </w:tcBorders>
            <w:shd w:val="clear" w:color="000000" w:fill="D9D9D9"/>
          </w:tcPr>
          <w:p w14:paraId="3B888A5A" w14:textId="77777777" w:rsidR="006100B4" w:rsidRDefault="006100B4" w:rsidP="00DC293A">
            <w:pPr>
              <w:spacing w:after="0" w:line="240" w:lineRule="auto"/>
              <w:rPr>
                <w:rFonts w:ascii="Arial" w:eastAsia="Times New Roman" w:hAnsi="Arial" w:cs="Arial"/>
                <w:b/>
                <w:bCs/>
                <w:color w:val="000000"/>
                <w:sz w:val="16"/>
                <w:szCs w:val="16"/>
                <w:lang w:eastAsia="pl-PL"/>
              </w:rPr>
            </w:pPr>
          </w:p>
          <w:p w14:paraId="0030856D" w14:textId="428C65C9" w:rsidR="0008777D" w:rsidRDefault="00E50A38" w:rsidP="00BB263D">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9</w:t>
            </w:r>
            <w:r w:rsidR="002D20AA" w:rsidRPr="002D20AA">
              <w:rPr>
                <w:rFonts w:ascii="Arial" w:eastAsia="Times New Roman" w:hAnsi="Arial" w:cs="Arial"/>
                <w:b/>
                <w:bCs/>
                <w:color w:val="000000"/>
                <w:sz w:val="16"/>
                <w:szCs w:val="16"/>
                <w:lang w:eastAsia="pl-PL"/>
              </w:rPr>
              <w:t>3 016 170</w:t>
            </w:r>
          </w:p>
        </w:tc>
        <w:tc>
          <w:tcPr>
            <w:tcW w:w="1134" w:type="dxa"/>
            <w:vMerge w:val="restart"/>
            <w:tcBorders>
              <w:top w:val="nil"/>
              <w:left w:val="single" w:sz="8" w:space="0" w:color="B4D207"/>
              <w:bottom w:val="single" w:sz="8" w:space="0" w:color="B4D207"/>
              <w:right w:val="single" w:sz="8" w:space="0" w:color="B4D207"/>
            </w:tcBorders>
            <w:shd w:val="clear" w:color="000000" w:fill="D9D9D9"/>
            <w:vAlign w:val="center"/>
          </w:tcPr>
          <w:p w14:paraId="77667AA2" w14:textId="45A78E61" w:rsidR="00F070AF" w:rsidRDefault="00465CA0" w:rsidP="00453679">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r w:rsidR="00453679">
              <w:rPr>
                <w:rFonts w:ascii="Arial" w:eastAsia="Times New Roman" w:hAnsi="Arial" w:cs="Arial"/>
                <w:b/>
                <w:bCs/>
                <w:color w:val="000000"/>
                <w:sz w:val="16"/>
                <w:szCs w:val="16"/>
                <w:lang w:eastAsia="pl-PL"/>
              </w:rPr>
              <w:t>26 491 805 295</w:t>
            </w:r>
          </w:p>
          <w:p w14:paraId="317B8F8A" w14:textId="2C976C09" w:rsidR="00465CA0" w:rsidRPr="004E3242" w:rsidRDefault="00465CA0" w:rsidP="006369FD">
            <w:pPr>
              <w:spacing w:after="0" w:line="240" w:lineRule="auto"/>
              <w:jc w:val="center"/>
              <w:rPr>
                <w:rFonts w:ascii="Arial" w:eastAsia="Times New Roman" w:hAnsi="Arial" w:cs="Arial"/>
                <w:b/>
                <w:bCs/>
                <w:color w:val="000000"/>
                <w:sz w:val="16"/>
                <w:szCs w:val="16"/>
                <w:lang w:eastAsia="pl-PL"/>
              </w:rPr>
            </w:pPr>
          </w:p>
        </w:tc>
        <w:tc>
          <w:tcPr>
            <w:tcW w:w="1318" w:type="dxa"/>
            <w:vMerge w:val="restart"/>
            <w:tcBorders>
              <w:top w:val="nil"/>
              <w:left w:val="single" w:sz="8" w:space="0" w:color="B4D207"/>
              <w:bottom w:val="single" w:sz="8" w:space="0" w:color="B4D207"/>
              <w:right w:val="single" w:sz="8" w:space="0" w:color="B4D207"/>
            </w:tcBorders>
            <w:shd w:val="clear" w:color="000000" w:fill="E0E0E0"/>
            <w:vAlign w:val="center"/>
          </w:tcPr>
          <w:p w14:paraId="6C3E702E"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1 686 832 217</w:t>
            </w:r>
          </w:p>
        </w:tc>
      </w:tr>
      <w:tr w:rsidR="00B1542C" w:rsidRPr="004E3242" w14:paraId="48B4BEA3" w14:textId="77777777" w:rsidTr="00CA0279">
        <w:trPr>
          <w:trHeight w:val="307"/>
        </w:trPr>
        <w:tc>
          <w:tcPr>
            <w:tcW w:w="0" w:type="auto"/>
            <w:gridSpan w:val="2"/>
            <w:tcBorders>
              <w:top w:val="nil"/>
              <w:left w:val="single" w:sz="8" w:space="0" w:color="B4D207"/>
              <w:bottom w:val="single" w:sz="8" w:space="0" w:color="B4D207"/>
              <w:right w:val="single" w:sz="8" w:space="0" w:color="B4D207"/>
            </w:tcBorders>
            <w:shd w:val="clear" w:color="000000" w:fill="E0E0E0"/>
            <w:vAlign w:val="center"/>
          </w:tcPr>
          <w:p w14:paraId="08D85F47" w14:textId="77777777" w:rsidR="00465CA0" w:rsidRPr="004E3242" w:rsidRDefault="00465CA0" w:rsidP="004E3242">
            <w:pPr>
              <w:spacing w:after="0" w:line="240" w:lineRule="auto"/>
              <w:jc w:val="center"/>
              <w:rPr>
                <w:rFonts w:ascii="Arial" w:eastAsia="Times New Roman" w:hAnsi="Arial" w:cs="Arial"/>
                <w:b/>
                <w:bCs/>
                <w:color w:val="000000"/>
                <w:sz w:val="16"/>
                <w:szCs w:val="16"/>
                <w:lang w:eastAsia="pl-PL"/>
              </w:rPr>
            </w:pPr>
            <w:r w:rsidRPr="004E3242">
              <w:rPr>
                <w:rFonts w:ascii="Arial" w:eastAsia="Times New Roman" w:hAnsi="Arial" w:cs="Arial"/>
                <w:b/>
                <w:bCs/>
                <w:color w:val="000000"/>
                <w:sz w:val="16"/>
                <w:szCs w:val="16"/>
                <w:lang w:eastAsia="pl-PL"/>
              </w:rPr>
              <w:t>(FS i EFRR)</w:t>
            </w:r>
          </w:p>
        </w:tc>
        <w:tc>
          <w:tcPr>
            <w:tcW w:w="0" w:type="auto"/>
            <w:vMerge/>
            <w:tcBorders>
              <w:top w:val="nil"/>
              <w:left w:val="single" w:sz="8" w:space="0" w:color="B4D207"/>
              <w:bottom w:val="single" w:sz="8" w:space="0" w:color="B4D207"/>
              <w:right w:val="single" w:sz="8" w:space="0" w:color="B4D207"/>
            </w:tcBorders>
            <w:vAlign w:val="center"/>
          </w:tcPr>
          <w:p w14:paraId="6FCBCD01"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788491A0"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10D3A77B"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22CCD301"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26C7A57B"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54242A89"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0A80B538"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06B4EAF5"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65A662A9"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3B23ED4C"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6C5358C5"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54816770"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036A26DB"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0" w:type="auto"/>
            <w:vMerge/>
            <w:tcBorders>
              <w:top w:val="nil"/>
              <w:left w:val="single" w:sz="8" w:space="0" w:color="B4D207"/>
              <w:bottom w:val="single" w:sz="8" w:space="0" w:color="B4D207"/>
              <w:right w:val="single" w:sz="8" w:space="0" w:color="B4D207"/>
            </w:tcBorders>
            <w:vAlign w:val="center"/>
          </w:tcPr>
          <w:p w14:paraId="1A615A01"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720" w:type="dxa"/>
            <w:vMerge/>
            <w:tcBorders>
              <w:top w:val="single" w:sz="8" w:space="0" w:color="B4D207"/>
              <w:left w:val="single" w:sz="8" w:space="0" w:color="B4D207"/>
              <w:bottom w:val="single" w:sz="8" w:space="0" w:color="B4D207"/>
              <w:right w:val="single" w:sz="8" w:space="0" w:color="B4D207"/>
            </w:tcBorders>
          </w:tcPr>
          <w:p w14:paraId="23C6A5EB"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709" w:type="dxa"/>
            <w:vMerge/>
            <w:tcBorders>
              <w:top w:val="single" w:sz="8" w:space="0" w:color="B4D207"/>
              <w:left w:val="single" w:sz="8" w:space="0" w:color="B4D207"/>
              <w:bottom w:val="single" w:sz="8" w:space="0" w:color="B4D207"/>
              <w:right w:val="single" w:sz="8" w:space="0" w:color="B4D207"/>
            </w:tcBorders>
          </w:tcPr>
          <w:p w14:paraId="16D7DBC6"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1134" w:type="dxa"/>
            <w:vMerge/>
            <w:tcBorders>
              <w:top w:val="nil"/>
              <w:left w:val="single" w:sz="8" w:space="0" w:color="B4D207"/>
              <w:bottom w:val="single" w:sz="8" w:space="0" w:color="B4D207"/>
              <w:right w:val="single" w:sz="8" w:space="0" w:color="B4D207"/>
            </w:tcBorders>
            <w:vAlign w:val="center"/>
          </w:tcPr>
          <w:p w14:paraId="721705A1"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c>
          <w:tcPr>
            <w:tcW w:w="1318" w:type="dxa"/>
            <w:vMerge/>
            <w:tcBorders>
              <w:top w:val="nil"/>
              <w:left w:val="single" w:sz="8" w:space="0" w:color="B4D207"/>
              <w:bottom w:val="single" w:sz="8" w:space="0" w:color="B4D207"/>
              <w:right w:val="single" w:sz="8" w:space="0" w:color="B4D207"/>
            </w:tcBorders>
            <w:vAlign w:val="center"/>
          </w:tcPr>
          <w:p w14:paraId="783FF55C" w14:textId="77777777" w:rsidR="00465CA0" w:rsidRPr="004E3242" w:rsidRDefault="00465CA0" w:rsidP="004E3242">
            <w:pPr>
              <w:spacing w:after="0" w:line="240" w:lineRule="auto"/>
              <w:rPr>
                <w:rFonts w:ascii="Arial" w:eastAsia="Times New Roman" w:hAnsi="Arial" w:cs="Arial"/>
                <w:b/>
                <w:bCs/>
                <w:color w:val="000000"/>
                <w:sz w:val="16"/>
                <w:szCs w:val="16"/>
                <w:lang w:eastAsia="pl-PL"/>
              </w:rPr>
            </w:pPr>
          </w:p>
        </w:tc>
      </w:tr>
    </w:tbl>
    <w:p w14:paraId="59024290" w14:textId="77777777" w:rsidR="004E3242" w:rsidRPr="004E3242" w:rsidRDefault="004E3242" w:rsidP="004E3242">
      <w:pPr>
        <w:spacing w:after="120" w:line="280" w:lineRule="atLeast"/>
        <w:rPr>
          <w:rFonts w:ascii="Arial" w:hAnsi="Arial" w:cs="Arial"/>
          <w:bCs/>
          <w:spacing w:val="4"/>
          <w:sz w:val="20"/>
          <w:szCs w:val="20"/>
        </w:rPr>
        <w:sectPr w:rsidR="004E3242" w:rsidRPr="004E3242" w:rsidSect="00C73ABE">
          <w:pgSz w:w="16838" w:h="11906" w:orient="landscape"/>
          <w:pgMar w:top="1418" w:right="851" w:bottom="1418" w:left="851" w:header="709" w:footer="709" w:gutter="0"/>
          <w:cols w:space="708"/>
          <w:titlePg/>
          <w:docGrid w:linePitch="360"/>
        </w:sectPr>
      </w:pPr>
    </w:p>
    <w:p w14:paraId="46C075DD" w14:textId="77777777" w:rsidR="004E3242" w:rsidRPr="0067315D" w:rsidRDefault="004E3242" w:rsidP="004E3242">
      <w:pPr>
        <w:numPr>
          <w:ilvl w:val="1"/>
          <w:numId w:val="3"/>
        </w:numPr>
        <w:shd w:val="clear" w:color="auto" w:fill="BFBFBF"/>
        <w:spacing w:before="360" w:after="240"/>
        <w:outlineLvl w:val="1"/>
        <w:rPr>
          <w:rFonts w:ascii="Arial" w:hAnsi="Arial"/>
          <w:smallCaps/>
          <w:color w:val="000000"/>
          <w:spacing w:val="15"/>
          <w:sz w:val="24"/>
          <w:lang w:eastAsia="pl-PL"/>
        </w:rPr>
      </w:pPr>
      <w:bookmarkStart w:id="547" w:name="_Toc373500648"/>
      <w:bookmarkStart w:id="548" w:name="_Toc373503331"/>
      <w:bookmarkStart w:id="549" w:name="_Toc373767243"/>
      <w:bookmarkStart w:id="550" w:name="_Toc373768795"/>
      <w:bookmarkStart w:id="551" w:name="_Toc373769113"/>
      <w:bookmarkStart w:id="552" w:name="_Toc394314802"/>
      <w:bookmarkStart w:id="553" w:name="_Toc83810576"/>
      <w:bookmarkStart w:id="554" w:name="_Toc364239945"/>
      <w:bookmarkEnd w:id="547"/>
      <w:bookmarkEnd w:id="548"/>
      <w:bookmarkEnd w:id="549"/>
      <w:bookmarkEnd w:id="550"/>
      <w:bookmarkEnd w:id="551"/>
      <w:r w:rsidRPr="0067315D">
        <w:rPr>
          <w:rFonts w:ascii="Arial" w:hAnsi="Arial"/>
          <w:smallCaps/>
          <w:color w:val="000000"/>
          <w:spacing w:val="15"/>
          <w:sz w:val="24"/>
          <w:lang w:eastAsia="pl-PL"/>
        </w:rPr>
        <w:lastRenderedPageBreak/>
        <w:t>Tabela źródeł finansowania</w:t>
      </w:r>
      <w:bookmarkEnd w:id="552"/>
      <w:r w:rsidR="00486C2A">
        <w:rPr>
          <w:rStyle w:val="Odwoanieprzypisudolnego"/>
          <w:rFonts w:ascii="Arial" w:hAnsi="Arial"/>
          <w:smallCaps/>
          <w:color w:val="000000"/>
          <w:spacing w:val="15"/>
          <w:sz w:val="24"/>
          <w:lang w:eastAsia="pl-PL"/>
        </w:rPr>
        <w:footnoteReference w:id="109"/>
      </w:r>
      <w:bookmarkEnd w:id="553"/>
      <w:r w:rsidRPr="0067315D">
        <w:rPr>
          <w:rFonts w:ascii="Arial" w:hAnsi="Arial"/>
          <w:smallCaps/>
          <w:color w:val="000000"/>
          <w:spacing w:val="15"/>
          <w:sz w:val="24"/>
          <w:lang w:eastAsia="pl-PL"/>
        </w:rPr>
        <w:t xml:space="preserve"> </w:t>
      </w:r>
    </w:p>
    <w:p w14:paraId="60767A2C" w14:textId="77777777" w:rsidR="004E3242" w:rsidRPr="004E3242" w:rsidRDefault="004E3242" w:rsidP="004E3242">
      <w:pPr>
        <w:spacing w:line="280" w:lineRule="atLeast"/>
        <w:jc w:val="both"/>
        <w:rPr>
          <w:rFonts w:ascii="Arial" w:hAnsi="Arial" w:cs="Arial"/>
          <w:bCs/>
          <w:spacing w:val="4"/>
          <w:sz w:val="20"/>
          <w:szCs w:val="20"/>
        </w:rPr>
      </w:pPr>
      <w:r w:rsidRPr="004E3242">
        <w:rPr>
          <w:rFonts w:ascii="Arial" w:hAnsi="Arial" w:cs="Arial"/>
          <w:bCs/>
          <w:spacing w:val="4"/>
          <w:sz w:val="20"/>
          <w:szCs w:val="20"/>
        </w:rPr>
        <w:t>Wskazany poziom (odsetek) wsparcia jest wielkością maksymalną i będzie on odpowiednio niższy w przypadku występowania pomocy publicznej. Alokacja na Inicjatywę Wspólnotową „Łącząc Europę” (koperta narodowa w sektorze transportu) wynosi 4,1 mld EUR.</w:t>
      </w:r>
    </w:p>
    <w:bookmarkEnd w:id="554"/>
    <w:p w14:paraId="3C39D07D" w14:textId="77777777" w:rsidR="004E3242" w:rsidRPr="004E3242" w:rsidRDefault="004E3242" w:rsidP="004E3242">
      <w:pPr>
        <w:spacing w:after="120" w:line="280" w:lineRule="atLeast"/>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(EUR)</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CellMar>
          <w:left w:w="70" w:type="dxa"/>
          <w:right w:w="70" w:type="dxa"/>
        </w:tblCellMar>
        <w:tblLook w:val="04A0" w:firstRow="1" w:lastRow="0" w:firstColumn="1" w:lastColumn="0" w:noHBand="0" w:noVBand="1"/>
      </w:tblPr>
      <w:tblGrid>
        <w:gridCol w:w="559"/>
        <w:gridCol w:w="559"/>
        <w:gridCol w:w="480"/>
        <w:gridCol w:w="633"/>
        <w:gridCol w:w="337"/>
        <w:gridCol w:w="871"/>
        <w:gridCol w:w="849"/>
        <w:gridCol w:w="1165"/>
        <w:gridCol w:w="882"/>
        <w:gridCol w:w="948"/>
        <w:gridCol w:w="813"/>
        <w:gridCol w:w="996"/>
        <w:gridCol w:w="919"/>
        <w:gridCol w:w="1165"/>
        <w:gridCol w:w="764"/>
        <w:gridCol w:w="1132"/>
        <w:gridCol w:w="1070"/>
      </w:tblGrid>
      <w:tr w:rsidR="00E961DD" w:rsidRPr="004E3242" w14:paraId="2F6EB161" w14:textId="77777777" w:rsidTr="007F4F08">
        <w:trPr>
          <w:trHeight w:val="915"/>
        </w:trPr>
        <w:tc>
          <w:tcPr>
            <w:tcW w:w="198" w:type="pct"/>
            <w:vMerge w:val="restart"/>
            <w:shd w:val="clear" w:color="auto" w:fill="99CC00"/>
            <w:textDirection w:val="btLr"/>
            <w:vAlign w:val="center"/>
          </w:tcPr>
          <w:p w14:paraId="11001179"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Oś priorytetowa</w:t>
            </w:r>
          </w:p>
        </w:tc>
        <w:tc>
          <w:tcPr>
            <w:tcW w:w="198" w:type="pct"/>
            <w:vMerge w:val="restart"/>
            <w:shd w:val="clear" w:color="auto" w:fill="99CC00"/>
            <w:textDirection w:val="btLr"/>
            <w:vAlign w:val="center"/>
          </w:tcPr>
          <w:p w14:paraId="4AAAFC10"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Fundusz</w:t>
            </w:r>
          </w:p>
        </w:tc>
        <w:tc>
          <w:tcPr>
            <w:tcW w:w="170" w:type="pct"/>
            <w:vMerge w:val="restart"/>
            <w:shd w:val="clear" w:color="auto" w:fill="99CC00"/>
            <w:textDirection w:val="btLr"/>
            <w:vAlign w:val="center"/>
          </w:tcPr>
          <w:p w14:paraId="1C94D8FE"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Kategoria regionu</w:t>
            </w:r>
          </w:p>
        </w:tc>
        <w:tc>
          <w:tcPr>
            <w:tcW w:w="343" w:type="pct"/>
            <w:gridSpan w:val="2"/>
            <w:vMerge w:val="restart"/>
            <w:shd w:val="clear" w:color="auto" w:fill="99CC00"/>
            <w:textDirection w:val="btLr"/>
            <w:vAlign w:val="center"/>
          </w:tcPr>
          <w:p w14:paraId="15554053"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Podstawa kalkulacji wkładu UE</w:t>
            </w:r>
          </w:p>
        </w:tc>
        <w:tc>
          <w:tcPr>
            <w:tcW w:w="308" w:type="pct"/>
            <w:vMerge w:val="restart"/>
            <w:shd w:val="clear" w:color="auto" w:fill="99CC00"/>
            <w:textDirection w:val="btLr"/>
            <w:vAlign w:val="center"/>
          </w:tcPr>
          <w:p w14:paraId="02915E89"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UE</w:t>
            </w:r>
          </w:p>
        </w:tc>
        <w:tc>
          <w:tcPr>
            <w:tcW w:w="300" w:type="pct"/>
            <w:vMerge w:val="restart"/>
            <w:shd w:val="clear" w:color="auto" w:fill="99CC00"/>
            <w:textDirection w:val="btLr"/>
            <w:vAlign w:val="center"/>
          </w:tcPr>
          <w:p w14:paraId="1DE471F5"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krajowy</w:t>
            </w:r>
          </w:p>
        </w:tc>
        <w:tc>
          <w:tcPr>
            <w:tcW w:w="724" w:type="pct"/>
            <w:gridSpan w:val="2"/>
            <w:shd w:val="clear" w:color="auto" w:fill="99CC00"/>
            <w:vAlign w:val="center"/>
          </w:tcPr>
          <w:p w14:paraId="5FF482B8"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Indykatywny podział wkładu krajowego</w:t>
            </w:r>
          </w:p>
        </w:tc>
        <w:tc>
          <w:tcPr>
            <w:tcW w:w="335" w:type="pct"/>
            <w:vMerge w:val="restart"/>
            <w:shd w:val="clear" w:color="auto" w:fill="99CC00"/>
            <w:textDirection w:val="btLr"/>
            <w:vAlign w:val="center"/>
          </w:tcPr>
          <w:p w14:paraId="4247BEF6"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Finansowanie ogółem</w:t>
            </w:r>
          </w:p>
        </w:tc>
        <w:tc>
          <w:tcPr>
            <w:tcW w:w="287" w:type="pct"/>
            <w:vMerge w:val="restart"/>
            <w:shd w:val="clear" w:color="auto" w:fill="99CC00"/>
            <w:textDirection w:val="btLr"/>
            <w:vAlign w:val="center"/>
          </w:tcPr>
          <w:p w14:paraId="5575AF58"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Poziom wsparcia</w:t>
            </w:r>
          </w:p>
        </w:tc>
        <w:tc>
          <w:tcPr>
            <w:tcW w:w="352" w:type="pct"/>
            <w:vMerge w:val="restart"/>
            <w:shd w:val="clear" w:color="auto" w:fill="99CC00"/>
            <w:textDirection w:val="btLr"/>
            <w:vAlign w:val="center"/>
          </w:tcPr>
          <w:p w14:paraId="1ED4A3DA"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EBI (dla celów informacyjnych)</w:t>
            </w:r>
          </w:p>
        </w:tc>
        <w:tc>
          <w:tcPr>
            <w:tcW w:w="737" w:type="pct"/>
            <w:gridSpan w:val="2"/>
            <w:shd w:val="clear" w:color="auto" w:fill="99CC00"/>
            <w:vAlign w:val="center"/>
          </w:tcPr>
          <w:p w14:paraId="5E9EB6B6"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Główna alokacja</w:t>
            </w:r>
          </w:p>
        </w:tc>
        <w:tc>
          <w:tcPr>
            <w:tcW w:w="670" w:type="pct"/>
            <w:gridSpan w:val="2"/>
            <w:shd w:val="clear" w:color="auto" w:fill="99CC00"/>
            <w:vAlign w:val="center"/>
          </w:tcPr>
          <w:p w14:paraId="09D46021"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Rezerwa wykonania (RW)</w:t>
            </w:r>
          </w:p>
        </w:tc>
        <w:tc>
          <w:tcPr>
            <w:tcW w:w="378" w:type="pct"/>
            <w:shd w:val="clear" w:color="auto" w:fill="99CC00"/>
            <w:vAlign w:val="center"/>
          </w:tcPr>
          <w:p w14:paraId="337876B4"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Udział RW we wkładzie UE</w:t>
            </w:r>
          </w:p>
        </w:tc>
      </w:tr>
      <w:tr w:rsidR="00182FC1" w:rsidRPr="004E3242" w14:paraId="5BC5658C" w14:textId="77777777" w:rsidTr="007F4F08">
        <w:trPr>
          <w:trHeight w:val="825"/>
        </w:trPr>
        <w:tc>
          <w:tcPr>
            <w:tcW w:w="198" w:type="pct"/>
            <w:vMerge/>
            <w:shd w:val="clear" w:color="auto" w:fill="99CC00"/>
            <w:vAlign w:val="center"/>
          </w:tcPr>
          <w:p w14:paraId="4497B5D9"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198" w:type="pct"/>
            <w:vMerge/>
            <w:shd w:val="clear" w:color="auto" w:fill="99CC00"/>
            <w:vAlign w:val="center"/>
          </w:tcPr>
          <w:p w14:paraId="0B2816FC"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170" w:type="pct"/>
            <w:vMerge/>
            <w:shd w:val="clear" w:color="auto" w:fill="99CC00"/>
            <w:vAlign w:val="center"/>
          </w:tcPr>
          <w:p w14:paraId="1C066A29"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343" w:type="pct"/>
            <w:gridSpan w:val="2"/>
            <w:vMerge/>
            <w:shd w:val="clear" w:color="auto" w:fill="99CC00"/>
            <w:vAlign w:val="center"/>
          </w:tcPr>
          <w:p w14:paraId="3D236B9B"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308" w:type="pct"/>
            <w:vMerge/>
            <w:shd w:val="clear" w:color="auto" w:fill="99CC00"/>
            <w:vAlign w:val="center"/>
          </w:tcPr>
          <w:p w14:paraId="12E3E271"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300" w:type="pct"/>
            <w:vMerge/>
            <w:shd w:val="clear" w:color="auto" w:fill="99CC00"/>
            <w:vAlign w:val="center"/>
          </w:tcPr>
          <w:p w14:paraId="4B72C751"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412" w:type="pct"/>
            <w:shd w:val="clear" w:color="auto" w:fill="99CC00"/>
            <w:textDirection w:val="btLr"/>
            <w:vAlign w:val="center"/>
          </w:tcPr>
          <w:p w14:paraId="0D554618"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Krajowe środki publiczne</w:t>
            </w:r>
          </w:p>
        </w:tc>
        <w:tc>
          <w:tcPr>
            <w:tcW w:w="312" w:type="pct"/>
            <w:shd w:val="clear" w:color="auto" w:fill="99CC00"/>
            <w:textDirection w:val="btLr"/>
            <w:vAlign w:val="center"/>
          </w:tcPr>
          <w:p w14:paraId="1B6ECE21"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Krajowe środki prywatne</w:t>
            </w:r>
          </w:p>
        </w:tc>
        <w:tc>
          <w:tcPr>
            <w:tcW w:w="335" w:type="pct"/>
            <w:vMerge/>
            <w:shd w:val="clear" w:color="auto" w:fill="99CC00"/>
            <w:vAlign w:val="center"/>
          </w:tcPr>
          <w:p w14:paraId="04E67F70"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287" w:type="pct"/>
            <w:vMerge/>
            <w:shd w:val="clear" w:color="auto" w:fill="99CC00"/>
            <w:vAlign w:val="center"/>
          </w:tcPr>
          <w:p w14:paraId="19B3AF0D"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352" w:type="pct"/>
            <w:vMerge/>
            <w:shd w:val="clear" w:color="auto" w:fill="99CC00"/>
            <w:vAlign w:val="center"/>
          </w:tcPr>
          <w:p w14:paraId="1D4F4484"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p>
        </w:tc>
        <w:tc>
          <w:tcPr>
            <w:tcW w:w="325" w:type="pct"/>
            <w:shd w:val="clear" w:color="auto" w:fill="99CC00"/>
            <w:textDirection w:val="btLr"/>
            <w:vAlign w:val="center"/>
          </w:tcPr>
          <w:p w14:paraId="050437AD"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UE</w:t>
            </w:r>
          </w:p>
        </w:tc>
        <w:tc>
          <w:tcPr>
            <w:tcW w:w="412" w:type="pct"/>
            <w:shd w:val="clear" w:color="auto" w:fill="99CC00"/>
            <w:textDirection w:val="btLr"/>
            <w:vAlign w:val="center"/>
          </w:tcPr>
          <w:p w14:paraId="0DD89269"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krajowy</w:t>
            </w:r>
          </w:p>
        </w:tc>
        <w:tc>
          <w:tcPr>
            <w:tcW w:w="270" w:type="pct"/>
            <w:shd w:val="clear" w:color="auto" w:fill="99CC00"/>
            <w:textDirection w:val="btLr"/>
            <w:vAlign w:val="center"/>
          </w:tcPr>
          <w:p w14:paraId="48758037"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UE</w:t>
            </w:r>
          </w:p>
        </w:tc>
        <w:tc>
          <w:tcPr>
            <w:tcW w:w="400" w:type="pct"/>
            <w:shd w:val="clear" w:color="auto" w:fill="99CC00"/>
            <w:textDirection w:val="btLr"/>
            <w:vAlign w:val="center"/>
          </w:tcPr>
          <w:p w14:paraId="5EC48F0D"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krajowy</w:t>
            </w:r>
          </w:p>
        </w:tc>
        <w:tc>
          <w:tcPr>
            <w:tcW w:w="378" w:type="pct"/>
            <w:shd w:val="clear" w:color="auto" w:fill="99CC00"/>
            <w:vAlign w:val="center"/>
          </w:tcPr>
          <w:p w14:paraId="35B0D418"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t>
            </w:r>
          </w:p>
        </w:tc>
      </w:tr>
      <w:tr w:rsidR="00E961DD" w:rsidRPr="004E3242" w14:paraId="37CE2914" w14:textId="77777777" w:rsidTr="007F4F08">
        <w:trPr>
          <w:trHeight w:val="525"/>
        </w:trPr>
        <w:tc>
          <w:tcPr>
            <w:tcW w:w="908" w:type="pct"/>
            <w:gridSpan w:val="5"/>
            <w:shd w:val="clear" w:color="auto" w:fill="99CC00"/>
            <w:vAlign w:val="center"/>
          </w:tcPr>
          <w:p w14:paraId="3ED59AFA" w14:textId="77777777" w:rsidR="004E3242" w:rsidRPr="004E3242" w:rsidRDefault="004E3242" w:rsidP="004E3242">
            <w:pPr>
              <w:spacing w:after="0" w:line="240" w:lineRule="auto"/>
              <w:jc w:val="center"/>
              <w:rPr>
                <w:rFonts w:ascii="Arial" w:eastAsia="Times New Roman" w:hAnsi="Arial" w:cs="Arial"/>
                <w:b/>
                <w:bCs/>
                <w:color w:val="FFFFFF"/>
                <w:sz w:val="14"/>
                <w:szCs w:val="14"/>
                <w:lang w:eastAsia="pl-PL"/>
              </w:rPr>
            </w:pPr>
            <w:r w:rsidRPr="004E3242">
              <w:rPr>
                <w:rFonts w:ascii="Arial" w:eastAsia="Times New Roman" w:hAnsi="Arial" w:cs="Arial"/>
                <w:b/>
                <w:bCs/>
                <w:color w:val="FFFFFF"/>
                <w:sz w:val="14"/>
                <w:szCs w:val="14"/>
                <w:lang w:eastAsia="pl-PL"/>
              </w:rPr>
              <w:t>-</w:t>
            </w:r>
          </w:p>
        </w:tc>
        <w:tc>
          <w:tcPr>
            <w:tcW w:w="308" w:type="pct"/>
            <w:shd w:val="clear" w:color="auto" w:fill="99CC00"/>
            <w:vAlign w:val="center"/>
          </w:tcPr>
          <w:p w14:paraId="23A750F9"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(A)</w:t>
            </w:r>
          </w:p>
        </w:tc>
        <w:tc>
          <w:tcPr>
            <w:tcW w:w="300" w:type="pct"/>
            <w:shd w:val="clear" w:color="auto" w:fill="99CC00"/>
            <w:vAlign w:val="center"/>
          </w:tcPr>
          <w:p w14:paraId="64DA265D"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(B) =(C)+(D)</w:t>
            </w:r>
          </w:p>
        </w:tc>
        <w:tc>
          <w:tcPr>
            <w:tcW w:w="412" w:type="pct"/>
            <w:shd w:val="clear" w:color="auto" w:fill="99CC00"/>
            <w:vAlign w:val="center"/>
          </w:tcPr>
          <w:p w14:paraId="1FFEA9AF"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(C)</w:t>
            </w:r>
          </w:p>
        </w:tc>
        <w:tc>
          <w:tcPr>
            <w:tcW w:w="312" w:type="pct"/>
            <w:shd w:val="clear" w:color="auto" w:fill="99CC00"/>
            <w:vAlign w:val="center"/>
          </w:tcPr>
          <w:p w14:paraId="07C067A2"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(D)</w:t>
            </w:r>
          </w:p>
        </w:tc>
        <w:tc>
          <w:tcPr>
            <w:tcW w:w="335" w:type="pct"/>
            <w:shd w:val="clear" w:color="auto" w:fill="99CC00"/>
            <w:vAlign w:val="center"/>
          </w:tcPr>
          <w:p w14:paraId="7B546925"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(E)=(A)+(B)</w:t>
            </w:r>
          </w:p>
        </w:tc>
        <w:tc>
          <w:tcPr>
            <w:tcW w:w="287" w:type="pct"/>
            <w:shd w:val="clear" w:color="auto" w:fill="99CC00"/>
            <w:vAlign w:val="center"/>
          </w:tcPr>
          <w:p w14:paraId="7052B297"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(F)=(A)/(E)</w:t>
            </w:r>
          </w:p>
        </w:tc>
        <w:tc>
          <w:tcPr>
            <w:tcW w:w="352" w:type="pct"/>
            <w:shd w:val="clear" w:color="auto" w:fill="99CC00"/>
            <w:vAlign w:val="center"/>
          </w:tcPr>
          <w:p w14:paraId="2F9A3854"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p>
        </w:tc>
        <w:tc>
          <w:tcPr>
            <w:tcW w:w="325" w:type="pct"/>
            <w:shd w:val="clear" w:color="auto" w:fill="99CC00"/>
            <w:vAlign w:val="center"/>
          </w:tcPr>
          <w:p w14:paraId="4A6FB087"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(H)=(A)–(J)</w:t>
            </w:r>
          </w:p>
        </w:tc>
        <w:tc>
          <w:tcPr>
            <w:tcW w:w="412" w:type="pct"/>
            <w:shd w:val="clear" w:color="auto" w:fill="99CC00"/>
            <w:vAlign w:val="center"/>
          </w:tcPr>
          <w:p w14:paraId="39D405DB"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(I)=(B)–(K)</w:t>
            </w:r>
          </w:p>
        </w:tc>
        <w:tc>
          <w:tcPr>
            <w:tcW w:w="270" w:type="pct"/>
            <w:shd w:val="clear" w:color="auto" w:fill="99CC00"/>
            <w:vAlign w:val="center"/>
          </w:tcPr>
          <w:p w14:paraId="15F18218"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(J)</w:t>
            </w:r>
          </w:p>
        </w:tc>
        <w:tc>
          <w:tcPr>
            <w:tcW w:w="400" w:type="pct"/>
            <w:shd w:val="clear" w:color="auto" w:fill="99CC00"/>
            <w:vAlign w:val="center"/>
          </w:tcPr>
          <w:p w14:paraId="6D189CE5"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(K)=(B)*((J)/(A))</w:t>
            </w:r>
          </w:p>
        </w:tc>
        <w:tc>
          <w:tcPr>
            <w:tcW w:w="378" w:type="pct"/>
            <w:shd w:val="clear" w:color="auto" w:fill="99CC00"/>
            <w:vAlign w:val="center"/>
          </w:tcPr>
          <w:p w14:paraId="6447F6A6" w14:textId="77777777" w:rsidR="004E3242" w:rsidRPr="004E3242" w:rsidRDefault="004E3242" w:rsidP="004E3242">
            <w:pPr>
              <w:spacing w:after="0" w:line="240" w:lineRule="auto"/>
              <w:jc w:val="center"/>
              <w:rPr>
                <w:rFonts w:ascii="Arial" w:eastAsia="Times New Roman" w:hAnsi="Arial" w:cs="Arial"/>
                <w:color w:val="FFFFFF"/>
                <w:sz w:val="14"/>
                <w:szCs w:val="14"/>
                <w:lang w:eastAsia="pl-PL"/>
              </w:rPr>
            </w:pPr>
            <w:r w:rsidRPr="004E3242">
              <w:rPr>
                <w:rFonts w:ascii="Arial" w:eastAsia="Times New Roman" w:hAnsi="Arial" w:cs="Arial"/>
                <w:color w:val="FFFFFF"/>
                <w:sz w:val="14"/>
                <w:szCs w:val="14"/>
                <w:lang w:eastAsia="pl-PL"/>
              </w:rPr>
              <w:t>(L)=(J)/(A)*100</w:t>
            </w:r>
          </w:p>
        </w:tc>
      </w:tr>
      <w:tr w:rsidR="00182FC1" w:rsidRPr="004E3242" w14:paraId="2D8278FB" w14:textId="77777777" w:rsidTr="007F4F08">
        <w:trPr>
          <w:trHeight w:val="300"/>
        </w:trPr>
        <w:tc>
          <w:tcPr>
            <w:tcW w:w="198" w:type="pct"/>
            <w:vMerge w:val="restart"/>
            <w:shd w:val="clear" w:color="auto" w:fill="F2F2F2"/>
            <w:vAlign w:val="center"/>
          </w:tcPr>
          <w:p w14:paraId="7B0AB7E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w:t>
            </w:r>
          </w:p>
        </w:tc>
        <w:tc>
          <w:tcPr>
            <w:tcW w:w="198" w:type="pct"/>
            <w:vMerge w:val="restart"/>
            <w:shd w:val="clear" w:color="auto" w:fill="F2F2F2"/>
            <w:textDirection w:val="btLr"/>
            <w:vAlign w:val="center"/>
          </w:tcPr>
          <w:p w14:paraId="653D4E3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394" w:type="pct"/>
            <w:gridSpan w:val="2"/>
            <w:vMerge w:val="restart"/>
            <w:shd w:val="clear" w:color="auto" w:fill="F2F2F2"/>
            <w:vAlign w:val="center"/>
          </w:tcPr>
          <w:p w14:paraId="7BEE6A3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119" w:type="pct"/>
            <w:vMerge w:val="restart"/>
            <w:shd w:val="clear" w:color="auto" w:fill="F2F2F2"/>
            <w:textDirection w:val="btLr"/>
            <w:vAlign w:val="center"/>
          </w:tcPr>
          <w:p w14:paraId="046DE92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Wydatki publiczne i prywatne</w:t>
            </w:r>
          </w:p>
        </w:tc>
        <w:tc>
          <w:tcPr>
            <w:tcW w:w="308" w:type="pct"/>
            <w:vMerge w:val="restart"/>
            <w:shd w:val="clear" w:color="auto" w:fill="F2F2F2"/>
            <w:vAlign w:val="center"/>
          </w:tcPr>
          <w:p w14:paraId="0796F62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1 828 430 978</w:t>
            </w:r>
          </w:p>
        </w:tc>
        <w:tc>
          <w:tcPr>
            <w:tcW w:w="300" w:type="pct"/>
            <w:vMerge w:val="restart"/>
            <w:shd w:val="clear" w:color="auto" w:fill="F2F2F2"/>
            <w:vAlign w:val="center"/>
          </w:tcPr>
          <w:p w14:paraId="456E26B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322 664 291</w:t>
            </w:r>
          </w:p>
        </w:tc>
        <w:tc>
          <w:tcPr>
            <w:tcW w:w="412" w:type="pct"/>
            <w:vMerge w:val="restart"/>
            <w:shd w:val="clear" w:color="auto" w:fill="F2F2F2"/>
            <w:vAlign w:val="center"/>
          </w:tcPr>
          <w:p w14:paraId="2DCFE73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26 999 285</w:t>
            </w:r>
          </w:p>
        </w:tc>
        <w:tc>
          <w:tcPr>
            <w:tcW w:w="312" w:type="pct"/>
            <w:vMerge w:val="restart"/>
            <w:shd w:val="clear" w:color="auto" w:fill="F2F2F2"/>
            <w:vAlign w:val="center"/>
          </w:tcPr>
          <w:p w14:paraId="1BE5ED5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295 665 006</w:t>
            </w:r>
          </w:p>
        </w:tc>
        <w:tc>
          <w:tcPr>
            <w:tcW w:w="335" w:type="pct"/>
            <w:vMerge w:val="restart"/>
            <w:shd w:val="clear" w:color="auto" w:fill="F2F2F2"/>
            <w:vAlign w:val="center"/>
          </w:tcPr>
          <w:p w14:paraId="5ECE091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2 151 095 269</w:t>
            </w:r>
          </w:p>
        </w:tc>
        <w:tc>
          <w:tcPr>
            <w:tcW w:w="287" w:type="pct"/>
            <w:vMerge w:val="restart"/>
            <w:shd w:val="clear" w:color="auto" w:fill="F2F2F2"/>
            <w:vAlign w:val="center"/>
          </w:tcPr>
          <w:p w14:paraId="213F172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vMerge w:val="restart"/>
            <w:shd w:val="clear" w:color="auto" w:fill="F2F2F2"/>
            <w:vAlign w:val="center"/>
          </w:tcPr>
          <w:p w14:paraId="0C676F83"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vMerge w:val="restart"/>
            <w:shd w:val="clear" w:color="auto" w:fill="F2F2F2"/>
            <w:vAlign w:val="center"/>
          </w:tcPr>
          <w:p w14:paraId="772DA73D"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1 737 009 429</w:t>
            </w:r>
          </w:p>
        </w:tc>
        <w:tc>
          <w:tcPr>
            <w:tcW w:w="412" w:type="pct"/>
            <w:vMerge w:val="restart"/>
            <w:shd w:val="clear" w:color="auto" w:fill="F2F2F2"/>
            <w:vAlign w:val="center"/>
          </w:tcPr>
          <w:p w14:paraId="2D75C746"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306 531 076</w:t>
            </w:r>
          </w:p>
        </w:tc>
        <w:tc>
          <w:tcPr>
            <w:tcW w:w="270" w:type="pct"/>
            <w:vMerge w:val="restart"/>
            <w:shd w:val="clear" w:color="auto" w:fill="F2F2F2"/>
            <w:vAlign w:val="center"/>
          </w:tcPr>
          <w:p w14:paraId="1A6A8280"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91 421 549</w:t>
            </w:r>
          </w:p>
        </w:tc>
        <w:tc>
          <w:tcPr>
            <w:tcW w:w="400" w:type="pct"/>
            <w:vMerge w:val="restart"/>
            <w:shd w:val="clear" w:color="auto" w:fill="F2F2F2"/>
            <w:vAlign w:val="center"/>
          </w:tcPr>
          <w:p w14:paraId="031D3994"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16 133 215</w:t>
            </w:r>
          </w:p>
        </w:tc>
        <w:tc>
          <w:tcPr>
            <w:tcW w:w="378" w:type="pct"/>
            <w:vMerge w:val="restart"/>
            <w:shd w:val="clear" w:color="auto" w:fill="F2F2F2"/>
            <w:vAlign w:val="center"/>
          </w:tcPr>
          <w:p w14:paraId="13368469"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5,00%</w:t>
            </w:r>
          </w:p>
        </w:tc>
      </w:tr>
      <w:tr w:rsidR="00182FC1" w:rsidRPr="004E3242" w14:paraId="5DD1CD7F" w14:textId="77777777" w:rsidTr="007F4F08">
        <w:trPr>
          <w:trHeight w:val="315"/>
        </w:trPr>
        <w:tc>
          <w:tcPr>
            <w:tcW w:w="198" w:type="pct"/>
            <w:vMerge/>
            <w:shd w:val="clear" w:color="auto" w:fill="F2F2F2"/>
            <w:vAlign w:val="center"/>
          </w:tcPr>
          <w:p w14:paraId="0167EE9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0B3882D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1200ABE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3ED09A6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63C0F1F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7C0F993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7D77042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59E6B57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02CC6EB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77C0768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2D9062FA"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25" w:type="pct"/>
            <w:vMerge/>
            <w:shd w:val="clear" w:color="auto" w:fill="F2F2F2"/>
            <w:vAlign w:val="center"/>
          </w:tcPr>
          <w:p w14:paraId="1731EF4F"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shd w:val="clear" w:color="auto" w:fill="F2F2F2"/>
            <w:vAlign w:val="center"/>
          </w:tcPr>
          <w:p w14:paraId="71B65F0C"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shd w:val="clear" w:color="auto" w:fill="F2F2F2"/>
            <w:vAlign w:val="center"/>
          </w:tcPr>
          <w:p w14:paraId="7C6935C8"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00" w:type="pct"/>
            <w:vMerge/>
            <w:shd w:val="clear" w:color="auto" w:fill="F2F2F2"/>
            <w:vAlign w:val="center"/>
          </w:tcPr>
          <w:p w14:paraId="6B41458C"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78" w:type="pct"/>
            <w:vMerge/>
            <w:shd w:val="clear" w:color="auto" w:fill="F2F2F2"/>
            <w:vAlign w:val="center"/>
          </w:tcPr>
          <w:p w14:paraId="4215EA7E"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7DDC7478" w14:textId="77777777" w:rsidTr="007F4F08">
        <w:trPr>
          <w:trHeight w:val="315"/>
        </w:trPr>
        <w:tc>
          <w:tcPr>
            <w:tcW w:w="198" w:type="pct"/>
            <w:shd w:val="clear" w:color="auto" w:fill="F2F2F2"/>
            <w:vAlign w:val="center"/>
          </w:tcPr>
          <w:p w14:paraId="54C5664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II.</w:t>
            </w:r>
          </w:p>
        </w:tc>
        <w:tc>
          <w:tcPr>
            <w:tcW w:w="198" w:type="pct"/>
            <w:shd w:val="clear" w:color="auto" w:fill="F2F2F2"/>
            <w:textDirection w:val="btLr"/>
            <w:vAlign w:val="center"/>
          </w:tcPr>
          <w:p w14:paraId="33F206F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394" w:type="pct"/>
            <w:gridSpan w:val="2"/>
            <w:shd w:val="clear" w:color="auto" w:fill="F2F2F2"/>
            <w:vAlign w:val="center"/>
          </w:tcPr>
          <w:p w14:paraId="670202A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119" w:type="pct"/>
            <w:vMerge/>
            <w:shd w:val="clear" w:color="auto" w:fill="F2F2F2"/>
            <w:vAlign w:val="center"/>
          </w:tcPr>
          <w:p w14:paraId="532CA11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shd w:val="clear" w:color="auto" w:fill="F2F2F2"/>
            <w:vAlign w:val="center"/>
          </w:tcPr>
          <w:p w14:paraId="722D338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3 508 174 166</w:t>
            </w:r>
          </w:p>
        </w:tc>
        <w:tc>
          <w:tcPr>
            <w:tcW w:w="300" w:type="pct"/>
            <w:shd w:val="clear" w:color="auto" w:fill="F2F2F2"/>
            <w:vAlign w:val="center"/>
          </w:tcPr>
          <w:p w14:paraId="4B1E3D5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619 089 559</w:t>
            </w:r>
          </w:p>
        </w:tc>
        <w:tc>
          <w:tcPr>
            <w:tcW w:w="412" w:type="pct"/>
            <w:shd w:val="clear" w:color="auto" w:fill="F2F2F2"/>
            <w:vAlign w:val="center"/>
          </w:tcPr>
          <w:p w14:paraId="6223620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383 878 802</w:t>
            </w:r>
          </w:p>
        </w:tc>
        <w:tc>
          <w:tcPr>
            <w:tcW w:w="312" w:type="pct"/>
            <w:shd w:val="clear" w:color="auto" w:fill="F2F2F2"/>
            <w:vAlign w:val="center"/>
          </w:tcPr>
          <w:p w14:paraId="0275A92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235 210 757</w:t>
            </w:r>
          </w:p>
        </w:tc>
        <w:tc>
          <w:tcPr>
            <w:tcW w:w="335" w:type="pct"/>
            <w:shd w:val="clear" w:color="auto" w:fill="F2F2F2"/>
            <w:vAlign w:val="center"/>
          </w:tcPr>
          <w:p w14:paraId="76E7E10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4 127 263 725</w:t>
            </w:r>
          </w:p>
        </w:tc>
        <w:tc>
          <w:tcPr>
            <w:tcW w:w="287" w:type="pct"/>
            <w:shd w:val="clear" w:color="auto" w:fill="F2F2F2"/>
            <w:vAlign w:val="center"/>
          </w:tcPr>
          <w:p w14:paraId="38B01CB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shd w:val="clear" w:color="auto" w:fill="F2F2F2"/>
            <w:vAlign w:val="center"/>
          </w:tcPr>
          <w:p w14:paraId="574B57C0"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shd w:val="clear" w:color="auto" w:fill="F2F2F2"/>
            <w:vAlign w:val="center"/>
          </w:tcPr>
          <w:p w14:paraId="00723978"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3 287 906 800</w:t>
            </w:r>
          </w:p>
        </w:tc>
        <w:tc>
          <w:tcPr>
            <w:tcW w:w="412" w:type="pct"/>
            <w:shd w:val="clear" w:color="auto" w:fill="F2F2F2"/>
            <w:vAlign w:val="center"/>
          </w:tcPr>
          <w:p w14:paraId="39136678"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580 218 847</w:t>
            </w:r>
          </w:p>
        </w:tc>
        <w:tc>
          <w:tcPr>
            <w:tcW w:w="270" w:type="pct"/>
            <w:shd w:val="clear" w:color="auto" w:fill="F2F2F2"/>
            <w:vAlign w:val="center"/>
          </w:tcPr>
          <w:p w14:paraId="384ED413"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220 267 366</w:t>
            </w:r>
          </w:p>
        </w:tc>
        <w:tc>
          <w:tcPr>
            <w:tcW w:w="400" w:type="pct"/>
            <w:shd w:val="clear" w:color="auto" w:fill="F2F2F2"/>
            <w:vAlign w:val="center"/>
          </w:tcPr>
          <w:p w14:paraId="432AB0F9"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38 870 712</w:t>
            </w:r>
          </w:p>
        </w:tc>
        <w:tc>
          <w:tcPr>
            <w:tcW w:w="378" w:type="pct"/>
            <w:shd w:val="clear" w:color="auto" w:fill="F2F2F2"/>
            <w:vAlign w:val="center"/>
          </w:tcPr>
          <w:p w14:paraId="57D412A7"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6,28%</w:t>
            </w:r>
          </w:p>
        </w:tc>
      </w:tr>
      <w:tr w:rsidR="00182FC1" w:rsidRPr="004E3242" w14:paraId="19D8AC49" w14:textId="77777777" w:rsidTr="007F4F08">
        <w:trPr>
          <w:trHeight w:val="300"/>
        </w:trPr>
        <w:tc>
          <w:tcPr>
            <w:tcW w:w="198" w:type="pct"/>
            <w:vMerge w:val="restart"/>
            <w:shd w:val="clear" w:color="auto" w:fill="F2F2F2"/>
            <w:vAlign w:val="center"/>
          </w:tcPr>
          <w:p w14:paraId="0D6D1DB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III.</w:t>
            </w:r>
          </w:p>
        </w:tc>
        <w:tc>
          <w:tcPr>
            <w:tcW w:w="198" w:type="pct"/>
            <w:vMerge w:val="restart"/>
            <w:shd w:val="clear" w:color="auto" w:fill="F2F2F2"/>
            <w:textDirection w:val="btLr"/>
            <w:vAlign w:val="center"/>
          </w:tcPr>
          <w:p w14:paraId="2E192A7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394" w:type="pct"/>
            <w:gridSpan w:val="2"/>
            <w:vMerge w:val="restart"/>
            <w:shd w:val="clear" w:color="auto" w:fill="F2F2F2"/>
            <w:vAlign w:val="center"/>
          </w:tcPr>
          <w:p w14:paraId="167F6AF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119" w:type="pct"/>
            <w:vMerge/>
            <w:shd w:val="clear" w:color="auto" w:fill="F2F2F2"/>
            <w:vAlign w:val="center"/>
          </w:tcPr>
          <w:p w14:paraId="3137DEC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476B1A1E" w14:textId="77777777" w:rsidR="00FB59FA" w:rsidRDefault="00FB59FA" w:rsidP="004E3242">
            <w:pPr>
              <w:spacing w:after="0" w:line="240" w:lineRule="auto"/>
              <w:jc w:val="center"/>
              <w:rPr>
                <w:rFonts w:ascii="Arial" w:eastAsia="Times New Roman" w:hAnsi="Arial" w:cs="Arial"/>
                <w:color w:val="000000"/>
                <w:sz w:val="16"/>
                <w:szCs w:val="16"/>
                <w:lang w:eastAsia="pl-PL"/>
              </w:rPr>
            </w:pPr>
            <w:bookmarkStart w:id="555" w:name="OLE_LINK57"/>
            <w:bookmarkStart w:id="556" w:name="OLE_LINK68"/>
            <w:r w:rsidRPr="00FB59FA">
              <w:rPr>
                <w:rFonts w:ascii="Arial" w:eastAsia="Times New Roman" w:hAnsi="Arial" w:cs="Arial"/>
                <w:color w:val="000000"/>
                <w:sz w:val="16"/>
                <w:szCs w:val="16"/>
                <w:lang w:eastAsia="pl-PL"/>
              </w:rPr>
              <w:t>9 487 004</w:t>
            </w:r>
            <w:r>
              <w:rPr>
                <w:rFonts w:ascii="Arial" w:eastAsia="Times New Roman" w:hAnsi="Arial" w:cs="Arial"/>
                <w:color w:val="000000"/>
                <w:sz w:val="16"/>
                <w:szCs w:val="16"/>
                <w:lang w:eastAsia="pl-PL"/>
              </w:rPr>
              <w:t> </w:t>
            </w:r>
            <w:r w:rsidRPr="00FB59FA">
              <w:rPr>
                <w:rFonts w:ascii="Arial" w:eastAsia="Times New Roman" w:hAnsi="Arial" w:cs="Arial"/>
                <w:color w:val="000000"/>
                <w:sz w:val="16"/>
                <w:szCs w:val="16"/>
                <w:lang w:eastAsia="pl-PL"/>
              </w:rPr>
              <w:t>829</w:t>
            </w:r>
          </w:p>
          <w:bookmarkEnd w:id="555"/>
          <w:bookmarkEnd w:id="556"/>
          <w:p w14:paraId="72D5BAD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val="restart"/>
            <w:shd w:val="clear" w:color="auto" w:fill="F2F2F2"/>
            <w:vAlign w:val="center"/>
          </w:tcPr>
          <w:p w14:paraId="0C6E21C1" w14:textId="77777777" w:rsidR="00EB150E" w:rsidRDefault="00EB150E" w:rsidP="004E3242">
            <w:pPr>
              <w:spacing w:after="0" w:line="240" w:lineRule="auto"/>
              <w:jc w:val="center"/>
              <w:rPr>
                <w:rFonts w:ascii="Arial" w:eastAsia="Times New Roman" w:hAnsi="Arial" w:cs="Arial"/>
                <w:color w:val="000000"/>
                <w:sz w:val="16"/>
                <w:szCs w:val="16"/>
                <w:lang w:eastAsia="pl-PL"/>
              </w:rPr>
            </w:pPr>
            <w:bookmarkStart w:id="557" w:name="OLE_LINK69"/>
            <w:r w:rsidRPr="00EB150E">
              <w:rPr>
                <w:rFonts w:ascii="Arial" w:eastAsia="Times New Roman" w:hAnsi="Arial" w:cs="Arial"/>
                <w:color w:val="000000"/>
                <w:sz w:val="16"/>
                <w:szCs w:val="16"/>
                <w:lang w:eastAsia="pl-PL"/>
              </w:rPr>
              <w:t>1 674 177</w:t>
            </w:r>
            <w:r>
              <w:rPr>
                <w:rFonts w:ascii="Arial" w:eastAsia="Times New Roman" w:hAnsi="Arial" w:cs="Arial"/>
                <w:color w:val="000000"/>
                <w:sz w:val="16"/>
                <w:szCs w:val="16"/>
                <w:lang w:eastAsia="pl-PL"/>
              </w:rPr>
              <w:t> </w:t>
            </w:r>
            <w:r w:rsidRPr="00EB150E">
              <w:rPr>
                <w:rFonts w:ascii="Arial" w:eastAsia="Times New Roman" w:hAnsi="Arial" w:cs="Arial"/>
                <w:color w:val="000000"/>
                <w:sz w:val="16"/>
                <w:szCs w:val="16"/>
                <w:lang w:eastAsia="pl-PL"/>
              </w:rPr>
              <w:t>323</w:t>
            </w:r>
          </w:p>
          <w:bookmarkEnd w:id="557"/>
          <w:p w14:paraId="7811939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55582E0C" w14:textId="77777777" w:rsidR="000C1ACE" w:rsidRDefault="000C1ACE" w:rsidP="004E3242">
            <w:pPr>
              <w:spacing w:after="0" w:line="240" w:lineRule="auto"/>
              <w:jc w:val="center"/>
              <w:rPr>
                <w:rFonts w:ascii="Arial" w:eastAsia="Times New Roman" w:hAnsi="Arial" w:cs="Arial"/>
                <w:color w:val="000000"/>
                <w:sz w:val="16"/>
                <w:szCs w:val="16"/>
                <w:lang w:eastAsia="pl-PL"/>
              </w:rPr>
            </w:pPr>
            <w:bookmarkStart w:id="558" w:name="OLE_LINK75"/>
            <w:r w:rsidRPr="000C1ACE">
              <w:rPr>
                <w:rFonts w:ascii="Arial" w:eastAsia="Times New Roman" w:hAnsi="Arial" w:cs="Arial"/>
                <w:color w:val="000000"/>
                <w:sz w:val="16"/>
                <w:szCs w:val="16"/>
                <w:lang w:eastAsia="pl-PL"/>
              </w:rPr>
              <w:t>1 514 581</w:t>
            </w:r>
            <w:r>
              <w:rPr>
                <w:rFonts w:ascii="Arial" w:eastAsia="Times New Roman" w:hAnsi="Arial" w:cs="Arial"/>
                <w:color w:val="000000"/>
                <w:sz w:val="16"/>
                <w:szCs w:val="16"/>
                <w:lang w:eastAsia="pl-PL"/>
              </w:rPr>
              <w:t> </w:t>
            </w:r>
            <w:r w:rsidRPr="000C1ACE">
              <w:rPr>
                <w:rFonts w:ascii="Arial" w:eastAsia="Times New Roman" w:hAnsi="Arial" w:cs="Arial"/>
                <w:color w:val="000000"/>
                <w:sz w:val="16"/>
                <w:szCs w:val="16"/>
                <w:lang w:eastAsia="pl-PL"/>
              </w:rPr>
              <w:t>613</w:t>
            </w:r>
          </w:p>
          <w:bookmarkEnd w:id="558"/>
          <w:p w14:paraId="32EB57B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val="restart"/>
            <w:shd w:val="clear" w:color="auto" w:fill="F2F2F2"/>
            <w:vAlign w:val="center"/>
          </w:tcPr>
          <w:p w14:paraId="099069F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bookmarkStart w:id="559" w:name="OLE_LINK74"/>
            <w:r w:rsidRPr="004E3242">
              <w:rPr>
                <w:rFonts w:ascii="Arial" w:eastAsia="Times New Roman" w:hAnsi="Arial" w:cs="Arial"/>
                <w:color w:val="000000"/>
                <w:sz w:val="16"/>
                <w:szCs w:val="16"/>
                <w:lang w:eastAsia="pl-PL"/>
              </w:rPr>
              <w:t>159 595 710</w:t>
            </w:r>
            <w:bookmarkEnd w:id="559"/>
          </w:p>
        </w:tc>
        <w:tc>
          <w:tcPr>
            <w:tcW w:w="335" w:type="pct"/>
            <w:vMerge w:val="restart"/>
            <w:shd w:val="clear" w:color="auto" w:fill="F2F2F2"/>
            <w:vAlign w:val="center"/>
          </w:tcPr>
          <w:p w14:paraId="043DC67B" w14:textId="77777777" w:rsidR="00EB150E" w:rsidRDefault="00EB150E" w:rsidP="004E3242">
            <w:pPr>
              <w:spacing w:after="0" w:line="240" w:lineRule="auto"/>
              <w:jc w:val="center"/>
              <w:rPr>
                <w:rFonts w:ascii="Arial" w:eastAsia="Times New Roman" w:hAnsi="Arial" w:cs="Arial"/>
                <w:color w:val="000000"/>
                <w:sz w:val="16"/>
                <w:szCs w:val="16"/>
                <w:lang w:eastAsia="pl-PL"/>
              </w:rPr>
            </w:pPr>
            <w:r w:rsidRPr="00EB150E">
              <w:rPr>
                <w:rFonts w:ascii="Arial" w:eastAsia="Times New Roman" w:hAnsi="Arial" w:cs="Arial"/>
                <w:color w:val="000000"/>
                <w:sz w:val="16"/>
                <w:szCs w:val="16"/>
                <w:lang w:eastAsia="pl-PL"/>
              </w:rPr>
              <w:t>11 161 182</w:t>
            </w:r>
            <w:r>
              <w:rPr>
                <w:rFonts w:ascii="Arial" w:eastAsia="Times New Roman" w:hAnsi="Arial" w:cs="Arial"/>
                <w:color w:val="000000"/>
                <w:sz w:val="16"/>
                <w:szCs w:val="16"/>
                <w:lang w:eastAsia="pl-PL"/>
              </w:rPr>
              <w:t> </w:t>
            </w:r>
            <w:r w:rsidRPr="00EB150E">
              <w:rPr>
                <w:rFonts w:ascii="Arial" w:eastAsia="Times New Roman" w:hAnsi="Arial" w:cs="Arial"/>
                <w:color w:val="000000"/>
                <w:sz w:val="16"/>
                <w:szCs w:val="16"/>
                <w:lang w:eastAsia="pl-PL"/>
              </w:rPr>
              <w:t>152</w:t>
            </w:r>
          </w:p>
          <w:p w14:paraId="50F4146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val="restart"/>
            <w:shd w:val="clear" w:color="auto" w:fill="F2F2F2"/>
            <w:vAlign w:val="center"/>
          </w:tcPr>
          <w:p w14:paraId="3EC09F3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vMerge w:val="restart"/>
            <w:shd w:val="clear" w:color="auto" w:fill="F2F2F2"/>
            <w:vAlign w:val="center"/>
          </w:tcPr>
          <w:p w14:paraId="7EA815D4"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vMerge w:val="restart"/>
            <w:shd w:val="clear" w:color="auto" w:fill="F2F2F2"/>
            <w:vAlign w:val="center"/>
          </w:tcPr>
          <w:p w14:paraId="115A6FF6" w14:textId="77777777" w:rsidR="00D31FAD" w:rsidRDefault="00D31FAD" w:rsidP="004E3242">
            <w:pPr>
              <w:spacing w:after="0" w:line="240" w:lineRule="auto"/>
              <w:jc w:val="center"/>
              <w:rPr>
                <w:rFonts w:ascii="Arial" w:eastAsia="Times New Roman" w:hAnsi="Arial" w:cs="Arial"/>
                <w:sz w:val="16"/>
                <w:szCs w:val="16"/>
                <w:lang w:eastAsia="pl-PL"/>
              </w:rPr>
            </w:pPr>
            <w:r w:rsidRPr="00D31FAD">
              <w:rPr>
                <w:rFonts w:ascii="Arial" w:eastAsia="Times New Roman" w:hAnsi="Arial" w:cs="Arial"/>
                <w:sz w:val="16"/>
                <w:szCs w:val="16"/>
                <w:lang w:eastAsia="pl-PL"/>
              </w:rPr>
              <w:t>8 865 116</w:t>
            </w:r>
            <w:r>
              <w:rPr>
                <w:rFonts w:ascii="Arial" w:eastAsia="Times New Roman" w:hAnsi="Arial" w:cs="Arial"/>
                <w:sz w:val="16"/>
                <w:szCs w:val="16"/>
                <w:lang w:eastAsia="pl-PL"/>
              </w:rPr>
              <w:t> </w:t>
            </w:r>
            <w:r w:rsidRPr="00D31FAD">
              <w:rPr>
                <w:rFonts w:ascii="Arial" w:eastAsia="Times New Roman" w:hAnsi="Arial" w:cs="Arial"/>
                <w:sz w:val="16"/>
                <w:szCs w:val="16"/>
                <w:lang w:eastAsia="pl-PL"/>
              </w:rPr>
              <w:t>518</w:t>
            </w:r>
          </w:p>
          <w:p w14:paraId="5585F347"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val="restart"/>
            <w:shd w:val="clear" w:color="auto" w:fill="F2F2F2"/>
            <w:vAlign w:val="center"/>
          </w:tcPr>
          <w:p w14:paraId="0ED2CC81" w14:textId="77777777" w:rsidR="0034281D" w:rsidRDefault="0034281D" w:rsidP="004E3242">
            <w:pPr>
              <w:spacing w:after="0" w:line="240" w:lineRule="auto"/>
              <w:jc w:val="center"/>
              <w:rPr>
                <w:rFonts w:ascii="Arial" w:eastAsia="Times New Roman" w:hAnsi="Arial" w:cs="Arial"/>
                <w:sz w:val="16"/>
                <w:szCs w:val="16"/>
                <w:lang w:eastAsia="pl-PL"/>
              </w:rPr>
            </w:pPr>
            <w:r w:rsidRPr="0034281D">
              <w:rPr>
                <w:rFonts w:ascii="Arial" w:eastAsia="Times New Roman" w:hAnsi="Arial" w:cs="Arial"/>
                <w:sz w:val="16"/>
                <w:szCs w:val="16"/>
                <w:lang w:eastAsia="pl-PL"/>
              </w:rPr>
              <w:t>1 564 432</w:t>
            </w:r>
            <w:r>
              <w:rPr>
                <w:rFonts w:ascii="Arial" w:eastAsia="Times New Roman" w:hAnsi="Arial" w:cs="Arial"/>
                <w:sz w:val="16"/>
                <w:szCs w:val="16"/>
                <w:lang w:eastAsia="pl-PL"/>
              </w:rPr>
              <w:t> </w:t>
            </w:r>
            <w:r w:rsidRPr="0034281D">
              <w:rPr>
                <w:rFonts w:ascii="Arial" w:eastAsia="Times New Roman" w:hAnsi="Arial" w:cs="Arial"/>
                <w:sz w:val="16"/>
                <w:szCs w:val="16"/>
                <w:lang w:eastAsia="pl-PL"/>
              </w:rPr>
              <w:t>327</w:t>
            </w:r>
          </w:p>
          <w:p w14:paraId="47FC1EF2"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val="restart"/>
            <w:shd w:val="clear" w:color="auto" w:fill="F2F2F2"/>
            <w:vAlign w:val="center"/>
          </w:tcPr>
          <w:p w14:paraId="2E3BF897"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621 888 311</w:t>
            </w:r>
          </w:p>
        </w:tc>
        <w:tc>
          <w:tcPr>
            <w:tcW w:w="400" w:type="pct"/>
            <w:vMerge w:val="restart"/>
            <w:shd w:val="clear" w:color="auto" w:fill="F2F2F2"/>
            <w:vAlign w:val="center"/>
          </w:tcPr>
          <w:p w14:paraId="4DBC880E"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109 744 996</w:t>
            </w:r>
          </w:p>
        </w:tc>
        <w:tc>
          <w:tcPr>
            <w:tcW w:w="378" w:type="pct"/>
            <w:vMerge w:val="restart"/>
            <w:shd w:val="clear" w:color="auto" w:fill="F2F2F2"/>
            <w:vAlign w:val="center"/>
          </w:tcPr>
          <w:p w14:paraId="54BC5AB3" w14:textId="77777777" w:rsidR="00F33FDB" w:rsidRDefault="00F33FDB" w:rsidP="004E3242">
            <w:pPr>
              <w:spacing w:after="0" w:line="240" w:lineRule="auto"/>
              <w:jc w:val="center"/>
              <w:rPr>
                <w:rFonts w:ascii="Arial" w:eastAsia="Times New Roman" w:hAnsi="Arial" w:cs="Arial"/>
                <w:sz w:val="16"/>
                <w:szCs w:val="16"/>
                <w:lang w:eastAsia="pl-PL"/>
              </w:rPr>
            </w:pPr>
            <w:r w:rsidRPr="00F33FDB">
              <w:rPr>
                <w:rFonts w:ascii="Arial" w:eastAsia="Times New Roman" w:hAnsi="Arial" w:cs="Arial"/>
                <w:sz w:val="16"/>
                <w:szCs w:val="16"/>
                <w:lang w:eastAsia="pl-PL"/>
              </w:rPr>
              <w:t>6,5</w:t>
            </w:r>
            <w:r w:rsidR="0010432C">
              <w:rPr>
                <w:rFonts w:ascii="Arial" w:eastAsia="Times New Roman" w:hAnsi="Arial" w:cs="Arial"/>
                <w:sz w:val="16"/>
                <w:szCs w:val="16"/>
                <w:lang w:eastAsia="pl-PL"/>
              </w:rPr>
              <w:t>6</w:t>
            </w:r>
            <w:r w:rsidRPr="00F33FDB">
              <w:rPr>
                <w:rFonts w:ascii="Arial" w:eastAsia="Times New Roman" w:hAnsi="Arial" w:cs="Arial"/>
                <w:sz w:val="16"/>
                <w:szCs w:val="16"/>
                <w:lang w:eastAsia="pl-PL"/>
              </w:rPr>
              <w:t>%</w:t>
            </w:r>
          </w:p>
          <w:p w14:paraId="58F06828"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1DFD80B0" w14:textId="77777777" w:rsidTr="007F4F08">
        <w:trPr>
          <w:trHeight w:val="315"/>
        </w:trPr>
        <w:tc>
          <w:tcPr>
            <w:tcW w:w="198" w:type="pct"/>
            <w:vMerge/>
            <w:shd w:val="clear" w:color="auto" w:fill="F2F2F2"/>
            <w:vAlign w:val="center"/>
          </w:tcPr>
          <w:p w14:paraId="2856399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0EED5F1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436565B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23FB38E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77C3BF1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2B863A1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576F0CF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5A51820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03F60AA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110386C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4F565F87"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25" w:type="pct"/>
            <w:vMerge/>
            <w:shd w:val="clear" w:color="auto" w:fill="F2F2F2"/>
            <w:vAlign w:val="center"/>
          </w:tcPr>
          <w:p w14:paraId="3F9B92B6"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shd w:val="clear" w:color="auto" w:fill="F2F2F2"/>
            <w:vAlign w:val="center"/>
          </w:tcPr>
          <w:p w14:paraId="4E5833B2"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shd w:val="clear" w:color="auto" w:fill="F2F2F2"/>
            <w:vAlign w:val="center"/>
          </w:tcPr>
          <w:p w14:paraId="28C41CDD"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00" w:type="pct"/>
            <w:vMerge/>
            <w:shd w:val="clear" w:color="auto" w:fill="F2F2F2"/>
            <w:vAlign w:val="center"/>
          </w:tcPr>
          <w:p w14:paraId="06942507"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78" w:type="pct"/>
            <w:vMerge/>
            <w:shd w:val="clear" w:color="auto" w:fill="F2F2F2"/>
            <w:vAlign w:val="center"/>
          </w:tcPr>
          <w:p w14:paraId="7C5D2FBE"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0CAE6D1E" w14:textId="77777777" w:rsidTr="007F4F08">
        <w:trPr>
          <w:trHeight w:val="300"/>
        </w:trPr>
        <w:tc>
          <w:tcPr>
            <w:tcW w:w="198" w:type="pct"/>
            <w:vMerge w:val="restart"/>
            <w:shd w:val="clear" w:color="auto" w:fill="F2F2F2"/>
            <w:vAlign w:val="center"/>
          </w:tcPr>
          <w:p w14:paraId="213EB2B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IV.</w:t>
            </w:r>
          </w:p>
        </w:tc>
        <w:tc>
          <w:tcPr>
            <w:tcW w:w="198" w:type="pct"/>
            <w:vMerge w:val="restart"/>
            <w:shd w:val="clear" w:color="auto" w:fill="F2F2F2"/>
            <w:textDirection w:val="btLr"/>
            <w:vAlign w:val="center"/>
          </w:tcPr>
          <w:p w14:paraId="7D5BA51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394" w:type="pct"/>
            <w:gridSpan w:val="2"/>
            <w:vMerge w:val="restart"/>
            <w:shd w:val="clear" w:color="auto" w:fill="F2F2F2"/>
            <w:textDirection w:val="btLr"/>
            <w:vAlign w:val="center"/>
          </w:tcPr>
          <w:p w14:paraId="3FDA736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119" w:type="pct"/>
            <w:vMerge/>
            <w:shd w:val="clear" w:color="auto" w:fill="F2F2F2"/>
            <w:vAlign w:val="center"/>
          </w:tcPr>
          <w:p w14:paraId="3A89E18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569CD659" w14:textId="77777777" w:rsidR="00EB78E5" w:rsidRPr="00EB78E5" w:rsidRDefault="00EB78E5" w:rsidP="00EB78E5">
            <w:pPr>
              <w:spacing w:after="0" w:line="240" w:lineRule="auto"/>
              <w:jc w:val="center"/>
              <w:rPr>
                <w:rFonts w:ascii="Arial" w:eastAsia="Times New Roman" w:hAnsi="Arial" w:cs="Arial"/>
                <w:color w:val="000000"/>
                <w:sz w:val="16"/>
                <w:szCs w:val="16"/>
                <w:lang w:eastAsia="pl-PL"/>
              </w:rPr>
            </w:pPr>
            <w:r w:rsidRPr="00EB78E5">
              <w:rPr>
                <w:rFonts w:ascii="Arial" w:eastAsia="Times New Roman" w:hAnsi="Arial" w:cs="Arial"/>
                <w:color w:val="000000"/>
                <w:sz w:val="16"/>
                <w:szCs w:val="16"/>
                <w:lang w:eastAsia="pl-PL"/>
              </w:rPr>
              <w:t xml:space="preserve">2 783 </w:t>
            </w:r>
            <w:r w:rsidRPr="00EB78E5">
              <w:rPr>
                <w:rFonts w:ascii="Arial" w:eastAsia="Times New Roman" w:hAnsi="Arial" w:cs="Arial"/>
                <w:color w:val="000000"/>
                <w:sz w:val="16"/>
                <w:szCs w:val="16"/>
                <w:lang w:eastAsia="pl-PL"/>
              </w:rPr>
              <w:lastRenderedPageBreak/>
              <w:t>616 58</w:t>
            </w:r>
            <w:r w:rsidR="00BD3271">
              <w:rPr>
                <w:rFonts w:ascii="Arial" w:eastAsia="Times New Roman" w:hAnsi="Arial" w:cs="Arial"/>
                <w:color w:val="000000"/>
                <w:sz w:val="16"/>
                <w:szCs w:val="16"/>
                <w:lang w:eastAsia="pl-PL"/>
              </w:rPr>
              <w:t>8</w:t>
            </w:r>
          </w:p>
          <w:p w14:paraId="59D7EEE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val="restart"/>
            <w:shd w:val="clear" w:color="auto" w:fill="F2F2F2"/>
            <w:vAlign w:val="center"/>
          </w:tcPr>
          <w:p w14:paraId="4BF59E5D" w14:textId="77777777" w:rsidR="00EB78E5" w:rsidRPr="00EB78E5" w:rsidRDefault="00EB78E5" w:rsidP="00EB78E5">
            <w:pPr>
              <w:spacing w:after="0" w:line="240" w:lineRule="auto"/>
              <w:jc w:val="center"/>
              <w:rPr>
                <w:rFonts w:ascii="Arial" w:eastAsia="Times New Roman" w:hAnsi="Arial" w:cs="Arial"/>
                <w:color w:val="000000"/>
                <w:sz w:val="16"/>
                <w:szCs w:val="16"/>
                <w:lang w:eastAsia="pl-PL"/>
              </w:rPr>
            </w:pPr>
            <w:r w:rsidRPr="00EB78E5">
              <w:rPr>
                <w:rFonts w:ascii="Arial" w:eastAsia="Times New Roman" w:hAnsi="Arial" w:cs="Arial"/>
                <w:color w:val="000000"/>
                <w:sz w:val="16"/>
                <w:szCs w:val="16"/>
                <w:lang w:eastAsia="pl-PL"/>
              </w:rPr>
              <w:lastRenderedPageBreak/>
              <w:t xml:space="preserve">491 226 </w:t>
            </w:r>
            <w:r w:rsidRPr="00EB78E5">
              <w:rPr>
                <w:rFonts w:ascii="Arial" w:eastAsia="Times New Roman" w:hAnsi="Arial" w:cs="Arial"/>
                <w:color w:val="000000"/>
                <w:sz w:val="16"/>
                <w:szCs w:val="16"/>
                <w:lang w:eastAsia="pl-PL"/>
              </w:rPr>
              <w:lastRenderedPageBreak/>
              <w:t>457</w:t>
            </w:r>
          </w:p>
          <w:p w14:paraId="28C92C5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48B6647D" w14:textId="77777777" w:rsidR="00EB78E5" w:rsidRPr="00EB78E5" w:rsidRDefault="00EB78E5" w:rsidP="00EB78E5">
            <w:pPr>
              <w:spacing w:after="0" w:line="240" w:lineRule="auto"/>
              <w:jc w:val="center"/>
              <w:rPr>
                <w:rFonts w:ascii="Arial" w:eastAsia="Times New Roman" w:hAnsi="Arial" w:cs="Arial"/>
                <w:color w:val="000000"/>
                <w:sz w:val="16"/>
                <w:szCs w:val="16"/>
                <w:lang w:eastAsia="pl-PL"/>
              </w:rPr>
            </w:pPr>
            <w:r w:rsidRPr="00EB78E5">
              <w:rPr>
                <w:rFonts w:ascii="Arial" w:eastAsia="Times New Roman" w:hAnsi="Arial" w:cs="Arial"/>
                <w:color w:val="000000"/>
                <w:sz w:val="16"/>
                <w:szCs w:val="16"/>
                <w:lang w:eastAsia="pl-PL"/>
              </w:rPr>
              <w:lastRenderedPageBreak/>
              <w:t>491 226 457</w:t>
            </w:r>
          </w:p>
          <w:p w14:paraId="1839DE5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val="restart"/>
            <w:shd w:val="clear" w:color="auto" w:fill="F2F2F2"/>
            <w:vAlign w:val="center"/>
          </w:tcPr>
          <w:p w14:paraId="7F1260C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lastRenderedPageBreak/>
              <w:t>0</w:t>
            </w:r>
          </w:p>
        </w:tc>
        <w:tc>
          <w:tcPr>
            <w:tcW w:w="335" w:type="pct"/>
            <w:vMerge w:val="restart"/>
            <w:shd w:val="clear" w:color="auto" w:fill="F2F2F2"/>
            <w:vAlign w:val="center"/>
          </w:tcPr>
          <w:p w14:paraId="7F188C15" w14:textId="77777777" w:rsidR="00EB78E5" w:rsidRPr="00EB78E5" w:rsidRDefault="00EB78E5" w:rsidP="00EB78E5">
            <w:pPr>
              <w:spacing w:after="0" w:line="240" w:lineRule="auto"/>
              <w:jc w:val="center"/>
              <w:rPr>
                <w:rFonts w:ascii="Arial" w:eastAsia="Times New Roman" w:hAnsi="Arial" w:cs="Arial"/>
                <w:color w:val="000000"/>
                <w:sz w:val="16"/>
                <w:szCs w:val="16"/>
                <w:lang w:eastAsia="pl-PL"/>
              </w:rPr>
            </w:pPr>
            <w:r w:rsidRPr="00EB78E5">
              <w:rPr>
                <w:rFonts w:ascii="Arial" w:eastAsia="Times New Roman" w:hAnsi="Arial" w:cs="Arial"/>
                <w:color w:val="000000"/>
                <w:sz w:val="16"/>
                <w:szCs w:val="16"/>
                <w:lang w:eastAsia="pl-PL"/>
              </w:rPr>
              <w:t xml:space="preserve">3 274 843 </w:t>
            </w:r>
            <w:r w:rsidRPr="00EB78E5">
              <w:rPr>
                <w:rFonts w:ascii="Arial" w:eastAsia="Times New Roman" w:hAnsi="Arial" w:cs="Arial"/>
                <w:color w:val="000000"/>
                <w:sz w:val="16"/>
                <w:szCs w:val="16"/>
                <w:lang w:eastAsia="pl-PL"/>
              </w:rPr>
              <w:lastRenderedPageBreak/>
              <w:t>04</w:t>
            </w:r>
            <w:r w:rsidR="00F619EB">
              <w:rPr>
                <w:rFonts w:ascii="Arial" w:eastAsia="Times New Roman" w:hAnsi="Arial" w:cs="Arial"/>
                <w:color w:val="000000"/>
                <w:sz w:val="16"/>
                <w:szCs w:val="16"/>
                <w:lang w:eastAsia="pl-PL"/>
              </w:rPr>
              <w:t>5</w:t>
            </w:r>
          </w:p>
          <w:p w14:paraId="6BC30C5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val="restart"/>
            <w:shd w:val="clear" w:color="auto" w:fill="F2F2F2"/>
            <w:vAlign w:val="center"/>
          </w:tcPr>
          <w:p w14:paraId="34BC880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lastRenderedPageBreak/>
              <w:t>0,85</w:t>
            </w:r>
          </w:p>
        </w:tc>
        <w:tc>
          <w:tcPr>
            <w:tcW w:w="352" w:type="pct"/>
            <w:vMerge w:val="restart"/>
            <w:shd w:val="clear" w:color="auto" w:fill="F2F2F2"/>
            <w:vAlign w:val="center"/>
          </w:tcPr>
          <w:p w14:paraId="3FBB06C0"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vMerge w:val="restart"/>
            <w:shd w:val="clear" w:color="auto" w:fill="F2F2F2"/>
            <w:vAlign w:val="center"/>
          </w:tcPr>
          <w:p w14:paraId="04FED2EA" w14:textId="77777777" w:rsidR="00A00478" w:rsidRDefault="00A00478" w:rsidP="004E3242">
            <w:pPr>
              <w:spacing w:after="0" w:line="240" w:lineRule="auto"/>
              <w:jc w:val="center"/>
              <w:rPr>
                <w:rFonts w:ascii="Arial" w:eastAsia="Times New Roman" w:hAnsi="Arial" w:cs="Arial"/>
                <w:sz w:val="16"/>
                <w:szCs w:val="16"/>
                <w:lang w:eastAsia="pl-PL"/>
              </w:rPr>
            </w:pPr>
          </w:p>
          <w:p w14:paraId="3EEE0258" w14:textId="77777777" w:rsidR="004E3242" w:rsidRPr="004E3242" w:rsidRDefault="00A00478" w:rsidP="004E3242">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lastRenderedPageBreak/>
              <w:t>2 5</w:t>
            </w:r>
            <w:r w:rsidR="0023653E">
              <w:rPr>
                <w:rFonts w:ascii="Arial" w:eastAsia="Times New Roman" w:hAnsi="Arial" w:cs="Arial"/>
                <w:sz w:val="16"/>
                <w:szCs w:val="16"/>
                <w:lang w:eastAsia="pl-PL"/>
              </w:rPr>
              <w:t>9</w:t>
            </w:r>
            <w:r>
              <w:rPr>
                <w:rFonts w:ascii="Arial" w:eastAsia="Times New Roman" w:hAnsi="Arial" w:cs="Arial"/>
                <w:sz w:val="16"/>
                <w:szCs w:val="16"/>
                <w:lang w:eastAsia="pl-PL"/>
              </w:rPr>
              <w:t>9 507 43</w:t>
            </w:r>
            <w:r w:rsidR="0047328B">
              <w:rPr>
                <w:rFonts w:ascii="Arial" w:eastAsia="Times New Roman" w:hAnsi="Arial" w:cs="Arial"/>
                <w:sz w:val="16"/>
                <w:szCs w:val="16"/>
                <w:lang w:eastAsia="pl-PL"/>
              </w:rPr>
              <w:t>9</w:t>
            </w:r>
          </w:p>
        </w:tc>
        <w:tc>
          <w:tcPr>
            <w:tcW w:w="412" w:type="pct"/>
            <w:vMerge w:val="restart"/>
            <w:shd w:val="clear" w:color="auto" w:fill="F2F2F2"/>
            <w:vAlign w:val="center"/>
          </w:tcPr>
          <w:p w14:paraId="4BDCD1AB" w14:textId="77777777" w:rsidR="00CD20FA" w:rsidRDefault="00CD20FA" w:rsidP="004E3242">
            <w:pPr>
              <w:spacing w:after="0" w:line="240" w:lineRule="auto"/>
              <w:jc w:val="center"/>
              <w:rPr>
                <w:rFonts w:ascii="Arial" w:eastAsia="Times New Roman" w:hAnsi="Arial" w:cs="Arial"/>
                <w:sz w:val="16"/>
                <w:szCs w:val="16"/>
                <w:lang w:eastAsia="pl-PL"/>
              </w:rPr>
            </w:pPr>
          </w:p>
          <w:p w14:paraId="716475F1" w14:textId="77777777" w:rsidR="004E3242" w:rsidRPr="004E3242" w:rsidRDefault="00CD20FA" w:rsidP="004E3242">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lastRenderedPageBreak/>
              <w:t>458 736 607</w:t>
            </w:r>
          </w:p>
        </w:tc>
        <w:tc>
          <w:tcPr>
            <w:tcW w:w="270" w:type="pct"/>
            <w:vMerge w:val="restart"/>
            <w:shd w:val="clear" w:color="auto" w:fill="F2F2F2"/>
            <w:vAlign w:val="center"/>
          </w:tcPr>
          <w:p w14:paraId="360DA32D"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lastRenderedPageBreak/>
              <w:t xml:space="preserve">184 109 </w:t>
            </w:r>
            <w:r w:rsidRPr="004E3242">
              <w:rPr>
                <w:rFonts w:ascii="Arial" w:eastAsia="Times New Roman" w:hAnsi="Arial" w:cs="Arial"/>
                <w:sz w:val="16"/>
                <w:szCs w:val="16"/>
                <w:lang w:eastAsia="pl-PL"/>
              </w:rPr>
              <w:lastRenderedPageBreak/>
              <w:t>149</w:t>
            </w:r>
          </w:p>
        </w:tc>
        <w:tc>
          <w:tcPr>
            <w:tcW w:w="400" w:type="pct"/>
            <w:vMerge w:val="restart"/>
            <w:shd w:val="clear" w:color="auto" w:fill="F2F2F2"/>
            <w:vAlign w:val="center"/>
          </w:tcPr>
          <w:p w14:paraId="4439BC4E"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lastRenderedPageBreak/>
              <w:t>32 489 850</w:t>
            </w:r>
          </w:p>
        </w:tc>
        <w:tc>
          <w:tcPr>
            <w:tcW w:w="378" w:type="pct"/>
            <w:vMerge w:val="restart"/>
            <w:shd w:val="clear" w:color="auto" w:fill="F2F2F2"/>
            <w:vAlign w:val="center"/>
          </w:tcPr>
          <w:p w14:paraId="75F9D6B2"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w:t>
            </w:r>
            <w:r w:rsidR="00995C99">
              <w:rPr>
                <w:rFonts w:ascii="Arial" w:eastAsia="Times New Roman" w:hAnsi="Arial" w:cs="Arial"/>
                <w:sz w:val="16"/>
                <w:szCs w:val="16"/>
                <w:lang w:eastAsia="pl-PL"/>
              </w:rPr>
              <w:t>61</w:t>
            </w:r>
            <w:r w:rsidRPr="004E3242">
              <w:rPr>
                <w:rFonts w:ascii="Arial" w:eastAsia="Times New Roman" w:hAnsi="Arial" w:cs="Arial"/>
                <w:sz w:val="16"/>
                <w:szCs w:val="16"/>
                <w:lang w:eastAsia="pl-PL"/>
              </w:rPr>
              <w:t>%</w:t>
            </w:r>
          </w:p>
        </w:tc>
      </w:tr>
      <w:tr w:rsidR="00182FC1" w:rsidRPr="004E3242" w14:paraId="402A9155" w14:textId="77777777" w:rsidTr="007F4F08">
        <w:trPr>
          <w:trHeight w:val="315"/>
        </w:trPr>
        <w:tc>
          <w:tcPr>
            <w:tcW w:w="198" w:type="pct"/>
            <w:vMerge/>
            <w:shd w:val="clear" w:color="auto" w:fill="F2F2F2"/>
            <w:vAlign w:val="center"/>
          </w:tcPr>
          <w:p w14:paraId="1A9CD48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0D91A3C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274491E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0C9E6D3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34D09B1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41DA9F7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7B24777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4107E4E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66E52F4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0153D44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080413BF"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25" w:type="pct"/>
            <w:vMerge/>
            <w:shd w:val="clear" w:color="auto" w:fill="F2F2F2"/>
            <w:vAlign w:val="center"/>
          </w:tcPr>
          <w:p w14:paraId="1F763957"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shd w:val="clear" w:color="auto" w:fill="F2F2F2"/>
            <w:vAlign w:val="center"/>
          </w:tcPr>
          <w:p w14:paraId="1582915E"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shd w:val="clear" w:color="auto" w:fill="F2F2F2"/>
            <w:vAlign w:val="center"/>
          </w:tcPr>
          <w:p w14:paraId="4D0F7B4F"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00" w:type="pct"/>
            <w:vMerge/>
            <w:shd w:val="clear" w:color="auto" w:fill="F2F2F2"/>
            <w:vAlign w:val="center"/>
          </w:tcPr>
          <w:p w14:paraId="65FA51B6"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78" w:type="pct"/>
            <w:vMerge/>
            <w:shd w:val="clear" w:color="auto" w:fill="F2F2F2"/>
            <w:vAlign w:val="center"/>
          </w:tcPr>
          <w:p w14:paraId="4F1DAAB4"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737BFE2C" w14:textId="77777777" w:rsidTr="007F4F08">
        <w:trPr>
          <w:trHeight w:val="300"/>
        </w:trPr>
        <w:tc>
          <w:tcPr>
            <w:tcW w:w="198" w:type="pct"/>
            <w:vMerge/>
            <w:shd w:val="clear" w:color="auto" w:fill="F2F2F2"/>
            <w:vAlign w:val="center"/>
          </w:tcPr>
          <w:p w14:paraId="3C1650D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3F27C4E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val="restart"/>
            <w:shd w:val="clear" w:color="auto" w:fill="F2F2F2"/>
            <w:textDirection w:val="btLr"/>
            <w:vAlign w:val="center"/>
          </w:tcPr>
          <w:p w14:paraId="73B8F33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119" w:type="pct"/>
            <w:vMerge/>
            <w:shd w:val="clear" w:color="auto" w:fill="F2F2F2"/>
            <w:vAlign w:val="center"/>
          </w:tcPr>
          <w:p w14:paraId="195721A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3EB3D991" w14:textId="77777777" w:rsidR="00C0564B" w:rsidRPr="00C0564B" w:rsidRDefault="00C0564B" w:rsidP="00C0564B">
            <w:pPr>
              <w:spacing w:after="0" w:line="240" w:lineRule="auto"/>
              <w:jc w:val="center"/>
              <w:rPr>
                <w:rFonts w:ascii="Arial" w:eastAsia="Times New Roman" w:hAnsi="Arial" w:cs="Arial"/>
                <w:color w:val="000000"/>
                <w:sz w:val="16"/>
                <w:szCs w:val="16"/>
                <w:lang w:eastAsia="pl-PL"/>
              </w:rPr>
            </w:pPr>
            <w:r w:rsidRPr="00C0564B">
              <w:rPr>
                <w:rFonts w:ascii="Arial" w:eastAsia="Times New Roman" w:hAnsi="Arial" w:cs="Arial"/>
                <w:color w:val="000000"/>
                <w:sz w:val="16"/>
                <w:szCs w:val="16"/>
                <w:lang w:eastAsia="pl-PL"/>
              </w:rPr>
              <w:t>59 150 402</w:t>
            </w:r>
          </w:p>
          <w:p w14:paraId="14AE62D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val="restart"/>
            <w:shd w:val="clear" w:color="auto" w:fill="F2F2F2"/>
            <w:vAlign w:val="center"/>
          </w:tcPr>
          <w:p w14:paraId="0112EA24" w14:textId="77777777" w:rsidR="00C0564B" w:rsidRPr="00C0564B" w:rsidRDefault="00C0564B" w:rsidP="00C0564B">
            <w:pPr>
              <w:spacing w:after="0" w:line="240" w:lineRule="auto"/>
              <w:jc w:val="center"/>
              <w:rPr>
                <w:rFonts w:ascii="Arial" w:eastAsia="Times New Roman" w:hAnsi="Arial" w:cs="Arial"/>
                <w:color w:val="000000"/>
                <w:sz w:val="16"/>
                <w:szCs w:val="16"/>
                <w:lang w:eastAsia="pl-PL"/>
              </w:rPr>
            </w:pPr>
            <w:r w:rsidRPr="00C0564B">
              <w:rPr>
                <w:rFonts w:ascii="Arial" w:eastAsia="Times New Roman" w:hAnsi="Arial" w:cs="Arial"/>
                <w:color w:val="000000"/>
                <w:sz w:val="16"/>
                <w:szCs w:val="16"/>
                <w:lang w:eastAsia="pl-PL"/>
              </w:rPr>
              <w:t>14 787 601</w:t>
            </w:r>
          </w:p>
          <w:p w14:paraId="4DAD093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02488923" w14:textId="77777777" w:rsidR="00C0564B" w:rsidRPr="00C0564B" w:rsidRDefault="00C0564B" w:rsidP="00C0564B">
            <w:pPr>
              <w:spacing w:after="0" w:line="240" w:lineRule="auto"/>
              <w:jc w:val="center"/>
              <w:rPr>
                <w:rFonts w:ascii="Arial" w:eastAsia="Times New Roman" w:hAnsi="Arial" w:cs="Arial"/>
                <w:color w:val="000000"/>
                <w:sz w:val="16"/>
                <w:szCs w:val="16"/>
                <w:lang w:eastAsia="pl-PL"/>
              </w:rPr>
            </w:pPr>
            <w:r w:rsidRPr="00C0564B">
              <w:rPr>
                <w:rFonts w:ascii="Arial" w:eastAsia="Times New Roman" w:hAnsi="Arial" w:cs="Arial"/>
                <w:color w:val="000000"/>
                <w:sz w:val="16"/>
                <w:szCs w:val="16"/>
                <w:lang w:eastAsia="pl-PL"/>
              </w:rPr>
              <w:t>14 787 601</w:t>
            </w:r>
          </w:p>
          <w:p w14:paraId="33C1BB1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val="restart"/>
            <w:shd w:val="clear" w:color="auto" w:fill="F2F2F2"/>
            <w:vAlign w:val="center"/>
          </w:tcPr>
          <w:p w14:paraId="2A331DC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35" w:type="pct"/>
            <w:vMerge w:val="restart"/>
            <w:shd w:val="clear" w:color="auto" w:fill="F2F2F2"/>
            <w:vAlign w:val="center"/>
          </w:tcPr>
          <w:p w14:paraId="060928AB" w14:textId="77777777" w:rsidR="00C0564B" w:rsidRPr="00C0564B" w:rsidRDefault="00C0564B" w:rsidP="00C0564B">
            <w:pPr>
              <w:spacing w:after="0" w:line="240" w:lineRule="auto"/>
              <w:jc w:val="center"/>
              <w:rPr>
                <w:rFonts w:ascii="Arial" w:eastAsia="Times New Roman" w:hAnsi="Arial" w:cs="Arial"/>
                <w:color w:val="000000"/>
                <w:sz w:val="16"/>
                <w:szCs w:val="16"/>
                <w:lang w:eastAsia="pl-PL"/>
              </w:rPr>
            </w:pPr>
            <w:r w:rsidRPr="00C0564B">
              <w:rPr>
                <w:rFonts w:ascii="Arial" w:eastAsia="Times New Roman" w:hAnsi="Arial" w:cs="Arial"/>
                <w:color w:val="000000"/>
                <w:sz w:val="16"/>
                <w:szCs w:val="16"/>
                <w:lang w:eastAsia="pl-PL"/>
              </w:rPr>
              <w:t>73 938 003</w:t>
            </w:r>
          </w:p>
          <w:p w14:paraId="2869DA6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val="restart"/>
            <w:shd w:val="clear" w:color="auto" w:fill="F2F2F2"/>
            <w:vAlign w:val="center"/>
          </w:tcPr>
          <w:p w14:paraId="7FEC505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w:t>
            </w:r>
          </w:p>
        </w:tc>
        <w:tc>
          <w:tcPr>
            <w:tcW w:w="352" w:type="pct"/>
            <w:vMerge w:val="restart"/>
            <w:shd w:val="clear" w:color="auto" w:fill="F2F2F2"/>
            <w:vAlign w:val="center"/>
          </w:tcPr>
          <w:p w14:paraId="27D24EC1"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vMerge w:val="restart"/>
            <w:shd w:val="clear" w:color="auto" w:fill="F2F2F2"/>
            <w:vAlign w:val="center"/>
          </w:tcPr>
          <w:p w14:paraId="4A240A6B" w14:textId="77777777" w:rsidR="004B25D5" w:rsidRDefault="004B25D5" w:rsidP="004E3242">
            <w:pPr>
              <w:spacing w:after="0" w:line="240" w:lineRule="auto"/>
              <w:jc w:val="center"/>
              <w:rPr>
                <w:rFonts w:ascii="Arial" w:eastAsia="Times New Roman" w:hAnsi="Arial" w:cs="Arial"/>
                <w:sz w:val="16"/>
                <w:szCs w:val="16"/>
                <w:lang w:eastAsia="pl-PL"/>
              </w:rPr>
            </w:pPr>
          </w:p>
          <w:p w14:paraId="63B08F93" w14:textId="77777777" w:rsidR="004E3242" w:rsidRPr="004E3242" w:rsidRDefault="004B25D5" w:rsidP="004E3242">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55 041 180</w:t>
            </w:r>
          </w:p>
        </w:tc>
        <w:tc>
          <w:tcPr>
            <w:tcW w:w="412" w:type="pct"/>
            <w:vMerge w:val="restart"/>
            <w:shd w:val="clear" w:color="auto" w:fill="F2F2F2"/>
            <w:vAlign w:val="center"/>
          </w:tcPr>
          <w:p w14:paraId="0780D90A" w14:textId="77777777" w:rsidR="00842424" w:rsidRDefault="00842424" w:rsidP="004E3242">
            <w:pPr>
              <w:spacing w:after="0" w:line="240" w:lineRule="auto"/>
              <w:jc w:val="center"/>
              <w:rPr>
                <w:rFonts w:ascii="Arial" w:eastAsia="Times New Roman" w:hAnsi="Arial" w:cs="Arial"/>
                <w:sz w:val="16"/>
                <w:szCs w:val="16"/>
                <w:lang w:eastAsia="pl-PL"/>
              </w:rPr>
            </w:pPr>
          </w:p>
          <w:p w14:paraId="751317EA" w14:textId="77777777" w:rsidR="004E3242" w:rsidRPr="004E3242" w:rsidRDefault="00842424" w:rsidP="004E3242">
            <w:pPr>
              <w:spacing w:after="0" w:line="240" w:lineRule="auto"/>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13 760 </w:t>
            </w:r>
            <w:r w:rsidR="00E05BB5">
              <w:rPr>
                <w:rFonts w:ascii="Arial" w:eastAsia="Times New Roman" w:hAnsi="Arial" w:cs="Arial"/>
                <w:sz w:val="16"/>
                <w:szCs w:val="16"/>
                <w:lang w:eastAsia="pl-PL"/>
              </w:rPr>
              <w:t>29</w:t>
            </w:r>
            <w:r w:rsidR="00AC5E0E">
              <w:rPr>
                <w:rFonts w:ascii="Arial" w:eastAsia="Times New Roman" w:hAnsi="Arial" w:cs="Arial"/>
                <w:sz w:val="16"/>
                <w:szCs w:val="16"/>
                <w:lang w:eastAsia="pl-PL"/>
              </w:rPr>
              <w:t>5</w:t>
            </w:r>
          </w:p>
        </w:tc>
        <w:tc>
          <w:tcPr>
            <w:tcW w:w="270" w:type="pct"/>
            <w:vMerge w:val="restart"/>
            <w:shd w:val="clear" w:color="auto" w:fill="F2F2F2"/>
            <w:vAlign w:val="center"/>
          </w:tcPr>
          <w:p w14:paraId="7889708E"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4 109 222</w:t>
            </w:r>
          </w:p>
        </w:tc>
        <w:tc>
          <w:tcPr>
            <w:tcW w:w="400" w:type="pct"/>
            <w:vMerge w:val="restart"/>
            <w:shd w:val="clear" w:color="auto" w:fill="F2F2F2"/>
            <w:vAlign w:val="center"/>
          </w:tcPr>
          <w:p w14:paraId="4BAFDDDD"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1 027 306</w:t>
            </w:r>
          </w:p>
        </w:tc>
        <w:tc>
          <w:tcPr>
            <w:tcW w:w="378" w:type="pct"/>
            <w:vMerge w:val="restart"/>
            <w:shd w:val="clear" w:color="auto" w:fill="F2F2F2"/>
            <w:vAlign w:val="center"/>
          </w:tcPr>
          <w:p w14:paraId="34DF3EE1"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w:t>
            </w:r>
            <w:r w:rsidR="004D5DCA">
              <w:rPr>
                <w:rFonts w:ascii="Arial" w:eastAsia="Times New Roman" w:hAnsi="Arial" w:cs="Arial"/>
                <w:sz w:val="16"/>
                <w:szCs w:val="16"/>
                <w:lang w:eastAsia="pl-PL"/>
              </w:rPr>
              <w:t>95</w:t>
            </w:r>
            <w:r w:rsidRPr="004E3242">
              <w:rPr>
                <w:rFonts w:ascii="Arial" w:eastAsia="Times New Roman" w:hAnsi="Arial" w:cs="Arial"/>
                <w:sz w:val="16"/>
                <w:szCs w:val="16"/>
                <w:lang w:eastAsia="pl-PL"/>
              </w:rPr>
              <w:t>%</w:t>
            </w:r>
          </w:p>
        </w:tc>
      </w:tr>
      <w:tr w:rsidR="00182FC1" w:rsidRPr="004E3242" w14:paraId="0EC86529" w14:textId="77777777" w:rsidTr="007F4F08">
        <w:trPr>
          <w:trHeight w:val="315"/>
        </w:trPr>
        <w:tc>
          <w:tcPr>
            <w:tcW w:w="198" w:type="pct"/>
            <w:vMerge/>
            <w:shd w:val="clear" w:color="auto" w:fill="F2F2F2"/>
            <w:vAlign w:val="center"/>
          </w:tcPr>
          <w:p w14:paraId="76D2E64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13D91B3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0AF5FCB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19EC323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154E99D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037048E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05A9E5E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61E52E1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30265FD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4B38282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446A3B76"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25" w:type="pct"/>
            <w:vMerge/>
            <w:shd w:val="clear" w:color="auto" w:fill="F2F2F2"/>
            <w:vAlign w:val="center"/>
          </w:tcPr>
          <w:p w14:paraId="3A77F409"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shd w:val="clear" w:color="auto" w:fill="F2F2F2"/>
            <w:vAlign w:val="center"/>
          </w:tcPr>
          <w:p w14:paraId="26D9D2C4"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shd w:val="clear" w:color="auto" w:fill="F2F2F2"/>
            <w:vAlign w:val="center"/>
          </w:tcPr>
          <w:p w14:paraId="0D776659"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00" w:type="pct"/>
            <w:vMerge/>
            <w:shd w:val="clear" w:color="auto" w:fill="F2F2F2"/>
            <w:vAlign w:val="center"/>
          </w:tcPr>
          <w:p w14:paraId="389E2033"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78" w:type="pct"/>
            <w:vMerge/>
            <w:shd w:val="clear" w:color="auto" w:fill="F2F2F2"/>
            <w:vAlign w:val="center"/>
          </w:tcPr>
          <w:p w14:paraId="25462363"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430C13F2" w14:textId="77777777" w:rsidTr="007F4F08">
        <w:trPr>
          <w:trHeight w:val="315"/>
        </w:trPr>
        <w:tc>
          <w:tcPr>
            <w:tcW w:w="198" w:type="pct"/>
            <w:shd w:val="clear" w:color="auto" w:fill="F2F2F2"/>
            <w:vAlign w:val="center"/>
          </w:tcPr>
          <w:p w14:paraId="38DD815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V.</w:t>
            </w:r>
          </w:p>
        </w:tc>
        <w:tc>
          <w:tcPr>
            <w:tcW w:w="198" w:type="pct"/>
            <w:shd w:val="clear" w:color="auto" w:fill="F2F2F2"/>
            <w:textDirection w:val="btLr"/>
            <w:vAlign w:val="center"/>
          </w:tcPr>
          <w:p w14:paraId="24B8410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394" w:type="pct"/>
            <w:gridSpan w:val="2"/>
            <w:shd w:val="clear" w:color="auto" w:fill="F2F2F2"/>
            <w:vAlign w:val="center"/>
          </w:tcPr>
          <w:p w14:paraId="4BA3492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119" w:type="pct"/>
            <w:vMerge/>
            <w:shd w:val="clear" w:color="auto" w:fill="F2F2F2"/>
            <w:vAlign w:val="center"/>
          </w:tcPr>
          <w:p w14:paraId="523A9CC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shd w:val="clear" w:color="auto" w:fill="F2F2F2"/>
            <w:vAlign w:val="center"/>
          </w:tcPr>
          <w:p w14:paraId="2D9CA9C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5 009 700 000</w:t>
            </w:r>
          </w:p>
        </w:tc>
        <w:tc>
          <w:tcPr>
            <w:tcW w:w="300" w:type="pct"/>
            <w:shd w:val="clear" w:color="auto" w:fill="F2F2F2"/>
            <w:vAlign w:val="center"/>
          </w:tcPr>
          <w:p w14:paraId="6E29EEF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884 064 706</w:t>
            </w:r>
          </w:p>
        </w:tc>
        <w:tc>
          <w:tcPr>
            <w:tcW w:w="412" w:type="pct"/>
            <w:shd w:val="clear" w:color="auto" w:fill="F2F2F2"/>
            <w:vAlign w:val="center"/>
          </w:tcPr>
          <w:p w14:paraId="59C151F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884 064 706</w:t>
            </w:r>
          </w:p>
        </w:tc>
        <w:tc>
          <w:tcPr>
            <w:tcW w:w="312" w:type="pct"/>
            <w:shd w:val="clear" w:color="auto" w:fill="F2F2F2"/>
            <w:vAlign w:val="center"/>
          </w:tcPr>
          <w:p w14:paraId="68737C9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35" w:type="pct"/>
            <w:shd w:val="clear" w:color="auto" w:fill="F2F2F2"/>
            <w:vAlign w:val="center"/>
          </w:tcPr>
          <w:p w14:paraId="317F048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5 893 764 706</w:t>
            </w:r>
          </w:p>
        </w:tc>
        <w:tc>
          <w:tcPr>
            <w:tcW w:w="287" w:type="pct"/>
            <w:shd w:val="clear" w:color="auto" w:fill="F2F2F2"/>
            <w:vAlign w:val="center"/>
          </w:tcPr>
          <w:p w14:paraId="70DE2CF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shd w:val="clear" w:color="auto" w:fill="F2F2F2"/>
            <w:vAlign w:val="center"/>
          </w:tcPr>
          <w:p w14:paraId="16703C8D"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570 000 000</w:t>
            </w:r>
          </w:p>
        </w:tc>
        <w:tc>
          <w:tcPr>
            <w:tcW w:w="325" w:type="pct"/>
            <w:shd w:val="clear" w:color="auto" w:fill="F2F2F2"/>
            <w:vAlign w:val="center"/>
          </w:tcPr>
          <w:p w14:paraId="6ACFBCDF"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4 695 156 488</w:t>
            </w:r>
          </w:p>
        </w:tc>
        <w:tc>
          <w:tcPr>
            <w:tcW w:w="412" w:type="pct"/>
            <w:shd w:val="clear" w:color="auto" w:fill="F2F2F2"/>
            <w:vAlign w:val="center"/>
          </w:tcPr>
          <w:p w14:paraId="3E8D9413"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828 557 027</w:t>
            </w:r>
          </w:p>
        </w:tc>
        <w:tc>
          <w:tcPr>
            <w:tcW w:w="270" w:type="pct"/>
            <w:shd w:val="clear" w:color="auto" w:fill="F2F2F2"/>
            <w:vAlign w:val="center"/>
          </w:tcPr>
          <w:p w14:paraId="58766774"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314 543 512</w:t>
            </w:r>
          </w:p>
        </w:tc>
        <w:tc>
          <w:tcPr>
            <w:tcW w:w="400" w:type="pct"/>
            <w:shd w:val="clear" w:color="auto" w:fill="F2F2F2"/>
            <w:vAlign w:val="center"/>
          </w:tcPr>
          <w:p w14:paraId="516BC314"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55 507 679</w:t>
            </w:r>
          </w:p>
        </w:tc>
        <w:tc>
          <w:tcPr>
            <w:tcW w:w="378" w:type="pct"/>
            <w:shd w:val="clear" w:color="auto" w:fill="F2F2F2"/>
            <w:vAlign w:val="center"/>
          </w:tcPr>
          <w:p w14:paraId="2E27AC5C"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6,28%</w:t>
            </w:r>
          </w:p>
        </w:tc>
      </w:tr>
      <w:tr w:rsidR="00182FC1" w:rsidRPr="004E3242" w14:paraId="36CFE07E" w14:textId="77777777" w:rsidTr="007F4F08">
        <w:trPr>
          <w:trHeight w:val="315"/>
        </w:trPr>
        <w:tc>
          <w:tcPr>
            <w:tcW w:w="198" w:type="pct"/>
            <w:shd w:val="clear" w:color="auto" w:fill="F2F2F2"/>
            <w:vAlign w:val="center"/>
          </w:tcPr>
          <w:p w14:paraId="4166128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VI.</w:t>
            </w:r>
          </w:p>
        </w:tc>
        <w:tc>
          <w:tcPr>
            <w:tcW w:w="198" w:type="pct"/>
            <w:shd w:val="clear" w:color="auto" w:fill="F2F2F2"/>
            <w:textDirection w:val="btLr"/>
            <w:vAlign w:val="center"/>
          </w:tcPr>
          <w:p w14:paraId="03E219F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394" w:type="pct"/>
            <w:gridSpan w:val="2"/>
            <w:shd w:val="clear" w:color="auto" w:fill="F2F2F2"/>
            <w:vAlign w:val="center"/>
          </w:tcPr>
          <w:p w14:paraId="140BE14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119" w:type="pct"/>
            <w:vMerge/>
            <w:shd w:val="clear" w:color="auto" w:fill="F2F2F2"/>
            <w:vAlign w:val="center"/>
          </w:tcPr>
          <w:p w14:paraId="26CEC0A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shd w:val="clear" w:color="auto" w:fill="F2F2F2"/>
            <w:vAlign w:val="center"/>
          </w:tcPr>
          <w:p w14:paraId="64C2A328" w14:textId="77777777" w:rsidR="00EB150E" w:rsidRDefault="00EB150E" w:rsidP="004E3242">
            <w:pPr>
              <w:spacing w:after="0" w:line="240" w:lineRule="auto"/>
              <w:jc w:val="center"/>
              <w:rPr>
                <w:rFonts w:ascii="Arial" w:eastAsia="Times New Roman" w:hAnsi="Arial" w:cs="Arial"/>
                <w:color w:val="000000"/>
                <w:sz w:val="16"/>
                <w:szCs w:val="16"/>
                <w:lang w:eastAsia="pl-PL"/>
              </w:rPr>
            </w:pPr>
            <w:bookmarkStart w:id="560" w:name="OLE_LINK58"/>
            <w:bookmarkStart w:id="561" w:name="OLE_LINK66"/>
            <w:bookmarkStart w:id="562" w:name="OLE_LINK70"/>
            <w:bookmarkStart w:id="563" w:name="OLE_LINK76"/>
            <w:r w:rsidRPr="00EB150E">
              <w:rPr>
                <w:rFonts w:ascii="Arial" w:eastAsia="Times New Roman" w:hAnsi="Arial" w:cs="Arial"/>
                <w:color w:val="000000"/>
                <w:sz w:val="16"/>
                <w:szCs w:val="16"/>
                <w:lang w:eastAsia="pl-PL"/>
              </w:rPr>
              <w:t>2 276 497</w:t>
            </w:r>
            <w:r>
              <w:rPr>
                <w:rFonts w:ascii="Arial" w:eastAsia="Times New Roman" w:hAnsi="Arial" w:cs="Arial"/>
                <w:color w:val="000000"/>
                <w:sz w:val="16"/>
                <w:szCs w:val="16"/>
                <w:lang w:eastAsia="pl-PL"/>
              </w:rPr>
              <w:t> </w:t>
            </w:r>
            <w:r w:rsidRPr="00EB150E">
              <w:rPr>
                <w:rFonts w:ascii="Arial" w:eastAsia="Times New Roman" w:hAnsi="Arial" w:cs="Arial"/>
                <w:color w:val="000000"/>
                <w:sz w:val="16"/>
                <w:szCs w:val="16"/>
                <w:lang w:eastAsia="pl-PL"/>
              </w:rPr>
              <w:t>630</w:t>
            </w:r>
          </w:p>
          <w:bookmarkEnd w:id="560"/>
          <w:bookmarkEnd w:id="561"/>
          <w:bookmarkEnd w:id="562"/>
          <w:bookmarkEnd w:id="563"/>
          <w:p w14:paraId="19FA2E7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shd w:val="clear" w:color="auto" w:fill="F2F2F2"/>
            <w:vAlign w:val="center"/>
          </w:tcPr>
          <w:p w14:paraId="2DD56B84" w14:textId="77777777" w:rsidR="00EB150E" w:rsidRDefault="00EB150E" w:rsidP="004E3242">
            <w:pPr>
              <w:spacing w:after="0" w:line="240" w:lineRule="auto"/>
              <w:jc w:val="center"/>
              <w:rPr>
                <w:rFonts w:ascii="Arial" w:eastAsia="Times New Roman" w:hAnsi="Arial" w:cs="Arial"/>
                <w:color w:val="000000"/>
                <w:sz w:val="16"/>
                <w:szCs w:val="16"/>
                <w:lang w:eastAsia="pl-PL"/>
              </w:rPr>
            </w:pPr>
            <w:bookmarkStart w:id="564" w:name="OLE_LINK67"/>
            <w:r w:rsidRPr="00EB150E">
              <w:rPr>
                <w:rFonts w:ascii="Arial" w:eastAsia="Times New Roman" w:hAnsi="Arial" w:cs="Arial"/>
                <w:color w:val="000000"/>
                <w:sz w:val="16"/>
                <w:szCs w:val="16"/>
                <w:lang w:eastAsia="pl-PL"/>
              </w:rPr>
              <w:t>401 734</w:t>
            </w:r>
            <w:r>
              <w:rPr>
                <w:rFonts w:ascii="Arial" w:eastAsia="Times New Roman" w:hAnsi="Arial" w:cs="Arial"/>
                <w:color w:val="000000"/>
                <w:sz w:val="16"/>
                <w:szCs w:val="16"/>
                <w:lang w:eastAsia="pl-PL"/>
              </w:rPr>
              <w:t> </w:t>
            </w:r>
            <w:r w:rsidRPr="00EB150E">
              <w:rPr>
                <w:rFonts w:ascii="Arial" w:eastAsia="Times New Roman" w:hAnsi="Arial" w:cs="Arial"/>
                <w:color w:val="000000"/>
                <w:sz w:val="16"/>
                <w:szCs w:val="16"/>
                <w:lang w:eastAsia="pl-PL"/>
              </w:rPr>
              <w:t>876</w:t>
            </w:r>
          </w:p>
          <w:bookmarkEnd w:id="564"/>
          <w:p w14:paraId="6F8A6A1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shd w:val="clear" w:color="auto" w:fill="F2F2F2"/>
            <w:vAlign w:val="center"/>
          </w:tcPr>
          <w:p w14:paraId="2C14C49B" w14:textId="77777777" w:rsidR="00EB150E" w:rsidRDefault="00EB150E" w:rsidP="004E3242">
            <w:pPr>
              <w:spacing w:after="0" w:line="240" w:lineRule="auto"/>
              <w:jc w:val="center"/>
              <w:rPr>
                <w:rFonts w:ascii="Arial" w:eastAsia="Times New Roman" w:hAnsi="Arial" w:cs="Arial"/>
                <w:color w:val="000000"/>
                <w:sz w:val="16"/>
                <w:szCs w:val="16"/>
                <w:lang w:eastAsia="pl-PL"/>
              </w:rPr>
            </w:pPr>
            <w:r w:rsidRPr="00EB150E">
              <w:rPr>
                <w:rFonts w:ascii="Arial" w:eastAsia="Times New Roman" w:hAnsi="Arial" w:cs="Arial"/>
                <w:color w:val="000000"/>
                <w:sz w:val="16"/>
                <w:szCs w:val="16"/>
                <w:lang w:eastAsia="pl-PL"/>
              </w:rPr>
              <w:t>401 734</w:t>
            </w:r>
            <w:r>
              <w:rPr>
                <w:rFonts w:ascii="Arial" w:eastAsia="Times New Roman" w:hAnsi="Arial" w:cs="Arial"/>
                <w:color w:val="000000"/>
                <w:sz w:val="16"/>
                <w:szCs w:val="16"/>
                <w:lang w:eastAsia="pl-PL"/>
              </w:rPr>
              <w:t> </w:t>
            </w:r>
            <w:r w:rsidRPr="00EB150E">
              <w:rPr>
                <w:rFonts w:ascii="Arial" w:eastAsia="Times New Roman" w:hAnsi="Arial" w:cs="Arial"/>
                <w:color w:val="000000"/>
                <w:sz w:val="16"/>
                <w:szCs w:val="16"/>
                <w:lang w:eastAsia="pl-PL"/>
              </w:rPr>
              <w:t>876</w:t>
            </w:r>
          </w:p>
          <w:p w14:paraId="33C7367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shd w:val="clear" w:color="auto" w:fill="F2F2F2"/>
            <w:vAlign w:val="center"/>
          </w:tcPr>
          <w:p w14:paraId="7C8149F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35" w:type="pct"/>
            <w:shd w:val="clear" w:color="auto" w:fill="F2F2F2"/>
            <w:vAlign w:val="center"/>
          </w:tcPr>
          <w:p w14:paraId="0700A284" w14:textId="77777777" w:rsidR="00EB150E" w:rsidRDefault="00EB150E" w:rsidP="004E3242">
            <w:pPr>
              <w:spacing w:after="0" w:line="240" w:lineRule="auto"/>
              <w:jc w:val="center"/>
              <w:rPr>
                <w:rFonts w:ascii="Arial" w:eastAsia="Times New Roman" w:hAnsi="Arial" w:cs="Arial"/>
                <w:color w:val="000000"/>
                <w:sz w:val="16"/>
                <w:szCs w:val="16"/>
                <w:lang w:eastAsia="pl-PL"/>
              </w:rPr>
            </w:pPr>
            <w:r w:rsidRPr="00EB150E">
              <w:rPr>
                <w:rFonts w:ascii="Arial" w:eastAsia="Times New Roman" w:hAnsi="Arial" w:cs="Arial"/>
                <w:color w:val="000000"/>
                <w:sz w:val="16"/>
                <w:szCs w:val="16"/>
                <w:lang w:eastAsia="pl-PL"/>
              </w:rPr>
              <w:t>2 678 232</w:t>
            </w:r>
            <w:r>
              <w:rPr>
                <w:rFonts w:ascii="Arial" w:eastAsia="Times New Roman" w:hAnsi="Arial" w:cs="Arial"/>
                <w:color w:val="000000"/>
                <w:sz w:val="16"/>
                <w:szCs w:val="16"/>
                <w:lang w:eastAsia="pl-PL"/>
              </w:rPr>
              <w:t> </w:t>
            </w:r>
            <w:r w:rsidRPr="00EB150E">
              <w:rPr>
                <w:rFonts w:ascii="Arial" w:eastAsia="Times New Roman" w:hAnsi="Arial" w:cs="Arial"/>
                <w:color w:val="000000"/>
                <w:sz w:val="16"/>
                <w:szCs w:val="16"/>
                <w:lang w:eastAsia="pl-PL"/>
              </w:rPr>
              <w:t>506</w:t>
            </w:r>
          </w:p>
          <w:p w14:paraId="3E67649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shd w:val="clear" w:color="auto" w:fill="F2F2F2"/>
            <w:vAlign w:val="center"/>
          </w:tcPr>
          <w:p w14:paraId="1F89D48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shd w:val="clear" w:color="auto" w:fill="F2F2F2"/>
            <w:vAlign w:val="center"/>
          </w:tcPr>
          <w:p w14:paraId="05AA6429"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shd w:val="clear" w:color="auto" w:fill="F2F2F2"/>
            <w:vAlign w:val="center"/>
          </w:tcPr>
          <w:p w14:paraId="74D11FB4" w14:textId="77777777" w:rsidR="00D31FAD" w:rsidRDefault="00D31FAD" w:rsidP="004E3242">
            <w:pPr>
              <w:spacing w:after="0" w:line="240" w:lineRule="auto"/>
              <w:jc w:val="center"/>
              <w:rPr>
                <w:rFonts w:ascii="Arial" w:eastAsia="Times New Roman" w:hAnsi="Arial" w:cs="Arial"/>
                <w:sz w:val="16"/>
                <w:szCs w:val="16"/>
                <w:lang w:eastAsia="pl-PL"/>
              </w:rPr>
            </w:pPr>
            <w:r w:rsidRPr="00D31FAD">
              <w:rPr>
                <w:rFonts w:ascii="Arial" w:eastAsia="Times New Roman" w:hAnsi="Arial" w:cs="Arial"/>
                <w:sz w:val="16"/>
                <w:szCs w:val="16"/>
                <w:lang w:eastAsia="pl-PL"/>
              </w:rPr>
              <w:t>2 132 139</w:t>
            </w:r>
            <w:r>
              <w:rPr>
                <w:rFonts w:ascii="Arial" w:eastAsia="Times New Roman" w:hAnsi="Arial" w:cs="Arial"/>
                <w:sz w:val="16"/>
                <w:szCs w:val="16"/>
                <w:lang w:eastAsia="pl-PL"/>
              </w:rPr>
              <w:t> </w:t>
            </w:r>
            <w:r w:rsidRPr="00D31FAD">
              <w:rPr>
                <w:rFonts w:ascii="Arial" w:eastAsia="Times New Roman" w:hAnsi="Arial" w:cs="Arial"/>
                <w:sz w:val="16"/>
                <w:szCs w:val="16"/>
                <w:lang w:eastAsia="pl-PL"/>
              </w:rPr>
              <w:t>025</w:t>
            </w:r>
          </w:p>
          <w:p w14:paraId="15BA400B"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shd w:val="clear" w:color="auto" w:fill="F2F2F2"/>
            <w:vAlign w:val="center"/>
          </w:tcPr>
          <w:p w14:paraId="25379F05" w14:textId="77777777" w:rsidR="0034281D" w:rsidRDefault="0034281D" w:rsidP="004E3242">
            <w:pPr>
              <w:spacing w:after="0" w:line="240" w:lineRule="auto"/>
              <w:jc w:val="center"/>
              <w:rPr>
                <w:rFonts w:ascii="Arial" w:eastAsia="Times New Roman" w:hAnsi="Arial" w:cs="Arial"/>
                <w:sz w:val="16"/>
                <w:szCs w:val="16"/>
                <w:lang w:eastAsia="pl-PL"/>
              </w:rPr>
            </w:pPr>
            <w:r w:rsidRPr="0034281D">
              <w:rPr>
                <w:rFonts w:ascii="Arial" w:eastAsia="Times New Roman" w:hAnsi="Arial" w:cs="Arial"/>
                <w:sz w:val="16"/>
                <w:szCs w:val="16"/>
                <w:lang w:eastAsia="pl-PL"/>
              </w:rPr>
              <w:t>376 259</w:t>
            </w:r>
            <w:r>
              <w:rPr>
                <w:rFonts w:ascii="Arial" w:eastAsia="Times New Roman" w:hAnsi="Arial" w:cs="Arial"/>
                <w:sz w:val="16"/>
                <w:szCs w:val="16"/>
                <w:lang w:eastAsia="pl-PL"/>
              </w:rPr>
              <w:t> </w:t>
            </w:r>
            <w:r w:rsidRPr="0034281D">
              <w:rPr>
                <w:rFonts w:ascii="Arial" w:eastAsia="Times New Roman" w:hAnsi="Arial" w:cs="Arial"/>
                <w:sz w:val="16"/>
                <w:szCs w:val="16"/>
                <w:lang w:eastAsia="pl-PL"/>
              </w:rPr>
              <w:t>828</w:t>
            </w:r>
          </w:p>
          <w:p w14:paraId="61DC3F0F"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shd w:val="clear" w:color="auto" w:fill="F2F2F2"/>
            <w:vAlign w:val="center"/>
          </w:tcPr>
          <w:p w14:paraId="596BFDC9"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144 358 605</w:t>
            </w:r>
          </w:p>
        </w:tc>
        <w:tc>
          <w:tcPr>
            <w:tcW w:w="400" w:type="pct"/>
            <w:shd w:val="clear" w:color="auto" w:fill="F2F2F2"/>
            <w:vAlign w:val="center"/>
          </w:tcPr>
          <w:p w14:paraId="1EF3F1F8"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25 475 048</w:t>
            </w:r>
          </w:p>
        </w:tc>
        <w:tc>
          <w:tcPr>
            <w:tcW w:w="378" w:type="pct"/>
            <w:shd w:val="clear" w:color="auto" w:fill="F2F2F2"/>
            <w:vAlign w:val="center"/>
          </w:tcPr>
          <w:p w14:paraId="0F968ACB" w14:textId="77777777" w:rsidR="002278B0" w:rsidRDefault="002278B0" w:rsidP="004E3242">
            <w:pPr>
              <w:spacing w:after="0" w:line="240" w:lineRule="auto"/>
              <w:jc w:val="center"/>
              <w:rPr>
                <w:rFonts w:ascii="Arial" w:eastAsia="Times New Roman" w:hAnsi="Arial" w:cs="Arial"/>
                <w:sz w:val="16"/>
                <w:szCs w:val="16"/>
                <w:lang w:eastAsia="pl-PL"/>
              </w:rPr>
            </w:pPr>
            <w:r w:rsidRPr="002278B0">
              <w:rPr>
                <w:rFonts w:ascii="Arial" w:eastAsia="Times New Roman" w:hAnsi="Arial" w:cs="Arial"/>
                <w:sz w:val="16"/>
                <w:szCs w:val="16"/>
                <w:lang w:eastAsia="pl-PL"/>
              </w:rPr>
              <w:t>6,34%</w:t>
            </w:r>
          </w:p>
          <w:p w14:paraId="1D573D1A"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6D7E6F4F" w14:textId="77777777" w:rsidTr="007F4F08">
        <w:trPr>
          <w:trHeight w:val="300"/>
        </w:trPr>
        <w:tc>
          <w:tcPr>
            <w:tcW w:w="198" w:type="pct"/>
            <w:vMerge w:val="restart"/>
            <w:shd w:val="clear" w:color="auto" w:fill="F2F2F2"/>
            <w:vAlign w:val="center"/>
          </w:tcPr>
          <w:p w14:paraId="5FE417A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VII.</w:t>
            </w:r>
          </w:p>
        </w:tc>
        <w:tc>
          <w:tcPr>
            <w:tcW w:w="198" w:type="pct"/>
            <w:vMerge w:val="restart"/>
            <w:shd w:val="clear" w:color="auto" w:fill="F2F2F2"/>
            <w:textDirection w:val="btLr"/>
            <w:vAlign w:val="center"/>
          </w:tcPr>
          <w:p w14:paraId="4C6BCE9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394" w:type="pct"/>
            <w:gridSpan w:val="2"/>
            <w:vMerge w:val="restart"/>
            <w:shd w:val="clear" w:color="auto" w:fill="F2F2F2"/>
            <w:textDirection w:val="btLr"/>
            <w:vAlign w:val="center"/>
          </w:tcPr>
          <w:p w14:paraId="5EE037F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119" w:type="pct"/>
            <w:vMerge/>
            <w:shd w:val="clear" w:color="auto" w:fill="F2F2F2"/>
            <w:vAlign w:val="center"/>
          </w:tcPr>
          <w:p w14:paraId="5ACED2E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4B7E6E5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971 806 937</w:t>
            </w:r>
          </w:p>
        </w:tc>
        <w:tc>
          <w:tcPr>
            <w:tcW w:w="300" w:type="pct"/>
            <w:vMerge w:val="restart"/>
            <w:shd w:val="clear" w:color="auto" w:fill="F2F2F2"/>
            <w:vAlign w:val="center"/>
          </w:tcPr>
          <w:p w14:paraId="4C5AF74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171 495 343</w:t>
            </w:r>
          </w:p>
        </w:tc>
        <w:tc>
          <w:tcPr>
            <w:tcW w:w="412" w:type="pct"/>
            <w:vMerge w:val="restart"/>
            <w:shd w:val="clear" w:color="auto" w:fill="F2F2F2"/>
            <w:vAlign w:val="center"/>
          </w:tcPr>
          <w:p w14:paraId="58CE826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12" w:type="pct"/>
            <w:vMerge w:val="restart"/>
            <w:shd w:val="clear" w:color="auto" w:fill="F2F2F2"/>
            <w:vAlign w:val="center"/>
          </w:tcPr>
          <w:p w14:paraId="056D175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171 495 343</w:t>
            </w:r>
          </w:p>
        </w:tc>
        <w:tc>
          <w:tcPr>
            <w:tcW w:w="335" w:type="pct"/>
            <w:vMerge w:val="restart"/>
            <w:shd w:val="clear" w:color="auto" w:fill="F2F2F2"/>
            <w:vAlign w:val="center"/>
          </w:tcPr>
          <w:p w14:paraId="452606E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1 143 302 280</w:t>
            </w:r>
          </w:p>
        </w:tc>
        <w:tc>
          <w:tcPr>
            <w:tcW w:w="287" w:type="pct"/>
            <w:vMerge w:val="restart"/>
            <w:shd w:val="clear" w:color="auto" w:fill="F2F2F2"/>
            <w:vAlign w:val="center"/>
          </w:tcPr>
          <w:p w14:paraId="5EE2B32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vMerge w:val="restart"/>
            <w:shd w:val="clear" w:color="auto" w:fill="F2F2F2"/>
            <w:vAlign w:val="center"/>
          </w:tcPr>
          <w:p w14:paraId="39FF37E8"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vMerge w:val="restart"/>
            <w:shd w:val="clear" w:color="auto" w:fill="F2F2F2"/>
            <w:vAlign w:val="center"/>
          </w:tcPr>
          <w:p w14:paraId="0F10923B"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923 216 590</w:t>
            </w:r>
          </w:p>
        </w:tc>
        <w:tc>
          <w:tcPr>
            <w:tcW w:w="412" w:type="pct"/>
            <w:vMerge w:val="restart"/>
            <w:shd w:val="clear" w:color="auto" w:fill="F2F2F2"/>
            <w:vAlign w:val="center"/>
          </w:tcPr>
          <w:p w14:paraId="09C697D6"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162 920 576</w:t>
            </w:r>
          </w:p>
        </w:tc>
        <w:tc>
          <w:tcPr>
            <w:tcW w:w="270" w:type="pct"/>
            <w:vMerge w:val="restart"/>
            <w:shd w:val="clear" w:color="auto" w:fill="F2F2F2"/>
            <w:vAlign w:val="center"/>
          </w:tcPr>
          <w:p w14:paraId="22BB9B46"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48 590 347</w:t>
            </w:r>
          </w:p>
        </w:tc>
        <w:tc>
          <w:tcPr>
            <w:tcW w:w="400" w:type="pct"/>
            <w:vMerge w:val="restart"/>
            <w:shd w:val="clear" w:color="auto" w:fill="F2F2F2"/>
            <w:vAlign w:val="center"/>
          </w:tcPr>
          <w:p w14:paraId="12409E8E"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8 574 767</w:t>
            </w:r>
          </w:p>
        </w:tc>
        <w:tc>
          <w:tcPr>
            <w:tcW w:w="378" w:type="pct"/>
            <w:vMerge w:val="restart"/>
            <w:shd w:val="clear" w:color="auto" w:fill="F2F2F2"/>
            <w:vAlign w:val="center"/>
          </w:tcPr>
          <w:p w14:paraId="540F640F"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5,00%</w:t>
            </w:r>
          </w:p>
        </w:tc>
      </w:tr>
      <w:tr w:rsidR="00182FC1" w:rsidRPr="004E3242" w14:paraId="493DB171" w14:textId="77777777" w:rsidTr="007F4F08">
        <w:trPr>
          <w:trHeight w:val="315"/>
        </w:trPr>
        <w:tc>
          <w:tcPr>
            <w:tcW w:w="198" w:type="pct"/>
            <w:vMerge/>
            <w:shd w:val="clear" w:color="auto" w:fill="F2F2F2"/>
            <w:vAlign w:val="center"/>
          </w:tcPr>
          <w:p w14:paraId="26811E1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426B291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2414836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42016EF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4C0AD93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573AF00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0B167A4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785EECA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6CA9DF9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4BF2A54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36BC5CE8"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25" w:type="pct"/>
            <w:vMerge/>
            <w:shd w:val="clear" w:color="auto" w:fill="F2F2F2"/>
            <w:vAlign w:val="center"/>
          </w:tcPr>
          <w:p w14:paraId="7344F344"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shd w:val="clear" w:color="auto" w:fill="F2F2F2"/>
            <w:vAlign w:val="center"/>
          </w:tcPr>
          <w:p w14:paraId="37356061"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shd w:val="clear" w:color="auto" w:fill="F2F2F2"/>
            <w:vAlign w:val="center"/>
          </w:tcPr>
          <w:p w14:paraId="15BF39A4"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00" w:type="pct"/>
            <w:vMerge/>
            <w:shd w:val="clear" w:color="auto" w:fill="F2F2F2"/>
            <w:vAlign w:val="center"/>
          </w:tcPr>
          <w:p w14:paraId="6412F83B"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78" w:type="pct"/>
            <w:vMerge/>
            <w:shd w:val="clear" w:color="auto" w:fill="F2F2F2"/>
            <w:vAlign w:val="center"/>
          </w:tcPr>
          <w:p w14:paraId="46C9DD5A"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2648EDEB" w14:textId="77777777" w:rsidTr="007F4F08">
        <w:trPr>
          <w:trHeight w:val="635"/>
        </w:trPr>
        <w:tc>
          <w:tcPr>
            <w:tcW w:w="198" w:type="pct"/>
            <w:vMerge/>
            <w:shd w:val="clear" w:color="auto" w:fill="F2F2F2"/>
            <w:vAlign w:val="center"/>
          </w:tcPr>
          <w:p w14:paraId="5ECD1D8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7DF2D04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shd w:val="clear" w:color="auto" w:fill="F2F2F2"/>
            <w:textDirection w:val="btLr"/>
            <w:vAlign w:val="center"/>
          </w:tcPr>
          <w:p w14:paraId="672E41B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119" w:type="pct"/>
            <w:vMerge/>
            <w:shd w:val="clear" w:color="auto" w:fill="F2F2F2"/>
            <w:vAlign w:val="center"/>
          </w:tcPr>
          <w:p w14:paraId="749CBDC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shd w:val="clear" w:color="auto" w:fill="F2F2F2"/>
            <w:vAlign w:val="center"/>
          </w:tcPr>
          <w:p w14:paraId="3C2A995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28 193 063</w:t>
            </w:r>
          </w:p>
        </w:tc>
        <w:tc>
          <w:tcPr>
            <w:tcW w:w="300" w:type="pct"/>
            <w:shd w:val="clear" w:color="auto" w:fill="F2F2F2"/>
            <w:vAlign w:val="center"/>
          </w:tcPr>
          <w:p w14:paraId="4949BB9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7 048 266</w:t>
            </w:r>
          </w:p>
        </w:tc>
        <w:tc>
          <w:tcPr>
            <w:tcW w:w="412" w:type="pct"/>
            <w:shd w:val="clear" w:color="auto" w:fill="F2F2F2"/>
            <w:vAlign w:val="center"/>
          </w:tcPr>
          <w:p w14:paraId="2CAE0B3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12" w:type="pct"/>
            <w:shd w:val="clear" w:color="auto" w:fill="F2F2F2"/>
            <w:vAlign w:val="center"/>
          </w:tcPr>
          <w:p w14:paraId="2BF0E66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7 048 266</w:t>
            </w:r>
          </w:p>
        </w:tc>
        <w:tc>
          <w:tcPr>
            <w:tcW w:w="335" w:type="pct"/>
            <w:shd w:val="clear" w:color="auto" w:fill="F2F2F2"/>
            <w:vAlign w:val="center"/>
          </w:tcPr>
          <w:p w14:paraId="53C45B8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35 241 329</w:t>
            </w:r>
          </w:p>
        </w:tc>
        <w:tc>
          <w:tcPr>
            <w:tcW w:w="287" w:type="pct"/>
            <w:shd w:val="clear" w:color="auto" w:fill="F2F2F2"/>
            <w:vAlign w:val="center"/>
          </w:tcPr>
          <w:p w14:paraId="2EF74C6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w:t>
            </w:r>
          </w:p>
        </w:tc>
        <w:tc>
          <w:tcPr>
            <w:tcW w:w="352" w:type="pct"/>
            <w:shd w:val="clear" w:color="auto" w:fill="F2F2F2"/>
            <w:vAlign w:val="center"/>
          </w:tcPr>
          <w:p w14:paraId="603A5AB7"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shd w:val="clear" w:color="auto" w:fill="F2F2F2"/>
            <w:vAlign w:val="center"/>
          </w:tcPr>
          <w:p w14:paraId="39B6F5C6"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26 783 409</w:t>
            </w:r>
          </w:p>
        </w:tc>
        <w:tc>
          <w:tcPr>
            <w:tcW w:w="412" w:type="pct"/>
            <w:shd w:val="clear" w:color="auto" w:fill="F2F2F2"/>
            <w:vAlign w:val="center"/>
          </w:tcPr>
          <w:p w14:paraId="3AFF77DC"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6 695 852</w:t>
            </w:r>
          </w:p>
        </w:tc>
        <w:tc>
          <w:tcPr>
            <w:tcW w:w="270" w:type="pct"/>
            <w:shd w:val="clear" w:color="auto" w:fill="F2F2F2"/>
            <w:vAlign w:val="center"/>
          </w:tcPr>
          <w:p w14:paraId="75A5FEF9"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1 409 654</w:t>
            </w:r>
          </w:p>
        </w:tc>
        <w:tc>
          <w:tcPr>
            <w:tcW w:w="400" w:type="pct"/>
            <w:shd w:val="clear" w:color="auto" w:fill="F2F2F2"/>
            <w:vAlign w:val="center"/>
          </w:tcPr>
          <w:p w14:paraId="7C337E4E"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352 414</w:t>
            </w:r>
          </w:p>
        </w:tc>
        <w:tc>
          <w:tcPr>
            <w:tcW w:w="378" w:type="pct"/>
            <w:shd w:val="clear" w:color="auto" w:fill="F2F2F2"/>
            <w:vAlign w:val="center"/>
          </w:tcPr>
          <w:p w14:paraId="5E816D3F"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5,00%</w:t>
            </w:r>
          </w:p>
        </w:tc>
      </w:tr>
      <w:tr w:rsidR="00182FC1" w:rsidRPr="004E3242" w14:paraId="7BEFDCFC" w14:textId="77777777" w:rsidTr="007F4F08">
        <w:trPr>
          <w:trHeight w:val="300"/>
        </w:trPr>
        <w:tc>
          <w:tcPr>
            <w:tcW w:w="198" w:type="pct"/>
            <w:vMerge w:val="restart"/>
            <w:shd w:val="clear" w:color="auto" w:fill="F2F2F2"/>
            <w:vAlign w:val="center"/>
          </w:tcPr>
          <w:p w14:paraId="56DC16A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VIII.</w:t>
            </w:r>
          </w:p>
        </w:tc>
        <w:tc>
          <w:tcPr>
            <w:tcW w:w="198" w:type="pct"/>
            <w:vMerge w:val="restart"/>
            <w:shd w:val="clear" w:color="auto" w:fill="F2F2F2"/>
            <w:textDirection w:val="btLr"/>
            <w:vAlign w:val="center"/>
          </w:tcPr>
          <w:p w14:paraId="545DED0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394" w:type="pct"/>
            <w:gridSpan w:val="2"/>
            <w:vMerge w:val="restart"/>
            <w:shd w:val="clear" w:color="auto" w:fill="F2F2F2"/>
            <w:textDirection w:val="btLr"/>
            <w:vAlign w:val="center"/>
          </w:tcPr>
          <w:p w14:paraId="325B99C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119" w:type="pct"/>
            <w:vMerge/>
            <w:shd w:val="clear" w:color="auto" w:fill="F2F2F2"/>
            <w:vAlign w:val="center"/>
          </w:tcPr>
          <w:p w14:paraId="7F2879B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4ED2EB7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416 540 167</w:t>
            </w:r>
          </w:p>
        </w:tc>
        <w:tc>
          <w:tcPr>
            <w:tcW w:w="300" w:type="pct"/>
            <w:vMerge w:val="restart"/>
            <w:shd w:val="clear" w:color="auto" w:fill="F2F2F2"/>
            <w:vAlign w:val="center"/>
          </w:tcPr>
          <w:p w14:paraId="0CA07A9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73 507 090</w:t>
            </w:r>
          </w:p>
        </w:tc>
        <w:tc>
          <w:tcPr>
            <w:tcW w:w="412" w:type="pct"/>
            <w:vMerge w:val="restart"/>
            <w:shd w:val="clear" w:color="auto" w:fill="F2F2F2"/>
            <w:vAlign w:val="center"/>
          </w:tcPr>
          <w:p w14:paraId="038ADEF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66 507 090</w:t>
            </w:r>
          </w:p>
        </w:tc>
        <w:tc>
          <w:tcPr>
            <w:tcW w:w="312" w:type="pct"/>
            <w:vMerge w:val="restart"/>
            <w:shd w:val="clear" w:color="auto" w:fill="F2F2F2"/>
            <w:vAlign w:val="center"/>
          </w:tcPr>
          <w:p w14:paraId="0197D4B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7 000 000</w:t>
            </w:r>
          </w:p>
        </w:tc>
        <w:tc>
          <w:tcPr>
            <w:tcW w:w="335" w:type="pct"/>
            <w:vMerge w:val="restart"/>
            <w:shd w:val="clear" w:color="auto" w:fill="F2F2F2"/>
            <w:vAlign w:val="center"/>
          </w:tcPr>
          <w:p w14:paraId="38C7378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490 047 257</w:t>
            </w:r>
          </w:p>
        </w:tc>
        <w:tc>
          <w:tcPr>
            <w:tcW w:w="287" w:type="pct"/>
            <w:vMerge w:val="restart"/>
            <w:shd w:val="clear" w:color="auto" w:fill="F2F2F2"/>
            <w:vAlign w:val="center"/>
          </w:tcPr>
          <w:p w14:paraId="4DAB37B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vMerge w:val="restart"/>
            <w:shd w:val="clear" w:color="auto" w:fill="F2F2F2"/>
            <w:vAlign w:val="center"/>
          </w:tcPr>
          <w:p w14:paraId="3C84AFA9"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vMerge w:val="restart"/>
            <w:shd w:val="clear" w:color="auto" w:fill="F2F2F2"/>
            <w:vAlign w:val="center"/>
          </w:tcPr>
          <w:p w14:paraId="4953B3DF"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391 547 757</w:t>
            </w:r>
          </w:p>
        </w:tc>
        <w:tc>
          <w:tcPr>
            <w:tcW w:w="412" w:type="pct"/>
            <w:vMerge w:val="restart"/>
            <w:shd w:val="clear" w:color="auto" w:fill="F2F2F2"/>
            <w:vAlign w:val="center"/>
          </w:tcPr>
          <w:p w14:paraId="2B2844CF"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69 096 665</w:t>
            </w:r>
          </w:p>
        </w:tc>
        <w:tc>
          <w:tcPr>
            <w:tcW w:w="270" w:type="pct"/>
            <w:vMerge w:val="restart"/>
            <w:shd w:val="clear" w:color="auto" w:fill="F2F2F2"/>
            <w:vAlign w:val="center"/>
          </w:tcPr>
          <w:p w14:paraId="42E48806"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24 992 410</w:t>
            </w:r>
          </w:p>
        </w:tc>
        <w:tc>
          <w:tcPr>
            <w:tcW w:w="400" w:type="pct"/>
            <w:vMerge w:val="restart"/>
            <w:shd w:val="clear" w:color="auto" w:fill="F2F2F2"/>
            <w:vAlign w:val="center"/>
          </w:tcPr>
          <w:p w14:paraId="54432B51"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4 410 425</w:t>
            </w:r>
          </w:p>
        </w:tc>
        <w:tc>
          <w:tcPr>
            <w:tcW w:w="378" w:type="pct"/>
            <w:vMerge w:val="restart"/>
            <w:shd w:val="clear" w:color="auto" w:fill="F2F2F2"/>
            <w:vAlign w:val="center"/>
          </w:tcPr>
          <w:p w14:paraId="2FE193CD"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6,00%</w:t>
            </w:r>
          </w:p>
        </w:tc>
      </w:tr>
      <w:tr w:rsidR="00182FC1" w:rsidRPr="004E3242" w14:paraId="2E4B7401" w14:textId="77777777" w:rsidTr="007F4F08">
        <w:trPr>
          <w:trHeight w:val="300"/>
        </w:trPr>
        <w:tc>
          <w:tcPr>
            <w:tcW w:w="198" w:type="pct"/>
            <w:vMerge/>
            <w:shd w:val="clear" w:color="auto" w:fill="F2F2F2"/>
            <w:vAlign w:val="center"/>
          </w:tcPr>
          <w:p w14:paraId="3BFDB49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0F07020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1AE52D8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6510078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32FDB96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4ABFA6A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3569FC0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3DF6C02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3E36A50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5166105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538D39FC"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25" w:type="pct"/>
            <w:vMerge/>
            <w:shd w:val="clear" w:color="auto" w:fill="F2F2F2"/>
            <w:vAlign w:val="center"/>
          </w:tcPr>
          <w:p w14:paraId="6BF65FB9"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shd w:val="clear" w:color="auto" w:fill="F2F2F2"/>
            <w:vAlign w:val="center"/>
          </w:tcPr>
          <w:p w14:paraId="65C31A9D"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shd w:val="clear" w:color="auto" w:fill="F2F2F2"/>
            <w:vAlign w:val="center"/>
          </w:tcPr>
          <w:p w14:paraId="08E0F425"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00" w:type="pct"/>
            <w:vMerge/>
            <w:shd w:val="clear" w:color="auto" w:fill="F2F2F2"/>
            <w:vAlign w:val="center"/>
          </w:tcPr>
          <w:p w14:paraId="3902F3A0"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78" w:type="pct"/>
            <w:vMerge/>
            <w:shd w:val="clear" w:color="auto" w:fill="F2F2F2"/>
            <w:vAlign w:val="center"/>
          </w:tcPr>
          <w:p w14:paraId="41492634"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1C93D41B" w14:textId="77777777" w:rsidTr="007F4F08">
        <w:trPr>
          <w:trHeight w:val="315"/>
        </w:trPr>
        <w:tc>
          <w:tcPr>
            <w:tcW w:w="198" w:type="pct"/>
            <w:vMerge/>
            <w:shd w:val="clear" w:color="auto" w:fill="F2F2F2"/>
            <w:vAlign w:val="center"/>
          </w:tcPr>
          <w:p w14:paraId="1FAE1F6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75F7B8D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3B7AE4B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74A483B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665DD16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3837590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3E5F17A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611ACDF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5C5C38F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590283C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5086ECB2"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25" w:type="pct"/>
            <w:vMerge/>
            <w:shd w:val="clear" w:color="auto" w:fill="F2F2F2"/>
            <w:vAlign w:val="center"/>
          </w:tcPr>
          <w:p w14:paraId="63333C5B"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12" w:type="pct"/>
            <w:vMerge/>
            <w:shd w:val="clear" w:color="auto" w:fill="F2F2F2"/>
            <w:vAlign w:val="center"/>
          </w:tcPr>
          <w:p w14:paraId="3F9F6B24"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270" w:type="pct"/>
            <w:vMerge/>
            <w:shd w:val="clear" w:color="auto" w:fill="F2F2F2"/>
            <w:vAlign w:val="center"/>
          </w:tcPr>
          <w:p w14:paraId="61DE161F"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400" w:type="pct"/>
            <w:vMerge/>
            <w:shd w:val="clear" w:color="auto" w:fill="F2F2F2"/>
            <w:vAlign w:val="center"/>
          </w:tcPr>
          <w:p w14:paraId="20039F7F"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c>
          <w:tcPr>
            <w:tcW w:w="378" w:type="pct"/>
            <w:vMerge/>
            <w:shd w:val="clear" w:color="auto" w:fill="F2F2F2"/>
            <w:vAlign w:val="center"/>
          </w:tcPr>
          <w:p w14:paraId="460A84C2" w14:textId="77777777" w:rsidR="004E3242" w:rsidRPr="004E3242" w:rsidRDefault="004E3242" w:rsidP="004E3242">
            <w:pPr>
              <w:spacing w:after="0" w:line="240" w:lineRule="auto"/>
              <w:jc w:val="center"/>
              <w:rPr>
                <w:rFonts w:ascii="Arial" w:eastAsia="Times New Roman" w:hAnsi="Arial" w:cs="Arial"/>
                <w:sz w:val="16"/>
                <w:szCs w:val="16"/>
                <w:lang w:eastAsia="pl-PL"/>
              </w:rPr>
            </w:pPr>
          </w:p>
        </w:tc>
      </w:tr>
      <w:tr w:rsidR="00182FC1" w:rsidRPr="004E3242" w14:paraId="56DC927F" w14:textId="77777777" w:rsidTr="007F4F08">
        <w:trPr>
          <w:trHeight w:val="635"/>
        </w:trPr>
        <w:tc>
          <w:tcPr>
            <w:tcW w:w="198" w:type="pct"/>
            <w:vMerge/>
            <w:shd w:val="clear" w:color="auto" w:fill="F2F2F2"/>
            <w:vAlign w:val="center"/>
          </w:tcPr>
          <w:p w14:paraId="6E3CCA2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2D250D4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shd w:val="clear" w:color="auto" w:fill="F2F2F2"/>
            <w:textDirection w:val="btLr"/>
            <w:vAlign w:val="center"/>
          </w:tcPr>
          <w:p w14:paraId="017BD44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119" w:type="pct"/>
            <w:vMerge/>
            <w:shd w:val="clear" w:color="auto" w:fill="F2F2F2"/>
            <w:vAlign w:val="center"/>
          </w:tcPr>
          <w:p w14:paraId="068BA66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shd w:val="clear" w:color="auto" w:fill="F2F2F2"/>
            <w:vAlign w:val="center"/>
          </w:tcPr>
          <w:p w14:paraId="367C560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50 759 833</w:t>
            </w:r>
          </w:p>
        </w:tc>
        <w:tc>
          <w:tcPr>
            <w:tcW w:w="300" w:type="pct"/>
            <w:shd w:val="clear" w:color="auto" w:fill="F2F2F2"/>
            <w:vAlign w:val="center"/>
          </w:tcPr>
          <w:p w14:paraId="5AFD12E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12 689 959</w:t>
            </w:r>
          </w:p>
        </w:tc>
        <w:tc>
          <w:tcPr>
            <w:tcW w:w="412" w:type="pct"/>
            <w:shd w:val="clear" w:color="auto" w:fill="F2F2F2"/>
            <w:vAlign w:val="center"/>
          </w:tcPr>
          <w:p w14:paraId="39CA358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12 689 959</w:t>
            </w:r>
          </w:p>
        </w:tc>
        <w:tc>
          <w:tcPr>
            <w:tcW w:w="312" w:type="pct"/>
            <w:shd w:val="clear" w:color="auto" w:fill="F2F2F2"/>
            <w:vAlign w:val="center"/>
          </w:tcPr>
          <w:p w14:paraId="1D7361B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35" w:type="pct"/>
            <w:shd w:val="clear" w:color="auto" w:fill="F2F2F2"/>
            <w:vAlign w:val="center"/>
          </w:tcPr>
          <w:p w14:paraId="6E77963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63 449 792</w:t>
            </w:r>
          </w:p>
        </w:tc>
        <w:tc>
          <w:tcPr>
            <w:tcW w:w="287" w:type="pct"/>
            <w:shd w:val="clear" w:color="auto" w:fill="F2F2F2"/>
            <w:vAlign w:val="center"/>
          </w:tcPr>
          <w:p w14:paraId="7CCBCBA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w:t>
            </w:r>
          </w:p>
        </w:tc>
        <w:tc>
          <w:tcPr>
            <w:tcW w:w="352" w:type="pct"/>
            <w:shd w:val="clear" w:color="auto" w:fill="F2F2F2"/>
            <w:vAlign w:val="center"/>
          </w:tcPr>
          <w:p w14:paraId="31507459"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w:t>
            </w:r>
          </w:p>
        </w:tc>
        <w:tc>
          <w:tcPr>
            <w:tcW w:w="325" w:type="pct"/>
            <w:shd w:val="clear" w:color="auto" w:fill="F2F2F2"/>
            <w:vAlign w:val="center"/>
          </w:tcPr>
          <w:p w14:paraId="768C5A76"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47 714 243</w:t>
            </w:r>
          </w:p>
        </w:tc>
        <w:tc>
          <w:tcPr>
            <w:tcW w:w="412" w:type="pct"/>
            <w:shd w:val="clear" w:color="auto" w:fill="F2F2F2"/>
            <w:vAlign w:val="center"/>
          </w:tcPr>
          <w:p w14:paraId="017762CC"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11 928 561</w:t>
            </w:r>
          </w:p>
        </w:tc>
        <w:tc>
          <w:tcPr>
            <w:tcW w:w="270" w:type="pct"/>
            <w:shd w:val="clear" w:color="auto" w:fill="F2F2F2"/>
            <w:vAlign w:val="center"/>
          </w:tcPr>
          <w:p w14:paraId="5C15DE63"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3 045 590</w:t>
            </w:r>
          </w:p>
        </w:tc>
        <w:tc>
          <w:tcPr>
            <w:tcW w:w="400" w:type="pct"/>
            <w:shd w:val="clear" w:color="auto" w:fill="F2F2F2"/>
            <w:vAlign w:val="center"/>
          </w:tcPr>
          <w:p w14:paraId="4E01513C"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761 398</w:t>
            </w:r>
          </w:p>
        </w:tc>
        <w:tc>
          <w:tcPr>
            <w:tcW w:w="378" w:type="pct"/>
            <w:shd w:val="clear" w:color="auto" w:fill="F2F2F2"/>
            <w:vAlign w:val="center"/>
          </w:tcPr>
          <w:p w14:paraId="239644DD" w14:textId="77777777" w:rsidR="004E3242" w:rsidRPr="004E3242" w:rsidRDefault="004E3242" w:rsidP="004E3242">
            <w:pPr>
              <w:spacing w:after="0" w:line="240" w:lineRule="auto"/>
              <w:jc w:val="center"/>
              <w:rPr>
                <w:rFonts w:ascii="Arial" w:eastAsia="Times New Roman" w:hAnsi="Arial" w:cs="Arial"/>
                <w:sz w:val="16"/>
                <w:szCs w:val="16"/>
                <w:lang w:eastAsia="pl-PL"/>
              </w:rPr>
            </w:pPr>
            <w:r w:rsidRPr="004E3242">
              <w:rPr>
                <w:rFonts w:ascii="Arial" w:eastAsia="Times New Roman" w:hAnsi="Arial" w:cs="Arial"/>
                <w:sz w:val="16"/>
                <w:szCs w:val="16"/>
                <w:lang w:eastAsia="pl-PL"/>
              </w:rPr>
              <w:t>6,00%</w:t>
            </w:r>
          </w:p>
        </w:tc>
      </w:tr>
      <w:tr w:rsidR="00182FC1" w:rsidRPr="004E3242" w14:paraId="5FFE82CB" w14:textId="77777777" w:rsidTr="007F4F08">
        <w:trPr>
          <w:trHeight w:val="300"/>
        </w:trPr>
        <w:tc>
          <w:tcPr>
            <w:tcW w:w="198" w:type="pct"/>
            <w:vMerge w:val="restart"/>
            <w:shd w:val="clear" w:color="auto" w:fill="F2F2F2"/>
            <w:vAlign w:val="center"/>
          </w:tcPr>
          <w:p w14:paraId="66ED058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IX.</w:t>
            </w:r>
          </w:p>
        </w:tc>
        <w:tc>
          <w:tcPr>
            <w:tcW w:w="198" w:type="pct"/>
            <w:vMerge w:val="restart"/>
            <w:shd w:val="clear" w:color="auto" w:fill="F2F2F2"/>
            <w:textDirection w:val="btLr"/>
            <w:vAlign w:val="center"/>
          </w:tcPr>
          <w:p w14:paraId="2DF9DB6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394" w:type="pct"/>
            <w:gridSpan w:val="2"/>
            <w:vMerge w:val="restart"/>
            <w:shd w:val="clear" w:color="auto" w:fill="F2F2F2"/>
            <w:textDirection w:val="btLr"/>
            <w:vAlign w:val="center"/>
          </w:tcPr>
          <w:p w14:paraId="656272E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119" w:type="pct"/>
            <w:vMerge/>
            <w:shd w:val="clear" w:color="auto" w:fill="F2F2F2"/>
            <w:vAlign w:val="center"/>
          </w:tcPr>
          <w:p w14:paraId="0CDDFCA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3B316CA1" w14:textId="77777777" w:rsidR="00F02EE7" w:rsidRDefault="00F02EE7" w:rsidP="00C0564B">
            <w:pPr>
              <w:spacing w:after="0" w:line="240" w:lineRule="auto"/>
              <w:jc w:val="center"/>
              <w:rPr>
                <w:rFonts w:ascii="Arial" w:eastAsia="Times New Roman" w:hAnsi="Arial" w:cs="Arial"/>
                <w:color w:val="000000"/>
                <w:sz w:val="16"/>
                <w:szCs w:val="16"/>
                <w:lang w:eastAsia="pl-PL"/>
              </w:rPr>
            </w:pPr>
            <w:bookmarkStart w:id="565" w:name="OLE_LINK60"/>
            <w:r w:rsidRPr="00F02EE7">
              <w:rPr>
                <w:rFonts w:ascii="Arial" w:eastAsia="Times New Roman" w:hAnsi="Arial" w:cs="Arial"/>
                <w:color w:val="000000"/>
                <w:sz w:val="16"/>
                <w:szCs w:val="16"/>
                <w:lang w:eastAsia="pl-PL"/>
              </w:rPr>
              <w:t>583 245</w:t>
            </w:r>
            <w:r>
              <w:rPr>
                <w:rFonts w:ascii="Arial" w:eastAsia="Times New Roman" w:hAnsi="Arial" w:cs="Arial"/>
                <w:color w:val="000000"/>
                <w:sz w:val="16"/>
                <w:szCs w:val="16"/>
                <w:lang w:eastAsia="pl-PL"/>
              </w:rPr>
              <w:t> </w:t>
            </w:r>
            <w:r w:rsidRPr="00F02EE7">
              <w:rPr>
                <w:rFonts w:ascii="Arial" w:eastAsia="Times New Roman" w:hAnsi="Arial" w:cs="Arial"/>
                <w:color w:val="000000"/>
                <w:sz w:val="16"/>
                <w:szCs w:val="16"/>
                <w:lang w:eastAsia="pl-PL"/>
              </w:rPr>
              <w:t>955</w:t>
            </w:r>
          </w:p>
          <w:bookmarkEnd w:id="565"/>
          <w:p w14:paraId="7221228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val="restart"/>
            <w:shd w:val="clear" w:color="auto" w:fill="F2F2F2"/>
            <w:vAlign w:val="center"/>
          </w:tcPr>
          <w:p w14:paraId="7C372853" w14:textId="77777777" w:rsidR="00F02EE7" w:rsidRDefault="00F02EE7" w:rsidP="00C0564B">
            <w:pPr>
              <w:spacing w:after="0" w:line="240" w:lineRule="auto"/>
              <w:jc w:val="center"/>
              <w:rPr>
                <w:rFonts w:ascii="Arial" w:eastAsia="Times New Roman" w:hAnsi="Arial" w:cs="Arial"/>
                <w:color w:val="000000"/>
                <w:sz w:val="16"/>
                <w:szCs w:val="16"/>
                <w:lang w:eastAsia="pl-PL"/>
              </w:rPr>
            </w:pPr>
            <w:bookmarkStart w:id="566" w:name="OLE_LINK62"/>
            <w:r w:rsidRPr="00F02EE7">
              <w:rPr>
                <w:rFonts w:ascii="Arial" w:eastAsia="Times New Roman" w:hAnsi="Arial" w:cs="Arial"/>
                <w:color w:val="000000"/>
                <w:sz w:val="16"/>
                <w:szCs w:val="16"/>
                <w:lang w:eastAsia="pl-PL"/>
              </w:rPr>
              <w:t>102 925</w:t>
            </w:r>
            <w:r>
              <w:rPr>
                <w:rFonts w:ascii="Arial" w:eastAsia="Times New Roman" w:hAnsi="Arial" w:cs="Arial"/>
                <w:color w:val="000000"/>
                <w:sz w:val="16"/>
                <w:szCs w:val="16"/>
                <w:lang w:eastAsia="pl-PL"/>
              </w:rPr>
              <w:t> </w:t>
            </w:r>
            <w:r w:rsidRPr="00F02EE7">
              <w:rPr>
                <w:rFonts w:ascii="Arial" w:eastAsia="Times New Roman" w:hAnsi="Arial" w:cs="Arial"/>
                <w:color w:val="000000"/>
                <w:sz w:val="16"/>
                <w:szCs w:val="16"/>
                <w:lang w:eastAsia="pl-PL"/>
              </w:rPr>
              <w:t>757</w:t>
            </w:r>
          </w:p>
          <w:bookmarkEnd w:id="566"/>
          <w:p w14:paraId="6B1305D7" w14:textId="77777777" w:rsidR="004E3242" w:rsidRPr="00C7110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53D3F587" w14:textId="77777777" w:rsidR="000C1ACE" w:rsidRDefault="000C1ACE" w:rsidP="00C0564B">
            <w:pPr>
              <w:spacing w:after="0" w:line="240" w:lineRule="auto"/>
              <w:jc w:val="center"/>
              <w:rPr>
                <w:rFonts w:ascii="Arial" w:eastAsia="Times New Roman" w:hAnsi="Arial" w:cs="Arial"/>
                <w:color w:val="000000"/>
                <w:sz w:val="16"/>
                <w:szCs w:val="16"/>
                <w:lang w:eastAsia="pl-PL"/>
              </w:rPr>
            </w:pPr>
            <w:r w:rsidRPr="000C1ACE">
              <w:rPr>
                <w:rFonts w:ascii="Arial" w:eastAsia="Times New Roman" w:hAnsi="Arial" w:cs="Arial"/>
                <w:color w:val="000000"/>
                <w:sz w:val="16"/>
                <w:szCs w:val="16"/>
                <w:lang w:eastAsia="pl-PL"/>
              </w:rPr>
              <w:t>100 622</w:t>
            </w:r>
            <w:r>
              <w:rPr>
                <w:rFonts w:ascii="Arial" w:eastAsia="Times New Roman" w:hAnsi="Arial" w:cs="Arial"/>
                <w:color w:val="000000"/>
                <w:sz w:val="16"/>
                <w:szCs w:val="16"/>
                <w:lang w:eastAsia="pl-PL"/>
              </w:rPr>
              <w:t> </w:t>
            </w:r>
            <w:r w:rsidRPr="000C1ACE">
              <w:rPr>
                <w:rFonts w:ascii="Arial" w:eastAsia="Times New Roman" w:hAnsi="Arial" w:cs="Arial"/>
                <w:color w:val="000000"/>
                <w:sz w:val="16"/>
                <w:szCs w:val="16"/>
                <w:lang w:eastAsia="pl-PL"/>
              </w:rPr>
              <w:t>923</w:t>
            </w:r>
          </w:p>
          <w:p w14:paraId="057F0F98" w14:textId="77777777" w:rsidR="004E3242" w:rsidRPr="00C7110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val="restart"/>
            <w:shd w:val="clear" w:color="auto" w:fill="F2F2F2"/>
            <w:vAlign w:val="center"/>
          </w:tcPr>
          <w:p w14:paraId="7685DBA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2 302 834</w:t>
            </w:r>
          </w:p>
        </w:tc>
        <w:tc>
          <w:tcPr>
            <w:tcW w:w="335" w:type="pct"/>
            <w:vMerge w:val="restart"/>
            <w:shd w:val="clear" w:color="auto" w:fill="F2F2F2"/>
            <w:vAlign w:val="center"/>
          </w:tcPr>
          <w:p w14:paraId="0847D682" w14:textId="77777777" w:rsidR="00F02EE7" w:rsidRDefault="00F02EE7" w:rsidP="00757830">
            <w:pPr>
              <w:spacing w:after="0" w:line="240" w:lineRule="auto"/>
              <w:jc w:val="center"/>
              <w:rPr>
                <w:rFonts w:ascii="Arial" w:eastAsia="Times New Roman" w:hAnsi="Arial" w:cs="Arial"/>
                <w:color w:val="000000"/>
                <w:sz w:val="16"/>
                <w:szCs w:val="16"/>
                <w:lang w:eastAsia="pl-PL"/>
              </w:rPr>
            </w:pPr>
            <w:bookmarkStart w:id="567" w:name="OLE_LINK63"/>
            <w:r w:rsidRPr="00F02EE7">
              <w:rPr>
                <w:rFonts w:ascii="Arial" w:eastAsia="Times New Roman" w:hAnsi="Arial" w:cs="Arial"/>
                <w:color w:val="000000"/>
                <w:sz w:val="16"/>
                <w:szCs w:val="16"/>
                <w:lang w:eastAsia="pl-PL"/>
              </w:rPr>
              <w:t>686 171</w:t>
            </w:r>
            <w:r>
              <w:rPr>
                <w:rFonts w:ascii="Arial" w:eastAsia="Times New Roman" w:hAnsi="Arial" w:cs="Arial"/>
                <w:color w:val="000000"/>
                <w:sz w:val="16"/>
                <w:szCs w:val="16"/>
                <w:lang w:eastAsia="pl-PL"/>
              </w:rPr>
              <w:t> </w:t>
            </w:r>
            <w:r w:rsidRPr="00F02EE7">
              <w:rPr>
                <w:rFonts w:ascii="Arial" w:eastAsia="Times New Roman" w:hAnsi="Arial" w:cs="Arial"/>
                <w:color w:val="000000"/>
                <w:sz w:val="16"/>
                <w:szCs w:val="16"/>
                <w:lang w:eastAsia="pl-PL"/>
              </w:rPr>
              <w:t>712</w:t>
            </w:r>
          </w:p>
          <w:bookmarkEnd w:id="567"/>
          <w:p w14:paraId="46FCE80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val="restart"/>
            <w:shd w:val="clear" w:color="auto" w:fill="F2F2F2"/>
            <w:vAlign w:val="center"/>
          </w:tcPr>
          <w:p w14:paraId="6F5F4F1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vMerge w:val="restart"/>
            <w:shd w:val="clear" w:color="auto" w:fill="F2F2F2"/>
            <w:vAlign w:val="center"/>
          </w:tcPr>
          <w:p w14:paraId="3669A4F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w:t>
            </w:r>
          </w:p>
        </w:tc>
        <w:tc>
          <w:tcPr>
            <w:tcW w:w="325" w:type="pct"/>
            <w:vMerge w:val="restart"/>
            <w:shd w:val="clear" w:color="auto" w:fill="F2F2F2"/>
            <w:vAlign w:val="center"/>
          </w:tcPr>
          <w:p w14:paraId="0DEB0E9F" w14:textId="77777777" w:rsidR="00DC430D" w:rsidRDefault="00DC430D" w:rsidP="004E3242">
            <w:pPr>
              <w:spacing w:after="0" w:line="240" w:lineRule="auto"/>
              <w:jc w:val="center"/>
              <w:rPr>
                <w:rFonts w:ascii="Arial" w:eastAsia="Times New Roman" w:hAnsi="Arial" w:cs="Arial"/>
                <w:color w:val="000000"/>
                <w:sz w:val="16"/>
                <w:szCs w:val="16"/>
                <w:lang w:eastAsia="pl-PL"/>
              </w:rPr>
            </w:pPr>
          </w:p>
          <w:p w14:paraId="0D9CB0A6" w14:textId="77777777" w:rsidR="00AF1010" w:rsidRDefault="00AF1010" w:rsidP="004E3242">
            <w:pPr>
              <w:spacing w:after="0" w:line="240" w:lineRule="auto"/>
              <w:jc w:val="center"/>
              <w:rPr>
                <w:rFonts w:ascii="Arial" w:eastAsia="Times New Roman" w:hAnsi="Arial" w:cs="Arial"/>
                <w:color w:val="000000"/>
                <w:sz w:val="16"/>
                <w:szCs w:val="16"/>
                <w:lang w:eastAsia="pl-PL"/>
              </w:rPr>
            </w:pPr>
            <w:r w:rsidRPr="00AF1010">
              <w:rPr>
                <w:rFonts w:ascii="Arial" w:eastAsia="Times New Roman" w:hAnsi="Arial" w:cs="Arial"/>
                <w:color w:val="000000"/>
                <w:sz w:val="16"/>
                <w:szCs w:val="16"/>
                <w:lang w:eastAsia="pl-PL"/>
              </w:rPr>
              <w:t>559 210</w:t>
            </w:r>
            <w:r>
              <w:rPr>
                <w:rFonts w:ascii="Arial" w:eastAsia="Times New Roman" w:hAnsi="Arial" w:cs="Arial"/>
                <w:color w:val="000000"/>
                <w:sz w:val="16"/>
                <w:szCs w:val="16"/>
                <w:lang w:eastAsia="pl-PL"/>
              </w:rPr>
              <w:t> </w:t>
            </w:r>
            <w:r w:rsidRPr="00AF1010">
              <w:rPr>
                <w:rFonts w:ascii="Arial" w:eastAsia="Times New Roman" w:hAnsi="Arial" w:cs="Arial"/>
                <w:color w:val="000000"/>
                <w:sz w:val="16"/>
                <w:szCs w:val="16"/>
                <w:lang w:eastAsia="pl-PL"/>
              </w:rPr>
              <w:t>240</w:t>
            </w:r>
          </w:p>
          <w:p w14:paraId="4F317D5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38A22C73" w14:textId="77777777" w:rsidR="008436FE" w:rsidRDefault="008436FE"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14:paraId="40901A4F" w14:textId="77777777" w:rsidR="0034281D" w:rsidRDefault="0034281D" w:rsidP="004E3242">
            <w:pPr>
              <w:spacing w:after="0" w:line="240" w:lineRule="auto"/>
              <w:jc w:val="center"/>
              <w:rPr>
                <w:rFonts w:ascii="Arial" w:eastAsia="Times New Roman" w:hAnsi="Arial" w:cs="Arial"/>
                <w:color w:val="000000"/>
                <w:sz w:val="16"/>
                <w:szCs w:val="16"/>
                <w:lang w:eastAsia="pl-PL"/>
              </w:rPr>
            </w:pPr>
            <w:r w:rsidRPr="0034281D">
              <w:rPr>
                <w:rFonts w:ascii="Arial" w:eastAsia="Times New Roman" w:hAnsi="Arial" w:cs="Arial"/>
                <w:color w:val="000000"/>
                <w:sz w:val="16"/>
                <w:szCs w:val="16"/>
                <w:lang w:eastAsia="pl-PL"/>
              </w:rPr>
              <w:t>98 684</w:t>
            </w:r>
            <w:r>
              <w:rPr>
                <w:rFonts w:ascii="Arial" w:eastAsia="Times New Roman" w:hAnsi="Arial" w:cs="Arial"/>
                <w:color w:val="000000"/>
                <w:sz w:val="16"/>
                <w:szCs w:val="16"/>
                <w:lang w:eastAsia="pl-PL"/>
              </w:rPr>
              <w:t> </w:t>
            </w:r>
            <w:r w:rsidRPr="0034281D">
              <w:rPr>
                <w:rFonts w:ascii="Arial" w:eastAsia="Times New Roman" w:hAnsi="Arial" w:cs="Arial"/>
                <w:color w:val="000000"/>
                <w:sz w:val="16"/>
                <w:szCs w:val="16"/>
                <w:lang w:eastAsia="pl-PL"/>
              </w:rPr>
              <w:t>160</w:t>
            </w:r>
          </w:p>
          <w:p w14:paraId="734E1D1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70" w:type="pct"/>
            <w:vMerge w:val="restart"/>
            <w:shd w:val="clear" w:color="auto" w:fill="F2F2F2"/>
            <w:vAlign w:val="center"/>
          </w:tcPr>
          <w:p w14:paraId="16BE034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24 035 715</w:t>
            </w:r>
          </w:p>
        </w:tc>
        <w:tc>
          <w:tcPr>
            <w:tcW w:w="400" w:type="pct"/>
            <w:vMerge w:val="restart"/>
            <w:shd w:val="clear" w:color="auto" w:fill="F2F2F2"/>
            <w:vAlign w:val="center"/>
          </w:tcPr>
          <w:p w14:paraId="128F5B4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4 241 597</w:t>
            </w:r>
          </w:p>
        </w:tc>
        <w:tc>
          <w:tcPr>
            <w:tcW w:w="378" w:type="pct"/>
            <w:vMerge w:val="restart"/>
            <w:shd w:val="clear" w:color="auto" w:fill="F2F2F2"/>
            <w:vAlign w:val="center"/>
          </w:tcPr>
          <w:p w14:paraId="20ADB95E" w14:textId="77777777" w:rsidR="007301BD" w:rsidRDefault="007301BD" w:rsidP="004E3242">
            <w:pPr>
              <w:spacing w:after="0" w:line="240" w:lineRule="auto"/>
              <w:jc w:val="center"/>
              <w:rPr>
                <w:rFonts w:ascii="Arial" w:eastAsia="Times New Roman" w:hAnsi="Arial" w:cs="Arial"/>
                <w:color w:val="000000"/>
                <w:sz w:val="16"/>
                <w:szCs w:val="16"/>
                <w:lang w:eastAsia="pl-PL"/>
              </w:rPr>
            </w:pPr>
            <w:r w:rsidRPr="007301BD">
              <w:rPr>
                <w:rFonts w:ascii="Arial" w:eastAsia="Times New Roman" w:hAnsi="Arial" w:cs="Arial"/>
                <w:color w:val="000000"/>
                <w:sz w:val="16"/>
                <w:szCs w:val="16"/>
                <w:lang w:eastAsia="pl-PL"/>
              </w:rPr>
              <w:t>4,1</w:t>
            </w:r>
            <w:r w:rsidR="0010432C">
              <w:rPr>
                <w:rFonts w:ascii="Arial" w:eastAsia="Times New Roman" w:hAnsi="Arial" w:cs="Arial"/>
                <w:color w:val="000000"/>
                <w:sz w:val="16"/>
                <w:szCs w:val="16"/>
                <w:lang w:eastAsia="pl-PL"/>
              </w:rPr>
              <w:t>2</w:t>
            </w:r>
            <w:r w:rsidRPr="007301BD">
              <w:rPr>
                <w:rFonts w:ascii="Arial" w:eastAsia="Times New Roman" w:hAnsi="Arial" w:cs="Arial"/>
                <w:color w:val="000000"/>
                <w:sz w:val="16"/>
                <w:szCs w:val="16"/>
                <w:lang w:eastAsia="pl-PL"/>
              </w:rPr>
              <w:t>%</w:t>
            </w:r>
          </w:p>
          <w:p w14:paraId="43AD075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182FC1" w:rsidRPr="004E3242" w14:paraId="6ACB57B8" w14:textId="77777777" w:rsidTr="007F4F08">
        <w:trPr>
          <w:trHeight w:val="315"/>
        </w:trPr>
        <w:tc>
          <w:tcPr>
            <w:tcW w:w="198" w:type="pct"/>
            <w:vMerge/>
            <w:shd w:val="clear" w:color="auto" w:fill="F2F2F2"/>
            <w:vAlign w:val="center"/>
          </w:tcPr>
          <w:p w14:paraId="41EC93D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2BEF8C3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1FE4262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0E97804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6520F7C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3CCECB9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6466079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393E4FF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268DEF2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2E1D594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36F6E10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25" w:type="pct"/>
            <w:vMerge/>
            <w:shd w:val="clear" w:color="auto" w:fill="F2F2F2"/>
            <w:vAlign w:val="center"/>
          </w:tcPr>
          <w:p w14:paraId="382349B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3CCEF31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70" w:type="pct"/>
            <w:vMerge/>
            <w:shd w:val="clear" w:color="auto" w:fill="F2F2F2"/>
            <w:vAlign w:val="center"/>
          </w:tcPr>
          <w:p w14:paraId="6A500FB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00" w:type="pct"/>
            <w:vMerge/>
            <w:shd w:val="clear" w:color="auto" w:fill="F2F2F2"/>
            <w:vAlign w:val="center"/>
          </w:tcPr>
          <w:p w14:paraId="1C76F9C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78" w:type="pct"/>
            <w:vMerge/>
            <w:shd w:val="clear" w:color="auto" w:fill="F2F2F2"/>
            <w:vAlign w:val="center"/>
          </w:tcPr>
          <w:p w14:paraId="1B5A1B0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182FC1" w:rsidRPr="004E3242" w14:paraId="69DBE5F9" w14:textId="77777777" w:rsidTr="007F4F08">
        <w:trPr>
          <w:trHeight w:val="300"/>
        </w:trPr>
        <w:tc>
          <w:tcPr>
            <w:tcW w:w="198" w:type="pct"/>
            <w:vMerge/>
            <w:shd w:val="clear" w:color="auto" w:fill="F2F2F2"/>
            <w:vAlign w:val="center"/>
          </w:tcPr>
          <w:p w14:paraId="15F123E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5EFC457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val="restart"/>
            <w:shd w:val="clear" w:color="auto" w:fill="F2F2F2"/>
            <w:textDirection w:val="btLr"/>
            <w:vAlign w:val="center"/>
          </w:tcPr>
          <w:p w14:paraId="0F02B90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119" w:type="pct"/>
            <w:vMerge/>
            <w:shd w:val="clear" w:color="auto" w:fill="F2F2F2"/>
            <w:vAlign w:val="center"/>
          </w:tcPr>
          <w:p w14:paraId="7682367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7C7027AD" w14:textId="77777777" w:rsidR="00F02EE7" w:rsidRDefault="00F02EE7" w:rsidP="00C0564B">
            <w:pPr>
              <w:spacing w:after="0" w:line="240" w:lineRule="auto"/>
              <w:jc w:val="center"/>
              <w:rPr>
                <w:rFonts w:ascii="Arial" w:eastAsia="Times New Roman" w:hAnsi="Arial" w:cs="Arial"/>
                <w:color w:val="000000"/>
                <w:sz w:val="16"/>
                <w:szCs w:val="16"/>
                <w:lang w:eastAsia="pl-PL"/>
              </w:rPr>
            </w:pPr>
            <w:bookmarkStart w:id="568" w:name="OLE_LINK61"/>
            <w:r w:rsidRPr="00F02EE7">
              <w:rPr>
                <w:rFonts w:ascii="Arial" w:eastAsia="Times New Roman" w:hAnsi="Arial" w:cs="Arial"/>
                <w:color w:val="000000"/>
                <w:sz w:val="16"/>
                <w:szCs w:val="16"/>
                <w:lang w:eastAsia="pl-PL"/>
              </w:rPr>
              <w:t xml:space="preserve">80 </w:t>
            </w:r>
          </w:p>
          <w:p w14:paraId="75AF1DBE" w14:textId="77777777" w:rsidR="00F02EE7" w:rsidRDefault="00F02EE7" w:rsidP="00C0564B">
            <w:pPr>
              <w:spacing w:after="0" w:line="240" w:lineRule="auto"/>
              <w:jc w:val="center"/>
              <w:rPr>
                <w:rFonts w:ascii="Arial" w:eastAsia="Times New Roman" w:hAnsi="Arial" w:cs="Arial"/>
                <w:color w:val="000000"/>
                <w:sz w:val="16"/>
                <w:szCs w:val="16"/>
                <w:lang w:eastAsia="pl-PL"/>
              </w:rPr>
            </w:pPr>
            <w:r w:rsidRPr="00F02EE7">
              <w:rPr>
                <w:rFonts w:ascii="Arial" w:eastAsia="Times New Roman" w:hAnsi="Arial" w:cs="Arial"/>
                <w:color w:val="000000"/>
                <w:sz w:val="16"/>
                <w:szCs w:val="16"/>
                <w:lang w:eastAsia="pl-PL"/>
              </w:rPr>
              <w:t>626 33</w:t>
            </w:r>
            <w:r>
              <w:rPr>
                <w:rFonts w:ascii="Arial" w:eastAsia="Times New Roman" w:hAnsi="Arial" w:cs="Arial"/>
                <w:color w:val="000000"/>
                <w:sz w:val="16"/>
                <w:szCs w:val="16"/>
                <w:lang w:eastAsia="pl-PL"/>
              </w:rPr>
              <w:t>7</w:t>
            </w:r>
          </w:p>
          <w:bookmarkEnd w:id="568"/>
          <w:p w14:paraId="5A14F2A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val="restart"/>
            <w:shd w:val="clear" w:color="auto" w:fill="F2F2F2"/>
            <w:vAlign w:val="center"/>
          </w:tcPr>
          <w:p w14:paraId="70AD57B7" w14:textId="77777777" w:rsidR="00A07DED" w:rsidRDefault="00A07DED" w:rsidP="00C0564B">
            <w:pPr>
              <w:spacing w:after="0" w:line="240" w:lineRule="auto"/>
              <w:jc w:val="center"/>
              <w:rPr>
                <w:rFonts w:ascii="Arial" w:eastAsia="Times New Roman" w:hAnsi="Arial" w:cs="Arial"/>
                <w:color w:val="000000"/>
                <w:sz w:val="16"/>
                <w:szCs w:val="16"/>
                <w:lang w:eastAsia="pl-PL"/>
              </w:rPr>
            </w:pPr>
            <w:bookmarkStart w:id="569" w:name="OLE_LINK64"/>
            <w:r w:rsidRPr="00A07DED">
              <w:rPr>
                <w:rFonts w:ascii="Arial" w:eastAsia="Times New Roman" w:hAnsi="Arial" w:cs="Arial"/>
                <w:color w:val="000000"/>
                <w:sz w:val="16"/>
                <w:szCs w:val="16"/>
                <w:lang w:eastAsia="pl-PL"/>
              </w:rPr>
              <w:t>20 156</w:t>
            </w:r>
            <w:r>
              <w:rPr>
                <w:rFonts w:ascii="Arial" w:eastAsia="Times New Roman" w:hAnsi="Arial" w:cs="Arial"/>
                <w:color w:val="000000"/>
                <w:sz w:val="16"/>
                <w:szCs w:val="16"/>
                <w:lang w:eastAsia="pl-PL"/>
              </w:rPr>
              <w:t> </w:t>
            </w:r>
            <w:r w:rsidRPr="00A07DED">
              <w:rPr>
                <w:rFonts w:ascii="Arial" w:eastAsia="Times New Roman" w:hAnsi="Arial" w:cs="Arial"/>
                <w:color w:val="000000"/>
                <w:sz w:val="16"/>
                <w:szCs w:val="16"/>
                <w:lang w:eastAsia="pl-PL"/>
              </w:rPr>
              <w:t>58</w:t>
            </w:r>
            <w:r w:rsidR="00BB42F9">
              <w:rPr>
                <w:rFonts w:ascii="Arial" w:eastAsia="Times New Roman" w:hAnsi="Arial" w:cs="Arial"/>
                <w:color w:val="000000"/>
                <w:sz w:val="16"/>
                <w:szCs w:val="16"/>
                <w:lang w:eastAsia="pl-PL"/>
              </w:rPr>
              <w:t>5</w:t>
            </w:r>
          </w:p>
          <w:bookmarkEnd w:id="569"/>
          <w:p w14:paraId="450AF50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5066D699" w14:textId="77777777" w:rsidR="00A07DED" w:rsidRDefault="00A07DED" w:rsidP="00C0564B">
            <w:pPr>
              <w:spacing w:after="0" w:line="240" w:lineRule="auto"/>
              <w:jc w:val="center"/>
              <w:rPr>
                <w:rFonts w:ascii="Arial" w:eastAsia="Times New Roman" w:hAnsi="Arial" w:cs="Arial"/>
                <w:color w:val="000000"/>
                <w:sz w:val="16"/>
                <w:szCs w:val="16"/>
                <w:lang w:eastAsia="pl-PL"/>
              </w:rPr>
            </w:pPr>
            <w:r w:rsidRPr="00A07DED">
              <w:rPr>
                <w:rFonts w:ascii="Arial" w:eastAsia="Times New Roman" w:hAnsi="Arial" w:cs="Arial"/>
                <w:color w:val="000000"/>
                <w:sz w:val="16"/>
                <w:szCs w:val="16"/>
                <w:lang w:eastAsia="pl-PL"/>
              </w:rPr>
              <w:t xml:space="preserve">20 </w:t>
            </w:r>
          </w:p>
          <w:p w14:paraId="1443893F" w14:textId="77777777" w:rsidR="00A07DED" w:rsidRDefault="00A07DED" w:rsidP="00C0564B">
            <w:pPr>
              <w:spacing w:after="0" w:line="240" w:lineRule="auto"/>
              <w:jc w:val="center"/>
              <w:rPr>
                <w:rFonts w:ascii="Arial" w:eastAsia="Times New Roman" w:hAnsi="Arial" w:cs="Arial"/>
                <w:color w:val="000000"/>
                <w:sz w:val="16"/>
                <w:szCs w:val="16"/>
                <w:lang w:eastAsia="pl-PL"/>
              </w:rPr>
            </w:pPr>
            <w:r w:rsidRPr="00A07DED">
              <w:rPr>
                <w:rFonts w:ascii="Arial" w:eastAsia="Times New Roman" w:hAnsi="Arial" w:cs="Arial"/>
                <w:color w:val="000000"/>
                <w:sz w:val="16"/>
                <w:szCs w:val="16"/>
                <w:lang w:eastAsia="pl-PL"/>
              </w:rPr>
              <w:t>156 58</w:t>
            </w:r>
            <w:r w:rsidR="00BB42F9">
              <w:rPr>
                <w:rFonts w:ascii="Arial" w:eastAsia="Times New Roman" w:hAnsi="Arial" w:cs="Arial"/>
                <w:color w:val="000000"/>
                <w:sz w:val="16"/>
                <w:szCs w:val="16"/>
                <w:lang w:eastAsia="pl-PL"/>
              </w:rPr>
              <w:t>5</w:t>
            </w:r>
          </w:p>
          <w:p w14:paraId="7DF4EB4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val="restart"/>
            <w:shd w:val="clear" w:color="auto" w:fill="F2F2F2"/>
            <w:vAlign w:val="center"/>
          </w:tcPr>
          <w:p w14:paraId="37F4231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35" w:type="pct"/>
            <w:vMerge w:val="restart"/>
            <w:shd w:val="clear" w:color="auto" w:fill="F2F2F2"/>
            <w:vAlign w:val="center"/>
          </w:tcPr>
          <w:p w14:paraId="2BF3310D" w14:textId="77777777" w:rsidR="000C1ACE" w:rsidRDefault="000C1ACE" w:rsidP="00757830">
            <w:pPr>
              <w:spacing w:after="0" w:line="240" w:lineRule="auto"/>
              <w:jc w:val="center"/>
              <w:rPr>
                <w:rFonts w:ascii="Arial" w:eastAsia="Times New Roman" w:hAnsi="Arial" w:cs="Arial"/>
                <w:color w:val="000000"/>
                <w:sz w:val="16"/>
                <w:szCs w:val="16"/>
                <w:lang w:eastAsia="pl-PL"/>
              </w:rPr>
            </w:pPr>
            <w:bookmarkStart w:id="570" w:name="OLE_LINK65"/>
            <w:r w:rsidRPr="000C1ACE">
              <w:rPr>
                <w:rFonts w:ascii="Arial" w:eastAsia="Times New Roman" w:hAnsi="Arial" w:cs="Arial"/>
                <w:color w:val="000000"/>
                <w:sz w:val="16"/>
                <w:szCs w:val="16"/>
                <w:lang w:eastAsia="pl-PL"/>
              </w:rPr>
              <w:t>100 782</w:t>
            </w:r>
            <w:r>
              <w:rPr>
                <w:rFonts w:ascii="Arial" w:eastAsia="Times New Roman" w:hAnsi="Arial" w:cs="Arial"/>
                <w:color w:val="000000"/>
                <w:sz w:val="16"/>
                <w:szCs w:val="16"/>
                <w:lang w:eastAsia="pl-PL"/>
              </w:rPr>
              <w:t> </w:t>
            </w:r>
            <w:r w:rsidRPr="000C1ACE">
              <w:rPr>
                <w:rFonts w:ascii="Arial" w:eastAsia="Times New Roman" w:hAnsi="Arial" w:cs="Arial"/>
                <w:color w:val="000000"/>
                <w:sz w:val="16"/>
                <w:szCs w:val="16"/>
                <w:lang w:eastAsia="pl-PL"/>
              </w:rPr>
              <w:t>92</w:t>
            </w:r>
            <w:r w:rsidR="00BB42F9">
              <w:rPr>
                <w:rFonts w:ascii="Arial" w:eastAsia="Times New Roman" w:hAnsi="Arial" w:cs="Arial"/>
                <w:color w:val="000000"/>
                <w:sz w:val="16"/>
                <w:szCs w:val="16"/>
                <w:lang w:eastAsia="pl-PL"/>
              </w:rPr>
              <w:t>2</w:t>
            </w:r>
          </w:p>
          <w:bookmarkEnd w:id="570"/>
          <w:p w14:paraId="2BAD97B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val="restart"/>
            <w:shd w:val="clear" w:color="auto" w:fill="F2F2F2"/>
            <w:vAlign w:val="center"/>
          </w:tcPr>
          <w:p w14:paraId="3DA11E3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w:t>
            </w:r>
          </w:p>
        </w:tc>
        <w:tc>
          <w:tcPr>
            <w:tcW w:w="352" w:type="pct"/>
            <w:vMerge w:val="restart"/>
            <w:shd w:val="clear" w:color="auto" w:fill="F2F2F2"/>
            <w:vAlign w:val="center"/>
          </w:tcPr>
          <w:p w14:paraId="691117A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w:t>
            </w:r>
          </w:p>
        </w:tc>
        <w:tc>
          <w:tcPr>
            <w:tcW w:w="325" w:type="pct"/>
            <w:vMerge w:val="restart"/>
            <w:shd w:val="clear" w:color="auto" w:fill="F2F2F2"/>
            <w:vAlign w:val="center"/>
          </w:tcPr>
          <w:p w14:paraId="4FC5E658" w14:textId="77777777" w:rsidR="00005022" w:rsidRDefault="00005022" w:rsidP="004E3242">
            <w:pPr>
              <w:spacing w:after="0" w:line="240" w:lineRule="auto"/>
              <w:jc w:val="center"/>
              <w:rPr>
                <w:rFonts w:ascii="Arial" w:eastAsia="Times New Roman" w:hAnsi="Arial" w:cs="Arial"/>
                <w:color w:val="000000"/>
                <w:sz w:val="16"/>
                <w:szCs w:val="16"/>
                <w:lang w:eastAsia="pl-PL"/>
              </w:rPr>
            </w:pPr>
          </w:p>
          <w:p w14:paraId="76229508" w14:textId="77777777" w:rsidR="00AF1010" w:rsidRDefault="00AF1010" w:rsidP="004E3242">
            <w:pPr>
              <w:spacing w:after="0" w:line="240" w:lineRule="auto"/>
              <w:jc w:val="center"/>
              <w:rPr>
                <w:rFonts w:ascii="Arial" w:eastAsia="Times New Roman" w:hAnsi="Arial" w:cs="Arial"/>
                <w:color w:val="000000"/>
                <w:sz w:val="16"/>
                <w:szCs w:val="16"/>
                <w:lang w:eastAsia="pl-PL"/>
              </w:rPr>
            </w:pPr>
            <w:r w:rsidRPr="00AF1010">
              <w:rPr>
                <w:rFonts w:ascii="Arial" w:eastAsia="Times New Roman" w:hAnsi="Arial" w:cs="Arial"/>
                <w:color w:val="000000"/>
                <w:sz w:val="16"/>
                <w:szCs w:val="16"/>
                <w:lang w:eastAsia="pl-PL"/>
              </w:rPr>
              <w:t>76 565</w:t>
            </w:r>
            <w:r>
              <w:rPr>
                <w:rFonts w:ascii="Arial" w:eastAsia="Times New Roman" w:hAnsi="Arial" w:cs="Arial"/>
                <w:color w:val="000000"/>
                <w:sz w:val="16"/>
                <w:szCs w:val="16"/>
                <w:lang w:eastAsia="pl-PL"/>
              </w:rPr>
              <w:t> </w:t>
            </w:r>
            <w:r w:rsidRPr="00AF1010">
              <w:rPr>
                <w:rFonts w:ascii="Arial" w:eastAsia="Times New Roman" w:hAnsi="Arial" w:cs="Arial"/>
                <w:color w:val="000000"/>
                <w:sz w:val="16"/>
                <w:szCs w:val="16"/>
                <w:lang w:eastAsia="pl-PL"/>
              </w:rPr>
              <w:t>550</w:t>
            </w:r>
          </w:p>
          <w:p w14:paraId="27BC56A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7F554385" w14:textId="77777777" w:rsidR="005D2FBC" w:rsidRDefault="005D2FBC"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w:t>
            </w:r>
          </w:p>
          <w:p w14:paraId="050C3304" w14:textId="77777777" w:rsidR="0034281D" w:rsidRDefault="0034281D" w:rsidP="004E3242">
            <w:pPr>
              <w:spacing w:after="0" w:line="240" w:lineRule="auto"/>
              <w:jc w:val="center"/>
              <w:rPr>
                <w:rFonts w:ascii="Arial" w:eastAsia="Times New Roman" w:hAnsi="Arial" w:cs="Arial"/>
                <w:color w:val="000000"/>
                <w:sz w:val="16"/>
                <w:szCs w:val="16"/>
                <w:lang w:eastAsia="pl-PL"/>
              </w:rPr>
            </w:pPr>
            <w:r w:rsidRPr="0034281D">
              <w:rPr>
                <w:rFonts w:ascii="Arial" w:eastAsia="Times New Roman" w:hAnsi="Arial" w:cs="Arial"/>
                <w:color w:val="000000"/>
                <w:sz w:val="16"/>
                <w:szCs w:val="16"/>
                <w:lang w:eastAsia="pl-PL"/>
              </w:rPr>
              <w:t>19 141</w:t>
            </w:r>
            <w:r>
              <w:rPr>
                <w:rFonts w:ascii="Arial" w:eastAsia="Times New Roman" w:hAnsi="Arial" w:cs="Arial"/>
                <w:color w:val="000000"/>
                <w:sz w:val="16"/>
                <w:szCs w:val="16"/>
                <w:lang w:eastAsia="pl-PL"/>
              </w:rPr>
              <w:t> </w:t>
            </w:r>
            <w:r w:rsidRPr="0034281D">
              <w:rPr>
                <w:rFonts w:ascii="Arial" w:eastAsia="Times New Roman" w:hAnsi="Arial" w:cs="Arial"/>
                <w:color w:val="000000"/>
                <w:sz w:val="16"/>
                <w:szCs w:val="16"/>
                <w:lang w:eastAsia="pl-PL"/>
              </w:rPr>
              <w:t>38</w:t>
            </w:r>
            <w:r w:rsidR="00BB42F9">
              <w:rPr>
                <w:rFonts w:ascii="Arial" w:eastAsia="Times New Roman" w:hAnsi="Arial" w:cs="Arial"/>
                <w:color w:val="000000"/>
                <w:sz w:val="16"/>
                <w:szCs w:val="16"/>
                <w:lang w:eastAsia="pl-PL"/>
              </w:rPr>
              <w:t>8</w:t>
            </w:r>
          </w:p>
          <w:p w14:paraId="400DD0E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70" w:type="pct"/>
            <w:vMerge w:val="restart"/>
            <w:shd w:val="clear" w:color="auto" w:fill="F2F2F2"/>
            <w:vAlign w:val="center"/>
          </w:tcPr>
          <w:p w14:paraId="6D15284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4 060 787</w:t>
            </w:r>
          </w:p>
        </w:tc>
        <w:tc>
          <w:tcPr>
            <w:tcW w:w="400" w:type="pct"/>
            <w:vMerge w:val="restart"/>
            <w:shd w:val="clear" w:color="auto" w:fill="F2F2F2"/>
            <w:vAlign w:val="center"/>
          </w:tcPr>
          <w:p w14:paraId="5FB81D1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1 015 197</w:t>
            </w:r>
          </w:p>
        </w:tc>
        <w:tc>
          <w:tcPr>
            <w:tcW w:w="378" w:type="pct"/>
            <w:vMerge w:val="restart"/>
            <w:shd w:val="clear" w:color="auto" w:fill="F2F2F2"/>
            <w:vAlign w:val="center"/>
          </w:tcPr>
          <w:p w14:paraId="3541C737" w14:textId="77777777" w:rsidR="00F33FDB" w:rsidRDefault="0010432C"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5,04</w:t>
            </w:r>
            <w:r w:rsidR="00F33FDB" w:rsidRPr="00F33FDB">
              <w:rPr>
                <w:rFonts w:ascii="Arial" w:eastAsia="Times New Roman" w:hAnsi="Arial" w:cs="Arial"/>
                <w:color w:val="000000"/>
                <w:sz w:val="16"/>
                <w:szCs w:val="16"/>
                <w:lang w:eastAsia="pl-PL"/>
              </w:rPr>
              <w:t>%</w:t>
            </w:r>
          </w:p>
          <w:p w14:paraId="37844F1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182FC1" w:rsidRPr="004E3242" w14:paraId="1B622E45" w14:textId="77777777" w:rsidTr="007F4F08">
        <w:trPr>
          <w:trHeight w:val="315"/>
        </w:trPr>
        <w:tc>
          <w:tcPr>
            <w:tcW w:w="198" w:type="pct"/>
            <w:vMerge/>
            <w:shd w:val="clear" w:color="auto" w:fill="F2F2F2"/>
            <w:vAlign w:val="center"/>
          </w:tcPr>
          <w:p w14:paraId="3412648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40A6D46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5B2E381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172AED0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64D3E62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30306FD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4D4005A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2C26342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50ACB85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0D29474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039FA4C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25" w:type="pct"/>
            <w:vMerge/>
            <w:shd w:val="clear" w:color="auto" w:fill="F2F2F2"/>
            <w:vAlign w:val="center"/>
          </w:tcPr>
          <w:p w14:paraId="1E80BB5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4BA08F3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70" w:type="pct"/>
            <w:vMerge/>
            <w:shd w:val="clear" w:color="auto" w:fill="F2F2F2"/>
            <w:vAlign w:val="center"/>
          </w:tcPr>
          <w:p w14:paraId="69A20B5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00" w:type="pct"/>
            <w:vMerge/>
            <w:shd w:val="clear" w:color="auto" w:fill="F2F2F2"/>
            <w:vAlign w:val="center"/>
          </w:tcPr>
          <w:p w14:paraId="0898E4F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78" w:type="pct"/>
            <w:vMerge/>
            <w:shd w:val="clear" w:color="auto" w:fill="F2F2F2"/>
            <w:vAlign w:val="center"/>
          </w:tcPr>
          <w:p w14:paraId="6C94969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182FC1" w:rsidRPr="004E3242" w14:paraId="11F6ADD5" w14:textId="77777777" w:rsidTr="007F4F08">
        <w:trPr>
          <w:trHeight w:val="300"/>
        </w:trPr>
        <w:tc>
          <w:tcPr>
            <w:tcW w:w="198" w:type="pct"/>
            <w:shd w:val="clear" w:color="auto" w:fill="F2F2F2"/>
            <w:vAlign w:val="center"/>
          </w:tcPr>
          <w:p w14:paraId="2095DA05"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X.</w:t>
            </w:r>
          </w:p>
        </w:tc>
        <w:tc>
          <w:tcPr>
            <w:tcW w:w="198" w:type="pct"/>
            <w:shd w:val="clear" w:color="auto" w:fill="F2F2F2"/>
            <w:textDirection w:val="btLr"/>
            <w:vAlign w:val="center"/>
          </w:tcPr>
          <w:p w14:paraId="2FD9BA33"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394" w:type="pct"/>
            <w:gridSpan w:val="2"/>
            <w:shd w:val="clear" w:color="auto" w:fill="F2F2F2"/>
            <w:vAlign w:val="center"/>
          </w:tcPr>
          <w:p w14:paraId="4EC8FBD6"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119" w:type="pct"/>
            <w:shd w:val="clear" w:color="auto" w:fill="F2F2F2"/>
            <w:vAlign w:val="center"/>
          </w:tcPr>
          <w:p w14:paraId="0F721B42"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p>
        </w:tc>
        <w:tc>
          <w:tcPr>
            <w:tcW w:w="308" w:type="pct"/>
            <w:shd w:val="clear" w:color="auto" w:fill="F2F2F2"/>
            <w:vAlign w:val="center"/>
          </w:tcPr>
          <w:p w14:paraId="278C76A3"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006FFC">
              <w:rPr>
                <w:rFonts w:ascii="Arial" w:eastAsia="Times New Roman" w:hAnsi="Arial" w:cs="Arial"/>
                <w:color w:val="000000"/>
                <w:sz w:val="16"/>
                <w:szCs w:val="16"/>
                <w:lang w:eastAsia="pl-PL"/>
              </w:rPr>
              <w:t>327 000 000</w:t>
            </w:r>
          </w:p>
        </w:tc>
        <w:tc>
          <w:tcPr>
            <w:tcW w:w="300" w:type="pct"/>
            <w:shd w:val="clear" w:color="auto" w:fill="F2F2F2"/>
            <w:vAlign w:val="center"/>
          </w:tcPr>
          <w:p w14:paraId="52B025E1"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006FFC">
              <w:rPr>
                <w:rFonts w:ascii="Arial" w:eastAsia="Times New Roman" w:hAnsi="Arial" w:cs="Arial"/>
                <w:color w:val="000000"/>
                <w:sz w:val="16"/>
                <w:szCs w:val="16"/>
                <w:lang w:eastAsia="pl-PL"/>
              </w:rPr>
              <w:t>57 705 883</w:t>
            </w:r>
          </w:p>
        </w:tc>
        <w:tc>
          <w:tcPr>
            <w:tcW w:w="412" w:type="pct"/>
            <w:shd w:val="clear" w:color="auto" w:fill="F2F2F2"/>
            <w:vAlign w:val="center"/>
          </w:tcPr>
          <w:p w14:paraId="4AA9FA56"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006FFC">
              <w:rPr>
                <w:rFonts w:ascii="Arial" w:eastAsia="Times New Roman" w:hAnsi="Arial" w:cs="Arial"/>
                <w:color w:val="000000"/>
                <w:sz w:val="16"/>
                <w:szCs w:val="16"/>
                <w:lang w:eastAsia="pl-PL"/>
              </w:rPr>
              <w:t>57 705 883</w:t>
            </w:r>
          </w:p>
        </w:tc>
        <w:tc>
          <w:tcPr>
            <w:tcW w:w="312" w:type="pct"/>
            <w:shd w:val="clear" w:color="auto" w:fill="F2F2F2"/>
            <w:vAlign w:val="center"/>
          </w:tcPr>
          <w:p w14:paraId="75F587A9"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w:t>
            </w:r>
          </w:p>
        </w:tc>
        <w:tc>
          <w:tcPr>
            <w:tcW w:w="335" w:type="pct"/>
            <w:shd w:val="clear" w:color="auto" w:fill="F2F2F2"/>
            <w:vAlign w:val="center"/>
          </w:tcPr>
          <w:p w14:paraId="6762571A"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006FFC">
              <w:rPr>
                <w:rFonts w:ascii="Arial" w:eastAsia="Times New Roman" w:hAnsi="Arial" w:cs="Arial"/>
                <w:color w:val="000000"/>
                <w:sz w:val="16"/>
                <w:szCs w:val="16"/>
                <w:lang w:eastAsia="pl-PL"/>
              </w:rPr>
              <w:t>384 705 883</w:t>
            </w:r>
          </w:p>
        </w:tc>
        <w:tc>
          <w:tcPr>
            <w:tcW w:w="287" w:type="pct"/>
            <w:shd w:val="clear" w:color="auto" w:fill="F2F2F2"/>
            <w:vAlign w:val="center"/>
          </w:tcPr>
          <w:p w14:paraId="42B47243"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0,85</w:t>
            </w:r>
          </w:p>
        </w:tc>
        <w:tc>
          <w:tcPr>
            <w:tcW w:w="352" w:type="pct"/>
            <w:shd w:val="clear" w:color="auto" w:fill="F2F2F2"/>
            <w:vAlign w:val="center"/>
          </w:tcPr>
          <w:p w14:paraId="1F904ACF"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w:t>
            </w:r>
          </w:p>
        </w:tc>
        <w:tc>
          <w:tcPr>
            <w:tcW w:w="325" w:type="pct"/>
            <w:shd w:val="clear" w:color="auto" w:fill="F2F2F2"/>
            <w:vAlign w:val="center"/>
          </w:tcPr>
          <w:p w14:paraId="7D92B233"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006FFC">
              <w:rPr>
                <w:rFonts w:ascii="Arial" w:eastAsia="Times New Roman" w:hAnsi="Arial" w:cs="Arial"/>
                <w:color w:val="000000"/>
                <w:sz w:val="16"/>
                <w:szCs w:val="16"/>
                <w:lang w:eastAsia="pl-PL"/>
              </w:rPr>
              <w:t>327 000 000</w:t>
            </w:r>
          </w:p>
        </w:tc>
        <w:tc>
          <w:tcPr>
            <w:tcW w:w="412" w:type="pct"/>
            <w:shd w:val="clear" w:color="auto" w:fill="F2F2F2"/>
            <w:vAlign w:val="center"/>
          </w:tcPr>
          <w:p w14:paraId="7FCB47E8"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006FFC">
              <w:rPr>
                <w:rFonts w:ascii="Arial" w:eastAsia="Times New Roman" w:hAnsi="Arial" w:cs="Arial"/>
                <w:color w:val="000000"/>
                <w:sz w:val="16"/>
                <w:szCs w:val="16"/>
                <w:lang w:eastAsia="pl-PL"/>
              </w:rPr>
              <w:t>57 705 883</w:t>
            </w:r>
          </w:p>
        </w:tc>
        <w:tc>
          <w:tcPr>
            <w:tcW w:w="270" w:type="pct"/>
            <w:shd w:val="clear" w:color="auto" w:fill="F2F2F2"/>
            <w:vAlign w:val="center"/>
          </w:tcPr>
          <w:p w14:paraId="34929960"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400" w:type="pct"/>
            <w:shd w:val="clear" w:color="auto" w:fill="F2F2F2"/>
            <w:vAlign w:val="center"/>
          </w:tcPr>
          <w:p w14:paraId="7712C8B8"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378" w:type="pct"/>
            <w:shd w:val="clear" w:color="auto" w:fill="F2F2F2"/>
            <w:vAlign w:val="center"/>
          </w:tcPr>
          <w:p w14:paraId="26AB3AAC" w14:textId="77777777" w:rsidR="006838B5" w:rsidRPr="004E3242" w:rsidRDefault="006838B5"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r>
      <w:tr w:rsidR="00182FC1" w:rsidRPr="004E3242" w14:paraId="54E13758" w14:textId="77777777" w:rsidTr="007F4F08">
        <w:trPr>
          <w:trHeight w:val="300"/>
        </w:trPr>
        <w:tc>
          <w:tcPr>
            <w:tcW w:w="198" w:type="pct"/>
            <w:vMerge w:val="restart"/>
            <w:shd w:val="clear" w:color="auto" w:fill="F2F2F2"/>
            <w:vAlign w:val="center"/>
          </w:tcPr>
          <w:p w14:paraId="3F777396"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XI</w:t>
            </w:r>
            <w:r w:rsidR="00370208">
              <w:rPr>
                <w:rFonts w:ascii="Arial" w:eastAsia="Times New Roman" w:hAnsi="Arial" w:cs="Arial"/>
                <w:color w:val="000000"/>
                <w:sz w:val="16"/>
                <w:szCs w:val="16"/>
                <w:lang w:eastAsia="pl-PL"/>
              </w:rPr>
              <w:t>.</w:t>
            </w:r>
          </w:p>
        </w:tc>
        <w:tc>
          <w:tcPr>
            <w:tcW w:w="198" w:type="pct"/>
            <w:vMerge w:val="restart"/>
            <w:shd w:val="clear" w:color="auto" w:fill="F2F2F2"/>
            <w:textDirection w:val="btLr"/>
            <w:vAlign w:val="center"/>
          </w:tcPr>
          <w:p w14:paraId="649A059A"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EFRR</w:t>
            </w:r>
            <w:r w:rsidR="004E601E">
              <w:rPr>
                <w:rFonts w:ascii="Arial" w:eastAsia="Times New Roman" w:hAnsi="Arial" w:cs="Arial"/>
                <w:color w:val="000000"/>
                <w:sz w:val="16"/>
                <w:szCs w:val="16"/>
                <w:lang w:eastAsia="pl-PL"/>
              </w:rPr>
              <w:t xml:space="preserve"> REACT-EU</w:t>
            </w:r>
          </w:p>
        </w:tc>
        <w:tc>
          <w:tcPr>
            <w:tcW w:w="394" w:type="pct"/>
            <w:gridSpan w:val="2"/>
            <w:vMerge w:val="restart"/>
            <w:shd w:val="clear" w:color="auto" w:fill="F2F2F2"/>
            <w:vAlign w:val="center"/>
          </w:tcPr>
          <w:p w14:paraId="03D5C30F"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119" w:type="pct"/>
            <w:vMerge w:val="restart"/>
            <w:shd w:val="clear" w:color="auto" w:fill="F2F2F2"/>
            <w:vAlign w:val="center"/>
          </w:tcPr>
          <w:p w14:paraId="3AA8CF52"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p>
        </w:tc>
        <w:tc>
          <w:tcPr>
            <w:tcW w:w="308" w:type="pct"/>
            <w:vMerge w:val="restart"/>
            <w:shd w:val="clear" w:color="auto" w:fill="F2F2F2"/>
            <w:vAlign w:val="center"/>
          </w:tcPr>
          <w:p w14:paraId="05FA5A06" w14:textId="21AF481C" w:rsidR="00EE7B0D" w:rsidRDefault="00EE7B0D" w:rsidP="004E3242">
            <w:pPr>
              <w:spacing w:after="0" w:line="240" w:lineRule="auto"/>
              <w:jc w:val="center"/>
              <w:rPr>
                <w:rFonts w:ascii="Arial" w:eastAsia="Times New Roman" w:hAnsi="Arial" w:cs="Arial"/>
                <w:color w:val="000000"/>
                <w:sz w:val="16"/>
                <w:szCs w:val="16"/>
                <w:lang w:eastAsia="pl-PL"/>
              </w:rPr>
            </w:pPr>
            <w:r w:rsidRPr="00EE7B0D">
              <w:rPr>
                <w:rFonts w:ascii="Arial" w:eastAsia="Times New Roman" w:hAnsi="Arial" w:cs="Arial"/>
                <w:color w:val="000000"/>
                <w:sz w:val="16"/>
                <w:szCs w:val="16"/>
                <w:lang w:eastAsia="pl-PL"/>
              </w:rPr>
              <w:t>737 175</w:t>
            </w:r>
            <w:r>
              <w:rPr>
                <w:rFonts w:ascii="Arial" w:eastAsia="Times New Roman" w:hAnsi="Arial" w:cs="Arial"/>
                <w:color w:val="000000"/>
                <w:sz w:val="16"/>
                <w:szCs w:val="16"/>
                <w:lang w:eastAsia="pl-PL"/>
              </w:rPr>
              <w:t> </w:t>
            </w:r>
            <w:r w:rsidRPr="00EE7B0D">
              <w:rPr>
                <w:rFonts w:ascii="Arial" w:eastAsia="Times New Roman" w:hAnsi="Arial" w:cs="Arial"/>
                <w:color w:val="000000"/>
                <w:sz w:val="16"/>
                <w:szCs w:val="16"/>
                <w:lang w:eastAsia="pl-PL"/>
              </w:rPr>
              <w:t>003</w:t>
            </w:r>
          </w:p>
          <w:p w14:paraId="4E0FD915" w14:textId="481856FB" w:rsidR="00AB47BD" w:rsidRPr="004E3242" w:rsidRDefault="00AB47BD" w:rsidP="004E3242">
            <w:pPr>
              <w:spacing w:after="0" w:line="240" w:lineRule="auto"/>
              <w:jc w:val="center"/>
              <w:rPr>
                <w:rFonts w:ascii="Arial" w:eastAsia="Times New Roman" w:hAnsi="Arial" w:cs="Arial"/>
                <w:color w:val="000000"/>
                <w:sz w:val="16"/>
                <w:szCs w:val="16"/>
                <w:lang w:eastAsia="pl-PL"/>
              </w:rPr>
            </w:pPr>
          </w:p>
        </w:tc>
        <w:tc>
          <w:tcPr>
            <w:tcW w:w="300" w:type="pct"/>
            <w:vMerge w:val="restart"/>
            <w:shd w:val="clear" w:color="auto" w:fill="F2F2F2"/>
            <w:vAlign w:val="center"/>
          </w:tcPr>
          <w:p w14:paraId="5107E3E7" w14:textId="77777777" w:rsidR="00AB47BD" w:rsidRPr="004E3242" w:rsidRDefault="000674E7"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w:t>
            </w:r>
          </w:p>
        </w:tc>
        <w:tc>
          <w:tcPr>
            <w:tcW w:w="412" w:type="pct"/>
            <w:vMerge w:val="restart"/>
            <w:shd w:val="clear" w:color="auto" w:fill="F2F2F2"/>
            <w:vAlign w:val="center"/>
          </w:tcPr>
          <w:p w14:paraId="36BEF6A0" w14:textId="77777777" w:rsidR="00AB47BD" w:rsidRPr="004E3242" w:rsidRDefault="000674E7"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w:t>
            </w:r>
          </w:p>
        </w:tc>
        <w:tc>
          <w:tcPr>
            <w:tcW w:w="312" w:type="pct"/>
            <w:vMerge w:val="restart"/>
            <w:shd w:val="clear" w:color="auto" w:fill="F2F2F2"/>
            <w:vAlign w:val="center"/>
          </w:tcPr>
          <w:p w14:paraId="57082C91" w14:textId="77777777" w:rsidR="00AB47BD" w:rsidRPr="004E3242" w:rsidRDefault="000674E7"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w:t>
            </w:r>
          </w:p>
        </w:tc>
        <w:tc>
          <w:tcPr>
            <w:tcW w:w="335" w:type="pct"/>
            <w:vMerge w:val="restart"/>
            <w:shd w:val="clear" w:color="auto" w:fill="F2F2F2"/>
            <w:vAlign w:val="center"/>
          </w:tcPr>
          <w:p w14:paraId="1FA3E2A7" w14:textId="061A1369" w:rsidR="00EE7B0D" w:rsidRDefault="00EE7B0D" w:rsidP="004E3242">
            <w:pPr>
              <w:spacing w:after="0" w:line="240" w:lineRule="auto"/>
              <w:jc w:val="center"/>
              <w:rPr>
                <w:rFonts w:ascii="Arial" w:eastAsia="Times New Roman" w:hAnsi="Arial" w:cs="Arial"/>
                <w:color w:val="000000"/>
                <w:sz w:val="16"/>
                <w:szCs w:val="16"/>
                <w:lang w:eastAsia="pl-PL"/>
              </w:rPr>
            </w:pPr>
            <w:r w:rsidRPr="00EE7B0D">
              <w:rPr>
                <w:rFonts w:ascii="Arial" w:eastAsia="Times New Roman" w:hAnsi="Arial" w:cs="Arial"/>
                <w:color w:val="000000"/>
                <w:sz w:val="16"/>
                <w:szCs w:val="16"/>
                <w:lang w:eastAsia="pl-PL"/>
              </w:rPr>
              <w:t>737 175</w:t>
            </w:r>
            <w:r>
              <w:rPr>
                <w:rFonts w:ascii="Arial" w:eastAsia="Times New Roman" w:hAnsi="Arial" w:cs="Arial"/>
                <w:color w:val="000000"/>
                <w:sz w:val="16"/>
                <w:szCs w:val="16"/>
                <w:lang w:eastAsia="pl-PL"/>
              </w:rPr>
              <w:t> </w:t>
            </w:r>
            <w:r w:rsidRPr="00EE7B0D">
              <w:rPr>
                <w:rFonts w:ascii="Arial" w:eastAsia="Times New Roman" w:hAnsi="Arial" w:cs="Arial"/>
                <w:color w:val="000000"/>
                <w:sz w:val="16"/>
                <w:szCs w:val="16"/>
                <w:lang w:eastAsia="pl-PL"/>
              </w:rPr>
              <w:t>003</w:t>
            </w:r>
          </w:p>
          <w:p w14:paraId="4EA25AAE" w14:textId="68CDC07C" w:rsidR="00AB47BD" w:rsidRPr="004E3242" w:rsidRDefault="00AB47BD" w:rsidP="004E3242">
            <w:pPr>
              <w:spacing w:after="0" w:line="240" w:lineRule="auto"/>
              <w:jc w:val="center"/>
              <w:rPr>
                <w:rFonts w:ascii="Arial" w:eastAsia="Times New Roman" w:hAnsi="Arial" w:cs="Arial"/>
                <w:color w:val="000000"/>
                <w:sz w:val="16"/>
                <w:szCs w:val="16"/>
                <w:lang w:eastAsia="pl-PL"/>
              </w:rPr>
            </w:pPr>
          </w:p>
        </w:tc>
        <w:tc>
          <w:tcPr>
            <w:tcW w:w="287" w:type="pct"/>
            <w:vMerge w:val="restart"/>
            <w:shd w:val="clear" w:color="auto" w:fill="F2F2F2"/>
            <w:vAlign w:val="center"/>
          </w:tcPr>
          <w:p w14:paraId="457D9EE6" w14:textId="77777777" w:rsidR="00AB47BD" w:rsidRPr="004E3242" w:rsidRDefault="000674E7"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p>
        </w:tc>
        <w:tc>
          <w:tcPr>
            <w:tcW w:w="352" w:type="pct"/>
            <w:vMerge w:val="restart"/>
            <w:shd w:val="clear" w:color="auto" w:fill="F2F2F2"/>
            <w:vAlign w:val="center"/>
          </w:tcPr>
          <w:p w14:paraId="7F45C7A6"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325" w:type="pct"/>
            <w:vMerge w:val="restart"/>
            <w:shd w:val="clear" w:color="auto" w:fill="F2F2F2"/>
            <w:vAlign w:val="center"/>
          </w:tcPr>
          <w:p w14:paraId="43CA2FD4" w14:textId="2B095C0F" w:rsidR="00EE7B0D" w:rsidRDefault="00EE7B0D" w:rsidP="004E3242">
            <w:pPr>
              <w:spacing w:after="0" w:line="240" w:lineRule="auto"/>
              <w:jc w:val="center"/>
              <w:rPr>
                <w:rFonts w:ascii="Arial" w:eastAsia="Times New Roman" w:hAnsi="Arial" w:cs="Arial"/>
                <w:color w:val="000000"/>
                <w:sz w:val="16"/>
                <w:szCs w:val="16"/>
                <w:lang w:eastAsia="pl-PL"/>
              </w:rPr>
            </w:pPr>
            <w:r w:rsidRPr="00EE7B0D">
              <w:rPr>
                <w:rFonts w:ascii="Arial" w:eastAsia="Times New Roman" w:hAnsi="Arial" w:cs="Arial"/>
                <w:color w:val="000000"/>
                <w:sz w:val="16"/>
                <w:szCs w:val="16"/>
                <w:lang w:eastAsia="pl-PL"/>
              </w:rPr>
              <w:t>737 175</w:t>
            </w:r>
            <w:r>
              <w:rPr>
                <w:rFonts w:ascii="Arial" w:eastAsia="Times New Roman" w:hAnsi="Arial" w:cs="Arial"/>
                <w:color w:val="000000"/>
                <w:sz w:val="16"/>
                <w:szCs w:val="16"/>
                <w:lang w:eastAsia="pl-PL"/>
              </w:rPr>
              <w:t> </w:t>
            </w:r>
            <w:r w:rsidRPr="00EE7B0D">
              <w:rPr>
                <w:rFonts w:ascii="Arial" w:eastAsia="Times New Roman" w:hAnsi="Arial" w:cs="Arial"/>
                <w:color w:val="000000"/>
                <w:sz w:val="16"/>
                <w:szCs w:val="16"/>
                <w:lang w:eastAsia="pl-PL"/>
              </w:rPr>
              <w:t>003</w:t>
            </w:r>
          </w:p>
          <w:p w14:paraId="0301DE87" w14:textId="385E4511" w:rsidR="00AB47BD" w:rsidRPr="004E3242" w:rsidRDefault="00AB47BD" w:rsidP="004E3242">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F2F2F2"/>
            <w:vAlign w:val="center"/>
          </w:tcPr>
          <w:p w14:paraId="79C29471" w14:textId="77777777" w:rsidR="00AB47BD" w:rsidRPr="004E3242" w:rsidRDefault="000674E7"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w:t>
            </w:r>
          </w:p>
        </w:tc>
        <w:tc>
          <w:tcPr>
            <w:tcW w:w="270" w:type="pct"/>
            <w:vMerge w:val="restart"/>
            <w:shd w:val="clear" w:color="auto" w:fill="F2F2F2"/>
            <w:vAlign w:val="center"/>
          </w:tcPr>
          <w:p w14:paraId="38C5A41F"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400" w:type="pct"/>
            <w:vMerge w:val="restart"/>
            <w:shd w:val="clear" w:color="auto" w:fill="F2F2F2"/>
            <w:vAlign w:val="center"/>
          </w:tcPr>
          <w:p w14:paraId="1136076A"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378" w:type="pct"/>
            <w:vMerge w:val="restart"/>
            <w:shd w:val="clear" w:color="auto" w:fill="F2F2F2"/>
            <w:vAlign w:val="center"/>
          </w:tcPr>
          <w:p w14:paraId="60C7324A" w14:textId="77777777" w:rsidR="00AB47BD" w:rsidRPr="004E3242" w:rsidRDefault="00AB47BD"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r>
      <w:tr w:rsidR="00182FC1" w:rsidRPr="004E3242" w14:paraId="5392FB76" w14:textId="77777777" w:rsidTr="007F4F08">
        <w:trPr>
          <w:trHeight w:val="300"/>
        </w:trPr>
        <w:tc>
          <w:tcPr>
            <w:tcW w:w="198" w:type="pct"/>
            <w:vMerge/>
            <w:shd w:val="clear" w:color="auto" w:fill="F2F2F2"/>
            <w:vAlign w:val="center"/>
          </w:tcPr>
          <w:p w14:paraId="5F150B7A"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textDirection w:val="btLr"/>
            <w:vAlign w:val="center"/>
          </w:tcPr>
          <w:p w14:paraId="45661F5C"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79CDF6AB"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6D7CEDB0"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6CB7649B"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529B8F42"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34D3C80B"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3BAE2B82"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23C7E814"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471F168A"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0EB08CB8"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25" w:type="pct"/>
            <w:vMerge/>
            <w:shd w:val="clear" w:color="auto" w:fill="F2F2F2"/>
            <w:vAlign w:val="center"/>
          </w:tcPr>
          <w:p w14:paraId="2613277E"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47DECC8A"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270" w:type="pct"/>
            <w:vMerge/>
            <w:shd w:val="clear" w:color="auto" w:fill="F2F2F2"/>
            <w:vAlign w:val="center"/>
          </w:tcPr>
          <w:p w14:paraId="495993B6"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400" w:type="pct"/>
            <w:vMerge/>
            <w:shd w:val="clear" w:color="auto" w:fill="F2F2F2"/>
            <w:vAlign w:val="center"/>
          </w:tcPr>
          <w:p w14:paraId="0C849532"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78" w:type="pct"/>
            <w:vMerge/>
            <w:shd w:val="clear" w:color="auto" w:fill="F2F2F2"/>
            <w:vAlign w:val="center"/>
          </w:tcPr>
          <w:p w14:paraId="555C5E1A"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r>
      <w:tr w:rsidR="00182FC1" w:rsidRPr="004E3242" w14:paraId="2BA12B7E" w14:textId="77777777" w:rsidTr="007F4F08">
        <w:trPr>
          <w:trHeight w:val="300"/>
        </w:trPr>
        <w:tc>
          <w:tcPr>
            <w:tcW w:w="198" w:type="pct"/>
            <w:vMerge/>
            <w:shd w:val="clear" w:color="auto" w:fill="F2F2F2"/>
            <w:vAlign w:val="center"/>
          </w:tcPr>
          <w:p w14:paraId="48C5CCE9"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textDirection w:val="btLr"/>
            <w:vAlign w:val="center"/>
          </w:tcPr>
          <w:p w14:paraId="6752E7D3"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72947A0B"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119" w:type="pct"/>
            <w:vMerge/>
            <w:shd w:val="clear" w:color="auto" w:fill="F2F2F2"/>
            <w:vAlign w:val="center"/>
          </w:tcPr>
          <w:p w14:paraId="451AE385"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339731F8"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4A64C9F7"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17A4DE87"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2AF993B2"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43A3E569"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01A4CD82"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2A6C97F8"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25" w:type="pct"/>
            <w:vMerge/>
            <w:shd w:val="clear" w:color="auto" w:fill="F2F2F2"/>
            <w:vAlign w:val="center"/>
          </w:tcPr>
          <w:p w14:paraId="230ED139"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0A7D4BAB" w14:textId="77777777" w:rsidR="006838B5" w:rsidRPr="00006FFC" w:rsidRDefault="006838B5" w:rsidP="004E3242">
            <w:pPr>
              <w:spacing w:after="0" w:line="240" w:lineRule="auto"/>
              <w:jc w:val="center"/>
              <w:rPr>
                <w:rFonts w:ascii="Arial" w:eastAsia="Times New Roman" w:hAnsi="Arial" w:cs="Arial"/>
                <w:color w:val="000000"/>
                <w:sz w:val="16"/>
                <w:szCs w:val="16"/>
                <w:lang w:eastAsia="pl-PL"/>
              </w:rPr>
            </w:pPr>
          </w:p>
        </w:tc>
        <w:tc>
          <w:tcPr>
            <w:tcW w:w="270" w:type="pct"/>
            <w:vMerge/>
            <w:shd w:val="clear" w:color="auto" w:fill="F2F2F2"/>
            <w:vAlign w:val="center"/>
          </w:tcPr>
          <w:p w14:paraId="03CC93B0"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400" w:type="pct"/>
            <w:vMerge/>
            <w:shd w:val="clear" w:color="auto" w:fill="F2F2F2"/>
            <w:vAlign w:val="center"/>
          </w:tcPr>
          <w:p w14:paraId="5A4A7761"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c>
          <w:tcPr>
            <w:tcW w:w="378" w:type="pct"/>
            <w:vMerge/>
            <w:shd w:val="clear" w:color="auto" w:fill="F2F2F2"/>
            <w:vAlign w:val="center"/>
          </w:tcPr>
          <w:p w14:paraId="75D29B6A" w14:textId="77777777" w:rsidR="006838B5" w:rsidRPr="004E3242" w:rsidRDefault="006838B5" w:rsidP="004E3242">
            <w:pPr>
              <w:spacing w:after="0" w:line="240" w:lineRule="auto"/>
              <w:jc w:val="center"/>
              <w:rPr>
                <w:rFonts w:ascii="Arial" w:eastAsia="Times New Roman" w:hAnsi="Arial" w:cs="Arial"/>
                <w:color w:val="000000"/>
                <w:sz w:val="16"/>
                <w:szCs w:val="16"/>
                <w:lang w:eastAsia="pl-PL"/>
              </w:rPr>
            </w:pPr>
          </w:p>
        </w:tc>
      </w:tr>
      <w:tr w:rsidR="00182FC1" w:rsidRPr="004E3242" w14:paraId="52544F9C" w14:textId="77777777" w:rsidTr="007F4F08">
        <w:trPr>
          <w:trHeight w:val="511"/>
        </w:trPr>
        <w:tc>
          <w:tcPr>
            <w:tcW w:w="198" w:type="pct"/>
            <w:vMerge/>
            <w:shd w:val="clear" w:color="auto" w:fill="F2F2F2"/>
            <w:vAlign w:val="center"/>
          </w:tcPr>
          <w:p w14:paraId="610E4F8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98" w:type="pct"/>
            <w:vMerge/>
            <w:shd w:val="clear" w:color="auto" w:fill="F2F2F2"/>
            <w:vAlign w:val="center"/>
          </w:tcPr>
          <w:p w14:paraId="7D0D9DD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94" w:type="pct"/>
            <w:gridSpan w:val="2"/>
            <w:vMerge/>
            <w:shd w:val="clear" w:color="auto" w:fill="F2F2F2"/>
            <w:vAlign w:val="center"/>
          </w:tcPr>
          <w:p w14:paraId="0E6D635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119" w:type="pct"/>
            <w:vMerge/>
            <w:tcBorders>
              <w:bottom w:val="nil"/>
            </w:tcBorders>
            <w:shd w:val="clear" w:color="auto" w:fill="F2F2F2"/>
            <w:vAlign w:val="center"/>
          </w:tcPr>
          <w:p w14:paraId="15884AB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F2F2F2"/>
            <w:vAlign w:val="center"/>
          </w:tcPr>
          <w:p w14:paraId="28A7D12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F2F2F2"/>
            <w:vAlign w:val="center"/>
          </w:tcPr>
          <w:p w14:paraId="490EE01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5AB7AAE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F2F2F2"/>
            <w:vAlign w:val="center"/>
          </w:tcPr>
          <w:p w14:paraId="5324EE0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F2F2F2"/>
            <w:vAlign w:val="center"/>
          </w:tcPr>
          <w:p w14:paraId="4ACCA1F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F2F2F2"/>
            <w:vAlign w:val="center"/>
          </w:tcPr>
          <w:p w14:paraId="276F552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F2F2F2"/>
            <w:vAlign w:val="center"/>
          </w:tcPr>
          <w:p w14:paraId="7521B43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25" w:type="pct"/>
            <w:vMerge/>
            <w:shd w:val="clear" w:color="auto" w:fill="F2F2F2"/>
            <w:vAlign w:val="center"/>
          </w:tcPr>
          <w:p w14:paraId="290CA5E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F2F2F2"/>
            <w:vAlign w:val="center"/>
          </w:tcPr>
          <w:p w14:paraId="6544B69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70" w:type="pct"/>
            <w:vMerge/>
            <w:shd w:val="clear" w:color="auto" w:fill="F2F2F2"/>
            <w:vAlign w:val="center"/>
          </w:tcPr>
          <w:p w14:paraId="181D1FB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00" w:type="pct"/>
            <w:vMerge/>
            <w:shd w:val="clear" w:color="auto" w:fill="F2F2F2"/>
            <w:vAlign w:val="center"/>
          </w:tcPr>
          <w:p w14:paraId="3055673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78" w:type="pct"/>
            <w:vMerge/>
            <w:shd w:val="clear" w:color="auto" w:fill="F2F2F2"/>
            <w:vAlign w:val="center"/>
          </w:tcPr>
          <w:p w14:paraId="5764D53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E961DD" w:rsidRPr="004E3242" w14:paraId="3ED9B2EB" w14:textId="77777777" w:rsidTr="007F4F08">
        <w:trPr>
          <w:trHeight w:val="969"/>
        </w:trPr>
        <w:tc>
          <w:tcPr>
            <w:tcW w:w="908" w:type="pct"/>
            <w:gridSpan w:val="5"/>
            <w:tcBorders>
              <w:top w:val="nil"/>
              <w:bottom w:val="single" w:sz="8" w:space="0" w:color="FFFFFF"/>
            </w:tcBorders>
            <w:shd w:val="clear" w:color="auto" w:fill="F2F2F2"/>
            <w:vAlign w:val="center"/>
          </w:tcPr>
          <w:tbl>
            <w:tblPr>
              <w:tblW w:w="4379"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4A0" w:firstRow="1" w:lastRow="0" w:firstColumn="1" w:lastColumn="0" w:noHBand="0" w:noVBand="1"/>
            </w:tblPr>
            <w:tblGrid>
              <w:gridCol w:w="529"/>
              <w:gridCol w:w="528"/>
              <w:gridCol w:w="1052"/>
            </w:tblGrid>
            <w:tr w:rsidR="00370208" w:rsidRPr="006332D9" w14:paraId="4998BB32" w14:textId="77777777" w:rsidTr="006332D9">
              <w:trPr>
                <w:trHeight w:val="330"/>
              </w:trPr>
              <w:tc>
                <w:tcPr>
                  <w:tcW w:w="1254" w:type="pct"/>
                  <w:vMerge w:val="restart"/>
                  <w:shd w:val="clear" w:color="000000" w:fill="F2F2F2"/>
                  <w:vAlign w:val="center"/>
                </w:tcPr>
                <w:p w14:paraId="077EE918"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r w:rsidRPr="006332D9">
                    <w:rPr>
                      <w:rFonts w:ascii="Arial" w:eastAsia="Times New Roman" w:hAnsi="Arial" w:cs="Arial"/>
                      <w:color w:val="000000"/>
                      <w:sz w:val="16"/>
                      <w:szCs w:val="16"/>
                      <w:lang w:eastAsia="pl-PL"/>
                    </w:rPr>
                    <w:t>XII.</w:t>
                  </w:r>
                </w:p>
              </w:tc>
              <w:tc>
                <w:tcPr>
                  <w:tcW w:w="1252" w:type="pct"/>
                  <w:vMerge w:val="restart"/>
                  <w:shd w:val="clear" w:color="000000" w:fill="F2F2F2"/>
                  <w:textDirection w:val="btLr"/>
                  <w:vAlign w:val="center"/>
                </w:tcPr>
                <w:p w14:paraId="2AC0F3E5" w14:textId="77777777" w:rsidR="00370208" w:rsidRPr="006332D9" w:rsidRDefault="00FF68B3" w:rsidP="00E83AA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EFRR</w:t>
                  </w:r>
                  <w:r w:rsidR="004E601E">
                    <w:rPr>
                      <w:rFonts w:ascii="Arial" w:eastAsia="Times New Roman" w:hAnsi="Arial" w:cs="Arial"/>
                      <w:color w:val="000000"/>
                      <w:sz w:val="16"/>
                      <w:szCs w:val="16"/>
                      <w:lang w:eastAsia="pl-PL"/>
                    </w:rPr>
                    <w:t xml:space="preserve"> REACT-EU</w:t>
                  </w:r>
                </w:p>
              </w:tc>
              <w:tc>
                <w:tcPr>
                  <w:tcW w:w="2494" w:type="pct"/>
                  <w:vMerge w:val="restart"/>
                  <w:shd w:val="clear" w:color="000000" w:fill="F2F2F2"/>
                  <w:vAlign w:val="center"/>
                </w:tcPr>
                <w:p w14:paraId="4759582E" w14:textId="77777777" w:rsidR="00370208" w:rsidRPr="006332D9" w:rsidRDefault="00FF68B3" w:rsidP="00E83AA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r>
            <w:tr w:rsidR="00370208" w:rsidRPr="006332D9" w14:paraId="128852B0" w14:textId="77777777" w:rsidTr="006332D9">
              <w:trPr>
                <w:trHeight w:val="330"/>
              </w:trPr>
              <w:tc>
                <w:tcPr>
                  <w:tcW w:w="1254" w:type="pct"/>
                  <w:vMerge/>
                  <w:shd w:val="clear" w:color="000000" w:fill="F2F2F2"/>
                  <w:vAlign w:val="center"/>
                </w:tcPr>
                <w:p w14:paraId="035248E1"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c>
                <w:tcPr>
                  <w:tcW w:w="1252" w:type="pct"/>
                  <w:vMerge/>
                  <w:shd w:val="clear" w:color="000000" w:fill="F2F2F2"/>
                  <w:textDirection w:val="btLr"/>
                  <w:vAlign w:val="center"/>
                </w:tcPr>
                <w:p w14:paraId="06C29FCE"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c>
                <w:tcPr>
                  <w:tcW w:w="2494" w:type="pct"/>
                  <w:vMerge/>
                  <w:shd w:val="clear" w:color="000000" w:fill="F2F2F2"/>
                  <w:vAlign w:val="center"/>
                </w:tcPr>
                <w:p w14:paraId="737960ED"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r>
            <w:tr w:rsidR="00370208" w:rsidRPr="006332D9" w14:paraId="290B6042" w14:textId="77777777" w:rsidTr="006332D9">
              <w:trPr>
                <w:trHeight w:val="330"/>
              </w:trPr>
              <w:tc>
                <w:tcPr>
                  <w:tcW w:w="1254" w:type="pct"/>
                  <w:vMerge/>
                  <w:shd w:val="clear" w:color="000000" w:fill="F2F2F2"/>
                  <w:vAlign w:val="center"/>
                </w:tcPr>
                <w:p w14:paraId="12D8D22D"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c>
                <w:tcPr>
                  <w:tcW w:w="1252" w:type="pct"/>
                  <w:vMerge/>
                  <w:shd w:val="clear" w:color="000000" w:fill="F2F2F2"/>
                  <w:textDirection w:val="btLr"/>
                  <w:vAlign w:val="center"/>
                </w:tcPr>
                <w:p w14:paraId="2303D095"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c>
                <w:tcPr>
                  <w:tcW w:w="2494" w:type="pct"/>
                  <w:vMerge/>
                  <w:shd w:val="clear" w:color="000000" w:fill="F2F2F2"/>
                  <w:vAlign w:val="center"/>
                </w:tcPr>
                <w:p w14:paraId="64659B80"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r>
            <w:tr w:rsidR="00370208" w:rsidRPr="006332D9" w14:paraId="05DEBAA4" w14:textId="77777777" w:rsidTr="006332D9">
              <w:trPr>
                <w:trHeight w:val="562"/>
              </w:trPr>
              <w:tc>
                <w:tcPr>
                  <w:tcW w:w="1254" w:type="pct"/>
                  <w:vMerge/>
                  <w:vAlign w:val="center"/>
                </w:tcPr>
                <w:p w14:paraId="347886E3"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c>
                <w:tcPr>
                  <w:tcW w:w="1252" w:type="pct"/>
                  <w:vMerge/>
                  <w:vAlign w:val="center"/>
                </w:tcPr>
                <w:p w14:paraId="0EDB942D"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c>
                <w:tcPr>
                  <w:tcW w:w="2494" w:type="pct"/>
                  <w:vMerge/>
                  <w:vAlign w:val="center"/>
                </w:tcPr>
                <w:p w14:paraId="18D0306E" w14:textId="77777777" w:rsidR="00370208" w:rsidRPr="006332D9" w:rsidRDefault="00370208" w:rsidP="00E83AA2">
                  <w:pPr>
                    <w:spacing w:after="0" w:line="240" w:lineRule="auto"/>
                    <w:jc w:val="center"/>
                    <w:rPr>
                      <w:rFonts w:ascii="Arial" w:eastAsia="Times New Roman" w:hAnsi="Arial" w:cs="Arial"/>
                      <w:color w:val="000000"/>
                      <w:sz w:val="16"/>
                      <w:szCs w:val="16"/>
                      <w:lang w:eastAsia="pl-PL"/>
                    </w:rPr>
                  </w:pPr>
                </w:p>
              </w:tc>
            </w:tr>
          </w:tbl>
          <w:p w14:paraId="4CAACE6A" w14:textId="77777777" w:rsidR="00370208" w:rsidRPr="006332D9" w:rsidRDefault="00370208" w:rsidP="004E3242">
            <w:pPr>
              <w:spacing w:after="0" w:line="240" w:lineRule="auto"/>
              <w:jc w:val="center"/>
              <w:rPr>
                <w:rFonts w:ascii="Arial" w:eastAsia="Times New Roman" w:hAnsi="Arial" w:cs="Arial"/>
                <w:color w:val="000000"/>
                <w:sz w:val="16"/>
                <w:szCs w:val="16"/>
                <w:lang w:eastAsia="pl-PL"/>
              </w:rPr>
            </w:pPr>
          </w:p>
        </w:tc>
        <w:tc>
          <w:tcPr>
            <w:tcW w:w="308" w:type="pct"/>
            <w:tcBorders>
              <w:bottom w:val="single" w:sz="8" w:space="0" w:color="FFFFFF"/>
            </w:tcBorders>
            <w:shd w:val="clear" w:color="auto" w:fill="F2F2F2"/>
            <w:vAlign w:val="center"/>
          </w:tcPr>
          <w:p w14:paraId="2AD5FDD6" w14:textId="4ECA7279" w:rsidR="00A36252" w:rsidRDefault="00A36252" w:rsidP="00A36252">
            <w:pPr>
              <w:spacing w:after="0" w:line="240" w:lineRule="auto"/>
              <w:jc w:val="center"/>
              <w:rPr>
                <w:rFonts w:ascii="Arial" w:eastAsia="Times New Roman" w:hAnsi="Arial" w:cs="Arial"/>
                <w:color w:val="000000"/>
                <w:sz w:val="16"/>
                <w:szCs w:val="16"/>
                <w:lang w:eastAsia="pl-PL"/>
              </w:rPr>
            </w:pPr>
            <w:r w:rsidRPr="00A36252">
              <w:rPr>
                <w:rFonts w:ascii="Arial" w:eastAsia="Times New Roman" w:hAnsi="Arial" w:cs="Arial"/>
                <w:color w:val="000000"/>
                <w:sz w:val="16"/>
                <w:szCs w:val="16"/>
                <w:lang w:eastAsia="pl-PL"/>
              </w:rPr>
              <w:lastRenderedPageBreak/>
              <w:t>30 715 624</w:t>
            </w:r>
          </w:p>
          <w:p w14:paraId="369B9265" w14:textId="138C65DC" w:rsidR="00370208" w:rsidRPr="006332D9" w:rsidRDefault="00370208" w:rsidP="004E3242">
            <w:pPr>
              <w:spacing w:after="0" w:line="240" w:lineRule="auto"/>
              <w:jc w:val="center"/>
              <w:rPr>
                <w:rFonts w:ascii="Arial" w:eastAsia="Times New Roman" w:hAnsi="Arial" w:cs="Arial"/>
                <w:color w:val="000000"/>
                <w:sz w:val="16"/>
                <w:szCs w:val="16"/>
                <w:lang w:eastAsia="pl-PL"/>
              </w:rPr>
            </w:pPr>
          </w:p>
        </w:tc>
        <w:tc>
          <w:tcPr>
            <w:tcW w:w="300" w:type="pct"/>
            <w:tcBorders>
              <w:bottom w:val="single" w:sz="8" w:space="0" w:color="FFFFFF"/>
            </w:tcBorders>
            <w:shd w:val="clear" w:color="auto" w:fill="F2F2F2"/>
            <w:vAlign w:val="center"/>
          </w:tcPr>
          <w:p w14:paraId="4FFE71F9" w14:textId="6445C15A" w:rsidR="007F4F08" w:rsidRDefault="007F4F08" w:rsidP="004E3242">
            <w:pPr>
              <w:spacing w:after="0" w:line="240" w:lineRule="auto"/>
              <w:jc w:val="center"/>
              <w:rPr>
                <w:rFonts w:ascii="Arial" w:eastAsia="Times New Roman" w:hAnsi="Arial" w:cs="Arial"/>
                <w:color w:val="000000"/>
                <w:sz w:val="16"/>
                <w:szCs w:val="16"/>
                <w:lang w:eastAsia="pl-PL"/>
              </w:rPr>
            </w:pPr>
            <w:r w:rsidRPr="007F4F08">
              <w:rPr>
                <w:rFonts w:ascii="Arial" w:eastAsia="Times New Roman" w:hAnsi="Arial" w:cs="Arial"/>
                <w:color w:val="000000"/>
                <w:sz w:val="16"/>
                <w:szCs w:val="16"/>
                <w:lang w:eastAsia="pl-PL"/>
              </w:rPr>
              <w:t>5 420</w:t>
            </w:r>
            <w:r>
              <w:rPr>
                <w:rFonts w:ascii="Arial" w:eastAsia="Times New Roman" w:hAnsi="Arial" w:cs="Arial"/>
                <w:color w:val="000000"/>
                <w:sz w:val="16"/>
                <w:szCs w:val="16"/>
                <w:lang w:eastAsia="pl-PL"/>
              </w:rPr>
              <w:t> </w:t>
            </w:r>
            <w:r w:rsidRPr="007F4F08">
              <w:rPr>
                <w:rFonts w:ascii="Arial" w:eastAsia="Times New Roman" w:hAnsi="Arial" w:cs="Arial"/>
                <w:color w:val="000000"/>
                <w:sz w:val="16"/>
                <w:szCs w:val="16"/>
                <w:lang w:eastAsia="pl-PL"/>
              </w:rPr>
              <w:t>405</w:t>
            </w:r>
          </w:p>
          <w:p w14:paraId="40ACAEBB" w14:textId="0C2C63BE" w:rsidR="00370208" w:rsidRPr="006332D9" w:rsidRDefault="00370208" w:rsidP="004E3242">
            <w:pPr>
              <w:spacing w:after="0" w:line="240" w:lineRule="auto"/>
              <w:jc w:val="center"/>
              <w:rPr>
                <w:rFonts w:ascii="Arial" w:eastAsia="Times New Roman" w:hAnsi="Arial" w:cs="Arial"/>
                <w:color w:val="000000"/>
                <w:sz w:val="16"/>
                <w:szCs w:val="16"/>
                <w:lang w:eastAsia="pl-PL"/>
              </w:rPr>
            </w:pPr>
          </w:p>
        </w:tc>
        <w:tc>
          <w:tcPr>
            <w:tcW w:w="412" w:type="pct"/>
            <w:tcBorders>
              <w:bottom w:val="single" w:sz="8" w:space="0" w:color="FFFFFF"/>
            </w:tcBorders>
            <w:shd w:val="clear" w:color="auto" w:fill="F2F2F2"/>
            <w:vAlign w:val="center"/>
          </w:tcPr>
          <w:p w14:paraId="3D7B784E" w14:textId="0A9BC5B3" w:rsidR="007F4F08" w:rsidRDefault="007F4F08" w:rsidP="004E3242">
            <w:pPr>
              <w:spacing w:after="0" w:line="240" w:lineRule="auto"/>
              <w:jc w:val="center"/>
              <w:rPr>
                <w:rFonts w:ascii="Arial" w:eastAsia="Times New Roman" w:hAnsi="Arial" w:cs="Arial"/>
                <w:color w:val="000000"/>
                <w:sz w:val="16"/>
                <w:szCs w:val="16"/>
                <w:lang w:eastAsia="pl-PL"/>
              </w:rPr>
            </w:pPr>
            <w:r w:rsidRPr="007F4F08">
              <w:rPr>
                <w:rFonts w:ascii="Arial" w:eastAsia="Times New Roman" w:hAnsi="Arial" w:cs="Arial"/>
                <w:color w:val="000000"/>
                <w:sz w:val="16"/>
                <w:szCs w:val="16"/>
                <w:lang w:eastAsia="pl-PL"/>
              </w:rPr>
              <w:t>5 420</w:t>
            </w:r>
            <w:r>
              <w:rPr>
                <w:rFonts w:ascii="Arial" w:eastAsia="Times New Roman" w:hAnsi="Arial" w:cs="Arial"/>
                <w:color w:val="000000"/>
                <w:sz w:val="16"/>
                <w:szCs w:val="16"/>
                <w:lang w:eastAsia="pl-PL"/>
              </w:rPr>
              <w:t> </w:t>
            </w:r>
            <w:r w:rsidRPr="007F4F08">
              <w:rPr>
                <w:rFonts w:ascii="Arial" w:eastAsia="Times New Roman" w:hAnsi="Arial" w:cs="Arial"/>
                <w:color w:val="000000"/>
                <w:sz w:val="16"/>
                <w:szCs w:val="16"/>
                <w:lang w:eastAsia="pl-PL"/>
              </w:rPr>
              <w:t>405</w:t>
            </w:r>
          </w:p>
          <w:p w14:paraId="1FA104AF" w14:textId="1DFB3A0E" w:rsidR="00370208" w:rsidRPr="006332D9" w:rsidRDefault="00370208" w:rsidP="004E3242">
            <w:pPr>
              <w:spacing w:after="0" w:line="240" w:lineRule="auto"/>
              <w:jc w:val="center"/>
              <w:rPr>
                <w:rFonts w:ascii="Arial" w:eastAsia="Times New Roman" w:hAnsi="Arial" w:cs="Arial"/>
                <w:color w:val="000000"/>
                <w:sz w:val="16"/>
                <w:szCs w:val="16"/>
                <w:lang w:eastAsia="pl-PL"/>
              </w:rPr>
            </w:pPr>
          </w:p>
        </w:tc>
        <w:tc>
          <w:tcPr>
            <w:tcW w:w="312" w:type="pct"/>
            <w:tcBorders>
              <w:bottom w:val="single" w:sz="8" w:space="0" w:color="FFFFFF"/>
            </w:tcBorders>
            <w:shd w:val="clear" w:color="auto" w:fill="F2F2F2"/>
            <w:vAlign w:val="center"/>
          </w:tcPr>
          <w:p w14:paraId="7F3D6278" w14:textId="77777777" w:rsidR="00370208" w:rsidRPr="006332D9" w:rsidRDefault="000674E7"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w:t>
            </w:r>
          </w:p>
        </w:tc>
        <w:tc>
          <w:tcPr>
            <w:tcW w:w="335" w:type="pct"/>
            <w:tcBorders>
              <w:bottom w:val="single" w:sz="8" w:space="0" w:color="FFFFFF"/>
            </w:tcBorders>
            <w:shd w:val="clear" w:color="auto" w:fill="F2F2F2"/>
            <w:vAlign w:val="center"/>
          </w:tcPr>
          <w:p w14:paraId="1D573096" w14:textId="67E800A0" w:rsidR="007F4F08" w:rsidRDefault="007F4F08" w:rsidP="00C25084">
            <w:pPr>
              <w:spacing w:after="0" w:line="240" w:lineRule="auto"/>
              <w:rPr>
                <w:rFonts w:ascii="Arial" w:eastAsia="Times New Roman" w:hAnsi="Arial" w:cs="Arial"/>
                <w:color w:val="000000"/>
                <w:sz w:val="16"/>
                <w:szCs w:val="16"/>
                <w:lang w:eastAsia="pl-PL"/>
              </w:rPr>
            </w:pPr>
            <w:r w:rsidRPr="007F4F08">
              <w:rPr>
                <w:rFonts w:ascii="Arial" w:eastAsia="Times New Roman" w:hAnsi="Arial" w:cs="Arial"/>
                <w:color w:val="000000"/>
                <w:sz w:val="16"/>
                <w:szCs w:val="16"/>
                <w:lang w:eastAsia="pl-PL"/>
              </w:rPr>
              <w:t>36 136</w:t>
            </w:r>
            <w:r>
              <w:rPr>
                <w:rFonts w:ascii="Arial" w:eastAsia="Times New Roman" w:hAnsi="Arial" w:cs="Arial"/>
                <w:color w:val="000000"/>
                <w:sz w:val="16"/>
                <w:szCs w:val="16"/>
                <w:lang w:eastAsia="pl-PL"/>
              </w:rPr>
              <w:t> </w:t>
            </w:r>
            <w:r w:rsidRPr="007F4F08">
              <w:rPr>
                <w:rFonts w:ascii="Arial" w:eastAsia="Times New Roman" w:hAnsi="Arial" w:cs="Arial"/>
                <w:color w:val="000000"/>
                <w:sz w:val="16"/>
                <w:szCs w:val="16"/>
                <w:lang w:eastAsia="pl-PL"/>
              </w:rPr>
              <w:t>029</w:t>
            </w:r>
          </w:p>
          <w:p w14:paraId="66993514" w14:textId="49EEF03F" w:rsidR="00370208" w:rsidRPr="006332D9" w:rsidRDefault="00370208" w:rsidP="00C25084">
            <w:pPr>
              <w:spacing w:after="0" w:line="240" w:lineRule="auto"/>
              <w:rPr>
                <w:rFonts w:ascii="Arial" w:eastAsia="Times New Roman" w:hAnsi="Arial" w:cs="Arial"/>
                <w:color w:val="000000"/>
                <w:sz w:val="16"/>
                <w:szCs w:val="16"/>
                <w:lang w:eastAsia="pl-PL"/>
              </w:rPr>
            </w:pPr>
          </w:p>
        </w:tc>
        <w:tc>
          <w:tcPr>
            <w:tcW w:w="287" w:type="pct"/>
            <w:tcBorders>
              <w:bottom w:val="single" w:sz="8" w:space="0" w:color="FFFFFF"/>
            </w:tcBorders>
            <w:shd w:val="clear" w:color="auto" w:fill="F2F2F2"/>
            <w:vAlign w:val="center"/>
          </w:tcPr>
          <w:p w14:paraId="1E961CA8" w14:textId="77777777" w:rsidR="00370208" w:rsidRPr="006332D9" w:rsidRDefault="000674E7"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0,85</w:t>
            </w:r>
          </w:p>
        </w:tc>
        <w:tc>
          <w:tcPr>
            <w:tcW w:w="352" w:type="pct"/>
            <w:tcBorders>
              <w:bottom w:val="single" w:sz="8" w:space="0" w:color="FFFFFF"/>
            </w:tcBorders>
            <w:shd w:val="clear" w:color="auto" w:fill="F2F2F2"/>
            <w:vAlign w:val="center"/>
          </w:tcPr>
          <w:p w14:paraId="7FD60B14" w14:textId="77777777" w:rsidR="00370208" w:rsidRPr="006332D9" w:rsidRDefault="00FF68B3"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325" w:type="pct"/>
            <w:tcBorders>
              <w:bottom w:val="single" w:sz="8" w:space="0" w:color="FFFFFF"/>
            </w:tcBorders>
            <w:shd w:val="clear" w:color="auto" w:fill="F2F2F2"/>
            <w:vAlign w:val="center"/>
          </w:tcPr>
          <w:p w14:paraId="3B2485FB" w14:textId="1940F2FF" w:rsidR="007F4F08" w:rsidRDefault="007F4F08" w:rsidP="004E3242">
            <w:pPr>
              <w:spacing w:after="0" w:line="240" w:lineRule="auto"/>
              <w:jc w:val="center"/>
              <w:rPr>
                <w:rFonts w:ascii="Arial" w:eastAsia="Times New Roman" w:hAnsi="Arial" w:cs="Arial"/>
                <w:color w:val="000000"/>
                <w:sz w:val="16"/>
                <w:szCs w:val="16"/>
                <w:lang w:eastAsia="pl-PL"/>
              </w:rPr>
            </w:pPr>
            <w:r w:rsidRPr="007F4F08">
              <w:rPr>
                <w:rFonts w:ascii="Arial" w:eastAsia="Times New Roman" w:hAnsi="Arial" w:cs="Arial"/>
                <w:color w:val="000000"/>
                <w:sz w:val="16"/>
                <w:szCs w:val="16"/>
                <w:lang w:eastAsia="pl-PL"/>
              </w:rPr>
              <w:t>30 715</w:t>
            </w:r>
            <w:r>
              <w:rPr>
                <w:rFonts w:ascii="Arial" w:eastAsia="Times New Roman" w:hAnsi="Arial" w:cs="Arial"/>
                <w:color w:val="000000"/>
                <w:sz w:val="16"/>
                <w:szCs w:val="16"/>
                <w:lang w:eastAsia="pl-PL"/>
              </w:rPr>
              <w:t> </w:t>
            </w:r>
            <w:r w:rsidRPr="007F4F08">
              <w:rPr>
                <w:rFonts w:ascii="Arial" w:eastAsia="Times New Roman" w:hAnsi="Arial" w:cs="Arial"/>
                <w:color w:val="000000"/>
                <w:sz w:val="16"/>
                <w:szCs w:val="16"/>
                <w:lang w:eastAsia="pl-PL"/>
              </w:rPr>
              <w:t>624</w:t>
            </w:r>
          </w:p>
          <w:p w14:paraId="6BE47D18" w14:textId="6E836D76" w:rsidR="00370208" w:rsidRPr="006332D9" w:rsidRDefault="00370208" w:rsidP="004E3242">
            <w:pPr>
              <w:spacing w:after="0" w:line="240" w:lineRule="auto"/>
              <w:jc w:val="center"/>
              <w:rPr>
                <w:rFonts w:ascii="Arial" w:eastAsia="Times New Roman" w:hAnsi="Arial" w:cs="Arial"/>
                <w:color w:val="000000"/>
                <w:sz w:val="16"/>
                <w:szCs w:val="16"/>
                <w:lang w:eastAsia="pl-PL"/>
              </w:rPr>
            </w:pPr>
          </w:p>
        </w:tc>
        <w:tc>
          <w:tcPr>
            <w:tcW w:w="412" w:type="pct"/>
            <w:tcBorders>
              <w:bottom w:val="single" w:sz="8" w:space="0" w:color="FFFFFF"/>
            </w:tcBorders>
            <w:shd w:val="clear" w:color="auto" w:fill="F2F2F2"/>
            <w:vAlign w:val="center"/>
          </w:tcPr>
          <w:p w14:paraId="3FD48B78" w14:textId="46F2D609" w:rsidR="007F4F08" w:rsidRDefault="007F4F08" w:rsidP="004E3242">
            <w:pPr>
              <w:spacing w:after="0" w:line="240" w:lineRule="auto"/>
              <w:jc w:val="center"/>
              <w:rPr>
                <w:rFonts w:ascii="Arial" w:eastAsia="Times New Roman" w:hAnsi="Arial" w:cs="Arial"/>
                <w:color w:val="000000"/>
                <w:sz w:val="16"/>
                <w:szCs w:val="16"/>
                <w:lang w:eastAsia="pl-PL"/>
              </w:rPr>
            </w:pPr>
            <w:r w:rsidRPr="007F4F08">
              <w:rPr>
                <w:rFonts w:ascii="Arial" w:eastAsia="Times New Roman" w:hAnsi="Arial" w:cs="Arial"/>
                <w:color w:val="000000"/>
                <w:sz w:val="16"/>
                <w:szCs w:val="16"/>
                <w:lang w:eastAsia="pl-PL"/>
              </w:rPr>
              <w:t>5 420</w:t>
            </w:r>
            <w:r>
              <w:rPr>
                <w:rFonts w:ascii="Arial" w:eastAsia="Times New Roman" w:hAnsi="Arial" w:cs="Arial"/>
                <w:color w:val="000000"/>
                <w:sz w:val="16"/>
                <w:szCs w:val="16"/>
                <w:lang w:eastAsia="pl-PL"/>
              </w:rPr>
              <w:t> </w:t>
            </w:r>
            <w:r w:rsidRPr="007F4F08">
              <w:rPr>
                <w:rFonts w:ascii="Arial" w:eastAsia="Times New Roman" w:hAnsi="Arial" w:cs="Arial"/>
                <w:color w:val="000000"/>
                <w:sz w:val="16"/>
                <w:szCs w:val="16"/>
                <w:lang w:eastAsia="pl-PL"/>
              </w:rPr>
              <w:t>405</w:t>
            </w:r>
          </w:p>
          <w:p w14:paraId="0EB340DD" w14:textId="430B3A22" w:rsidR="00370208" w:rsidRPr="006332D9" w:rsidRDefault="00370208" w:rsidP="004E3242">
            <w:pPr>
              <w:spacing w:after="0" w:line="240" w:lineRule="auto"/>
              <w:jc w:val="center"/>
              <w:rPr>
                <w:rFonts w:ascii="Arial" w:eastAsia="Times New Roman" w:hAnsi="Arial" w:cs="Arial"/>
                <w:color w:val="000000"/>
                <w:sz w:val="16"/>
                <w:szCs w:val="16"/>
                <w:lang w:eastAsia="pl-PL"/>
              </w:rPr>
            </w:pPr>
          </w:p>
        </w:tc>
        <w:tc>
          <w:tcPr>
            <w:tcW w:w="270" w:type="pct"/>
            <w:tcBorders>
              <w:bottom w:val="single" w:sz="8" w:space="0" w:color="FFFFFF"/>
            </w:tcBorders>
            <w:shd w:val="clear" w:color="auto" w:fill="F2F2F2"/>
            <w:vAlign w:val="center"/>
          </w:tcPr>
          <w:p w14:paraId="0DCC1A15" w14:textId="77777777" w:rsidR="00370208" w:rsidRPr="006332D9" w:rsidRDefault="00FF68B3"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400" w:type="pct"/>
            <w:tcBorders>
              <w:bottom w:val="single" w:sz="8" w:space="0" w:color="FFFFFF"/>
            </w:tcBorders>
            <w:shd w:val="clear" w:color="auto" w:fill="F2F2F2"/>
            <w:vAlign w:val="center"/>
          </w:tcPr>
          <w:p w14:paraId="6A114927" w14:textId="77777777" w:rsidR="00370208" w:rsidRPr="006332D9" w:rsidRDefault="00FF68B3"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378" w:type="pct"/>
            <w:tcBorders>
              <w:bottom w:val="single" w:sz="8" w:space="0" w:color="FFFFFF"/>
            </w:tcBorders>
            <w:shd w:val="clear" w:color="auto" w:fill="F2F2F2"/>
            <w:vAlign w:val="center"/>
          </w:tcPr>
          <w:p w14:paraId="34305FD8" w14:textId="77777777" w:rsidR="00370208" w:rsidRPr="006332D9" w:rsidRDefault="00FF68B3"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r>
      <w:tr w:rsidR="00E961DD" w:rsidRPr="004E3242" w14:paraId="143D4CA5" w14:textId="77777777" w:rsidTr="007F4F08">
        <w:trPr>
          <w:trHeight w:val="300"/>
        </w:trPr>
        <w:tc>
          <w:tcPr>
            <w:tcW w:w="908" w:type="pct"/>
            <w:gridSpan w:val="5"/>
            <w:vMerge w:val="restart"/>
            <w:shd w:val="clear" w:color="auto" w:fill="D9D9D9"/>
            <w:vAlign w:val="center"/>
          </w:tcPr>
          <w:p w14:paraId="40B1A5D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Ogółem</w:t>
            </w:r>
          </w:p>
        </w:tc>
        <w:tc>
          <w:tcPr>
            <w:tcW w:w="308" w:type="pct"/>
            <w:vMerge w:val="restart"/>
            <w:shd w:val="clear" w:color="auto" w:fill="D9D9D9"/>
            <w:vAlign w:val="center"/>
          </w:tcPr>
          <w:p w14:paraId="620CE07C" w14:textId="3F2CF7D5" w:rsidR="00DE363F" w:rsidRDefault="00DE363F" w:rsidP="004E3242">
            <w:pPr>
              <w:spacing w:after="0" w:line="240" w:lineRule="auto"/>
              <w:jc w:val="center"/>
              <w:rPr>
                <w:rFonts w:ascii="Arial" w:eastAsia="Times New Roman" w:hAnsi="Arial" w:cs="Arial"/>
                <w:color w:val="000000"/>
                <w:sz w:val="16"/>
                <w:szCs w:val="16"/>
                <w:lang w:eastAsia="pl-PL"/>
              </w:rPr>
            </w:pPr>
            <w:r w:rsidRPr="00DE363F">
              <w:rPr>
                <w:rFonts w:ascii="Arial" w:eastAsia="Times New Roman" w:hAnsi="Arial" w:cs="Arial"/>
                <w:color w:val="000000"/>
                <w:sz w:val="16"/>
                <w:szCs w:val="16"/>
                <w:lang w:eastAsia="pl-PL"/>
              </w:rPr>
              <w:t>28 178 637</w:t>
            </w:r>
            <w:r>
              <w:rPr>
                <w:rFonts w:ascii="Arial" w:eastAsia="Times New Roman" w:hAnsi="Arial" w:cs="Arial"/>
                <w:color w:val="000000"/>
                <w:sz w:val="16"/>
                <w:szCs w:val="16"/>
                <w:lang w:eastAsia="pl-PL"/>
              </w:rPr>
              <w:t> </w:t>
            </w:r>
            <w:r w:rsidRPr="00DE363F">
              <w:rPr>
                <w:rFonts w:ascii="Arial" w:eastAsia="Times New Roman" w:hAnsi="Arial" w:cs="Arial"/>
                <w:color w:val="000000"/>
                <w:sz w:val="16"/>
                <w:szCs w:val="16"/>
                <w:lang w:eastAsia="pl-PL"/>
              </w:rPr>
              <w:t>512</w:t>
            </w:r>
          </w:p>
          <w:p w14:paraId="1D74C9DE" w14:textId="77777777" w:rsidR="004E3242" w:rsidRPr="004E3242" w:rsidRDefault="004E3242" w:rsidP="00E62424">
            <w:pPr>
              <w:spacing w:after="0" w:line="240" w:lineRule="auto"/>
              <w:jc w:val="center"/>
              <w:rPr>
                <w:rFonts w:ascii="Arial" w:eastAsia="Times New Roman" w:hAnsi="Arial" w:cs="Arial"/>
                <w:color w:val="000000"/>
                <w:sz w:val="16"/>
                <w:szCs w:val="16"/>
                <w:lang w:eastAsia="pl-PL"/>
              </w:rPr>
            </w:pPr>
          </w:p>
        </w:tc>
        <w:tc>
          <w:tcPr>
            <w:tcW w:w="300" w:type="pct"/>
            <w:vMerge w:val="restart"/>
            <w:shd w:val="clear" w:color="auto" w:fill="D9D9D9"/>
            <w:vAlign w:val="center"/>
          </w:tcPr>
          <w:p w14:paraId="1CA71A9A" w14:textId="09FD568E" w:rsidR="00D302F2" w:rsidRDefault="00C25084"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r w:rsidR="00D302F2" w:rsidRPr="00D302F2">
              <w:rPr>
                <w:rFonts w:ascii="Arial" w:eastAsia="Times New Roman" w:hAnsi="Arial" w:cs="Arial"/>
                <w:color w:val="000000"/>
                <w:sz w:val="16"/>
                <w:szCs w:val="16"/>
                <w:lang w:eastAsia="pl-PL"/>
              </w:rPr>
              <w:t>4 858 694</w:t>
            </w:r>
            <w:r w:rsidR="00D302F2">
              <w:rPr>
                <w:rFonts w:ascii="Arial" w:eastAsia="Times New Roman" w:hAnsi="Arial" w:cs="Arial"/>
                <w:color w:val="000000"/>
                <w:sz w:val="16"/>
                <w:szCs w:val="16"/>
                <w:lang w:eastAsia="pl-PL"/>
              </w:rPr>
              <w:t> </w:t>
            </w:r>
            <w:r w:rsidR="00D302F2" w:rsidRPr="00D302F2">
              <w:rPr>
                <w:rFonts w:ascii="Arial" w:eastAsia="Times New Roman" w:hAnsi="Arial" w:cs="Arial"/>
                <w:color w:val="000000"/>
                <w:sz w:val="16"/>
                <w:szCs w:val="16"/>
                <w:lang w:eastAsia="pl-PL"/>
              </w:rPr>
              <w:t>101</w:t>
            </w:r>
          </w:p>
          <w:p w14:paraId="2A3E4480" w14:textId="77777777" w:rsidR="00C25084" w:rsidRPr="004E3242" w:rsidRDefault="00C25084" w:rsidP="00E62424">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D9D9D9"/>
            <w:vAlign w:val="center"/>
          </w:tcPr>
          <w:p w14:paraId="31D6AFC1" w14:textId="49DD0FF3" w:rsidR="00BC052E" w:rsidRDefault="00182FC1" w:rsidP="00182FC1">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3 980 376 185</w:t>
            </w:r>
          </w:p>
          <w:p w14:paraId="5A2E2A8D" w14:textId="77777777" w:rsidR="00C25084" w:rsidRPr="004E3242" w:rsidRDefault="00C25084" w:rsidP="00EA3884">
            <w:pPr>
              <w:spacing w:after="0" w:line="240" w:lineRule="auto"/>
              <w:jc w:val="center"/>
              <w:rPr>
                <w:rFonts w:ascii="Arial" w:eastAsia="Times New Roman" w:hAnsi="Arial" w:cs="Arial"/>
                <w:color w:val="000000"/>
                <w:sz w:val="16"/>
                <w:szCs w:val="16"/>
                <w:lang w:eastAsia="pl-PL"/>
              </w:rPr>
            </w:pPr>
          </w:p>
        </w:tc>
        <w:tc>
          <w:tcPr>
            <w:tcW w:w="312" w:type="pct"/>
            <w:vMerge w:val="restart"/>
            <w:shd w:val="clear" w:color="auto" w:fill="D9D9D9"/>
            <w:vAlign w:val="center"/>
          </w:tcPr>
          <w:p w14:paraId="38233F3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878 317 916</w:t>
            </w:r>
          </w:p>
        </w:tc>
        <w:tc>
          <w:tcPr>
            <w:tcW w:w="335" w:type="pct"/>
            <w:vMerge w:val="restart"/>
            <w:shd w:val="clear" w:color="auto" w:fill="D9D9D9"/>
            <w:vAlign w:val="center"/>
          </w:tcPr>
          <w:p w14:paraId="2EF9D978" w14:textId="47E4AF45" w:rsidR="00D302F2" w:rsidRDefault="00D302F2" w:rsidP="00E62424">
            <w:pPr>
              <w:spacing w:after="0" w:line="240" w:lineRule="auto"/>
              <w:jc w:val="center"/>
              <w:rPr>
                <w:rFonts w:ascii="Arial" w:eastAsia="Times New Roman" w:hAnsi="Arial" w:cs="Arial"/>
                <w:color w:val="000000"/>
                <w:sz w:val="16"/>
                <w:szCs w:val="16"/>
                <w:lang w:eastAsia="pl-PL"/>
              </w:rPr>
            </w:pPr>
            <w:r w:rsidRPr="00D302F2">
              <w:rPr>
                <w:rFonts w:ascii="Arial" w:eastAsia="Times New Roman" w:hAnsi="Arial" w:cs="Arial"/>
                <w:color w:val="000000"/>
                <w:sz w:val="16"/>
                <w:szCs w:val="16"/>
                <w:lang w:eastAsia="pl-PL"/>
              </w:rPr>
              <w:t>33 037 331</w:t>
            </w:r>
            <w:r>
              <w:rPr>
                <w:rFonts w:ascii="Arial" w:eastAsia="Times New Roman" w:hAnsi="Arial" w:cs="Arial"/>
                <w:color w:val="000000"/>
                <w:sz w:val="16"/>
                <w:szCs w:val="16"/>
                <w:lang w:eastAsia="pl-PL"/>
              </w:rPr>
              <w:t> </w:t>
            </w:r>
            <w:r w:rsidRPr="00D302F2">
              <w:rPr>
                <w:rFonts w:ascii="Arial" w:eastAsia="Times New Roman" w:hAnsi="Arial" w:cs="Arial"/>
                <w:color w:val="000000"/>
                <w:sz w:val="16"/>
                <w:szCs w:val="16"/>
                <w:lang w:eastAsia="pl-PL"/>
              </w:rPr>
              <w:t>613</w:t>
            </w:r>
          </w:p>
          <w:p w14:paraId="6A6702CA" w14:textId="77777777" w:rsidR="00C25084" w:rsidRPr="004E3242" w:rsidRDefault="00C25084" w:rsidP="00E62424">
            <w:pPr>
              <w:spacing w:after="0" w:line="240" w:lineRule="auto"/>
              <w:jc w:val="center"/>
              <w:rPr>
                <w:rFonts w:ascii="Arial" w:eastAsia="Times New Roman" w:hAnsi="Arial" w:cs="Arial"/>
                <w:color w:val="000000"/>
                <w:sz w:val="16"/>
                <w:szCs w:val="16"/>
                <w:lang w:eastAsia="pl-PL"/>
              </w:rPr>
            </w:pPr>
          </w:p>
        </w:tc>
        <w:tc>
          <w:tcPr>
            <w:tcW w:w="287" w:type="pct"/>
            <w:vMerge w:val="restart"/>
            <w:shd w:val="clear" w:color="auto" w:fill="D9D9D9"/>
            <w:vAlign w:val="center"/>
          </w:tcPr>
          <w:p w14:paraId="0CE2FE7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85%</w:t>
            </w:r>
          </w:p>
        </w:tc>
        <w:tc>
          <w:tcPr>
            <w:tcW w:w="352" w:type="pct"/>
            <w:vMerge w:val="restart"/>
            <w:shd w:val="clear" w:color="auto" w:fill="D9D9D9"/>
            <w:vAlign w:val="center"/>
          </w:tcPr>
          <w:p w14:paraId="7B48D11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570 000 000</w:t>
            </w:r>
          </w:p>
        </w:tc>
        <w:tc>
          <w:tcPr>
            <w:tcW w:w="325" w:type="pct"/>
            <w:vMerge w:val="restart"/>
            <w:shd w:val="clear" w:color="auto" w:fill="D9D9D9"/>
            <w:vAlign w:val="center"/>
          </w:tcPr>
          <w:p w14:paraId="13C0FD20" w14:textId="49C09D2D" w:rsidR="00C812C8" w:rsidRDefault="00C812C8" w:rsidP="004E3242">
            <w:pPr>
              <w:spacing w:after="0" w:line="240" w:lineRule="auto"/>
              <w:jc w:val="center"/>
              <w:rPr>
                <w:rFonts w:ascii="Arial" w:eastAsia="Times New Roman" w:hAnsi="Arial" w:cs="Arial"/>
                <w:color w:val="000000"/>
                <w:sz w:val="16"/>
                <w:szCs w:val="16"/>
                <w:lang w:eastAsia="pl-PL"/>
              </w:rPr>
            </w:pPr>
            <w:r w:rsidRPr="00C812C8">
              <w:rPr>
                <w:rFonts w:ascii="Arial" w:eastAsia="Times New Roman" w:hAnsi="Arial" w:cs="Arial"/>
                <w:color w:val="000000"/>
                <w:sz w:val="16"/>
                <w:szCs w:val="16"/>
                <w:lang w:eastAsia="pl-PL"/>
              </w:rPr>
              <w:t>26 491 805</w:t>
            </w:r>
            <w:r>
              <w:rPr>
                <w:rFonts w:ascii="Arial" w:eastAsia="Times New Roman" w:hAnsi="Arial" w:cs="Arial"/>
                <w:color w:val="000000"/>
                <w:sz w:val="16"/>
                <w:szCs w:val="16"/>
                <w:lang w:eastAsia="pl-PL"/>
              </w:rPr>
              <w:t> </w:t>
            </w:r>
            <w:r w:rsidRPr="00C812C8">
              <w:rPr>
                <w:rFonts w:ascii="Arial" w:eastAsia="Times New Roman" w:hAnsi="Arial" w:cs="Arial"/>
                <w:color w:val="000000"/>
                <w:sz w:val="16"/>
                <w:szCs w:val="16"/>
                <w:lang w:eastAsia="pl-PL"/>
              </w:rPr>
              <w:t>295</w:t>
            </w:r>
          </w:p>
          <w:p w14:paraId="64D5735D" w14:textId="77777777" w:rsidR="00C25084" w:rsidRPr="004E3242" w:rsidRDefault="00C25084" w:rsidP="002C18F5">
            <w:pPr>
              <w:spacing w:after="0" w:line="240" w:lineRule="auto"/>
              <w:jc w:val="center"/>
              <w:rPr>
                <w:rFonts w:ascii="Arial" w:eastAsia="Times New Roman" w:hAnsi="Arial" w:cs="Arial"/>
                <w:color w:val="000000"/>
                <w:sz w:val="16"/>
                <w:szCs w:val="16"/>
                <w:lang w:eastAsia="pl-PL"/>
              </w:rPr>
            </w:pPr>
          </w:p>
        </w:tc>
        <w:tc>
          <w:tcPr>
            <w:tcW w:w="412" w:type="pct"/>
            <w:vMerge w:val="restart"/>
            <w:shd w:val="clear" w:color="auto" w:fill="D9D9D9"/>
            <w:vAlign w:val="center"/>
          </w:tcPr>
          <w:p w14:paraId="6BB7A334" w14:textId="12616503" w:rsidR="00700D49" w:rsidRDefault="0089751B" w:rsidP="0089751B">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4 560 089 497</w:t>
            </w:r>
          </w:p>
          <w:p w14:paraId="4A51CF88" w14:textId="77777777" w:rsidR="00C25084" w:rsidRPr="004E3242" w:rsidRDefault="00C25084" w:rsidP="00C8101C">
            <w:pPr>
              <w:spacing w:after="0" w:line="240" w:lineRule="auto"/>
              <w:jc w:val="center"/>
              <w:rPr>
                <w:rFonts w:ascii="Arial" w:eastAsia="Times New Roman" w:hAnsi="Arial" w:cs="Arial"/>
                <w:color w:val="000000"/>
                <w:sz w:val="16"/>
                <w:szCs w:val="16"/>
                <w:lang w:eastAsia="pl-PL"/>
              </w:rPr>
            </w:pPr>
          </w:p>
        </w:tc>
        <w:tc>
          <w:tcPr>
            <w:tcW w:w="270" w:type="pct"/>
            <w:vMerge w:val="restart"/>
            <w:shd w:val="clear" w:color="auto" w:fill="D9D9D9"/>
            <w:vAlign w:val="center"/>
          </w:tcPr>
          <w:p w14:paraId="3F9380D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1 686 832 217</w:t>
            </w:r>
          </w:p>
        </w:tc>
        <w:tc>
          <w:tcPr>
            <w:tcW w:w="400" w:type="pct"/>
            <w:vMerge w:val="restart"/>
            <w:shd w:val="clear" w:color="auto" w:fill="D9D9D9"/>
            <w:vAlign w:val="center"/>
          </w:tcPr>
          <w:p w14:paraId="18C2187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298 604 60</w:t>
            </w:r>
            <w:r w:rsidR="005E719D">
              <w:rPr>
                <w:rFonts w:ascii="Arial" w:eastAsia="Times New Roman" w:hAnsi="Arial" w:cs="Arial"/>
                <w:color w:val="000000"/>
                <w:sz w:val="16"/>
                <w:szCs w:val="16"/>
                <w:lang w:eastAsia="pl-PL"/>
              </w:rPr>
              <w:t>4</w:t>
            </w:r>
          </w:p>
        </w:tc>
        <w:tc>
          <w:tcPr>
            <w:tcW w:w="378" w:type="pct"/>
            <w:vMerge w:val="restart"/>
            <w:shd w:val="clear" w:color="auto" w:fill="D9D9D9"/>
            <w:vAlign w:val="center"/>
          </w:tcPr>
          <w:p w14:paraId="69323439" w14:textId="10E810F7" w:rsidR="00256FB2" w:rsidRDefault="0044320F" w:rsidP="0044320F">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5,99%</w:t>
            </w:r>
          </w:p>
          <w:p w14:paraId="460A4D1E" w14:textId="733E5B45"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E961DD" w:rsidRPr="004E3242" w14:paraId="3D11DA98" w14:textId="77777777" w:rsidTr="007F4F08">
        <w:trPr>
          <w:trHeight w:val="300"/>
        </w:trPr>
        <w:tc>
          <w:tcPr>
            <w:tcW w:w="908" w:type="pct"/>
            <w:gridSpan w:val="5"/>
            <w:vMerge/>
            <w:shd w:val="clear" w:color="auto" w:fill="D9D9D9"/>
            <w:vAlign w:val="center"/>
          </w:tcPr>
          <w:p w14:paraId="0EB21A2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D9D9D9"/>
            <w:vAlign w:val="center"/>
          </w:tcPr>
          <w:p w14:paraId="61A122B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D9D9D9"/>
            <w:vAlign w:val="center"/>
          </w:tcPr>
          <w:p w14:paraId="7DBD2E8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D9D9D9"/>
            <w:vAlign w:val="center"/>
          </w:tcPr>
          <w:p w14:paraId="5DADDFE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D9D9D9"/>
            <w:vAlign w:val="center"/>
          </w:tcPr>
          <w:p w14:paraId="7273A76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D9D9D9"/>
            <w:vAlign w:val="center"/>
          </w:tcPr>
          <w:p w14:paraId="59EA691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D9D9D9"/>
            <w:vAlign w:val="center"/>
          </w:tcPr>
          <w:p w14:paraId="10CDB02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D9D9D9"/>
            <w:vAlign w:val="center"/>
          </w:tcPr>
          <w:p w14:paraId="3DECA9F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25" w:type="pct"/>
            <w:vMerge/>
            <w:shd w:val="clear" w:color="auto" w:fill="D9D9D9"/>
            <w:vAlign w:val="center"/>
          </w:tcPr>
          <w:p w14:paraId="3B41D0C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D9D9D9"/>
            <w:vAlign w:val="center"/>
          </w:tcPr>
          <w:p w14:paraId="66F3774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70" w:type="pct"/>
            <w:vMerge/>
            <w:shd w:val="clear" w:color="auto" w:fill="D9D9D9"/>
            <w:vAlign w:val="center"/>
          </w:tcPr>
          <w:p w14:paraId="2532AFF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00" w:type="pct"/>
            <w:vMerge/>
            <w:shd w:val="clear" w:color="auto" w:fill="D9D9D9"/>
            <w:vAlign w:val="center"/>
          </w:tcPr>
          <w:p w14:paraId="2496394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78" w:type="pct"/>
            <w:vMerge/>
            <w:shd w:val="clear" w:color="auto" w:fill="D9D9D9"/>
            <w:vAlign w:val="center"/>
          </w:tcPr>
          <w:p w14:paraId="3221284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E961DD" w:rsidRPr="004E3242" w14:paraId="0DD5D3A4" w14:textId="77777777" w:rsidTr="007F4F08">
        <w:trPr>
          <w:trHeight w:val="627"/>
        </w:trPr>
        <w:tc>
          <w:tcPr>
            <w:tcW w:w="908" w:type="pct"/>
            <w:gridSpan w:val="5"/>
            <w:vMerge/>
            <w:shd w:val="clear" w:color="auto" w:fill="D9D9D9"/>
            <w:vAlign w:val="center"/>
          </w:tcPr>
          <w:p w14:paraId="70FBCDA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8" w:type="pct"/>
            <w:vMerge/>
            <w:shd w:val="clear" w:color="auto" w:fill="D9D9D9"/>
            <w:vAlign w:val="center"/>
          </w:tcPr>
          <w:p w14:paraId="070DC17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00" w:type="pct"/>
            <w:vMerge/>
            <w:shd w:val="clear" w:color="auto" w:fill="D9D9D9"/>
            <w:vAlign w:val="center"/>
          </w:tcPr>
          <w:p w14:paraId="35C28EA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D9D9D9"/>
            <w:vAlign w:val="center"/>
          </w:tcPr>
          <w:p w14:paraId="03E8440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12" w:type="pct"/>
            <w:vMerge/>
            <w:shd w:val="clear" w:color="auto" w:fill="D9D9D9"/>
            <w:vAlign w:val="center"/>
          </w:tcPr>
          <w:p w14:paraId="0086E82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35" w:type="pct"/>
            <w:vMerge/>
            <w:shd w:val="clear" w:color="auto" w:fill="D9D9D9"/>
            <w:vAlign w:val="center"/>
          </w:tcPr>
          <w:p w14:paraId="52852D0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87" w:type="pct"/>
            <w:vMerge/>
            <w:shd w:val="clear" w:color="auto" w:fill="D9D9D9"/>
            <w:vAlign w:val="center"/>
          </w:tcPr>
          <w:p w14:paraId="5A1D785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52" w:type="pct"/>
            <w:vMerge/>
            <w:shd w:val="clear" w:color="auto" w:fill="D9D9D9"/>
            <w:vAlign w:val="center"/>
          </w:tcPr>
          <w:p w14:paraId="379E0D7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25" w:type="pct"/>
            <w:vMerge/>
            <w:shd w:val="clear" w:color="auto" w:fill="D9D9D9"/>
            <w:vAlign w:val="center"/>
          </w:tcPr>
          <w:p w14:paraId="4576D3F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12" w:type="pct"/>
            <w:vMerge/>
            <w:shd w:val="clear" w:color="auto" w:fill="D9D9D9"/>
            <w:vAlign w:val="center"/>
          </w:tcPr>
          <w:p w14:paraId="7AAD6BE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270" w:type="pct"/>
            <w:vMerge/>
            <w:shd w:val="clear" w:color="auto" w:fill="D9D9D9"/>
            <w:vAlign w:val="center"/>
          </w:tcPr>
          <w:p w14:paraId="6A10CB2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00" w:type="pct"/>
            <w:vMerge/>
            <w:shd w:val="clear" w:color="auto" w:fill="D9D9D9"/>
            <w:vAlign w:val="center"/>
          </w:tcPr>
          <w:p w14:paraId="214EF31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378" w:type="pct"/>
            <w:vMerge/>
            <w:shd w:val="clear" w:color="auto" w:fill="D9D9D9"/>
            <w:vAlign w:val="center"/>
          </w:tcPr>
          <w:p w14:paraId="6CD04AE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bl>
    <w:p w14:paraId="5F24E0B7" w14:textId="77777777" w:rsidR="004E3242" w:rsidRPr="004E3242" w:rsidRDefault="004E3242" w:rsidP="004E3242">
      <w:pPr>
        <w:spacing w:before="200"/>
        <w:rPr>
          <w:noProof/>
          <w:spacing w:val="4"/>
          <w:sz w:val="20"/>
          <w:szCs w:val="24"/>
          <w:lang w:eastAsia="pl-PL"/>
        </w:rPr>
      </w:pPr>
      <w:bookmarkStart w:id="571" w:name="_Toc375208297"/>
      <w:bookmarkStart w:id="572" w:name="_Toc375299851"/>
      <w:bookmarkStart w:id="573" w:name="_Toc375308905"/>
      <w:bookmarkStart w:id="574" w:name="_Toc394314803"/>
      <w:bookmarkEnd w:id="571"/>
      <w:bookmarkEnd w:id="572"/>
      <w:bookmarkEnd w:id="573"/>
    </w:p>
    <w:p w14:paraId="24CDB7C8" w14:textId="77777777" w:rsidR="004E3242" w:rsidRPr="004E3242" w:rsidRDefault="004E3242" w:rsidP="004E3242">
      <w:pPr>
        <w:numPr>
          <w:ilvl w:val="1"/>
          <w:numId w:val="3"/>
        </w:numPr>
        <w:shd w:val="clear" w:color="auto" w:fill="BFBFBF"/>
        <w:spacing w:before="360" w:after="240"/>
        <w:outlineLvl w:val="1"/>
        <w:rPr>
          <w:rFonts w:ascii="Arial" w:hAnsi="Arial"/>
          <w:smallCaps/>
          <w:spacing w:val="4"/>
          <w:sz w:val="20"/>
          <w:szCs w:val="24"/>
          <w:lang w:eastAsia="pl-PL"/>
        </w:rPr>
      </w:pPr>
      <w:bookmarkStart w:id="575" w:name="_Toc83810577"/>
      <w:r w:rsidRPr="004E3242">
        <w:rPr>
          <w:rFonts w:ascii="Arial" w:hAnsi="Arial"/>
          <w:smallCaps/>
          <w:color w:val="000000"/>
          <w:spacing w:val="15"/>
          <w:sz w:val="24"/>
          <w:lang w:eastAsia="pl-PL"/>
        </w:rPr>
        <w:t>Tabela podziału na osie priorytetowe, fundusze, kategorie regionów oraz cele tematyczne</w:t>
      </w:r>
      <w:bookmarkEnd w:id="574"/>
      <w:bookmarkEnd w:id="575"/>
      <w:r w:rsidRPr="004E3242">
        <w:rPr>
          <w:rFonts w:ascii="Arial" w:hAnsi="Arial"/>
          <w:smallCaps/>
          <w:spacing w:val="4"/>
          <w:sz w:val="20"/>
          <w:szCs w:val="24"/>
          <w:lang w:eastAsia="pl-PL"/>
        </w:rPr>
        <w:t xml:space="preserve"> </w:t>
      </w:r>
    </w:p>
    <w:p w14:paraId="03102B55" w14:textId="77777777" w:rsidR="004E3242" w:rsidRPr="004E3242" w:rsidRDefault="004E3242" w:rsidP="004E3242">
      <w:pPr>
        <w:spacing w:after="0" w:line="240" w:lineRule="auto"/>
        <w:jc w:val="both"/>
        <w:rPr>
          <w:rFonts w:ascii="Arial" w:hAnsi="Arial" w:cs="Arial"/>
          <w:bCs/>
          <w:color w:val="669900"/>
          <w:spacing w:val="4"/>
          <w:sz w:val="20"/>
          <w:szCs w:val="20"/>
        </w:rPr>
      </w:pPr>
      <w:r w:rsidRPr="004E3242">
        <w:rPr>
          <w:rFonts w:ascii="Arial" w:hAnsi="Arial" w:cs="Arial"/>
          <w:bCs/>
          <w:color w:val="669900"/>
          <w:spacing w:val="4"/>
          <w:sz w:val="20"/>
          <w:szCs w:val="20"/>
        </w:rPr>
        <w:t>(EUR)</w:t>
      </w:r>
    </w:p>
    <w:tbl>
      <w:tblPr>
        <w:tblW w:w="5000" w:type="pct"/>
        <w:tblCellMar>
          <w:left w:w="70" w:type="dxa"/>
          <w:right w:w="70" w:type="dxa"/>
        </w:tblCellMar>
        <w:tblLook w:val="04A0" w:firstRow="1" w:lastRow="0" w:firstColumn="1" w:lastColumn="0" w:noHBand="0" w:noVBand="1"/>
      </w:tblPr>
      <w:tblGrid>
        <w:gridCol w:w="1389"/>
        <w:gridCol w:w="1389"/>
        <w:gridCol w:w="2777"/>
        <w:gridCol w:w="1389"/>
        <w:gridCol w:w="2401"/>
        <w:gridCol w:w="2401"/>
        <w:gridCol w:w="2396"/>
      </w:tblGrid>
      <w:tr w:rsidR="004E3242" w:rsidRPr="004E3242" w14:paraId="5BFE91C3" w14:textId="77777777" w:rsidTr="00AA7998">
        <w:trPr>
          <w:trHeight w:val="915"/>
        </w:trPr>
        <w:tc>
          <w:tcPr>
            <w:tcW w:w="491" w:type="pct"/>
            <w:vMerge w:val="restart"/>
            <w:tcBorders>
              <w:top w:val="single" w:sz="8" w:space="0" w:color="FFFFFF"/>
              <w:left w:val="single" w:sz="8" w:space="0" w:color="FFFFFF"/>
              <w:bottom w:val="single" w:sz="8" w:space="0" w:color="FFFFFF"/>
              <w:right w:val="single" w:sz="8" w:space="0" w:color="FFFFFF"/>
            </w:tcBorders>
            <w:shd w:val="clear" w:color="000000" w:fill="99CC00"/>
            <w:textDirection w:val="btLr"/>
            <w:vAlign w:val="center"/>
          </w:tcPr>
          <w:p w14:paraId="1E5B0DC9"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Oś priorytetowa</w:t>
            </w:r>
          </w:p>
        </w:tc>
        <w:tc>
          <w:tcPr>
            <w:tcW w:w="491" w:type="pct"/>
            <w:vMerge w:val="restart"/>
            <w:tcBorders>
              <w:top w:val="single" w:sz="8" w:space="0" w:color="FFFFFF"/>
              <w:left w:val="single" w:sz="8" w:space="0" w:color="FFFFFF"/>
              <w:bottom w:val="single" w:sz="8" w:space="0" w:color="FFFFFF"/>
              <w:right w:val="single" w:sz="8" w:space="0" w:color="FFFFFF"/>
            </w:tcBorders>
            <w:shd w:val="clear" w:color="000000" w:fill="99CC00"/>
            <w:textDirection w:val="btLr"/>
            <w:vAlign w:val="center"/>
          </w:tcPr>
          <w:p w14:paraId="262C8A73"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Fundusz</w:t>
            </w:r>
          </w:p>
        </w:tc>
        <w:tc>
          <w:tcPr>
            <w:tcW w:w="982" w:type="pct"/>
            <w:vMerge w:val="restart"/>
            <w:tcBorders>
              <w:top w:val="single" w:sz="8" w:space="0" w:color="FFFFFF"/>
              <w:left w:val="single" w:sz="8" w:space="0" w:color="FFFFFF"/>
              <w:bottom w:val="single" w:sz="8" w:space="0" w:color="FFFFFF"/>
              <w:right w:val="nil"/>
            </w:tcBorders>
            <w:shd w:val="clear" w:color="000000" w:fill="99CC00"/>
            <w:textDirection w:val="btLr"/>
            <w:vAlign w:val="center"/>
          </w:tcPr>
          <w:p w14:paraId="15C831A0"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Kategoria regionu</w:t>
            </w:r>
          </w:p>
        </w:tc>
        <w:tc>
          <w:tcPr>
            <w:tcW w:w="491" w:type="pct"/>
            <w:vMerge w:val="restart"/>
            <w:tcBorders>
              <w:top w:val="single" w:sz="8" w:space="0" w:color="FFFFFF"/>
              <w:left w:val="nil"/>
              <w:bottom w:val="single" w:sz="8" w:space="0" w:color="FFFFFF"/>
              <w:right w:val="single" w:sz="8" w:space="0" w:color="FFFFFF"/>
            </w:tcBorders>
            <w:shd w:val="clear" w:color="000000" w:fill="99CC00"/>
            <w:textDirection w:val="btLr"/>
            <w:vAlign w:val="center"/>
          </w:tcPr>
          <w:p w14:paraId="3C24846B"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Cel tematyczny</w:t>
            </w:r>
          </w:p>
        </w:tc>
        <w:tc>
          <w:tcPr>
            <w:tcW w:w="849" w:type="pct"/>
            <w:vMerge w:val="restart"/>
            <w:tcBorders>
              <w:top w:val="single" w:sz="8" w:space="0" w:color="FFFFFF"/>
              <w:left w:val="single" w:sz="8" w:space="0" w:color="FFFFFF"/>
              <w:bottom w:val="single" w:sz="8" w:space="0" w:color="FFFFFF"/>
              <w:right w:val="single" w:sz="8" w:space="0" w:color="FFFFFF"/>
            </w:tcBorders>
            <w:shd w:val="clear" w:color="000000" w:fill="99CC00"/>
            <w:textDirection w:val="btLr"/>
            <w:vAlign w:val="center"/>
          </w:tcPr>
          <w:p w14:paraId="5FF8C6AD"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UE</w:t>
            </w:r>
          </w:p>
        </w:tc>
        <w:tc>
          <w:tcPr>
            <w:tcW w:w="849" w:type="pct"/>
            <w:vMerge w:val="restart"/>
            <w:tcBorders>
              <w:top w:val="single" w:sz="8" w:space="0" w:color="FFFFFF"/>
              <w:left w:val="single" w:sz="8" w:space="0" w:color="FFFFFF"/>
              <w:bottom w:val="single" w:sz="8" w:space="0" w:color="FFFFFF"/>
              <w:right w:val="single" w:sz="8" w:space="0" w:color="FFFFFF"/>
            </w:tcBorders>
            <w:shd w:val="clear" w:color="000000" w:fill="99CC00"/>
            <w:textDirection w:val="btLr"/>
            <w:vAlign w:val="center"/>
          </w:tcPr>
          <w:p w14:paraId="65EAB176"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Wkład krajowy</w:t>
            </w:r>
          </w:p>
        </w:tc>
        <w:tc>
          <w:tcPr>
            <w:tcW w:w="847" w:type="pct"/>
            <w:vMerge w:val="restart"/>
            <w:tcBorders>
              <w:top w:val="single" w:sz="8" w:space="0" w:color="FFFFFF"/>
              <w:left w:val="single" w:sz="8" w:space="0" w:color="FFFFFF"/>
              <w:bottom w:val="single" w:sz="8" w:space="0" w:color="FFFFFF"/>
              <w:right w:val="single" w:sz="8" w:space="0" w:color="FFFFFF"/>
            </w:tcBorders>
            <w:shd w:val="clear" w:color="000000" w:fill="99CC00"/>
            <w:textDirection w:val="btLr"/>
            <w:vAlign w:val="center"/>
          </w:tcPr>
          <w:p w14:paraId="77A6FB2B" w14:textId="77777777" w:rsidR="004E3242" w:rsidRPr="004E3242" w:rsidRDefault="004E3242" w:rsidP="004E3242">
            <w:pPr>
              <w:spacing w:after="0" w:line="240" w:lineRule="auto"/>
              <w:jc w:val="center"/>
              <w:rPr>
                <w:rFonts w:ascii="Arial" w:eastAsia="Times New Roman" w:hAnsi="Arial" w:cs="Arial"/>
                <w:color w:val="FFFFFF"/>
                <w:sz w:val="16"/>
                <w:szCs w:val="16"/>
                <w:lang w:eastAsia="pl-PL"/>
              </w:rPr>
            </w:pPr>
            <w:r w:rsidRPr="004E3242">
              <w:rPr>
                <w:rFonts w:ascii="Arial" w:eastAsia="Times New Roman" w:hAnsi="Arial" w:cs="Arial"/>
                <w:color w:val="FFFFFF"/>
                <w:sz w:val="16"/>
                <w:szCs w:val="16"/>
                <w:lang w:eastAsia="pl-PL"/>
              </w:rPr>
              <w:t>Finansowanie ogółem</w:t>
            </w:r>
          </w:p>
        </w:tc>
      </w:tr>
      <w:tr w:rsidR="004E3242" w:rsidRPr="004E3242" w14:paraId="0C69DD9C" w14:textId="77777777" w:rsidTr="00AA7998">
        <w:trPr>
          <w:trHeight w:val="315"/>
        </w:trPr>
        <w:tc>
          <w:tcPr>
            <w:tcW w:w="491" w:type="pct"/>
            <w:vMerge/>
            <w:tcBorders>
              <w:top w:val="single" w:sz="8" w:space="0" w:color="FFFFFF"/>
              <w:left w:val="single" w:sz="8" w:space="0" w:color="FFFFFF"/>
              <w:bottom w:val="single" w:sz="8" w:space="0" w:color="FFFFFF"/>
              <w:right w:val="single" w:sz="8" w:space="0" w:color="FFFFFF"/>
            </w:tcBorders>
            <w:vAlign w:val="center"/>
          </w:tcPr>
          <w:p w14:paraId="502ACA78" w14:textId="77777777" w:rsidR="004E3242" w:rsidRPr="004E3242" w:rsidRDefault="004E3242" w:rsidP="004E3242">
            <w:pPr>
              <w:spacing w:after="0" w:line="240" w:lineRule="auto"/>
              <w:rPr>
                <w:rFonts w:ascii="Arial" w:eastAsia="Times New Roman" w:hAnsi="Arial" w:cs="Arial"/>
                <w:color w:val="FFFFFF"/>
                <w:sz w:val="16"/>
                <w:szCs w:val="16"/>
                <w:lang w:eastAsia="pl-PL"/>
              </w:rPr>
            </w:pPr>
          </w:p>
        </w:tc>
        <w:tc>
          <w:tcPr>
            <w:tcW w:w="491" w:type="pct"/>
            <w:vMerge/>
            <w:tcBorders>
              <w:top w:val="single" w:sz="8" w:space="0" w:color="FFFFFF"/>
              <w:left w:val="single" w:sz="8" w:space="0" w:color="FFFFFF"/>
              <w:bottom w:val="single" w:sz="8" w:space="0" w:color="FFFFFF"/>
              <w:right w:val="single" w:sz="8" w:space="0" w:color="FFFFFF"/>
            </w:tcBorders>
            <w:vAlign w:val="center"/>
          </w:tcPr>
          <w:p w14:paraId="14A63543" w14:textId="77777777" w:rsidR="004E3242" w:rsidRPr="004E3242" w:rsidRDefault="004E3242" w:rsidP="004E3242">
            <w:pPr>
              <w:spacing w:after="0" w:line="240" w:lineRule="auto"/>
              <w:rPr>
                <w:rFonts w:ascii="Arial" w:eastAsia="Times New Roman" w:hAnsi="Arial" w:cs="Arial"/>
                <w:color w:val="FFFFFF"/>
                <w:sz w:val="16"/>
                <w:szCs w:val="16"/>
                <w:lang w:eastAsia="pl-PL"/>
              </w:rPr>
            </w:pPr>
          </w:p>
        </w:tc>
        <w:tc>
          <w:tcPr>
            <w:tcW w:w="982" w:type="pct"/>
            <w:vMerge/>
            <w:tcBorders>
              <w:top w:val="single" w:sz="8" w:space="0" w:color="FFFFFF"/>
              <w:left w:val="single" w:sz="8" w:space="0" w:color="FFFFFF"/>
              <w:bottom w:val="single" w:sz="8" w:space="0" w:color="FFFFFF"/>
              <w:right w:val="nil"/>
            </w:tcBorders>
            <w:vAlign w:val="center"/>
          </w:tcPr>
          <w:p w14:paraId="475612BF" w14:textId="77777777" w:rsidR="004E3242" w:rsidRPr="004E3242" w:rsidRDefault="004E3242" w:rsidP="004E3242">
            <w:pPr>
              <w:spacing w:after="0" w:line="240" w:lineRule="auto"/>
              <w:rPr>
                <w:rFonts w:ascii="Arial" w:eastAsia="Times New Roman" w:hAnsi="Arial" w:cs="Arial"/>
                <w:color w:val="FFFFFF"/>
                <w:sz w:val="16"/>
                <w:szCs w:val="16"/>
                <w:lang w:eastAsia="pl-PL"/>
              </w:rPr>
            </w:pPr>
          </w:p>
        </w:tc>
        <w:tc>
          <w:tcPr>
            <w:tcW w:w="491" w:type="pct"/>
            <w:vMerge/>
            <w:tcBorders>
              <w:top w:val="single" w:sz="8" w:space="0" w:color="FFFFFF"/>
              <w:left w:val="nil"/>
              <w:bottom w:val="single" w:sz="8" w:space="0" w:color="FFFFFF"/>
              <w:right w:val="single" w:sz="8" w:space="0" w:color="FFFFFF"/>
            </w:tcBorders>
            <w:vAlign w:val="center"/>
          </w:tcPr>
          <w:p w14:paraId="4C1A0732" w14:textId="77777777" w:rsidR="004E3242" w:rsidRPr="004E3242" w:rsidRDefault="004E3242" w:rsidP="004E3242">
            <w:pPr>
              <w:spacing w:after="0" w:line="240" w:lineRule="auto"/>
              <w:rPr>
                <w:rFonts w:ascii="Arial" w:eastAsia="Times New Roman" w:hAnsi="Arial" w:cs="Arial"/>
                <w:color w:val="FFFFFF"/>
                <w:sz w:val="16"/>
                <w:szCs w:val="16"/>
                <w:lang w:eastAsia="pl-PL"/>
              </w:rPr>
            </w:pPr>
          </w:p>
        </w:tc>
        <w:tc>
          <w:tcPr>
            <w:tcW w:w="849" w:type="pct"/>
            <w:vMerge/>
            <w:tcBorders>
              <w:top w:val="single" w:sz="8" w:space="0" w:color="FFFFFF"/>
              <w:left w:val="single" w:sz="8" w:space="0" w:color="FFFFFF"/>
              <w:bottom w:val="single" w:sz="8" w:space="0" w:color="FFFFFF"/>
              <w:right w:val="single" w:sz="8" w:space="0" w:color="FFFFFF"/>
            </w:tcBorders>
            <w:vAlign w:val="center"/>
          </w:tcPr>
          <w:p w14:paraId="1D92F2E4" w14:textId="77777777" w:rsidR="004E3242" w:rsidRPr="004E3242" w:rsidRDefault="004E3242" w:rsidP="004E3242">
            <w:pPr>
              <w:spacing w:after="0" w:line="240" w:lineRule="auto"/>
              <w:rPr>
                <w:rFonts w:ascii="Arial" w:eastAsia="Times New Roman" w:hAnsi="Arial" w:cs="Arial"/>
                <w:color w:val="FFFFFF"/>
                <w:sz w:val="16"/>
                <w:szCs w:val="16"/>
                <w:lang w:eastAsia="pl-PL"/>
              </w:rPr>
            </w:pPr>
          </w:p>
        </w:tc>
        <w:tc>
          <w:tcPr>
            <w:tcW w:w="849" w:type="pct"/>
            <w:vMerge/>
            <w:tcBorders>
              <w:top w:val="single" w:sz="8" w:space="0" w:color="FFFFFF"/>
              <w:left w:val="single" w:sz="8" w:space="0" w:color="FFFFFF"/>
              <w:bottom w:val="single" w:sz="8" w:space="0" w:color="FFFFFF"/>
              <w:right w:val="single" w:sz="8" w:space="0" w:color="FFFFFF"/>
            </w:tcBorders>
            <w:vAlign w:val="center"/>
          </w:tcPr>
          <w:p w14:paraId="297CD39F" w14:textId="77777777" w:rsidR="004E3242" w:rsidRPr="004E3242" w:rsidRDefault="004E3242" w:rsidP="004E3242">
            <w:pPr>
              <w:spacing w:after="0" w:line="240" w:lineRule="auto"/>
              <w:rPr>
                <w:rFonts w:ascii="Arial" w:eastAsia="Times New Roman" w:hAnsi="Arial" w:cs="Arial"/>
                <w:color w:val="FFFFFF"/>
                <w:sz w:val="16"/>
                <w:szCs w:val="16"/>
                <w:lang w:eastAsia="pl-PL"/>
              </w:rPr>
            </w:pPr>
          </w:p>
        </w:tc>
        <w:tc>
          <w:tcPr>
            <w:tcW w:w="847" w:type="pct"/>
            <w:vMerge/>
            <w:tcBorders>
              <w:top w:val="single" w:sz="8" w:space="0" w:color="FFFFFF"/>
              <w:left w:val="single" w:sz="8" w:space="0" w:color="FFFFFF"/>
              <w:bottom w:val="single" w:sz="8" w:space="0" w:color="FFFFFF"/>
              <w:right w:val="single" w:sz="8" w:space="0" w:color="FFFFFF"/>
            </w:tcBorders>
            <w:vAlign w:val="center"/>
          </w:tcPr>
          <w:p w14:paraId="34CF367B" w14:textId="77777777" w:rsidR="004E3242" w:rsidRPr="004E3242" w:rsidRDefault="004E3242" w:rsidP="004E3242">
            <w:pPr>
              <w:spacing w:after="0" w:line="240" w:lineRule="auto"/>
              <w:rPr>
                <w:rFonts w:ascii="Arial" w:eastAsia="Times New Roman" w:hAnsi="Arial" w:cs="Arial"/>
                <w:color w:val="FFFFFF"/>
                <w:sz w:val="16"/>
                <w:szCs w:val="16"/>
                <w:lang w:eastAsia="pl-PL"/>
              </w:rPr>
            </w:pPr>
          </w:p>
        </w:tc>
      </w:tr>
      <w:tr w:rsidR="004E3242" w:rsidRPr="004E3242" w14:paraId="10D366A6" w14:textId="77777777" w:rsidTr="00AA7998">
        <w:trPr>
          <w:trHeight w:val="300"/>
        </w:trPr>
        <w:tc>
          <w:tcPr>
            <w:tcW w:w="491" w:type="pct"/>
            <w:tcBorders>
              <w:top w:val="nil"/>
              <w:left w:val="single" w:sz="8" w:space="0" w:color="FFFFFF"/>
              <w:bottom w:val="nil"/>
              <w:right w:val="single" w:sz="8" w:space="0" w:color="FFFFFF"/>
            </w:tcBorders>
            <w:shd w:val="clear" w:color="000000" w:fill="F2F2F2"/>
            <w:vAlign w:val="center"/>
          </w:tcPr>
          <w:p w14:paraId="546763B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w:t>
            </w:r>
          </w:p>
        </w:tc>
        <w:tc>
          <w:tcPr>
            <w:tcW w:w="491" w:type="pct"/>
            <w:vMerge w:val="restart"/>
            <w:tcBorders>
              <w:top w:val="nil"/>
              <w:left w:val="single" w:sz="8" w:space="0" w:color="FFFFFF"/>
              <w:bottom w:val="single" w:sz="8" w:space="0" w:color="FFFFFF"/>
              <w:right w:val="single" w:sz="8" w:space="0" w:color="FFFFFF"/>
            </w:tcBorders>
            <w:shd w:val="clear" w:color="000000" w:fill="F2F2F2"/>
            <w:textDirection w:val="btLr"/>
            <w:vAlign w:val="center"/>
          </w:tcPr>
          <w:p w14:paraId="1D6A411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1050241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491" w:type="pct"/>
            <w:vMerge w:val="restart"/>
            <w:tcBorders>
              <w:top w:val="nil"/>
              <w:left w:val="single" w:sz="8" w:space="0" w:color="FFFFFF"/>
              <w:bottom w:val="nil"/>
              <w:right w:val="single" w:sz="8" w:space="0" w:color="FFFFFF"/>
            </w:tcBorders>
            <w:shd w:val="clear" w:color="000000" w:fill="F2F2F2"/>
            <w:vAlign w:val="center"/>
          </w:tcPr>
          <w:p w14:paraId="6D854F2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w:t>
            </w: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2E3BAD3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1 828 430 978</w:t>
            </w: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4270190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322 664 291</w:t>
            </w:r>
          </w:p>
        </w:tc>
        <w:tc>
          <w:tcPr>
            <w:tcW w:w="847" w:type="pct"/>
            <w:vMerge w:val="restart"/>
            <w:tcBorders>
              <w:top w:val="nil"/>
              <w:left w:val="single" w:sz="8" w:space="0" w:color="FFFFFF"/>
              <w:bottom w:val="single" w:sz="8" w:space="0" w:color="FFFFFF"/>
              <w:right w:val="single" w:sz="8" w:space="0" w:color="FFFFFF"/>
            </w:tcBorders>
            <w:shd w:val="clear" w:color="000000" w:fill="F2F2F2"/>
            <w:vAlign w:val="center"/>
          </w:tcPr>
          <w:p w14:paraId="617CEE6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2 151 095 269</w:t>
            </w:r>
          </w:p>
        </w:tc>
      </w:tr>
      <w:tr w:rsidR="004E3242" w:rsidRPr="004E3242" w14:paraId="77D5C404" w14:textId="77777777" w:rsidTr="00AA7998">
        <w:trPr>
          <w:trHeight w:val="315"/>
        </w:trPr>
        <w:tc>
          <w:tcPr>
            <w:tcW w:w="491" w:type="pct"/>
            <w:tcBorders>
              <w:top w:val="nil"/>
              <w:left w:val="single" w:sz="8" w:space="0" w:color="FFFFFF"/>
              <w:bottom w:val="single" w:sz="8" w:space="0" w:color="FFFFFF"/>
              <w:right w:val="single" w:sz="8" w:space="0" w:color="FFFFFF"/>
            </w:tcBorders>
            <w:shd w:val="clear" w:color="000000" w:fill="F2F2F2"/>
            <w:vAlign w:val="center"/>
          </w:tcPr>
          <w:p w14:paraId="1915B7B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7136816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53106CDE"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382D7011"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423119D6"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70B90287"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04A2E271"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00ED614B" w14:textId="77777777" w:rsidTr="00AA7998">
        <w:trPr>
          <w:trHeight w:val="315"/>
        </w:trPr>
        <w:tc>
          <w:tcPr>
            <w:tcW w:w="491" w:type="pct"/>
            <w:vMerge w:val="restart"/>
            <w:tcBorders>
              <w:top w:val="nil"/>
              <w:left w:val="single" w:sz="8" w:space="0" w:color="FFFFFF"/>
              <w:bottom w:val="single" w:sz="8" w:space="0" w:color="FFFFFF"/>
              <w:right w:val="single" w:sz="8" w:space="0" w:color="FFFFFF"/>
            </w:tcBorders>
            <w:shd w:val="clear" w:color="000000" w:fill="F2F2F2"/>
            <w:vAlign w:val="center"/>
          </w:tcPr>
          <w:p w14:paraId="5ECDCBC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II.</w:t>
            </w:r>
          </w:p>
        </w:tc>
        <w:tc>
          <w:tcPr>
            <w:tcW w:w="491" w:type="pct"/>
            <w:vMerge w:val="restart"/>
            <w:tcBorders>
              <w:top w:val="nil"/>
              <w:left w:val="single" w:sz="8" w:space="0" w:color="FFFFFF"/>
              <w:bottom w:val="single" w:sz="8" w:space="0" w:color="FFFFFF"/>
              <w:right w:val="single" w:sz="8" w:space="0" w:color="FFFFFF"/>
            </w:tcBorders>
            <w:shd w:val="clear" w:color="000000" w:fill="F2F2F2"/>
            <w:textDirection w:val="btLr"/>
            <w:vAlign w:val="center"/>
          </w:tcPr>
          <w:p w14:paraId="180F9B1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29BD764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491" w:type="pct"/>
            <w:tcBorders>
              <w:top w:val="nil"/>
              <w:left w:val="nil"/>
              <w:bottom w:val="nil"/>
              <w:right w:val="single" w:sz="8" w:space="0" w:color="FFFFFF"/>
            </w:tcBorders>
            <w:shd w:val="clear" w:color="000000" w:fill="F2F2F2"/>
            <w:vAlign w:val="center"/>
          </w:tcPr>
          <w:p w14:paraId="646E7E9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w:t>
            </w:r>
          </w:p>
        </w:tc>
        <w:tc>
          <w:tcPr>
            <w:tcW w:w="849" w:type="pct"/>
            <w:tcBorders>
              <w:top w:val="nil"/>
              <w:left w:val="nil"/>
              <w:bottom w:val="nil"/>
              <w:right w:val="single" w:sz="8" w:space="0" w:color="FFFFFF"/>
            </w:tcBorders>
            <w:shd w:val="clear" w:color="000000" w:fill="F2F2F2"/>
            <w:vAlign w:val="center"/>
          </w:tcPr>
          <w:p w14:paraId="7DFB6508" w14:textId="77777777" w:rsidR="004E3242" w:rsidRPr="004E3242" w:rsidRDefault="00D01332" w:rsidP="004E3242">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920 267 366</w:t>
            </w:r>
          </w:p>
        </w:tc>
        <w:tc>
          <w:tcPr>
            <w:tcW w:w="849" w:type="pct"/>
            <w:tcBorders>
              <w:top w:val="nil"/>
              <w:left w:val="nil"/>
              <w:bottom w:val="nil"/>
              <w:right w:val="single" w:sz="8" w:space="0" w:color="FFFFFF"/>
            </w:tcBorders>
            <w:shd w:val="clear" w:color="000000" w:fill="F2F2F2"/>
            <w:vAlign w:val="center"/>
          </w:tcPr>
          <w:p w14:paraId="305FDF9D" w14:textId="77777777" w:rsidR="004E3242" w:rsidRPr="004E3242" w:rsidRDefault="00D01332" w:rsidP="004E3242">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162 400 124</w:t>
            </w:r>
          </w:p>
        </w:tc>
        <w:tc>
          <w:tcPr>
            <w:tcW w:w="847" w:type="pct"/>
            <w:tcBorders>
              <w:top w:val="nil"/>
              <w:left w:val="nil"/>
              <w:bottom w:val="nil"/>
              <w:right w:val="single" w:sz="8" w:space="0" w:color="FFFFFF"/>
            </w:tcBorders>
            <w:shd w:val="clear" w:color="000000" w:fill="F2F2F2"/>
            <w:vAlign w:val="center"/>
          </w:tcPr>
          <w:p w14:paraId="69125FAD" w14:textId="77777777" w:rsidR="004E3242" w:rsidRPr="004E3242" w:rsidRDefault="00D01332" w:rsidP="004E3242">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1 082 667 490</w:t>
            </w:r>
          </w:p>
        </w:tc>
      </w:tr>
      <w:tr w:rsidR="004E3242" w:rsidRPr="004E3242" w14:paraId="0E92E854" w14:textId="77777777" w:rsidTr="00AA7998">
        <w:trPr>
          <w:trHeight w:val="315"/>
        </w:trPr>
        <w:tc>
          <w:tcPr>
            <w:tcW w:w="491" w:type="pct"/>
            <w:vMerge/>
            <w:tcBorders>
              <w:top w:val="nil"/>
              <w:left w:val="single" w:sz="8" w:space="0" w:color="FFFFFF"/>
              <w:bottom w:val="single" w:sz="8" w:space="0" w:color="FFFFFF"/>
              <w:right w:val="single" w:sz="8" w:space="0" w:color="FFFFFF"/>
            </w:tcBorders>
            <w:vAlign w:val="center"/>
          </w:tcPr>
          <w:p w14:paraId="2DBA2DE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5A7EA39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4757E769"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tcBorders>
              <w:top w:val="nil"/>
              <w:left w:val="nil"/>
              <w:bottom w:val="nil"/>
              <w:right w:val="single" w:sz="8" w:space="0" w:color="FFFFFF"/>
            </w:tcBorders>
            <w:shd w:val="clear" w:color="000000" w:fill="F2F2F2"/>
            <w:vAlign w:val="center"/>
          </w:tcPr>
          <w:p w14:paraId="125584C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w:t>
            </w:r>
          </w:p>
        </w:tc>
        <w:tc>
          <w:tcPr>
            <w:tcW w:w="849" w:type="pct"/>
            <w:tcBorders>
              <w:top w:val="nil"/>
              <w:left w:val="nil"/>
              <w:bottom w:val="nil"/>
              <w:right w:val="single" w:sz="8" w:space="0" w:color="FFFFFF"/>
            </w:tcBorders>
            <w:shd w:val="clear" w:color="000000" w:fill="F2F2F2"/>
            <w:vAlign w:val="center"/>
          </w:tcPr>
          <w:p w14:paraId="75D4AE9F" w14:textId="77777777" w:rsidR="004E3242" w:rsidRPr="004E3242" w:rsidRDefault="00D01332" w:rsidP="004E3242">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2 587 906 800</w:t>
            </w:r>
          </w:p>
        </w:tc>
        <w:tc>
          <w:tcPr>
            <w:tcW w:w="849" w:type="pct"/>
            <w:tcBorders>
              <w:top w:val="single" w:sz="8" w:space="0" w:color="FFFFFF"/>
              <w:left w:val="nil"/>
              <w:bottom w:val="nil"/>
              <w:right w:val="single" w:sz="8" w:space="0" w:color="FFFFFF"/>
            </w:tcBorders>
            <w:shd w:val="clear" w:color="000000" w:fill="F2F2F2"/>
            <w:vAlign w:val="center"/>
          </w:tcPr>
          <w:p w14:paraId="7B3BF727" w14:textId="77777777" w:rsidR="004E3242" w:rsidRPr="004E3242" w:rsidRDefault="00D01332" w:rsidP="004E3242">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456 689 435</w:t>
            </w:r>
          </w:p>
        </w:tc>
        <w:tc>
          <w:tcPr>
            <w:tcW w:w="847" w:type="pct"/>
            <w:tcBorders>
              <w:top w:val="single" w:sz="8" w:space="0" w:color="FFFFFF"/>
              <w:left w:val="nil"/>
              <w:bottom w:val="nil"/>
              <w:right w:val="single" w:sz="8" w:space="0" w:color="FFFFFF"/>
            </w:tcBorders>
            <w:shd w:val="clear" w:color="000000" w:fill="F2F2F2"/>
            <w:vAlign w:val="center"/>
          </w:tcPr>
          <w:p w14:paraId="46859ADD" w14:textId="77777777" w:rsidR="004E3242" w:rsidRPr="004E3242" w:rsidRDefault="00D01332" w:rsidP="004E3242">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3 044 596 235</w:t>
            </w:r>
          </w:p>
        </w:tc>
      </w:tr>
      <w:tr w:rsidR="004E3242" w:rsidRPr="004E3242" w14:paraId="28EF6A70" w14:textId="77777777" w:rsidTr="00AA7998">
        <w:trPr>
          <w:trHeight w:val="300"/>
        </w:trPr>
        <w:tc>
          <w:tcPr>
            <w:tcW w:w="491" w:type="pct"/>
            <w:vMerge w:val="restart"/>
            <w:tcBorders>
              <w:top w:val="nil"/>
              <w:left w:val="single" w:sz="8" w:space="0" w:color="FFFFFF"/>
              <w:bottom w:val="single" w:sz="8" w:space="0" w:color="FFFFFF"/>
              <w:right w:val="single" w:sz="8" w:space="0" w:color="FFFFFF"/>
            </w:tcBorders>
            <w:shd w:val="clear" w:color="000000" w:fill="F2F2F2"/>
            <w:vAlign w:val="center"/>
          </w:tcPr>
          <w:p w14:paraId="34E7A26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III.</w:t>
            </w:r>
          </w:p>
        </w:tc>
        <w:tc>
          <w:tcPr>
            <w:tcW w:w="491" w:type="pct"/>
            <w:vMerge w:val="restart"/>
            <w:tcBorders>
              <w:top w:val="nil"/>
              <w:left w:val="single" w:sz="8" w:space="0" w:color="FFFFFF"/>
              <w:bottom w:val="single" w:sz="8" w:space="0" w:color="FFFFFF"/>
              <w:right w:val="single" w:sz="8" w:space="0" w:color="FFFFFF"/>
            </w:tcBorders>
            <w:shd w:val="clear" w:color="000000" w:fill="F2F2F2"/>
            <w:textDirection w:val="btLr"/>
            <w:vAlign w:val="center"/>
          </w:tcPr>
          <w:p w14:paraId="354E12A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0F2D495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491" w:type="pct"/>
            <w:vMerge w:val="restart"/>
            <w:tcBorders>
              <w:top w:val="nil"/>
              <w:left w:val="single" w:sz="8" w:space="0" w:color="FFFFFF"/>
              <w:bottom w:val="nil"/>
              <w:right w:val="single" w:sz="8" w:space="0" w:color="FFFFFF"/>
            </w:tcBorders>
            <w:shd w:val="clear" w:color="000000" w:fill="F2F2F2"/>
            <w:vAlign w:val="center"/>
          </w:tcPr>
          <w:p w14:paraId="576421F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w:t>
            </w:r>
          </w:p>
        </w:tc>
        <w:tc>
          <w:tcPr>
            <w:tcW w:w="849"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3777EEE0" w14:textId="77777777" w:rsidR="00AE3A78" w:rsidRDefault="00AE3A78" w:rsidP="004E3242">
            <w:pPr>
              <w:spacing w:after="0" w:line="240" w:lineRule="auto"/>
              <w:jc w:val="center"/>
              <w:rPr>
                <w:rFonts w:ascii="Arial" w:eastAsia="Times New Roman" w:hAnsi="Arial" w:cs="Arial"/>
                <w:color w:val="000000"/>
                <w:sz w:val="16"/>
                <w:szCs w:val="16"/>
                <w:lang w:eastAsia="pl-PL"/>
              </w:rPr>
            </w:pPr>
            <w:r w:rsidRPr="00AE3A78">
              <w:rPr>
                <w:rFonts w:ascii="Arial" w:eastAsia="Times New Roman" w:hAnsi="Arial" w:cs="Arial"/>
                <w:color w:val="000000"/>
                <w:sz w:val="16"/>
                <w:szCs w:val="16"/>
                <w:lang w:eastAsia="pl-PL"/>
              </w:rPr>
              <w:t>9 487 004</w:t>
            </w:r>
            <w:r>
              <w:rPr>
                <w:rFonts w:ascii="Arial" w:eastAsia="Times New Roman" w:hAnsi="Arial" w:cs="Arial"/>
                <w:color w:val="000000"/>
                <w:sz w:val="16"/>
                <w:szCs w:val="16"/>
                <w:lang w:eastAsia="pl-PL"/>
              </w:rPr>
              <w:t> </w:t>
            </w:r>
            <w:r w:rsidRPr="00AE3A78">
              <w:rPr>
                <w:rFonts w:ascii="Arial" w:eastAsia="Times New Roman" w:hAnsi="Arial" w:cs="Arial"/>
                <w:color w:val="000000"/>
                <w:sz w:val="16"/>
                <w:szCs w:val="16"/>
                <w:lang w:eastAsia="pl-PL"/>
              </w:rPr>
              <w:t>829</w:t>
            </w:r>
          </w:p>
          <w:p w14:paraId="0F13E1A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9" w:type="pct"/>
            <w:vMerge w:val="restart"/>
            <w:tcBorders>
              <w:top w:val="single" w:sz="8" w:space="0" w:color="FFFFFF"/>
              <w:left w:val="single" w:sz="8" w:space="0" w:color="FFFFFF"/>
              <w:bottom w:val="nil"/>
              <w:right w:val="single" w:sz="8" w:space="0" w:color="FFFFFF"/>
            </w:tcBorders>
            <w:shd w:val="clear" w:color="000000" w:fill="F2F2F2"/>
            <w:vAlign w:val="center"/>
          </w:tcPr>
          <w:p w14:paraId="08C50BE1" w14:textId="77777777" w:rsidR="00AE3A78" w:rsidRDefault="00AE3A78" w:rsidP="004E3242">
            <w:pPr>
              <w:spacing w:after="0" w:line="240" w:lineRule="auto"/>
              <w:jc w:val="center"/>
              <w:rPr>
                <w:rFonts w:ascii="Arial" w:eastAsia="Times New Roman" w:hAnsi="Arial" w:cs="Arial"/>
                <w:color w:val="000000"/>
                <w:sz w:val="16"/>
                <w:szCs w:val="16"/>
                <w:lang w:eastAsia="pl-PL"/>
              </w:rPr>
            </w:pPr>
            <w:r w:rsidRPr="00AE3A78">
              <w:rPr>
                <w:rFonts w:ascii="Arial" w:eastAsia="Times New Roman" w:hAnsi="Arial" w:cs="Arial"/>
                <w:color w:val="000000"/>
                <w:sz w:val="16"/>
                <w:szCs w:val="16"/>
                <w:lang w:eastAsia="pl-PL"/>
              </w:rPr>
              <w:t>1 674 177</w:t>
            </w:r>
            <w:r>
              <w:rPr>
                <w:rFonts w:ascii="Arial" w:eastAsia="Times New Roman" w:hAnsi="Arial" w:cs="Arial"/>
                <w:color w:val="000000"/>
                <w:sz w:val="16"/>
                <w:szCs w:val="16"/>
                <w:lang w:eastAsia="pl-PL"/>
              </w:rPr>
              <w:t> </w:t>
            </w:r>
            <w:r w:rsidRPr="00AE3A78">
              <w:rPr>
                <w:rFonts w:ascii="Arial" w:eastAsia="Times New Roman" w:hAnsi="Arial" w:cs="Arial"/>
                <w:color w:val="000000"/>
                <w:sz w:val="16"/>
                <w:szCs w:val="16"/>
                <w:lang w:eastAsia="pl-PL"/>
              </w:rPr>
              <w:t>323</w:t>
            </w:r>
          </w:p>
          <w:p w14:paraId="0A65776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7"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71A27AE3" w14:textId="77777777" w:rsidR="00AE3A78" w:rsidRDefault="00AE3A78" w:rsidP="004E3242">
            <w:pPr>
              <w:spacing w:after="0" w:line="240" w:lineRule="auto"/>
              <w:jc w:val="center"/>
              <w:rPr>
                <w:rFonts w:ascii="Arial" w:eastAsia="Times New Roman" w:hAnsi="Arial" w:cs="Arial"/>
                <w:color w:val="000000"/>
                <w:sz w:val="16"/>
                <w:szCs w:val="16"/>
                <w:lang w:eastAsia="pl-PL"/>
              </w:rPr>
            </w:pPr>
            <w:r w:rsidRPr="00AE3A78">
              <w:rPr>
                <w:rFonts w:ascii="Arial" w:eastAsia="Times New Roman" w:hAnsi="Arial" w:cs="Arial"/>
                <w:color w:val="000000"/>
                <w:sz w:val="16"/>
                <w:szCs w:val="16"/>
                <w:lang w:eastAsia="pl-PL"/>
              </w:rPr>
              <w:t>11 161 182</w:t>
            </w:r>
            <w:r>
              <w:rPr>
                <w:rFonts w:ascii="Arial" w:eastAsia="Times New Roman" w:hAnsi="Arial" w:cs="Arial"/>
                <w:color w:val="000000"/>
                <w:sz w:val="16"/>
                <w:szCs w:val="16"/>
                <w:lang w:eastAsia="pl-PL"/>
              </w:rPr>
              <w:t> </w:t>
            </w:r>
            <w:r w:rsidRPr="00AE3A78">
              <w:rPr>
                <w:rFonts w:ascii="Arial" w:eastAsia="Times New Roman" w:hAnsi="Arial" w:cs="Arial"/>
                <w:color w:val="000000"/>
                <w:sz w:val="16"/>
                <w:szCs w:val="16"/>
                <w:lang w:eastAsia="pl-PL"/>
              </w:rPr>
              <w:t>152</w:t>
            </w:r>
          </w:p>
          <w:p w14:paraId="015159D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4E3242" w:rsidRPr="004E3242" w14:paraId="2EF16BF7" w14:textId="77777777" w:rsidTr="00AA7998">
        <w:trPr>
          <w:trHeight w:val="315"/>
        </w:trPr>
        <w:tc>
          <w:tcPr>
            <w:tcW w:w="491" w:type="pct"/>
            <w:vMerge/>
            <w:tcBorders>
              <w:top w:val="nil"/>
              <w:left w:val="single" w:sz="8" w:space="0" w:color="FFFFFF"/>
              <w:bottom w:val="single" w:sz="8" w:space="0" w:color="FFFFFF"/>
              <w:right w:val="single" w:sz="8" w:space="0" w:color="FFFFFF"/>
            </w:tcBorders>
            <w:vAlign w:val="center"/>
          </w:tcPr>
          <w:p w14:paraId="03D3176B"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543622D9"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3BE3BF27"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2B2914E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single" w:sz="8" w:space="0" w:color="FFFFFF"/>
              <w:left w:val="single" w:sz="8" w:space="0" w:color="FFFFFF"/>
              <w:bottom w:val="single" w:sz="8" w:space="0" w:color="FFFFFF"/>
              <w:right w:val="single" w:sz="8" w:space="0" w:color="FFFFFF"/>
            </w:tcBorders>
            <w:vAlign w:val="center"/>
          </w:tcPr>
          <w:p w14:paraId="6214DF87"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single" w:sz="8" w:space="0" w:color="FFFFFF"/>
              <w:left w:val="single" w:sz="8" w:space="0" w:color="FFFFFF"/>
              <w:bottom w:val="nil"/>
              <w:right w:val="single" w:sz="8" w:space="0" w:color="FFFFFF"/>
            </w:tcBorders>
            <w:vAlign w:val="center"/>
          </w:tcPr>
          <w:p w14:paraId="55D01B8D"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single" w:sz="8" w:space="0" w:color="FFFFFF"/>
              <w:left w:val="single" w:sz="8" w:space="0" w:color="FFFFFF"/>
              <w:bottom w:val="single" w:sz="8" w:space="0" w:color="FFFFFF"/>
              <w:right w:val="single" w:sz="8" w:space="0" w:color="FFFFFF"/>
            </w:tcBorders>
            <w:vAlign w:val="center"/>
          </w:tcPr>
          <w:p w14:paraId="2BBDE47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2A998021" w14:textId="77777777" w:rsidTr="00AA7998">
        <w:trPr>
          <w:trHeight w:val="300"/>
        </w:trPr>
        <w:tc>
          <w:tcPr>
            <w:tcW w:w="491" w:type="pct"/>
            <w:vMerge w:val="restart"/>
            <w:tcBorders>
              <w:top w:val="nil"/>
              <w:left w:val="single" w:sz="8" w:space="0" w:color="FFFFFF"/>
              <w:bottom w:val="single" w:sz="8" w:space="0" w:color="FFFFFF"/>
              <w:right w:val="single" w:sz="8" w:space="0" w:color="FFFFFF"/>
            </w:tcBorders>
            <w:shd w:val="clear" w:color="000000" w:fill="F2F2F2"/>
            <w:vAlign w:val="center"/>
          </w:tcPr>
          <w:p w14:paraId="7EC79CF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IV.</w:t>
            </w:r>
          </w:p>
        </w:tc>
        <w:tc>
          <w:tcPr>
            <w:tcW w:w="491" w:type="pct"/>
            <w:vMerge w:val="restart"/>
            <w:tcBorders>
              <w:top w:val="nil"/>
              <w:left w:val="single" w:sz="8" w:space="0" w:color="FFFFFF"/>
              <w:bottom w:val="single" w:sz="8" w:space="0" w:color="FFFFFF"/>
              <w:right w:val="single" w:sz="8" w:space="0" w:color="FFFFFF"/>
            </w:tcBorders>
            <w:shd w:val="clear" w:color="000000" w:fill="F2F2F2"/>
            <w:textDirection w:val="btLr"/>
            <w:vAlign w:val="center"/>
          </w:tcPr>
          <w:p w14:paraId="4ADCF54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19BAD7A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491" w:type="pct"/>
            <w:vMerge w:val="restart"/>
            <w:tcBorders>
              <w:top w:val="nil"/>
              <w:left w:val="single" w:sz="8" w:space="0" w:color="FFFFFF"/>
              <w:bottom w:val="nil"/>
              <w:right w:val="single" w:sz="8" w:space="0" w:color="FFFFFF"/>
            </w:tcBorders>
            <w:shd w:val="clear" w:color="000000" w:fill="F2F2F2"/>
            <w:vAlign w:val="center"/>
          </w:tcPr>
          <w:p w14:paraId="2FEFC4E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w:t>
            </w: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1C60FA2E" w14:textId="77777777" w:rsidR="00D45E8B" w:rsidRDefault="00D45E8B" w:rsidP="004E3242">
            <w:pPr>
              <w:spacing w:after="0" w:line="240" w:lineRule="auto"/>
              <w:jc w:val="center"/>
              <w:rPr>
                <w:rFonts w:ascii="Arial" w:eastAsia="Times New Roman" w:hAnsi="Arial" w:cs="Arial"/>
                <w:color w:val="000000"/>
                <w:sz w:val="16"/>
                <w:szCs w:val="16"/>
                <w:lang w:eastAsia="pl-PL"/>
              </w:rPr>
            </w:pPr>
            <w:r w:rsidRPr="00D45E8B">
              <w:rPr>
                <w:rFonts w:ascii="Arial" w:eastAsia="Times New Roman" w:hAnsi="Arial" w:cs="Arial"/>
                <w:color w:val="000000"/>
                <w:sz w:val="16"/>
                <w:szCs w:val="16"/>
                <w:lang w:eastAsia="pl-PL"/>
              </w:rPr>
              <w:t>2 783 616</w:t>
            </w:r>
            <w:r>
              <w:rPr>
                <w:rFonts w:ascii="Arial" w:eastAsia="Times New Roman" w:hAnsi="Arial" w:cs="Arial"/>
                <w:color w:val="000000"/>
                <w:sz w:val="16"/>
                <w:szCs w:val="16"/>
                <w:lang w:eastAsia="pl-PL"/>
              </w:rPr>
              <w:t> </w:t>
            </w:r>
            <w:r w:rsidRPr="00D45E8B">
              <w:rPr>
                <w:rFonts w:ascii="Arial" w:eastAsia="Times New Roman" w:hAnsi="Arial" w:cs="Arial"/>
                <w:color w:val="000000"/>
                <w:sz w:val="16"/>
                <w:szCs w:val="16"/>
                <w:lang w:eastAsia="pl-PL"/>
              </w:rPr>
              <w:t>58</w:t>
            </w:r>
            <w:r w:rsidR="00BD3271">
              <w:rPr>
                <w:rFonts w:ascii="Arial" w:eastAsia="Times New Roman" w:hAnsi="Arial" w:cs="Arial"/>
                <w:color w:val="000000"/>
                <w:sz w:val="16"/>
                <w:szCs w:val="16"/>
                <w:lang w:eastAsia="pl-PL"/>
              </w:rPr>
              <w:t>8</w:t>
            </w:r>
          </w:p>
          <w:p w14:paraId="4F6A75A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42305153" w14:textId="77777777" w:rsidR="00D60267" w:rsidRPr="00D60267" w:rsidRDefault="00D60267" w:rsidP="00D60267">
            <w:pPr>
              <w:spacing w:after="0" w:line="240" w:lineRule="auto"/>
              <w:jc w:val="center"/>
              <w:rPr>
                <w:rFonts w:ascii="Arial" w:eastAsia="Times New Roman" w:hAnsi="Arial" w:cs="Arial"/>
                <w:color w:val="000000"/>
                <w:sz w:val="16"/>
                <w:szCs w:val="16"/>
                <w:lang w:eastAsia="pl-PL"/>
              </w:rPr>
            </w:pPr>
            <w:r w:rsidRPr="00D60267">
              <w:rPr>
                <w:rFonts w:ascii="Arial" w:eastAsia="Times New Roman" w:hAnsi="Arial" w:cs="Arial"/>
                <w:color w:val="000000"/>
                <w:sz w:val="16"/>
                <w:szCs w:val="16"/>
                <w:lang w:eastAsia="pl-PL"/>
              </w:rPr>
              <w:t>491 226 457</w:t>
            </w:r>
          </w:p>
          <w:p w14:paraId="52ACA5D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7" w:type="pct"/>
            <w:vMerge w:val="restart"/>
            <w:tcBorders>
              <w:top w:val="nil"/>
              <w:left w:val="single" w:sz="8" w:space="0" w:color="FFFFFF"/>
              <w:bottom w:val="single" w:sz="8" w:space="0" w:color="FFFFFF"/>
              <w:right w:val="single" w:sz="8" w:space="0" w:color="FFFFFF"/>
            </w:tcBorders>
            <w:shd w:val="clear" w:color="000000" w:fill="F2F2F2"/>
            <w:vAlign w:val="center"/>
          </w:tcPr>
          <w:p w14:paraId="4462BD90" w14:textId="77777777" w:rsidR="00D60267" w:rsidRPr="00D60267" w:rsidRDefault="00D60267" w:rsidP="00D60267">
            <w:pPr>
              <w:spacing w:after="0" w:line="240" w:lineRule="auto"/>
              <w:jc w:val="center"/>
              <w:rPr>
                <w:rFonts w:ascii="Arial" w:eastAsia="Times New Roman" w:hAnsi="Arial" w:cs="Arial"/>
                <w:color w:val="000000"/>
                <w:sz w:val="16"/>
                <w:szCs w:val="16"/>
                <w:lang w:eastAsia="pl-PL"/>
              </w:rPr>
            </w:pPr>
            <w:r w:rsidRPr="00D60267">
              <w:rPr>
                <w:rFonts w:ascii="Arial" w:eastAsia="Times New Roman" w:hAnsi="Arial" w:cs="Arial"/>
                <w:color w:val="000000"/>
                <w:sz w:val="16"/>
                <w:szCs w:val="16"/>
                <w:lang w:eastAsia="pl-PL"/>
              </w:rPr>
              <w:t>3 274 843 04</w:t>
            </w:r>
            <w:r w:rsidR="00F619EB">
              <w:rPr>
                <w:rFonts w:ascii="Arial" w:eastAsia="Times New Roman" w:hAnsi="Arial" w:cs="Arial"/>
                <w:color w:val="000000"/>
                <w:sz w:val="16"/>
                <w:szCs w:val="16"/>
                <w:lang w:eastAsia="pl-PL"/>
              </w:rPr>
              <w:t>5</w:t>
            </w:r>
          </w:p>
          <w:p w14:paraId="1B0F075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4E3242" w:rsidRPr="004E3242" w14:paraId="4891FC80" w14:textId="77777777" w:rsidTr="00AA7998">
        <w:trPr>
          <w:trHeight w:val="315"/>
        </w:trPr>
        <w:tc>
          <w:tcPr>
            <w:tcW w:w="491" w:type="pct"/>
            <w:vMerge/>
            <w:tcBorders>
              <w:top w:val="nil"/>
              <w:left w:val="single" w:sz="8" w:space="0" w:color="FFFFFF"/>
              <w:bottom w:val="single" w:sz="8" w:space="0" w:color="FFFFFF"/>
              <w:right w:val="single" w:sz="8" w:space="0" w:color="FFFFFF"/>
            </w:tcBorders>
            <w:vAlign w:val="center"/>
          </w:tcPr>
          <w:p w14:paraId="5DD53E9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58CE0C94"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73C563AD"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768DE2D9"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3C449A8A"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2EE975C7"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4D581E5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54F7D6D7" w14:textId="77777777" w:rsidTr="00AA7998">
        <w:trPr>
          <w:trHeight w:val="300"/>
        </w:trPr>
        <w:tc>
          <w:tcPr>
            <w:tcW w:w="491" w:type="pct"/>
            <w:vMerge/>
            <w:tcBorders>
              <w:top w:val="nil"/>
              <w:left w:val="single" w:sz="8" w:space="0" w:color="FFFFFF"/>
              <w:bottom w:val="single" w:sz="8" w:space="0" w:color="FFFFFF"/>
              <w:right w:val="single" w:sz="8" w:space="0" w:color="FFFFFF"/>
            </w:tcBorders>
            <w:vAlign w:val="center"/>
          </w:tcPr>
          <w:p w14:paraId="23909A1C"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7D74F551"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0AF419C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491" w:type="pct"/>
            <w:vMerge/>
            <w:tcBorders>
              <w:top w:val="nil"/>
              <w:left w:val="single" w:sz="8" w:space="0" w:color="FFFFFF"/>
              <w:bottom w:val="nil"/>
              <w:right w:val="single" w:sz="8" w:space="0" w:color="FFFFFF"/>
            </w:tcBorders>
            <w:vAlign w:val="center"/>
          </w:tcPr>
          <w:p w14:paraId="518D391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31D2F1E1" w14:textId="77777777" w:rsidR="00A903F5" w:rsidRPr="00A903F5" w:rsidRDefault="00A903F5" w:rsidP="00A903F5">
            <w:pPr>
              <w:spacing w:after="0" w:line="240" w:lineRule="auto"/>
              <w:jc w:val="center"/>
              <w:rPr>
                <w:rFonts w:ascii="Arial" w:eastAsia="Times New Roman" w:hAnsi="Arial" w:cs="Arial"/>
                <w:color w:val="000000"/>
                <w:sz w:val="16"/>
                <w:szCs w:val="16"/>
                <w:lang w:eastAsia="pl-PL"/>
              </w:rPr>
            </w:pPr>
            <w:r w:rsidRPr="00A903F5">
              <w:rPr>
                <w:rFonts w:ascii="Arial" w:eastAsia="Times New Roman" w:hAnsi="Arial" w:cs="Arial"/>
                <w:color w:val="000000"/>
                <w:sz w:val="16"/>
                <w:szCs w:val="16"/>
                <w:lang w:eastAsia="pl-PL"/>
              </w:rPr>
              <w:t>59 150 402</w:t>
            </w:r>
          </w:p>
          <w:p w14:paraId="0496212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0E81A10B" w14:textId="77777777" w:rsidR="00293E89" w:rsidRPr="00293E89" w:rsidRDefault="00293E89" w:rsidP="00293E89">
            <w:pPr>
              <w:spacing w:after="0" w:line="240" w:lineRule="auto"/>
              <w:jc w:val="center"/>
              <w:rPr>
                <w:rFonts w:ascii="Arial" w:eastAsia="Times New Roman" w:hAnsi="Arial" w:cs="Arial"/>
                <w:color w:val="000000"/>
                <w:sz w:val="16"/>
                <w:szCs w:val="16"/>
                <w:lang w:eastAsia="pl-PL"/>
              </w:rPr>
            </w:pPr>
            <w:r w:rsidRPr="00293E89">
              <w:rPr>
                <w:rFonts w:ascii="Arial" w:eastAsia="Times New Roman" w:hAnsi="Arial" w:cs="Arial"/>
                <w:color w:val="000000"/>
                <w:sz w:val="16"/>
                <w:szCs w:val="16"/>
                <w:lang w:eastAsia="pl-PL"/>
              </w:rPr>
              <w:t>14 787 601</w:t>
            </w:r>
          </w:p>
          <w:p w14:paraId="1E0BE35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7" w:type="pct"/>
            <w:vMerge w:val="restart"/>
            <w:tcBorders>
              <w:top w:val="nil"/>
              <w:left w:val="single" w:sz="8" w:space="0" w:color="FFFFFF"/>
              <w:bottom w:val="single" w:sz="8" w:space="0" w:color="FFFFFF"/>
              <w:right w:val="single" w:sz="8" w:space="0" w:color="FFFFFF"/>
            </w:tcBorders>
            <w:shd w:val="clear" w:color="000000" w:fill="F2F2F2"/>
            <w:vAlign w:val="center"/>
          </w:tcPr>
          <w:p w14:paraId="491E1B62" w14:textId="77777777" w:rsidR="00D60267" w:rsidRPr="00D60267" w:rsidRDefault="00D60267" w:rsidP="00D60267">
            <w:pPr>
              <w:spacing w:after="0" w:line="240" w:lineRule="auto"/>
              <w:jc w:val="center"/>
              <w:rPr>
                <w:rFonts w:ascii="Arial" w:eastAsia="Times New Roman" w:hAnsi="Arial" w:cs="Arial"/>
                <w:color w:val="000000"/>
                <w:sz w:val="16"/>
                <w:szCs w:val="16"/>
                <w:lang w:eastAsia="pl-PL"/>
              </w:rPr>
            </w:pPr>
            <w:r w:rsidRPr="00D60267">
              <w:rPr>
                <w:rFonts w:ascii="Arial" w:eastAsia="Times New Roman" w:hAnsi="Arial" w:cs="Arial"/>
                <w:color w:val="000000"/>
                <w:sz w:val="16"/>
                <w:szCs w:val="16"/>
                <w:lang w:eastAsia="pl-PL"/>
              </w:rPr>
              <w:t>73 938 003</w:t>
            </w:r>
          </w:p>
          <w:p w14:paraId="230D6C1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4E3242" w:rsidRPr="004E3242" w14:paraId="35B3E07C" w14:textId="77777777" w:rsidTr="00AA7998">
        <w:trPr>
          <w:trHeight w:val="315"/>
        </w:trPr>
        <w:tc>
          <w:tcPr>
            <w:tcW w:w="491" w:type="pct"/>
            <w:vMerge/>
            <w:tcBorders>
              <w:top w:val="nil"/>
              <w:left w:val="single" w:sz="8" w:space="0" w:color="FFFFFF"/>
              <w:bottom w:val="single" w:sz="8" w:space="0" w:color="FFFFFF"/>
              <w:right w:val="single" w:sz="8" w:space="0" w:color="FFFFFF"/>
            </w:tcBorders>
            <w:vAlign w:val="center"/>
          </w:tcPr>
          <w:p w14:paraId="42F9C9F3"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03C552F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440B64A1"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04204B1C"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65EE23B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7BDE4786"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196AEA86"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62BD0734" w14:textId="77777777" w:rsidTr="00AA7998">
        <w:trPr>
          <w:trHeight w:val="315"/>
        </w:trPr>
        <w:tc>
          <w:tcPr>
            <w:tcW w:w="491" w:type="pct"/>
            <w:tcBorders>
              <w:top w:val="nil"/>
              <w:left w:val="single" w:sz="8" w:space="0" w:color="FFFFFF"/>
              <w:bottom w:val="nil"/>
              <w:right w:val="single" w:sz="8" w:space="0" w:color="FFFFFF"/>
            </w:tcBorders>
            <w:shd w:val="clear" w:color="000000" w:fill="F2F2F2"/>
            <w:vAlign w:val="center"/>
          </w:tcPr>
          <w:p w14:paraId="50B7CBAA"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V.</w:t>
            </w:r>
          </w:p>
        </w:tc>
        <w:tc>
          <w:tcPr>
            <w:tcW w:w="491" w:type="pct"/>
            <w:tcBorders>
              <w:top w:val="nil"/>
              <w:left w:val="nil"/>
              <w:bottom w:val="nil"/>
              <w:right w:val="single" w:sz="8" w:space="0" w:color="FFFFFF"/>
            </w:tcBorders>
            <w:shd w:val="clear" w:color="000000" w:fill="F2F2F2"/>
            <w:textDirection w:val="btLr"/>
            <w:vAlign w:val="center"/>
          </w:tcPr>
          <w:p w14:paraId="360D11B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982" w:type="pct"/>
            <w:tcBorders>
              <w:top w:val="single" w:sz="8" w:space="0" w:color="FFFFFF"/>
              <w:left w:val="nil"/>
              <w:bottom w:val="nil"/>
              <w:right w:val="single" w:sz="8" w:space="0" w:color="FFFFFF"/>
            </w:tcBorders>
            <w:shd w:val="clear" w:color="000000" w:fill="F2F2F2"/>
            <w:vAlign w:val="center"/>
          </w:tcPr>
          <w:p w14:paraId="2E6CCAC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491" w:type="pct"/>
            <w:tcBorders>
              <w:top w:val="nil"/>
              <w:left w:val="nil"/>
              <w:bottom w:val="nil"/>
              <w:right w:val="single" w:sz="8" w:space="0" w:color="FFFFFF"/>
            </w:tcBorders>
            <w:shd w:val="clear" w:color="000000" w:fill="F2F2F2"/>
            <w:vAlign w:val="center"/>
          </w:tcPr>
          <w:p w14:paraId="1EAD255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w:t>
            </w:r>
          </w:p>
        </w:tc>
        <w:tc>
          <w:tcPr>
            <w:tcW w:w="849" w:type="pct"/>
            <w:tcBorders>
              <w:top w:val="nil"/>
              <w:left w:val="nil"/>
              <w:bottom w:val="nil"/>
              <w:right w:val="single" w:sz="8" w:space="0" w:color="FFFFFF"/>
            </w:tcBorders>
            <w:shd w:val="clear" w:color="000000" w:fill="F2F2F2"/>
            <w:vAlign w:val="center"/>
          </w:tcPr>
          <w:p w14:paraId="737D5E2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 xml:space="preserve">5 009 700 000    </w:t>
            </w:r>
          </w:p>
        </w:tc>
        <w:tc>
          <w:tcPr>
            <w:tcW w:w="849" w:type="pct"/>
            <w:tcBorders>
              <w:top w:val="nil"/>
              <w:left w:val="nil"/>
              <w:bottom w:val="nil"/>
              <w:right w:val="single" w:sz="8" w:space="0" w:color="FFFFFF"/>
            </w:tcBorders>
            <w:shd w:val="clear" w:color="000000" w:fill="F2F2F2"/>
            <w:vAlign w:val="center"/>
          </w:tcPr>
          <w:p w14:paraId="2B91F42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 xml:space="preserve"> 884 064 706    </w:t>
            </w:r>
          </w:p>
        </w:tc>
        <w:tc>
          <w:tcPr>
            <w:tcW w:w="847" w:type="pct"/>
            <w:tcBorders>
              <w:top w:val="nil"/>
              <w:left w:val="nil"/>
              <w:bottom w:val="nil"/>
              <w:right w:val="single" w:sz="8" w:space="0" w:color="FFFFFF"/>
            </w:tcBorders>
            <w:shd w:val="clear" w:color="000000" w:fill="F2F2F2"/>
            <w:vAlign w:val="center"/>
          </w:tcPr>
          <w:p w14:paraId="195165D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 xml:space="preserve">5 893 764 706    </w:t>
            </w:r>
          </w:p>
        </w:tc>
      </w:tr>
      <w:tr w:rsidR="004E3242" w:rsidRPr="004E3242" w14:paraId="6F332567" w14:textId="77777777" w:rsidTr="00AA7998">
        <w:trPr>
          <w:trHeight w:val="315"/>
        </w:trPr>
        <w:tc>
          <w:tcPr>
            <w:tcW w:w="491" w:type="pct"/>
            <w:tcBorders>
              <w:top w:val="nil"/>
              <w:left w:val="single" w:sz="8" w:space="0" w:color="FFFFFF"/>
              <w:bottom w:val="nil"/>
              <w:right w:val="single" w:sz="8" w:space="0" w:color="FFFFFF"/>
            </w:tcBorders>
            <w:shd w:val="clear" w:color="000000" w:fill="F2F2F2"/>
            <w:vAlign w:val="center"/>
          </w:tcPr>
          <w:p w14:paraId="08CA39C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VI.</w:t>
            </w:r>
          </w:p>
        </w:tc>
        <w:tc>
          <w:tcPr>
            <w:tcW w:w="491" w:type="pct"/>
            <w:tcBorders>
              <w:top w:val="nil"/>
              <w:left w:val="nil"/>
              <w:bottom w:val="nil"/>
              <w:right w:val="single" w:sz="8" w:space="0" w:color="FFFFFF"/>
            </w:tcBorders>
            <w:shd w:val="clear" w:color="000000" w:fill="F2F2F2"/>
            <w:textDirection w:val="btLr"/>
            <w:vAlign w:val="center"/>
          </w:tcPr>
          <w:p w14:paraId="5117194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982" w:type="pct"/>
            <w:tcBorders>
              <w:top w:val="single" w:sz="8" w:space="0" w:color="FFFFFF"/>
              <w:left w:val="nil"/>
              <w:bottom w:val="nil"/>
              <w:right w:val="single" w:sz="8" w:space="0" w:color="FFFFFF"/>
            </w:tcBorders>
            <w:shd w:val="clear" w:color="000000" w:fill="F2F2F2"/>
            <w:vAlign w:val="center"/>
          </w:tcPr>
          <w:p w14:paraId="7E31830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491" w:type="pct"/>
            <w:tcBorders>
              <w:top w:val="nil"/>
              <w:left w:val="nil"/>
              <w:bottom w:val="nil"/>
              <w:right w:val="single" w:sz="8" w:space="0" w:color="FFFFFF"/>
            </w:tcBorders>
            <w:shd w:val="clear" w:color="000000" w:fill="F2F2F2"/>
            <w:vAlign w:val="center"/>
          </w:tcPr>
          <w:p w14:paraId="4C7D3D6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w:t>
            </w:r>
          </w:p>
        </w:tc>
        <w:tc>
          <w:tcPr>
            <w:tcW w:w="849" w:type="pct"/>
            <w:tcBorders>
              <w:top w:val="nil"/>
              <w:left w:val="nil"/>
              <w:bottom w:val="nil"/>
              <w:right w:val="single" w:sz="8" w:space="0" w:color="FFFFFF"/>
            </w:tcBorders>
            <w:shd w:val="clear" w:color="000000" w:fill="F2F2F2"/>
            <w:vAlign w:val="center"/>
          </w:tcPr>
          <w:p w14:paraId="7BAA3EF5" w14:textId="77777777" w:rsidR="00BA77F0" w:rsidRDefault="00BA77F0" w:rsidP="004E3242">
            <w:pPr>
              <w:spacing w:after="0" w:line="240" w:lineRule="auto"/>
              <w:jc w:val="center"/>
              <w:rPr>
                <w:rFonts w:ascii="Arial" w:eastAsia="Times New Roman" w:hAnsi="Arial" w:cs="Arial"/>
                <w:color w:val="000000"/>
                <w:sz w:val="16"/>
                <w:szCs w:val="16"/>
                <w:lang w:eastAsia="pl-PL"/>
              </w:rPr>
            </w:pPr>
            <w:r w:rsidRPr="00BA77F0">
              <w:rPr>
                <w:rFonts w:ascii="Arial" w:eastAsia="Times New Roman" w:hAnsi="Arial" w:cs="Arial"/>
                <w:color w:val="000000"/>
                <w:sz w:val="16"/>
                <w:szCs w:val="16"/>
                <w:lang w:eastAsia="pl-PL"/>
              </w:rPr>
              <w:t>2 276 497</w:t>
            </w:r>
            <w:r>
              <w:rPr>
                <w:rFonts w:ascii="Arial" w:eastAsia="Times New Roman" w:hAnsi="Arial" w:cs="Arial"/>
                <w:color w:val="000000"/>
                <w:sz w:val="16"/>
                <w:szCs w:val="16"/>
                <w:lang w:eastAsia="pl-PL"/>
              </w:rPr>
              <w:t> </w:t>
            </w:r>
            <w:r w:rsidRPr="00BA77F0">
              <w:rPr>
                <w:rFonts w:ascii="Arial" w:eastAsia="Times New Roman" w:hAnsi="Arial" w:cs="Arial"/>
                <w:color w:val="000000"/>
                <w:sz w:val="16"/>
                <w:szCs w:val="16"/>
                <w:lang w:eastAsia="pl-PL"/>
              </w:rPr>
              <w:t>630</w:t>
            </w:r>
          </w:p>
          <w:p w14:paraId="4D3E3E5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9" w:type="pct"/>
            <w:tcBorders>
              <w:top w:val="nil"/>
              <w:left w:val="nil"/>
              <w:bottom w:val="nil"/>
              <w:right w:val="single" w:sz="8" w:space="0" w:color="FFFFFF"/>
            </w:tcBorders>
            <w:shd w:val="clear" w:color="000000" w:fill="F2F2F2"/>
            <w:vAlign w:val="center"/>
          </w:tcPr>
          <w:p w14:paraId="67EA0A22" w14:textId="77777777" w:rsidR="00BA77F0" w:rsidRDefault="00BA77F0" w:rsidP="004E3242">
            <w:pPr>
              <w:spacing w:after="0" w:line="240" w:lineRule="auto"/>
              <w:jc w:val="center"/>
              <w:rPr>
                <w:rFonts w:ascii="Arial" w:eastAsia="Times New Roman" w:hAnsi="Arial" w:cs="Arial"/>
                <w:color w:val="000000"/>
                <w:sz w:val="16"/>
                <w:szCs w:val="16"/>
                <w:lang w:eastAsia="pl-PL"/>
              </w:rPr>
            </w:pPr>
            <w:r w:rsidRPr="00BA77F0">
              <w:rPr>
                <w:rFonts w:ascii="Arial" w:eastAsia="Times New Roman" w:hAnsi="Arial" w:cs="Arial"/>
                <w:color w:val="000000"/>
                <w:sz w:val="16"/>
                <w:szCs w:val="16"/>
                <w:lang w:eastAsia="pl-PL"/>
              </w:rPr>
              <w:t>401 734</w:t>
            </w:r>
            <w:r>
              <w:rPr>
                <w:rFonts w:ascii="Arial" w:eastAsia="Times New Roman" w:hAnsi="Arial" w:cs="Arial"/>
                <w:color w:val="000000"/>
                <w:sz w:val="16"/>
                <w:szCs w:val="16"/>
                <w:lang w:eastAsia="pl-PL"/>
              </w:rPr>
              <w:t> </w:t>
            </w:r>
            <w:r w:rsidRPr="00BA77F0">
              <w:rPr>
                <w:rFonts w:ascii="Arial" w:eastAsia="Times New Roman" w:hAnsi="Arial" w:cs="Arial"/>
                <w:color w:val="000000"/>
                <w:sz w:val="16"/>
                <w:szCs w:val="16"/>
                <w:lang w:eastAsia="pl-PL"/>
              </w:rPr>
              <w:t>876</w:t>
            </w:r>
          </w:p>
          <w:p w14:paraId="1893B09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7" w:type="pct"/>
            <w:tcBorders>
              <w:top w:val="nil"/>
              <w:left w:val="nil"/>
              <w:bottom w:val="nil"/>
              <w:right w:val="single" w:sz="8" w:space="0" w:color="FFFFFF"/>
            </w:tcBorders>
            <w:shd w:val="clear" w:color="000000" w:fill="F2F2F2"/>
            <w:vAlign w:val="center"/>
          </w:tcPr>
          <w:p w14:paraId="74EA5C75" w14:textId="77777777" w:rsidR="00BA77F0" w:rsidRDefault="00BA77F0" w:rsidP="004E3242">
            <w:pPr>
              <w:spacing w:after="0" w:line="240" w:lineRule="auto"/>
              <w:jc w:val="center"/>
              <w:rPr>
                <w:rFonts w:ascii="Arial" w:eastAsia="Times New Roman" w:hAnsi="Arial" w:cs="Arial"/>
                <w:color w:val="000000"/>
                <w:sz w:val="16"/>
                <w:szCs w:val="16"/>
                <w:lang w:eastAsia="pl-PL"/>
              </w:rPr>
            </w:pPr>
            <w:r w:rsidRPr="00BA77F0">
              <w:rPr>
                <w:rFonts w:ascii="Arial" w:eastAsia="Times New Roman" w:hAnsi="Arial" w:cs="Arial"/>
                <w:color w:val="000000"/>
                <w:sz w:val="16"/>
                <w:szCs w:val="16"/>
                <w:lang w:eastAsia="pl-PL"/>
              </w:rPr>
              <w:t>2 678 232</w:t>
            </w:r>
            <w:r>
              <w:rPr>
                <w:rFonts w:ascii="Arial" w:eastAsia="Times New Roman" w:hAnsi="Arial" w:cs="Arial"/>
                <w:color w:val="000000"/>
                <w:sz w:val="16"/>
                <w:szCs w:val="16"/>
                <w:lang w:eastAsia="pl-PL"/>
              </w:rPr>
              <w:t> </w:t>
            </w:r>
            <w:r w:rsidRPr="00BA77F0">
              <w:rPr>
                <w:rFonts w:ascii="Arial" w:eastAsia="Times New Roman" w:hAnsi="Arial" w:cs="Arial"/>
                <w:color w:val="000000"/>
                <w:sz w:val="16"/>
                <w:szCs w:val="16"/>
                <w:lang w:eastAsia="pl-PL"/>
              </w:rPr>
              <w:t>506</w:t>
            </w:r>
          </w:p>
          <w:p w14:paraId="5DE9D8E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4E3242" w:rsidRPr="004E3242" w14:paraId="49D054DB" w14:textId="77777777" w:rsidTr="00AA7998">
        <w:trPr>
          <w:trHeight w:val="300"/>
        </w:trPr>
        <w:tc>
          <w:tcPr>
            <w:tcW w:w="491"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182EDA8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lastRenderedPageBreak/>
              <w:t>VII.</w:t>
            </w:r>
          </w:p>
        </w:tc>
        <w:tc>
          <w:tcPr>
            <w:tcW w:w="491" w:type="pct"/>
            <w:vMerge w:val="restart"/>
            <w:tcBorders>
              <w:top w:val="single" w:sz="8" w:space="0" w:color="FFFFFF"/>
              <w:left w:val="single" w:sz="8" w:space="0" w:color="FFFFFF"/>
              <w:bottom w:val="single" w:sz="8" w:space="0" w:color="FFFFFF"/>
              <w:right w:val="single" w:sz="8" w:space="0" w:color="FFFFFF"/>
            </w:tcBorders>
            <w:shd w:val="clear" w:color="000000" w:fill="F2F2F2"/>
            <w:textDirection w:val="btLr"/>
            <w:vAlign w:val="center"/>
          </w:tcPr>
          <w:p w14:paraId="5883300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3BD78B5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491" w:type="pct"/>
            <w:vMerge w:val="restart"/>
            <w:tcBorders>
              <w:top w:val="nil"/>
              <w:left w:val="single" w:sz="8" w:space="0" w:color="FFFFFF"/>
              <w:bottom w:val="nil"/>
              <w:right w:val="single" w:sz="8" w:space="0" w:color="FFFFFF"/>
            </w:tcBorders>
            <w:shd w:val="clear" w:color="000000" w:fill="F2F2F2"/>
            <w:vAlign w:val="center"/>
          </w:tcPr>
          <w:p w14:paraId="57084A1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w:t>
            </w:r>
          </w:p>
        </w:tc>
        <w:tc>
          <w:tcPr>
            <w:tcW w:w="849"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740E250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971 806 937</w:t>
            </w:r>
          </w:p>
        </w:tc>
        <w:tc>
          <w:tcPr>
            <w:tcW w:w="849"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5DAF2F8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171 495 343</w:t>
            </w:r>
          </w:p>
        </w:tc>
        <w:tc>
          <w:tcPr>
            <w:tcW w:w="847"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24BEE12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1 143 302 280</w:t>
            </w:r>
          </w:p>
        </w:tc>
      </w:tr>
      <w:tr w:rsidR="004E3242" w:rsidRPr="004E3242" w14:paraId="56D6FD3D" w14:textId="77777777" w:rsidTr="00AA7998">
        <w:trPr>
          <w:trHeight w:val="315"/>
        </w:trPr>
        <w:tc>
          <w:tcPr>
            <w:tcW w:w="491" w:type="pct"/>
            <w:vMerge/>
            <w:tcBorders>
              <w:top w:val="single" w:sz="8" w:space="0" w:color="FFFFFF"/>
              <w:left w:val="single" w:sz="8" w:space="0" w:color="FFFFFF"/>
              <w:bottom w:val="single" w:sz="8" w:space="0" w:color="FFFFFF"/>
              <w:right w:val="single" w:sz="8" w:space="0" w:color="FFFFFF"/>
            </w:tcBorders>
            <w:vAlign w:val="center"/>
          </w:tcPr>
          <w:p w14:paraId="58543E88"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single" w:sz="8" w:space="0" w:color="FFFFFF"/>
              <w:left w:val="single" w:sz="8" w:space="0" w:color="FFFFFF"/>
              <w:bottom w:val="single" w:sz="8" w:space="0" w:color="FFFFFF"/>
              <w:right w:val="single" w:sz="8" w:space="0" w:color="FFFFFF"/>
            </w:tcBorders>
            <w:vAlign w:val="center"/>
          </w:tcPr>
          <w:p w14:paraId="32EFD39B"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35959FE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4823218D"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single" w:sz="8" w:space="0" w:color="FFFFFF"/>
              <w:left w:val="single" w:sz="8" w:space="0" w:color="FFFFFF"/>
              <w:bottom w:val="single" w:sz="8" w:space="0" w:color="FFFFFF"/>
              <w:right w:val="single" w:sz="8" w:space="0" w:color="FFFFFF"/>
            </w:tcBorders>
            <w:vAlign w:val="center"/>
          </w:tcPr>
          <w:p w14:paraId="06CAFB83"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single" w:sz="8" w:space="0" w:color="FFFFFF"/>
              <w:left w:val="single" w:sz="8" w:space="0" w:color="FFFFFF"/>
              <w:bottom w:val="single" w:sz="8" w:space="0" w:color="FFFFFF"/>
              <w:right w:val="single" w:sz="8" w:space="0" w:color="FFFFFF"/>
            </w:tcBorders>
            <w:vAlign w:val="center"/>
          </w:tcPr>
          <w:p w14:paraId="341F8989"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single" w:sz="8" w:space="0" w:color="FFFFFF"/>
              <w:left w:val="single" w:sz="8" w:space="0" w:color="FFFFFF"/>
              <w:bottom w:val="single" w:sz="8" w:space="0" w:color="FFFFFF"/>
              <w:right w:val="single" w:sz="8" w:space="0" w:color="FFFFFF"/>
            </w:tcBorders>
            <w:vAlign w:val="center"/>
          </w:tcPr>
          <w:p w14:paraId="38EC2868"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6D41B1AA" w14:textId="77777777" w:rsidTr="00AA7998">
        <w:trPr>
          <w:trHeight w:val="300"/>
        </w:trPr>
        <w:tc>
          <w:tcPr>
            <w:tcW w:w="491" w:type="pct"/>
            <w:vMerge/>
            <w:tcBorders>
              <w:top w:val="single" w:sz="8" w:space="0" w:color="FFFFFF"/>
              <w:left w:val="single" w:sz="8" w:space="0" w:color="FFFFFF"/>
              <w:bottom w:val="single" w:sz="8" w:space="0" w:color="FFFFFF"/>
              <w:right w:val="single" w:sz="8" w:space="0" w:color="FFFFFF"/>
            </w:tcBorders>
            <w:vAlign w:val="center"/>
          </w:tcPr>
          <w:p w14:paraId="10BDF6BD"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single" w:sz="8" w:space="0" w:color="FFFFFF"/>
              <w:left w:val="single" w:sz="8" w:space="0" w:color="FFFFFF"/>
              <w:bottom w:val="single" w:sz="8" w:space="0" w:color="FFFFFF"/>
              <w:right w:val="single" w:sz="8" w:space="0" w:color="FFFFFF"/>
            </w:tcBorders>
            <w:vAlign w:val="center"/>
          </w:tcPr>
          <w:p w14:paraId="62AF6183"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7D3CC8E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491" w:type="pct"/>
            <w:vMerge/>
            <w:tcBorders>
              <w:top w:val="nil"/>
              <w:left w:val="single" w:sz="8" w:space="0" w:color="FFFFFF"/>
              <w:bottom w:val="nil"/>
              <w:right w:val="single" w:sz="8" w:space="0" w:color="FFFFFF"/>
            </w:tcBorders>
            <w:vAlign w:val="center"/>
          </w:tcPr>
          <w:p w14:paraId="1FF4892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033F915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28 193 063</w:t>
            </w: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38B77219"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7 048 266</w:t>
            </w:r>
          </w:p>
        </w:tc>
        <w:tc>
          <w:tcPr>
            <w:tcW w:w="847" w:type="pct"/>
            <w:vMerge w:val="restart"/>
            <w:tcBorders>
              <w:top w:val="nil"/>
              <w:left w:val="single" w:sz="8" w:space="0" w:color="FFFFFF"/>
              <w:bottom w:val="single" w:sz="8" w:space="0" w:color="FFFFFF"/>
              <w:right w:val="single" w:sz="8" w:space="0" w:color="FFFFFF"/>
            </w:tcBorders>
            <w:shd w:val="clear" w:color="000000" w:fill="F2F2F2"/>
            <w:vAlign w:val="center"/>
          </w:tcPr>
          <w:p w14:paraId="70A10B7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35 241 329</w:t>
            </w:r>
          </w:p>
        </w:tc>
      </w:tr>
      <w:tr w:rsidR="004E3242" w:rsidRPr="004E3242" w14:paraId="7BD48941" w14:textId="77777777" w:rsidTr="00AA7998">
        <w:trPr>
          <w:trHeight w:val="315"/>
        </w:trPr>
        <w:tc>
          <w:tcPr>
            <w:tcW w:w="491" w:type="pct"/>
            <w:vMerge/>
            <w:tcBorders>
              <w:top w:val="single" w:sz="8" w:space="0" w:color="FFFFFF"/>
              <w:left w:val="single" w:sz="8" w:space="0" w:color="FFFFFF"/>
              <w:bottom w:val="single" w:sz="8" w:space="0" w:color="FFFFFF"/>
              <w:right w:val="single" w:sz="8" w:space="0" w:color="FFFFFF"/>
            </w:tcBorders>
            <w:vAlign w:val="center"/>
          </w:tcPr>
          <w:p w14:paraId="0C49B415"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single" w:sz="8" w:space="0" w:color="FFFFFF"/>
              <w:left w:val="single" w:sz="8" w:space="0" w:color="FFFFFF"/>
              <w:bottom w:val="single" w:sz="8" w:space="0" w:color="FFFFFF"/>
              <w:right w:val="single" w:sz="8" w:space="0" w:color="FFFFFF"/>
            </w:tcBorders>
            <w:vAlign w:val="center"/>
          </w:tcPr>
          <w:p w14:paraId="028E3DB5"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25E20573"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6AF7C533"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3E551DC1"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6263421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14EA4E8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19997D02" w14:textId="77777777" w:rsidTr="00AA7998">
        <w:trPr>
          <w:trHeight w:val="955"/>
        </w:trPr>
        <w:tc>
          <w:tcPr>
            <w:tcW w:w="491" w:type="pct"/>
            <w:vMerge w:val="restart"/>
            <w:tcBorders>
              <w:top w:val="nil"/>
              <w:left w:val="single" w:sz="8" w:space="0" w:color="FFFFFF"/>
              <w:bottom w:val="single" w:sz="8" w:space="0" w:color="FFFFFF"/>
              <w:right w:val="single" w:sz="8" w:space="0" w:color="FFFFFF"/>
            </w:tcBorders>
            <w:shd w:val="clear" w:color="000000" w:fill="F2F2F2"/>
            <w:vAlign w:val="center"/>
          </w:tcPr>
          <w:p w14:paraId="23A2837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VIII.</w:t>
            </w:r>
          </w:p>
        </w:tc>
        <w:tc>
          <w:tcPr>
            <w:tcW w:w="491" w:type="pct"/>
            <w:vMerge w:val="restart"/>
            <w:tcBorders>
              <w:top w:val="nil"/>
              <w:left w:val="single" w:sz="8" w:space="0" w:color="FFFFFF"/>
              <w:bottom w:val="single" w:sz="8" w:space="0" w:color="FFFFFF"/>
              <w:right w:val="single" w:sz="8" w:space="0" w:color="FFFFFF"/>
            </w:tcBorders>
            <w:shd w:val="clear" w:color="000000" w:fill="F2F2F2"/>
            <w:textDirection w:val="btLr"/>
            <w:vAlign w:val="center"/>
          </w:tcPr>
          <w:p w14:paraId="2C9B3C6F"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982" w:type="pct"/>
            <w:tcBorders>
              <w:top w:val="single" w:sz="8" w:space="0" w:color="FFFFFF"/>
              <w:left w:val="single" w:sz="8" w:space="0" w:color="FFFFFF"/>
              <w:bottom w:val="single" w:sz="8" w:space="0" w:color="FFFFFF"/>
              <w:right w:val="single" w:sz="8" w:space="0" w:color="FFFFFF"/>
            </w:tcBorders>
            <w:shd w:val="clear" w:color="000000" w:fill="F2F2F2"/>
            <w:vAlign w:val="center"/>
          </w:tcPr>
          <w:p w14:paraId="5A6A48F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491" w:type="pct"/>
            <w:vMerge w:val="restart"/>
            <w:tcBorders>
              <w:top w:val="nil"/>
              <w:left w:val="single" w:sz="8" w:space="0" w:color="FFFFFF"/>
              <w:bottom w:val="nil"/>
              <w:right w:val="single" w:sz="8" w:space="0" w:color="FFFFFF"/>
            </w:tcBorders>
            <w:shd w:val="clear" w:color="000000" w:fill="F2F2F2"/>
            <w:vAlign w:val="center"/>
          </w:tcPr>
          <w:p w14:paraId="3A7EE38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w:t>
            </w: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30EAC4A6"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416 540 167</w:t>
            </w: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3986E6A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73 507 090</w:t>
            </w:r>
          </w:p>
        </w:tc>
        <w:tc>
          <w:tcPr>
            <w:tcW w:w="847" w:type="pct"/>
            <w:tcBorders>
              <w:top w:val="nil"/>
              <w:left w:val="nil"/>
              <w:right w:val="single" w:sz="8" w:space="0" w:color="FFFFFF"/>
            </w:tcBorders>
            <w:shd w:val="clear" w:color="000000" w:fill="F2F2F2"/>
            <w:vAlign w:val="center"/>
          </w:tcPr>
          <w:p w14:paraId="074B600D"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 </w:t>
            </w:r>
          </w:p>
          <w:p w14:paraId="71B07BD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490 047 257</w:t>
            </w:r>
          </w:p>
          <w:p w14:paraId="1A8C760C"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 </w:t>
            </w:r>
          </w:p>
        </w:tc>
      </w:tr>
      <w:tr w:rsidR="004E3242" w:rsidRPr="004E3242" w14:paraId="0F09A3C8" w14:textId="77777777" w:rsidTr="00AA7998">
        <w:trPr>
          <w:trHeight w:val="300"/>
        </w:trPr>
        <w:tc>
          <w:tcPr>
            <w:tcW w:w="491" w:type="pct"/>
            <w:vMerge/>
            <w:tcBorders>
              <w:top w:val="nil"/>
              <w:left w:val="single" w:sz="8" w:space="0" w:color="FFFFFF"/>
              <w:bottom w:val="single" w:sz="8" w:space="0" w:color="FFFFFF"/>
              <w:right w:val="single" w:sz="8" w:space="0" w:color="FFFFFF"/>
            </w:tcBorders>
            <w:vAlign w:val="center"/>
          </w:tcPr>
          <w:p w14:paraId="305D769E"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0C9C4A6B"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62DF9521"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491" w:type="pct"/>
            <w:vMerge/>
            <w:tcBorders>
              <w:top w:val="nil"/>
              <w:left w:val="single" w:sz="8" w:space="0" w:color="FFFFFF"/>
              <w:bottom w:val="nil"/>
              <w:right w:val="single" w:sz="8" w:space="0" w:color="FFFFFF"/>
            </w:tcBorders>
            <w:vAlign w:val="center"/>
          </w:tcPr>
          <w:p w14:paraId="3668FDE9"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74E1B533"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50 759 833</w:t>
            </w: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11F15267"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12 689 959</w:t>
            </w:r>
          </w:p>
        </w:tc>
        <w:tc>
          <w:tcPr>
            <w:tcW w:w="847" w:type="pct"/>
            <w:vMerge w:val="restart"/>
            <w:tcBorders>
              <w:top w:val="nil"/>
              <w:left w:val="single" w:sz="8" w:space="0" w:color="FFFFFF"/>
              <w:bottom w:val="single" w:sz="8" w:space="0" w:color="FFFFFF"/>
              <w:right w:val="single" w:sz="8" w:space="0" w:color="FFFFFF"/>
            </w:tcBorders>
            <w:shd w:val="clear" w:color="000000" w:fill="F2F2F2"/>
            <w:vAlign w:val="center"/>
          </w:tcPr>
          <w:p w14:paraId="71F2EA0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63 449 792</w:t>
            </w:r>
          </w:p>
        </w:tc>
      </w:tr>
      <w:tr w:rsidR="004E3242" w:rsidRPr="004E3242" w14:paraId="29BFC4A6" w14:textId="77777777" w:rsidTr="00AA7998">
        <w:trPr>
          <w:trHeight w:val="315"/>
        </w:trPr>
        <w:tc>
          <w:tcPr>
            <w:tcW w:w="491" w:type="pct"/>
            <w:vMerge/>
            <w:tcBorders>
              <w:top w:val="nil"/>
              <w:left w:val="single" w:sz="8" w:space="0" w:color="FFFFFF"/>
              <w:bottom w:val="single" w:sz="8" w:space="0" w:color="FFFFFF"/>
              <w:right w:val="single" w:sz="8" w:space="0" w:color="FFFFFF"/>
            </w:tcBorders>
            <w:vAlign w:val="center"/>
          </w:tcPr>
          <w:p w14:paraId="7FDCE5D3"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5869DC5E"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7037E0C8"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2AB7424F"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537788AB"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2BC2FC43"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72545EA5"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0653972C" w14:textId="77777777" w:rsidTr="00AA7998">
        <w:trPr>
          <w:trHeight w:val="300"/>
        </w:trPr>
        <w:tc>
          <w:tcPr>
            <w:tcW w:w="491" w:type="pct"/>
            <w:vMerge w:val="restart"/>
            <w:tcBorders>
              <w:top w:val="nil"/>
              <w:left w:val="single" w:sz="8" w:space="0" w:color="FFFFFF"/>
              <w:bottom w:val="single" w:sz="8" w:space="0" w:color="FFFFFF"/>
              <w:right w:val="single" w:sz="8" w:space="0" w:color="FFFFFF"/>
            </w:tcBorders>
            <w:shd w:val="clear" w:color="000000" w:fill="F2F2F2"/>
            <w:vAlign w:val="center"/>
          </w:tcPr>
          <w:p w14:paraId="3CE7CC9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IX.</w:t>
            </w:r>
          </w:p>
        </w:tc>
        <w:tc>
          <w:tcPr>
            <w:tcW w:w="491" w:type="pct"/>
            <w:vMerge w:val="restart"/>
            <w:tcBorders>
              <w:top w:val="nil"/>
              <w:left w:val="single" w:sz="8" w:space="0" w:color="FFFFFF"/>
              <w:bottom w:val="single" w:sz="8" w:space="0" w:color="FFFFFF"/>
              <w:right w:val="single" w:sz="8" w:space="0" w:color="FFFFFF"/>
            </w:tcBorders>
            <w:shd w:val="clear" w:color="000000" w:fill="F2F2F2"/>
            <w:textDirection w:val="btLr"/>
            <w:vAlign w:val="center"/>
          </w:tcPr>
          <w:p w14:paraId="23A00D0E"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4E2189E8"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Słabiej rozwinięte</w:t>
            </w:r>
          </w:p>
        </w:tc>
        <w:tc>
          <w:tcPr>
            <w:tcW w:w="491" w:type="pct"/>
            <w:vMerge w:val="restart"/>
            <w:tcBorders>
              <w:top w:val="nil"/>
              <w:left w:val="single" w:sz="8" w:space="0" w:color="FFFFFF"/>
              <w:bottom w:val="nil"/>
              <w:right w:val="single" w:sz="8" w:space="0" w:color="FFFFFF"/>
            </w:tcBorders>
            <w:shd w:val="clear" w:color="000000" w:fill="F2F2F2"/>
            <w:vAlign w:val="center"/>
          </w:tcPr>
          <w:p w14:paraId="77B46F7B"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9.</w:t>
            </w: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6025B898" w14:textId="77777777" w:rsidR="004A1BDF" w:rsidRDefault="004A1BDF" w:rsidP="004E3242">
            <w:pPr>
              <w:spacing w:after="0" w:line="240" w:lineRule="auto"/>
              <w:jc w:val="center"/>
              <w:rPr>
                <w:rFonts w:ascii="Arial" w:eastAsia="Times New Roman" w:hAnsi="Arial" w:cs="Arial"/>
                <w:color w:val="000000"/>
                <w:sz w:val="16"/>
                <w:szCs w:val="16"/>
                <w:lang w:eastAsia="pl-PL"/>
              </w:rPr>
            </w:pPr>
            <w:r w:rsidRPr="004A1BDF">
              <w:rPr>
                <w:rFonts w:ascii="Arial" w:eastAsia="Times New Roman" w:hAnsi="Arial" w:cs="Arial"/>
                <w:color w:val="000000"/>
                <w:sz w:val="16"/>
                <w:szCs w:val="16"/>
                <w:lang w:eastAsia="pl-PL"/>
              </w:rPr>
              <w:t>583 245</w:t>
            </w:r>
            <w:r>
              <w:rPr>
                <w:rFonts w:ascii="Arial" w:eastAsia="Times New Roman" w:hAnsi="Arial" w:cs="Arial"/>
                <w:color w:val="000000"/>
                <w:sz w:val="16"/>
                <w:szCs w:val="16"/>
                <w:lang w:eastAsia="pl-PL"/>
              </w:rPr>
              <w:t> </w:t>
            </w:r>
            <w:r w:rsidRPr="004A1BDF">
              <w:rPr>
                <w:rFonts w:ascii="Arial" w:eastAsia="Times New Roman" w:hAnsi="Arial" w:cs="Arial"/>
                <w:color w:val="000000"/>
                <w:sz w:val="16"/>
                <w:szCs w:val="16"/>
                <w:lang w:eastAsia="pl-PL"/>
              </w:rPr>
              <w:t>955</w:t>
            </w:r>
          </w:p>
          <w:p w14:paraId="22278340"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60E2F488" w14:textId="77777777" w:rsidR="004A1BDF" w:rsidRDefault="004A1BDF" w:rsidP="00116C9F">
            <w:pPr>
              <w:spacing w:after="0" w:line="240" w:lineRule="auto"/>
              <w:jc w:val="center"/>
              <w:rPr>
                <w:rFonts w:ascii="Arial" w:eastAsia="Times New Roman" w:hAnsi="Arial" w:cs="Arial"/>
                <w:color w:val="000000"/>
                <w:sz w:val="16"/>
                <w:szCs w:val="16"/>
                <w:lang w:eastAsia="pl-PL"/>
              </w:rPr>
            </w:pPr>
            <w:r w:rsidRPr="004A1BDF">
              <w:rPr>
                <w:rFonts w:ascii="Arial" w:eastAsia="Times New Roman" w:hAnsi="Arial" w:cs="Arial"/>
                <w:color w:val="000000"/>
                <w:sz w:val="16"/>
                <w:szCs w:val="16"/>
                <w:lang w:eastAsia="pl-PL"/>
              </w:rPr>
              <w:t>102 925</w:t>
            </w:r>
            <w:r>
              <w:rPr>
                <w:rFonts w:ascii="Arial" w:eastAsia="Times New Roman" w:hAnsi="Arial" w:cs="Arial"/>
                <w:color w:val="000000"/>
                <w:sz w:val="16"/>
                <w:szCs w:val="16"/>
                <w:lang w:eastAsia="pl-PL"/>
              </w:rPr>
              <w:t> </w:t>
            </w:r>
            <w:r w:rsidRPr="004A1BDF">
              <w:rPr>
                <w:rFonts w:ascii="Arial" w:eastAsia="Times New Roman" w:hAnsi="Arial" w:cs="Arial"/>
                <w:color w:val="000000"/>
                <w:sz w:val="16"/>
                <w:szCs w:val="16"/>
                <w:lang w:eastAsia="pl-PL"/>
              </w:rPr>
              <w:t>757</w:t>
            </w:r>
          </w:p>
          <w:p w14:paraId="7DCBEDC7" w14:textId="77777777" w:rsidR="004E3242" w:rsidRPr="008434C1" w:rsidRDefault="004E3242" w:rsidP="004E3242">
            <w:pPr>
              <w:spacing w:after="0" w:line="240" w:lineRule="auto"/>
              <w:jc w:val="center"/>
              <w:rPr>
                <w:rFonts w:ascii="Arial" w:eastAsia="Times New Roman" w:hAnsi="Arial" w:cs="Arial"/>
                <w:color w:val="000000"/>
                <w:sz w:val="16"/>
                <w:szCs w:val="16"/>
                <w:lang w:eastAsia="pl-PL"/>
              </w:rPr>
            </w:pPr>
          </w:p>
        </w:tc>
        <w:tc>
          <w:tcPr>
            <w:tcW w:w="847" w:type="pct"/>
            <w:vMerge w:val="restart"/>
            <w:tcBorders>
              <w:top w:val="nil"/>
              <w:left w:val="single" w:sz="8" w:space="0" w:color="FFFFFF"/>
              <w:bottom w:val="single" w:sz="8" w:space="0" w:color="FFFFFF"/>
              <w:right w:val="single" w:sz="8" w:space="0" w:color="FFFFFF"/>
            </w:tcBorders>
            <w:shd w:val="clear" w:color="000000" w:fill="F2F2F2"/>
            <w:vAlign w:val="center"/>
          </w:tcPr>
          <w:p w14:paraId="136DEC79" w14:textId="77777777" w:rsidR="004A1BDF" w:rsidRDefault="004A1BDF" w:rsidP="00926988">
            <w:pPr>
              <w:spacing w:after="0" w:line="240" w:lineRule="auto"/>
              <w:jc w:val="center"/>
              <w:rPr>
                <w:rFonts w:ascii="Arial" w:eastAsia="Times New Roman" w:hAnsi="Arial" w:cs="Arial"/>
                <w:color w:val="000000"/>
                <w:sz w:val="16"/>
                <w:szCs w:val="16"/>
                <w:lang w:eastAsia="pl-PL"/>
              </w:rPr>
            </w:pPr>
            <w:r w:rsidRPr="004A1BDF">
              <w:rPr>
                <w:rFonts w:ascii="Arial" w:eastAsia="Times New Roman" w:hAnsi="Arial" w:cs="Arial"/>
                <w:color w:val="000000"/>
                <w:sz w:val="16"/>
                <w:szCs w:val="16"/>
                <w:lang w:eastAsia="pl-PL"/>
              </w:rPr>
              <w:t>686 171</w:t>
            </w:r>
            <w:r>
              <w:rPr>
                <w:rFonts w:ascii="Arial" w:eastAsia="Times New Roman" w:hAnsi="Arial" w:cs="Arial"/>
                <w:color w:val="000000"/>
                <w:sz w:val="16"/>
                <w:szCs w:val="16"/>
                <w:lang w:eastAsia="pl-PL"/>
              </w:rPr>
              <w:t> </w:t>
            </w:r>
            <w:r w:rsidRPr="004A1BDF">
              <w:rPr>
                <w:rFonts w:ascii="Arial" w:eastAsia="Times New Roman" w:hAnsi="Arial" w:cs="Arial"/>
                <w:color w:val="000000"/>
                <w:sz w:val="16"/>
                <w:szCs w:val="16"/>
                <w:lang w:eastAsia="pl-PL"/>
              </w:rPr>
              <w:t>712</w:t>
            </w:r>
          </w:p>
          <w:p w14:paraId="7B159720" w14:textId="77777777" w:rsidR="004E3242" w:rsidRPr="008434C1" w:rsidRDefault="004E3242" w:rsidP="004E3242">
            <w:pPr>
              <w:spacing w:after="0" w:line="240" w:lineRule="auto"/>
              <w:jc w:val="center"/>
              <w:rPr>
                <w:rFonts w:ascii="Arial" w:eastAsia="Times New Roman" w:hAnsi="Arial" w:cs="Arial"/>
                <w:color w:val="000000"/>
                <w:sz w:val="16"/>
                <w:szCs w:val="16"/>
                <w:lang w:eastAsia="pl-PL"/>
              </w:rPr>
            </w:pPr>
          </w:p>
        </w:tc>
      </w:tr>
      <w:tr w:rsidR="004E3242" w:rsidRPr="004E3242" w14:paraId="5B654DED" w14:textId="77777777" w:rsidTr="00AA7998">
        <w:trPr>
          <w:trHeight w:val="315"/>
        </w:trPr>
        <w:tc>
          <w:tcPr>
            <w:tcW w:w="491" w:type="pct"/>
            <w:vMerge/>
            <w:tcBorders>
              <w:top w:val="nil"/>
              <w:left w:val="single" w:sz="8" w:space="0" w:color="FFFFFF"/>
              <w:bottom w:val="single" w:sz="8" w:space="0" w:color="FFFFFF"/>
              <w:right w:val="single" w:sz="8" w:space="0" w:color="FFFFFF"/>
            </w:tcBorders>
            <w:vAlign w:val="center"/>
          </w:tcPr>
          <w:p w14:paraId="4FDB1FDE"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246259EC"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6C207724"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34879A1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512E269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728A387A"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3BA59C2D"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4E3242" w:rsidRPr="004E3242" w14:paraId="0514736D" w14:textId="77777777" w:rsidTr="00AA7998">
        <w:trPr>
          <w:trHeight w:val="300"/>
        </w:trPr>
        <w:tc>
          <w:tcPr>
            <w:tcW w:w="491" w:type="pct"/>
            <w:vMerge/>
            <w:tcBorders>
              <w:top w:val="nil"/>
              <w:left w:val="single" w:sz="8" w:space="0" w:color="FFFFFF"/>
              <w:bottom w:val="single" w:sz="8" w:space="0" w:color="FFFFFF"/>
              <w:right w:val="single" w:sz="8" w:space="0" w:color="FFFFFF"/>
            </w:tcBorders>
            <w:vAlign w:val="center"/>
          </w:tcPr>
          <w:p w14:paraId="586B664C"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2B404C59"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val="restart"/>
            <w:tcBorders>
              <w:top w:val="single" w:sz="8" w:space="0" w:color="FFFFFF"/>
              <w:left w:val="single" w:sz="8" w:space="0" w:color="FFFFFF"/>
              <w:bottom w:val="single" w:sz="8" w:space="0" w:color="FFFFFF"/>
              <w:right w:val="single" w:sz="8" w:space="0" w:color="FFFFFF"/>
            </w:tcBorders>
            <w:shd w:val="clear" w:color="000000" w:fill="F2F2F2"/>
            <w:vAlign w:val="center"/>
          </w:tcPr>
          <w:p w14:paraId="5CBDCAE5"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Lepiej rozwinięte</w:t>
            </w:r>
          </w:p>
        </w:tc>
        <w:tc>
          <w:tcPr>
            <w:tcW w:w="491" w:type="pct"/>
            <w:vMerge/>
            <w:tcBorders>
              <w:top w:val="nil"/>
              <w:left w:val="single" w:sz="8" w:space="0" w:color="FFFFFF"/>
              <w:bottom w:val="nil"/>
              <w:right w:val="single" w:sz="8" w:space="0" w:color="FFFFFF"/>
            </w:tcBorders>
            <w:vAlign w:val="center"/>
          </w:tcPr>
          <w:p w14:paraId="781DA7DA"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24BD4F48" w14:textId="77777777" w:rsidR="006D3DA0" w:rsidRDefault="006D3DA0" w:rsidP="00E703A6">
            <w:pPr>
              <w:spacing w:after="0" w:line="240" w:lineRule="auto"/>
              <w:jc w:val="center"/>
              <w:rPr>
                <w:rFonts w:ascii="Arial" w:eastAsia="Times New Roman" w:hAnsi="Arial" w:cs="Arial"/>
                <w:color w:val="000000"/>
                <w:sz w:val="16"/>
                <w:szCs w:val="16"/>
                <w:lang w:eastAsia="pl-PL"/>
              </w:rPr>
            </w:pPr>
            <w:r w:rsidRPr="006D3DA0">
              <w:rPr>
                <w:rFonts w:ascii="Arial" w:eastAsia="Times New Roman" w:hAnsi="Arial" w:cs="Arial"/>
                <w:color w:val="000000"/>
                <w:sz w:val="16"/>
                <w:szCs w:val="16"/>
                <w:lang w:eastAsia="pl-PL"/>
              </w:rPr>
              <w:t>80 626</w:t>
            </w:r>
            <w:r>
              <w:rPr>
                <w:rFonts w:ascii="Arial" w:eastAsia="Times New Roman" w:hAnsi="Arial" w:cs="Arial"/>
                <w:color w:val="000000"/>
                <w:sz w:val="16"/>
                <w:szCs w:val="16"/>
                <w:lang w:eastAsia="pl-PL"/>
              </w:rPr>
              <w:t> </w:t>
            </w:r>
            <w:r w:rsidRPr="006D3DA0">
              <w:rPr>
                <w:rFonts w:ascii="Arial" w:eastAsia="Times New Roman" w:hAnsi="Arial" w:cs="Arial"/>
                <w:color w:val="000000"/>
                <w:sz w:val="16"/>
                <w:szCs w:val="16"/>
                <w:lang w:eastAsia="pl-PL"/>
              </w:rPr>
              <w:t>337</w:t>
            </w:r>
          </w:p>
          <w:p w14:paraId="0D97450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F2F2F2"/>
            <w:vAlign w:val="center"/>
          </w:tcPr>
          <w:p w14:paraId="7F3F6558" w14:textId="77777777" w:rsidR="006D3DA0" w:rsidRDefault="006D3DA0" w:rsidP="001860C8">
            <w:pPr>
              <w:spacing w:after="0" w:line="240" w:lineRule="auto"/>
              <w:jc w:val="center"/>
              <w:rPr>
                <w:rFonts w:ascii="Arial" w:eastAsia="Times New Roman" w:hAnsi="Arial" w:cs="Arial"/>
                <w:color w:val="000000"/>
                <w:sz w:val="16"/>
                <w:szCs w:val="16"/>
                <w:lang w:eastAsia="pl-PL"/>
              </w:rPr>
            </w:pPr>
            <w:r w:rsidRPr="006D3DA0">
              <w:rPr>
                <w:rFonts w:ascii="Arial" w:eastAsia="Times New Roman" w:hAnsi="Arial" w:cs="Arial"/>
                <w:color w:val="000000"/>
                <w:sz w:val="16"/>
                <w:szCs w:val="16"/>
                <w:lang w:eastAsia="pl-PL"/>
              </w:rPr>
              <w:t>20 156</w:t>
            </w:r>
            <w:r>
              <w:rPr>
                <w:rFonts w:ascii="Arial" w:eastAsia="Times New Roman" w:hAnsi="Arial" w:cs="Arial"/>
                <w:color w:val="000000"/>
                <w:sz w:val="16"/>
                <w:szCs w:val="16"/>
                <w:lang w:eastAsia="pl-PL"/>
              </w:rPr>
              <w:t> </w:t>
            </w:r>
            <w:r w:rsidRPr="006D3DA0">
              <w:rPr>
                <w:rFonts w:ascii="Arial" w:eastAsia="Times New Roman" w:hAnsi="Arial" w:cs="Arial"/>
                <w:color w:val="000000"/>
                <w:sz w:val="16"/>
                <w:szCs w:val="16"/>
                <w:lang w:eastAsia="pl-PL"/>
              </w:rPr>
              <w:t>58</w:t>
            </w:r>
            <w:r w:rsidR="00BB42F9">
              <w:rPr>
                <w:rFonts w:ascii="Arial" w:eastAsia="Times New Roman" w:hAnsi="Arial" w:cs="Arial"/>
                <w:color w:val="000000"/>
                <w:sz w:val="16"/>
                <w:szCs w:val="16"/>
                <w:lang w:eastAsia="pl-PL"/>
              </w:rPr>
              <w:t>5</w:t>
            </w:r>
          </w:p>
          <w:p w14:paraId="3E1FD854"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c>
          <w:tcPr>
            <w:tcW w:w="847" w:type="pct"/>
            <w:vMerge w:val="restart"/>
            <w:tcBorders>
              <w:top w:val="nil"/>
              <w:left w:val="single" w:sz="8" w:space="0" w:color="FFFFFF"/>
              <w:bottom w:val="single" w:sz="8" w:space="0" w:color="FFFFFF"/>
              <w:right w:val="single" w:sz="8" w:space="0" w:color="FFFFFF"/>
            </w:tcBorders>
            <w:shd w:val="clear" w:color="000000" w:fill="F2F2F2"/>
            <w:vAlign w:val="center"/>
          </w:tcPr>
          <w:p w14:paraId="66BAF5FD" w14:textId="77777777" w:rsidR="006D3DA0" w:rsidRDefault="006D3DA0" w:rsidP="00E703A6">
            <w:pPr>
              <w:spacing w:after="0" w:line="240" w:lineRule="auto"/>
              <w:jc w:val="center"/>
              <w:rPr>
                <w:rFonts w:ascii="Arial" w:eastAsia="Times New Roman" w:hAnsi="Arial" w:cs="Arial"/>
                <w:color w:val="000000"/>
                <w:sz w:val="16"/>
                <w:szCs w:val="16"/>
                <w:lang w:eastAsia="pl-PL"/>
              </w:rPr>
            </w:pPr>
            <w:r w:rsidRPr="006D3DA0">
              <w:rPr>
                <w:rFonts w:ascii="Arial" w:eastAsia="Times New Roman" w:hAnsi="Arial" w:cs="Arial"/>
                <w:color w:val="000000"/>
                <w:sz w:val="16"/>
                <w:szCs w:val="16"/>
                <w:lang w:eastAsia="pl-PL"/>
              </w:rPr>
              <w:t>100 782</w:t>
            </w:r>
            <w:r>
              <w:rPr>
                <w:rFonts w:ascii="Arial" w:eastAsia="Times New Roman" w:hAnsi="Arial" w:cs="Arial"/>
                <w:color w:val="000000"/>
                <w:sz w:val="16"/>
                <w:szCs w:val="16"/>
                <w:lang w:eastAsia="pl-PL"/>
              </w:rPr>
              <w:t> </w:t>
            </w:r>
            <w:r w:rsidRPr="006D3DA0">
              <w:rPr>
                <w:rFonts w:ascii="Arial" w:eastAsia="Times New Roman" w:hAnsi="Arial" w:cs="Arial"/>
                <w:color w:val="000000"/>
                <w:sz w:val="16"/>
                <w:szCs w:val="16"/>
                <w:lang w:eastAsia="pl-PL"/>
              </w:rPr>
              <w:t>92</w:t>
            </w:r>
            <w:r w:rsidR="00BB42F9">
              <w:rPr>
                <w:rFonts w:ascii="Arial" w:eastAsia="Times New Roman" w:hAnsi="Arial" w:cs="Arial"/>
                <w:color w:val="000000"/>
                <w:sz w:val="16"/>
                <w:szCs w:val="16"/>
                <w:lang w:eastAsia="pl-PL"/>
              </w:rPr>
              <w:t>2</w:t>
            </w:r>
          </w:p>
          <w:p w14:paraId="2D7BE532" w14:textId="77777777" w:rsidR="004E3242" w:rsidRPr="004E3242" w:rsidRDefault="004E3242" w:rsidP="004E3242">
            <w:pPr>
              <w:spacing w:after="0" w:line="240" w:lineRule="auto"/>
              <w:jc w:val="center"/>
              <w:rPr>
                <w:rFonts w:ascii="Arial" w:eastAsia="Times New Roman" w:hAnsi="Arial" w:cs="Arial"/>
                <w:color w:val="000000"/>
                <w:sz w:val="16"/>
                <w:szCs w:val="16"/>
                <w:lang w:eastAsia="pl-PL"/>
              </w:rPr>
            </w:pPr>
          </w:p>
        </w:tc>
      </w:tr>
      <w:tr w:rsidR="004E3242" w:rsidRPr="004E3242" w14:paraId="13CA8EA7" w14:textId="77777777" w:rsidTr="00AA7998">
        <w:trPr>
          <w:trHeight w:val="315"/>
        </w:trPr>
        <w:tc>
          <w:tcPr>
            <w:tcW w:w="491" w:type="pct"/>
            <w:vMerge/>
            <w:tcBorders>
              <w:top w:val="nil"/>
              <w:left w:val="single" w:sz="8" w:space="0" w:color="FFFFFF"/>
              <w:bottom w:val="single" w:sz="8" w:space="0" w:color="FFFFFF"/>
              <w:right w:val="single" w:sz="8" w:space="0" w:color="FFFFFF"/>
            </w:tcBorders>
            <w:vAlign w:val="center"/>
          </w:tcPr>
          <w:p w14:paraId="7C9CE247"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single" w:sz="8" w:space="0" w:color="FFFFFF"/>
              <w:right w:val="single" w:sz="8" w:space="0" w:color="FFFFFF"/>
            </w:tcBorders>
            <w:vAlign w:val="center"/>
          </w:tcPr>
          <w:p w14:paraId="29A1BB26"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982" w:type="pct"/>
            <w:vMerge/>
            <w:tcBorders>
              <w:top w:val="single" w:sz="8" w:space="0" w:color="FFFFFF"/>
              <w:left w:val="single" w:sz="8" w:space="0" w:color="FFFFFF"/>
              <w:bottom w:val="single" w:sz="8" w:space="0" w:color="FFFFFF"/>
              <w:right w:val="single" w:sz="8" w:space="0" w:color="FFFFFF"/>
            </w:tcBorders>
            <w:vAlign w:val="center"/>
          </w:tcPr>
          <w:p w14:paraId="3C95764C"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491" w:type="pct"/>
            <w:vMerge/>
            <w:tcBorders>
              <w:top w:val="nil"/>
              <w:left w:val="single" w:sz="8" w:space="0" w:color="FFFFFF"/>
              <w:bottom w:val="nil"/>
              <w:right w:val="single" w:sz="8" w:space="0" w:color="FFFFFF"/>
            </w:tcBorders>
            <w:vAlign w:val="center"/>
          </w:tcPr>
          <w:p w14:paraId="4CE8251D"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00E4ABC5"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5F9E5D10"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59650701" w14:textId="77777777" w:rsidR="004E3242" w:rsidRPr="004E3242" w:rsidRDefault="004E3242" w:rsidP="004E3242">
            <w:pPr>
              <w:spacing w:after="0" w:line="240" w:lineRule="auto"/>
              <w:rPr>
                <w:rFonts w:ascii="Arial" w:eastAsia="Times New Roman" w:hAnsi="Arial" w:cs="Arial"/>
                <w:color w:val="000000"/>
                <w:sz w:val="16"/>
                <w:szCs w:val="16"/>
                <w:lang w:eastAsia="pl-PL"/>
              </w:rPr>
            </w:pPr>
          </w:p>
        </w:tc>
      </w:tr>
      <w:tr w:rsidR="002E50FF" w:rsidRPr="004E3242" w14:paraId="57A57AD4" w14:textId="77777777" w:rsidTr="00F852AF">
        <w:trPr>
          <w:trHeight w:val="300"/>
        </w:trPr>
        <w:tc>
          <w:tcPr>
            <w:tcW w:w="491" w:type="pct"/>
            <w:tcBorders>
              <w:top w:val="nil"/>
              <w:left w:val="single" w:sz="8" w:space="0" w:color="FFFFFF"/>
              <w:right w:val="single" w:sz="8" w:space="0" w:color="FFFFFF"/>
            </w:tcBorders>
            <w:shd w:val="clear" w:color="000000" w:fill="F2F2F2"/>
            <w:vAlign w:val="center"/>
          </w:tcPr>
          <w:p w14:paraId="5CCF559D" w14:textId="77777777" w:rsidR="002E50FF" w:rsidRDefault="002E50FF"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X.</w:t>
            </w:r>
          </w:p>
        </w:tc>
        <w:tc>
          <w:tcPr>
            <w:tcW w:w="491" w:type="pct"/>
            <w:tcBorders>
              <w:top w:val="nil"/>
              <w:left w:val="single" w:sz="8" w:space="0" w:color="FFFFFF"/>
              <w:right w:val="single" w:sz="8" w:space="0" w:color="FFFFFF"/>
            </w:tcBorders>
            <w:shd w:val="clear" w:color="000000" w:fill="F2F2F2"/>
            <w:textDirection w:val="btLr"/>
            <w:vAlign w:val="center"/>
          </w:tcPr>
          <w:p w14:paraId="191443AD" w14:textId="77777777" w:rsidR="002E50FF" w:rsidRPr="004E3242" w:rsidRDefault="002E50FF"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FS</w:t>
            </w:r>
          </w:p>
        </w:tc>
        <w:tc>
          <w:tcPr>
            <w:tcW w:w="982" w:type="pct"/>
            <w:tcBorders>
              <w:top w:val="single" w:sz="8" w:space="0" w:color="FFFFFF"/>
              <w:left w:val="single" w:sz="8" w:space="0" w:color="FFFFFF"/>
              <w:bottom w:val="single" w:sz="8" w:space="0" w:color="FFFFFF"/>
              <w:right w:val="single" w:sz="8" w:space="0" w:color="FFFFFF"/>
            </w:tcBorders>
            <w:shd w:val="clear" w:color="000000" w:fill="F2F2F2"/>
            <w:vAlign w:val="center"/>
          </w:tcPr>
          <w:p w14:paraId="3974FCF2" w14:textId="77777777" w:rsidR="002E50FF" w:rsidRDefault="002E50FF"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491" w:type="pct"/>
            <w:tcBorders>
              <w:top w:val="nil"/>
              <w:left w:val="single" w:sz="8" w:space="0" w:color="FFFFFF"/>
              <w:bottom w:val="single" w:sz="8" w:space="0" w:color="FFFFFF"/>
              <w:right w:val="single" w:sz="8" w:space="0" w:color="FFFFFF"/>
            </w:tcBorders>
            <w:shd w:val="clear" w:color="000000" w:fill="F2F2F2"/>
            <w:vAlign w:val="center"/>
          </w:tcPr>
          <w:p w14:paraId="58189320" w14:textId="77777777" w:rsidR="002E50FF" w:rsidRDefault="002E50FF" w:rsidP="00F74B99">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n/d</w:t>
            </w: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41D109D7" w14:textId="77777777" w:rsidR="002E50FF" w:rsidRPr="00D01332" w:rsidRDefault="002E50FF" w:rsidP="00F74B99">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327 000</w:t>
            </w:r>
            <w:r>
              <w:rPr>
                <w:rFonts w:ascii="Arial" w:eastAsia="Times New Roman" w:hAnsi="Arial" w:cs="Arial"/>
                <w:color w:val="000000"/>
                <w:sz w:val="16"/>
                <w:szCs w:val="16"/>
                <w:lang w:eastAsia="pl-PL"/>
              </w:rPr>
              <w:t> </w:t>
            </w:r>
            <w:r w:rsidRPr="00D01332">
              <w:rPr>
                <w:rFonts w:ascii="Arial" w:eastAsia="Times New Roman" w:hAnsi="Arial" w:cs="Arial"/>
                <w:color w:val="000000"/>
                <w:sz w:val="16"/>
                <w:szCs w:val="16"/>
                <w:lang w:eastAsia="pl-PL"/>
              </w:rPr>
              <w:t>000</w:t>
            </w: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0B73676F" w14:textId="77777777" w:rsidR="002E50FF" w:rsidRPr="00D01332" w:rsidRDefault="002E50FF" w:rsidP="00F74B99">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57 705</w:t>
            </w:r>
            <w:r>
              <w:rPr>
                <w:rFonts w:ascii="Arial" w:eastAsia="Times New Roman" w:hAnsi="Arial" w:cs="Arial"/>
                <w:color w:val="000000"/>
                <w:sz w:val="16"/>
                <w:szCs w:val="16"/>
                <w:lang w:eastAsia="pl-PL"/>
              </w:rPr>
              <w:t> </w:t>
            </w:r>
            <w:r w:rsidRPr="00D01332">
              <w:rPr>
                <w:rFonts w:ascii="Arial" w:eastAsia="Times New Roman" w:hAnsi="Arial" w:cs="Arial"/>
                <w:color w:val="000000"/>
                <w:sz w:val="16"/>
                <w:szCs w:val="16"/>
                <w:lang w:eastAsia="pl-PL"/>
              </w:rPr>
              <w:t>883</w:t>
            </w:r>
          </w:p>
        </w:tc>
        <w:tc>
          <w:tcPr>
            <w:tcW w:w="847" w:type="pct"/>
            <w:tcBorders>
              <w:top w:val="nil"/>
              <w:left w:val="single" w:sz="8" w:space="0" w:color="FFFFFF"/>
              <w:bottom w:val="single" w:sz="8" w:space="0" w:color="FFFFFF"/>
              <w:right w:val="single" w:sz="8" w:space="0" w:color="FFFFFF"/>
            </w:tcBorders>
            <w:shd w:val="clear" w:color="000000" w:fill="F2F2F2"/>
            <w:vAlign w:val="center"/>
          </w:tcPr>
          <w:p w14:paraId="6553B722" w14:textId="77777777" w:rsidR="002E50FF" w:rsidRPr="00D01332" w:rsidRDefault="002E50FF" w:rsidP="00F74B99">
            <w:pPr>
              <w:spacing w:after="0" w:line="240" w:lineRule="auto"/>
              <w:jc w:val="center"/>
              <w:rPr>
                <w:rFonts w:ascii="Arial" w:eastAsia="Times New Roman" w:hAnsi="Arial" w:cs="Arial"/>
                <w:color w:val="000000"/>
                <w:sz w:val="16"/>
                <w:szCs w:val="16"/>
                <w:lang w:eastAsia="pl-PL"/>
              </w:rPr>
            </w:pPr>
            <w:r w:rsidRPr="00D01332">
              <w:rPr>
                <w:rFonts w:ascii="Arial" w:eastAsia="Times New Roman" w:hAnsi="Arial" w:cs="Arial"/>
                <w:color w:val="000000"/>
                <w:sz w:val="16"/>
                <w:szCs w:val="16"/>
                <w:lang w:eastAsia="pl-PL"/>
              </w:rPr>
              <w:t>384 705 883</w:t>
            </w:r>
          </w:p>
        </w:tc>
      </w:tr>
      <w:tr w:rsidR="001038D1" w:rsidRPr="004E3242" w14:paraId="2A9E4D79" w14:textId="77777777" w:rsidTr="00C30110">
        <w:trPr>
          <w:cantSplit/>
          <w:trHeight w:val="1134"/>
        </w:trPr>
        <w:tc>
          <w:tcPr>
            <w:tcW w:w="491" w:type="pct"/>
            <w:tcBorders>
              <w:top w:val="nil"/>
              <w:left w:val="single" w:sz="8" w:space="0" w:color="FFFFFF"/>
              <w:right w:val="single" w:sz="8" w:space="0" w:color="FFFFFF"/>
            </w:tcBorders>
            <w:shd w:val="clear" w:color="000000" w:fill="F2F2F2"/>
            <w:vAlign w:val="center"/>
          </w:tcPr>
          <w:p w14:paraId="0265EAF0" w14:textId="77777777" w:rsidR="001038D1" w:rsidRPr="004E3242" w:rsidRDefault="001038D1" w:rsidP="00F74B99">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XI.</w:t>
            </w:r>
          </w:p>
        </w:tc>
        <w:tc>
          <w:tcPr>
            <w:tcW w:w="491" w:type="pct"/>
            <w:tcBorders>
              <w:top w:val="nil"/>
              <w:left w:val="single" w:sz="8" w:space="0" w:color="FFFFFF"/>
              <w:right w:val="single" w:sz="8" w:space="0" w:color="FFFFFF"/>
            </w:tcBorders>
            <w:shd w:val="clear" w:color="000000" w:fill="F2F2F2"/>
            <w:textDirection w:val="btLr"/>
            <w:vAlign w:val="center"/>
          </w:tcPr>
          <w:p w14:paraId="1AF2BD73" w14:textId="77777777" w:rsidR="001038D1" w:rsidRPr="004E3242" w:rsidRDefault="001038D1" w:rsidP="00C30110">
            <w:pPr>
              <w:spacing w:after="0" w:line="240" w:lineRule="auto"/>
              <w:ind w:left="113" w:right="113"/>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EFRR</w:t>
            </w:r>
            <w:r w:rsidR="004D24EA">
              <w:rPr>
                <w:rFonts w:ascii="Arial" w:eastAsia="Times New Roman" w:hAnsi="Arial" w:cs="Arial"/>
                <w:color w:val="000000"/>
                <w:sz w:val="16"/>
                <w:szCs w:val="16"/>
                <w:lang w:eastAsia="pl-PL"/>
              </w:rPr>
              <w:t xml:space="preserve"> REACT-EU</w:t>
            </w:r>
          </w:p>
        </w:tc>
        <w:tc>
          <w:tcPr>
            <w:tcW w:w="982" w:type="pct"/>
            <w:tcBorders>
              <w:top w:val="single" w:sz="8" w:space="0" w:color="FFFFFF"/>
              <w:left w:val="single" w:sz="8" w:space="0" w:color="FFFFFF"/>
              <w:bottom w:val="single" w:sz="8" w:space="0" w:color="FFFFFF"/>
              <w:right w:val="single" w:sz="8" w:space="0" w:color="FFFFFF"/>
            </w:tcBorders>
            <w:shd w:val="clear" w:color="000000" w:fill="F2F2F2"/>
            <w:vAlign w:val="center"/>
          </w:tcPr>
          <w:p w14:paraId="6D5AAA76" w14:textId="77777777" w:rsidR="001038D1" w:rsidRPr="004E3242" w:rsidRDefault="001038D1" w:rsidP="00F74B99">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491" w:type="pct"/>
            <w:tcBorders>
              <w:top w:val="nil"/>
              <w:left w:val="single" w:sz="8" w:space="0" w:color="FFFFFF"/>
              <w:bottom w:val="single" w:sz="8" w:space="0" w:color="FFFFFF"/>
              <w:right w:val="single" w:sz="8" w:space="0" w:color="FFFFFF"/>
            </w:tcBorders>
            <w:shd w:val="clear" w:color="000000" w:fill="F2F2F2"/>
            <w:vAlign w:val="center"/>
          </w:tcPr>
          <w:p w14:paraId="4A4A5EDD" w14:textId="77777777" w:rsidR="001038D1" w:rsidRPr="004E3242" w:rsidRDefault="001038D1" w:rsidP="00F74B99">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44B0E7B0" w14:textId="2FB21C8D" w:rsidR="00EB651B" w:rsidRDefault="00EB651B" w:rsidP="00F74B99">
            <w:pPr>
              <w:spacing w:after="0" w:line="240" w:lineRule="auto"/>
              <w:jc w:val="center"/>
              <w:rPr>
                <w:rFonts w:ascii="Arial" w:eastAsia="Times New Roman" w:hAnsi="Arial" w:cs="Arial"/>
                <w:color w:val="000000"/>
                <w:sz w:val="16"/>
                <w:szCs w:val="16"/>
                <w:lang w:eastAsia="pl-PL"/>
              </w:rPr>
            </w:pPr>
            <w:r w:rsidRPr="00EB651B">
              <w:rPr>
                <w:rFonts w:ascii="Arial" w:eastAsia="Times New Roman" w:hAnsi="Arial" w:cs="Arial"/>
                <w:color w:val="000000"/>
                <w:sz w:val="16"/>
                <w:szCs w:val="16"/>
                <w:lang w:eastAsia="pl-PL"/>
              </w:rPr>
              <w:t>737 175</w:t>
            </w:r>
            <w:r>
              <w:rPr>
                <w:rFonts w:ascii="Arial" w:eastAsia="Times New Roman" w:hAnsi="Arial" w:cs="Arial"/>
                <w:color w:val="000000"/>
                <w:sz w:val="16"/>
                <w:szCs w:val="16"/>
                <w:lang w:eastAsia="pl-PL"/>
              </w:rPr>
              <w:t> </w:t>
            </w:r>
            <w:r w:rsidRPr="00EB651B">
              <w:rPr>
                <w:rFonts w:ascii="Arial" w:eastAsia="Times New Roman" w:hAnsi="Arial" w:cs="Arial"/>
                <w:color w:val="000000"/>
                <w:sz w:val="16"/>
                <w:szCs w:val="16"/>
                <w:lang w:eastAsia="pl-PL"/>
              </w:rPr>
              <w:t>003</w:t>
            </w:r>
          </w:p>
          <w:p w14:paraId="29591A94" w14:textId="3A4058A2" w:rsidR="001038D1" w:rsidRPr="00D01332" w:rsidRDefault="001038D1" w:rsidP="00F74B99">
            <w:pPr>
              <w:spacing w:after="0" w:line="240" w:lineRule="auto"/>
              <w:jc w:val="center"/>
              <w:rPr>
                <w:rFonts w:ascii="Arial" w:eastAsia="Times New Roman" w:hAnsi="Arial" w:cs="Arial"/>
                <w:color w:val="000000"/>
                <w:sz w:val="16"/>
                <w:szCs w:val="16"/>
                <w:lang w:eastAsia="pl-PL"/>
              </w:rPr>
            </w:pP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5A5D5FAE" w14:textId="77777777" w:rsidR="001038D1" w:rsidRPr="00D01332" w:rsidRDefault="005C59A0" w:rsidP="00F74B99">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w:t>
            </w:r>
          </w:p>
        </w:tc>
        <w:tc>
          <w:tcPr>
            <w:tcW w:w="847" w:type="pct"/>
            <w:tcBorders>
              <w:top w:val="nil"/>
              <w:left w:val="single" w:sz="8" w:space="0" w:color="FFFFFF"/>
              <w:bottom w:val="single" w:sz="8" w:space="0" w:color="FFFFFF"/>
              <w:right w:val="single" w:sz="8" w:space="0" w:color="FFFFFF"/>
            </w:tcBorders>
            <w:shd w:val="clear" w:color="000000" w:fill="F2F2F2"/>
            <w:vAlign w:val="center"/>
          </w:tcPr>
          <w:p w14:paraId="268B8C89" w14:textId="2580DEE9" w:rsidR="00EB651B" w:rsidRDefault="00EB651B" w:rsidP="00F74B99">
            <w:pPr>
              <w:spacing w:after="0" w:line="240" w:lineRule="auto"/>
              <w:jc w:val="center"/>
              <w:rPr>
                <w:rFonts w:ascii="Arial" w:eastAsia="Times New Roman" w:hAnsi="Arial" w:cs="Arial"/>
                <w:color w:val="000000"/>
                <w:sz w:val="16"/>
                <w:szCs w:val="16"/>
                <w:lang w:eastAsia="pl-PL"/>
              </w:rPr>
            </w:pPr>
            <w:r w:rsidRPr="00EB651B">
              <w:rPr>
                <w:rFonts w:ascii="Arial" w:eastAsia="Times New Roman" w:hAnsi="Arial" w:cs="Arial"/>
                <w:color w:val="000000"/>
                <w:sz w:val="16"/>
                <w:szCs w:val="16"/>
                <w:lang w:eastAsia="pl-PL"/>
              </w:rPr>
              <w:t>737 175</w:t>
            </w:r>
            <w:r>
              <w:rPr>
                <w:rFonts w:ascii="Arial" w:eastAsia="Times New Roman" w:hAnsi="Arial" w:cs="Arial"/>
                <w:color w:val="000000"/>
                <w:sz w:val="16"/>
                <w:szCs w:val="16"/>
                <w:lang w:eastAsia="pl-PL"/>
              </w:rPr>
              <w:t> </w:t>
            </w:r>
            <w:r w:rsidRPr="00EB651B">
              <w:rPr>
                <w:rFonts w:ascii="Arial" w:eastAsia="Times New Roman" w:hAnsi="Arial" w:cs="Arial"/>
                <w:color w:val="000000"/>
                <w:sz w:val="16"/>
                <w:szCs w:val="16"/>
                <w:lang w:eastAsia="pl-PL"/>
              </w:rPr>
              <w:t>003</w:t>
            </w:r>
          </w:p>
          <w:p w14:paraId="027A5868" w14:textId="5E5461D1" w:rsidR="001038D1" w:rsidRPr="00D01332" w:rsidRDefault="001038D1" w:rsidP="00F74B99">
            <w:pPr>
              <w:spacing w:after="0" w:line="240" w:lineRule="auto"/>
              <w:jc w:val="center"/>
              <w:rPr>
                <w:rFonts w:ascii="Arial" w:eastAsia="Times New Roman" w:hAnsi="Arial" w:cs="Arial"/>
                <w:color w:val="000000"/>
                <w:sz w:val="16"/>
                <w:szCs w:val="16"/>
                <w:lang w:eastAsia="pl-PL"/>
              </w:rPr>
            </w:pPr>
          </w:p>
        </w:tc>
      </w:tr>
      <w:tr w:rsidR="001038D1" w:rsidRPr="004E3242" w14:paraId="3EF22E72" w14:textId="77777777" w:rsidTr="00C30110">
        <w:trPr>
          <w:cantSplit/>
          <w:trHeight w:val="1134"/>
        </w:trPr>
        <w:tc>
          <w:tcPr>
            <w:tcW w:w="491" w:type="pct"/>
            <w:tcBorders>
              <w:top w:val="nil"/>
              <w:left w:val="single" w:sz="8" w:space="0" w:color="FFFFFF"/>
              <w:right w:val="single" w:sz="8" w:space="0" w:color="FFFFFF"/>
            </w:tcBorders>
            <w:shd w:val="clear" w:color="000000" w:fill="F2F2F2"/>
            <w:vAlign w:val="center"/>
          </w:tcPr>
          <w:p w14:paraId="160EDD93" w14:textId="77777777" w:rsidR="001038D1" w:rsidRPr="004E3242" w:rsidRDefault="001038D1"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XI</w:t>
            </w:r>
            <w:r w:rsidR="003D78EE">
              <w:rPr>
                <w:rFonts w:ascii="Arial" w:eastAsia="Times New Roman" w:hAnsi="Arial" w:cs="Arial"/>
                <w:color w:val="000000"/>
                <w:sz w:val="16"/>
                <w:szCs w:val="16"/>
                <w:lang w:eastAsia="pl-PL"/>
              </w:rPr>
              <w:t>I</w:t>
            </w:r>
            <w:r>
              <w:rPr>
                <w:rFonts w:ascii="Arial" w:eastAsia="Times New Roman" w:hAnsi="Arial" w:cs="Arial"/>
                <w:color w:val="000000"/>
                <w:sz w:val="16"/>
                <w:szCs w:val="16"/>
                <w:lang w:eastAsia="pl-PL"/>
              </w:rPr>
              <w:t>.</w:t>
            </w:r>
          </w:p>
        </w:tc>
        <w:tc>
          <w:tcPr>
            <w:tcW w:w="491" w:type="pct"/>
            <w:tcBorders>
              <w:top w:val="nil"/>
              <w:left w:val="single" w:sz="8" w:space="0" w:color="FFFFFF"/>
              <w:right w:val="single" w:sz="8" w:space="0" w:color="FFFFFF"/>
            </w:tcBorders>
            <w:shd w:val="clear" w:color="000000" w:fill="F2F2F2"/>
            <w:textDirection w:val="btLr"/>
            <w:vAlign w:val="center"/>
          </w:tcPr>
          <w:p w14:paraId="535706E0" w14:textId="77777777" w:rsidR="001038D1" w:rsidRPr="004E3242" w:rsidRDefault="00FF68B3" w:rsidP="00C30110">
            <w:pPr>
              <w:spacing w:after="0" w:line="240" w:lineRule="auto"/>
              <w:ind w:left="113" w:right="113"/>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EFRR</w:t>
            </w:r>
            <w:r w:rsidR="004D24EA">
              <w:rPr>
                <w:rFonts w:ascii="Arial" w:eastAsia="Times New Roman" w:hAnsi="Arial" w:cs="Arial"/>
                <w:color w:val="000000"/>
                <w:sz w:val="16"/>
                <w:szCs w:val="16"/>
                <w:lang w:eastAsia="pl-PL"/>
              </w:rPr>
              <w:t xml:space="preserve"> REACT-EU</w:t>
            </w:r>
          </w:p>
        </w:tc>
        <w:tc>
          <w:tcPr>
            <w:tcW w:w="982" w:type="pct"/>
            <w:tcBorders>
              <w:top w:val="single" w:sz="8" w:space="0" w:color="FFFFFF"/>
              <w:left w:val="single" w:sz="8" w:space="0" w:color="FFFFFF"/>
              <w:bottom w:val="single" w:sz="8" w:space="0" w:color="FFFFFF"/>
              <w:right w:val="single" w:sz="8" w:space="0" w:color="FFFFFF"/>
            </w:tcBorders>
            <w:shd w:val="clear" w:color="000000" w:fill="F2F2F2"/>
            <w:vAlign w:val="center"/>
          </w:tcPr>
          <w:p w14:paraId="4CAF9B3D" w14:textId="77777777" w:rsidR="001038D1" w:rsidRPr="004E3242" w:rsidRDefault="00FF68B3" w:rsidP="00FF68B3">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491" w:type="pct"/>
            <w:tcBorders>
              <w:top w:val="nil"/>
              <w:left w:val="single" w:sz="8" w:space="0" w:color="FFFFFF"/>
              <w:bottom w:val="single" w:sz="8" w:space="0" w:color="FFFFFF"/>
              <w:right w:val="single" w:sz="8" w:space="0" w:color="FFFFFF"/>
            </w:tcBorders>
            <w:shd w:val="clear" w:color="000000" w:fill="F2F2F2"/>
            <w:vAlign w:val="center"/>
          </w:tcPr>
          <w:p w14:paraId="07E3412A" w14:textId="77777777" w:rsidR="001038D1" w:rsidRPr="004E3242" w:rsidRDefault="00FF68B3" w:rsidP="004E3242">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n/d</w:t>
            </w: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31877FCE" w14:textId="214272C4" w:rsidR="003D63F5" w:rsidRDefault="003D63F5" w:rsidP="004E3242">
            <w:pPr>
              <w:spacing w:after="0" w:line="240" w:lineRule="auto"/>
              <w:jc w:val="center"/>
              <w:rPr>
                <w:rFonts w:ascii="Arial" w:eastAsia="Times New Roman" w:hAnsi="Arial" w:cs="Arial"/>
                <w:color w:val="000000"/>
                <w:sz w:val="16"/>
                <w:szCs w:val="16"/>
                <w:lang w:eastAsia="pl-PL"/>
              </w:rPr>
            </w:pPr>
            <w:r w:rsidRPr="003D63F5">
              <w:rPr>
                <w:rFonts w:ascii="Arial" w:eastAsia="Times New Roman" w:hAnsi="Arial" w:cs="Arial"/>
                <w:color w:val="000000"/>
                <w:sz w:val="16"/>
                <w:szCs w:val="16"/>
                <w:lang w:eastAsia="pl-PL"/>
              </w:rPr>
              <w:t>30 715</w:t>
            </w:r>
            <w:r>
              <w:rPr>
                <w:rFonts w:ascii="Arial" w:eastAsia="Times New Roman" w:hAnsi="Arial" w:cs="Arial"/>
                <w:color w:val="000000"/>
                <w:sz w:val="16"/>
                <w:szCs w:val="16"/>
                <w:lang w:eastAsia="pl-PL"/>
              </w:rPr>
              <w:t> </w:t>
            </w:r>
            <w:r w:rsidRPr="003D63F5">
              <w:rPr>
                <w:rFonts w:ascii="Arial" w:eastAsia="Times New Roman" w:hAnsi="Arial" w:cs="Arial"/>
                <w:color w:val="000000"/>
                <w:sz w:val="16"/>
                <w:szCs w:val="16"/>
                <w:lang w:eastAsia="pl-PL"/>
              </w:rPr>
              <w:t>624</w:t>
            </w:r>
          </w:p>
          <w:p w14:paraId="3AAFA726" w14:textId="663987EF" w:rsidR="001038D1" w:rsidRPr="00D01332" w:rsidRDefault="001038D1" w:rsidP="004E3242">
            <w:pPr>
              <w:spacing w:after="0" w:line="240" w:lineRule="auto"/>
              <w:jc w:val="center"/>
              <w:rPr>
                <w:rFonts w:ascii="Arial" w:eastAsia="Times New Roman" w:hAnsi="Arial" w:cs="Arial"/>
                <w:color w:val="000000"/>
                <w:sz w:val="16"/>
                <w:szCs w:val="16"/>
                <w:lang w:eastAsia="pl-PL"/>
              </w:rPr>
            </w:pPr>
          </w:p>
        </w:tc>
        <w:tc>
          <w:tcPr>
            <w:tcW w:w="849" w:type="pct"/>
            <w:tcBorders>
              <w:top w:val="nil"/>
              <w:left w:val="single" w:sz="8" w:space="0" w:color="FFFFFF"/>
              <w:bottom w:val="single" w:sz="8" w:space="0" w:color="FFFFFF"/>
              <w:right w:val="single" w:sz="8" w:space="0" w:color="FFFFFF"/>
            </w:tcBorders>
            <w:shd w:val="clear" w:color="000000" w:fill="F2F2F2"/>
            <w:vAlign w:val="center"/>
          </w:tcPr>
          <w:p w14:paraId="43530CD4" w14:textId="3A68CF69" w:rsidR="003D63F5" w:rsidRDefault="003D63F5" w:rsidP="004E3242">
            <w:pPr>
              <w:spacing w:after="0" w:line="240" w:lineRule="auto"/>
              <w:jc w:val="center"/>
              <w:rPr>
                <w:rFonts w:ascii="Arial" w:eastAsia="Times New Roman" w:hAnsi="Arial" w:cs="Arial"/>
                <w:color w:val="000000"/>
                <w:sz w:val="16"/>
                <w:szCs w:val="16"/>
                <w:lang w:eastAsia="pl-PL"/>
              </w:rPr>
            </w:pPr>
            <w:r w:rsidRPr="003D63F5">
              <w:rPr>
                <w:rFonts w:ascii="Arial" w:eastAsia="Times New Roman" w:hAnsi="Arial" w:cs="Arial"/>
                <w:color w:val="000000"/>
                <w:sz w:val="16"/>
                <w:szCs w:val="16"/>
                <w:lang w:eastAsia="pl-PL"/>
              </w:rPr>
              <w:t>5 420</w:t>
            </w:r>
            <w:r>
              <w:rPr>
                <w:rFonts w:ascii="Arial" w:eastAsia="Times New Roman" w:hAnsi="Arial" w:cs="Arial"/>
                <w:color w:val="000000"/>
                <w:sz w:val="16"/>
                <w:szCs w:val="16"/>
                <w:lang w:eastAsia="pl-PL"/>
              </w:rPr>
              <w:t> </w:t>
            </w:r>
            <w:r w:rsidRPr="003D63F5">
              <w:rPr>
                <w:rFonts w:ascii="Arial" w:eastAsia="Times New Roman" w:hAnsi="Arial" w:cs="Arial"/>
                <w:color w:val="000000"/>
                <w:sz w:val="16"/>
                <w:szCs w:val="16"/>
                <w:lang w:eastAsia="pl-PL"/>
              </w:rPr>
              <w:t>405</w:t>
            </w:r>
          </w:p>
          <w:p w14:paraId="0D9C3F66" w14:textId="4820C313" w:rsidR="001038D1" w:rsidRPr="00D01332" w:rsidRDefault="001038D1" w:rsidP="004E3242">
            <w:pPr>
              <w:spacing w:after="0" w:line="240" w:lineRule="auto"/>
              <w:jc w:val="center"/>
              <w:rPr>
                <w:rFonts w:ascii="Arial" w:eastAsia="Times New Roman" w:hAnsi="Arial" w:cs="Arial"/>
                <w:color w:val="000000"/>
                <w:sz w:val="16"/>
                <w:szCs w:val="16"/>
                <w:lang w:eastAsia="pl-PL"/>
              </w:rPr>
            </w:pPr>
          </w:p>
        </w:tc>
        <w:tc>
          <w:tcPr>
            <w:tcW w:w="847" w:type="pct"/>
            <w:tcBorders>
              <w:top w:val="nil"/>
              <w:left w:val="single" w:sz="8" w:space="0" w:color="FFFFFF"/>
              <w:bottom w:val="single" w:sz="8" w:space="0" w:color="FFFFFF"/>
              <w:right w:val="single" w:sz="8" w:space="0" w:color="FFFFFF"/>
            </w:tcBorders>
            <w:shd w:val="clear" w:color="000000" w:fill="F2F2F2"/>
            <w:vAlign w:val="center"/>
          </w:tcPr>
          <w:p w14:paraId="3F396A38" w14:textId="338CBCD2" w:rsidR="003D63F5" w:rsidRDefault="003D63F5" w:rsidP="004E3242">
            <w:pPr>
              <w:spacing w:after="0" w:line="240" w:lineRule="auto"/>
              <w:jc w:val="center"/>
              <w:rPr>
                <w:rFonts w:ascii="Arial" w:eastAsia="Times New Roman" w:hAnsi="Arial" w:cs="Arial"/>
                <w:color w:val="000000"/>
                <w:sz w:val="16"/>
                <w:szCs w:val="16"/>
                <w:lang w:eastAsia="pl-PL"/>
              </w:rPr>
            </w:pPr>
            <w:r w:rsidRPr="003D63F5">
              <w:rPr>
                <w:rFonts w:ascii="Arial" w:eastAsia="Times New Roman" w:hAnsi="Arial" w:cs="Arial"/>
                <w:color w:val="000000"/>
                <w:sz w:val="16"/>
                <w:szCs w:val="16"/>
                <w:lang w:eastAsia="pl-PL"/>
              </w:rPr>
              <w:t>36 136</w:t>
            </w:r>
            <w:r>
              <w:rPr>
                <w:rFonts w:ascii="Arial" w:eastAsia="Times New Roman" w:hAnsi="Arial" w:cs="Arial"/>
                <w:color w:val="000000"/>
                <w:sz w:val="16"/>
                <w:szCs w:val="16"/>
                <w:lang w:eastAsia="pl-PL"/>
              </w:rPr>
              <w:t> </w:t>
            </w:r>
            <w:r w:rsidRPr="003D63F5">
              <w:rPr>
                <w:rFonts w:ascii="Arial" w:eastAsia="Times New Roman" w:hAnsi="Arial" w:cs="Arial"/>
                <w:color w:val="000000"/>
                <w:sz w:val="16"/>
                <w:szCs w:val="16"/>
                <w:lang w:eastAsia="pl-PL"/>
              </w:rPr>
              <w:t>029</w:t>
            </w:r>
          </w:p>
          <w:p w14:paraId="29C9D4B7" w14:textId="2BE89548" w:rsidR="001038D1" w:rsidRPr="00D01332" w:rsidRDefault="001038D1" w:rsidP="004E3242">
            <w:pPr>
              <w:spacing w:after="0" w:line="240" w:lineRule="auto"/>
              <w:jc w:val="center"/>
              <w:rPr>
                <w:rFonts w:ascii="Arial" w:eastAsia="Times New Roman" w:hAnsi="Arial" w:cs="Arial"/>
                <w:color w:val="000000"/>
                <w:sz w:val="16"/>
                <w:szCs w:val="16"/>
                <w:lang w:eastAsia="pl-PL"/>
              </w:rPr>
            </w:pPr>
          </w:p>
        </w:tc>
      </w:tr>
      <w:tr w:rsidR="001038D1" w:rsidRPr="004E3242" w14:paraId="71A2EAF0" w14:textId="77777777" w:rsidTr="00AA7998">
        <w:trPr>
          <w:trHeight w:val="300"/>
        </w:trPr>
        <w:tc>
          <w:tcPr>
            <w:tcW w:w="2455" w:type="pct"/>
            <w:gridSpan w:val="4"/>
            <w:vMerge w:val="restart"/>
            <w:tcBorders>
              <w:top w:val="single" w:sz="8" w:space="0" w:color="FFFFFF"/>
              <w:left w:val="single" w:sz="8" w:space="0" w:color="FFFFFF"/>
              <w:bottom w:val="single" w:sz="8" w:space="0" w:color="FFFFFF"/>
              <w:right w:val="single" w:sz="8" w:space="0" w:color="FFFFFF"/>
            </w:tcBorders>
            <w:shd w:val="clear" w:color="000000" w:fill="D6E3BC"/>
            <w:vAlign w:val="center"/>
          </w:tcPr>
          <w:p w14:paraId="6BECAD91" w14:textId="77777777" w:rsidR="001038D1" w:rsidRPr="004E3242" w:rsidRDefault="001038D1" w:rsidP="004E3242">
            <w:pPr>
              <w:spacing w:after="0" w:line="240" w:lineRule="auto"/>
              <w:jc w:val="center"/>
              <w:rPr>
                <w:rFonts w:ascii="Arial" w:eastAsia="Times New Roman" w:hAnsi="Arial" w:cs="Arial"/>
                <w:color w:val="000000"/>
                <w:sz w:val="16"/>
                <w:szCs w:val="16"/>
                <w:lang w:eastAsia="pl-PL"/>
              </w:rPr>
            </w:pPr>
            <w:r w:rsidRPr="004E3242">
              <w:rPr>
                <w:rFonts w:ascii="Arial" w:eastAsia="Times New Roman" w:hAnsi="Arial" w:cs="Arial"/>
                <w:color w:val="000000"/>
                <w:sz w:val="16"/>
                <w:szCs w:val="16"/>
                <w:lang w:eastAsia="pl-PL"/>
              </w:rPr>
              <w:t>Ogółem</w:t>
            </w:r>
          </w:p>
        </w:tc>
        <w:tc>
          <w:tcPr>
            <w:tcW w:w="849" w:type="pct"/>
            <w:vMerge w:val="restart"/>
            <w:tcBorders>
              <w:top w:val="nil"/>
              <w:left w:val="single" w:sz="8" w:space="0" w:color="FFFFFF"/>
              <w:bottom w:val="single" w:sz="8" w:space="0" w:color="FFFFFF"/>
              <w:right w:val="single" w:sz="8" w:space="0" w:color="FFFFFF"/>
            </w:tcBorders>
            <w:shd w:val="clear" w:color="000000" w:fill="D6E3BC"/>
            <w:vAlign w:val="center"/>
          </w:tcPr>
          <w:p w14:paraId="39D766BC" w14:textId="16ACBE08" w:rsidR="00BA1C32" w:rsidRDefault="00BA1C32" w:rsidP="004E3242">
            <w:pPr>
              <w:spacing w:after="0" w:line="240" w:lineRule="auto"/>
              <w:jc w:val="center"/>
              <w:rPr>
                <w:rFonts w:ascii="Arial" w:eastAsia="Times New Roman" w:hAnsi="Arial" w:cs="Arial"/>
                <w:color w:val="000000"/>
                <w:sz w:val="16"/>
                <w:szCs w:val="16"/>
                <w:lang w:eastAsia="pl-PL"/>
              </w:rPr>
            </w:pPr>
            <w:r w:rsidRPr="00BA1C32">
              <w:rPr>
                <w:rFonts w:ascii="Arial" w:eastAsia="Times New Roman" w:hAnsi="Arial" w:cs="Arial"/>
                <w:color w:val="000000"/>
                <w:sz w:val="16"/>
                <w:szCs w:val="16"/>
                <w:lang w:eastAsia="pl-PL"/>
              </w:rPr>
              <w:t>28 178 637</w:t>
            </w:r>
            <w:r>
              <w:rPr>
                <w:rFonts w:ascii="Arial" w:eastAsia="Times New Roman" w:hAnsi="Arial" w:cs="Arial"/>
                <w:color w:val="000000"/>
                <w:sz w:val="16"/>
                <w:szCs w:val="16"/>
                <w:lang w:eastAsia="pl-PL"/>
              </w:rPr>
              <w:t> </w:t>
            </w:r>
            <w:r w:rsidRPr="00BA1C32">
              <w:rPr>
                <w:rFonts w:ascii="Arial" w:eastAsia="Times New Roman" w:hAnsi="Arial" w:cs="Arial"/>
                <w:color w:val="000000"/>
                <w:sz w:val="16"/>
                <w:szCs w:val="16"/>
                <w:lang w:eastAsia="pl-PL"/>
              </w:rPr>
              <w:t>512</w:t>
            </w:r>
          </w:p>
          <w:p w14:paraId="29AA33D9" w14:textId="14B3BBC8" w:rsidR="001038D1" w:rsidRPr="004E3242" w:rsidRDefault="001038D1" w:rsidP="004E3242">
            <w:pPr>
              <w:spacing w:after="0" w:line="240" w:lineRule="auto"/>
              <w:jc w:val="center"/>
              <w:rPr>
                <w:rFonts w:ascii="Arial" w:eastAsia="Times New Roman" w:hAnsi="Arial" w:cs="Arial"/>
                <w:color w:val="000000"/>
                <w:sz w:val="16"/>
                <w:szCs w:val="16"/>
                <w:lang w:eastAsia="pl-PL"/>
              </w:rPr>
            </w:pPr>
          </w:p>
        </w:tc>
        <w:tc>
          <w:tcPr>
            <w:tcW w:w="849" w:type="pct"/>
            <w:vMerge w:val="restart"/>
            <w:tcBorders>
              <w:top w:val="nil"/>
              <w:left w:val="single" w:sz="8" w:space="0" w:color="FFFFFF"/>
              <w:bottom w:val="single" w:sz="8" w:space="0" w:color="FFFFFF"/>
              <w:right w:val="single" w:sz="8" w:space="0" w:color="FFFFFF"/>
            </w:tcBorders>
            <w:shd w:val="clear" w:color="000000" w:fill="D6E3BC"/>
            <w:vAlign w:val="center"/>
          </w:tcPr>
          <w:p w14:paraId="0193E454" w14:textId="77777777" w:rsidR="001038D1" w:rsidRDefault="001038D1" w:rsidP="001F20DE">
            <w:pPr>
              <w:spacing w:after="0" w:line="240" w:lineRule="auto"/>
              <w:rPr>
                <w:rFonts w:ascii="Arial" w:eastAsia="Times New Roman" w:hAnsi="Arial" w:cs="Arial"/>
                <w:color w:val="000000"/>
                <w:sz w:val="16"/>
                <w:szCs w:val="16"/>
                <w:lang w:eastAsia="pl-PL"/>
              </w:rPr>
            </w:pPr>
          </w:p>
          <w:p w14:paraId="2F340015" w14:textId="43463425" w:rsidR="00BA1C32" w:rsidRDefault="00BA1C32" w:rsidP="00CD1784">
            <w:pPr>
              <w:spacing w:after="0" w:line="240" w:lineRule="auto"/>
              <w:jc w:val="center"/>
              <w:rPr>
                <w:rFonts w:ascii="Arial" w:eastAsia="Times New Roman" w:hAnsi="Arial" w:cs="Arial"/>
                <w:color w:val="000000"/>
                <w:sz w:val="16"/>
                <w:szCs w:val="16"/>
                <w:lang w:eastAsia="pl-PL"/>
              </w:rPr>
            </w:pPr>
            <w:r w:rsidRPr="00BA1C32">
              <w:rPr>
                <w:rFonts w:ascii="Arial" w:eastAsia="Times New Roman" w:hAnsi="Arial" w:cs="Arial"/>
                <w:color w:val="000000"/>
                <w:sz w:val="16"/>
                <w:szCs w:val="16"/>
                <w:lang w:eastAsia="pl-PL"/>
              </w:rPr>
              <w:t>4 858 694</w:t>
            </w:r>
            <w:r>
              <w:rPr>
                <w:rFonts w:ascii="Arial" w:eastAsia="Times New Roman" w:hAnsi="Arial" w:cs="Arial"/>
                <w:color w:val="000000"/>
                <w:sz w:val="16"/>
                <w:szCs w:val="16"/>
                <w:lang w:eastAsia="pl-PL"/>
              </w:rPr>
              <w:t> </w:t>
            </w:r>
            <w:r w:rsidRPr="00BA1C32">
              <w:rPr>
                <w:rFonts w:ascii="Arial" w:eastAsia="Times New Roman" w:hAnsi="Arial" w:cs="Arial"/>
                <w:color w:val="000000"/>
                <w:sz w:val="16"/>
                <w:szCs w:val="16"/>
                <w:lang w:eastAsia="pl-PL"/>
              </w:rPr>
              <w:t>101</w:t>
            </w:r>
          </w:p>
          <w:p w14:paraId="39E46AE4" w14:textId="4E37AC37" w:rsidR="001038D1" w:rsidRPr="004E3242" w:rsidRDefault="001038D1" w:rsidP="004E3242">
            <w:pPr>
              <w:spacing w:after="0" w:line="240" w:lineRule="auto"/>
              <w:jc w:val="center"/>
              <w:rPr>
                <w:rFonts w:ascii="Arial" w:eastAsia="Times New Roman" w:hAnsi="Arial" w:cs="Arial"/>
                <w:color w:val="000000"/>
                <w:sz w:val="16"/>
                <w:szCs w:val="16"/>
                <w:lang w:eastAsia="pl-PL"/>
              </w:rPr>
            </w:pPr>
          </w:p>
        </w:tc>
        <w:tc>
          <w:tcPr>
            <w:tcW w:w="847" w:type="pct"/>
            <w:vMerge w:val="restart"/>
            <w:tcBorders>
              <w:top w:val="nil"/>
              <w:left w:val="single" w:sz="8" w:space="0" w:color="FFFFFF"/>
              <w:bottom w:val="single" w:sz="8" w:space="0" w:color="FFFFFF"/>
              <w:right w:val="single" w:sz="8" w:space="0" w:color="FFFFFF"/>
            </w:tcBorders>
            <w:shd w:val="clear" w:color="000000" w:fill="D6E3BC"/>
            <w:vAlign w:val="center"/>
          </w:tcPr>
          <w:p w14:paraId="0AE57FD1" w14:textId="77777777" w:rsidR="001038D1" w:rsidRDefault="001038D1" w:rsidP="001F20DE">
            <w:pPr>
              <w:spacing w:after="0" w:line="240" w:lineRule="auto"/>
              <w:rPr>
                <w:rFonts w:ascii="Arial" w:eastAsia="Times New Roman" w:hAnsi="Arial" w:cs="Arial"/>
                <w:color w:val="000000"/>
                <w:sz w:val="16"/>
                <w:szCs w:val="16"/>
                <w:lang w:eastAsia="pl-PL"/>
              </w:rPr>
            </w:pPr>
          </w:p>
          <w:p w14:paraId="3E59B0C0" w14:textId="212931B0" w:rsidR="00BA1C32" w:rsidRDefault="00BA1C32" w:rsidP="00CD1784">
            <w:pPr>
              <w:spacing w:after="0" w:line="240" w:lineRule="auto"/>
              <w:jc w:val="center"/>
              <w:rPr>
                <w:rFonts w:ascii="Arial" w:eastAsia="Times New Roman" w:hAnsi="Arial" w:cs="Arial"/>
                <w:color w:val="000000"/>
                <w:sz w:val="16"/>
                <w:szCs w:val="16"/>
                <w:lang w:eastAsia="pl-PL"/>
              </w:rPr>
            </w:pPr>
            <w:r w:rsidRPr="00BA1C32">
              <w:rPr>
                <w:rFonts w:ascii="Arial" w:eastAsia="Times New Roman" w:hAnsi="Arial" w:cs="Arial"/>
                <w:color w:val="000000"/>
                <w:sz w:val="16"/>
                <w:szCs w:val="16"/>
                <w:lang w:eastAsia="pl-PL"/>
              </w:rPr>
              <w:t>33 037 331</w:t>
            </w:r>
            <w:r>
              <w:rPr>
                <w:rFonts w:ascii="Arial" w:eastAsia="Times New Roman" w:hAnsi="Arial" w:cs="Arial"/>
                <w:color w:val="000000"/>
                <w:sz w:val="16"/>
                <w:szCs w:val="16"/>
                <w:lang w:eastAsia="pl-PL"/>
              </w:rPr>
              <w:t> </w:t>
            </w:r>
            <w:r w:rsidRPr="00BA1C32">
              <w:rPr>
                <w:rFonts w:ascii="Arial" w:eastAsia="Times New Roman" w:hAnsi="Arial" w:cs="Arial"/>
                <w:color w:val="000000"/>
                <w:sz w:val="16"/>
                <w:szCs w:val="16"/>
                <w:lang w:eastAsia="pl-PL"/>
              </w:rPr>
              <w:t>613</w:t>
            </w:r>
          </w:p>
          <w:p w14:paraId="3BE59571" w14:textId="77777777" w:rsidR="001038D1" w:rsidRPr="004E3242" w:rsidRDefault="001038D1" w:rsidP="006A02F0">
            <w:pPr>
              <w:spacing w:after="0" w:line="240" w:lineRule="auto"/>
              <w:jc w:val="center"/>
              <w:rPr>
                <w:rFonts w:ascii="Arial" w:eastAsia="Times New Roman" w:hAnsi="Arial" w:cs="Arial"/>
                <w:color w:val="000000"/>
                <w:sz w:val="16"/>
                <w:szCs w:val="16"/>
                <w:lang w:eastAsia="pl-PL"/>
              </w:rPr>
            </w:pPr>
          </w:p>
        </w:tc>
      </w:tr>
      <w:tr w:rsidR="001038D1" w:rsidRPr="004E3242" w14:paraId="078195DA" w14:textId="77777777" w:rsidTr="00AA7998">
        <w:trPr>
          <w:trHeight w:val="300"/>
        </w:trPr>
        <w:tc>
          <w:tcPr>
            <w:tcW w:w="2455" w:type="pct"/>
            <w:gridSpan w:val="4"/>
            <w:vMerge/>
            <w:tcBorders>
              <w:top w:val="single" w:sz="8" w:space="0" w:color="FFFFFF"/>
              <w:left w:val="single" w:sz="8" w:space="0" w:color="FFFFFF"/>
              <w:bottom w:val="single" w:sz="8" w:space="0" w:color="FFFFFF"/>
              <w:right w:val="single" w:sz="8" w:space="0" w:color="FFFFFF"/>
            </w:tcBorders>
            <w:vAlign w:val="center"/>
          </w:tcPr>
          <w:p w14:paraId="121BDFB1"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52614F5C"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7A2E4FE4"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5DBBC501"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r>
      <w:tr w:rsidR="001038D1" w:rsidRPr="004E3242" w14:paraId="65138616" w14:textId="77777777" w:rsidTr="00AB258B">
        <w:trPr>
          <w:trHeight w:val="184"/>
        </w:trPr>
        <w:tc>
          <w:tcPr>
            <w:tcW w:w="2455" w:type="pct"/>
            <w:gridSpan w:val="4"/>
            <w:vMerge/>
            <w:tcBorders>
              <w:top w:val="single" w:sz="8" w:space="0" w:color="FFFFFF"/>
              <w:left w:val="single" w:sz="8" w:space="0" w:color="FFFFFF"/>
              <w:bottom w:val="single" w:sz="8" w:space="0" w:color="FFFFFF"/>
              <w:right w:val="single" w:sz="8" w:space="0" w:color="FFFFFF"/>
            </w:tcBorders>
            <w:vAlign w:val="center"/>
          </w:tcPr>
          <w:p w14:paraId="115E818C"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719C97EC"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c>
          <w:tcPr>
            <w:tcW w:w="849" w:type="pct"/>
            <w:vMerge/>
            <w:tcBorders>
              <w:top w:val="nil"/>
              <w:left w:val="single" w:sz="8" w:space="0" w:color="FFFFFF"/>
              <w:bottom w:val="single" w:sz="8" w:space="0" w:color="FFFFFF"/>
              <w:right w:val="single" w:sz="8" w:space="0" w:color="FFFFFF"/>
            </w:tcBorders>
            <w:vAlign w:val="center"/>
          </w:tcPr>
          <w:p w14:paraId="1F7D1E31"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c>
          <w:tcPr>
            <w:tcW w:w="847" w:type="pct"/>
            <w:vMerge/>
            <w:tcBorders>
              <w:top w:val="nil"/>
              <w:left w:val="single" w:sz="8" w:space="0" w:color="FFFFFF"/>
              <w:bottom w:val="single" w:sz="8" w:space="0" w:color="FFFFFF"/>
              <w:right w:val="single" w:sz="8" w:space="0" w:color="FFFFFF"/>
            </w:tcBorders>
            <w:vAlign w:val="center"/>
          </w:tcPr>
          <w:p w14:paraId="1DFBEF2E" w14:textId="77777777" w:rsidR="001038D1" w:rsidRPr="004E3242" w:rsidRDefault="001038D1" w:rsidP="004E3242">
            <w:pPr>
              <w:spacing w:after="0" w:line="240" w:lineRule="auto"/>
              <w:rPr>
                <w:rFonts w:ascii="Arial" w:eastAsia="Times New Roman" w:hAnsi="Arial" w:cs="Arial"/>
                <w:color w:val="000000"/>
                <w:sz w:val="16"/>
                <w:szCs w:val="16"/>
                <w:lang w:eastAsia="pl-PL"/>
              </w:rPr>
            </w:pPr>
          </w:p>
        </w:tc>
      </w:tr>
    </w:tbl>
    <w:p w14:paraId="390BD3AF" w14:textId="77777777" w:rsidR="004E3242" w:rsidRPr="004E3242" w:rsidRDefault="004E3242" w:rsidP="004E3242">
      <w:pPr>
        <w:spacing w:after="0" w:line="240" w:lineRule="auto"/>
        <w:jc w:val="both"/>
        <w:rPr>
          <w:rFonts w:ascii="Arial" w:hAnsi="Arial" w:cs="Arial"/>
          <w:bCs/>
          <w:color w:val="669900"/>
          <w:spacing w:val="4"/>
          <w:sz w:val="20"/>
          <w:szCs w:val="20"/>
        </w:rPr>
      </w:pPr>
    </w:p>
    <w:p w14:paraId="15C4A450" w14:textId="77777777" w:rsidR="004E3242" w:rsidRPr="004E3242" w:rsidRDefault="004E3242" w:rsidP="004E3242">
      <w:pPr>
        <w:spacing w:after="0" w:line="240" w:lineRule="auto"/>
        <w:jc w:val="both"/>
        <w:rPr>
          <w:rFonts w:ascii="Arial" w:hAnsi="Arial" w:cs="Arial"/>
          <w:spacing w:val="4"/>
          <w:sz w:val="20"/>
          <w:szCs w:val="20"/>
        </w:rPr>
      </w:pPr>
    </w:p>
    <w:p w14:paraId="33E04C55"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576" w:name="_Toc83810578"/>
      <w:r w:rsidRPr="004E3242">
        <w:rPr>
          <w:rFonts w:ascii="Arial" w:hAnsi="Arial"/>
          <w:smallCaps/>
          <w:spacing w:val="15"/>
          <w:sz w:val="24"/>
          <w:lang w:eastAsia="pl-PL"/>
        </w:rPr>
        <w:t>Tabela podziału alokacji w realizacji celu dotyczącego klimatu</w:t>
      </w:r>
      <w:bookmarkEnd w:id="576"/>
      <w:r w:rsidRPr="004E3242">
        <w:rPr>
          <w:rFonts w:ascii="Arial" w:hAnsi="Arial"/>
          <w:smallCaps/>
          <w:spacing w:val="15"/>
          <w:sz w:val="24"/>
          <w:lang w:eastAsia="pl-PL"/>
        </w:rPr>
        <w:t xml:space="preserve"> </w:t>
      </w:r>
    </w:p>
    <w:p w14:paraId="3EDD265B" w14:textId="77777777" w:rsidR="004E3242" w:rsidRPr="004E3242" w:rsidRDefault="004E3242" w:rsidP="004E3242">
      <w:pPr>
        <w:spacing w:after="0" w:line="240" w:lineRule="auto"/>
        <w:jc w:val="both"/>
        <w:rPr>
          <w:rFonts w:ascii="Arial" w:hAnsi="Arial" w:cs="Arial"/>
          <w:bCs/>
          <w:color w:val="669900"/>
          <w:spacing w:val="4"/>
          <w:sz w:val="20"/>
          <w:szCs w:val="20"/>
        </w:rPr>
      </w:pPr>
      <w:r w:rsidRPr="004E3242">
        <w:rPr>
          <w:rFonts w:ascii="Arial" w:hAnsi="Arial" w:cs="Arial"/>
          <w:bCs/>
          <w:color w:val="669900"/>
          <w:spacing w:val="4"/>
          <w:sz w:val="20"/>
          <w:szCs w:val="20"/>
        </w:rPr>
        <w:t>(EUR)</w:t>
      </w:r>
    </w:p>
    <w:p w14:paraId="451543DB" w14:textId="77777777" w:rsidR="004E3242" w:rsidRPr="004E3242" w:rsidRDefault="004E3242" w:rsidP="004E3242">
      <w:pPr>
        <w:rPr>
          <w:rFonts w:ascii="Arial" w:hAnsi="Arial" w:cs="Arial"/>
          <w:sz w:val="20"/>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4A0" w:firstRow="1" w:lastRow="0" w:firstColumn="1" w:lastColumn="0" w:noHBand="0" w:noVBand="1"/>
      </w:tblPr>
      <w:tblGrid>
        <w:gridCol w:w="2943"/>
        <w:gridCol w:w="6122"/>
        <w:gridCol w:w="5153"/>
      </w:tblGrid>
      <w:tr w:rsidR="004E3242" w:rsidRPr="004E3242" w14:paraId="0889E9CA" w14:textId="77777777" w:rsidTr="00AA7998">
        <w:trPr>
          <w:trHeight w:val="181"/>
        </w:trPr>
        <w:tc>
          <w:tcPr>
            <w:tcW w:w="1035" w:type="pct"/>
            <w:shd w:val="clear" w:color="auto" w:fill="99CC00"/>
          </w:tcPr>
          <w:p w14:paraId="5BD8F762" w14:textId="77777777" w:rsidR="004E3242" w:rsidRPr="004E3242" w:rsidRDefault="004E3242" w:rsidP="004E3242">
            <w:pPr>
              <w:spacing w:before="40" w:after="40" w:line="240" w:lineRule="auto"/>
              <w:jc w:val="center"/>
              <w:rPr>
                <w:rFonts w:ascii="Arial" w:hAnsi="Arial" w:cs="Arial"/>
                <w:b/>
                <w:bCs/>
                <w:color w:val="FFFFFF"/>
                <w:sz w:val="16"/>
                <w:szCs w:val="16"/>
              </w:rPr>
            </w:pPr>
            <w:r w:rsidRPr="004E3242">
              <w:rPr>
                <w:rFonts w:ascii="Arial" w:hAnsi="Arial" w:cs="Arial"/>
                <w:b/>
                <w:bCs/>
                <w:color w:val="FFFFFF"/>
                <w:sz w:val="16"/>
                <w:szCs w:val="16"/>
              </w:rPr>
              <w:t>Oś priorytetowa</w:t>
            </w:r>
          </w:p>
        </w:tc>
        <w:tc>
          <w:tcPr>
            <w:tcW w:w="2153" w:type="pct"/>
            <w:shd w:val="clear" w:color="auto" w:fill="99CC00"/>
          </w:tcPr>
          <w:p w14:paraId="2D9747BD" w14:textId="77777777" w:rsidR="004E3242" w:rsidRPr="004E3242" w:rsidRDefault="004E3242" w:rsidP="004E3242">
            <w:pPr>
              <w:spacing w:before="40" w:after="40" w:line="240" w:lineRule="auto"/>
              <w:jc w:val="center"/>
              <w:rPr>
                <w:rFonts w:ascii="Arial" w:hAnsi="Arial" w:cs="Arial"/>
                <w:b/>
                <w:bCs/>
                <w:color w:val="FFFFFF"/>
                <w:sz w:val="16"/>
                <w:szCs w:val="16"/>
              </w:rPr>
            </w:pPr>
            <w:r w:rsidRPr="004E3242">
              <w:rPr>
                <w:rFonts w:ascii="Arial" w:hAnsi="Arial" w:cs="Arial"/>
                <w:b/>
                <w:bCs/>
                <w:color w:val="FFFFFF"/>
                <w:sz w:val="16"/>
                <w:szCs w:val="16"/>
              </w:rPr>
              <w:t>Szacunkowa wysokość środków na cele związane ze zmianą klimatu</w:t>
            </w:r>
          </w:p>
        </w:tc>
        <w:tc>
          <w:tcPr>
            <w:tcW w:w="1812" w:type="pct"/>
            <w:shd w:val="clear" w:color="auto" w:fill="99CC00"/>
          </w:tcPr>
          <w:p w14:paraId="1FA7EF09" w14:textId="77777777" w:rsidR="004E3242" w:rsidRPr="004E3242" w:rsidRDefault="004E3242" w:rsidP="004E3242">
            <w:pPr>
              <w:spacing w:before="40" w:after="40" w:line="240" w:lineRule="auto"/>
              <w:jc w:val="center"/>
              <w:rPr>
                <w:rFonts w:ascii="Arial" w:hAnsi="Arial" w:cs="Arial"/>
                <w:b/>
                <w:bCs/>
                <w:color w:val="FFFFFF"/>
                <w:sz w:val="16"/>
                <w:szCs w:val="16"/>
              </w:rPr>
            </w:pPr>
            <w:r w:rsidRPr="004E3242">
              <w:rPr>
                <w:rFonts w:ascii="Arial" w:hAnsi="Arial" w:cs="Arial"/>
                <w:b/>
                <w:bCs/>
                <w:color w:val="FFFFFF"/>
                <w:sz w:val="16"/>
                <w:szCs w:val="16"/>
              </w:rPr>
              <w:t>Udział w całości alokacji na PO (%)</w:t>
            </w:r>
          </w:p>
        </w:tc>
      </w:tr>
      <w:tr w:rsidR="004E3242" w:rsidRPr="004E3242" w14:paraId="7DA9624A" w14:textId="77777777" w:rsidTr="00AA7998">
        <w:trPr>
          <w:trHeight w:val="64"/>
        </w:trPr>
        <w:tc>
          <w:tcPr>
            <w:tcW w:w="1035" w:type="pct"/>
            <w:shd w:val="clear" w:color="auto" w:fill="F2F2F2"/>
          </w:tcPr>
          <w:p w14:paraId="2DDAA2BB"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I.</w:t>
            </w:r>
          </w:p>
        </w:tc>
        <w:tc>
          <w:tcPr>
            <w:tcW w:w="2153" w:type="pct"/>
            <w:shd w:val="clear" w:color="auto" w:fill="F2F2F2"/>
          </w:tcPr>
          <w:p w14:paraId="37A1AA30"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1 558 430 978</w:t>
            </w:r>
          </w:p>
        </w:tc>
        <w:tc>
          <w:tcPr>
            <w:tcW w:w="1812" w:type="pct"/>
            <w:shd w:val="clear" w:color="auto" w:fill="F2F2F2"/>
            <w:vAlign w:val="center"/>
          </w:tcPr>
          <w:p w14:paraId="500ACD80" w14:textId="77777777" w:rsidR="007C0589" w:rsidRDefault="000E0C02" w:rsidP="004E3242">
            <w:pPr>
              <w:spacing w:before="40" w:after="40" w:line="240" w:lineRule="auto"/>
              <w:jc w:val="center"/>
              <w:rPr>
                <w:rFonts w:ascii="Arial" w:hAnsi="Arial" w:cs="Arial"/>
                <w:color w:val="000000"/>
                <w:sz w:val="16"/>
                <w:szCs w:val="16"/>
              </w:rPr>
            </w:pPr>
            <w:r w:rsidRPr="000E0C02">
              <w:rPr>
                <w:rFonts w:ascii="Arial" w:hAnsi="Arial" w:cs="Arial"/>
                <w:color w:val="000000"/>
                <w:sz w:val="16"/>
                <w:szCs w:val="16"/>
              </w:rPr>
              <w:t>5,53%</w:t>
            </w:r>
          </w:p>
          <w:p w14:paraId="497A8E14" w14:textId="3373417F" w:rsidR="004E3242" w:rsidRPr="004E3242" w:rsidRDefault="004E3242" w:rsidP="004E3242">
            <w:pPr>
              <w:spacing w:before="40" w:after="40" w:line="240" w:lineRule="auto"/>
              <w:jc w:val="center"/>
              <w:rPr>
                <w:rFonts w:ascii="Arial" w:hAnsi="Arial" w:cs="Arial"/>
                <w:color w:val="000000"/>
                <w:sz w:val="16"/>
                <w:szCs w:val="16"/>
              </w:rPr>
            </w:pPr>
          </w:p>
        </w:tc>
      </w:tr>
      <w:tr w:rsidR="004E3242" w:rsidRPr="004E3242" w14:paraId="27274434" w14:textId="77777777" w:rsidTr="00AA7998">
        <w:trPr>
          <w:trHeight w:val="120"/>
        </w:trPr>
        <w:tc>
          <w:tcPr>
            <w:tcW w:w="1035" w:type="pct"/>
            <w:shd w:val="clear" w:color="auto" w:fill="F2F2F2"/>
          </w:tcPr>
          <w:p w14:paraId="662CA698"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II.</w:t>
            </w:r>
          </w:p>
        </w:tc>
        <w:tc>
          <w:tcPr>
            <w:tcW w:w="2153" w:type="pct"/>
            <w:shd w:val="clear" w:color="auto" w:fill="F2F2F2"/>
          </w:tcPr>
          <w:p w14:paraId="4F139653" w14:textId="28C1DF2F" w:rsidR="003F4F1E" w:rsidRDefault="003F4F1E" w:rsidP="004E3242">
            <w:pPr>
              <w:spacing w:before="40" w:after="40" w:line="240" w:lineRule="auto"/>
              <w:jc w:val="center"/>
              <w:rPr>
                <w:rFonts w:ascii="Arial" w:hAnsi="Arial" w:cs="Arial"/>
                <w:color w:val="000000"/>
                <w:sz w:val="16"/>
                <w:szCs w:val="16"/>
              </w:rPr>
            </w:pPr>
            <w:bookmarkStart w:id="577" w:name="OLE_LINK2"/>
            <w:r w:rsidRPr="00CB2DC2">
              <w:rPr>
                <w:rFonts w:ascii="Arial" w:hAnsi="Arial" w:cs="Arial"/>
                <w:color w:val="000000"/>
                <w:sz w:val="16"/>
                <w:szCs w:val="16"/>
              </w:rPr>
              <w:t>1 009 268</w:t>
            </w:r>
            <w:r>
              <w:rPr>
                <w:rFonts w:ascii="Arial" w:hAnsi="Arial" w:cs="Arial"/>
                <w:color w:val="000000"/>
                <w:sz w:val="16"/>
                <w:szCs w:val="16"/>
              </w:rPr>
              <w:t> </w:t>
            </w:r>
            <w:r w:rsidRPr="00CB2DC2">
              <w:rPr>
                <w:rFonts w:ascii="Arial" w:hAnsi="Arial" w:cs="Arial"/>
                <w:color w:val="000000"/>
                <w:sz w:val="16"/>
                <w:szCs w:val="16"/>
              </w:rPr>
              <w:t>984</w:t>
            </w:r>
          </w:p>
          <w:bookmarkEnd w:id="577"/>
          <w:p w14:paraId="59FFFCD8" w14:textId="3B69909B" w:rsidR="004E3242" w:rsidRPr="004E3242" w:rsidRDefault="004E3242" w:rsidP="004E3242">
            <w:pPr>
              <w:spacing w:before="40" w:after="40" w:line="240" w:lineRule="auto"/>
              <w:jc w:val="center"/>
              <w:rPr>
                <w:rFonts w:ascii="Arial" w:hAnsi="Arial" w:cs="Arial"/>
                <w:color w:val="000000"/>
                <w:sz w:val="16"/>
                <w:szCs w:val="16"/>
              </w:rPr>
            </w:pPr>
          </w:p>
        </w:tc>
        <w:tc>
          <w:tcPr>
            <w:tcW w:w="1812" w:type="pct"/>
            <w:shd w:val="clear" w:color="auto" w:fill="F2F2F2"/>
            <w:vAlign w:val="center"/>
          </w:tcPr>
          <w:p w14:paraId="5D126E88" w14:textId="46CB0A36" w:rsidR="004E3242" w:rsidRPr="004E3242" w:rsidRDefault="00102398" w:rsidP="00361572">
            <w:pPr>
              <w:spacing w:before="40" w:after="40" w:line="240" w:lineRule="auto"/>
              <w:jc w:val="center"/>
              <w:rPr>
                <w:rFonts w:ascii="Arial" w:hAnsi="Arial" w:cs="Arial"/>
                <w:color w:val="000000"/>
                <w:sz w:val="16"/>
                <w:szCs w:val="16"/>
              </w:rPr>
            </w:pPr>
            <w:r w:rsidRPr="00102398">
              <w:rPr>
                <w:rFonts w:ascii="Arial" w:hAnsi="Arial" w:cs="Arial"/>
                <w:color w:val="000000"/>
                <w:sz w:val="16"/>
                <w:szCs w:val="16"/>
              </w:rPr>
              <w:t>3,58%</w:t>
            </w:r>
          </w:p>
        </w:tc>
      </w:tr>
      <w:tr w:rsidR="004E3242" w:rsidRPr="004E3242" w14:paraId="69B3CF87" w14:textId="77777777" w:rsidTr="00AA7998">
        <w:trPr>
          <w:trHeight w:val="65"/>
        </w:trPr>
        <w:tc>
          <w:tcPr>
            <w:tcW w:w="1035" w:type="pct"/>
            <w:shd w:val="clear" w:color="auto" w:fill="F2F2F2"/>
          </w:tcPr>
          <w:p w14:paraId="28704ED7"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III.</w:t>
            </w:r>
          </w:p>
        </w:tc>
        <w:tc>
          <w:tcPr>
            <w:tcW w:w="2153" w:type="pct"/>
            <w:shd w:val="clear" w:color="auto" w:fill="F2F2F2"/>
          </w:tcPr>
          <w:p w14:paraId="778D60AC" w14:textId="77777777" w:rsidR="003A1576" w:rsidRDefault="003A1576" w:rsidP="004E3242">
            <w:pPr>
              <w:spacing w:before="40" w:after="40" w:line="240" w:lineRule="auto"/>
              <w:jc w:val="center"/>
              <w:rPr>
                <w:rFonts w:ascii="Arial" w:hAnsi="Arial" w:cs="Arial"/>
                <w:color w:val="000000"/>
                <w:sz w:val="16"/>
                <w:szCs w:val="16"/>
              </w:rPr>
            </w:pPr>
            <w:r w:rsidRPr="003A1576">
              <w:rPr>
                <w:rFonts w:ascii="Arial" w:hAnsi="Arial" w:cs="Arial"/>
                <w:color w:val="000000"/>
                <w:sz w:val="16"/>
                <w:szCs w:val="16"/>
              </w:rPr>
              <w:t>534 755</w:t>
            </w:r>
            <w:r>
              <w:rPr>
                <w:rFonts w:ascii="Arial" w:hAnsi="Arial" w:cs="Arial"/>
                <w:color w:val="000000"/>
                <w:sz w:val="16"/>
                <w:szCs w:val="16"/>
              </w:rPr>
              <w:t> </w:t>
            </w:r>
            <w:r w:rsidRPr="003A1576">
              <w:rPr>
                <w:rFonts w:ascii="Arial" w:hAnsi="Arial" w:cs="Arial"/>
                <w:color w:val="000000"/>
                <w:sz w:val="16"/>
                <w:szCs w:val="16"/>
              </w:rPr>
              <w:t>852</w:t>
            </w:r>
          </w:p>
          <w:p w14:paraId="05C2AD22" w14:textId="77777777" w:rsidR="004E3242" w:rsidRPr="004E3242" w:rsidRDefault="004E3242" w:rsidP="004E3242">
            <w:pPr>
              <w:spacing w:before="40" w:after="40" w:line="240" w:lineRule="auto"/>
              <w:jc w:val="center"/>
              <w:rPr>
                <w:rFonts w:ascii="Arial" w:hAnsi="Arial" w:cs="Arial"/>
                <w:color w:val="000000"/>
                <w:sz w:val="16"/>
                <w:szCs w:val="16"/>
              </w:rPr>
            </w:pPr>
          </w:p>
        </w:tc>
        <w:tc>
          <w:tcPr>
            <w:tcW w:w="1812" w:type="pct"/>
            <w:shd w:val="clear" w:color="auto" w:fill="F2F2F2"/>
            <w:vAlign w:val="center"/>
          </w:tcPr>
          <w:p w14:paraId="1878B491" w14:textId="77777777" w:rsidR="004E3242" w:rsidRPr="004E3242" w:rsidRDefault="00FE1B6F" w:rsidP="002D4365">
            <w:pPr>
              <w:spacing w:before="40" w:after="40" w:line="240" w:lineRule="auto"/>
              <w:jc w:val="center"/>
              <w:rPr>
                <w:rFonts w:ascii="Arial" w:hAnsi="Arial" w:cs="Arial"/>
                <w:color w:val="000000"/>
                <w:sz w:val="16"/>
                <w:szCs w:val="16"/>
              </w:rPr>
            </w:pPr>
            <w:r>
              <w:rPr>
                <w:rFonts w:ascii="Arial" w:hAnsi="Arial" w:cs="Arial"/>
                <w:color w:val="000000"/>
                <w:sz w:val="16"/>
                <w:szCs w:val="16"/>
              </w:rPr>
              <w:t>1,90%</w:t>
            </w:r>
          </w:p>
        </w:tc>
      </w:tr>
      <w:tr w:rsidR="004E3242" w:rsidRPr="004E3242" w14:paraId="5E131F9F" w14:textId="77777777" w:rsidTr="00AA7998">
        <w:trPr>
          <w:trHeight w:val="67"/>
        </w:trPr>
        <w:tc>
          <w:tcPr>
            <w:tcW w:w="1035" w:type="pct"/>
            <w:shd w:val="clear" w:color="auto" w:fill="F2F2F2"/>
          </w:tcPr>
          <w:p w14:paraId="322D585E"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IV.</w:t>
            </w:r>
          </w:p>
        </w:tc>
        <w:tc>
          <w:tcPr>
            <w:tcW w:w="2153" w:type="pct"/>
            <w:shd w:val="clear" w:color="auto" w:fill="F2F2F2"/>
          </w:tcPr>
          <w:p w14:paraId="10A3DE53"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c>
          <w:tcPr>
            <w:tcW w:w="1812" w:type="pct"/>
            <w:shd w:val="clear" w:color="auto" w:fill="F2F2F2"/>
          </w:tcPr>
          <w:p w14:paraId="7994D743"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r>
      <w:tr w:rsidR="004E3242" w:rsidRPr="004E3242" w14:paraId="7C932513" w14:textId="77777777" w:rsidTr="00AA7998">
        <w:trPr>
          <w:trHeight w:val="155"/>
        </w:trPr>
        <w:tc>
          <w:tcPr>
            <w:tcW w:w="1035" w:type="pct"/>
            <w:shd w:val="clear" w:color="auto" w:fill="F2F2F2"/>
          </w:tcPr>
          <w:p w14:paraId="1EB10163"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V.</w:t>
            </w:r>
          </w:p>
        </w:tc>
        <w:tc>
          <w:tcPr>
            <w:tcW w:w="2153" w:type="pct"/>
            <w:shd w:val="clear" w:color="auto" w:fill="F2F2F2"/>
          </w:tcPr>
          <w:p w14:paraId="078EF8A7"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2 003 880 000</w:t>
            </w:r>
          </w:p>
        </w:tc>
        <w:tc>
          <w:tcPr>
            <w:tcW w:w="1812" w:type="pct"/>
            <w:shd w:val="clear" w:color="auto" w:fill="F2F2F2"/>
          </w:tcPr>
          <w:p w14:paraId="12E5CF4D" w14:textId="77777777" w:rsidR="00FE1B6F" w:rsidRDefault="009129F2" w:rsidP="004E3242">
            <w:pPr>
              <w:spacing w:before="40" w:after="40" w:line="240" w:lineRule="auto"/>
              <w:jc w:val="center"/>
              <w:rPr>
                <w:rFonts w:ascii="Arial" w:hAnsi="Arial" w:cs="Arial"/>
                <w:color w:val="000000"/>
                <w:sz w:val="16"/>
                <w:szCs w:val="16"/>
              </w:rPr>
            </w:pPr>
            <w:r w:rsidRPr="009129F2">
              <w:rPr>
                <w:rFonts w:ascii="Arial" w:hAnsi="Arial" w:cs="Arial"/>
                <w:color w:val="000000"/>
                <w:sz w:val="16"/>
                <w:szCs w:val="16"/>
              </w:rPr>
              <w:t>7,11%</w:t>
            </w:r>
          </w:p>
          <w:p w14:paraId="154E6C08" w14:textId="019CE68A" w:rsidR="004E3242" w:rsidRPr="004E3242" w:rsidRDefault="004E3242" w:rsidP="004E3242">
            <w:pPr>
              <w:spacing w:before="40" w:after="40" w:line="240" w:lineRule="auto"/>
              <w:jc w:val="center"/>
              <w:rPr>
                <w:rFonts w:ascii="Arial" w:hAnsi="Arial" w:cs="Arial"/>
                <w:color w:val="000000"/>
                <w:sz w:val="16"/>
                <w:szCs w:val="16"/>
              </w:rPr>
            </w:pPr>
          </w:p>
        </w:tc>
      </w:tr>
      <w:tr w:rsidR="004E3242" w:rsidRPr="004E3242" w14:paraId="3337B81E" w14:textId="77777777" w:rsidTr="00AA7998">
        <w:trPr>
          <w:trHeight w:val="116"/>
        </w:trPr>
        <w:tc>
          <w:tcPr>
            <w:tcW w:w="1035" w:type="pct"/>
            <w:shd w:val="clear" w:color="auto" w:fill="F2F2F2"/>
          </w:tcPr>
          <w:p w14:paraId="3402569E"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VI.</w:t>
            </w:r>
          </w:p>
        </w:tc>
        <w:tc>
          <w:tcPr>
            <w:tcW w:w="2153" w:type="pct"/>
            <w:shd w:val="clear" w:color="auto" w:fill="F2F2F2"/>
          </w:tcPr>
          <w:p w14:paraId="58C1CA08" w14:textId="77777777" w:rsidR="003A1576" w:rsidRDefault="003A1576" w:rsidP="004E3242">
            <w:pPr>
              <w:spacing w:before="40" w:after="40" w:line="240" w:lineRule="auto"/>
              <w:jc w:val="center"/>
              <w:rPr>
                <w:rFonts w:ascii="Arial" w:hAnsi="Arial" w:cs="Arial"/>
                <w:color w:val="000000"/>
                <w:sz w:val="16"/>
                <w:szCs w:val="16"/>
              </w:rPr>
            </w:pPr>
            <w:r w:rsidRPr="003A1576">
              <w:rPr>
                <w:rFonts w:ascii="Arial" w:hAnsi="Arial" w:cs="Arial"/>
                <w:color w:val="000000"/>
                <w:sz w:val="16"/>
                <w:szCs w:val="16"/>
              </w:rPr>
              <w:t>910 599</w:t>
            </w:r>
            <w:r>
              <w:rPr>
                <w:rFonts w:ascii="Arial" w:hAnsi="Arial" w:cs="Arial"/>
                <w:color w:val="000000"/>
                <w:sz w:val="16"/>
                <w:szCs w:val="16"/>
              </w:rPr>
              <w:t> </w:t>
            </w:r>
            <w:r w:rsidRPr="003A1576">
              <w:rPr>
                <w:rFonts w:ascii="Arial" w:hAnsi="Arial" w:cs="Arial"/>
                <w:color w:val="000000"/>
                <w:sz w:val="16"/>
                <w:szCs w:val="16"/>
              </w:rPr>
              <w:t>052</w:t>
            </w:r>
          </w:p>
          <w:p w14:paraId="1D707E8F" w14:textId="77777777" w:rsidR="004E3242" w:rsidRPr="004E3242" w:rsidRDefault="004E3242" w:rsidP="004E3242">
            <w:pPr>
              <w:spacing w:before="40" w:after="40" w:line="240" w:lineRule="auto"/>
              <w:jc w:val="center"/>
              <w:rPr>
                <w:rFonts w:ascii="Arial" w:hAnsi="Arial" w:cs="Arial"/>
                <w:color w:val="000000"/>
                <w:sz w:val="16"/>
                <w:szCs w:val="16"/>
              </w:rPr>
            </w:pPr>
          </w:p>
        </w:tc>
        <w:tc>
          <w:tcPr>
            <w:tcW w:w="1812" w:type="pct"/>
            <w:shd w:val="clear" w:color="auto" w:fill="F2F2F2"/>
          </w:tcPr>
          <w:p w14:paraId="7FB3EBC4" w14:textId="77777777" w:rsidR="00BF3768" w:rsidRDefault="009129F2" w:rsidP="004E3242">
            <w:pPr>
              <w:spacing w:before="40" w:after="40" w:line="240" w:lineRule="auto"/>
              <w:jc w:val="center"/>
              <w:rPr>
                <w:rFonts w:ascii="Arial" w:hAnsi="Arial" w:cs="Arial"/>
                <w:color w:val="000000"/>
                <w:sz w:val="16"/>
                <w:szCs w:val="16"/>
              </w:rPr>
            </w:pPr>
            <w:r w:rsidRPr="009129F2">
              <w:rPr>
                <w:rFonts w:ascii="Arial" w:hAnsi="Arial" w:cs="Arial"/>
                <w:color w:val="000000"/>
                <w:sz w:val="16"/>
                <w:szCs w:val="16"/>
              </w:rPr>
              <w:t>3,23%</w:t>
            </w:r>
          </w:p>
          <w:p w14:paraId="3468CAC5" w14:textId="7B44EA36" w:rsidR="004E3242" w:rsidRPr="004E3242" w:rsidRDefault="004E3242" w:rsidP="00BC052E">
            <w:pPr>
              <w:spacing w:before="40" w:after="40" w:line="240" w:lineRule="auto"/>
              <w:jc w:val="center"/>
              <w:rPr>
                <w:rFonts w:ascii="Arial" w:hAnsi="Arial" w:cs="Arial"/>
                <w:color w:val="000000"/>
                <w:sz w:val="16"/>
                <w:szCs w:val="16"/>
              </w:rPr>
            </w:pPr>
          </w:p>
        </w:tc>
      </w:tr>
      <w:tr w:rsidR="004E3242" w:rsidRPr="004E3242" w14:paraId="4AC49AB8" w14:textId="77777777" w:rsidTr="00AA7998">
        <w:trPr>
          <w:trHeight w:val="64"/>
        </w:trPr>
        <w:tc>
          <w:tcPr>
            <w:tcW w:w="1035" w:type="pct"/>
            <w:shd w:val="clear" w:color="auto" w:fill="F2F2F2"/>
          </w:tcPr>
          <w:p w14:paraId="7B9F147C"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VII.</w:t>
            </w:r>
          </w:p>
        </w:tc>
        <w:tc>
          <w:tcPr>
            <w:tcW w:w="2153" w:type="pct"/>
            <w:shd w:val="clear" w:color="auto" w:fill="F2F2F2"/>
          </w:tcPr>
          <w:p w14:paraId="20E1E517"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c>
          <w:tcPr>
            <w:tcW w:w="1812" w:type="pct"/>
            <w:shd w:val="clear" w:color="auto" w:fill="F2F2F2"/>
          </w:tcPr>
          <w:p w14:paraId="151E6991"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r>
      <w:tr w:rsidR="004E3242" w:rsidRPr="004E3242" w14:paraId="7FDFDA8B" w14:textId="77777777" w:rsidTr="00AA7998">
        <w:trPr>
          <w:trHeight w:val="64"/>
        </w:trPr>
        <w:tc>
          <w:tcPr>
            <w:tcW w:w="1035" w:type="pct"/>
            <w:shd w:val="clear" w:color="auto" w:fill="F2F2F2"/>
          </w:tcPr>
          <w:p w14:paraId="737063C6"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VIII.</w:t>
            </w:r>
          </w:p>
        </w:tc>
        <w:tc>
          <w:tcPr>
            <w:tcW w:w="2153" w:type="pct"/>
            <w:shd w:val="clear" w:color="auto" w:fill="F2F2F2"/>
          </w:tcPr>
          <w:p w14:paraId="39B0A874"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c>
          <w:tcPr>
            <w:tcW w:w="1812" w:type="pct"/>
            <w:shd w:val="clear" w:color="auto" w:fill="F2F2F2"/>
          </w:tcPr>
          <w:p w14:paraId="493B37FE"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r>
      <w:tr w:rsidR="004E3242" w:rsidRPr="004E3242" w14:paraId="4D1CD13C" w14:textId="77777777" w:rsidTr="00AA7998">
        <w:trPr>
          <w:trHeight w:val="64"/>
        </w:trPr>
        <w:tc>
          <w:tcPr>
            <w:tcW w:w="1035" w:type="pct"/>
            <w:shd w:val="clear" w:color="auto" w:fill="F2F2F2"/>
          </w:tcPr>
          <w:p w14:paraId="49D00D71"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IX.</w:t>
            </w:r>
          </w:p>
        </w:tc>
        <w:tc>
          <w:tcPr>
            <w:tcW w:w="2153" w:type="pct"/>
            <w:shd w:val="clear" w:color="auto" w:fill="F2F2F2"/>
          </w:tcPr>
          <w:p w14:paraId="4DA08722"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c>
          <w:tcPr>
            <w:tcW w:w="1812" w:type="pct"/>
            <w:shd w:val="clear" w:color="auto" w:fill="F2F2F2"/>
          </w:tcPr>
          <w:p w14:paraId="226D1073"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r>
      <w:tr w:rsidR="004E3242" w:rsidRPr="004E3242" w14:paraId="7D298252" w14:textId="77777777" w:rsidTr="00AA7998">
        <w:trPr>
          <w:trHeight w:val="64"/>
        </w:trPr>
        <w:tc>
          <w:tcPr>
            <w:tcW w:w="1035" w:type="pct"/>
            <w:shd w:val="clear" w:color="auto" w:fill="F2F2F2"/>
          </w:tcPr>
          <w:p w14:paraId="6593D33F" w14:textId="77777777" w:rsidR="004E3242" w:rsidRPr="004E3242" w:rsidRDefault="004E3242" w:rsidP="004E3242">
            <w:pPr>
              <w:spacing w:before="40" w:after="40" w:line="240" w:lineRule="auto"/>
              <w:jc w:val="center"/>
              <w:rPr>
                <w:rFonts w:ascii="Arial" w:hAnsi="Arial" w:cs="Arial"/>
                <w:b/>
                <w:color w:val="000000"/>
                <w:sz w:val="16"/>
                <w:szCs w:val="16"/>
              </w:rPr>
            </w:pPr>
            <w:r w:rsidRPr="004E3242">
              <w:rPr>
                <w:rFonts w:ascii="Arial" w:hAnsi="Arial" w:cs="Arial"/>
                <w:b/>
                <w:color w:val="000000"/>
                <w:sz w:val="16"/>
                <w:szCs w:val="16"/>
              </w:rPr>
              <w:t>X.</w:t>
            </w:r>
          </w:p>
        </w:tc>
        <w:tc>
          <w:tcPr>
            <w:tcW w:w="2153" w:type="pct"/>
            <w:shd w:val="clear" w:color="auto" w:fill="F2F2F2"/>
          </w:tcPr>
          <w:p w14:paraId="731BF9AA"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c>
          <w:tcPr>
            <w:tcW w:w="1812" w:type="pct"/>
            <w:shd w:val="clear" w:color="auto" w:fill="F2F2F2"/>
          </w:tcPr>
          <w:p w14:paraId="1345F089" w14:textId="77777777" w:rsidR="004E3242" w:rsidRPr="004E3242" w:rsidRDefault="004E3242" w:rsidP="004E3242">
            <w:pPr>
              <w:spacing w:before="40" w:after="40" w:line="240" w:lineRule="auto"/>
              <w:jc w:val="center"/>
              <w:rPr>
                <w:rFonts w:ascii="Arial" w:hAnsi="Arial" w:cs="Arial"/>
                <w:color w:val="000000"/>
                <w:sz w:val="16"/>
                <w:szCs w:val="16"/>
              </w:rPr>
            </w:pPr>
            <w:r w:rsidRPr="004E3242">
              <w:rPr>
                <w:rFonts w:ascii="Arial" w:hAnsi="Arial" w:cs="Arial"/>
                <w:color w:val="000000"/>
                <w:sz w:val="16"/>
                <w:szCs w:val="16"/>
              </w:rPr>
              <w:t>0</w:t>
            </w:r>
          </w:p>
        </w:tc>
      </w:tr>
      <w:tr w:rsidR="00E15141" w:rsidRPr="004E3242" w14:paraId="19F86F95" w14:textId="77777777" w:rsidTr="00AA7998">
        <w:trPr>
          <w:trHeight w:val="64"/>
        </w:trPr>
        <w:tc>
          <w:tcPr>
            <w:tcW w:w="1035" w:type="pct"/>
            <w:shd w:val="clear" w:color="auto" w:fill="F2F2F2"/>
          </w:tcPr>
          <w:p w14:paraId="3C7979BA" w14:textId="77777777" w:rsidR="00E15141" w:rsidRPr="004E3242" w:rsidRDefault="00E15141" w:rsidP="004E3242">
            <w:pPr>
              <w:spacing w:before="40" w:after="40" w:line="240" w:lineRule="auto"/>
              <w:jc w:val="center"/>
              <w:rPr>
                <w:rFonts w:ascii="Arial" w:hAnsi="Arial" w:cs="Arial"/>
                <w:b/>
                <w:color w:val="000000"/>
                <w:sz w:val="16"/>
                <w:szCs w:val="16"/>
              </w:rPr>
            </w:pPr>
            <w:r>
              <w:rPr>
                <w:rFonts w:ascii="Arial" w:hAnsi="Arial" w:cs="Arial"/>
                <w:b/>
                <w:color w:val="000000"/>
                <w:sz w:val="16"/>
                <w:szCs w:val="16"/>
              </w:rPr>
              <w:t>XI.</w:t>
            </w:r>
          </w:p>
        </w:tc>
        <w:tc>
          <w:tcPr>
            <w:tcW w:w="2153" w:type="pct"/>
            <w:shd w:val="clear" w:color="auto" w:fill="F2F2F2"/>
          </w:tcPr>
          <w:p w14:paraId="09F4EEB2" w14:textId="5605613F" w:rsidR="00B43E39" w:rsidRDefault="00AF1BA2" w:rsidP="000E0C02">
            <w:pPr>
              <w:spacing w:before="40" w:after="40" w:line="240" w:lineRule="auto"/>
              <w:jc w:val="center"/>
              <w:rPr>
                <w:rFonts w:ascii="Arial" w:hAnsi="Arial" w:cs="Arial"/>
                <w:color w:val="000000"/>
                <w:sz w:val="16"/>
                <w:szCs w:val="16"/>
              </w:rPr>
            </w:pPr>
            <w:bookmarkStart w:id="578" w:name="OLE_LINK1"/>
            <w:r>
              <w:rPr>
                <w:rFonts w:ascii="Arial" w:hAnsi="Arial" w:cs="Arial"/>
                <w:color w:val="000000"/>
                <w:sz w:val="16"/>
                <w:szCs w:val="16"/>
              </w:rPr>
              <w:t>218 233 410</w:t>
            </w:r>
          </w:p>
          <w:bookmarkEnd w:id="578"/>
          <w:p w14:paraId="7488CA05" w14:textId="0670175D" w:rsidR="0046490D" w:rsidRPr="004E3242" w:rsidRDefault="0046490D" w:rsidP="000E0C02">
            <w:pPr>
              <w:spacing w:before="40" w:after="40" w:line="240" w:lineRule="auto"/>
              <w:jc w:val="center"/>
              <w:rPr>
                <w:rFonts w:ascii="Arial" w:hAnsi="Arial" w:cs="Arial"/>
                <w:color w:val="000000"/>
                <w:sz w:val="16"/>
                <w:szCs w:val="16"/>
              </w:rPr>
            </w:pPr>
          </w:p>
        </w:tc>
        <w:tc>
          <w:tcPr>
            <w:tcW w:w="1812" w:type="pct"/>
            <w:shd w:val="clear" w:color="auto" w:fill="F2F2F2"/>
          </w:tcPr>
          <w:p w14:paraId="2A205EDC" w14:textId="77777777" w:rsidR="00D7186E" w:rsidRDefault="00D7186E" w:rsidP="004E3242">
            <w:pPr>
              <w:spacing w:before="40" w:after="40" w:line="240" w:lineRule="auto"/>
              <w:jc w:val="center"/>
              <w:rPr>
                <w:rFonts w:ascii="Arial" w:hAnsi="Arial" w:cs="Arial"/>
                <w:color w:val="000000"/>
                <w:sz w:val="16"/>
                <w:szCs w:val="16"/>
              </w:rPr>
            </w:pPr>
            <w:r w:rsidRPr="00D7186E">
              <w:rPr>
                <w:rFonts w:ascii="Arial" w:hAnsi="Arial" w:cs="Arial"/>
                <w:color w:val="000000"/>
                <w:sz w:val="16"/>
                <w:szCs w:val="16"/>
              </w:rPr>
              <w:t>0,77%</w:t>
            </w:r>
          </w:p>
          <w:p w14:paraId="2CE9A1FF" w14:textId="5D3E6CAD" w:rsidR="00E15141" w:rsidRPr="004E3242" w:rsidRDefault="00E15141" w:rsidP="004E3242">
            <w:pPr>
              <w:spacing w:before="40" w:after="40" w:line="240" w:lineRule="auto"/>
              <w:jc w:val="center"/>
              <w:rPr>
                <w:rFonts w:ascii="Arial" w:hAnsi="Arial" w:cs="Arial"/>
                <w:color w:val="000000"/>
                <w:sz w:val="16"/>
                <w:szCs w:val="16"/>
              </w:rPr>
            </w:pPr>
          </w:p>
        </w:tc>
      </w:tr>
      <w:tr w:rsidR="00641975" w:rsidRPr="004E3242" w14:paraId="5CC1F8CF" w14:textId="77777777" w:rsidTr="00AA7998">
        <w:trPr>
          <w:trHeight w:val="64"/>
        </w:trPr>
        <w:tc>
          <w:tcPr>
            <w:tcW w:w="1035" w:type="pct"/>
            <w:shd w:val="clear" w:color="auto" w:fill="F2F2F2"/>
          </w:tcPr>
          <w:p w14:paraId="6ADD6697" w14:textId="77777777" w:rsidR="00641975" w:rsidRPr="004E3242" w:rsidRDefault="00641975" w:rsidP="004E3242">
            <w:pPr>
              <w:spacing w:before="40" w:after="40" w:line="240" w:lineRule="auto"/>
              <w:jc w:val="center"/>
              <w:rPr>
                <w:rFonts w:ascii="Arial" w:hAnsi="Arial" w:cs="Arial"/>
                <w:b/>
                <w:color w:val="000000"/>
                <w:sz w:val="16"/>
                <w:szCs w:val="16"/>
              </w:rPr>
            </w:pPr>
            <w:r>
              <w:rPr>
                <w:rFonts w:ascii="Arial" w:hAnsi="Arial" w:cs="Arial"/>
                <w:b/>
                <w:color w:val="000000"/>
                <w:sz w:val="16"/>
                <w:szCs w:val="16"/>
              </w:rPr>
              <w:t>XI</w:t>
            </w:r>
            <w:r w:rsidR="00E15141">
              <w:rPr>
                <w:rFonts w:ascii="Arial" w:hAnsi="Arial" w:cs="Arial"/>
                <w:b/>
                <w:color w:val="000000"/>
                <w:sz w:val="16"/>
                <w:szCs w:val="16"/>
              </w:rPr>
              <w:t>I</w:t>
            </w:r>
            <w:r>
              <w:rPr>
                <w:rFonts w:ascii="Arial" w:hAnsi="Arial" w:cs="Arial"/>
                <w:b/>
                <w:color w:val="000000"/>
                <w:sz w:val="16"/>
                <w:szCs w:val="16"/>
              </w:rPr>
              <w:t>.</w:t>
            </w:r>
          </w:p>
        </w:tc>
        <w:tc>
          <w:tcPr>
            <w:tcW w:w="2153" w:type="pct"/>
            <w:shd w:val="clear" w:color="auto" w:fill="F2F2F2"/>
          </w:tcPr>
          <w:p w14:paraId="4AB5A94A" w14:textId="77777777" w:rsidR="00641975" w:rsidRPr="004E3242" w:rsidRDefault="005C59A0" w:rsidP="004E3242">
            <w:pPr>
              <w:spacing w:before="40" w:after="40" w:line="240" w:lineRule="auto"/>
              <w:jc w:val="center"/>
              <w:rPr>
                <w:rFonts w:ascii="Arial" w:hAnsi="Arial" w:cs="Arial"/>
                <w:color w:val="000000"/>
                <w:sz w:val="16"/>
                <w:szCs w:val="16"/>
              </w:rPr>
            </w:pPr>
            <w:r>
              <w:rPr>
                <w:rFonts w:ascii="Arial" w:hAnsi="Arial" w:cs="Arial"/>
                <w:color w:val="000000"/>
                <w:sz w:val="16"/>
                <w:szCs w:val="16"/>
              </w:rPr>
              <w:t>0</w:t>
            </w:r>
          </w:p>
        </w:tc>
        <w:tc>
          <w:tcPr>
            <w:tcW w:w="1812" w:type="pct"/>
            <w:shd w:val="clear" w:color="auto" w:fill="F2F2F2"/>
          </w:tcPr>
          <w:p w14:paraId="362C4E3B" w14:textId="77777777" w:rsidR="00641975" w:rsidRPr="004E3242" w:rsidRDefault="005C59A0" w:rsidP="004E3242">
            <w:pPr>
              <w:spacing w:before="40" w:after="40" w:line="240" w:lineRule="auto"/>
              <w:jc w:val="center"/>
              <w:rPr>
                <w:rFonts w:ascii="Arial" w:hAnsi="Arial" w:cs="Arial"/>
                <w:color w:val="000000"/>
                <w:sz w:val="16"/>
                <w:szCs w:val="16"/>
              </w:rPr>
            </w:pPr>
            <w:r>
              <w:rPr>
                <w:rFonts w:ascii="Arial" w:hAnsi="Arial" w:cs="Arial"/>
                <w:color w:val="000000"/>
                <w:sz w:val="16"/>
                <w:szCs w:val="16"/>
              </w:rPr>
              <w:t>0</w:t>
            </w:r>
          </w:p>
        </w:tc>
      </w:tr>
      <w:tr w:rsidR="00641975" w:rsidRPr="004E3242" w14:paraId="184801FE" w14:textId="77777777" w:rsidTr="00AA7998">
        <w:trPr>
          <w:trHeight w:val="64"/>
        </w:trPr>
        <w:tc>
          <w:tcPr>
            <w:tcW w:w="1035" w:type="pct"/>
            <w:shd w:val="clear" w:color="auto" w:fill="D6E3BC"/>
          </w:tcPr>
          <w:p w14:paraId="18731310" w14:textId="77777777" w:rsidR="00641975" w:rsidRPr="004E3242" w:rsidRDefault="00641975" w:rsidP="004E3242">
            <w:pPr>
              <w:spacing w:before="40" w:after="40" w:line="240" w:lineRule="auto"/>
              <w:jc w:val="center"/>
              <w:rPr>
                <w:rFonts w:ascii="Arial" w:hAnsi="Arial" w:cs="Arial"/>
                <w:b/>
                <w:bCs/>
                <w:sz w:val="16"/>
                <w:szCs w:val="16"/>
              </w:rPr>
            </w:pPr>
            <w:r w:rsidRPr="004E3242">
              <w:rPr>
                <w:rFonts w:ascii="Arial" w:hAnsi="Arial" w:cs="Arial"/>
                <w:b/>
                <w:bCs/>
                <w:sz w:val="16"/>
                <w:szCs w:val="16"/>
              </w:rPr>
              <w:t>Ogółem</w:t>
            </w:r>
          </w:p>
        </w:tc>
        <w:tc>
          <w:tcPr>
            <w:tcW w:w="2153" w:type="pct"/>
            <w:shd w:val="clear" w:color="auto" w:fill="D6E3BC"/>
          </w:tcPr>
          <w:p w14:paraId="5AF87A67" w14:textId="101D1975" w:rsidR="00B54C36" w:rsidRDefault="00B54C36" w:rsidP="00555161">
            <w:pPr>
              <w:spacing w:before="40" w:after="40" w:line="240" w:lineRule="auto"/>
              <w:jc w:val="center"/>
              <w:rPr>
                <w:rFonts w:ascii="Arial" w:hAnsi="Arial" w:cs="Arial"/>
                <w:b/>
                <w:sz w:val="16"/>
                <w:szCs w:val="16"/>
              </w:rPr>
            </w:pPr>
            <w:r w:rsidRPr="00B54C36">
              <w:rPr>
                <w:rFonts w:ascii="Arial" w:hAnsi="Arial" w:cs="Arial"/>
                <w:b/>
                <w:sz w:val="16"/>
                <w:szCs w:val="16"/>
              </w:rPr>
              <w:t>6 235 168</w:t>
            </w:r>
            <w:r>
              <w:rPr>
                <w:rFonts w:ascii="Arial" w:hAnsi="Arial" w:cs="Arial"/>
                <w:b/>
                <w:sz w:val="16"/>
                <w:szCs w:val="16"/>
              </w:rPr>
              <w:t> </w:t>
            </w:r>
            <w:r w:rsidRPr="00B54C36">
              <w:rPr>
                <w:rFonts w:ascii="Arial" w:hAnsi="Arial" w:cs="Arial"/>
                <w:b/>
                <w:sz w:val="16"/>
                <w:szCs w:val="16"/>
              </w:rPr>
              <w:t>276</w:t>
            </w:r>
          </w:p>
          <w:p w14:paraId="05CF98D6" w14:textId="3EDC04FE" w:rsidR="0071252D" w:rsidRDefault="0071252D" w:rsidP="00555161">
            <w:pPr>
              <w:spacing w:before="40" w:after="40" w:line="240" w:lineRule="auto"/>
              <w:jc w:val="center"/>
              <w:rPr>
                <w:rFonts w:ascii="Arial" w:hAnsi="Arial" w:cs="Arial"/>
                <w:b/>
                <w:sz w:val="16"/>
                <w:szCs w:val="16"/>
              </w:rPr>
            </w:pPr>
          </w:p>
          <w:p w14:paraId="08270AA2" w14:textId="77777777" w:rsidR="00641975" w:rsidRPr="004E3242" w:rsidRDefault="00641975" w:rsidP="00555161">
            <w:pPr>
              <w:spacing w:before="40" w:after="40" w:line="240" w:lineRule="auto"/>
              <w:jc w:val="center"/>
              <w:rPr>
                <w:rFonts w:ascii="Arial" w:hAnsi="Arial" w:cs="Arial"/>
                <w:b/>
                <w:sz w:val="16"/>
                <w:szCs w:val="16"/>
              </w:rPr>
            </w:pPr>
          </w:p>
        </w:tc>
        <w:tc>
          <w:tcPr>
            <w:tcW w:w="1812" w:type="pct"/>
            <w:shd w:val="clear" w:color="auto" w:fill="D6E3BC"/>
          </w:tcPr>
          <w:p w14:paraId="378078D7" w14:textId="59BC3B21" w:rsidR="00D7186E" w:rsidRDefault="00B54C36" w:rsidP="004E3242">
            <w:pPr>
              <w:spacing w:before="40" w:after="40" w:line="240" w:lineRule="auto"/>
              <w:jc w:val="center"/>
              <w:rPr>
                <w:rFonts w:ascii="Arial" w:hAnsi="Arial" w:cs="Arial"/>
                <w:b/>
                <w:sz w:val="16"/>
                <w:szCs w:val="16"/>
              </w:rPr>
            </w:pPr>
            <w:r w:rsidRPr="00B54C36">
              <w:rPr>
                <w:rFonts w:ascii="Arial" w:hAnsi="Arial" w:cs="Arial"/>
                <w:b/>
                <w:sz w:val="16"/>
                <w:szCs w:val="16"/>
              </w:rPr>
              <w:t>22,13</w:t>
            </w:r>
            <w:r w:rsidR="00D7186E" w:rsidRPr="00D7186E">
              <w:rPr>
                <w:rFonts w:ascii="Arial" w:hAnsi="Arial" w:cs="Arial"/>
                <w:b/>
                <w:sz w:val="16"/>
                <w:szCs w:val="16"/>
              </w:rPr>
              <w:t>%</w:t>
            </w:r>
          </w:p>
          <w:p w14:paraId="2567C046" w14:textId="4A9F05BF" w:rsidR="00641975" w:rsidRPr="004E3242" w:rsidRDefault="00641975" w:rsidP="00BC052E">
            <w:pPr>
              <w:spacing w:before="40" w:after="40" w:line="240" w:lineRule="auto"/>
              <w:jc w:val="center"/>
              <w:rPr>
                <w:rFonts w:ascii="Arial" w:hAnsi="Arial" w:cs="Arial"/>
                <w:b/>
                <w:sz w:val="16"/>
                <w:szCs w:val="16"/>
              </w:rPr>
            </w:pPr>
          </w:p>
        </w:tc>
      </w:tr>
    </w:tbl>
    <w:p w14:paraId="1D812878" w14:textId="77777777" w:rsidR="004E3242" w:rsidRPr="004E3242" w:rsidRDefault="004E3242" w:rsidP="004E3242">
      <w:pPr>
        <w:rPr>
          <w:rFonts w:ascii="Arial" w:hAnsi="Arial" w:cs="Arial"/>
          <w:sz w:val="20"/>
          <w:szCs w:val="20"/>
        </w:rPr>
        <w:sectPr w:rsidR="004E3242" w:rsidRPr="004E3242" w:rsidSect="00C73ABE">
          <w:pgSz w:w="16838" w:h="11906" w:orient="landscape"/>
          <w:pgMar w:top="851" w:right="1418" w:bottom="1077" w:left="1418" w:header="709" w:footer="709" w:gutter="0"/>
          <w:cols w:space="708"/>
          <w:titlePg/>
          <w:docGrid w:linePitch="360"/>
        </w:sectPr>
      </w:pPr>
    </w:p>
    <w:p w14:paraId="7EFA4A19"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eastAsia="Times New Roman" w:hAnsi="Arial"/>
          <w:bCs/>
          <w:smallCaps/>
          <w:color w:val="000000"/>
          <w:spacing w:val="15"/>
          <w:sz w:val="28"/>
          <w:lang w:eastAsia="pl-PL"/>
        </w:rPr>
      </w:pPr>
      <w:bookmarkStart w:id="579" w:name="_Toc375208299"/>
      <w:bookmarkStart w:id="580" w:name="_Toc375299853"/>
      <w:bookmarkStart w:id="581" w:name="_Toc375308907"/>
      <w:bookmarkStart w:id="582" w:name="_Toc375208300"/>
      <w:bookmarkStart w:id="583" w:name="_Toc375299854"/>
      <w:bookmarkStart w:id="584" w:name="_Toc375308908"/>
      <w:bookmarkStart w:id="585" w:name="_Toc375208301"/>
      <w:bookmarkStart w:id="586" w:name="_Toc375299855"/>
      <w:bookmarkStart w:id="587" w:name="_Toc375308909"/>
      <w:bookmarkStart w:id="588" w:name="_Toc402942047"/>
      <w:bookmarkStart w:id="589" w:name="_Toc402942356"/>
      <w:bookmarkStart w:id="590" w:name="_Toc373500653"/>
      <w:bookmarkStart w:id="591" w:name="_Toc373503336"/>
      <w:bookmarkStart w:id="592" w:name="_Toc373767248"/>
      <w:bookmarkStart w:id="593" w:name="_Toc373768800"/>
      <w:bookmarkStart w:id="594" w:name="_Toc373769118"/>
      <w:bookmarkStart w:id="595" w:name="_Toc373500654"/>
      <w:bookmarkStart w:id="596" w:name="_Toc373503337"/>
      <w:bookmarkStart w:id="597" w:name="_Toc373767249"/>
      <w:bookmarkStart w:id="598" w:name="_Toc373768801"/>
      <w:bookmarkStart w:id="599" w:name="_Toc373769119"/>
      <w:bookmarkStart w:id="600" w:name="_Toc373500869"/>
      <w:bookmarkStart w:id="601" w:name="_Toc373503552"/>
      <w:bookmarkStart w:id="602" w:name="_Toc373767464"/>
      <w:bookmarkStart w:id="603" w:name="_Toc373769016"/>
      <w:bookmarkStart w:id="604" w:name="_Toc373769334"/>
      <w:bookmarkStart w:id="605" w:name="_Toc373500875"/>
      <w:bookmarkStart w:id="606" w:name="_Toc373503558"/>
      <w:bookmarkStart w:id="607" w:name="_Toc373767470"/>
      <w:bookmarkStart w:id="608" w:name="_Toc373769022"/>
      <w:bookmarkStart w:id="609" w:name="_Toc373769340"/>
      <w:bookmarkStart w:id="610" w:name="_Toc83810579"/>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4E3242">
        <w:rPr>
          <w:rFonts w:ascii="Arial" w:eastAsia="Times New Roman" w:hAnsi="Arial"/>
          <w:bCs/>
          <w:smallCaps/>
          <w:color w:val="000000"/>
          <w:spacing w:val="15"/>
          <w:sz w:val="28"/>
          <w:lang w:eastAsia="pl-PL"/>
        </w:rPr>
        <w:lastRenderedPageBreak/>
        <w:t>Zintegrowane podejście do rozwoju terytorialnego</w:t>
      </w:r>
      <w:bookmarkEnd w:id="610"/>
    </w:p>
    <w:p w14:paraId="62F99E5C" w14:textId="77777777" w:rsidR="004E3242" w:rsidRPr="004E3242" w:rsidRDefault="004E3242" w:rsidP="004E3242">
      <w:pPr>
        <w:spacing w:after="120"/>
        <w:jc w:val="both"/>
        <w:rPr>
          <w:rFonts w:ascii="Arial" w:eastAsia="Times New Roman" w:hAnsi="Arial" w:cs="Arial"/>
          <w:sz w:val="20"/>
          <w:szCs w:val="20"/>
          <w:lang w:eastAsia="pl-PL"/>
        </w:rPr>
      </w:pPr>
      <w:bookmarkStart w:id="611" w:name="_Toc355864754"/>
      <w:bookmarkStart w:id="612" w:name="_Toc355866615"/>
      <w:r w:rsidRPr="004E3242">
        <w:rPr>
          <w:rFonts w:ascii="Arial" w:eastAsia="Times New Roman" w:hAnsi="Arial" w:cs="Arial"/>
          <w:sz w:val="20"/>
          <w:szCs w:val="20"/>
          <w:lang w:eastAsia="pl-PL"/>
        </w:rPr>
        <w:t xml:space="preserve">Jednym z warunków prowadzenia efektywnej Polityki Spójności w latach 2014-2020 jest zasada </w:t>
      </w:r>
      <w:r w:rsidRPr="004E3242">
        <w:rPr>
          <w:rFonts w:ascii="Arial" w:eastAsia="Times New Roman" w:hAnsi="Arial" w:cs="Arial"/>
          <w:b/>
          <w:bCs/>
          <w:sz w:val="20"/>
          <w:szCs w:val="20"/>
          <w:lang w:eastAsia="pl-PL"/>
        </w:rPr>
        <w:t>zintegrowanego podejścia terytorialnego</w:t>
      </w:r>
      <w:r w:rsidRPr="004E3242">
        <w:rPr>
          <w:rFonts w:ascii="Arial" w:eastAsia="Times New Roman" w:hAnsi="Arial" w:cs="Arial"/>
          <w:sz w:val="20"/>
          <w:szCs w:val="20"/>
          <w:lang w:eastAsia="pl-PL"/>
        </w:rPr>
        <w:t xml:space="preserve">. Zakłada ona integrację wsparcia pochodzącego </w:t>
      </w:r>
      <w:r w:rsidRPr="004E3242">
        <w:rPr>
          <w:rFonts w:ascii="Arial" w:eastAsia="Times New Roman" w:hAnsi="Arial" w:cs="Arial"/>
          <w:sz w:val="20"/>
          <w:szCs w:val="20"/>
          <w:lang w:eastAsia="pl-PL"/>
        </w:rPr>
        <w:br/>
        <w:t xml:space="preserve">z różnych źródeł oraz precyzyjne dostosowanie do potrzeb i uwarunkowań konkretnych terytoriów. Terytorialny wymiar prowadzonej interwencji został wprowadzony do głównych założeń polityki spójności po 2013 r. W </w:t>
      </w:r>
      <w:r w:rsidRPr="004E3242">
        <w:rPr>
          <w:rFonts w:ascii="Arial" w:eastAsia="Times New Roman" w:hAnsi="Arial" w:cs="Arial"/>
          <w:i/>
          <w:iCs/>
          <w:sz w:val="20"/>
          <w:szCs w:val="20"/>
          <w:lang w:eastAsia="pl-PL"/>
        </w:rPr>
        <w:t>Umowie Partnerstwa</w:t>
      </w:r>
      <w:r w:rsidRPr="004E3242">
        <w:rPr>
          <w:rFonts w:ascii="Arial" w:eastAsia="Times New Roman" w:hAnsi="Arial" w:cs="Arial"/>
          <w:sz w:val="20"/>
          <w:szCs w:val="20"/>
          <w:lang w:eastAsia="pl-PL"/>
        </w:rPr>
        <w:t xml:space="preserve"> (UP) wskazuje się, że efektywność programowania </w:t>
      </w:r>
      <w:r w:rsidRPr="004E3242">
        <w:rPr>
          <w:rFonts w:ascii="Arial" w:eastAsia="Times New Roman" w:hAnsi="Arial" w:cs="Arial"/>
          <w:sz w:val="20"/>
          <w:szCs w:val="20"/>
          <w:lang w:eastAsia="pl-PL"/>
        </w:rPr>
        <w:br/>
        <w:t xml:space="preserve">i realizacji społeczno-gospodarczych działań rozwojowych jest uwarunkowana analizą barier </w:t>
      </w:r>
      <w:r w:rsidRPr="004E3242">
        <w:rPr>
          <w:rFonts w:ascii="Arial" w:eastAsia="Times New Roman" w:hAnsi="Arial" w:cs="Arial"/>
          <w:sz w:val="20"/>
          <w:szCs w:val="20"/>
          <w:lang w:eastAsia="pl-PL"/>
        </w:rPr>
        <w:br/>
        <w:t>i potencjałów oraz właściwego dostosowania interwencji do specyfiki poszczególnych obszarów. Włączenie wymiaru terytorialnego może zapewnić zwiększenie efektywności wykorzystania środków Wspólnych Ram Strategicznych. Jednocześnie podkreśla się, że podejście terytorialne będzie stosowane równolegle do podejścia horyzontalnego, zwłaszcza tam, gdzie jest to uzasadnione specyfiką celów tematycznych i zasadami działania poszczególnych funduszy.</w:t>
      </w:r>
    </w:p>
    <w:p w14:paraId="1D3D243D"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613" w:name="_Toc394314805"/>
      <w:bookmarkStart w:id="614" w:name="_Toc83810580"/>
      <w:r w:rsidRPr="004E3242">
        <w:rPr>
          <w:rFonts w:ascii="Arial" w:hAnsi="Arial"/>
          <w:smallCaps/>
          <w:spacing w:val="15"/>
          <w:sz w:val="24"/>
          <w:lang w:eastAsia="pl-PL"/>
        </w:rPr>
        <w:t>Rozwój Lokalny Kierowany przez Społeczność</w:t>
      </w:r>
      <w:bookmarkEnd w:id="613"/>
      <w:r w:rsidRPr="004E3242">
        <w:rPr>
          <w:rFonts w:ascii="Arial" w:hAnsi="Arial"/>
          <w:smallCaps/>
          <w:spacing w:val="15"/>
          <w:sz w:val="24"/>
          <w:lang w:eastAsia="pl-PL"/>
        </w:rPr>
        <w:t xml:space="preserve"> (w stosownych przypadkach)</w:t>
      </w:r>
      <w:bookmarkEnd w:id="614"/>
    </w:p>
    <w:p w14:paraId="4DA3F274" w14:textId="77777777" w:rsidR="004E3242" w:rsidRPr="004E3242" w:rsidRDefault="004E3242" w:rsidP="004E3242">
      <w:pPr>
        <w:spacing w:after="120" w:line="280" w:lineRule="atLeast"/>
        <w:rPr>
          <w:rFonts w:ascii="Arial" w:hAnsi="Arial" w:cs="Arial"/>
          <w:spacing w:val="4"/>
          <w:sz w:val="20"/>
          <w:szCs w:val="20"/>
        </w:rPr>
      </w:pPr>
      <w:r w:rsidRPr="004E3242">
        <w:rPr>
          <w:rFonts w:ascii="Arial" w:hAnsi="Arial" w:cs="Arial"/>
          <w:spacing w:val="4"/>
          <w:sz w:val="20"/>
          <w:szCs w:val="20"/>
        </w:rPr>
        <w:t>Nie dotyczy.</w:t>
      </w:r>
    </w:p>
    <w:p w14:paraId="2599321F"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615" w:name="_Toc83810581"/>
      <w:r w:rsidRPr="004E3242">
        <w:rPr>
          <w:rFonts w:ascii="Arial" w:hAnsi="Arial"/>
          <w:smallCaps/>
          <w:spacing w:val="15"/>
          <w:sz w:val="24"/>
          <w:lang w:eastAsia="pl-PL"/>
        </w:rPr>
        <w:t>Zintegrowane działania na rzecz zrównoważonego rozwoju obszarów miejskich (w stosownych przypadkach)</w:t>
      </w:r>
      <w:bookmarkEnd w:id="615"/>
    </w:p>
    <w:p w14:paraId="01248AE9" w14:textId="77777777" w:rsidR="004E3242" w:rsidRPr="004E3242" w:rsidRDefault="004E3242" w:rsidP="004E3242">
      <w:pPr>
        <w:spacing w:after="240"/>
        <w:jc w:val="both"/>
        <w:rPr>
          <w:rFonts w:ascii="Arial" w:eastAsia="Times New Roman" w:hAnsi="Arial" w:cs="Arial"/>
          <w:sz w:val="20"/>
          <w:szCs w:val="20"/>
          <w:lang w:eastAsia="pl-PL"/>
        </w:rPr>
      </w:pPr>
      <w:bookmarkStart w:id="616" w:name="_Toc394314807"/>
      <w:r w:rsidRPr="004E3242">
        <w:rPr>
          <w:rFonts w:ascii="Arial" w:eastAsia="Times New Roman" w:hAnsi="Arial" w:cs="Arial"/>
          <w:sz w:val="20"/>
          <w:szCs w:val="20"/>
          <w:lang w:eastAsia="pl-PL"/>
        </w:rPr>
        <w:t xml:space="preserve">Ze względu na krajowy charakter, </w:t>
      </w:r>
      <w:proofErr w:type="spellStart"/>
      <w:r w:rsidRPr="004E3242">
        <w:rPr>
          <w:rFonts w:ascii="Arial" w:eastAsia="Times New Roman" w:hAnsi="Arial" w:cs="Arial"/>
          <w:sz w:val="20"/>
          <w:szCs w:val="20"/>
          <w:lang w:eastAsia="pl-PL"/>
        </w:rPr>
        <w:t>POI</w:t>
      </w:r>
      <w:r w:rsidR="002C0F6C">
        <w:rPr>
          <w:rFonts w:ascii="Arial" w:eastAsia="Times New Roman" w:hAnsi="Arial" w:cs="Arial"/>
          <w:sz w:val="20"/>
          <w:szCs w:val="20"/>
          <w:lang w:eastAsia="pl-PL"/>
        </w:rPr>
        <w:t>i</w:t>
      </w:r>
      <w:r w:rsidRPr="004E3242">
        <w:rPr>
          <w:rFonts w:ascii="Arial" w:eastAsia="Times New Roman" w:hAnsi="Arial" w:cs="Arial"/>
          <w:sz w:val="20"/>
          <w:szCs w:val="20"/>
          <w:lang w:eastAsia="pl-PL"/>
        </w:rPr>
        <w:t>Ś</w:t>
      </w:r>
      <w:proofErr w:type="spellEnd"/>
      <w:r w:rsidRPr="004E3242">
        <w:rPr>
          <w:rFonts w:ascii="Arial" w:eastAsia="Times New Roman" w:hAnsi="Arial" w:cs="Arial"/>
          <w:sz w:val="20"/>
          <w:szCs w:val="20"/>
          <w:lang w:eastAsia="pl-PL"/>
        </w:rPr>
        <w:t xml:space="preserve"> będzie wnosić wkład w realizację potrzeb określonych</w:t>
      </w:r>
      <w:r w:rsidR="00FD37E7">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typów terytoriów, w tym uznanych za obszary strategicznej interwencji. Wpływ będzie miał charakter bezpośredni (realizacja projektu na danym terytorium), pośredni (realizacja projektów komplementarnych) lub oddziaływania.</w:t>
      </w:r>
    </w:p>
    <w:p w14:paraId="71F1B03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Miasta wojewódzkie i</w:t>
      </w:r>
      <w:r w:rsidR="001251AF">
        <w:rPr>
          <w:rFonts w:ascii="Arial" w:eastAsia="Times New Roman" w:hAnsi="Arial" w:cs="Arial"/>
          <w:b/>
          <w:bCs/>
          <w:i/>
          <w:iCs/>
          <w:sz w:val="20"/>
          <w:szCs w:val="20"/>
          <w:lang w:eastAsia="pl-PL"/>
        </w:rPr>
        <w:t xml:space="preserve"> </w:t>
      </w:r>
      <w:r w:rsidRPr="004E3242">
        <w:rPr>
          <w:rFonts w:ascii="Arial" w:eastAsia="Times New Roman" w:hAnsi="Arial" w:cs="Arial"/>
          <w:b/>
          <w:bCs/>
          <w:i/>
          <w:iCs/>
          <w:sz w:val="20"/>
          <w:szCs w:val="20"/>
          <w:lang w:eastAsia="pl-PL"/>
        </w:rPr>
        <w:t>obszary powiązane z nimi funkcjonalnie</w:t>
      </w:r>
    </w:p>
    <w:p w14:paraId="6002D25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POIŚ realizowane będą działania ukierunkowane na tworzenie warunków rozwoju zrównoważonego tych miast i ich obszarów funkcjonalnych, m.in. poprzez promowanie strategii niskoemisyjnych oraz wynikających z nich działań w obszarze infrastruktury niskoemisyjnego transportu publicznego i tzw. zrównoważonej mobilności miejskiej, infrastruktury dystrybucji energii, </w:t>
      </w:r>
      <w:r w:rsidRPr="004E3242">
        <w:rPr>
          <w:rFonts w:ascii="Arial" w:eastAsia="Times New Roman" w:hAnsi="Arial" w:cs="Arial"/>
          <w:sz w:val="20"/>
          <w:szCs w:val="20"/>
          <w:lang w:eastAsia="pl-PL"/>
        </w:rPr>
        <w:br/>
        <w:t xml:space="preserve">w tym tzw. inteligentnych sieci, promowanie efektywności energetycznej w infrastrukturach publicznych oraz budynkach mieszkaniowych. Podstawą wsparcia będą dokumenty strategiczne miast, spełniające wymogi strategii niskoemisyjnych, będące warunkiem wynikającym z mocy przepisów ogólnych, dotyczących funkcjonowania </w:t>
      </w:r>
      <w:r w:rsidRPr="004E3242">
        <w:rPr>
          <w:rFonts w:ascii="Arial" w:eastAsia="Times New Roman" w:hAnsi="Arial" w:cs="Arial"/>
          <w:i/>
          <w:iCs/>
          <w:sz w:val="20"/>
          <w:szCs w:val="20"/>
          <w:lang w:eastAsia="pl-PL"/>
        </w:rPr>
        <w:t xml:space="preserve">Europejskich Funduszy Strukturalnych </w:t>
      </w:r>
      <w:r w:rsidRPr="004E3242">
        <w:rPr>
          <w:rFonts w:ascii="Arial" w:eastAsia="Times New Roman" w:hAnsi="Arial" w:cs="Arial"/>
          <w:i/>
          <w:iCs/>
          <w:sz w:val="20"/>
          <w:szCs w:val="20"/>
          <w:lang w:eastAsia="pl-PL"/>
        </w:rPr>
        <w:br/>
        <w:t>i Inwestycyjnych</w:t>
      </w:r>
      <w:r w:rsidRPr="004E3242">
        <w:rPr>
          <w:rFonts w:ascii="Arial" w:eastAsia="Times New Roman" w:hAnsi="Arial" w:cs="Arial"/>
          <w:sz w:val="20"/>
          <w:szCs w:val="20"/>
          <w:lang w:eastAsia="pl-PL"/>
        </w:rPr>
        <w:t xml:space="preserve"> (EFSI).</w:t>
      </w:r>
    </w:p>
    <w:p w14:paraId="674CA2EE" w14:textId="77777777" w:rsidR="004E3242" w:rsidRPr="004E3242" w:rsidRDefault="004E3242" w:rsidP="004E3242">
      <w:pPr>
        <w:spacing w:after="24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Szacunkowa kwota wsparcia ww. obszarów może wynieść ok. 6,5 mld EUR, z zachowaniem zgodności z regulacjami właściwymi dla FS i EFRR.</w:t>
      </w:r>
    </w:p>
    <w:p w14:paraId="0213754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 xml:space="preserve">Ośrodki regionalne i </w:t>
      </w:r>
      <w:proofErr w:type="spellStart"/>
      <w:r w:rsidRPr="004E3242">
        <w:rPr>
          <w:rFonts w:ascii="Arial" w:eastAsia="Times New Roman" w:hAnsi="Arial" w:cs="Arial"/>
          <w:b/>
          <w:bCs/>
          <w:i/>
          <w:iCs/>
          <w:sz w:val="20"/>
          <w:szCs w:val="20"/>
          <w:lang w:eastAsia="pl-PL"/>
        </w:rPr>
        <w:t>subregionalne</w:t>
      </w:r>
      <w:proofErr w:type="spellEnd"/>
      <w:r w:rsidRPr="004E3242">
        <w:rPr>
          <w:rFonts w:ascii="Arial" w:eastAsia="Times New Roman" w:hAnsi="Arial" w:cs="Arial"/>
          <w:b/>
          <w:bCs/>
          <w:i/>
          <w:iCs/>
          <w:sz w:val="20"/>
          <w:szCs w:val="20"/>
          <w:lang w:eastAsia="pl-PL"/>
        </w:rPr>
        <w:t xml:space="preserve"> jako obszary strategicznej interwencji         </w:t>
      </w:r>
    </w:p>
    <w:p w14:paraId="3F87F9F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Przewiduje się wsparcie zrównoważonego rozwoju miast regionalnych i </w:t>
      </w:r>
      <w:proofErr w:type="spellStart"/>
      <w:r w:rsidRPr="004E3242">
        <w:rPr>
          <w:rFonts w:ascii="Arial" w:eastAsia="Times New Roman" w:hAnsi="Arial" w:cs="Arial"/>
          <w:sz w:val="20"/>
          <w:szCs w:val="20"/>
          <w:lang w:eastAsia="pl-PL"/>
        </w:rPr>
        <w:t>subregionalnych</w:t>
      </w:r>
      <w:proofErr w:type="spellEnd"/>
      <w:r w:rsidRPr="004E3242">
        <w:rPr>
          <w:rFonts w:ascii="Arial" w:eastAsia="Times New Roman" w:hAnsi="Arial" w:cs="Arial"/>
          <w:sz w:val="20"/>
          <w:szCs w:val="20"/>
          <w:lang w:eastAsia="pl-PL"/>
        </w:rPr>
        <w:t>, jako ośrodków ważnych dla stabilnego funkcjonowania systemu osadniczego i zrównoważonego rozwoju kraju. Adresowane działania będą wpisywać się w główny nurt interwencji programu, tj. w zakresie połączenia tych miast z większymi ośrodkami, rozwoju infrastruktury ochrony środowiska, infrastruktury społecznej oraz odnowie tkanki miejskiej (budynki publiczne), uwzględniającej aspekty środowiskowe i wspierającej efektywne wykorzystanie zasobów.</w:t>
      </w:r>
    </w:p>
    <w:p w14:paraId="5E8C6CC4" w14:textId="77777777" w:rsidR="004E3242" w:rsidRDefault="004E3242" w:rsidP="004E3242">
      <w:pPr>
        <w:spacing w:after="24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Szacunkowa kwota wsparcia miast regionalnych i </w:t>
      </w:r>
      <w:proofErr w:type="spellStart"/>
      <w:r w:rsidRPr="004E3242">
        <w:rPr>
          <w:rFonts w:ascii="Arial" w:eastAsia="Times New Roman" w:hAnsi="Arial" w:cs="Arial"/>
          <w:sz w:val="20"/>
          <w:szCs w:val="20"/>
          <w:lang w:eastAsia="pl-PL"/>
        </w:rPr>
        <w:t>subregionalnych</w:t>
      </w:r>
      <w:proofErr w:type="spellEnd"/>
      <w:r w:rsidRPr="004E3242">
        <w:rPr>
          <w:rFonts w:ascii="Arial" w:eastAsia="Times New Roman" w:hAnsi="Arial" w:cs="Arial"/>
          <w:sz w:val="20"/>
          <w:szCs w:val="20"/>
          <w:lang w:eastAsia="pl-PL"/>
        </w:rPr>
        <w:t xml:space="preserve"> może wynieść ok. 1,4 mld EUR, </w:t>
      </w:r>
      <w:r w:rsidRPr="004E3242">
        <w:rPr>
          <w:rFonts w:ascii="Arial" w:eastAsia="Times New Roman" w:hAnsi="Arial" w:cs="Arial"/>
          <w:sz w:val="20"/>
          <w:szCs w:val="20"/>
          <w:lang w:eastAsia="pl-PL"/>
        </w:rPr>
        <w:br/>
        <w:t>z zachowaniem zgodności z regulacjami właściwymi dla FS i EFRR. </w:t>
      </w:r>
    </w:p>
    <w:p w14:paraId="4C35805B" w14:textId="77777777" w:rsidR="00F24566" w:rsidRDefault="00F24566" w:rsidP="00F24566">
      <w:pPr>
        <w:spacing w:after="240"/>
        <w:jc w:val="both"/>
        <w:rPr>
          <w:rFonts w:ascii="Arial" w:eastAsia="Times New Roman" w:hAnsi="Arial" w:cs="Arial"/>
          <w:b/>
          <w:i/>
          <w:sz w:val="20"/>
          <w:szCs w:val="20"/>
          <w:lang w:eastAsia="pl-PL"/>
        </w:rPr>
      </w:pPr>
      <w:r>
        <w:rPr>
          <w:rFonts w:ascii="Arial" w:eastAsia="Times New Roman" w:hAnsi="Arial" w:cs="Arial"/>
          <w:b/>
          <w:i/>
          <w:sz w:val="20"/>
          <w:szCs w:val="20"/>
          <w:lang w:eastAsia="pl-PL"/>
        </w:rPr>
        <w:t>O</w:t>
      </w:r>
      <w:r w:rsidRPr="005D37E4">
        <w:rPr>
          <w:rFonts w:ascii="Arial" w:eastAsia="Times New Roman" w:hAnsi="Arial" w:cs="Arial"/>
          <w:b/>
          <w:i/>
          <w:sz w:val="20"/>
          <w:szCs w:val="20"/>
          <w:lang w:eastAsia="pl-PL"/>
        </w:rPr>
        <w:t>środki miejskie tracące funkcje społeczno-gospodarcze</w:t>
      </w:r>
    </w:p>
    <w:p w14:paraId="3B8A0524" w14:textId="77777777" w:rsidR="00F24566" w:rsidRPr="00B53603" w:rsidRDefault="00F24566" w:rsidP="00F24566">
      <w:pPr>
        <w:spacing w:after="240"/>
        <w:jc w:val="both"/>
        <w:rPr>
          <w:rFonts w:ascii="Arial" w:eastAsia="Times New Roman" w:hAnsi="Arial" w:cs="Arial"/>
          <w:sz w:val="20"/>
          <w:szCs w:val="20"/>
          <w:lang w:eastAsia="pl-PL"/>
        </w:rPr>
      </w:pPr>
      <w:r w:rsidRPr="00B53603">
        <w:rPr>
          <w:rFonts w:ascii="Arial" w:eastAsia="Times New Roman" w:hAnsi="Arial" w:cs="Arial"/>
          <w:sz w:val="20"/>
          <w:szCs w:val="20"/>
          <w:lang w:eastAsia="pl-PL"/>
        </w:rPr>
        <w:t xml:space="preserve">Zgodnie z założeniami Strategii na rzecz Odpowiedzialnego Rozwoju, dążenie do równoważenia rozwoju w wymiarze terytorialnym wymaga wzmocnienia potencjału rozwojowego ośrodków miejskich innych, niż miasta wojewódzkie, w tym miast średnich, które przeżywają problemy związane z utratą dotychczasowych funkcji społeczno-gospodarczych, i w których nagromadzenie negatywnych zjawisk jest największe. </w:t>
      </w:r>
    </w:p>
    <w:p w14:paraId="38F40700" w14:textId="77777777" w:rsidR="00F24566" w:rsidRDefault="00F24566" w:rsidP="004E3242">
      <w:pPr>
        <w:spacing w:after="240"/>
        <w:jc w:val="both"/>
        <w:rPr>
          <w:rFonts w:ascii="Arial" w:eastAsia="Times New Roman" w:hAnsi="Arial" w:cs="Arial"/>
          <w:sz w:val="20"/>
          <w:szCs w:val="20"/>
          <w:lang w:eastAsia="pl-PL"/>
        </w:rPr>
      </w:pPr>
      <w:r w:rsidRPr="00B53603">
        <w:rPr>
          <w:rFonts w:ascii="Arial" w:eastAsia="Times New Roman" w:hAnsi="Arial" w:cs="Arial"/>
          <w:sz w:val="20"/>
          <w:szCs w:val="20"/>
          <w:lang w:eastAsia="pl-PL"/>
        </w:rPr>
        <w:t xml:space="preserve">Opis planowanego wsparcia miast średnich, w tym tracących funkcje społeczno-gospodarcze oraz kryteria typologii tych </w:t>
      </w:r>
      <w:r>
        <w:rPr>
          <w:rFonts w:ascii="Arial" w:eastAsia="Times New Roman" w:hAnsi="Arial" w:cs="Arial"/>
          <w:sz w:val="20"/>
          <w:szCs w:val="20"/>
          <w:lang w:eastAsia="pl-PL"/>
        </w:rPr>
        <w:t xml:space="preserve">miast, został zawarty w części </w:t>
      </w:r>
      <w:r w:rsidRPr="00B53603">
        <w:rPr>
          <w:rFonts w:ascii="Arial" w:eastAsia="Times New Roman" w:hAnsi="Arial" w:cs="Arial"/>
          <w:sz w:val="20"/>
          <w:szCs w:val="20"/>
          <w:lang w:eastAsia="pl-PL"/>
        </w:rPr>
        <w:t xml:space="preserve">3.1.2. Umowy Partnerstwa. Wkład </w:t>
      </w:r>
      <w:proofErr w:type="spellStart"/>
      <w:r w:rsidRPr="00B53603">
        <w:rPr>
          <w:rFonts w:ascii="Arial" w:eastAsia="Times New Roman" w:hAnsi="Arial" w:cs="Arial"/>
          <w:sz w:val="20"/>
          <w:szCs w:val="20"/>
          <w:lang w:eastAsia="pl-PL"/>
        </w:rPr>
        <w:t>POIiŚ</w:t>
      </w:r>
      <w:proofErr w:type="spellEnd"/>
      <w:r w:rsidRPr="00B53603">
        <w:rPr>
          <w:rFonts w:ascii="Arial" w:eastAsia="Times New Roman" w:hAnsi="Arial" w:cs="Arial"/>
          <w:sz w:val="20"/>
          <w:szCs w:val="20"/>
          <w:lang w:eastAsia="pl-PL"/>
        </w:rPr>
        <w:t xml:space="preserve"> będzie wzmacniał potencjał rozwojowy tych miast poprzez wsparcie budowy infrastruktury technicznej poprawiającej dostęp do wys</w:t>
      </w:r>
      <w:r>
        <w:rPr>
          <w:rFonts w:ascii="Arial" w:eastAsia="Times New Roman" w:hAnsi="Arial" w:cs="Arial"/>
          <w:sz w:val="20"/>
          <w:szCs w:val="20"/>
          <w:lang w:eastAsia="pl-PL"/>
        </w:rPr>
        <w:t>okiej jakości usług publicznych</w:t>
      </w:r>
      <w:r w:rsidRPr="00B53603">
        <w:rPr>
          <w:rFonts w:ascii="Arial" w:eastAsia="Times New Roman" w:hAnsi="Arial" w:cs="Arial"/>
          <w:sz w:val="20"/>
          <w:szCs w:val="20"/>
          <w:lang w:eastAsia="pl-PL"/>
        </w:rPr>
        <w:t>.</w:t>
      </w:r>
    </w:p>
    <w:p w14:paraId="04BD6B70" w14:textId="77777777" w:rsidR="004E3242" w:rsidRPr="004E3242" w:rsidRDefault="004E3242" w:rsidP="004E3242">
      <w:pPr>
        <w:spacing w:after="120"/>
        <w:jc w:val="both"/>
        <w:rPr>
          <w:rFonts w:ascii="Arial" w:eastAsia="Times New Roman" w:hAnsi="Arial" w:cs="Arial"/>
          <w:sz w:val="20"/>
          <w:szCs w:val="20"/>
          <w:u w:val="single"/>
          <w:lang w:eastAsia="pl-PL"/>
        </w:rPr>
      </w:pPr>
      <w:r w:rsidRPr="004E3242">
        <w:rPr>
          <w:rFonts w:ascii="Arial" w:eastAsia="Times New Roman" w:hAnsi="Arial" w:cs="Arial"/>
          <w:sz w:val="20"/>
          <w:szCs w:val="20"/>
          <w:u w:val="single"/>
          <w:lang w:eastAsia="pl-PL"/>
        </w:rPr>
        <w:t>Pozostałe obszary strategicznej interwencji</w:t>
      </w:r>
    </w:p>
    <w:p w14:paraId="71CF526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Obszary wiejskie</w:t>
      </w:r>
    </w:p>
    <w:p w14:paraId="3998DB10" w14:textId="77777777" w:rsidR="004E3242" w:rsidRPr="004E3242" w:rsidRDefault="004E3242" w:rsidP="004E3242">
      <w:pPr>
        <w:spacing w:after="24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Zakłada się, że obszary wiejskie będą adresatem wsparcia o charakterze bezpośrednim i pośrednim. Główne kierunki działań wspierające rozwój i przekształcenia na tych obszarach będą dotyczyć ochrony środowiska naturalnego, w tym przywracania i ochrony cennych zasobów przyrodniczych na tych obszarach, wytwarzania i dystrybucji odnawialnych źródeł energii, budowy infrastruktury transportowej i energetycznej. Szacuje się, że na powyższe działania może zostać przeznaczone </w:t>
      </w:r>
      <w:r w:rsidRPr="004E3242">
        <w:rPr>
          <w:rFonts w:ascii="Arial" w:eastAsia="Times New Roman" w:hAnsi="Arial" w:cs="Arial"/>
          <w:sz w:val="20"/>
          <w:szCs w:val="20"/>
          <w:lang w:eastAsia="pl-PL"/>
        </w:rPr>
        <w:br/>
        <w:t>ok. 400 mln EUR, z zachowaniem zgodności z regulacjami właściwymi dla FS i EFRR.</w:t>
      </w:r>
    </w:p>
    <w:p w14:paraId="3818BDB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r w:rsidRPr="004E3242">
        <w:rPr>
          <w:rFonts w:ascii="Arial" w:eastAsia="Times New Roman" w:hAnsi="Arial" w:cs="Arial"/>
          <w:b/>
          <w:bCs/>
          <w:i/>
          <w:iCs/>
          <w:sz w:val="20"/>
          <w:szCs w:val="20"/>
          <w:lang w:eastAsia="pl-PL"/>
        </w:rPr>
        <w:t>Polska Wschodnia</w:t>
      </w:r>
    </w:p>
    <w:p w14:paraId="28330B9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Interwencja będzie przyczyniać się też do wzmocnienia szans rozwojowych Polski Wschodniej. Działania dedykowane temu obszarowi będą realizowane w ramach interwencji podstawowej programu oraz poprzez realizację wymiaru miejskiego. Wkład programu będzie polegał głównie na poprawie dostępności terytorialnej tego obszaru poprzez wsparcie budowy podstawowego układu sieci transportowej (drogowej i częściowo kolejowej) oraz bezpieczeństwa energetycznego.</w:t>
      </w:r>
    </w:p>
    <w:p w14:paraId="494F9DB4"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617" w:name="_Toc83810582"/>
      <w:bookmarkEnd w:id="616"/>
      <w:r w:rsidRPr="004E3242">
        <w:rPr>
          <w:rFonts w:ascii="Arial" w:hAnsi="Arial"/>
          <w:smallCaps/>
          <w:spacing w:val="15"/>
          <w:sz w:val="24"/>
          <w:lang w:eastAsia="pl-PL"/>
        </w:rPr>
        <w:t>Zintegrowane inwestycje terytorialne (w stosownych przypadkach)</w:t>
      </w:r>
      <w:bookmarkEnd w:id="617"/>
    </w:p>
    <w:p w14:paraId="0E61EF0A" w14:textId="77777777" w:rsidR="004E3242" w:rsidRPr="004E3242" w:rsidRDefault="004E3242" w:rsidP="004E3242">
      <w:pPr>
        <w:autoSpaceDE w:val="0"/>
        <w:autoSpaceDN w:val="0"/>
        <w:adjustRightInd w:val="0"/>
        <w:spacing w:before="120" w:after="120" w:line="280" w:lineRule="atLeast"/>
        <w:jc w:val="both"/>
        <w:rPr>
          <w:rFonts w:ascii="Arial" w:hAnsi="Arial" w:cs="Arial"/>
          <w:spacing w:val="4"/>
          <w:sz w:val="20"/>
          <w:szCs w:val="20"/>
        </w:rPr>
      </w:pPr>
      <w:r w:rsidRPr="004E3242">
        <w:rPr>
          <w:rFonts w:ascii="Arial" w:hAnsi="Arial" w:cs="Arial"/>
          <w:spacing w:val="4"/>
          <w:sz w:val="20"/>
          <w:szCs w:val="20"/>
        </w:rPr>
        <w:t>Nie dotyczy.</w:t>
      </w:r>
    </w:p>
    <w:p w14:paraId="5E1C14A5" w14:textId="77777777" w:rsidR="004E3242" w:rsidRPr="004E3242" w:rsidRDefault="004E3242" w:rsidP="004E3242">
      <w:pPr>
        <w:numPr>
          <w:ilvl w:val="1"/>
          <w:numId w:val="3"/>
        </w:numPr>
        <w:shd w:val="clear" w:color="auto" w:fill="BFBFBF"/>
        <w:spacing w:before="360" w:after="240"/>
        <w:jc w:val="both"/>
        <w:outlineLvl w:val="1"/>
        <w:rPr>
          <w:rFonts w:ascii="Arial" w:hAnsi="Arial"/>
          <w:smallCaps/>
          <w:spacing w:val="15"/>
          <w:sz w:val="24"/>
          <w:lang w:eastAsia="pl-PL"/>
        </w:rPr>
      </w:pPr>
      <w:bookmarkStart w:id="618" w:name="_Toc83810583"/>
      <w:r w:rsidRPr="004E3242">
        <w:rPr>
          <w:rFonts w:ascii="Arial" w:hAnsi="Arial"/>
          <w:smallCaps/>
          <w:spacing w:val="15"/>
          <w:sz w:val="24"/>
          <w:lang w:eastAsia="pl-PL"/>
        </w:rPr>
        <w:t xml:space="preserve">Rozwiązania dotyczące przedsięwzięć międzyregionalnych </w:t>
      </w:r>
      <w:r w:rsidRPr="004E3242">
        <w:rPr>
          <w:rFonts w:ascii="Arial" w:hAnsi="Arial"/>
          <w:smallCaps/>
          <w:spacing w:val="15"/>
          <w:sz w:val="24"/>
          <w:lang w:eastAsia="pl-PL"/>
        </w:rPr>
        <w:br/>
        <w:t xml:space="preserve">i transnarodowych w ramach danego programu operacyjnego, </w:t>
      </w:r>
      <w:r w:rsidRPr="004E3242">
        <w:rPr>
          <w:rFonts w:ascii="Arial" w:hAnsi="Arial"/>
          <w:smallCaps/>
          <w:spacing w:val="15"/>
          <w:sz w:val="24"/>
          <w:lang w:eastAsia="pl-PL"/>
        </w:rPr>
        <w:br/>
        <w:t>z udziałem beneficjentów znajdujących się w co najmniej jednym państwie członkowskim (w stosownych przypadkach)</w:t>
      </w:r>
      <w:bookmarkEnd w:id="618"/>
    </w:p>
    <w:p w14:paraId="7650D8C0" w14:textId="77777777" w:rsidR="004E3242" w:rsidRPr="004E3242" w:rsidRDefault="004E3242" w:rsidP="004E3242">
      <w:pPr>
        <w:autoSpaceDE w:val="0"/>
        <w:autoSpaceDN w:val="0"/>
        <w:adjustRightInd w:val="0"/>
        <w:spacing w:before="120" w:after="120" w:line="280" w:lineRule="atLeast"/>
        <w:jc w:val="both"/>
        <w:rPr>
          <w:rFonts w:ascii="Arial" w:hAnsi="Arial" w:cs="Arial"/>
          <w:spacing w:val="4"/>
          <w:sz w:val="20"/>
          <w:szCs w:val="20"/>
        </w:rPr>
      </w:pPr>
      <w:r w:rsidRPr="004E3242">
        <w:rPr>
          <w:rFonts w:ascii="Arial" w:hAnsi="Arial" w:cs="Arial"/>
          <w:spacing w:val="4"/>
          <w:sz w:val="20"/>
          <w:szCs w:val="20"/>
        </w:rPr>
        <w:t>Nie dotyczy.</w:t>
      </w:r>
    </w:p>
    <w:p w14:paraId="169843A6" w14:textId="77777777" w:rsidR="004E3242" w:rsidRPr="004E3242" w:rsidRDefault="004E3242" w:rsidP="004E3242">
      <w:pPr>
        <w:spacing w:before="120" w:after="120"/>
        <w:jc w:val="both"/>
        <w:rPr>
          <w:rFonts w:ascii="Arial" w:hAnsi="Arial" w:cs="Arial"/>
          <w:bCs/>
          <w:smallCaps/>
          <w:color w:val="669900"/>
          <w:spacing w:val="4"/>
          <w:sz w:val="20"/>
          <w:szCs w:val="20"/>
        </w:rPr>
      </w:pPr>
    </w:p>
    <w:p w14:paraId="6A68018E" w14:textId="77777777" w:rsidR="004E3242" w:rsidRPr="004E3242" w:rsidRDefault="004E3242" w:rsidP="004E3242">
      <w:pPr>
        <w:spacing w:before="120" w:after="120"/>
        <w:jc w:val="both"/>
        <w:rPr>
          <w:rFonts w:ascii="Arial" w:hAnsi="Arial" w:cs="Arial"/>
          <w:bCs/>
          <w:smallCaps/>
          <w:color w:val="669900"/>
          <w:spacing w:val="4"/>
          <w:sz w:val="20"/>
          <w:szCs w:val="20"/>
        </w:rPr>
      </w:pPr>
    </w:p>
    <w:p w14:paraId="3310A504" w14:textId="77777777" w:rsidR="004E3242" w:rsidRPr="004E3242" w:rsidRDefault="004E3242" w:rsidP="004E3242">
      <w:pPr>
        <w:spacing w:before="120" w:after="120"/>
        <w:jc w:val="both"/>
        <w:rPr>
          <w:rFonts w:ascii="Arial" w:hAnsi="Arial" w:cs="Arial"/>
          <w:bCs/>
          <w:smallCaps/>
          <w:color w:val="669900"/>
          <w:spacing w:val="4"/>
          <w:sz w:val="20"/>
          <w:szCs w:val="20"/>
        </w:rPr>
      </w:pPr>
    </w:p>
    <w:p w14:paraId="20974AAB" w14:textId="77777777" w:rsidR="004E3242" w:rsidRPr="004E3242" w:rsidRDefault="004E3242" w:rsidP="004E3242">
      <w:pPr>
        <w:numPr>
          <w:ilvl w:val="1"/>
          <w:numId w:val="3"/>
        </w:numPr>
        <w:shd w:val="clear" w:color="auto" w:fill="BFBFBF"/>
        <w:spacing w:before="360" w:after="240"/>
        <w:jc w:val="both"/>
        <w:outlineLvl w:val="1"/>
        <w:rPr>
          <w:rFonts w:ascii="Arial" w:hAnsi="Arial"/>
          <w:smallCaps/>
          <w:spacing w:val="15"/>
          <w:sz w:val="24"/>
          <w:lang w:eastAsia="pl-PL"/>
        </w:rPr>
      </w:pPr>
      <w:bookmarkStart w:id="619" w:name="_Toc83810584"/>
      <w:r w:rsidRPr="004E3242">
        <w:rPr>
          <w:rFonts w:ascii="Arial" w:hAnsi="Arial"/>
          <w:smallCaps/>
          <w:spacing w:val="15"/>
          <w:sz w:val="24"/>
          <w:lang w:eastAsia="pl-PL"/>
        </w:rPr>
        <w:lastRenderedPageBreak/>
        <w:t xml:space="preserve">Wkład planowanych przedsięwzięć w ramach programu </w:t>
      </w:r>
      <w:r w:rsidRPr="004E3242">
        <w:rPr>
          <w:rFonts w:ascii="Arial" w:hAnsi="Arial"/>
          <w:smallCaps/>
          <w:spacing w:val="15"/>
          <w:sz w:val="24"/>
          <w:lang w:eastAsia="pl-PL"/>
        </w:rPr>
        <w:br/>
        <w:t>w odniesieniu do strategii makroregionalnych i strategii morskich, z zastrzeżeniem potrzeb obszaru objętego programem zidentyfikowanych przez państwo członkowskie (w stosownych przypadkach)</w:t>
      </w:r>
      <w:bookmarkEnd w:id="619"/>
    </w:p>
    <w:p w14:paraId="67184F25" w14:textId="77777777" w:rsidR="004E3242" w:rsidRPr="004E3242" w:rsidRDefault="004E3242" w:rsidP="004E3242">
      <w:pPr>
        <w:spacing w:before="120" w:after="120"/>
        <w:jc w:val="both"/>
        <w:rPr>
          <w:rFonts w:ascii="Arial" w:hAnsi="Arial" w:cs="Arial"/>
          <w:bCs/>
          <w:smallCaps/>
          <w:color w:val="669900"/>
          <w:spacing w:val="4"/>
          <w:sz w:val="20"/>
          <w:szCs w:val="20"/>
        </w:rPr>
      </w:pPr>
      <w:r w:rsidRPr="004E3242">
        <w:rPr>
          <w:rFonts w:ascii="Arial" w:hAnsi="Arial" w:cs="Arial"/>
          <w:bCs/>
          <w:smallCaps/>
          <w:color w:val="669900"/>
          <w:spacing w:val="4"/>
          <w:sz w:val="20"/>
          <w:szCs w:val="20"/>
        </w:rPr>
        <w:t>Wpływ programu na realizację celów Strategii UE dla Regionu Morza Bałtyckiego</w:t>
      </w:r>
    </w:p>
    <w:p w14:paraId="2AA1342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Obszarem zainteresowania POIŚ w ramach Strategii UE dla Regionu Morza Bałtyckiego</w:t>
      </w:r>
      <w:r w:rsidRPr="004E3242">
        <w:rPr>
          <w:rFonts w:ascii="Arial" w:eastAsia="Times New Roman" w:hAnsi="Arial" w:cs="Arial"/>
          <w:sz w:val="20"/>
          <w:szCs w:val="20"/>
          <w:vertAlign w:val="superscript"/>
          <w:lang w:eastAsia="pl-PL"/>
        </w:rPr>
        <w:footnoteReference w:id="110"/>
      </w:r>
      <w:r w:rsidRPr="004E3242">
        <w:rPr>
          <w:rFonts w:ascii="Arial" w:eastAsia="Times New Roman" w:hAnsi="Arial" w:cs="Arial"/>
          <w:sz w:val="20"/>
          <w:szCs w:val="20"/>
          <w:lang w:eastAsia="pl-PL"/>
        </w:rPr>
        <w:t xml:space="preserve"> będzie </w:t>
      </w:r>
      <w:r w:rsidRPr="004E3242">
        <w:rPr>
          <w:rFonts w:ascii="Arial" w:eastAsia="Times New Roman" w:hAnsi="Arial" w:cs="Arial"/>
          <w:i/>
          <w:iCs/>
          <w:sz w:val="20"/>
          <w:szCs w:val="20"/>
          <w:lang w:eastAsia="pl-PL"/>
        </w:rPr>
        <w:t>„ochrona stanu środowiska morskiego”</w:t>
      </w:r>
      <w:r w:rsidRPr="004E3242">
        <w:rPr>
          <w:rFonts w:ascii="Arial" w:eastAsia="Times New Roman" w:hAnsi="Arial" w:cs="Arial"/>
          <w:sz w:val="20"/>
          <w:szCs w:val="20"/>
          <w:lang w:eastAsia="pl-PL"/>
        </w:rPr>
        <w:t xml:space="preserve"> (</w:t>
      </w:r>
      <w:proofErr w:type="spellStart"/>
      <w:r w:rsidRPr="004E3242">
        <w:rPr>
          <w:rFonts w:ascii="Arial" w:eastAsia="Times New Roman" w:hAnsi="Arial" w:cs="Arial"/>
          <w:sz w:val="20"/>
          <w:szCs w:val="20"/>
          <w:lang w:eastAsia="pl-PL"/>
        </w:rPr>
        <w:t>Save</w:t>
      </w:r>
      <w:proofErr w:type="spellEnd"/>
      <w:r w:rsidRPr="004E3242">
        <w:rPr>
          <w:rFonts w:ascii="Arial" w:eastAsia="Times New Roman" w:hAnsi="Arial" w:cs="Arial"/>
          <w:sz w:val="20"/>
          <w:szCs w:val="20"/>
          <w:lang w:eastAsia="pl-PL"/>
        </w:rPr>
        <w:t xml:space="preserve"> the Sea). W ograniczonym zakresie program będzie realizował również cel związany z poprawą zintegrowania regionu, w szczególności w zakresie spójności transportowej i bezpieczeństwa energetycznego.</w:t>
      </w:r>
    </w:p>
    <w:p w14:paraId="055AA3B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Realizacja działań w zakresie ochrony morza będzie miała na celu redukcję zanieczyszczenia wód Bałtyku, który jest jednym z najbardziej zanieczyszczonych obszarów morskich w świecie. Osiągnięcie tego celu jest związane z realizacją działania horyzontalnego SUE RMB pn. </w:t>
      </w:r>
      <w:r w:rsidRPr="004E3242">
        <w:rPr>
          <w:rFonts w:ascii="Arial" w:eastAsia="Times New Roman" w:hAnsi="Arial" w:cs="Arial"/>
          <w:i/>
          <w:iCs/>
          <w:sz w:val="20"/>
          <w:szCs w:val="20"/>
          <w:lang w:eastAsia="pl-PL"/>
        </w:rPr>
        <w:t xml:space="preserve">Zrównoważony rozwój oraz </w:t>
      </w:r>
      <w:proofErr w:type="spellStart"/>
      <w:r w:rsidRPr="004E3242">
        <w:rPr>
          <w:rFonts w:ascii="Arial" w:eastAsia="Times New Roman" w:hAnsi="Arial" w:cs="Arial"/>
          <w:i/>
          <w:iCs/>
          <w:sz w:val="20"/>
          <w:szCs w:val="20"/>
          <w:lang w:eastAsia="pl-PL"/>
        </w:rPr>
        <w:t>bio</w:t>
      </w:r>
      <w:proofErr w:type="spellEnd"/>
      <w:r w:rsidRPr="004E3242">
        <w:rPr>
          <w:rFonts w:ascii="Arial" w:eastAsia="Times New Roman" w:hAnsi="Arial" w:cs="Arial"/>
          <w:i/>
          <w:iCs/>
          <w:sz w:val="20"/>
          <w:szCs w:val="20"/>
          <w:lang w:eastAsia="pl-PL"/>
        </w:rPr>
        <w:t>-gospodarka</w:t>
      </w:r>
      <w:r w:rsidRPr="004E3242">
        <w:rPr>
          <w:rFonts w:ascii="Arial" w:eastAsia="Times New Roman" w:hAnsi="Arial" w:cs="Arial"/>
          <w:sz w:val="20"/>
          <w:szCs w:val="20"/>
          <w:lang w:eastAsia="pl-PL"/>
        </w:rPr>
        <w:t xml:space="preserve">, a także następujących obszarów priorytetowych strategii: </w:t>
      </w:r>
      <w:r w:rsidRPr="004E3242">
        <w:rPr>
          <w:rFonts w:ascii="Arial" w:eastAsia="Times New Roman" w:hAnsi="Arial" w:cs="Arial"/>
          <w:i/>
          <w:iCs/>
          <w:sz w:val="20"/>
          <w:szCs w:val="20"/>
          <w:lang w:eastAsia="pl-PL"/>
        </w:rPr>
        <w:t xml:space="preserve">NUTRI, HAZARDS, BIO </w:t>
      </w:r>
      <w:r w:rsidRPr="004E3242">
        <w:rPr>
          <w:rFonts w:ascii="Arial" w:eastAsia="Times New Roman" w:hAnsi="Arial" w:cs="Arial"/>
          <w:sz w:val="20"/>
          <w:szCs w:val="20"/>
          <w:lang w:eastAsia="pl-PL"/>
        </w:rPr>
        <w:t xml:space="preserve">oraz </w:t>
      </w:r>
      <w:r w:rsidRPr="004E3242">
        <w:rPr>
          <w:rFonts w:ascii="Arial" w:eastAsia="Times New Roman" w:hAnsi="Arial" w:cs="Arial"/>
          <w:i/>
          <w:iCs/>
          <w:sz w:val="20"/>
          <w:szCs w:val="20"/>
          <w:lang w:eastAsia="pl-PL"/>
        </w:rPr>
        <w:t>SHIP.</w:t>
      </w:r>
      <w:r w:rsidRPr="004E3242">
        <w:rPr>
          <w:rFonts w:ascii="Arial" w:eastAsia="Times New Roman" w:hAnsi="Arial" w:cs="Arial"/>
          <w:sz w:val="20"/>
          <w:szCs w:val="20"/>
          <w:lang w:eastAsia="pl-PL"/>
        </w:rPr>
        <w:t xml:space="preserve"> Działania zapisane w programie operacyjnym będą przyczyniały się do osiągania tego celu oraz odpowiadających mu następujących celów szczegółowych: dążenie do zapewnienia czystych wód, zachowanie różnorodności przyrodniczej i jej dobrego stanu oraz zapewnienie czystej </w:t>
      </w:r>
      <w:r w:rsidRPr="004E3242">
        <w:rPr>
          <w:rFonts w:ascii="Arial" w:eastAsia="Times New Roman" w:hAnsi="Arial" w:cs="Arial"/>
          <w:sz w:val="20"/>
          <w:szCs w:val="20"/>
          <w:lang w:eastAsia="pl-PL"/>
        </w:rPr>
        <w:br/>
        <w:t xml:space="preserve">i bezpiecznej żeglugi. Rozwój i rozbudowa infrastruktur sieciowych, w zakresie energii i transportu, przyczyni się do poprawy zintegrowania oraz dostępności regionu w wymiarze wewnętrznym </w:t>
      </w:r>
      <w:r w:rsidRPr="004E3242">
        <w:rPr>
          <w:rFonts w:ascii="Arial" w:eastAsia="Times New Roman" w:hAnsi="Arial" w:cs="Arial"/>
          <w:sz w:val="20"/>
          <w:szCs w:val="20"/>
          <w:lang w:eastAsia="pl-PL"/>
        </w:rPr>
        <w:br/>
        <w:t>i zewnętrznym (OP TRANSPORT, OP ENERGY).</w:t>
      </w:r>
    </w:p>
    <w:p w14:paraId="0147A4B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Ważnym narzędziem wsparcia obszarów priorytetowych SAFE i SECURE będą działania programu dotyczące dostosowania do zmian klimatu, zapobiegania ryzyku oraz zarządzania ryzykiem </w:t>
      </w:r>
      <w:r w:rsidRPr="004E3242">
        <w:rPr>
          <w:rFonts w:ascii="Arial" w:eastAsia="Times New Roman" w:hAnsi="Arial" w:cs="Arial"/>
          <w:sz w:val="20"/>
          <w:szCs w:val="20"/>
          <w:lang w:eastAsia="pl-PL"/>
        </w:rPr>
        <w:br/>
        <w:t>w sytuacjach nadzwyczajnych. Uzupełnieniem interwencji programu w zakresie celów społeczno-gospodarczych SUE RMB będzie wsparcie infrastruktury zdrowotnej oraz kultury, spójnej do działań określonych dla OP CULTURE i OP HEALTH.</w:t>
      </w:r>
    </w:p>
    <w:p w14:paraId="3487807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kontekście osiągnięcia odpowiedniego potencjału wdrażania SUE RMB w ramach programu operacyjnego, ważne jest oprócz integracji problemowej (tj. poszukiwania części wspólnych programu z problematyką SUE RMB) włączenie do mechanizmów realizacyjnych perspektywy makroregionalnej oraz podejmowanie współpracy i działań partnerskich na rzecz SUE RMB. Wyzwaniem pozostanie zwiększenie poczucia odpowiedzialności oraz wsparcie realizacji strategii na poziomie krajowym oraz regionalnym i lokalnym, które pozwoli zastąpić dotychczasowe, wąskie i fragmentaryczne podejście (wskazywanie pojedynczych działań) mechanizmami promującymi partnerstwo oraz działania zintegrowane, gdzie różne podmioty wnoszą swój specyficzny wkład. Szczegółowe rozwiązania w zakresie promowania określonych przedsięwzięć na rzecz realizacji SUE RMB zostaną uwzględnione w systemie wdrażania programu, w ramach systemu wyboru projektów.</w:t>
      </w:r>
    </w:p>
    <w:p w14:paraId="4D570EB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POIŚ będzie narzędziem rozwoju sektora tzw. </w:t>
      </w:r>
      <w:r w:rsidRPr="004E3242">
        <w:rPr>
          <w:rFonts w:ascii="Arial" w:eastAsia="Times New Roman" w:hAnsi="Arial" w:cs="Arial"/>
          <w:b/>
          <w:bCs/>
          <w:i/>
          <w:iCs/>
          <w:sz w:val="20"/>
          <w:szCs w:val="20"/>
          <w:lang w:eastAsia="pl-PL"/>
        </w:rPr>
        <w:t xml:space="preserve">Blue </w:t>
      </w:r>
      <w:proofErr w:type="spellStart"/>
      <w:r w:rsidRPr="004E3242">
        <w:rPr>
          <w:rFonts w:ascii="Arial" w:eastAsia="Times New Roman" w:hAnsi="Arial" w:cs="Arial"/>
          <w:b/>
          <w:bCs/>
          <w:i/>
          <w:iCs/>
          <w:sz w:val="20"/>
          <w:szCs w:val="20"/>
          <w:lang w:eastAsia="pl-PL"/>
        </w:rPr>
        <w:t>Economy</w:t>
      </w:r>
      <w:proofErr w:type="spellEnd"/>
      <w:r w:rsidRPr="004E3242">
        <w:rPr>
          <w:rFonts w:ascii="Arial" w:eastAsia="Times New Roman" w:hAnsi="Arial" w:cs="Arial"/>
          <w:sz w:val="20"/>
          <w:szCs w:val="20"/>
          <w:lang w:eastAsia="pl-PL"/>
        </w:rPr>
        <w:t>. Wsparciu "błękitnego" wzrostu będą sprzyjać takie działania programu, jak rozwój energetyki wiatrowej oraz rozwój niskoemisyjnych systemów transportu, włączając transport śródlądowy, morski i połączenia multimodalne.</w:t>
      </w:r>
    </w:p>
    <w:p w14:paraId="1FDD945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Podsumowując, osiąganie celów określonych w SUE RMB w ramach programu operacyjnego będzie odbywało się, z jednej strony, poprzez realizację działań spójnych z koncepcją założeń rozwoju zrównoważonego w głównych obszarach strategicznych programu oraz, z drugiej strony, poprzez przyjęcie na poziomie wdrożeniowym odpowiednich mechanizmów promujących współpracę partnerów w wymiarze krajowymi i międzynarodowym oraz sprzyjających realizacji najważniejszych inwestycji z punktu widzenia realizacji SUE RMB.</w:t>
      </w:r>
    </w:p>
    <w:p w14:paraId="12915CD9" w14:textId="77777777" w:rsidR="004E3242" w:rsidRPr="004E3242" w:rsidRDefault="004E3242" w:rsidP="004E3242">
      <w:pPr>
        <w:spacing w:after="120"/>
        <w:jc w:val="both"/>
        <w:rPr>
          <w:rFonts w:ascii="Arial" w:eastAsia="Times New Roman" w:hAnsi="Arial" w:cs="Arial"/>
          <w:sz w:val="20"/>
          <w:szCs w:val="20"/>
          <w:lang w:eastAsia="pl-PL"/>
        </w:rPr>
      </w:pPr>
    </w:p>
    <w:p w14:paraId="6DA3B8FC"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eastAsia="Times New Roman" w:hAnsi="Arial"/>
          <w:bCs/>
          <w:smallCaps/>
          <w:color w:val="000000"/>
          <w:spacing w:val="15"/>
          <w:sz w:val="28"/>
          <w:lang w:eastAsia="pl-PL"/>
        </w:rPr>
      </w:pPr>
      <w:bookmarkStart w:id="620" w:name="_Toc83810585"/>
      <w:r w:rsidRPr="004E3242">
        <w:rPr>
          <w:rFonts w:ascii="Arial" w:eastAsia="Times New Roman" w:hAnsi="Arial"/>
          <w:bCs/>
          <w:smallCaps/>
          <w:color w:val="000000"/>
          <w:spacing w:val="15"/>
          <w:sz w:val="28"/>
          <w:lang w:eastAsia="pl-PL"/>
        </w:rPr>
        <w:t>Szczególne potrzeby obszarów geograficznych najbardziej dotkniętych ubóstwem lub grup docelowych najbardziej zagrożonych dyskryminacją lub wykluczeniem społecznym (w stosownych przypadkach)</w:t>
      </w:r>
      <w:bookmarkEnd w:id="620"/>
    </w:p>
    <w:p w14:paraId="3CFC98AD"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8"/>
          <w:lang w:eastAsia="pl-PL"/>
        </w:rPr>
      </w:pPr>
      <w:bookmarkStart w:id="621" w:name="_Toc394319769"/>
      <w:bookmarkStart w:id="622" w:name="_Toc402942094"/>
      <w:bookmarkStart w:id="623" w:name="_Toc402942403"/>
      <w:bookmarkStart w:id="624" w:name="_Toc394319770"/>
      <w:bookmarkStart w:id="625" w:name="_Toc402942095"/>
      <w:bookmarkStart w:id="626" w:name="_Toc402942404"/>
      <w:bookmarkStart w:id="627" w:name="_Toc404585165"/>
      <w:bookmarkStart w:id="628" w:name="_Toc83810586"/>
      <w:bookmarkEnd w:id="621"/>
      <w:bookmarkEnd w:id="622"/>
      <w:bookmarkEnd w:id="623"/>
      <w:bookmarkEnd w:id="624"/>
      <w:bookmarkEnd w:id="625"/>
      <w:bookmarkEnd w:id="626"/>
      <w:bookmarkEnd w:id="627"/>
      <w:r w:rsidRPr="004E3242">
        <w:rPr>
          <w:rFonts w:ascii="Arial" w:hAnsi="Arial"/>
          <w:smallCaps/>
          <w:spacing w:val="15"/>
          <w:sz w:val="24"/>
          <w:lang w:eastAsia="pl-PL"/>
        </w:rPr>
        <w:t>Obszary geograficzne najbardziej dotknięte ubóstwem/ grupy docelowe najbardziej zagrożone dyskryminacją lub wykluczeniem społecznym</w:t>
      </w:r>
      <w:bookmarkEnd w:id="628"/>
    </w:p>
    <w:p w14:paraId="417A0BE0" w14:textId="77777777" w:rsidR="004E3242" w:rsidRPr="004E3242" w:rsidRDefault="004E3242" w:rsidP="004E3242">
      <w:pPr>
        <w:spacing w:after="120" w:line="280" w:lineRule="atLeast"/>
        <w:jc w:val="both"/>
        <w:rPr>
          <w:rFonts w:ascii="Arial" w:hAnsi="Arial" w:cs="Arial"/>
          <w:spacing w:val="4"/>
          <w:sz w:val="20"/>
          <w:szCs w:val="20"/>
        </w:rPr>
      </w:pPr>
      <w:r w:rsidRPr="004E3242">
        <w:rPr>
          <w:rFonts w:ascii="Arial" w:hAnsi="Arial" w:cs="Arial"/>
          <w:spacing w:val="4"/>
          <w:sz w:val="20"/>
          <w:szCs w:val="20"/>
        </w:rPr>
        <w:t>Nie dotyczy</w:t>
      </w:r>
    </w:p>
    <w:p w14:paraId="022660DA" w14:textId="77777777" w:rsidR="004E3242" w:rsidRPr="004E3242" w:rsidRDefault="004E3242" w:rsidP="004E3242">
      <w:pPr>
        <w:numPr>
          <w:ilvl w:val="1"/>
          <w:numId w:val="3"/>
        </w:numPr>
        <w:shd w:val="clear" w:color="auto" w:fill="BFBFBF"/>
        <w:spacing w:before="360" w:after="240"/>
        <w:outlineLvl w:val="1"/>
        <w:rPr>
          <w:rFonts w:ascii="Arial" w:hAnsi="Arial" w:cs="Arial"/>
          <w:smallCaps/>
          <w:color w:val="000000"/>
          <w:spacing w:val="4"/>
          <w:sz w:val="20"/>
          <w:szCs w:val="20"/>
          <w:lang w:eastAsia="pl-PL"/>
        </w:rPr>
      </w:pPr>
      <w:bookmarkStart w:id="629" w:name="_Toc83810587"/>
      <w:r w:rsidRPr="004E3242">
        <w:rPr>
          <w:rFonts w:ascii="Arial" w:hAnsi="Arial"/>
          <w:smallCaps/>
          <w:spacing w:val="15"/>
          <w:sz w:val="24"/>
          <w:lang w:eastAsia="pl-PL"/>
        </w:rPr>
        <w:t>Strategia służąca zaspokojeniu szczególnych potrzeb obszarów geograficznych  najbardziej dotkniętych ubóstwem/grup docelowych najbardziej zagrożonych dyskryminacją lub wykluczeniem społecznym oraz, w stosownych przypadkach, wkład do zintegrowanego podejścia ustanowionego w umowie partnerstwa</w:t>
      </w:r>
      <w:bookmarkEnd w:id="629"/>
      <w:r w:rsidRPr="004E3242">
        <w:rPr>
          <w:rFonts w:ascii="Arial" w:hAnsi="Arial"/>
          <w:smallCaps/>
          <w:spacing w:val="15"/>
          <w:sz w:val="24"/>
          <w:lang w:eastAsia="pl-PL"/>
        </w:rPr>
        <w:t xml:space="preserve"> </w:t>
      </w:r>
    </w:p>
    <w:p w14:paraId="155E41D2" w14:textId="77777777" w:rsidR="004E3242" w:rsidRPr="004E3242" w:rsidRDefault="004E3242" w:rsidP="004E3242">
      <w:pPr>
        <w:spacing w:after="120" w:line="280" w:lineRule="atLeast"/>
        <w:jc w:val="both"/>
        <w:rPr>
          <w:rFonts w:ascii="Arial" w:hAnsi="Arial" w:cs="Arial"/>
          <w:spacing w:val="4"/>
          <w:sz w:val="20"/>
          <w:szCs w:val="20"/>
        </w:rPr>
      </w:pPr>
      <w:r w:rsidRPr="004E3242">
        <w:rPr>
          <w:rFonts w:ascii="Arial" w:hAnsi="Arial" w:cs="Arial"/>
          <w:spacing w:val="4"/>
          <w:sz w:val="20"/>
          <w:szCs w:val="20"/>
        </w:rPr>
        <w:t>Nie dotyczy</w:t>
      </w:r>
    </w:p>
    <w:p w14:paraId="5C0FD8BA" w14:textId="77777777" w:rsidR="004E3242" w:rsidRPr="004E3242" w:rsidRDefault="004E3242" w:rsidP="004E3242">
      <w:pPr>
        <w:spacing w:after="120" w:line="280" w:lineRule="atLeast"/>
        <w:jc w:val="both"/>
        <w:rPr>
          <w:rFonts w:ascii="Arial" w:hAnsi="Arial" w:cs="Arial"/>
          <w:spacing w:val="4"/>
          <w:sz w:val="20"/>
          <w:szCs w:val="20"/>
        </w:rPr>
      </w:pPr>
    </w:p>
    <w:p w14:paraId="66FA3454"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jc w:val="both"/>
        <w:outlineLvl w:val="0"/>
        <w:rPr>
          <w:rFonts w:ascii="Arial" w:eastAsia="Times New Roman" w:hAnsi="Arial"/>
          <w:bCs/>
          <w:smallCaps/>
          <w:color w:val="000000"/>
          <w:spacing w:val="15"/>
          <w:sz w:val="28"/>
          <w:lang w:eastAsia="pl-PL"/>
        </w:rPr>
      </w:pPr>
      <w:bookmarkStart w:id="630" w:name="_Toc83810588"/>
      <w:r w:rsidRPr="004E3242">
        <w:rPr>
          <w:rFonts w:ascii="Arial" w:eastAsia="Times New Roman" w:hAnsi="Arial"/>
          <w:bCs/>
          <w:smallCaps/>
          <w:color w:val="000000"/>
          <w:spacing w:val="15"/>
          <w:sz w:val="28"/>
          <w:lang w:eastAsia="pl-PL"/>
        </w:rPr>
        <w:t>Szczególne potrzeby obszarów geograficznych, które cierpią na skutek poważnych i trwałych niekorzystnych warunków przyrodniczych lub demograficznych (w stosownych przypadkach)</w:t>
      </w:r>
      <w:bookmarkEnd w:id="630"/>
    </w:p>
    <w:p w14:paraId="27B675C6" w14:textId="77777777" w:rsidR="004E3242" w:rsidRPr="004E3242" w:rsidRDefault="004E3242" w:rsidP="004E3242">
      <w:pPr>
        <w:spacing w:after="120" w:line="280" w:lineRule="atLeast"/>
        <w:jc w:val="both"/>
        <w:rPr>
          <w:rFonts w:ascii="Arial" w:hAnsi="Arial" w:cs="Arial"/>
          <w:spacing w:val="4"/>
          <w:sz w:val="20"/>
          <w:szCs w:val="20"/>
        </w:rPr>
      </w:pPr>
      <w:r w:rsidRPr="004E3242">
        <w:rPr>
          <w:rFonts w:ascii="Arial" w:hAnsi="Arial" w:cs="Arial"/>
          <w:spacing w:val="4"/>
          <w:sz w:val="20"/>
          <w:szCs w:val="20"/>
        </w:rPr>
        <w:t>Nie dotyczy</w:t>
      </w:r>
    </w:p>
    <w:p w14:paraId="1DD0FF0E" w14:textId="77777777" w:rsidR="004E3242" w:rsidRPr="004E3242" w:rsidRDefault="004E3242" w:rsidP="004E3242">
      <w:pPr>
        <w:spacing w:after="120" w:line="280" w:lineRule="atLeast"/>
        <w:jc w:val="both"/>
        <w:rPr>
          <w:rFonts w:ascii="Arial" w:hAnsi="Arial" w:cs="Arial"/>
          <w:spacing w:val="4"/>
          <w:sz w:val="20"/>
          <w:szCs w:val="20"/>
        </w:rPr>
      </w:pPr>
      <w:r w:rsidRPr="004E3242">
        <w:rPr>
          <w:rFonts w:ascii="Arial" w:hAnsi="Arial" w:cs="Arial"/>
          <w:spacing w:val="4"/>
          <w:sz w:val="20"/>
          <w:szCs w:val="20"/>
        </w:rPr>
        <w:br w:type="page"/>
      </w:r>
    </w:p>
    <w:p w14:paraId="75D5728E"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hAnsi="Arial" w:cs="Arial"/>
          <w:bCs/>
          <w:smallCaps/>
          <w:color w:val="000000"/>
          <w:spacing w:val="4"/>
          <w:sz w:val="20"/>
          <w:szCs w:val="20"/>
          <w:lang w:eastAsia="pl-PL"/>
        </w:rPr>
      </w:pPr>
      <w:bookmarkStart w:id="631" w:name="_Toc83810589"/>
      <w:r w:rsidRPr="004E3242">
        <w:rPr>
          <w:rFonts w:ascii="Arial" w:eastAsia="Times New Roman" w:hAnsi="Arial"/>
          <w:bCs/>
          <w:smallCaps/>
          <w:color w:val="000000"/>
          <w:spacing w:val="15"/>
          <w:sz w:val="28"/>
          <w:lang w:eastAsia="pl-PL"/>
        </w:rPr>
        <w:lastRenderedPageBreak/>
        <w:t>Instytucje i podmioty odpowiedzialne za zarządzanie, kontrolę i audyt oraz rola właściwych partnerów</w:t>
      </w:r>
      <w:bookmarkEnd w:id="631"/>
    </w:p>
    <w:p w14:paraId="1898B3D0" w14:textId="77777777" w:rsidR="004E3242" w:rsidRPr="004E3242" w:rsidRDefault="004E3242" w:rsidP="004E3242">
      <w:pPr>
        <w:numPr>
          <w:ilvl w:val="1"/>
          <w:numId w:val="3"/>
        </w:numPr>
        <w:shd w:val="clear" w:color="auto" w:fill="BFBFBF"/>
        <w:spacing w:before="360" w:after="240"/>
        <w:outlineLvl w:val="1"/>
        <w:rPr>
          <w:rFonts w:ascii="Arial" w:hAnsi="Arial" w:cs="Arial"/>
          <w:smallCaps/>
          <w:color w:val="000000"/>
          <w:spacing w:val="4"/>
          <w:sz w:val="20"/>
          <w:szCs w:val="20"/>
          <w:lang w:eastAsia="pl-PL"/>
        </w:rPr>
      </w:pPr>
      <w:bookmarkStart w:id="632" w:name="_Toc83810590"/>
      <w:r w:rsidRPr="004E3242">
        <w:rPr>
          <w:rFonts w:ascii="Arial" w:hAnsi="Arial"/>
          <w:smallCaps/>
          <w:spacing w:val="15"/>
          <w:sz w:val="24"/>
          <w:lang w:eastAsia="pl-PL"/>
        </w:rPr>
        <w:t>Odpowiednie instytucje i podmioty</w:t>
      </w:r>
      <w:bookmarkEnd w:id="632"/>
    </w:p>
    <w:p w14:paraId="353700B7" w14:textId="77777777" w:rsidR="004E3242" w:rsidRPr="004E3242" w:rsidRDefault="004E3242" w:rsidP="004E3242">
      <w:pPr>
        <w:spacing w:before="60" w:after="60" w:line="240" w:lineRule="atLeast"/>
        <w:jc w:val="both"/>
        <w:rPr>
          <w:rFonts w:ascii="Arial" w:hAnsi="Arial" w:cs="Arial"/>
          <w:b/>
          <w:bCs/>
          <w:color w:val="808080"/>
          <w:spacing w:val="4"/>
          <w:sz w:val="18"/>
          <w:szCs w:val="18"/>
        </w:rPr>
      </w:pPr>
      <w:r w:rsidRPr="004E3242">
        <w:rPr>
          <w:rFonts w:ascii="Arial" w:hAnsi="Arial" w:cs="Arial"/>
          <w:b/>
          <w:bCs/>
          <w:color w:val="808080"/>
          <w:spacing w:val="4"/>
          <w:sz w:val="18"/>
          <w:szCs w:val="18"/>
        </w:rPr>
        <w:t>Tabela: Właściwe instytucje i podmioty</w:t>
      </w:r>
    </w:p>
    <w:tbl>
      <w:tblPr>
        <w:tblW w:w="500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2519"/>
        <w:gridCol w:w="4111"/>
        <w:gridCol w:w="2658"/>
      </w:tblGrid>
      <w:tr w:rsidR="004E3242" w:rsidRPr="004E3242" w14:paraId="169FA23A" w14:textId="77777777" w:rsidTr="00AA7998">
        <w:tc>
          <w:tcPr>
            <w:tcW w:w="1356" w:type="pct"/>
            <w:shd w:val="clear" w:color="auto" w:fill="99CC00"/>
            <w:vAlign w:val="center"/>
          </w:tcPr>
          <w:p w14:paraId="1A233144" w14:textId="77777777" w:rsidR="004E3242" w:rsidRPr="004E3242" w:rsidRDefault="004E3242" w:rsidP="004E3242">
            <w:pPr>
              <w:spacing w:before="60" w:after="60" w:line="240" w:lineRule="auto"/>
              <w:jc w:val="center"/>
              <w:rPr>
                <w:rFonts w:ascii="Arial" w:hAnsi="Arial" w:cs="Arial"/>
                <w:b/>
                <w:bCs/>
                <w:color w:val="FFFFFF"/>
                <w:spacing w:val="4"/>
                <w:sz w:val="16"/>
                <w:szCs w:val="16"/>
              </w:rPr>
            </w:pPr>
            <w:r w:rsidRPr="004E3242">
              <w:rPr>
                <w:rFonts w:ascii="Arial" w:hAnsi="Arial" w:cs="Arial"/>
                <w:b/>
                <w:bCs/>
                <w:color w:val="FFFFFF"/>
                <w:spacing w:val="4"/>
                <w:sz w:val="16"/>
                <w:szCs w:val="16"/>
              </w:rPr>
              <w:t>Instytucja/podmiot</w:t>
            </w:r>
          </w:p>
        </w:tc>
        <w:tc>
          <w:tcPr>
            <w:tcW w:w="2213" w:type="pct"/>
            <w:shd w:val="clear" w:color="auto" w:fill="99CC00"/>
            <w:vAlign w:val="center"/>
          </w:tcPr>
          <w:p w14:paraId="5325CDCD" w14:textId="77777777" w:rsidR="004E3242" w:rsidRPr="004E3242" w:rsidRDefault="004E3242" w:rsidP="004E3242">
            <w:pPr>
              <w:spacing w:before="60" w:after="60" w:line="240" w:lineRule="auto"/>
              <w:jc w:val="center"/>
              <w:rPr>
                <w:rFonts w:ascii="Arial" w:hAnsi="Arial" w:cs="Arial"/>
                <w:b/>
                <w:bCs/>
                <w:color w:val="FFFFFF"/>
                <w:spacing w:val="4"/>
                <w:sz w:val="16"/>
                <w:szCs w:val="16"/>
              </w:rPr>
            </w:pPr>
            <w:r w:rsidRPr="004E3242">
              <w:rPr>
                <w:rFonts w:ascii="Arial" w:hAnsi="Arial" w:cs="Arial"/>
                <w:b/>
                <w:bCs/>
                <w:color w:val="FFFFFF"/>
                <w:spacing w:val="4"/>
                <w:sz w:val="16"/>
                <w:szCs w:val="16"/>
              </w:rPr>
              <w:t>Nazwa instytucji oraz departamentu lub innej jednostki organizacyjnej</w:t>
            </w:r>
          </w:p>
        </w:tc>
        <w:tc>
          <w:tcPr>
            <w:tcW w:w="1431" w:type="pct"/>
            <w:shd w:val="clear" w:color="auto" w:fill="99CC00"/>
            <w:vAlign w:val="center"/>
          </w:tcPr>
          <w:p w14:paraId="6C5511FA" w14:textId="77777777" w:rsidR="004E3242" w:rsidRPr="004E3242" w:rsidRDefault="004E3242" w:rsidP="004E3242">
            <w:pPr>
              <w:spacing w:before="60" w:after="60" w:line="240" w:lineRule="auto"/>
              <w:jc w:val="center"/>
              <w:rPr>
                <w:rFonts w:ascii="Arial" w:hAnsi="Arial" w:cs="Arial"/>
                <w:b/>
                <w:bCs/>
                <w:color w:val="FFFFFF"/>
                <w:spacing w:val="4"/>
                <w:sz w:val="16"/>
                <w:szCs w:val="16"/>
              </w:rPr>
            </w:pPr>
            <w:r w:rsidRPr="004E3242">
              <w:rPr>
                <w:rFonts w:ascii="Arial" w:hAnsi="Arial" w:cs="Arial"/>
                <w:b/>
                <w:bCs/>
                <w:color w:val="FFFFFF"/>
                <w:spacing w:val="4"/>
                <w:sz w:val="16"/>
                <w:szCs w:val="16"/>
              </w:rPr>
              <w:t>Kierownictwo instytucji (stanowisko)</w:t>
            </w:r>
          </w:p>
        </w:tc>
      </w:tr>
      <w:tr w:rsidR="004E3242" w:rsidRPr="004E3242" w14:paraId="4AB9C82C" w14:textId="77777777" w:rsidTr="00AA7998">
        <w:tc>
          <w:tcPr>
            <w:tcW w:w="1356" w:type="pct"/>
            <w:shd w:val="clear" w:color="auto" w:fill="D6E3BC"/>
            <w:vAlign w:val="center"/>
          </w:tcPr>
          <w:p w14:paraId="051F4F09" w14:textId="77777777" w:rsidR="004E3242" w:rsidRPr="004E3242" w:rsidRDefault="004E3242" w:rsidP="004E3242">
            <w:pPr>
              <w:spacing w:before="60" w:after="60" w:line="240" w:lineRule="auto"/>
              <w:jc w:val="center"/>
              <w:rPr>
                <w:rFonts w:ascii="Arial" w:hAnsi="Arial" w:cs="Arial"/>
                <w:bCs/>
                <w:spacing w:val="4"/>
                <w:sz w:val="16"/>
                <w:szCs w:val="16"/>
              </w:rPr>
            </w:pPr>
            <w:r w:rsidRPr="004E3242">
              <w:rPr>
                <w:rFonts w:ascii="Arial" w:hAnsi="Arial" w:cs="Arial"/>
                <w:bCs/>
                <w:spacing w:val="4"/>
                <w:sz w:val="16"/>
                <w:szCs w:val="16"/>
              </w:rPr>
              <w:t>Instytucja Zarządzająca</w:t>
            </w:r>
          </w:p>
        </w:tc>
        <w:tc>
          <w:tcPr>
            <w:tcW w:w="2213" w:type="pct"/>
            <w:shd w:val="clear" w:color="auto" w:fill="F2F2F2"/>
            <w:vAlign w:val="center"/>
          </w:tcPr>
          <w:p w14:paraId="1D27B615" w14:textId="77777777" w:rsidR="004E3242" w:rsidRPr="00D535BD" w:rsidRDefault="004E3242" w:rsidP="004E3242">
            <w:pPr>
              <w:spacing w:before="60" w:after="60" w:line="240" w:lineRule="auto"/>
              <w:jc w:val="both"/>
              <w:rPr>
                <w:rFonts w:ascii="Arial" w:hAnsi="Arial" w:cs="Arial"/>
                <w:spacing w:val="4"/>
                <w:sz w:val="16"/>
                <w:szCs w:val="16"/>
              </w:rPr>
            </w:pPr>
            <w:r w:rsidRPr="00D535BD">
              <w:rPr>
                <w:rFonts w:ascii="Arial" w:hAnsi="Arial" w:cs="Arial"/>
                <w:spacing w:val="4"/>
                <w:sz w:val="16"/>
                <w:szCs w:val="16"/>
              </w:rPr>
              <w:t>Ministerstwo obsługujące ministra właściwego</w:t>
            </w:r>
            <w:r w:rsidRPr="00D535BD">
              <w:rPr>
                <w:rFonts w:ascii="Arial" w:hAnsi="Arial" w:cs="Arial"/>
                <w:spacing w:val="4"/>
                <w:sz w:val="16"/>
                <w:szCs w:val="16"/>
              </w:rPr>
              <w:br/>
              <w:t>ds. rozwoju regionalnego</w:t>
            </w:r>
          </w:p>
          <w:p w14:paraId="178104BF" w14:textId="77777777" w:rsidR="004E3242" w:rsidRPr="00D535BD" w:rsidRDefault="004E3242" w:rsidP="00EA34CA">
            <w:pPr>
              <w:spacing w:before="60" w:after="60" w:line="240" w:lineRule="auto"/>
              <w:jc w:val="both"/>
              <w:rPr>
                <w:rFonts w:ascii="Arial" w:hAnsi="Arial" w:cs="Arial"/>
                <w:spacing w:val="4"/>
                <w:sz w:val="16"/>
                <w:szCs w:val="16"/>
              </w:rPr>
            </w:pPr>
            <w:r w:rsidRPr="00D535BD">
              <w:rPr>
                <w:rFonts w:ascii="Arial" w:hAnsi="Arial" w:cs="Arial"/>
                <w:spacing w:val="4"/>
                <w:sz w:val="16"/>
                <w:szCs w:val="16"/>
              </w:rPr>
              <w:t>(Departament Programów Infrastrukturalnych</w:t>
            </w:r>
            <w:r w:rsidR="00EA34CA">
              <w:rPr>
                <w:rFonts w:ascii="Arial" w:hAnsi="Arial" w:cs="Arial"/>
                <w:spacing w:val="4"/>
                <w:sz w:val="16"/>
                <w:szCs w:val="16"/>
              </w:rPr>
              <w:t>)</w:t>
            </w:r>
          </w:p>
        </w:tc>
        <w:tc>
          <w:tcPr>
            <w:tcW w:w="1431" w:type="pct"/>
            <w:shd w:val="clear" w:color="auto" w:fill="F2F2F2"/>
            <w:vAlign w:val="center"/>
          </w:tcPr>
          <w:p w14:paraId="4B9FC0F1" w14:textId="77777777" w:rsidR="004E3242" w:rsidRPr="00D535BD" w:rsidRDefault="004E3242" w:rsidP="00EC45F9">
            <w:pPr>
              <w:spacing w:before="60" w:after="60" w:line="240" w:lineRule="auto"/>
              <w:jc w:val="both"/>
              <w:rPr>
                <w:rFonts w:ascii="Arial" w:hAnsi="Arial" w:cs="Arial"/>
                <w:spacing w:val="4"/>
                <w:sz w:val="16"/>
                <w:szCs w:val="16"/>
              </w:rPr>
            </w:pPr>
            <w:r w:rsidRPr="00D535BD">
              <w:rPr>
                <w:rFonts w:ascii="Arial" w:hAnsi="Arial" w:cs="Arial"/>
                <w:spacing w:val="4"/>
                <w:sz w:val="16"/>
                <w:szCs w:val="16"/>
              </w:rPr>
              <w:t xml:space="preserve">minister właściwy </w:t>
            </w:r>
            <w:r w:rsidRPr="00D535BD">
              <w:rPr>
                <w:rFonts w:ascii="Arial" w:hAnsi="Arial" w:cs="Arial"/>
                <w:spacing w:val="4"/>
                <w:sz w:val="16"/>
                <w:szCs w:val="16"/>
              </w:rPr>
              <w:br/>
              <w:t>ds. rozwoju regionalnego (dyrektor Departamentu Programów Infrastrukturalnych</w:t>
            </w:r>
            <w:r w:rsidR="00EA34CA">
              <w:rPr>
                <w:rFonts w:ascii="Arial" w:hAnsi="Arial" w:cs="Arial"/>
                <w:spacing w:val="4"/>
                <w:sz w:val="16"/>
                <w:szCs w:val="16"/>
              </w:rPr>
              <w:t>)</w:t>
            </w:r>
          </w:p>
        </w:tc>
      </w:tr>
      <w:tr w:rsidR="004E3242" w:rsidRPr="004E3242" w14:paraId="516AB7A0" w14:textId="77777777" w:rsidTr="00AA7998">
        <w:tc>
          <w:tcPr>
            <w:tcW w:w="1356" w:type="pct"/>
            <w:shd w:val="clear" w:color="auto" w:fill="D6E3BC"/>
            <w:vAlign w:val="center"/>
          </w:tcPr>
          <w:p w14:paraId="54412C08" w14:textId="77777777" w:rsidR="004E3242" w:rsidRPr="004E3242" w:rsidRDefault="004E3242" w:rsidP="004E3242">
            <w:pPr>
              <w:spacing w:before="60" w:after="60" w:line="240" w:lineRule="auto"/>
              <w:jc w:val="center"/>
              <w:rPr>
                <w:rFonts w:ascii="Arial" w:hAnsi="Arial" w:cs="Arial"/>
                <w:bCs/>
                <w:spacing w:val="4"/>
                <w:sz w:val="16"/>
                <w:szCs w:val="16"/>
              </w:rPr>
            </w:pPr>
            <w:r w:rsidRPr="004E3242">
              <w:rPr>
                <w:rFonts w:ascii="Arial" w:hAnsi="Arial" w:cs="Arial"/>
                <w:bCs/>
                <w:spacing w:val="4"/>
                <w:sz w:val="16"/>
                <w:szCs w:val="16"/>
              </w:rPr>
              <w:t>Instytucja Certyfikująca</w:t>
            </w:r>
          </w:p>
        </w:tc>
        <w:tc>
          <w:tcPr>
            <w:tcW w:w="2213" w:type="pct"/>
            <w:shd w:val="clear" w:color="auto" w:fill="F2F2F2"/>
            <w:vAlign w:val="center"/>
          </w:tcPr>
          <w:p w14:paraId="634305E5" w14:textId="77777777" w:rsidR="004E3242" w:rsidRPr="00D535BD" w:rsidRDefault="004E3242" w:rsidP="004E3242">
            <w:pPr>
              <w:spacing w:before="60" w:after="60" w:line="240" w:lineRule="auto"/>
              <w:jc w:val="both"/>
              <w:rPr>
                <w:rFonts w:ascii="Arial" w:hAnsi="Arial" w:cs="Arial"/>
                <w:spacing w:val="4"/>
                <w:sz w:val="16"/>
                <w:szCs w:val="16"/>
              </w:rPr>
            </w:pPr>
            <w:r w:rsidRPr="00D535BD">
              <w:rPr>
                <w:rFonts w:ascii="Arial" w:hAnsi="Arial" w:cs="Arial"/>
                <w:spacing w:val="4"/>
                <w:sz w:val="16"/>
                <w:szCs w:val="16"/>
              </w:rPr>
              <w:t>Ministerstwo obsługujące ministra właściwego</w:t>
            </w:r>
            <w:r w:rsidRPr="00D535BD">
              <w:rPr>
                <w:rFonts w:ascii="Arial" w:hAnsi="Arial" w:cs="Arial"/>
                <w:spacing w:val="4"/>
                <w:sz w:val="16"/>
                <w:szCs w:val="16"/>
              </w:rPr>
              <w:br/>
              <w:t>ds. rozwoju regionalnego</w:t>
            </w:r>
          </w:p>
          <w:p w14:paraId="1D461DFA" w14:textId="77777777" w:rsidR="004E3242" w:rsidRPr="00D535BD" w:rsidRDefault="004E3242" w:rsidP="00EA34CA">
            <w:pPr>
              <w:spacing w:before="60" w:after="60" w:line="240" w:lineRule="auto"/>
              <w:jc w:val="both"/>
              <w:rPr>
                <w:rFonts w:ascii="Arial" w:hAnsi="Arial" w:cs="Arial"/>
                <w:spacing w:val="4"/>
                <w:sz w:val="16"/>
                <w:szCs w:val="16"/>
              </w:rPr>
            </w:pPr>
            <w:r w:rsidRPr="00D535BD">
              <w:rPr>
                <w:rFonts w:ascii="Arial" w:hAnsi="Arial" w:cs="Arial"/>
                <w:spacing w:val="4"/>
                <w:sz w:val="16"/>
                <w:szCs w:val="16"/>
              </w:rPr>
              <w:t>(</w:t>
            </w:r>
            <w:r w:rsidR="00EA34CA" w:rsidRPr="00EA34CA">
              <w:rPr>
                <w:rFonts w:ascii="Arial" w:hAnsi="Arial" w:cs="Arial"/>
                <w:spacing w:val="4"/>
                <w:sz w:val="16"/>
                <w:szCs w:val="16"/>
              </w:rPr>
              <w:t>Departament Programów Infrastrukturalnych</w:t>
            </w:r>
            <w:r w:rsidRPr="00D535BD">
              <w:rPr>
                <w:rFonts w:ascii="Arial" w:hAnsi="Arial" w:cs="Arial"/>
                <w:spacing w:val="4"/>
                <w:sz w:val="16"/>
                <w:szCs w:val="16"/>
              </w:rPr>
              <w:t>)</w:t>
            </w:r>
          </w:p>
        </w:tc>
        <w:tc>
          <w:tcPr>
            <w:tcW w:w="1431" w:type="pct"/>
            <w:shd w:val="clear" w:color="auto" w:fill="F2F2F2"/>
            <w:vAlign w:val="center"/>
          </w:tcPr>
          <w:p w14:paraId="25F8B5FF" w14:textId="77777777" w:rsidR="004E3242" w:rsidRPr="00D535BD" w:rsidRDefault="004E3242" w:rsidP="00EC45F9">
            <w:pPr>
              <w:spacing w:before="60" w:after="60" w:line="240" w:lineRule="auto"/>
              <w:jc w:val="both"/>
              <w:rPr>
                <w:rFonts w:ascii="Arial" w:hAnsi="Arial" w:cs="Arial"/>
                <w:spacing w:val="4"/>
                <w:sz w:val="16"/>
                <w:szCs w:val="16"/>
              </w:rPr>
            </w:pPr>
            <w:r w:rsidRPr="00D535BD">
              <w:rPr>
                <w:rFonts w:ascii="Arial" w:hAnsi="Arial" w:cs="Arial"/>
                <w:spacing w:val="4"/>
                <w:sz w:val="16"/>
                <w:szCs w:val="16"/>
              </w:rPr>
              <w:t xml:space="preserve">minister właściwy </w:t>
            </w:r>
            <w:r w:rsidRPr="00D535BD">
              <w:rPr>
                <w:rFonts w:ascii="Arial" w:hAnsi="Arial" w:cs="Arial"/>
                <w:spacing w:val="4"/>
                <w:sz w:val="16"/>
                <w:szCs w:val="16"/>
              </w:rPr>
              <w:br/>
              <w:t xml:space="preserve">ds. rozwoju regionalnego (dyrektor </w:t>
            </w:r>
            <w:r w:rsidR="00EC45F9">
              <w:rPr>
                <w:rFonts w:ascii="Arial" w:hAnsi="Arial" w:cs="Arial"/>
                <w:spacing w:val="4"/>
                <w:sz w:val="16"/>
                <w:szCs w:val="16"/>
              </w:rPr>
              <w:t>D</w:t>
            </w:r>
            <w:r w:rsidRPr="00D535BD">
              <w:rPr>
                <w:rFonts w:ascii="Arial" w:hAnsi="Arial" w:cs="Arial"/>
                <w:spacing w:val="4"/>
                <w:sz w:val="16"/>
                <w:szCs w:val="16"/>
              </w:rPr>
              <w:t>epartamentu)</w:t>
            </w:r>
          </w:p>
        </w:tc>
      </w:tr>
      <w:tr w:rsidR="004E3242" w:rsidRPr="004E3242" w14:paraId="004F2B00" w14:textId="77777777" w:rsidTr="00AA7998">
        <w:tc>
          <w:tcPr>
            <w:tcW w:w="1356" w:type="pct"/>
            <w:shd w:val="clear" w:color="auto" w:fill="D6E3BC"/>
            <w:vAlign w:val="center"/>
          </w:tcPr>
          <w:p w14:paraId="0613539D" w14:textId="77777777" w:rsidR="004E3242" w:rsidRPr="004E3242" w:rsidRDefault="004E3242" w:rsidP="004E3242">
            <w:pPr>
              <w:spacing w:before="60" w:after="60" w:line="240" w:lineRule="auto"/>
              <w:jc w:val="center"/>
              <w:rPr>
                <w:rFonts w:ascii="Arial" w:hAnsi="Arial" w:cs="Arial"/>
                <w:bCs/>
                <w:spacing w:val="4"/>
                <w:sz w:val="16"/>
                <w:szCs w:val="16"/>
              </w:rPr>
            </w:pPr>
            <w:r w:rsidRPr="004E3242">
              <w:rPr>
                <w:rFonts w:ascii="Arial" w:hAnsi="Arial" w:cs="Arial"/>
                <w:bCs/>
                <w:spacing w:val="4"/>
                <w:sz w:val="16"/>
                <w:szCs w:val="16"/>
              </w:rPr>
              <w:t>Instytucja Audytowa</w:t>
            </w:r>
          </w:p>
        </w:tc>
        <w:tc>
          <w:tcPr>
            <w:tcW w:w="2213" w:type="pct"/>
            <w:shd w:val="clear" w:color="auto" w:fill="F2F2F2"/>
            <w:vAlign w:val="center"/>
          </w:tcPr>
          <w:p w14:paraId="2E7B6363" w14:textId="51C5F0E9" w:rsidR="004E3242" w:rsidRPr="004E3242" w:rsidRDefault="003F4F1E" w:rsidP="004E3242">
            <w:pPr>
              <w:spacing w:before="60" w:after="60" w:line="240" w:lineRule="auto"/>
              <w:jc w:val="both"/>
              <w:rPr>
                <w:rFonts w:ascii="Arial" w:hAnsi="Arial" w:cs="Arial"/>
                <w:spacing w:val="4"/>
                <w:sz w:val="16"/>
                <w:szCs w:val="16"/>
              </w:rPr>
            </w:pPr>
            <w:r>
              <w:rPr>
                <w:rFonts w:ascii="Arial" w:hAnsi="Arial" w:cs="Arial"/>
                <w:spacing w:val="4"/>
                <w:sz w:val="16"/>
                <w:szCs w:val="16"/>
              </w:rPr>
              <w:t>Szef Krajowej Administracji Skarbowej</w:t>
            </w:r>
          </w:p>
        </w:tc>
        <w:tc>
          <w:tcPr>
            <w:tcW w:w="1431" w:type="pct"/>
            <w:shd w:val="clear" w:color="auto" w:fill="F2F2F2"/>
            <w:vAlign w:val="center"/>
          </w:tcPr>
          <w:p w14:paraId="4EA08D07" w14:textId="07722DAF" w:rsidR="004E3242" w:rsidRPr="004E3242" w:rsidRDefault="003F4F1E" w:rsidP="00EC45F9">
            <w:pPr>
              <w:spacing w:before="60" w:after="60" w:line="240" w:lineRule="auto"/>
              <w:jc w:val="both"/>
              <w:rPr>
                <w:rFonts w:ascii="Arial" w:hAnsi="Arial" w:cs="Arial"/>
                <w:spacing w:val="4"/>
                <w:sz w:val="16"/>
                <w:szCs w:val="16"/>
              </w:rPr>
            </w:pPr>
            <w:r>
              <w:rPr>
                <w:rFonts w:ascii="Arial" w:hAnsi="Arial" w:cs="Arial"/>
                <w:spacing w:val="4"/>
                <w:sz w:val="16"/>
                <w:szCs w:val="16"/>
              </w:rPr>
              <w:t>Szef Krajowej Administracji Skarbowej</w:t>
            </w:r>
          </w:p>
        </w:tc>
      </w:tr>
      <w:tr w:rsidR="004E3242" w:rsidRPr="004E3242" w14:paraId="02FDE83E" w14:textId="77777777" w:rsidTr="00AA7998">
        <w:tc>
          <w:tcPr>
            <w:tcW w:w="1356" w:type="pct"/>
            <w:shd w:val="clear" w:color="auto" w:fill="D6E3BC"/>
            <w:vAlign w:val="center"/>
          </w:tcPr>
          <w:p w14:paraId="7831503A" w14:textId="77777777" w:rsidR="004E3242" w:rsidRPr="004E3242" w:rsidRDefault="004E3242" w:rsidP="004E3242">
            <w:pPr>
              <w:spacing w:before="60" w:after="60" w:line="240" w:lineRule="auto"/>
              <w:jc w:val="center"/>
              <w:rPr>
                <w:rFonts w:ascii="Arial" w:hAnsi="Arial" w:cs="Arial"/>
                <w:bCs/>
                <w:spacing w:val="4"/>
                <w:sz w:val="16"/>
                <w:szCs w:val="16"/>
              </w:rPr>
            </w:pPr>
            <w:r w:rsidRPr="004E3242">
              <w:rPr>
                <w:rFonts w:ascii="Arial" w:hAnsi="Arial" w:cs="Arial"/>
                <w:bCs/>
                <w:spacing w:val="4"/>
                <w:sz w:val="16"/>
                <w:szCs w:val="16"/>
              </w:rPr>
              <w:t>Podmiot, do którego KE będzie kierowała płatności</w:t>
            </w:r>
          </w:p>
        </w:tc>
        <w:tc>
          <w:tcPr>
            <w:tcW w:w="2213" w:type="pct"/>
            <w:shd w:val="clear" w:color="auto" w:fill="F2F2F2"/>
            <w:vAlign w:val="center"/>
          </w:tcPr>
          <w:p w14:paraId="16DFA7E0"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Ministerstwo Finansów</w:t>
            </w:r>
          </w:p>
          <w:p w14:paraId="1D38065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(Departament Instytucji Płatniczej)</w:t>
            </w:r>
          </w:p>
        </w:tc>
        <w:tc>
          <w:tcPr>
            <w:tcW w:w="1431" w:type="pct"/>
            <w:shd w:val="clear" w:color="auto" w:fill="F2F2F2"/>
            <w:vAlign w:val="center"/>
          </w:tcPr>
          <w:p w14:paraId="0957A913" w14:textId="77777777" w:rsidR="004E3242" w:rsidRPr="004E3242" w:rsidRDefault="001453B7" w:rsidP="00BC7BC4">
            <w:pPr>
              <w:spacing w:before="60" w:after="60" w:line="240" w:lineRule="auto"/>
              <w:jc w:val="both"/>
              <w:rPr>
                <w:rFonts w:ascii="Arial" w:hAnsi="Arial" w:cs="Arial"/>
                <w:spacing w:val="4"/>
                <w:sz w:val="16"/>
                <w:szCs w:val="16"/>
              </w:rPr>
            </w:pPr>
            <w:r w:rsidRPr="001453B7">
              <w:rPr>
                <w:rFonts w:ascii="Arial" w:hAnsi="Arial" w:cs="Arial"/>
                <w:spacing w:val="4"/>
                <w:sz w:val="16"/>
                <w:szCs w:val="16"/>
              </w:rPr>
              <w:t>minister właściwy ds. finansów publicznych</w:t>
            </w:r>
            <w:r w:rsidR="004E3242" w:rsidRPr="004E3242">
              <w:rPr>
                <w:rFonts w:ascii="Arial" w:hAnsi="Arial" w:cs="Arial"/>
                <w:spacing w:val="4"/>
                <w:sz w:val="16"/>
                <w:szCs w:val="16"/>
              </w:rPr>
              <w:br/>
              <w:t xml:space="preserve">(dyrektor </w:t>
            </w:r>
            <w:r w:rsidR="00EC45F9" w:rsidRPr="00EC45F9">
              <w:rPr>
                <w:rFonts w:ascii="Arial" w:hAnsi="Arial" w:cs="Arial"/>
                <w:spacing w:val="4"/>
                <w:sz w:val="16"/>
                <w:szCs w:val="16"/>
              </w:rPr>
              <w:t>D</w:t>
            </w:r>
            <w:r w:rsidR="004E3242" w:rsidRPr="004E3242">
              <w:rPr>
                <w:rFonts w:ascii="Arial" w:hAnsi="Arial" w:cs="Arial"/>
                <w:spacing w:val="4"/>
                <w:sz w:val="16"/>
                <w:szCs w:val="16"/>
              </w:rPr>
              <w:t>epartamentu)</w:t>
            </w:r>
          </w:p>
        </w:tc>
      </w:tr>
    </w:tbl>
    <w:p w14:paraId="61C337B0" w14:textId="77777777" w:rsidR="004E3242" w:rsidRPr="004E3242" w:rsidRDefault="004E3242" w:rsidP="004E3242">
      <w:pPr>
        <w:spacing w:after="120" w:line="280" w:lineRule="atLeast"/>
        <w:jc w:val="both"/>
        <w:rPr>
          <w:rFonts w:ascii="Arial" w:hAnsi="Arial" w:cs="Arial"/>
          <w:sz w:val="20"/>
          <w:szCs w:val="20"/>
        </w:rPr>
      </w:pPr>
    </w:p>
    <w:p w14:paraId="193C3861" w14:textId="77777777" w:rsidR="004E3242" w:rsidRPr="004E3242" w:rsidRDefault="000C139E" w:rsidP="004E3242">
      <w:pPr>
        <w:numPr>
          <w:ilvl w:val="1"/>
          <w:numId w:val="3"/>
        </w:numPr>
        <w:shd w:val="clear" w:color="auto" w:fill="BFBFBF"/>
        <w:spacing w:before="360" w:after="240"/>
        <w:outlineLvl w:val="1"/>
        <w:rPr>
          <w:rFonts w:ascii="Arial" w:hAnsi="Arial" w:cs="Arial"/>
          <w:smallCaps/>
          <w:color w:val="000000"/>
          <w:spacing w:val="4"/>
          <w:sz w:val="20"/>
          <w:szCs w:val="20"/>
          <w:lang w:eastAsia="pl-PL"/>
        </w:rPr>
      </w:pPr>
      <w:bookmarkStart w:id="633" w:name="_Toc394317233"/>
      <w:bookmarkStart w:id="634" w:name="_Toc394317385"/>
      <w:bookmarkStart w:id="635" w:name="_Toc394317453"/>
      <w:bookmarkStart w:id="636" w:name="_Toc394317520"/>
      <w:bookmarkStart w:id="637" w:name="_Toc394318090"/>
      <w:bookmarkStart w:id="638" w:name="_Toc394318169"/>
      <w:bookmarkStart w:id="639" w:name="_Toc394318484"/>
      <w:bookmarkStart w:id="640" w:name="_Toc394318586"/>
      <w:bookmarkStart w:id="641" w:name="_Toc394318651"/>
      <w:bookmarkStart w:id="642" w:name="_Toc394318718"/>
      <w:bookmarkStart w:id="643" w:name="_Toc394318783"/>
      <w:bookmarkStart w:id="644" w:name="_Toc394318875"/>
      <w:bookmarkStart w:id="645" w:name="_Toc394319441"/>
      <w:bookmarkStart w:id="646" w:name="_Toc394319512"/>
      <w:bookmarkStart w:id="647" w:name="_Toc394319583"/>
      <w:bookmarkStart w:id="648" w:name="_Toc394319675"/>
      <w:bookmarkStart w:id="649" w:name="_Toc394319776"/>
      <w:bookmarkStart w:id="650" w:name="_Toc402942104"/>
      <w:bookmarkStart w:id="651" w:name="_Toc402942413"/>
      <w:bookmarkStart w:id="652" w:name="_Toc404585174"/>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Fonts w:ascii="Arial" w:hAnsi="Arial"/>
          <w:smallCaps/>
          <w:spacing w:val="15"/>
          <w:sz w:val="24"/>
          <w:lang w:eastAsia="pl-PL"/>
        </w:rPr>
        <w:t xml:space="preserve"> </w:t>
      </w:r>
      <w:bookmarkStart w:id="653" w:name="_Toc83810591"/>
      <w:r w:rsidR="004E3242" w:rsidRPr="004E3242">
        <w:rPr>
          <w:rFonts w:ascii="Arial" w:hAnsi="Arial"/>
          <w:smallCaps/>
          <w:spacing w:val="15"/>
          <w:sz w:val="24"/>
          <w:lang w:eastAsia="pl-PL"/>
        </w:rPr>
        <w:t>Zaangażowanie właściwych partnerów</w:t>
      </w:r>
      <w:bookmarkEnd w:id="653"/>
    </w:p>
    <w:p w14:paraId="364B98C3" w14:textId="77777777" w:rsidR="004E3242" w:rsidRPr="004E3242" w:rsidRDefault="004E3242" w:rsidP="004E3242">
      <w:pPr>
        <w:numPr>
          <w:ilvl w:val="2"/>
          <w:numId w:val="3"/>
        </w:numPr>
        <w:shd w:val="clear" w:color="auto" w:fill="D6E3BC"/>
        <w:spacing w:before="240" w:after="240"/>
        <w:outlineLvl w:val="2"/>
        <w:rPr>
          <w:rFonts w:ascii="Arial" w:hAnsi="Arial"/>
          <w:caps/>
          <w:smallCaps/>
          <w:color w:val="000000"/>
          <w:spacing w:val="15"/>
          <w:sz w:val="24"/>
          <w:lang w:eastAsia="pl-PL"/>
        </w:rPr>
      </w:pPr>
      <w:bookmarkStart w:id="654" w:name="_Toc83810592"/>
      <w:r w:rsidRPr="004E3242">
        <w:rPr>
          <w:rFonts w:ascii="Arial" w:hAnsi="Arial"/>
          <w:smallCaps/>
          <w:color w:val="000000"/>
          <w:spacing w:val="15"/>
          <w:sz w:val="24"/>
          <w:lang w:eastAsia="pl-PL"/>
        </w:rPr>
        <w:t>Przedsięwzięcia podjęte w celu zaangażowania właściwych partnerów w przygotowanie programu operacyjnego oraz rola tych partnerów we wdrażaniu, monitorowaniu i ewaluacji programu operacyjnego</w:t>
      </w:r>
      <w:bookmarkEnd w:id="654"/>
    </w:p>
    <w:p w14:paraId="0D303B2C" w14:textId="77777777" w:rsidR="004E3242" w:rsidRPr="004E3242" w:rsidRDefault="004E3242" w:rsidP="004E3242">
      <w:pPr>
        <w:spacing w:after="120"/>
        <w:jc w:val="both"/>
        <w:rPr>
          <w:rFonts w:ascii="Arial" w:eastAsia="Times New Roman" w:hAnsi="Arial" w:cs="Arial"/>
          <w:sz w:val="20"/>
          <w:szCs w:val="20"/>
          <w:lang w:eastAsia="pl-PL"/>
        </w:rPr>
      </w:pPr>
      <w:bookmarkStart w:id="655" w:name="_Toc373769356"/>
      <w:bookmarkStart w:id="656" w:name="_Toc394314814"/>
      <w:r w:rsidRPr="004E3242">
        <w:rPr>
          <w:rFonts w:ascii="Arial" w:eastAsia="Times New Roman" w:hAnsi="Arial" w:cs="Arial"/>
          <w:b/>
          <w:bCs/>
          <w:i/>
          <w:iCs/>
          <w:sz w:val="20"/>
          <w:szCs w:val="20"/>
          <w:lang w:eastAsia="pl-PL"/>
        </w:rPr>
        <w:t>System instytucjonalny</w:t>
      </w:r>
    </w:p>
    <w:p w14:paraId="0E5AC1A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Funkcje Instytucji Zarządzającej (IZ) pełni minister właściwy ds. rozwoju regionalnego. Równocześnie IZ pełni funkcje Instytucji Certyfikującej (IC).</w:t>
      </w:r>
      <w:r w:rsidR="00EC45F9" w:rsidRPr="00EC45F9">
        <w:t xml:space="preserve"> </w:t>
      </w:r>
      <w:r w:rsidR="00EC45F9" w:rsidRPr="00EC45F9">
        <w:rPr>
          <w:rFonts w:ascii="Arial" w:eastAsia="Times New Roman" w:hAnsi="Arial" w:cs="Arial"/>
          <w:sz w:val="20"/>
          <w:szCs w:val="20"/>
          <w:lang w:eastAsia="pl-PL"/>
        </w:rPr>
        <w:t>Przyjęte rozwiązania organizacyjne zapewniają wymagany przepisami rozdział funkcji pomiędzy tymi instytucjami. Część zadań została powierzona Instytucjom Pośredniczącym (IP), których rola i funkcje określone są w stosownych porozumieniach międzyinstytucjonalnych. Ponadto, w niektórych sektorach funkcjonuje trójszczeblowy system wdrażania Programu poprzez powołanie Instytucji Pośredniczących drugiego stopnia, zwanych Instytucjami Wdrażającymi, którym została powierzona w drodze porozumienia albo umowy zawartej z IP, realizacja zadań w ramach programu. Delegowanie zadań prowadzi do poprawy skuteczności i efektywności wdrażania POIŚ.</w:t>
      </w:r>
    </w:p>
    <w:p w14:paraId="4AC40620" w14:textId="77777777" w:rsid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Zadania państwa członkowskiego w procesie desygnacji wykonuje Minister właściwy do spraw rozwoju regionalnego. Minister zapewnia strukturę organizacyjną i odpowiedni potencjał administracyjny dla właściwej realizacji procesu desygnacji. W tym celu wprowadził procedury i rozwiązania organizacyjne w ramach struktur podległego mu resortu, gwarantujące niezależność instytucji desygnującej oraz rozdzielność funkcji między instytucją desygnującą i instytucją zarządzającą/certyfikującą w sposób opisany poniżej.</w:t>
      </w:r>
    </w:p>
    <w:p w14:paraId="5D2BC706" w14:textId="77777777" w:rsidR="00090B8F" w:rsidRPr="004E3242" w:rsidRDefault="00090B8F" w:rsidP="004E3242">
      <w:pPr>
        <w:spacing w:after="120"/>
        <w:jc w:val="both"/>
        <w:rPr>
          <w:rFonts w:ascii="Arial" w:eastAsia="Times New Roman" w:hAnsi="Arial" w:cs="Arial"/>
          <w:sz w:val="20"/>
          <w:szCs w:val="20"/>
          <w:lang w:eastAsia="pl-PL"/>
        </w:rPr>
      </w:pPr>
      <w:r w:rsidRPr="00090B8F">
        <w:rPr>
          <w:rFonts w:ascii="Arial" w:eastAsia="Times New Roman" w:hAnsi="Arial" w:cs="Arial"/>
          <w:sz w:val="20"/>
          <w:szCs w:val="20"/>
          <w:lang w:eastAsia="pl-PL"/>
        </w:rPr>
        <w:t xml:space="preserve">Rozwiązania organizacyjne i procedury w UP i programach zapewniają niezależność podmiotu odpowiedzialnego za desygnację od podmiotów podlegających desygnacji (IZ/IC) i odpowiedni rozdział funkcji. W praktyce, regulamin organizacyjny MR obsługującego ministra właściwego do spraw rozwoju regionalnego zapewnia niezależność podmiotu desygnującego od IZ/IC poprzez powierzenie zadań podmiotu desygnującego komórce organizacyjnej MR innej niż komórki </w:t>
      </w:r>
      <w:r w:rsidRPr="00090B8F">
        <w:rPr>
          <w:rFonts w:ascii="Arial" w:eastAsia="Times New Roman" w:hAnsi="Arial" w:cs="Arial"/>
          <w:sz w:val="20"/>
          <w:szCs w:val="20"/>
          <w:lang w:eastAsia="pl-PL"/>
        </w:rPr>
        <w:lastRenderedPageBreak/>
        <w:t xml:space="preserve">organizacyjne pełniące funkcje IZ/IC </w:t>
      </w:r>
      <w:proofErr w:type="spellStart"/>
      <w:r w:rsidRPr="00090B8F">
        <w:rPr>
          <w:rFonts w:ascii="Arial" w:eastAsia="Times New Roman" w:hAnsi="Arial" w:cs="Arial"/>
          <w:sz w:val="20"/>
          <w:szCs w:val="20"/>
          <w:lang w:eastAsia="pl-PL"/>
        </w:rPr>
        <w:t>POIiŚ</w:t>
      </w:r>
      <w:proofErr w:type="spellEnd"/>
      <w:r w:rsidRPr="00090B8F">
        <w:rPr>
          <w:rFonts w:ascii="Arial" w:eastAsia="Times New Roman" w:hAnsi="Arial" w:cs="Arial"/>
          <w:sz w:val="20"/>
          <w:szCs w:val="20"/>
          <w:lang w:eastAsia="pl-PL"/>
        </w:rPr>
        <w:t xml:space="preserve"> oraz zapewnienie nadzoru tych komórek przez różnych, niezależnych od siebie członków kierownictwa ministerstwa.</w:t>
      </w:r>
    </w:p>
    <w:p w14:paraId="737F235E" w14:textId="424F593B"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Minister udziela desygnacji na podstawie sprawozdania i opinii niezależnego podmiotu audytowego, którego zadania realizuje </w:t>
      </w:r>
      <w:r w:rsidR="00A760BB">
        <w:rPr>
          <w:rFonts w:ascii="Arial" w:eastAsia="Times New Roman" w:hAnsi="Arial" w:cs="Arial"/>
          <w:sz w:val="20"/>
          <w:szCs w:val="20"/>
          <w:lang w:eastAsia="pl-PL"/>
        </w:rPr>
        <w:t>Szef Krajowej Administracji Skarbowej (uprzednio</w:t>
      </w:r>
      <w:r w:rsidR="00A760BB" w:rsidRPr="004E3242">
        <w:rPr>
          <w:rFonts w:ascii="Arial" w:eastAsia="Times New Roman" w:hAnsi="Arial" w:cs="Arial"/>
          <w:sz w:val="20"/>
          <w:szCs w:val="20"/>
          <w:lang w:eastAsia="pl-PL"/>
        </w:rPr>
        <w:t xml:space="preserve"> Generalny Inspektor Kontroli Skarbowej w Ministerstwie Finansów</w:t>
      </w:r>
      <w:r w:rsidR="00A760BB">
        <w:rPr>
          <w:rFonts w:ascii="Arial" w:eastAsia="Times New Roman" w:hAnsi="Arial" w:cs="Arial"/>
          <w:sz w:val="20"/>
          <w:szCs w:val="20"/>
          <w:lang w:eastAsia="pl-PL"/>
        </w:rPr>
        <w:t>)</w:t>
      </w:r>
      <w:r w:rsidRPr="004E3242">
        <w:rPr>
          <w:rFonts w:ascii="Arial" w:eastAsia="Times New Roman" w:hAnsi="Arial" w:cs="Arial"/>
          <w:sz w:val="20"/>
          <w:szCs w:val="20"/>
          <w:lang w:eastAsia="pl-PL"/>
        </w:rPr>
        <w:t>. Proces desygnacji realizowany jest w oparciu o przepisy rozporządzenia ogólnego, ustawy o zasadach realizacji programów w zakresie polityki spójności finansowanych w perspektywie finansowej 2014-2020, aktu wykonawczego KE wydanego na podstawie art. 124 ust. 7 rozporządzenia ogólnego oraz postanowienia wytycznych horyzontalnych Ministra właściwego ds. rozwoju regionalnego w zakresie procesu desygnacji oraz wytycznych KE dotyczących procedury desygnacji.</w:t>
      </w:r>
    </w:p>
    <w:p w14:paraId="6F7CC67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IZ POIŚ przygotuje strategię ukierunkowaną na </w:t>
      </w:r>
      <w:r w:rsidRPr="004E3242">
        <w:rPr>
          <w:rFonts w:ascii="Arial" w:eastAsia="Times New Roman" w:hAnsi="Arial" w:cs="Arial"/>
          <w:b/>
          <w:bCs/>
          <w:sz w:val="20"/>
          <w:szCs w:val="20"/>
          <w:lang w:eastAsia="pl-PL"/>
        </w:rPr>
        <w:t xml:space="preserve">zapobieganie, wykrywanie, korygowanie </w:t>
      </w:r>
      <w:r w:rsidRPr="004E3242">
        <w:rPr>
          <w:rFonts w:ascii="Arial" w:eastAsia="Times New Roman" w:hAnsi="Arial" w:cs="Arial"/>
          <w:b/>
          <w:bCs/>
          <w:sz w:val="20"/>
          <w:szCs w:val="20"/>
          <w:lang w:eastAsia="pl-PL"/>
        </w:rPr>
        <w:br/>
        <w:t>i raportowanie oszustw</w:t>
      </w:r>
      <w:r w:rsidRPr="004E3242">
        <w:rPr>
          <w:rFonts w:ascii="Arial" w:eastAsia="Times New Roman" w:hAnsi="Arial" w:cs="Arial"/>
          <w:sz w:val="20"/>
          <w:szCs w:val="20"/>
          <w:lang w:eastAsia="pl-PL"/>
        </w:rPr>
        <w:t>, zgodnie z wymaganiami art. 125 ust. 4 lit c) rozporządzenia ogólnego. Instytucje w systemie realizacji POIŚ będą prowadziły analizę ryzyka zgodnie z Wytycznymi KE do oceny ryzyka oraz skutecznych i proporcjonalnych działań przeciwdziałających oszustwom.</w:t>
      </w:r>
    </w:p>
    <w:p w14:paraId="20D6535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Szczegółowe zasady funkcjonowania systemu zarządzania, kontroli, monitoringu, ewaluacji, informacji i promocji, systemu IT przyjęte w programie wynikają z UP i właściwych przepisów rozporządzeń.</w:t>
      </w:r>
    </w:p>
    <w:p w14:paraId="59480C8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lang w:eastAsia="pl-PL"/>
        </w:rPr>
        <w:t>Punkt kontaktowy ds. pomocy publicznej</w:t>
      </w:r>
      <w:r w:rsidRPr="004E3242">
        <w:rPr>
          <w:rFonts w:ascii="Arial" w:eastAsia="Times New Roman" w:hAnsi="Arial" w:cs="Arial"/>
          <w:sz w:val="20"/>
          <w:szCs w:val="20"/>
          <w:lang w:eastAsia="pl-PL"/>
        </w:rPr>
        <w:t xml:space="preserve">: ministerstwo obsługujące ministra właściwego ds. rozwoju </w:t>
      </w:r>
      <w:r w:rsidRPr="00665A8E">
        <w:rPr>
          <w:rFonts w:ascii="Arial" w:eastAsia="Times New Roman" w:hAnsi="Arial" w:cs="Arial"/>
          <w:sz w:val="20"/>
          <w:szCs w:val="20"/>
          <w:lang w:eastAsia="pl-PL"/>
        </w:rPr>
        <w:t>regionalnego (Wydział Prawny Departamentu Programów Infrastrukturalnych).</w:t>
      </w:r>
    </w:p>
    <w:p w14:paraId="3C16057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p>
    <w:p w14:paraId="33DC7F5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 xml:space="preserve">Partnerstwo </w:t>
      </w:r>
    </w:p>
    <w:p w14:paraId="2D0D458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Proces przygotowania programu prowadzony był w bezpośredniej współpracy </w:t>
      </w:r>
      <w:proofErr w:type="spellStart"/>
      <w:r w:rsidR="00887E60">
        <w:rPr>
          <w:rFonts w:ascii="Arial" w:eastAsia="Times New Roman" w:hAnsi="Arial" w:cs="Arial"/>
          <w:sz w:val="20"/>
          <w:szCs w:val="20"/>
          <w:lang w:eastAsia="pl-PL"/>
        </w:rPr>
        <w:t>MIiR</w:t>
      </w:r>
      <w:proofErr w:type="spellEnd"/>
      <w:r w:rsidR="00887E60">
        <w:rPr>
          <w:rFonts w:ascii="Arial" w:eastAsia="Times New Roman" w:hAnsi="Arial" w:cs="Arial"/>
          <w:sz w:val="20"/>
          <w:szCs w:val="20"/>
          <w:lang w:eastAsia="pl-PL"/>
        </w:rPr>
        <w:t xml:space="preserve"> (MRR) </w:t>
      </w:r>
      <w:r w:rsidRPr="004E3242">
        <w:rPr>
          <w:rFonts w:ascii="Arial" w:eastAsia="Times New Roman" w:hAnsi="Arial" w:cs="Arial"/>
          <w:sz w:val="20"/>
          <w:szCs w:val="20"/>
          <w:lang w:eastAsia="pl-PL"/>
        </w:rPr>
        <w:t>z resortami odpowiedzialnymi za polityki sektorowe, które są objęte POIŚ.</w:t>
      </w:r>
    </w:p>
    <w:p w14:paraId="7130421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Stosownie do art. 5 ust. 1 rozporządzenia ogólnego, w przygotowanie programu zaangażowano szerokie grono partnerów i interesariuszy. Rezultatem debaty było uzyskanie opinii i uwag na temat kierunków wsparcia funduszy UE, co pozwoliło określić wizję rozwoju i dokonać wyborów </w:t>
      </w:r>
      <w:r w:rsidRPr="004E3242">
        <w:rPr>
          <w:rFonts w:ascii="Arial" w:eastAsia="Times New Roman" w:hAnsi="Arial" w:cs="Arial"/>
          <w:sz w:val="20"/>
          <w:szCs w:val="20"/>
          <w:lang w:eastAsia="pl-PL"/>
        </w:rPr>
        <w:br/>
        <w:t>o charakterze strategicznym.</w:t>
      </w:r>
    </w:p>
    <w:p w14:paraId="6364A9E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Cykl konsultacji był prowadzony poprzez: spotkania dedykowanej Grupy roboczej, konsultacje za pośrednictwem strony internetowej, konferencje konsultacyjne, konsultacje w ramach procedury strategicznej oceny oddziaływania na środowisko oraz inne formy.</w:t>
      </w:r>
    </w:p>
    <w:p w14:paraId="27D7B1D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u w:val="single"/>
          <w:lang w:eastAsia="pl-PL"/>
        </w:rPr>
        <w:t>Spotkania Grupy roboczej</w:t>
      </w:r>
    </w:p>
    <w:p w14:paraId="18CEE05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Zarządzeniem nr 4 z 11 lutego 2013 r. Minister Rozwoju Regionalnego powołał </w:t>
      </w:r>
      <w:r w:rsidRPr="004E3242">
        <w:rPr>
          <w:rFonts w:ascii="Arial" w:eastAsia="Times New Roman" w:hAnsi="Arial" w:cs="Arial"/>
          <w:i/>
          <w:iCs/>
          <w:sz w:val="20"/>
          <w:szCs w:val="20"/>
          <w:lang w:eastAsia="pl-PL"/>
        </w:rPr>
        <w:t xml:space="preserve">Grupę ds. wsparcia przygotowania programu operacyjnego dotyczącego gospodarki niskoemisyjnej, ochrony środowiska, przeciwdziałania i adaptacji do zmian klimatu, transportu i bezpieczeństwa energetycznego </w:t>
      </w:r>
      <w:r w:rsidRPr="004E3242">
        <w:rPr>
          <w:rFonts w:ascii="Arial" w:eastAsia="Times New Roman" w:hAnsi="Arial" w:cs="Arial"/>
          <w:i/>
          <w:iCs/>
          <w:sz w:val="20"/>
          <w:szCs w:val="20"/>
          <w:lang w:eastAsia="pl-PL"/>
        </w:rPr>
        <w:br/>
        <w:t>i koordynacji celów tematycznych 4. – 7.</w:t>
      </w:r>
      <w:r w:rsidRPr="004E3242">
        <w:rPr>
          <w:rFonts w:ascii="Arial" w:eastAsia="Times New Roman" w:hAnsi="Arial" w:cs="Arial"/>
          <w:sz w:val="20"/>
          <w:szCs w:val="20"/>
          <w:lang w:eastAsia="pl-PL"/>
        </w:rPr>
        <w:t xml:space="preserve"> Jednocześnie przyjęto, że podstawowymi kryteriami selekcji partnerów będą:</w:t>
      </w:r>
    </w:p>
    <w:p w14:paraId="53817C3D" w14:textId="77777777" w:rsidR="004E3242" w:rsidRPr="004E3242" w:rsidRDefault="004E3242" w:rsidP="00B345B6">
      <w:pPr>
        <w:numPr>
          <w:ilvl w:val="0"/>
          <w:numId w:val="7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status organizacji wchodzących w skład Grupy, odpowiadający trzem głównym kategoriom partnerów;</w:t>
      </w:r>
    </w:p>
    <w:p w14:paraId="29881C0F" w14:textId="77777777" w:rsidR="004E3242" w:rsidRPr="004E3242" w:rsidRDefault="004E3242" w:rsidP="00B345B6">
      <w:pPr>
        <w:numPr>
          <w:ilvl w:val="0"/>
          <w:numId w:val="7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tematyczny zakres działania, mając na uwadze cele i tematyczny zakres interwencji POIŚ;</w:t>
      </w:r>
    </w:p>
    <w:p w14:paraId="65A93481" w14:textId="77777777" w:rsidR="004E3242" w:rsidRPr="004E3242" w:rsidRDefault="004E3242" w:rsidP="00B345B6">
      <w:pPr>
        <w:numPr>
          <w:ilvl w:val="0"/>
          <w:numId w:val="7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ogólnopolski zakres działania, mając na uwadze krajowy charakter POIŚ;</w:t>
      </w:r>
    </w:p>
    <w:p w14:paraId="27501687" w14:textId="77777777" w:rsidR="004E3242" w:rsidRPr="004E3242" w:rsidRDefault="004E3242" w:rsidP="00B345B6">
      <w:pPr>
        <w:numPr>
          <w:ilvl w:val="0"/>
          <w:numId w:val="7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potencjał instytucjonalny partnerów, tj. ich wiedzę i doświadczenie dające gwarancję wysokiej jakości wkładu merytorycznego. Wzięto pod uwagę również fakt dotychczasowej współpracy w ramach Komitetu Monitorującego POIŚ 2007-2013;</w:t>
      </w:r>
    </w:p>
    <w:p w14:paraId="467CEE77" w14:textId="77777777" w:rsidR="004E3242" w:rsidRPr="004E3242" w:rsidRDefault="004E3242" w:rsidP="00B345B6">
      <w:pPr>
        <w:numPr>
          <w:ilvl w:val="0"/>
          <w:numId w:val="71"/>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cele Grupy roboczej, która (oprócz prowadzenia prac przygotowawczych POIŚ) odpowiadała za szeroko koordynację CT 4.-7.</w:t>
      </w:r>
    </w:p>
    <w:p w14:paraId="41D538A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Kierując się ww. kryteriami, stworzona została lista parterów, obejmująca:</w:t>
      </w:r>
    </w:p>
    <w:p w14:paraId="2BEA3375" w14:textId="77777777" w:rsidR="004E3242" w:rsidRPr="004E3242" w:rsidRDefault="004E3242" w:rsidP="00B345B6">
      <w:pPr>
        <w:numPr>
          <w:ilvl w:val="0"/>
          <w:numId w:val="72"/>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reprezentantów strony rządowej (ministerstwa i inne instytucje publiczne właściwe ze względu na zakres programu) oraz samorządu terytorialnego, w tym zwłaszcza miast;</w:t>
      </w:r>
    </w:p>
    <w:p w14:paraId="52C4E778" w14:textId="77777777" w:rsidR="004E3242" w:rsidRPr="004E3242" w:rsidRDefault="004E3242" w:rsidP="00B345B6">
      <w:pPr>
        <w:numPr>
          <w:ilvl w:val="0"/>
          <w:numId w:val="72"/>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odpowiednie krajowe organizacje partnerów społecznych i gospodarczych, w szczególności główne organizacje przemysłowe i sektorowe;</w:t>
      </w:r>
    </w:p>
    <w:p w14:paraId="66F0C9DF" w14:textId="77777777" w:rsidR="004E3242" w:rsidRPr="004E3242" w:rsidRDefault="004E3242" w:rsidP="00B345B6">
      <w:pPr>
        <w:numPr>
          <w:ilvl w:val="0"/>
          <w:numId w:val="72"/>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instytucje społeczeństwa obywatelskiego, działające w obszarach związanych z planowaną interwencją funduszy oraz odpowiadające za promocję zasad horyzontalnych.</w:t>
      </w:r>
    </w:p>
    <w:p w14:paraId="3E7D63B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Lista partnerów uczestniczących w pracach Grupy stanowi załącznik do POIŚ.</w:t>
      </w:r>
    </w:p>
    <w:p w14:paraId="6B66B53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u w:val="single"/>
          <w:lang w:eastAsia="pl-PL"/>
        </w:rPr>
        <w:t>Konsultacje za pośrednictwem strony internetowej i konferencje konsultacyjne</w:t>
      </w:r>
    </w:p>
    <w:p w14:paraId="5E442F5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Konsultacje społeczne programu prowadzone były od 26 sierpnia do 25 września 2013 r. za pomocą formularza </w:t>
      </w:r>
      <w:r w:rsidRPr="004E3242">
        <w:rPr>
          <w:rFonts w:ascii="Arial" w:eastAsia="Times New Roman" w:hAnsi="Arial" w:cs="Arial"/>
          <w:i/>
          <w:iCs/>
          <w:sz w:val="20"/>
          <w:szCs w:val="20"/>
          <w:lang w:eastAsia="pl-PL"/>
        </w:rPr>
        <w:t>online,</w:t>
      </w:r>
      <w:r w:rsidRPr="004E3242">
        <w:rPr>
          <w:rFonts w:ascii="Arial" w:eastAsia="Times New Roman" w:hAnsi="Arial" w:cs="Arial"/>
          <w:sz w:val="20"/>
          <w:szCs w:val="20"/>
          <w:lang w:eastAsia="pl-PL"/>
        </w:rPr>
        <w:t xml:space="preserve"> dostępnego na stronie internetowej administrowanej przez MRR (obecnie </w:t>
      </w:r>
      <w:proofErr w:type="spellStart"/>
      <w:r w:rsidR="00F12DA2">
        <w:rPr>
          <w:rFonts w:ascii="Arial" w:eastAsia="Times New Roman" w:hAnsi="Arial" w:cs="Arial"/>
          <w:sz w:val="20"/>
          <w:szCs w:val="20"/>
          <w:lang w:eastAsia="pl-PL"/>
        </w:rPr>
        <w:t>MFiPR</w:t>
      </w:r>
      <w:proofErr w:type="spellEnd"/>
      <w:r w:rsidRPr="004E3242">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br/>
        <w:t xml:space="preserve">W konsultacjach mogli wziąć udział wszyscy zainteresowani, w tym osoby prywatne. Łącznie zostało zgłoszonych około 1100 uwag, których większość dotyczyła sektora energetyki, środowiska oraz transportu. Rozstrzygnięcia do zgłoszonych uwag były podejmowane w ramach uzgodnień pomiędzy MRR (obecnie </w:t>
      </w:r>
      <w:proofErr w:type="spellStart"/>
      <w:r w:rsidR="00D76E31">
        <w:rPr>
          <w:rFonts w:ascii="Arial" w:eastAsia="Times New Roman" w:hAnsi="Arial" w:cs="Arial"/>
          <w:sz w:val="20"/>
          <w:szCs w:val="20"/>
          <w:lang w:eastAsia="pl-PL"/>
        </w:rPr>
        <w:t>M</w:t>
      </w:r>
      <w:r w:rsidR="00F12DA2">
        <w:rPr>
          <w:rFonts w:ascii="Arial" w:eastAsia="Times New Roman" w:hAnsi="Arial" w:cs="Arial"/>
          <w:sz w:val="20"/>
          <w:szCs w:val="20"/>
          <w:lang w:eastAsia="pl-PL"/>
        </w:rPr>
        <w:t>FiP</w:t>
      </w:r>
      <w:r w:rsidR="00D76E31">
        <w:rPr>
          <w:rFonts w:ascii="Arial" w:eastAsia="Times New Roman" w:hAnsi="Arial" w:cs="Arial"/>
          <w:sz w:val="20"/>
          <w:szCs w:val="20"/>
          <w:lang w:eastAsia="pl-PL"/>
        </w:rPr>
        <w:t>R</w:t>
      </w:r>
      <w:proofErr w:type="spellEnd"/>
      <w:r w:rsidRPr="004E3242">
        <w:rPr>
          <w:rFonts w:ascii="Arial" w:eastAsia="Times New Roman" w:hAnsi="Arial" w:cs="Arial"/>
          <w:sz w:val="20"/>
          <w:szCs w:val="20"/>
          <w:lang w:eastAsia="pl-PL"/>
        </w:rPr>
        <w:t xml:space="preserve">) oraz resortami odpowiedzialnymi za poszczególne polityki sektorowe, bezpośrednio zaangażowanymi w przygotowanie projektu POIŚ. W prace zostali zaangażowani również zewnętrzni partnerzy, którzy prowadzili niezależną ekspercką ocenę POIŚ w zakresie ewaluacji </w:t>
      </w:r>
      <w:r w:rsidRPr="004E3242">
        <w:rPr>
          <w:rFonts w:ascii="Arial" w:eastAsia="Times New Roman" w:hAnsi="Arial" w:cs="Arial"/>
          <w:i/>
          <w:iCs/>
          <w:sz w:val="20"/>
          <w:szCs w:val="20"/>
          <w:lang w:eastAsia="pl-PL"/>
        </w:rPr>
        <w:t>ex-</w:t>
      </w:r>
      <w:proofErr w:type="spellStart"/>
      <w:r w:rsidRPr="004E3242">
        <w:rPr>
          <w:rFonts w:ascii="Arial" w:eastAsia="Times New Roman" w:hAnsi="Arial" w:cs="Arial"/>
          <w:i/>
          <w:iCs/>
          <w:sz w:val="20"/>
          <w:szCs w:val="20"/>
          <w:lang w:eastAsia="pl-PL"/>
        </w:rPr>
        <w:t>ante</w:t>
      </w:r>
      <w:proofErr w:type="spellEnd"/>
      <w:r w:rsidRPr="004E3242">
        <w:rPr>
          <w:rFonts w:ascii="Arial" w:eastAsia="Times New Roman" w:hAnsi="Arial" w:cs="Arial"/>
          <w:sz w:val="20"/>
          <w:szCs w:val="20"/>
          <w:lang w:eastAsia="pl-PL"/>
        </w:rPr>
        <w:t xml:space="preserve"> oraz strategicznej oceny oddziaływania na środowisko. W oparciu o zgłoszone </w:t>
      </w:r>
      <w:r w:rsidRPr="004E3242">
        <w:rPr>
          <w:rFonts w:ascii="Arial" w:eastAsia="Times New Roman" w:hAnsi="Arial" w:cs="Arial"/>
          <w:sz w:val="20"/>
          <w:szCs w:val="20"/>
          <w:lang w:eastAsia="pl-PL"/>
        </w:rPr>
        <w:br/>
        <w:t xml:space="preserve">w trakcie w konsultacji uwagi, projekt POIŚ został zmodyfikowany, wzięto też pod uwagę postulaty </w:t>
      </w:r>
      <w:r w:rsidRPr="004E3242">
        <w:rPr>
          <w:rFonts w:ascii="Arial" w:eastAsia="Times New Roman" w:hAnsi="Arial" w:cs="Arial"/>
          <w:sz w:val="20"/>
          <w:szCs w:val="20"/>
          <w:lang w:eastAsia="pl-PL"/>
        </w:rPr>
        <w:br/>
        <w:t xml:space="preserve">i uwagi, które zostały zgłoszone w terminie w innej niż </w:t>
      </w:r>
      <w:r w:rsidRPr="004E3242">
        <w:rPr>
          <w:rFonts w:ascii="Arial" w:eastAsia="Times New Roman" w:hAnsi="Arial" w:cs="Arial"/>
          <w:i/>
          <w:iCs/>
          <w:sz w:val="20"/>
          <w:szCs w:val="20"/>
          <w:lang w:eastAsia="pl-PL"/>
        </w:rPr>
        <w:t>online</w:t>
      </w:r>
      <w:r w:rsidRPr="004E3242">
        <w:rPr>
          <w:rFonts w:ascii="Arial" w:eastAsia="Times New Roman" w:hAnsi="Arial" w:cs="Arial"/>
          <w:sz w:val="20"/>
          <w:szCs w:val="20"/>
          <w:lang w:eastAsia="pl-PL"/>
        </w:rPr>
        <w:t xml:space="preserve"> formule (tj. w formie pisemnej bądź pocztą elektroniczną).</w:t>
      </w:r>
    </w:p>
    <w:p w14:paraId="78D812F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Elementem uzupełniającym były konferencje/spotkania konsultacyjne, w trakcie których prezentowano założenia POIŚ i umożliwiono przeprowadzenie dyskusji. Łącznie odbyły się trzy konferencje w:</w:t>
      </w:r>
    </w:p>
    <w:p w14:paraId="145C4DB9" w14:textId="77777777" w:rsidR="004E3242" w:rsidRPr="004E3242" w:rsidRDefault="004E3242" w:rsidP="00B345B6">
      <w:pPr>
        <w:numPr>
          <w:ilvl w:val="0"/>
          <w:numId w:val="73"/>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Warszawie 28 sierpnia 2013 r. (spotkanie inaugurujące);</w:t>
      </w:r>
    </w:p>
    <w:p w14:paraId="341E6A7B" w14:textId="77777777" w:rsidR="004E3242" w:rsidRPr="004E3242" w:rsidRDefault="004E3242" w:rsidP="00B345B6">
      <w:pPr>
        <w:numPr>
          <w:ilvl w:val="0"/>
          <w:numId w:val="73"/>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Poznaniu 18 września 2013 r. oraz</w:t>
      </w:r>
    </w:p>
    <w:p w14:paraId="0DE7B3F9" w14:textId="77777777" w:rsidR="004E3242" w:rsidRPr="004E3242" w:rsidRDefault="004E3242" w:rsidP="00B345B6">
      <w:pPr>
        <w:numPr>
          <w:ilvl w:val="0"/>
          <w:numId w:val="73"/>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Krakowie 4 października 2013 r. (spotkanie podsumowujące).</w:t>
      </w:r>
    </w:p>
    <w:p w14:paraId="0CF00F4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Do udziału w konferencji zostali zaproszeni: reprezentatywne grono partnerów społeczno-gospodarczych (w tym członkowie Grupy roboczej) i władz publicznych (w tym szczególny udział partnerów regionalnych). Dodatkowo za pośrednictwem strony internetowej w formule </w:t>
      </w:r>
      <w:r w:rsidRPr="004E3242">
        <w:rPr>
          <w:rFonts w:ascii="Arial" w:eastAsia="Times New Roman" w:hAnsi="Arial" w:cs="Arial"/>
          <w:i/>
          <w:iCs/>
          <w:sz w:val="20"/>
          <w:szCs w:val="20"/>
          <w:lang w:eastAsia="pl-PL"/>
        </w:rPr>
        <w:t>online</w:t>
      </w:r>
      <w:r w:rsidRPr="004E3242">
        <w:rPr>
          <w:rFonts w:ascii="Arial" w:eastAsia="Times New Roman" w:hAnsi="Arial" w:cs="Arial"/>
          <w:sz w:val="20"/>
          <w:szCs w:val="20"/>
          <w:lang w:eastAsia="pl-PL"/>
        </w:rPr>
        <w:t xml:space="preserve"> przyjmowane były zgłoszenia wszystkich zainteresowanych podmiotów (także osób prywatnych).</w:t>
      </w:r>
    </w:p>
    <w:p w14:paraId="7086FCF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Przebieg procesu konsultacji społecznych został opisany w </w:t>
      </w:r>
      <w:r w:rsidRPr="004E3242">
        <w:rPr>
          <w:rFonts w:ascii="Arial" w:eastAsia="Times New Roman" w:hAnsi="Arial" w:cs="Arial"/>
          <w:i/>
          <w:iCs/>
          <w:sz w:val="20"/>
          <w:szCs w:val="20"/>
          <w:lang w:eastAsia="pl-PL"/>
        </w:rPr>
        <w:t>Raporcie z konsultacji społecznych projektu Programu Operacyjnego Infrastruktura i Środowisko 2014-2020,</w:t>
      </w:r>
      <w:r w:rsidRPr="004E3242">
        <w:rPr>
          <w:rFonts w:ascii="Arial" w:eastAsia="Times New Roman" w:hAnsi="Arial" w:cs="Arial"/>
          <w:sz w:val="20"/>
          <w:szCs w:val="20"/>
          <w:lang w:eastAsia="pl-PL"/>
        </w:rPr>
        <w:t xml:space="preserve"> który został podany</w:t>
      </w:r>
      <w:r w:rsidR="00887E60">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 xml:space="preserve">do wiadomości publicznej na stronie internetowej administrowanej przez </w:t>
      </w:r>
      <w:proofErr w:type="spellStart"/>
      <w:r w:rsidR="00D76E31">
        <w:rPr>
          <w:rFonts w:ascii="Arial" w:eastAsia="Times New Roman" w:hAnsi="Arial" w:cs="Arial"/>
          <w:sz w:val="20"/>
          <w:szCs w:val="20"/>
          <w:lang w:eastAsia="pl-PL"/>
        </w:rPr>
        <w:t>M</w:t>
      </w:r>
      <w:r w:rsidR="00887E60">
        <w:rPr>
          <w:rFonts w:ascii="Arial" w:eastAsia="Times New Roman" w:hAnsi="Arial" w:cs="Arial"/>
          <w:sz w:val="20"/>
          <w:szCs w:val="20"/>
          <w:lang w:eastAsia="pl-PL"/>
        </w:rPr>
        <w:t>Ii</w:t>
      </w:r>
      <w:r w:rsidR="00D76E31">
        <w:rPr>
          <w:rFonts w:ascii="Arial" w:eastAsia="Times New Roman" w:hAnsi="Arial" w:cs="Arial"/>
          <w:sz w:val="20"/>
          <w:szCs w:val="20"/>
          <w:lang w:eastAsia="pl-PL"/>
        </w:rPr>
        <w:t>R</w:t>
      </w:r>
      <w:proofErr w:type="spellEnd"/>
      <w:r w:rsidRPr="004E3242">
        <w:rPr>
          <w:rFonts w:ascii="Arial" w:eastAsia="Times New Roman" w:hAnsi="Arial" w:cs="Arial"/>
          <w:sz w:val="20"/>
          <w:szCs w:val="20"/>
          <w:lang w:eastAsia="pl-PL"/>
        </w:rPr>
        <w:t xml:space="preserve">. Jednym z elementów </w:t>
      </w:r>
      <w:r w:rsidRPr="004E3242">
        <w:rPr>
          <w:rFonts w:ascii="Arial" w:eastAsia="Times New Roman" w:hAnsi="Arial" w:cs="Arial"/>
          <w:i/>
          <w:iCs/>
          <w:sz w:val="20"/>
          <w:szCs w:val="20"/>
          <w:lang w:eastAsia="pl-PL"/>
        </w:rPr>
        <w:t>Raportu</w:t>
      </w:r>
      <w:r w:rsidRPr="004E3242">
        <w:rPr>
          <w:rFonts w:ascii="Arial" w:eastAsia="Times New Roman" w:hAnsi="Arial" w:cs="Arial"/>
          <w:sz w:val="20"/>
          <w:szCs w:val="20"/>
          <w:lang w:eastAsia="pl-PL"/>
        </w:rPr>
        <w:t xml:space="preserve"> jest zestawienie wszystkich uwag zgłoszonych w toku konsultacji społecznych wraz </w:t>
      </w:r>
      <w:r w:rsidRPr="004E3242">
        <w:rPr>
          <w:rFonts w:ascii="Arial" w:eastAsia="Times New Roman" w:hAnsi="Arial" w:cs="Arial"/>
          <w:sz w:val="20"/>
          <w:szCs w:val="20"/>
          <w:lang w:eastAsia="pl-PL"/>
        </w:rPr>
        <w:br/>
        <w:t>z podjętym rozstrzygnięciem oraz uzasadnieniem.</w:t>
      </w:r>
    </w:p>
    <w:p w14:paraId="05A4933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u w:val="single"/>
          <w:lang w:eastAsia="pl-PL"/>
        </w:rPr>
        <w:t xml:space="preserve">Konsultacje w ramach procedury strategicznej oceny oddziaływania na środowisko </w:t>
      </w:r>
    </w:p>
    <w:p w14:paraId="15AF561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Zgodnie z wymaganiami ustawy z dnia 3 października 2008 r. </w:t>
      </w:r>
      <w:r w:rsidRPr="004E3242">
        <w:rPr>
          <w:rFonts w:ascii="Arial" w:eastAsia="Times New Roman" w:hAnsi="Arial" w:cs="Arial"/>
          <w:i/>
          <w:iCs/>
          <w:sz w:val="20"/>
          <w:szCs w:val="20"/>
          <w:lang w:eastAsia="pl-PL"/>
        </w:rPr>
        <w:t>o udostępnianiu informacji o środowisku i jego ochronie, udziale społeczeństwa w ochronie środowiska oraz o ocenach oddziaływania na środowisko</w:t>
      </w:r>
      <w:r w:rsidRPr="004E3242">
        <w:rPr>
          <w:rFonts w:ascii="Arial" w:eastAsia="Times New Roman" w:hAnsi="Arial" w:cs="Arial"/>
          <w:i/>
          <w:iCs/>
          <w:sz w:val="20"/>
          <w:szCs w:val="20"/>
          <w:vertAlign w:val="superscript"/>
          <w:lang w:eastAsia="pl-PL"/>
        </w:rPr>
        <w:footnoteReference w:id="111"/>
      </w:r>
      <w:r w:rsidRPr="004E3242">
        <w:rPr>
          <w:rFonts w:ascii="Arial" w:eastAsia="Times New Roman" w:hAnsi="Arial" w:cs="Arial"/>
          <w:sz w:val="20"/>
          <w:szCs w:val="20"/>
          <w:lang w:eastAsia="pl-PL"/>
        </w:rPr>
        <w:t xml:space="preserve"> (dalej: Ustawa </w:t>
      </w:r>
      <w:proofErr w:type="spellStart"/>
      <w:r w:rsidRPr="004E3242">
        <w:rPr>
          <w:rFonts w:ascii="Arial" w:eastAsia="Times New Roman" w:hAnsi="Arial" w:cs="Arial"/>
          <w:sz w:val="20"/>
          <w:szCs w:val="20"/>
          <w:lang w:eastAsia="pl-PL"/>
        </w:rPr>
        <w:t>ooś</w:t>
      </w:r>
      <w:proofErr w:type="spellEnd"/>
      <w:r w:rsidRPr="004E3242">
        <w:rPr>
          <w:rFonts w:ascii="Arial" w:eastAsia="Times New Roman" w:hAnsi="Arial" w:cs="Arial"/>
          <w:sz w:val="20"/>
          <w:szCs w:val="20"/>
          <w:lang w:eastAsia="pl-PL"/>
        </w:rPr>
        <w:t>) Ministerstwo Infrastruktury i Rozwoju</w:t>
      </w:r>
      <w:r w:rsidRPr="004E3242">
        <w:rPr>
          <w:rFonts w:ascii="Arial" w:eastAsia="Times New Roman" w:hAnsi="Arial" w:cs="Arial"/>
          <w:sz w:val="20"/>
          <w:szCs w:val="20"/>
          <w:vertAlign w:val="superscript"/>
          <w:lang w:eastAsia="pl-PL"/>
        </w:rPr>
        <w:footnoteReference w:id="112"/>
      </w:r>
      <w:r w:rsidRPr="004E3242">
        <w:rPr>
          <w:rFonts w:ascii="Arial" w:eastAsia="Times New Roman" w:hAnsi="Arial" w:cs="Arial"/>
          <w:sz w:val="20"/>
          <w:szCs w:val="20"/>
          <w:lang w:eastAsia="pl-PL"/>
        </w:rPr>
        <w:t xml:space="preserve"> przeprowadziło pełne postępowanie w sprawie strategicznej oceny oddziaływania na środowisko dla projektu POIŚ.</w:t>
      </w:r>
    </w:p>
    <w:p w14:paraId="0287101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Ocenie oddziaływania na środowisko poddany został projekt programu, który został wypracowany przy współpracy członków ww. Grupy roboczej, a następnie uzupełniony zgodnie z sugestiami </w:t>
      </w:r>
      <w:r w:rsidRPr="004E3242">
        <w:rPr>
          <w:rFonts w:ascii="Arial" w:eastAsia="Times New Roman" w:hAnsi="Arial" w:cs="Arial"/>
          <w:sz w:val="20"/>
          <w:szCs w:val="20"/>
          <w:lang w:eastAsia="pl-PL"/>
        </w:rPr>
        <w:br/>
      </w:r>
      <w:r w:rsidRPr="004E3242">
        <w:rPr>
          <w:rFonts w:ascii="Arial" w:eastAsia="Times New Roman" w:hAnsi="Arial" w:cs="Arial"/>
          <w:sz w:val="20"/>
          <w:szCs w:val="20"/>
          <w:lang w:eastAsia="pl-PL"/>
        </w:rPr>
        <w:lastRenderedPageBreak/>
        <w:t xml:space="preserve">i uwagami zgłoszonymi w toku szerokich konsultacji społecznych (w okresie od 26 sierpnia do </w:t>
      </w:r>
      <w:r w:rsidRPr="004E3242">
        <w:rPr>
          <w:rFonts w:ascii="Arial" w:eastAsia="Times New Roman" w:hAnsi="Arial" w:cs="Arial"/>
          <w:sz w:val="20"/>
          <w:szCs w:val="20"/>
          <w:lang w:eastAsia="pl-PL"/>
        </w:rPr>
        <w:br/>
        <w:t>25 września 2013 r.).</w:t>
      </w:r>
    </w:p>
    <w:p w14:paraId="12812AB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Jednym z głównych elementów ww. postępowania było opracowanie projektu </w:t>
      </w:r>
      <w:r w:rsidRPr="004E3242">
        <w:rPr>
          <w:rFonts w:ascii="Arial" w:eastAsia="Times New Roman" w:hAnsi="Arial" w:cs="Arial"/>
          <w:i/>
          <w:iCs/>
          <w:sz w:val="20"/>
          <w:szCs w:val="20"/>
          <w:lang w:eastAsia="pl-PL"/>
        </w:rPr>
        <w:t xml:space="preserve">Prognozy oddziaływania na środowisko dla projektu Programu Operacyjnego Infrastruktura i Środowisko 2014-2020 </w:t>
      </w:r>
      <w:r w:rsidRPr="004E3242">
        <w:rPr>
          <w:rFonts w:ascii="Arial" w:eastAsia="Times New Roman" w:hAnsi="Arial" w:cs="Arial"/>
          <w:sz w:val="20"/>
          <w:szCs w:val="20"/>
          <w:lang w:eastAsia="pl-PL"/>
        </w:rPr>
        <w:t>(dalej: Prognoza), który został przygotowany przez niezależnych ekspertów z firmy ATMOTERM S.A.</w:t>
      </w:r>
    </w:p>
    <w:p w14:paraId="005122C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Jeszcze przed przystąpieniem do opracowania Prognozy, dokonano uzgodnienia zakresu i stopnia szczegółowości ww. Prognozy z właściwymi Organami, tj. z: Generalnym Dyrektorem Ochrony Środowiska, Głównym Inspektorem Sanitarnym oraz Dyrektorami właściwych Urzędów Morskich </w:t>
      </w:r>
      <w:r w:rsidRPr="004E3242">
        <w:rPr>
          <w:rFonts w:ascii="Arial" w:eastAsia="Times New Roman" w:hAnsi="Arial" w:cs="Arial"/>
          <w:sz w:val="20"/>
          <w:szCs w:val="20"/>
          <w:lang w:eastAsia="pl-PL"/>
        </w:rPr>
        <w:br/>
        <w:t>(w Szczecinie, Słupsku i Gdyni).</w:t>
      </w:r>
    </w:p>
    <w:p w14:paraId="43AEEFE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Następnie przygotowany projekt Prognozy oddziaływania wraz projektem POIŚ zostały poddane szerokim konsultacjom społecznym. Konsultacje społeczne prowadzone były od 16 października do </w:t>
      </w:r>
      <w:r w:rsidRPr="004E3242">
        <w:rPr>
          <w:rFonts w:ascii="Arial" w:eastAsia="Times New Roman" w:hAnsi="Arial" w:cs="Arial"/>
          <w:sz w:val="20"/>
          <w:szCs w:val="20"/>
          <w:lang w:eastAsia="pl-PL"/>
        </w:rPr>
        <w:br/>
        <w:t>7 listopada 2013 r. przede wszystkim za pośrednictwem stron internetowych, administrowanych przez Ministerstwo Rozwoju Regionalnego (</w:t>
      </w:r>
      <w:r w:rsidR="00887E60">
        <w:rPr>
          <w:rFonts w:ascii="Arial" w:eastAsia="Times New Roman" w:hAnsi="Arial" w:cs="Arial"/>
          <w:sz w:val="20"/>
          <w:szCs w:val="20"/>
          <w:lang w:eastAsia="pl-PL"/>
        </w:rPr>
        <w:t xml:space="preserve">obecnie </w:t>
      </w:r>
      <w:proofErr w:type="spellStart"/>
      <w:r w:rsidR="00887E60">
        <w:rPr>
          <w:rFonts w:ascii="Arial" w:eastAsia="Times New Roman" w:hAnsi="Arial" w:cs="Arial"/>
          <w:sz w:val="20"/>
          <w:szCs w:val="20"/>
          <w:lang w:eastAsia="pl-PL"/>
        </w:rPr>
        <w:t>M</w:t>
      </w:r>
      <w:r w:rsidR="00F12DA2">
        <w:rPr>
          <w:rFonts w:ascii="Arial" w:eastAsia="Times New Roman" w:hAnsi="Arial" w:cs="Arial"/>
          <w:sz w:val="20"/>
          <w:szCs w:val="20"/>
          <w:lang w:eastAsia="pl-PL"/>
        </w:rPr>
        <w:t>F</w:t>
      </w:r>
      <w:r w:rsidR="00887E60">
        <w:rPr>
          <w:rFonts w:ascii="Arial" w:eastAsia="Times New Roman" w:hAnsi="Arial" w:cs="Arial"/>
          <w:sz w:val="20"/>
          <w:szCs w:val="20"/>
          <w:lang w:eastAsia="pl-PL"/>
        </w:rPr>
        <w:t>i</w:t>
      </w:r>
      <w:r w:rsidR="00F12DA2">
        <w:rPr>
          <w:rFonts w:ascii="Arial" w:eastAsia="Times New Roman" w:hAnsi="Arial" w:cs="Arial"/>
          <w:sz w:val="20"/>
          <w:szCs w:val="20"/>
          <w:lang w:eastAsia="pl-PL"/>
        </w:rPr>
        <w:t>P</w:t>
      </w:r>
      <w:r w:rsidR="00887E60">
        <w:rPr>
          <w:rFonts w:ascii="Arial" w:eastAsia="Times New Roman" w:hAnsi="Arial" w:cs="Arial"/>
          <w:sz w:val="20"/>
          <w:szCs w:val="20"/>
          <w:lang w:eastAsia="pl-PL"/>
        </w:rPr>
        <w:t>R</w:t>
      </w:r>
      <w:proofErr w:type="spellEnd"/>
      <w:r w:rsidRPr="004E3242">
        <w:rPr>
          <w:rFonts w:ascii="Arial" w:eastAsia="Times New Roman" w:hAnsi="Arial" w:cs="Arial"/>
          <w:sz w:val="20"/>
          <w:szCs w:val="20"/>
          <w:lang w:eastAsia="pl-PL"/>
        </w:rPr>
        <w:t>). Dodatkowo ogłoszenie o konsultacjach zostało umieszczone w prasie o zasięgu ogólnopolskim.</w:t>
      </w:r>
    </w:p>
    <w:p w14:paraId="2937183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Zainteresowani udziałem w konsultacjach mogli zapoznać się z projektami dokumentów, które zostały umieszczone na stronach internetowych: www.pois.gov.pl/ oraz http://bip.mrr.gov.pl/. Dodatkowo dokumentacja w wersji papierowej została wyłożona do wglądu w siedzibie </w:t>
      </w:r>
      <w:proofErr w:type="spellStart"/>
      <w:r w:rsidR="0098748F">
        <w:rPr>
          <w:rFonts w:ascii="Arial" w:eastAsia="Times New Roman" w:hAnsi="Arial" w:cs="Arial"/>
          <w:sz w:val="20"/>
          <w:szCs w:val="20"/>
          <w:lang w:eastAsia="pl-PL"/>
        </w:rPr>
        <w:t>MIiR</w:t>
      </w:r>
      <w:proofErr w:type="spellEnd"/>
      <w:r w:rsidRPr="004E3242">
        <w:rPr>
          <w:rFonts w:ascii="Arial" w:eastAsia="Times New Roman" w:hAnsi="Arial" w:cs="Arial"/>
          <w:sz w:val="20"/>
          <w:szCs w:val="20"/>
          <w:lang w:eastAsia="pl-PL"/>
        </w:rPr>
        <w:t>. Uwagi i opinie można było składać na dedykowanym formularzu elektronicznym (zamieszczonym na ww. stronach internetowych oraz dostępnym w siedzibie urzędu) w formie: pisemnej (za pośrednictwem poczty), drogą elektroniczną (pois.2014-2020@mrr.gov.pl) lub ustnie do protokołu (w siedzibie urzędu). Jednocześnie, aby umożliwić jak najszerszy dostęp opinii publicznej założenia dokumentu zostały zaprezentowane przez Wykonawcę w dniu 21 października 2013 r. na odrębnej konferencji w Łodzi, która w całości była poświęcona Prognozie.</w:t>
      </w:r>
    </w:p>
    <w:p w14:paraId="41A8B1E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Równolegle z konsultacjami społecznymi dokumenty, zgodnie z wymaganiami ustawowymi, zostały przesłane do zaopiniowania właściwym organom (tj. Generalnemu Dyrektorowi Ochrony Środowiska, GIS i urzędom morskim).</w:t>
      </w:r>
    </w:p>
    <w:p w14:paraId="7FBE908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Sprawozdanie z przebiegu strategicznej oceny oddziaływania jest przedmiotem publikowanego pisemnego podsumowania (o którym mowa w art. 55 ustawy </w:t>
      </w:r>
      <w:proofErr w:type="spellStart"/>
      <w:r w:rsidRPr="004E3242">
        <w:rPr>
          <w:rFonts w:ascii="Arial" w:eastAsia="Times New Roman" w:hAnsi="Arial" w:cs="Arial"/>
          <w:sz w:val="20"/>
          <w:szCs w:val="20"/>
          <w:lang w:eastAsia="pl-PL"/>
        </w:rPr>
        <w:t>ooś</w:t>
      </w:r>
      <w:proofErr w:type="spellEnd"/>
      <w:r w:rsidRPr="004E3242">
        <w:rPr>
          <w:rFonts w:ascii="Arial" w:eastAsia="Times New Roman" w:hAnsi="Arial" w:cs="Arial"/>
          <w:sz w:val="20"/>
          <w:szCs w:val="20"/>
          <w:lang w:eastAsia="pl-PL"/>
        </w:rPr>
        <w:t xml:space="preserve">). Jednym z elementów podsumowania jest zestawienie uwag zgłoszonych w toku konsultacji społecznych wraz </w:t>
      </w:r>
      <w:r w:rsidRPr="004E3242">
        <w:rPr>
          <w:rFonts w:ascii="Arial" w:eastAsia="Times New Roman" w:hAnsi="Arial" w:cs="Arial"/>
          <w:sz w:val="20"/>
          <w:szCs w:val="20"/>
          <w:lang w:eastAsia="pl-PL"/>
        </w:rPr>
        <w:br/>
        <w:t>z rozstrzygnięciem oraz uzasadnieniem.</w:t>
      </w:r>
    </w:p>
    <w:p w14:paraId="4CBCB86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u w:val="single"/>
          <w:lang w:eastAsia="pl-PL"/>
        </w:rPr>
        <w:t xml:space="preserve">Najważniejsze postulaty i uwagi </w:t>
      </w:r>
    </w:p>
    <w:p w14:paraId="7EFA59F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Ze względu na strukturę partnerów uczestniczących w przygotowaniu POIŚ, reprezentujących różne interesy, zgłaszane postulaty był zróżnicowane. W każdym przypadku instytucje zaangażowane </w:t>
      </w:r>
      <w:r w:rsidRPr="004E3242">
        <w:rPr>
          <w:rFonts w:ascii="Arial" w:eastAsia="Times New Roman" w:hAnsi="Arial" w:cs="Arial"/>
          <w:sz w:val="20"/>
          <w:szCs w:val="20"/>
          <w:lang w:eastAsia="pl-PL"/>
        </w:rPr>
        <w:br/>
        <w:t>w proces przygotowania podejmowały wysiłki na rzecz optymalnego rozwiązania.</w:t>
      </w:r>
    </w:p>
    <w:p w14:paraId="65598AA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Statystycznie główne zgłaszane uwagi dotyczyły zakresu rzeczowego (najczęściej rozszerzenie bądź uszczegółowienie planowanego zakresu interwencji), katalogu potencjalnych beneficjentów, wielkości alokacji UE, wykazu dużych projektów (zasadniczo rozszerzenie wykazu o projekty interesariuszy), były również postulaty modyfikacji miar wykonania rzeczowego.</w:t>
      </w:r>
    </w:p>
    <w:p w14:paraId="37291EA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Znaczna część postulatów została przyjęta do uwzględnienia na poziomie krajowego dokumentu uszczegóławiającego POIŚ. Jednym z najbardziej istotnych postulatów było podniesienie alokacji na działania związane ze zmianami klimatu oraz gospodarką niskoemisyjną. Ponadto uelastyczniono katalog beneficjentów w obszarze efektywności energetycznej, służąc realizacji jednego z celów Strategii Europa 2020. W obszarze sektora transport umożliwiono (obok zarządcy krajowego) wsparcie jednostek samorządu terytorialnego na budowę dróg krajowych wyprowadzających ruch z miast, co przyczyni się do obniżenia emisji CO</w:t>
      </w:r>
      <w:r w:rsidRPr="00B345B6">
        <w:rPr>
          <w:rFonts w:ascii="Arial" w:eastAsia="Times New Roman" w:hAnsi="Arial" w:cs="Arial"/>
          <w:sz w:val="20"/>
          <w:szCs w:val="20"/>
          <w:vertAlign w:val="subscript"/>
          <w:lang w:eastAsia="pl-PL"/>
        </w:rPr>
        <w:t>2</w:t>
      </w:r>
      <w:r w:rsidRPr="004E3242">
        <w:rPr>
          <w:rFonts w:ascii="Arial" w:eastAsia="Times New Roman" w:hAnsi="Arial" w:cs="Arial"/>
          <w:sz w:val="20"/>
          <w:szCs w:val="20"/>
          <w:lang w:eastAsia="pl-PL"/>
        </w:rPr>
        <w:t>. Na uwagę zasługują też zmiany eksponujące wymóg zapewnienia zgodności z prawodawstwem unijnym (np. w obszarze gospodarowania wodą).</w:t>
      </w:r>
    </w:p>
    <w:p w14:paraId="3F8AD64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u w:val="single"/>
          <w:lang w:eastAsia="pl-PL"/>
        </w:rPr>
        <w:t>Informacja i promocja</w:t>
      </w:r>
    </w:p>
    <w:p w14:paraId="4C4B05D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Podejmowane działania informacyjno-promocyjne w zakresie POIŚ skupiały się na przekazywaniu informacji dotyczących samego dokumentu, a także procesu jego konsultacji poprzez ogłoszenia </w:t>
      </w:r>
      <w:r w:rsidRPr="004E3242">
        <w:rPr>
          <w:rFonts w:ascii="Arial" w:eastAsia="Times New Roman" w:hAnsi="Arial" w:cs="Arial"/>
          <w:sz w:val="20"/>
          <w:szCs w:val="20"/>
          <w:lang w:eastAsia="pl-PL"/>
        </w:rPr>
        <w:br/>
        <w:t>w prasie ogólnopolskiej i za pośrednictwem strony internetowej www.mrr.gov.pl. W dniu 19 sierpnia 2013 r. w Dzienniku Gazeta Prawna i na www.gazetaprawna.pl/komunikaty ukazało się ogłoszenie informujące o rozpoczęciu konsultacji społecznych wraz z terminami i miejscem konferencji.</w:t>
      </w:r>
    </w:p>
    <w:p w14:paraId="752BA46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Na potrzeby konsultacji wydrukowano i udostępniono szereg materiałów, zarówno informacyjnych, jak i promocyjnych. Dodatkowo informacje o spotkaniach i konsultowanym dokumencie dostępne były na stronie internetowej MRR (obecnie </w:t>
      </w:r>
      <w:proofErr w:type="spellStart"/>
      <w:r w:rsidR="0098748F">
        <w:rPr>
          <w:rFonts w:ascii="Arial" w:eastAsia="Times New Roman" w:hAnsi="Arial" w:cs="Arial"/>
          <w:sz w:val="20"/>
          <w:szCs w:val="20"/>
          <w:lang w:eastAsia="pl-PL"/>
        </w:rPr>
        <w:t>M</w:t>
      </w:r>
      <w:r w:rsidR="00F12DA2">
        <w:rPr>
          <w:rFonts w:ascii="Arial" w:eastAsia="Times New Roman" w:hAnsi="Arial" w:cs="Arial"/>
          <w:sz w:val="20"/>
          <w:szCs w:val="20"/>
          <w:lang w:eastAsia="pl-PL"/>
        </w:rPr>
        <w:t>F</w:t>
      </w:r>
      <w:r w:rsidR="0098748F">
        <w:rPr>
          <w:rFonts w:ascii="Arial" w:eastAsia="Times New Roman" w:hAnsi="Arial" w:cs="Arial"/>
          <w:sz w:val="20"/>
          <w:szCs w:val="20"/>
          <w:lang w:eastAsia="pl-PL"/>
        </w:rPr>
        <w:t>i</w:t>
      </w:r>
      <w:r w:rsidR="00F12DA2">
        <w:rPr>
          <w:rFonts w:ascii="Arial" w:eastAsia="Times New Roman" w:hAnsi="Arial" w:cs="Arial"/>
          <w:sz w:val="20"/>
          <w:szCs w:val="20"/>
          <w:lang w:eastAsia="pl-PL"/>
        </w:rPr>
        <w:t>P</w:t>
      </w:r>
      <w:r w:rsidR="0098748F">
        <w:rPr>
          <w:rFonts w:ascii="Arial" w:eastAsia="Times New Roman" w:hAnsi="Arial" w:cs="Arial"/>
          <w:sz w:val="20"/>
          <w:szCs w:val="20"/>
          <w:lang w:eastAsia="pl-PL"/>
        </w:rPr>
        <w:t>R</w:t>
      </w:r>
      <w:proofErr w:type="spellEnd"/>
      <w:r w:rsidRPr="004E3242">
        <w:rPr>
          <w:rFonts w:ascii="Arial" w:eastAsia="Times New Roman" w:hAnsi="Arial" w:cs="Arial"/>
          <w:sz w:val="20"/>
          <w:szCs w:val="20"/>
          <w:lang w:eastAsia="pl-PL"/>
        </w:rPr>
        <w:t>). Oprócz zamieszczenia na stronach internetowych wersji elektronicznej POIŚ przygotowano i dystrybuowano broszury informacyjne o założeniach programu. Broszury były rozdawane podczas konferencji konsultacyjnych.</w:t>
      </w:r>
    </w:p>
    <w:p w14:paraId="264DFB9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u w:val="single"/>
          <w:lang w:eastAsia="pl-PL"/>
        </w:rPr>
        <w:t>Partnerstwo na etapie wdrażania, monitorowania i ewaluacji</w:t>
      </w:r>
    </w:p>
    <w:p w14:paraId="18B9044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Podstawą realizacji zasady partnerstwa na etapie wdrażania jest Komitet Monitorujący POIŚ, w skład którego (obok przedstawicieli strony rządowej) wejdą też przedstawiciele organizacji pozarządowych, środowiska naukowego, pracowników i pracodawców. Zostanie zapewniony odpowiedni parytet liczbowy poszczególnych grup.</w:t>
      </w:r>
      <w:r w:rsidR="006C7649">
        <w:rPr>
          <w:rFonts w:ascii="Arial" w:eastAsia="Times New Roman" w:hAnsi="Arial" w:cs="Arial"/>
          <w:sz w:val="20"/>
          <w:szCs w:val="20"/>
          <w:lang w:eastAsia="pl-PL"/>
        </w:rPr>
        <w:t xml:space="preserve"> </w:t>
      </w:r>
      <w:r w:rsidR="00EA4E4F">
        <w:rPr>
          <w:rFonts w:ascii="Arial" w:eastAsia="Times New Roman" w:hAnsi="Arial" w:cs="Arial"/>
          <w:sz w:val="20"/>
          <w:szCs w:val="20"/>
          <w:lang w:eastAsia="pl-PL"/>
        </w:rPr>
        <w:t xml:space="preserve">  </w:t>
      </w:r>
      <w:r w:rsidR="00F24566" w:rsidRPr="00F24566">
        <w:rPr>
          <w:rFonts w:ascii="Arial" w:eastAsia="Times New Roman" w:hAnsi="Arial" w:cs="Arial"/>
          <w:sz w:val="20"/>
          <w:szCs w:val="20"/>
          <w:lang w:eastAsia="pl-PL"/>
        </w:rPr>
        <w:t xml:space="preserve">Proces angażowania strony partnerów jest prowadzony sukcesywnie, przejawem czego było m.in. rozszerzenie składu KM </w:t>
      </w:r>
      <w:proofErr w:type="spellStart"/>
      <w:r w:rsidR="00F24566" w:rsidRPr="00F24566">
        <w:rPr>
          <w:rFonts w:ascii="Arial" w:eastAsia="Times New Roman" w:hAnsi="Arial" w:cs="Arial"/>
          <w:sz w:val="20"/>
          <w:szCs w:val="20"/>
          <w:lang w:eastAsia="pl-PL"/>
        </w:rPr>
        <w:t>POIiŚ</w:t>
      </w:r>
      <w:proofErr w:type="spellEnd"/>
      <w:r w:rsidR="00F24566" w:rsidRPr="00F24566">
        <w:rPr>
          <w:rFonts w:ascii="Arial" w:eastAsia="Times New Roman" w:hAnsi="Arial" w:cs="Arial"/>
          <w:sz w:val="20"/>
          <w:szCs w:val="20"/>
          <w:lang w:eastAsia="pl-PL"/>
        </w:rPr>
        <w:t xml:space="preserve"> o przedstawiciela ministra właściwego ds. gospodarki morskiej i żeglugi śródlądowej.</w:t>
      </w:r>
      <w:r w:rsidR="00EA4E4F">
        <w:rPr>
          <w:rFonts w:ascii="Arial" w:eastAsia="Times New Roman" w:hAnsi="Arial" w:cs="Arial"/>
          <w:sz w:val="20"/>
          <w:szCs w:val="20"/>
          <w:lang w:eastAsia="pl-PL"/>
        </w:rPr>
        <w:t xml:space="preserve">                                                 </w:t>
      </w:r>
    </w:p>
    <w:p w14:paraId="0CE500E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toku planowanych ewaluacji przewiduje się również stymulowanie aktywnego udziału partnerów właściwych dla podejmowanych zagadnień badawczych w prowadzonych działaniach ewaluacyjnych.</w:t>
      </w:r>
      <w:bookmarkEnd w:id="655"/>
      <w:bookmarkEnd w:id="656"/>
    </w:p>
    <w:p w14:paraId="485FE50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br w:type="page"/>
      </w:r>
    </w:p>
    <w:p w14:paraId="21E2DC5F"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hAnsi="Arial" w:cs="Arial"/>
          <w:bCs/>
          <w:smallCaps/>
          <w:color w:val="000000"/>
          <w:spacing w:val="4"/>
          <w:sz w:val="20"/>
          <w:szCs w:val="20"/>
          <w:lang w:eastAsia="pl-PL"/>
        </w:rPr>
      </w:pPr>
      <w:bookmarkStart w:id="657" w:name="_Toc83810593"/>
      <w:r w:rsidRPr="004E3242">
        <w:rPr>
          <w:rFonts w:ascii="Arial" w:eastAsia="Times New Roman" w:hAnsi="Arial"/>
          <w:bCs/>
          <w:smallCaps/>
          <w:color w:val="000000"/>
          <w:spacing w:val="15"/>
          <w:sz w:val="28"/>
          <w:lang w:eastAsia="pl-PL"/>
        </w:rPr>
        <w:lastRenderedPageBreak/>
        <w:t xml:space="preserve">Koordynacja między funduszami polityki spójności, </w:t>
      </w:r>
      <w:proofErr w:type="spellStart"/>
      <w:r w:rsidRPr="004E3242">
        <w:rPr>
          <w:rFonts w:ascii="Arial" w:eastAsia="Times New Roman" w:hAnsi="Arial"/>
          <w:bCs/>
          <w:smallCaps/>
          <w:color w:val="000000"/>
          <w:spacing w:val="15"/>
          <w:sz w:val="28"/>
          <w:lang w:eastAsia="pl-PL"/>
        </w:rPr>
        <w:t>efrrow</w:t>
      </w:r>
      <w:proofErr w:type="spellEnd"/>
      <w:r w:rsidRPr="004E3242">
        <w:rPr>
          <w:rFonts w:ascii="Arial" w:eastAsia="Times New Roman" w:hAnsi="Arial"/>
          <w:bCs/>
          <w:smallCaps/>
          <w:color w:val="000000"/>
          <w:spacing w:val="15"/>
          <w:sz w:val="28"/>
          <w:lang w:eastAsia="pl-PL"/>
        </w:rPr>
        <w:t xml:space="preserve">, </w:t>
      </w:r>
      <w:proofErr w:type="spellStart"/>
      <w:r w:rsidRPr="004E3242">
        <w:rPr>
          <w:rFonts w:ascii="Arial" w:eastAsia="Times New Roman" w:hAnsi="Arial"/>
          <w:bCs/>
          <w:smallCaps/>
          <w:color w:val="000000"/>
          <w:spacing w:val="15"/>
          <w:sz w:val="28"/>
          <w:lang w:eastAsia="pl-PL"/>
        </w:rPr>
        <w:t>efmr</w:t>
      </w:r>
      <w:proofErr w:type="spellEnd"/>
      <w:r w:rsidRPr="004E3242">
        <w:rPr>
          <w:rFonts w:ascii="Arial" w:eastAsia="Times New Roman" w:hAnsi="Arial"/>
          <w:bCs/>
          <w:smallCaps/>
          <w:color w:val="000000"/>
          <w:spacing w:val="15"/>
          <w:sz w:val="28"/>
          <w:lang w:eastAsia="pl-PL"/>
        </w:rPr>
        <w:t xml:space="preserve"> oraz innymi unijnymi i krajowymi instrumentami finansowania oraz </w:t>
      </w:r>
      <w:proofErr w:type="spellStart"/>
      <w:r w:rsidRPr="004E3242">
        <w:rPr>
          <w:rFonts w:ascii="Arial" w:eastAsia="Times New Roman" w:hAnsi="Arial"/>
          <w:bCs/>
          <w:smallCaps/>
          <w:color w:val="000000"/>
          <w:spacing w:val="15"/>
          <w:sz w:val="28"/>
          <w:lang w:eastAsia="pl-PL"/>
        </w:rPr>
        <w:t>ebi</w:t>
      </w:r>
      <w:bookmarkEnd w:id="657"/>
      <w:proofErr w:type="spellEnd"/>
    </w:p>
    <w:p w14:paraId="172CE847" w14:textId="77777777" w:rsidR="00090B8F" w:rsidRDefault="00090B8F" w:rsidP="004E3242">
      <w:pPr>
        <w:spacing w:after="120"/>
        <w:jc w:val="both"/>
        <w:rPr>
          <w:rFonts w:ascii="Arial" w:eastAsia="Times New Roman" w:hAnsi="Arial" w:cs="Arial"/>
          <w:sz w:val="20"/>
          <w:szCs w:val="20"/>
          <w:lang w:eastAsia="pl-PL"/>
        </w:rPr>
      </w:pPr>
      <w:bookmarkStart w:id="658" w:name="_Toc373503578"/>
      <w:bookmarkStart w:id="659" w:name="_Toc373769042"/>
      <w:bookmarkStart w:id="660" w:name="_Toc373769360"/>
      <w:r w:rsidRPr="00090B8F">
        <w:rPr>
          <w:rFonts w:ascii="Arial" w:eastAsia="Times New Roman" w:hAnsi="Arial" w:cs="Arial"/>
          <w:sz w:val="20"/>
          <w:szCs w:val="20"/>
          <w:lang w:eastAsia="pl-PL"/>
        </w:rPr>
        <w:t>System koordynacji został opisany szczegółowo w UP w Rozdziale 2.</w:t>
      </w:r>
    </w:p>
    <w:p w14:paraId="30D7B56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Obszary komplementarności programu z innymi źródłami wsparcia</w:t>
      </w:r>
    </w:p>
    <w:p w14:paraId="5E55E59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zakresie </w:t>
      </w:r>
      <w:r w:rsidRPr="004E3242">
        <w:rPr>
          <w:rFonts w:ascii="Arial" w:eastAsia="Times New Roman" w:hAnsi="Arial" w:cs="Arial"/>
          <w:b/>
          <w:bCs/>
          <w:sz w:val="20"/>
          <w:szCs w:val="20"/>
          <w:lang w:eastAsia="pl-PL"/>
        </w:rPr>
        <w:t>CT 4.</w:t>
      </w:r>
      <w:r w:rsidRPr="004E3242">
        <w:rPr>
          <w:rFonts w:ascii="Arial" w:eastAsia="Times New Roman" w:hAnsi="Arial" w:cs="Arial"/>
          <w:sz w:val="20"/>
          <w:szCs w:val="20"/>
          <w:lang w:eastAsia="pl-PL"/>
        </w:rPr>
        <w:t xml:space="preserve"> komplementarność wsparcia z EFSI z innymi instrumentami UE dotyczy instrumentów, które swoim zakresem obejmują kwestie gospodarki niskoemisyjnej, w tym odnawialnych źródeł energii, takich jak COSME i </w:t>
      </w:r>
      <w:r w:rsidRPr="004E3242">
        <w:rPr>
          <w:rFonts w:ascii="Arial" w:eastAsia="Times New Roman" w:hAnsi="Arial" w:cs="Arial"/>
          <w:i/>
          <w:iCs/>
          <w:sz w:val="20"/>
          <w:szCs w:val="20"/>
          <w:lang w:eastAsia="pl-PL"/>
        </w:rPr>
        <w:t>Program działań na rzecz środowiska i klimatu (LIFE)</w:t>
      </w:r>
      <w:r w:rsidRPr="004E3242">
        <w:rPr>
          <w:rFonts w:ascii="Arial" w:eastAsia="Times New Roman" w:hAnsi="Arial" w:cs="Arial"/>
          <w:sz w:val="20"/>
          <w:szCs w:val="20"/>
          <w:lang w:eastAsia="pl-PL"/>
        </w:rPr>
        <w:t xml:space="preserve"> w latach 2014-2020 (następca programu LIFE+). Głównym obszarem koordynacji pomiędzy CT 4. i LIFE jest wspieranie przejścia w kierunku gospodarki: </w:t>
      </w:r>
      <w:proofErr w:type="spellStart"/>
      <w:r w:rsidRPr="004E3242">
        <w:rPr>
          <w:rFonts w:ascii="Arial" w:eastAsia="Times New Roman" w:hAnsi="Arial" w:cs="Arial"/>
          <w:sz w:val="20"/>
          <w:szCs w:val="20"/>
          <w:lang w:eastAsia="pl-PL"/>
        </w:rPr>
        <w:t>zasobooszczędnej</w:t>
      </w:r>
      <w:proofErr w:type="spellEnd"/>
      <w:r w:rsidRPr="004E3242">
        <w:rPr>
          <w:rFonts w:ascii="Arial" w:eastAsia="Times New Roman" w:hAnsi="Arial" w:cs="Arial"/>
          <w:sz w:val="20"/>
          <w:szCs w:val="20"/>
          <w:lang w:eastAsia="pl-PL"/>
        </w:rPr>
        <w:t>, niskoemisyjnej, odpornej na zmiany klimatu. W przypadku instrumentu COSME, działania na rzecz poprawy warunków dla konkurencyjności i zrównoważonego rozwoju przedsiębiorstw będą wymagać koordynacji z działaniami objętymi PI 4.ii.</w:t>
      </w:r>
    </w:p>
    <w:p w14:paraId="205590C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zakresie </w:t>
      </w:r>
      <w:r w:rsidRPr="004E3242">
        <w:rPr>
          <w:rFonts w:ascii="Arial" w:eastAsia="Times New Roman" w:hAnsi="Arial" w:cs="Arial"/>
          <w:b/>
          <w:bCs/>
          <w:sz w:val="20"/>
          <w:szCs w:val="20"/>
          <w:lang w:eastAsia="pl-PL"/>
        </w:rPr>
        <w:t>CT 5.</w:t>
      </w:r>
      <w:r w:rsidRPr="004E3242">
        <w:rPr>
          <w:rFonts w:ascii="Arial" w:eastAsia="Times New Roman" w:hAnsi="Arial" w:cs="Arial"/>
          <w:sz w:val="20"/>
          <w:szCs w:val="20"/>
          <w:lang w:eastAsia="pl-PL"/>
        </w:rPr>
        <w:t xml:space="preserve"> i</w:t>
      </w:r>
      <w:r w:rsidRPr="004E3242">
        <w:rPr>
          <w:rFonts w:ascii="Arial" w:eastAsia="Times New Roman" w:hAnsi="Arial" w:cs="Arial"/>
          <w:b/>
          <w:bCs/>
          <w:sz w:val="20"/>
          <w:szCs w:val="20"/>
          <w:lang w:eastAsia="pl-PL"/>
        </w:rPr>
        <w:t xml:space="preserve"> CT 6.</w:t>
      </w:r>
      <w:r w:rsidRPr="004E3242">
        <w:rPr>
          <w:rFonts w:ascii="Arial" w:eastAsia="Times New Roman" w:hAnsi="Arial" w:cs="Arial"/>
          <w:i/>
          <w:iCs/>
          <w:sz w:val="20"/>
          <w:szCs w:val="20"/>
          <w:lang w:eastAsia="pl-PL"/>
        </w:rPr>
        <w:t xml:space="preserve">, </w:t>
      </w:r>
      <w:r w:rsidRPr="004E3242">
        <w:rPr>
          <w:rFonts w:ascii="Arial" w:eastAsia="Times New Roman" w:hAnsi="Arial" w:cs="Arial"/>
          <w:sz w:val="20"/>
          <w:szCs w:val="20"/>
          <w:lang w:eastAsia="pl-PL"/>
        </w:rPr>
        <w:t>podstawowym instrumentem zapewniającym komplementarność i synergię interwencji jest program LIFE. Nowy program LIFE przewiduje ustanowienie dwóch podprogramów: (1) podprogramu działań na rzecz środowiska (środowisko naturalne i efektywność zasobów, bioróżnorodność, zarządzanie i informacja w zakresie środowiska) i (2) podprogramu działań na rzecz klimatu (łagodzenie (redukcja CO2) i adaptacja do zmian klimatu, zarządzanie i informacja w zakresie klimatu). Program LIFE pełni rolę katalizatora we wspieraniu realizacji i włączaniu celów w zakresie środowiska i klimatu do innych polityk i praktyki państw członkowskich.</w:t>
      </w:r>
    </w:p>
    <w:p w14:paraId="0DA0ABC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w:t>
      </w:r>
      <w:r w:rsidRPr="004E3242">
        <w:rPr>
          <w:rFonts w:ascii="Arial" w:eastAsia="Times New Roman" w:hAnsi="Arial" w:cs="Arial"/>
          <w:b/>
          <w:bCs/>
          <w:sz w:val="20"/>
          <w:szCs w:val="20"/>
          <w:lang w:eastAsia="pl-PL"/>
        </w:rPr>
        <w:t>CT 7</w:t>
      </w:r>
      <w:r w:rsidRPr="004E3242">
        <w:rPr>
          <w:rFonts w:ascii="Arial" w:eastAsia="Times New Roman" w:hAnsi="Arial" w:cs="Arial"/>
          <w:sz w:val="20"/>
          <w:szCs w:val="20"/>
          <w:lang w:eastAsia="pl-PL"/>
        </w:rPr>
        <w:t xml:space="preserve">. podstawowym instrumentem, z którym należy zapewnić komplementarność i synergię interwencji jest CEF. Celami tego instrumentu jest poprawa kluczowej infrastruktury o znaczeniu europejskim, zwłaszcza transportowej oraz energetycznej. CEF będzie realizował następujące cele szczegółowe: usunięcie wąskich gardeł i uzupełnienie brakujących połączeń, zapewnienie zrównoważonego i efektywnego transportu w perspektywie długoterminowej, optymalizację integracji </w:t>
      </w:r>
      <w:r w:rsidRPr="004E3242">
        <w:rPr>
          <w:rFonts w:ascii="Arial" w:eastAsia="Times New Roman" w:hAnsi="Arial" w:cs="Arial"/>
          <w:sz w:val="20"/>
          <w:szCs w:val="20"/>
          <w:lang w:eastAsia="pl-PL"/>
        </w:rPr>
        <w:br/>
        <w:t>i wzajemnych połączeń poszczególnych rodzajów transportu oraz poprawa interoperacyjności, bezpieczeństwa i ochrony usług transportowych oraz (w zakresie energetyki) usuwanie wąskich gardeł w sieci i zapewnienie lepszych połączeń energetycznych pomiędzy państwami (</w:t>
      </w:r>
      <w:proofErr w:type="spellStart"/>
      <w:r w:rsidRPr="004E3242">
        <w:rPr>
          <w:rFonts w:ascii="Arial" w:eastAsia="Times New Roman" w:hAnsi="Arial" w:cs="Arial"/>
          <w:sz w:val="20"/>
          <w:szCs w:val="20"/>
          <w:lang w:eastAsia="pl-PL"/>
        </w:rPr>
        <w:t>interkonektory</w:t>
      </w:r>
      <w:proofErr w:type="spellEnd"/>
      <w:r w:rsidRPr="004E3242">
        <w:rPr>
          <w:rFonts w:ascii="Arial" w:eastAsia="Times New Roman" w:hAnsi="Arial" w:cs="Arial"/>
          <w:sz w:val="20"/>
          <w:szCs w:val="20"/>
          <w:lang w:eastAsia="pl-PL"/>
        </w:rPr>
        <w:t>). Realizowane projekty będą przyczyniać się do poprawy bezpieczeństwa dostaw.</w:t>
      </w:r>
      <w:r w:rsidRPr="004E3242">
        <w:rPr>
          <w:rFonts w:ascii="Arial" w:eastAsia="Times New Roman" w:hAnsi="Arial" w:cs="Arial"/>
          <w:sz w:val="20"/>
          <w:szCs w:val="20"/>
          <w:vertAlign w:val="superscript"/>
          <w:lang w:eastAsia="pl-PL"/>
        </w:rPr>
        <w:footnoteReference w:id="113"/>
      </w:r>
    </w:p>
    <w:p w14:paraId="67EA46E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w:t>
      </w:r>
      <w:r w:rsidRPr="004E3242">
        <w:rPr>
          <w:rFonts w:ascii="Arial" w:eastAsia="Times New Roman" w:hAnsi="Arial" w:cs="Arial"/>
          <w:b/>
          <w:bCs/>
          <w:sz w:val="20"/>
          <w:szCs w:val="20"/>
          <w:lang w:eastAsia="pl-PL"/>
        </w:rPr>
        <w:t>CT 9.</w:t>
      </w:r>
      <w:r w:rsidRPr="004E3242">
        <w:rPr>
          <w:rFonts w:ascii="Arial" w:eastAsia="Times New Roman" w:hAnsi="Arial" w:cs="Arial"/>
          <w:sz w:val="20"/>
          <w:szCs w:val="20"/>
          <w:lang w:eastAsia="pl-PL"/>
        </w:rPr>
        <w:t xml:space="preserve"> podstawowym narzędziem koordynacji wsparcia z interwencją innych programów operacyjnych krajowych (w tym </w:t>
      </w:r>
      <w:r w:rsidRPr="004E3242">
        <w:rPr>
          <w:rFonts w:ascii="Arial" w:eastAsia="Times New Roman" w:hAnsi="Arial" w:cs="Arial"/>
          <w:i/>
          <w:iCs/>
          <w:sz w:val="20"/>
          <w:szCs w:val="20"/>
          <w:lang w:eastAsia="pl-PL"/>
        </w:rPr>
        <w:t>PO Polska Cyfrowa</w:t>
      </w:r>
      <w:r w:rsidRPr="004E3242">
        <w:rPr>
          <w:rFonts w:ascii="Arial" w:eastAsia="Times New Roman" w:hAnsi="Arial" w:cs="Arial"/>
          <w:sz w:val="20"/>
          <w:szCs w:val="20"/>
          <w:lang w:eastAsia="pl-PL"/>
        </w:rPr>
        <w:t xml:space="preserve"> oraz </w:t>
      </w:r>
      <w:r w:rsidRPr="004E3242">
        <w:rPr>
          <w:rFonts w:ascii="Arial" w:eastAsia="Times New Roman" w:hAnsi="Arial" w:cs="Arial"/>
          <w:i/>
          <w:iCs/>
          <w:sz w:val="20"/>
          <w:szCs w:val="20"/>
          <w:lang w:eastAsia="pl-PL"/>
        </w:rPr>
        <w:t xml:space="preserve">PO Wiedza, Edukacja, Rozwój) </w:t>
      </w:r>
      <w:r w:rsidRPr="004E3242">
        <w:rPr>
          <w:rFonts w:ascii="Arial" w:eastAsia="Times New Roman" w:hAnsi="Arial" w:cs="Arial"/>
          <w:sz w:val="20"/>
          <w:szCs w:val="20"/>
          <w:lang w:eastAsia="pl-PL"/>
        </w:rPr>
        <w:t xml:space="preserve">oraz regionalnych jest </w:t>
      </w:r>
      <w:r w:rsidRPr="004E3242">
        <w:rPr>
          <w:rFonts w:ascii="Arial" w:eastAsia="Times New Roman" w:hAnsi="Arial" w:cs="Arial"/>
          <w:i/>
          <w:iCs/>
          <w:sz w:val="20"/>
          <w:szCs w:val="20"/>
          <w:lang w:eastAsia="pl-PL"/>
        </w:rPr>
        <w:t>Plan działań w sektorze zdrowia</w:t>
      </w:r>
      <w:r w:rsidRPr="004E3242">
        <w:rPr>
          <w:rFonts w:ascii="Arial" w:eastAsia="Times New Roman" w:hAnsi="Arial" w:cs="Arial"/>
          <w:sz w:val="20"/>
          <w:szCs w:val="20"/>
          <w:lang w:eastAsia="pl-PL"/>
        </w:rPr>
        <w:t>. Celem koordynacji z ww. dokumentami jest poprawa efektywności wsparcia (wskutek wykorzystania efektów synergicznych</w:t>
      </w:r>
      <w:r w:rsidRPr="004E3242">
        <w:rPr>
          <w:rFonts w:ascii="Arial" w:eastAsia="Times New Roman" w:hAnsi="Arial" w:cs="Arial"/>
          <w:sz w:val="20"/>
          <w:szCs w:val="20"/>
          <w:vertAlign w:val="superscript"/>
          <w:lang w:eastAsia="pl-PL"/>
        </w:rPr>
        <w:footnoteReference w:id="114"/>
      </w:r>
      <w:r w:rsidRPr="004E3242">
        <w:rPr>
          <w:rFonts w:ascii="Arial" w:eastAsia="Times New Roman" w:hAnsi="Arial" w:cs="Arial"/>
          <w:sz w:val="20"/>
          <w:szCs w:val="20"/>
          <w:lang w:eastAsia="pl-PL"/>
        </w:rPr>
        <w:t>) oraz lepsze dopasowanie interwencji do potrzeb istniejących na danym obszarze.</w:t>
      </w:r>
    </w:p>
    <w:p w14:paraId="21AE2D4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Projekty finansowane w ramach osi I. oraz II. będą mogły być jednocześnie projektami, których finansowanie będzie powiązane funkcjonalnie z realizacją projektów zintegrowanych, wdrażanych przez Polskę (o ile uzyskają one akceptację KE) w ramach instrumentu </w:t>
      </w:r>
      <w:r w:rsidRPr="004E3242">
        <w:rPr>
          <w:rFonts w:ascii="Arial" w:eastAsia="Times New Roman" w:hAnsi="Arial" w:cs="Arial"/>
          <w:b/>
          <w:bCs/>
          <w:sz w:val="20"/>
          <w:szCs w:val="20"/>
          <w:lang w:eastAsia="pl-PL"/>
        </w:rPr>
        <w:t>LIFE</w:t>
      </w:r>
      <w:r w:rsidRPr="004E3242">
        <w:rPr>
          <w:rFonts w:ascii="Arial" w:eastAsia="Times New Roman" w:hAnsi="Arial" w:cs="Arial"/>
          <w:sz w:val="20"/>
          <w:szCs w:val="20"/>
          <w:lang w:eastAsia="pl-PL"/>
        </w:rPr>
        <w:t xml:space="preserve"> w ramach obszarów wskazanych przez KE w Wieloletnim Programie Prac 2014-2017 (zgodnie z decyzją wykonawczą 2014/203/UE z 19 marca 2014 r. w sprawie przyjęcia wieloletniego programu prac na lata 2014-2017 dla programu LIFE) oraz wskazanych w kolejnej decyzji KE po roku 2017. Oprócz projektów zintegrowanych, w ramach LIFE będą realizowane projekty o charakterze innowacyjnym, demonstracyjnym lub dotyczące najlepszych praktyk.</w:t>
      </w:r>
    </w:p>
    <w:p w14:paraId="320C138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Działania programu będą komplementarne z priorytetami UE zawartymi w inicjatywie przewodniej </w:t>
      </w:r>
      <w:r w:rsidRPr="004E3242">
        <w:rPr>
          <w:rFonts w:ascii="Arial" w:eastAsia="Times New Roman" w:hAnsi="Arial" w:cs="Arial"/>
          <w:b/>
          <w:bCs/>
          <w:sz w:val="20"/>
          <w:szCs w:val="20"/>
          <w:lang w:eastAsia="pl-PL"/>
        </w:rPr>
        <w:t>Horizon 2020</w:t>
      </w:r>
      <w:r w:rsidRPr="004E3242">
        <w:rPr>
          <w:rFonts w:ascii="Arial" w:eastAsia="Times New Roman" w:hAnsi="Arial" w:cs="Arial"/>
          <w:sz w:val="20"/>
          <w:szCs w:val="20"/>
          <w:lang w:eastAsia="pl-PL"/>
        </w:rPr>
        <w:t>, przede wszystkim w części poświęconej wyzwaniom społecznym (</w:t>
      </w:r>
      <w:proofErr w:type="spellStart"/>
      <w:r w:rsidRPr="004E3242">
        <w:rPr>
          <w:rFonts w:ascii="Arial" w:eastAsia="Times New Roman" w:hAnsi="Arial" w:cs="Arial"/>
          <w:i/>
          <w:iCs/>
          <w:sz w:val="20"/>
          <w:szCs w:val="20"/>
          <w:lang w:eastAsia="pl-PL"/>
        </w:rPr>
        <w:t>societal</w:t>
      </w:r>
      <w:proofErr w:type="spellEnd"/>
      <w:r w:rsidRPr="004E3242">
        <w:rPr>
          <w:rFonts w:ascii="Arial" w:eastAsia="Times New Roman" w:hAnsi="Arial" w:cs="Arial"/>
          <w:i/>
          <w:iCs/>
          <w:sz w:val="20"/>
          <w:szCs w:val="20"/>
          <w:lang w:eastAsia="pl-PL"/>
        </w:rPr>
        <w:t xml:space="preserve"> </w:t>
      </w:r>
      <w:proofErr w:type="spellStart"/>
      <w:r w:rsidRPr="004E3242">
        <w:rPr>
          <w:rFonts w:ascii="Arial" w:eastAsia="Times New Roman" w:hAnsi="Arial" w:cs="Arial"/>
          <w:i/>
          <w:iCs/>
          <w:sz w:val="20"/>
          <w:szCs w:val="20"/>
          <w:lang w:eastAsia="pl-PL"/>
        </w:rPr>
        <w:t>challenges</w:t>
      </w:r>
      <w:proofErr w:type="spellEnd"/>
      <w:r w:rsidRPr="004E3242">
        <w:rPr>
          <w:rFonts w:ascii="Arial" w:eastAsia="Times New Roman" w:hAnsi="Arial" w:cs="Arial"/>
          <w:sz w:val="20"/>
          <w:szCs w:val="20"/>
          <w:lang w:eastAsia="pl-PL"/>
        </w:rPr>
        <w:t>). Budując ramowy program działań na rzecz rozwoju działalności badawczej i innowacji, KE zwróciła uwagę na zestaw kluczowych wyzwań, odnoszących się do rozwoju społecznego, do których zaliczono m.in. następujące grupy zagadnień:</w:t>
      </w:r>
    </w:p>
    <w:p w14:paraId="1456CD62" w14:textId="77777777" w:rsidR="004E3242" w:rsidRPr="004E3242" w:rsidRDefault="004E3242" w:rsidP="00B345B6">
      <w:pPr>
        <w:numPr>
          <w:ilvl w:val="0"/>
          <w:numId w:val="74"/>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zdrowie, zmiany demograficzne oraz dobrostan;</w:t>
      </w:r>
    </w:p>
    <w:p w14:paraId="6111F52D" w14:textId="77777777" w:rsidR="004E3242" w:rsidRPr="004E3242" w:rsidRDefault="004E3242" w:rsidP="00B345B6">
      <w:pPr>
        <w:numPr>
          <w:ilvl w:val="0"/>
          <w:numId w:val="74"/>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bezpieczna, czysta i wydajna energia;</w:t>
      </w:r>
    </w:p>
    <w:p w14:paraId="08F7B19E" w14:textId="77777777" w:rsidR="004E3242" w:rsidRPr="00262C5F" w:rsidRDefault="004E3242" w:rsidP="00B345B6">
      <w:pPr>
        <w:numPr>
          <w:ilvl w:val="0"/>
          <w:numId w:val="74"/>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inteligentny, zielony i zintegrowany transport; zmiany klimatu, środowisko, zasoby i surowce.</w:t>
      </w:r>
    </w:p>
    <w:p w14:paraId="2165ADF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Ponadto zakłada się, że wydatki na obszary wiejskie będą monitorowane i sprawozdawane </w:t>
      </w:r>
      <w:r w:rsidRPr="004E3242">
        <w:rPr>
          <w:rFonts w:ascii="Arial" w:eastAsia="Times New Roman" w:hAnsi="Arial" w:cs="Arial"/>
          <w:sz w:val="20"/>
          <w:szCs w:val="20"/>
          <w:lang w:eastAsia="pl-PL"/>
        </w:rPr>
        <w:br/>
        <w:t>w raportach rocznych z uwzględnieniem - zgodnie z zakresem i logiką interwencji programu - takich obszarów jak: 1) rozwój przedsiębiorczości i lepsze wykorzystanie kapitału ludzkiego,</w:t>
      </w:r>
      <w:r w:rsidR="00A65FC1">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w tym reorientacji zawodowej rolników 2) rewitalizacja społeczna i infrastrukturalna 3) infrastruktura wodno-kanalizacyjna i przeciwpowodziowa.</w:t>
      </w:r>
    </w:p>
    <w:p w14:paraId="54CF1BE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p>
    <w:p w14:paraId="286EDBA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Mechanizmy koordynacji</w:t>
      </w:r>
    </w:p>
    <w:p w14:paraId="3FECF12E" w14:textId="77777777" w:rsidR="004E3242" w:rsidRPr="004E3242" w:rsidRDefault="004E3242" w:rsidP="00B345B6">
      <w:pPr>
        <w:numPr>
          <w:ilvl w:val="0"/>
          <w:numId w:val="75"/>
        </w:num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Komitet Monitorujący</w:t>
      </w:r>
    </w:p>
    <w:p w14:paraId="7FED39F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Komitet Monitorujący (KM), pełniąc funkcje związane z monitorowaniem i analizą postępów wdrażania programu, może stanowić forum współpracy oraz podejmowania określonych działań na rzecz efektywnego osiągania celów postawionych w programie, w tym dotyczących promowania działań na rzecz poprawy komplementarności interwencji.</w:t>
      </w:r>
    </w:p>
    <w:p w14:paraId="4AD4B049" w14:textId="77777777" w:rsidR="004E3242" w:rsidRDefault="00F24566" w:rsidP="00D72EFC">
      <w:pPr>
        <w:numPr>
          <w:ilvl w:val="0"/>
          <w:numId w:val="75"/>
        </w:numPr>
        <w:spacing w:after="120"/>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S</w:t>
      </w:r>
      <w:r w:rsidR="004E3242" w:rsidRPr="004E3242">
        <w:rPr>
          <w:rFonts w:ascii="Arial" w:eastAsia="Times New Roman" w:hAnsi="Arial" w:cs="Arial"/>
          <w:b/>
          <w:bCs/>
          <w:sz w:val="20"/>
          <w:szCs w:val="20"/>
          <w:lang w:eastAsia="pl-PL"/>
        </w:rPr>
        <w:t>zczegółowy opis osi priorytetowych, instrukcje wykonawcze, porozumienia międzyinstytucjonalne o powierzeniu funkcji IP lub IW, podręczniki</w:t>
      </w:r>
    </w:p>
    <w:p w14:paraId="5C7BC359" w14:textId="77777777" w:rsidR="00F24566" w:rsidRPr="00F24566" w:rsidRDefault="00F24566" w:rsidP="00F24566">
      <w:pPr>
        <w:spacing w:after="120"/>
        <w:ind w:left="720"/>
        <w:jc w:val="both"/>
        <w:rPr>
          <w:rFonts w:ascii="Arial" w:eastAsia="Times New Roman" w:hAnsi="Arial" w:cs="Arial"/>
          <w:bCs/>
          <w:sz w:val="20"/>
          <w:szCs w:val="20"/>
          <w:lang w:eastAsia="pl-PL"/>
        </w:rPr>
      </w:pPr>
    </w:p>
    <w:p w14:paraId="13021D94" w14:textId="77777777" w:rsidR="004E3242" w:rsidRPr="00D72EFC" w:rsidRDefault="004E3242" w:rsidP="00D72EFC">
      <w:pPr>
        <w:numPr>
          <w:ilvl w:val="0"/>
          <w:numId w:val="75"/>
        </w:numPr>
        <w:spacing w:after="120"/>
        <w:jc w:val="both"/>
        <w:rPr>
          <w:rFonts w:ascii="Arial" w:eastAsia="Times New Roman" w:hAnsi="Arial" w:cs="Arial"/>
          <w:b/>
          <w:bCs/>
          <w:sz w:val="20"/>
          <w:szCs w:val="20"/>
          <w:lang w:eastAsia="pl-PL"/>
        </w:rPr>
      </w:pPr>
      <w:r w:rsidRPr="004E3242">
        <w:rPr>
          <w:rFonts w:ascii="Arial" w:eastAsia="Times New Roman" w:hAnsi="Arial" w:cs="Arial"/>
          <w:b/>
          <w:bCs/>
          <w:sz w:val="20"/>
          <w:szCs w:val="20"/>
          <w:lang w:eastAsia="pl-PL"/>
        </w:rPr>
        <w:t>Działania na rzecz zapewnienia komplementarności z innymi programami</w:t>
      </w:r>
    </w:p>
    <w:p w14:paraId="53356DFD" w14:textId="77777777" w:rsidR="004E3242" w:rsidRPr="004E3242" w:rsidRDefault="004E3242" w:rsidP="00D20217">
      <w:pPr>
        <w:numPr>
          <w:ilvl w:val="0"/>
          <w:numId w:val="7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organizacja zsynchronizowanych (o ile możliwe) konkursów na operacje, rozumiane jako grupa projektów z różnych osi/funduszy;</w:t>
      </w:r>
    </w:p>
    <w:p w14:paraId="43C957BB" w14:textId="77777777" w:rsidR="004E3242" w:rsidRPr="004E3242" w:rsidRDefault="004E3242" w:rsidP="00D20217">
      <w:pPr>
        <w:numPr>
          <w:ilvl w:val="0"/>
          <w:numId w:val="7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zharmonizowane lub ujednolicone kryteria wyboru projektów;</w:t>
      </w:r>
    </w:p>
    <w:p w14:paraId="1E376C17" w14:textId="77777777" w:rsidR="004E3242" w:rsidRPr="004E3242" w:rsidRDefault="004E3242" w:rsidP="00D20217">
      <w:pPr>
        <w:numPr>
          <w:ilvl w:val="0"/>
          <w:numId w:val="7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procedury umożliwiające wspólne/zsynchronizowane procesy naboru i selekcji projektów,</w:t>
      </w:r>
    </w:p>
    <w:p w14:paraId="4F3A68F3" w14:textId="77777777" w:rsidR="004E3242" w:rsidRPr="004E3242" w:rsidRDefault="004E3242" w:rsidP="00D20217">
      <w:pPr>
        <w:numPr>
          <w:ilvl w:val="0"/>
          <w:numId w:val="76"/>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wspólne posiedzenia komitetów monitorujących, robocze zespoły i grupy.</w:t>
      </w:r>
    </w:p>
    <w:p w14:paraId="0ED90DC5" w14:textId="77777777" w:rsidR="004E3242" w:rsidRPr="00394ACF" w:rsidRDefault="004E3242" w:rsidP="004E3242">
      <w:pPr>
        <w:spacing w:after="120"/>
        <w:jc w:val="both"/>
        <w:rPr>
          <w:rFonts w:ascii="Arial" w:eastAsia="Times New Roman" w:hAnsi="Arial" w:cs="Arial"/>
          <w:b/>
          <w:bCs/>
          <w:i/>
          <w:iCs/>
          <w:sz w:val="20"/>
          <w:szCs w:val="20"/>
          <w:lang w:eastAsia="pl-PL"/>
        </w:rPr>
      </w:pPr>
      <w:r w:rsidRPr="00394ACF">
        <w:rPr>
          <w:rFonts w:ascii="Arial" w:eastAsia="Times New Roman" w:hAnsi="Arial" w:cs="Arial"/>
          <w:b/>
          <w:bCs/>
          <w:i/>
          <w:iCs/>
          <w:sz w:val="20"/>
          <w:szCs w:val="20"/>
          <w:lang w:eastAsia="pl-PL"/>
        </w:rPr>
        <w:t xml:space="preserve">Komplementarność priorytetów inwestycyjnych w ramach </w:t>
      </w:r>
      <w:proofErr w:type="spellStart"/>
      <w:r w:rsidRPr="00394ACF">
        <w:rPr>
          <w:rFonts w:ascii="Arial" w:eastAsia="Times New Roman" w:hAnsi="Arial" w:cs="Arial"/>
          <w:b/>
          <w:bCs/>
          <w:i/>
          <w:iCs/>
          <w:sz w:val="20"/>
          <w:szCs w:val="20"/>
          <w:lang w:eastAsia="pl-PL"/>
        </w:rPr>
        <w:t>POIiŚ</w:t>
      </w:r>
      <w:proofErr w:type="spellEnd"/>
      <w:r w:rsidRPr="00394ACF">
        <w:rPr>
          <w:rFonts w:ascii="Arial" w:eastAsia="Times New Roman" w:hAnsi="Arial" w:cs="Arial"/>
          <w:b/>
          <w:bCs/>
          <w:i/>
          <w:iCs/>
          <w:sz w:val="20"/>
          <w:szCs w:val="20"/>
          <w:lang w:eastAsia="pl-PL"/>
        </w:rPr>
        <w:t xml:space="preserve"> z działaniami innych programów operacyjnych perspektywy finansowej na lata 2014-2020</w:t>
      </w:r>
    </w:p>
    <w:p w14:paraId="37F1E9B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Zakres wsparcia realizowanego w ramach POIŚ jest komplementarny ze wsparciem programów realizujących cele UP oraz innych instrumentów krajowych i unijnych.</w:t>
      </w:r>
    </w:p>
    <w:p w14:paraId="56A0500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kontekście identyfikowania powiązań z innymi instrumentami wsparcia innowacyjności, program będzie nakierowany na wspieranie działań spójnych i komplementarnych z interwencją w ramach </w:t>
      </w:r>
      <w:r w:rsidRPr="004E3242">
        <w:rPr>
          <w:rFonts w:ascii="Arial" w:eastAsia="Times New Roman" w:hAnsi="Arial" w:cs="Arial"/>
          <w:i/>
          <w:iCs/>
          <w:sz w:val="20"/>
          <w:szCs w:val="20"/>
          <w:lang w:eastAsia="pl-PL"/>
        </w:rPr>
        <w:t>Programu Operacyjnego Inteligentny Rozwój</w:t>
      </w:r>
      <w:r w:rsidRPr="004E3242">
        <w:rPr>
          <w:rFonts w:ascii="Arial" w:eastAsia="Times New Roman" w:hAnsi="Arial" w:cs="Arial"/>
          <w:sz w:val="20"/>
          <w:szCs w:val="20"/>
          <w:lang w:eastAsia="pl-PL"/>
        </w:rPr>
        <w:t>, przede wszystkim w obszarach takich jak: odporność na zmiany klimatu, efektywne wykorzystanie zasobów wodnych w procesach produkcji, ograniczanie wytwarzania ścieków, obniżenie emisji gazów, odnawialne źródła energii, inteligentne sieci, ochrona zdrowia. Tym samym interwencja programu będzie wnosić wkład w zakresie rozwoju gospodarki innowacyjnej i opartej na wiedzy, zgodnej z priorytetami strategii Europa 2020.</w:t>
      </w:r>
    </w:p>
    <w:p w14:paraId="5F2ACCA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zakresie działań związanych z poprawą planowania przestrzennego, służącego zapobieganiu powodziom i innym sytuacjom nadzwyczajnym, interwencja POIŚ będzie stanowić wspólny obszar wsparcia, na którym podejmowane będą działania komplementarne oraz możliwe będzie osiągniecie synergii z interwencją w ramach następujących programów operacyjnych:</w:t>
      </w:r>
    </w:p>
    <w:p w14:paraId="07F9C750" w14:textId="77777777" w:rsidR="004E3242" w:rsidRPr="004E3242" w:rsidRDefault="004E3242" w:rsidP="00D20217">
      <w:pPr>
        <w:numPr>
          <w:ilvl w:val="0"/>
          <w:numId w:val="77"/>
        </w:num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lang w:eastAsia="pl-PL"/>
        </w:rPr>
        <w:lastRenderedPageBreak/>
        <w:t>PO Polska Cyfrowa</w:t>
      </w:r>
      <w:r w:rsidRPr="004E3242">
        <w:rPr>
          <w:rFonts w:ascii="Arial" w:eastAsia="Times New Roman" w:hAnsi="Arial" w:cs="Arial"/>
          <w:sz w:val="20"/>
          <w:szCs w:val="20"/>
          <w:lang w:eastAsia="pl-PL"/>
        </w:rPr>
        <w:t xml:space="preserve">, gdzie wspierane będą inwestycje polegające na rozwoju elektronicznych usług publicznych szczebla centralnego oraz zwiększenie do nich dostępu dla obywateli, </w:t>
      </w:r>
      <w:r w:rsidRPr="004E3242">
        <w:rPr>
          <w:rFonts w:ascii="Arial" w:eastAsia="Times New Roman" w:hAnsi="Arial" w:cs="Arial"/>
          <w:sz w:val="20"/>
          <w:szCs w:val="20"/>
          <w:lang w:eastAsia="pl-PL"/>
        </w:rPr>
        <w:br/>
        <w:t>w tym m.in. projektów dotyczących systemów informacji przestrzennej;</w:t>
      </w:r>
    </w:p>
    <w:p w14:paraId="145FF4B9" w14:textId="77777777" w:rsidR="004E3242" w:rsidRPr="004E3242" w:rsidRDefault="004E3242" w:rsidP="00D20217">
      <w:pPr>
        <w:numPr>
          <w:ilvl w:val="0"/>
          <w:numId w:val="77"/>
        </w:num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lang w:eastAsia="pl-PL"/>
        </w:rPr>
        <w:t>PO Wiedza, Edukacja, Rozwój</w:t>
      </w:r>
      <w:r w:rsidRPr="004E3242">
        <w:rPr>
          <w:rFonts w:ascii="Arial" w:eastAsia="Times New Roman" w:hAnsi="Arial" w:cs="Arial"/>
          <w:sz w:val="20"/>
          <w:szCs w:val="20"/>
          <w:lang w:eastAsia="pl-PL"/>
        </w:rPr>
        <w:t>, gdzie w ramach działań służących poprawie zarządzania strategicznego państwem, będą realizowane projekty polegające na uporządkowaniu systemu planowania i zarządzania przestrzennego.</w:t>
      </w:r>
    </w:p>
    <w:p w14:paraId="403C1A9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Działania w powyższych obszarach będą miały charakter ogólnokrajowy lub ponadregionalny. Dzięki realizowanym wspólnie i w komplementarny sposób projektom, nastąpi poprawa wyposażenia instytucji państwa w odpowiednie narzędzia informatyczne, planistyczne i organizacyjne, czego skutkiem będzie poprawa potencjału zarządzania państwem w sytuacjach nadzwyczajnych (np. klęsk żywiołowych).</w:t>
      </w:r>
    </w:p>
    <w:p w14:paraId="5CD44A2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Mechanizmy koordynacji programu będą miały zastosowanie również do programów europejskiej współpracy terytorialnej oraz Europejskiego Instrumentu Sąsiedztwa (ETC/ENI), szczególnie w takich obszarach jak ochrona środowiska, transport, dziedzictwo kulturowe. Planowane działania powinny uwzględniać wspólny potencjał obszarów przygranicznych w celu realizacji projektów (np. </w:t>
      </w:r>
      <w:r w:rsidR="00CF3171">
        <w:rPr>
          <w:rFonts w:ascii="Arial" w:eastAsia="Times New Roman" w:hAnsi="Arial" w:cs="Arial"/>
          <w:sz w:val="20"/>
          <w:szCs w:val="20"/>
          <w:lang w:eastAsia="pl-PL"/>
        </w:rPr>
        <w:br/>
      </w:r>
      <w:r w:rsidRPr="004E3242">
        <w:rPr>
          <w:rFonts w:ascii="Arial" w:eastAsia="Times New Roman" w:hAnsi="Arial" w:cs="Arial"/>
          <w:sz w:val="20"/>
          <w:szCs w:val="20"/>
          <w:lang w:eastAsia="pl-PL"/>
        </w:rPr>
        <w:t xml:space="preserve">w porozumieniu z władzami danego obszaru po drugiej stronie granicy) przyczyniających się do poprawy sytuacji w wybranych aspektach, np. poprawa oraz promocja dziedzictwa naturalnego </w:t>
      </w:r>
      <w:r w:rsidRPr="004E3242">
        <w:rPr>
          <w:rFonts w:ascii="Arial" w:eastAsia="Times New Roman" w:hAnsi="Arial" w:cs="Arial"/>
          <w:sz w:val="20"/>
          <w:szCs w:val="20"/>
          <w:lang w:eastAsia="pl-PL"/>
        </w:rPr>
        <w:br/>
        <w:t>i kulturowego na danym obszarze, podnosząca potencjał turystyczny i gospodarczy regionu, skoordynowane działania mające na celu ochronę określonych populacji zwierząt czy gatunków przyrodniczych, rozwój komplementarnych sieci transportowych itp. Szczególnym instrumentem koordynacji mogą być procedury wypracowane przez instytucje zarządzające programami, w tym właściwe KM, które w porozumieniu ze sobą, planowałyby oraz monitorowały wspólne działania.</w:t>
      </w:r>
    </w:p>
    <w:p w14:paraId="572E72D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Tam, gdzie istnieje ryzyko pokrywania się obszarów wsparcia, ma zastosowanie linia demarkacyjna, uzgodniona między poszczególnymi programami. Komplementarność interwencji była istotnym czynnikiem na etapie programowania, ale równie istotne będzie jej praktyczne zapewnienie na etapie realizacji programu. Dlatego tez podejmowane będą działania zmierzające do zapewnienia realnej komplementarności na etapie wyboru i realizacji projektów. Mechanizmy te szerzej opisane zostały </w:t>
      </w:r>
      <w:r w:rsidRPr="004E3242">
        <w:rPr>
          <w:rFonts w:ascii="Arial" w:eastAsia="Times New Roman" w:hAnsi="Arial" w:cs="Arial"/>
          <w:sz w:val="20"/>
          <w:szCs w:val="20"/>
          <w:lang w:eastAsia="pl-PL"/>
        </w:rPr>
        <w:br/>
        <w:t>w UP i zostaną ewentualnie uszczegółowione w dokumentach programowych, takich jak Szczegółowy Opis Osi Priorytetowych.</w:t>
      </w:r>
    </w:p>
    <w:p w14:paraId="2BF8A1C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Logika interwencji, zakładająca działania dostosowawcze po stronie POIŚ w celu spełnienia zasady komplementarności projektowej, nie zawsze będzie mogła znaleźć zastosowanie, gdyż inwestycje takie mają znaczenie pierwotne względem działań podejmowanych, np. na poziomie regionalnym. </w:t>
      </w:r>
      <w:r w:rsidRPr="004E3242">
        <w:rPr>
          <w:rFonts w:ascii="Arial" w:eastAsia="Times New Roman" w:hAnsi="Arial" w:cs="Arial"/>
          <w:sz w:val="20"/>
          <w:szCs w:val="20"/>
          <w:lang w:eastAsia="pl-PL"/>
        </w:rPr>
        <w:br/>
        <w:t xml:space="preserve">W takich przypadkach szczególnie ważny jest kompleksowy i zintegrowany charakter projektów, zachowanie komplementarności wewnętrznej pomiędzy priorytetami inwestycyjnymi programu, </w:t>
      </w:r>
      <w:r w:rsidRPr="004E3242">
        <w:rPr>
          <w:rFonts w:ascii="Arial" w:eastAsia="Times New Roman" w:hAnsi="Arial" w:cs="Arial"/>
          <w:sz w:val="20"/>
          <w:szCs w:val="20"/>
          <w:lang w:eastAsia="pl-PL"/>
        </w:rPr>
        <w:br/>
        <w:t>a także realizacja projektów komplementarnych z innymi programami krajowymi, w tym programami operacyjnymi realizowanymi w perspektywie 2007-2013.</w:t>
      </w:r>
    </w:p>
    <w:p w14:paraId="7C63634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Szczególna odpowiedzialność za zapewnienie komplementarności spoczywa na instytucjach realizujących program, które muszą dysponować odpowiednią wiedzą i doświadczeniem, pozwalającym na identyfikację i promowanie projektów o faktycznym (nie tylko deklarowanym) potencjale komplementarności oraz stosowanie odpowiednich rozwiązań wdrożeniowych. Należy zauważyć, że przy tworzeniu programu określana jest deklaratywna komplementarność, natomiast realna komplementarność może zostać zapewniona tylko na poziomie poszczególnych działań </w:t>
      </w:r>
      <w:r w:rsidRPr="004E3242">
        <w:rPr>
          <w:rFonts w:ascii="Arial" w:eastAsia="Times New Roman" w:hAnsi="Arial" w:cs="Arial"/>
          <w:sz w:val="20"/>
          <w:szCs w:val="20"/>
          <w:lang w:eastAsia="pl-PL"/>
        </w:rPr>
        <w:br/>
        <w:t>w programach operacyjnych poprzez umiejętność ich integrowania.</w:t>
      </w:r>
    </w:p>
    <w:p w14:paraId="0BE46AA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Jednym z głównych mechanizmów realizacji zintegrowanego podejścia terytorialnego, który również będzie bezpośrednio służył realizacji wymiaru miejskiego, będzie kontrakt terytorialny (KT). KT należy postrzegać jako instrument poprawy efektywności polityki rozwoju wzmacniający koordynację działań podejmowanych na różnych poziomach zarządzania i umożliwia wspólne uzgadnianie realizacji przedsięwzięć wraz z przypisaniem im źródeł finansowania. Mechanizm KT zostanie wykorzystany do </w:t>
      </w:r>
      <w:r w:rsidRPr="004E3242">
        <w:rPr>
          <w:rFonts w:ascii="Arial" w:eastAsia="Times New Roman" w:hAnsi="Arial" w:cs="Arial"/>
          <w:sz w:val="20"/>
          <w:szCs w:val="20"/>
          <w:lang w:eastAsia="pl-PL"/>
        </w:rPr>
        <w:lastRenderedPageBreak/>
        <w:t>uzgadniania kluczowych interwencji funduszy w ramach UP oraz powiązanych z nimi wybranych środków krajowych na obszarze wyodrębnionych terytoriów.</w:t>
      </w:r>
    </w:p>
    <w:p w14:paraId="54DCEDD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Zawarcie kontraktu terytorialnego ma szczególne znaczenie dla realizacji w ramach programu działań adresowanych do miast i ich obszarów funkcjonalnych. Poprzez realizację największych, kluczowych inwestycji rozwojowych, program będzie stanowił istotne źródło wsparcia w zakresie infrastruktury rozwoju zrównoważonego, z którego bezpośrednio lub pośrednio korzystać będą największe ośrodki miejskie wraz z obszarami funkcjonalnymi. W tym kontekście, dla zapewnienia realizacji z poziomu POIŚ na tych obszarach </w:t>
      </w:r>
      <w:r w:rsidR="001251AF" w:rsidRPr="004E3242">
        <w:rPr>
          <w:rFonts w:ascii="Arial" w:eastAsia="Times New Roman" w:hAnsi="Arial" w:cs="Arial"/>
          <w:sz w:val="20"/>
          <w:szCs w:val="20"/>
          <w:lang w:eastAsia="pl-PL"/>
        </w:rPr>
        <w:t>projektów</w:t>
      </w:r>
      <w:r w:rsidR="001251AF">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o największej wartości dodanej oraz komplementarnych</w:t>
      </w:r>
      <w:r w:rsidR="007B1ABD">
        <w:rPr>
          <w:rFonts w:ascii="Arial" w:eastAsia="Times New Roman" w:hAnsi="Arial" w:cs="Arial"/>
          <w:sz w:val="20"/>
          <w:szCs w:val="20"/>
          <w:lang w:eastAsia="pl-PL"/>
        </w:rPr>
        <w:t xml:space="preserve"> </w:t>
      </w:r>
      <w:r w:rsidRPr="004E3242">
        <w:rPr>
          <w:rFonts w:ascii="Arial" w:eastAsia="Times New Roman" w:hAnsi="Arial" w:cs="Arial"/>
          <w:sz w:val="20"/>
          <w:szCs w:val="20"/>
          <w:lang w:eastAsia="pl-PL"/>
        </w:rPr>
        <w:t>z inwestycjami realizowanymi na poziomie regionalnym, przewidziany został instrument zintegrowanych inwestycji terytorialnych. Związki ZIT, jako specjalne podmioty utworzone dla realizacji ZIT w ramach programów regionalnych, będą mogły ubiegać się o wsparcie z POIŚ na realizację projektów komplementarnych wskazanych w Strategii ZIT. Takie projekty, z uwagi na przyczynianie się do realizacji podejścia zintegrowanego, będą mogły uzyskać preferencje realizacyjne, tj. być wybierane do dofinansowania w trybie pozakonkursowym. Dzięki zastosowaniu w tym przypadku procedury negocjacyjnej, możliwy będzie wpływ na dopracowanie przez potencjalnych beneficjentów propozycji projektów, jeszcze na etapie koncepcyjnym, aby w jak największym stopniu wypełniały one cele programu.</w:t>
      </w:r>
    </w:p>
    <w:p w14:paraId="3A9E765A" w14:textId="77777777" w:rsidR="00EA34CA" w:rsidRPr="00EA34CA" w:rsidRDefault="00EA34CA" w:rsidP="00EA34CA">
      <w:pPr>
        <w:spacing w:after="120"/>
        <w:jc w:val="both"/>
        <w:rPr>
          <w:rFonts w:ascii="Arial" w:eastAsia="Times New Roman" w:hAnsi="Arial" w:cs="Arial"/>
          <w:sz w:val="20"/>
          <w:szCs w:val="20"/>
          <w:lang w:eastAsia="pl-PL"/>
        </w:rPr>
      </w:pPr>
      <w:r w:rsidRPr="00EA34CA">
        <w:rPr>
          <w:rFonts w:ascii="Arial" w:eastAsia="Times New Roman" w:hAnsi="Arial" w:cs="Arial"/>
          <w:sz w:val="20"/>
          <w:szCs w:val="20"/>
          <w:lang w:eastAsia="pl-PL"/>
        </w:rPr>
        <w:t xml:space="preserve">Zapewnienie efektywnej koordynacji działań programu wymagać będzie bieżącego monitorowania oraz dostosowywania podziału interwencji do zmieniających się uwarunkowań realizacyjnych, zwłaszcza pomiędzy POIŚ a regionalnymi programami operacyjnymi (RPO). Zwiększenie elastyczności podejścia do przyjętego podziału interwencji możliwe będzie np. w sytuacji wyczerpania dostępnej alokacji na poziomie regionalnym, a także, gdy dotychczasowa demarkacja oparta była o próg kwotowy. Podjęcie decyzji odnośnie zaangażowania środków programu w obszarach objętych dotychczas interwencją RPO będzie uwzględniać podobny lub komplementarny charakter projektów oraz zgodność z celami wsparcia POIŚ. </w:t>
      </w:r>
    </w:p>
    <w:p w14:paraId="6C2F3B93" w14:textId="77777777" w:rsidR="00D10F16" w:rsidRDefault="00EA34CA" w:rsidP="00EA34CA">
      <w:pPr>
        <w:spacing w:after="120"/>
        <w:jc w:val="both"/>
        <w:rPr>
          <w:rFonts w:ascii="Arial" w:eastAsia="Times New Roman" w:hAnsi="Arial" w:cs="Arial"/>
          <w:sz w:val="20"/>
          <w:szCs w:val="20"/>
          <w:lang w:eastAsia="pl-PL"/>
        </w:rPr>
      </w:pPr>
      <w:r w:rsidRPr="00EA34CA">
        <w:rPr>
          <w:rFonts w:ascii="Arial" w:eastAsia="Times New Roman" w:hAnsi="Arial" w:cs="Arial"/>
          <w:sz w:val="20"/>
          <w:szCs w:val="20"/>
          <w:lang w:eastAsia="pl-PL"/>
        </w:rPr>
        <w:t>Szczegółowe rozwiązania w zakresie demarkacji POIŚ z innymi programami i instrumentami wsparcia opisane zostaną w dokumentach wdrożeniowych programu przyjmowanych na poziomie krajowym. Ewentualna zmiana w podziale interwencji będąca wynikiem zaistnienia ww. czynników nie będzie wymagała wprowadzania korekt tekstu programów operacyjnych.</w:t>
      </w:r>
    </w:p>
    <w:p w14:paraId="6B0D7148" w14:textId="77777777" w:rsidR="004E3242" w:rsidRPr="004E3242" w:rsidRDefault="00EF2699" w:rsidP="00EF2699">
      <w:pPr>
        <w:spacing w:after="120"/>
        <w:jc w:val="both"/>
        <w:rPr>
          <w:rFonts w:ascii="Arial" w:eastAsia="Times New Roman" w:hAnsi="Arial" w:cs="Arial"/>
          <w:sz w:val="20"/>
          <w:szCs w:val="20"/>
          <w:lang w:eastAsia="pl-PL"/>
        </w:rPr>
      </w:pPr>
      <w:r w:rsidRPr="00EF2699">
        <w:rPr>
          <w:rFonts w:ascii="Arial" w:eastAsia="Times New Roman" w:hAnsi="Arial" w:cs="Arial"/>
          <w:sz w:val="20"/>
          <w:szCs w:val="20"/>
          <w:lang w:eastAsia="pl-PL"/>
        </w:rPr>
        <w:t>Wsparcie udzielane ze środków REACT-EU będzie s</w:t>
      </w:r>
      <w:r>
        <w:rPr>
          <w:rFonts w:ascii="Arial" w:eastAsia="Times New Roman" w:hAnsi="Arial" w:cs="Arial"/>
          <w:sz w:val="20"/>
          <w:szCs w:val="20"/>
          <w:lang w:eastAsia="pl-PL"/>
        </w:rPr>
        <w:t xml:space="preserve">pójne z inwestycjami podjętymi </w:t>
      </w:r>
      <w:r w:rsidRPr="00EF2699">
        <w:rPr>
          <w:rFonts w:ascii="Arial" w:eastAsia="Times New Roman" w:hAnsi="Arial" w:cs="Arial"/>
          <w:sz w:val="20"/>
          <w:szCs w:val="20"/>
          <w:lang w:eastAsia="pl-PL"/>
        </w:rPr>
        <w:t>w ramach Krajowego Planu Odbudowy. Tam, gdzie istnieje ryzyko pokrywania się projektów, Instytucja Zarządzająca zastosuje mechanizmy wykluczające ryzyko podwójnego finansowania inwestycji.</w:t>
      </w:r>
      <w:r w:rsidR="004E3242" w:rsidRPr="004E3242">
        <w:rPr>
          <w:rFonts w:ascii="Arial" w:eastAsia="Times New Roman" w:hAnsi="Arial" w:cs="Arial"/>
          <w:sz w:val="20"/>
          <w:szCs w:val="20"/>
          <w:lang w:eastAsia="pl-PL"/>
        </w:rPr>
        <w:br w:type="page"/>
      </w:r>
    </w:p>
    <w:p w14:paraId="7DBFD329"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eastAsia="Times New Roman" w:hAnsi="Arial"/>
          <w:bCs/>
          <w:smallCaps/>
          <w:color w:val="000000"/>
          <w:spacing w:val="15"/>
          <w:sz w:val="28"/>
          <w:lang w:eastAsia="pl-PL"/>
        </w:rPr>
      </w:pPr>
      <w:bookmarkStart w:id="661" w:name="_Toc83810594"/>
      <w:r w:rsidRPr="004E3242">
        <w:rPr>
          <w:rFonts w:ascii="Arial" w:eastAsia="Times New Roman" w:hAnsi="Arial"/>
          <w:bCs/>
          <w:smallCaps/>
          <w:color w:val="000000"/>
          <w:spacing w:val="15"/>
          <w:sz w:val="28"/>
          <w:lang w:eastAsia="pl-PL"/>
        </w:rPr>
        <w:lastRenderedPageBreak/>
        <w:t>Warunkowość ex-</w:t>
      </w:r>
      <w:proofErr w:type="spellStart"/>
      <w:r w:rsidRPr="004E3242">
        <w:rPr>
          <w:rFonts w:ascii="Arial" w:eastAsia="Times New Roman" w:hAnsi="Arial"/>
          <w:bCs/>
          <w:smallCaps/>
          <w:color w:val="000000"/>
          <w:spacing w:val="15"/>
          <w:sz w:val="28"/>
          <w:lang w:eastAsia="pl-PL"/>
        </w:rPr>
        <w:t>ante</w:t>
      </w:r>
      <w:bookmarkStart w:id="662" w:name="_Toc373503579"/>
      <w:bookmarkStart w:id="663" w:name="_Toc373767491"/>
      <w:bookmarkStart w:id="664" w:name="_Toc373769043"/>
      <w:bookmarkStart w:id="665" w:name="_Toc373769361"/>
      <w:bookmarkStart w:id="666" w:name="_Toc373503580"/>
      <w:bookmarkStart w:id="667" w:name="_Toc373767492"/>
      <w:bookmarkStart w:id="668" w:name="_Toc373769044"/>
      <w:bookmarkStart w:id="669" w:name="_Toc373769362"/>
      <w:bookmarkStart w:id="670" w:name="_Toc373503581"/>
      <w:bookmarkStart w:id="671" w:name="_Toc373767493"/>
      <w:bookmarkStart w:id="672" w:name="_Toc373769045"/>
      <w:bookmarkStart w:id="673" w:name="_Toc373769363"/>
      <w:bookmarkStart w:id="674" w:name="_Toc373503586"/>
      <w:bookmarkStart w:id="675" w:name="_Toc373767498"/>
      <w:bookmarkStart w:id="676" w:name="_Toc373769050"/>
      <w:bookmarkStart w:id="677" w:name="_Toc373769368"/>
      <w:bookmarkStart w:id="678" w:name="_Toc373767499"/>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roofErr w:type="spellEnd"/>
    </w:p>
    <w:p w14:paraId="4314BD69"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679" w:name="_Toc394314817"/>
      <w:bookmarkStart w:id="680" w:name="_Toc83810595"/>
      <w:r w:rsidRPr="004E3242">
        <w:rPr>
          <w:rFonts w:ascii="Arial" w:hAnsi="Arial"/>
          <w:smallCaps/>
          <w:spacing w:val="15"/>
          <w:sz w:val="24"/>
          <w:lang w:eastAsia="pl-PL"/>
        </w:rPr>
        <w:t>Identyfikacja warunków oraz ocena ich spełnienia</w:t>
      </w:r>
      <w:bookmarkEnd w:id="679"/>
      <w:bookmarkEnd w:id="680"/>
    </w:p>
    <w:p w14:paraId="0DB3462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Stosownie do rozporządzenia ramowego, uruchomienie funduszy UE będzie uzależnione od spełnienia wymogów warunkowości </w:t>
      </w:r>
      <w:r w:rsidRPr="004E3242">
        <w:rPr>
          <w:rFonts w:ascii="Arial" w:eastAsia="Times New Roman" w:hAnsi="Arial" w:cs="Arial"/>
          <w:i/>
          <w:iCs/>
          <w:sz w:val="20"/>
          <w:szCs w:val="20"/>
          <w:lang w:eastAsia="pl-PL"/>
        </w:rPr>
        <w:t>ex-</w:t>
      </w:r>
      <w:proofErr w:type="spellStart"/>
      <w:r w:rsidRPr="004E3242">
        <w:rPr>
          <w:rFonts w:ascii="Arial" w:eastAsia="Times New Roman" w:hAnsi="Arial" w:cs="Arial"/>
          <w:i/>
          <w:iCs/>
          <w:sz w:val="20"/>
          <w:szCs w:val="20"/>
          <w:lang w:eastAsia="pl-PL"/>
        </w:rPr>
        <w:t>ante</w:t>
      </w:r>
      <w:proofErr w:type="spellEnd"/>
      <w:r w:rsidRPr="004E3242">
        <w:rPr>
          <w:rFonts w:ascii="Arial" w:eastAsia="Times New Roman" w:hAnsi="Arial" w:cs="Arial"/>
          <w:sz w:val="20"/>
          <w:szCs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Rozporządzenie ogólne rozróżnia dwa rodzaje warunków: ogólne i tematyczne.</w:t>
      </w:r>
    </w:p>
    <w:p w14:paraId="31980EC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Warunki ogólne</w:t>
      </w:r>
      <w:r w:rsidRPr="004E3242">
        <w:rPr>
          <w:rFonts w:ascii="Arial" w:eastAsia="Times New Roman" w:hAnsi="Arial" w:cs="Arial"/>
          <w:sz w:val="20"/>
          <w:szCs w:val="20"/>
          <w:lang w:eastAsia="pl-PL"/>
        </w:rPr>
        <w:t xml:space="preserve"> mają zastosowanie do wszystkich interwencji z funduszy UE, mają one na celu promocję stosowania zasad horyzontalnych UE (walka z dyskryminacją ze względu na niepełnosprawność, płeć i inne), prawidłowe przestrzeganie horyzontalnych przepisów unijnych </w:t>
      </w:r>
      <w:r w:rsidRPr="004E3242">
        <w:rPr>
          <w:rFonts w:ascii="Arial" w:eastAsia="Times New Roman" w:hAnsi="Arial" w:cs="Arial"/>
          <w:sz w:val="20"/>
          <w:szCs w:val="20"/>
          <w:lang w:eastAsia="pl-PL"/>
        </w:rPr>
        <w:br/>
        <w:t>w zakresie pomocy publicznej, zamówień publicznych, oceny oddziaływania na środowisko, a także zapewnienie wysokiej jakości systemów monitorowania, zbierania i zarządzania danymi statystycznymi. Ocena warunków ogólnych, ze względu na sw</w:t>
      </w:r>
      <w:r w:rsidR="007B1ABD">
        <w:rPr>
          <w:rFonts w:ascii="Arial" w:eastAsia="Times New Roman" w:hAnsi="Arial" w:cs="Arial"/>
          <w:sz w:val="20"/>
          <w:szCs w:val="20"/>
          <w:lang w:eastAsia="pl-PL"/>
        </w:rPr>
        <w:t>ó</w:t>
      </w:r>
      <w:r w:rsidRPr="004E3242">
        <w:rPr>
          <w:rFonts w:ascii="Arial" w:eastAsia="Times New Roman" w:hAnsi="Arial" w:cs="Arial"/>
          <w:sz w:val="20"/>
          <w:szCs w:val="20"/>
          <w:lang w:eastAsia="pl-PL"/>
        </w:rPr>
        <w:t>j charakter, została przeprowadzona na poziomie UP (z uwzględnieniem specyfiki POIŚ, o ile konieczne). W opinii strony polskiej, zasadniczo wszystkie warunki ogólne zostały spełnione, za wyjątkiem trzech kryteriów w ramach warunków ogólnych 1-3. Ich spełnienie jest uzależnione od przyjęcia przez Komitet Koordynacyjny UP dokumentu pn. "</w:t>
      </w:r>
      <w:r w:rsidRPr="004E3242">
        <w:rPr>
          <w:rFonts w:ascii="Arial" w:eastAsia="Times New Roman" w:hAnsi="Arial" w:cs="Arial"/>
          <w:i/>
          <w:iCs/>
          <w:sz w:val="20"/>
          <w:szCs w:val="20"/>
          <w:lang w:eastAsia="pl-PL"/>
        </w:rPr>
        <w:t>Agenda działań na rzecz równości szans i niedyskryminacji w ramach  funduszy unijnych 2014-2020</w:t>
      </w:r>
      <w:r w:rsidRPr="004E3242">
        <w:rPr>
          <w:rFonts w:ascii="Arial" w:eastAsia="Times New Roman" w:hAnsi="Arial" w:cs="Arial"/>
          <w:sz w:val="20"/>
          <w:szCs w:val="20"/>
          <w:lang w:eastAsia="pl-PL"/>
        </w:rPr>
        <w:t>" (planuje się, że dokument zostanie zatwierdzony do końca I. kwartału 2015 r.).</w:t>
      </w:r>
    </w:p>
    <w:p w14:paraId="317CC23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Warunki tematyczne</w:t>
      </w:r>
      <w:r w:rsidRPr="004E3242">
        <w:rPr>
          <w:rFonts w:ascii="Arial" w:eastAsia="Times New Roman" w:hAnsi="Arial" w:cs="Arial"/>
          <w:sz w:val="20"/>
          <w:szCs w:val="20"/>
          <w:lang w:eastAsia="pl-PL"/>
        </w:rPr>
        <w:t xml:space="preserve"> powiązane są wprost z celami tematycznymi i priorytetami inwestycyjnymi. O ile warunki ogólne, z uwagi na swój charakter, badane są horyzontalnie na poziomie Umowy Partnerstwa i wszystkich programów, odpowiedzialność za warunki tematyczne została przypisana określonym obszarom/dziedzinom i mają charakter selektywny, tj. odnoszą się do programów podejmujących interwencję w tym zakresie.  Biorąc zatem pod uwagę przewidziany w POIŚ zakres wsparcia, ocenie poddane zostały adekwatne warunki, sformułowane dla celów tematycznych 4.–7. oraz 9.</w:t>
      </w:r>
    </w:p>
    <w:p w14:paraId="1A3469F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 xml:space="preserve">CT 4 Wspieranie przejścia na gospodarkę niskoemisyjną we wszystkich sektorach </w:t>
      </w:r>
    </w:p>
    <w:p w14:paraId="67D2E1D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Cel tematyczny 4.</w:t>
      </w:r>
      <w:r w:rsidRPr="004E3242">
        <w:rPr>
          <w:rFonts w:ascii="Arial" w:eastAsia="Times New Roman" w:hAnsi="Arial" w:cs="Arial"/>
          <w:sz w:val="20"/>
          <w:szCs w:val="20"/>
          <w:lang w:eastAsia="pl-PL"/>
        </w:rPr>
        <w:t xml:space="preserve"> objęty jest mechanizmem koncentracji tematycznej (ang. </w:t>
      </w:r>
      <w:proofErr w:type="spellStart"/>
      <w:r w:rsidRPr="004E3242">
        <w:rPr>
          <w:rFonts w:ascii="Arial" w:eastAsia="Times New Roman" w:hAnsi="Arial" w:cs="Arial"/>
          <w:i/>
          <w:iCs/>
          <w:sz w:val="20"/>
          <w:szCs w:val="20"/>
          <w:lang w:eastAsia="pl-PL"/>
        </w:rPr>
        <w:t>ringfencing</w:t>
      </w:r>
      <w:proofErr w:type="spellEnd"/>
      <w:r w:rsidRPr="004E3242">
        <w:rPr>
          <w:rFonts w:ascii="Arial" w:eastAsia="Times New Roman" w:hAnsi="Arial" w:cs="Arial"/>
          <w:sz w:val="20"/>
          <w:szCs w:val="20"/>
          <w:lang w:eastAsia="pl-PL"/>
        </w:rPr>
        <w:t xml:space="preserve">), co świadczy o jego istotnym znaczeniu dla kierunków wykorzystania funduszy UE. Zasadniczy element warunkowości </w:t>
      </w:r>
      <w:r w:rsidRPr="004E3242">
        <w:rPr>
          <w:rFonts w:ascii="Arial" w:eastAsia="Times New Roman" w:hAnsi="Arial" w:cs="Arial"/>
          <w:i/>
          <w:iCs/>
          <w:sz w:val="20"/>
          <w:szCs w:val="20"/>
          <w:lang w:eastAsia="pl-PL"/>
        </w:rPr>
        <w:t>ex-</w:t>
      </w:r>
      <w:proofErr w:type="spellStart"/>
      <w:r w:rsidRPr="004E3242">
        <w:rPr>
          <w:rFonts w:ascii="Arial" w:eastAsia="Times New Roman" w:hAnsi="Arial" w:cs="Arial"/>
          <w:i/>
          <w:iCs/>
          <w:sz w:val="20"/>
          <w:szCs w:val="20"/>
          <w:lang w:eastAsia="pl-PL"/>
        </w:rPr>
        <w:t>ante</w:t>
      </w:r>
      <w:proofErr w:type="spellEnd"/>
      <w:r w:rsidRPr="004E3242">
        <w:rPr>
          <w:rFonts w:ascii="Arial" w:eastAsia="Times New Roman" w:hAnsi="Arial" w:cs="Arial"/>
          <w:sz w:val="20"/>
          <w:szCs w:val="20"/>
          <w:lang w:eastAsia="pl-PL"/>
        </w:rPr>
        <w:t xml:space="preserve"> dla celu 4. stanowi wdrożenie odpowiedniej legislacji UE. Dotyczy to dyrektyw:</w:t>
      </w:r>
    </w:p>
    <w:p w14:paraId="202F6B52" w14:textId="77777777" w:rsidR="004E3242" w:rsidRPr="004E3242" w:rsidRDefault="004E3242" w:rsidP="00D20217">
      <w:pPr>
        <w:numPr>
          <w:ilvl w:val="0"/>
          <w:numId w:val="87"/>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dyrektywa Parlamentu Europejskiego i Rady 2010/31/UE z dnia 19 maja 2010 r. w sprawie charakterystyki energetycznej budynków</w:t>
      </w:r>
    </w:p>
    <w:p w14:paraId="5634FDAF" w14:textId="77777777" w:rsidR="004E3242" w:rsidRPr="004E3242" w:rsidRDefault="004E3242" w:rsidP="00D20217">
      <w:pPr>
        <w:numPr>
          <w:ilvl w:val="0"/>
          <w:numId w:val="87"/>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dyrektywa Parlamentu Europejskiego i Rady 2009/28/WE z dnia 23 kwietnia 2009 r. w sprawie promowania stosowania energii ze źródeł odnawialnych zmieniająca i w następstwie uchylająca dyrektywy 2001/77/WE oraz 2003/30/WE</w:t>
      </w:r>
    </w:p>
    <w:p w14:paraId="49F4F4B2" w14:textId="77777777" w:rsidR="004E3242" w:rsidRPr="004E3242" w:rsidRDefault="004E3242" w:rsidP="00D20217">
      <w:pPr>
        <w:numPr>
          <w:ilvl w:val="0"/>
          <w:numId w:val="87"/>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dyrektywa Parlamentu Europejskiego i Rady 2012/27/UE z dnia 25 października 2012 r. </w:t>
      </w:r>
      <w:r w:rsidRPr="004E3242">
        <w:rPr>
          <w:rFonts w:ascii="Arial" w:eastAsia="Times New Roman" w:hAnsi="Arial" w:cs="Arial"/>
          <w:sz w:val="20"/>
          <w:szCs w:val="20"/>
          <w:lang w:eastAsia="pl-PL"/>
        </w:rPr>
        <w:br/>
        <w:t>w sprawie efektywności energetycznej, zmiany dyrektyw 2009/125/WE i 2010/30/UE oraz uchylenia dyrektyw 2004/8/WE i 2006/32/WE</w:t>
      </w:r>
    </w:p>
    <w:p w14:paraId="555C2D8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Wdrożenie art. 3 i 11 dyrektywy 2010/31/UE nastąpiło poprzez wydanie </w:t>
      </w:r>
      <w:r w:rsidRPr="004E3242">
        <w:rPr>
          <w:rFonts w:ascii="Arial" w:eastAsia="Times New Roman" w:hAnsi="Arial" w:cs="Arial"/>
          <w:i/>
          <w:iCs/>
          <w:sz w:val="20"/>
          <w:szCs w:val="20"/>
          <w:lang w:eastAsia="pl-PL"/>
        </w:rPr>
        <w:t>Rozporządzenia w sprawie metodologii obliczania charakterystyki</w:t>
      </w:r>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 xml:space="preserve">energetycznej budynku i lokalu mieszkalnego lub części budynku stanowiącej samodzielną całość techniczno-użytkową oraz sposobu sporządzania i wzorów świadectw ich charakterystyki energetycznej (Dz.U. poz. 888). </w:t>
      </w:r>
      <w:r w:rsidRPr="004E3242">
        <w:rPr>
          <w:rFonts w:ascii="Arial" w:eastAsia="Times New Roman" w:hAnsi="Arial" w:cs="Arial"/>
          <w:sz w:val="20"/>
          <w:szCs w:val="20"/>
          <w:lang w:eastAsia="pl-PL"/>
        </w:rPr>
        <w:t xml:space="preserve">Rozporządzenie weszło w życie dnia </w:t>
      </w:r>
      <w:r w:rsidRPr="004E3242">
        <w:rPr>
          <w:rFonts w:ascii="Arial" w:eastAsia="Times New Roman" w:hAnsi="Arial" w:cs="Arial"/>
          <w:sz w:val="20"/>
          <w:szCs w:val="20"/>
          <w:lang w:eastAsia="pl-PL"/>
        </w:rPr>
        <w:br/>
        <w:t>2 października 2014 roku.</w:t>
      </w:r>
    </w:p>
    <w:p w14:paraId="4C4A635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zakresie wdrożenia w pełni art. 11 dyrektywy 2010/31/UE-obecnie procedowany jest projekt rozporządzenia w sprawie metodologii wyznaczania charakterystyki energetycznej budynku lub części </w:t>
      </w:r>
      <w:r w:rsidRPr="004E3242">
        <w:rPr>
          <w:rFonts w:ascii="Arial" w:eastAsia="Times New Roman" w:hAnsi="Arial" w:cs="Arial"/>
          <w:sz w:val="20"/>
          <w:szCs w:val="20"/>
          <w:lang w:eastAsia="pl-PL"/>
        </w:rPr>
        <w:lastRenderedPageBreak/>
        <w:t>budynku, sposobu sporządzania oraz wzorów świadectw charakterystyki energetycznej na podstawie upoważnienia określonego w art. 15 ustawy o charakterystyce energetycznej budynków.</w:t>
      </w:r>
    </w:p>
    <w:p w14:paraId="5CD2B4C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Minimalne wymagania dotyczące charakterystyki energetycznej, o których mowa w </w:t>
      </w:r>
      <w:r w:rsidRPr="004E3242">
        <w:rPr>
          <w:rFonts w:ascii="Arial" w:eastAsia="Times New Roman" w:hAnsi="Arial" w:cs="Arial"/>
          <w:b/>
          <w:bCs/>
          <w:sz w:val="20"/>
          <w:szCs w:val="20"/>
          <w:lang w:eastAsia="pl-PL"/>
        </w:rPr>
        <w:t xml:space="preserve">art. 4 </w:t>
      </w:r>
      <w:r w:rsidRPr="004E3242">
        <w:rPr>
          <w:rFonts w:ascii="Arial" w:eastAsia="Times New Roman" w:hAnsi="Arial" w:cs="Arial"/>
          <w:sz w:val="20"/>
          <w:szCs w:val="20"/>
          <w:lang w:eastAsia="pl-PL"/>
        </w:rPr>
        <w:t>dyrektywy 2010/31/UE, zostały określone w nowelizacji rozporządzenia Ministra Infrastruktury z dnia 12 kwietnia 2002 r</w:t>
      </w:r>
      <w:r w:rsidRPr="004E3242">
        <w:rPr>
          <w:rFonts w:ascii="Arial" w:eastAsia="Times New Roman" w:hAnsi="Arial" w:cs="Arial"/>
          <w:i/>
          <w:iCs/>
          <w:sz w:val="20"/>
          <w:szCs w:val="20"/>
          <w:lang w:eastAsia="pl-PL"/>
        </w:rPr>
        <w:t>. w sprawie warunków technicznych, jakim powinny odpowiadać budynki i ich usytuowanie</w:t>
      </w:r>
      <w:r w:rsidRPr="004E3242">
        <w:rPr>
          <w:rFonts w:ascii="Arial" w:eastAsia="Times New Roman" w:hAnsi="Arial" w:cs="Arial"/>
          <w:sz w:val="20"/>
          <w:szCs w:val="20"/>
          <w:lang w:eastAsia="pl-PL"/>
        </w:rPr>
        <w:t xml:space="preserve"> (Dz. U. Nr 75, poz. 690, z </w:t>
      </w:r>
      <w:proofErr w:type="spellStart"/>
      <w:r w:rsidRPr="004E3242">
        <w:rPr>
          <w:rFonts w:ascii="Arial" w:eastAsia="Times New Roman" w:hAnsi="Arial" w:cs="Arial"/>
          <w:sz w:val="20"/>
          <w:szCs w:val="20"/>
          <w:lang w:eastAsia="pl-PL"/>
        </w:rPr>
        <w:t>późn</w:t>
      </w:r>
      <w:proofErr w:type="spellEnd"/>
      <w:r w:rsidRPr="004E3242">
        <w:rPr>
          <w:rFonts w:ascii="Arial" w:eastAsia="Times New Roman" w:hAnsi="Arial" w:cs="Arial"/>
          <w:sz w:val="20"/>
          <w:szCs w:val="20"/>
          <w:lang w:eastAsia="pl-PL"/>
        </w:rPr>
        <w:t>. zm.). Wymagania obowiązują od 1 stycznia 2014 r.</w:t>
      </w:r>
    </w:p>
    <w:p w14:paraId="1A6E603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sz w:val="20"/>
          <w:szCs w:val="20"/>
          <w:lang w:eastAsia="pl-PL"/>
        </w:rPr>
        <w:t>Art. 5</w:t>
      </w:r>
      <w:r w:rsidRPr="004E3242">
        <w:rPr>
          <w:rFonts w:ascii="Arial" w:eastAsia="Times New Roman" w:hAnsi="Arial" w:cs="Arial"/>
          <w:sz w:val="20"/>
          <w:szCs w:val="20"/>
          <w:lang w:eastAsia="pl-PL"/>
        </w:rPr>
        <w:t xml:space="preserve"> dyrektywy 2010/31/UE został wdrożony poprzez wyznaczenie optymalnego poziomu wymagań minimalnych w zakresie charakterystyki energetycznej oraz przekazane w dniu 3 czerwca 2013 r. Komisji Europejskiej </w:t>
      </w:r>
      <w:r w:rsidRPr="004E3242">
        <w:rPr>
          <w:rFonts w:ascii="Arial" w:eastAsia="Times New Roman" w:hAnsi="Arial" w:cs="Arial"/>
          <w:i/>
          <w:iCs/>
          <w:sz w:val="20"/>
          <w:szCs w:val="20"/>
          <w:lang w:eastAsia="pl-PL"/>
        </w:rPr>
        <w:t>Sprawozdanie ze wszystkich danych wyjściowych i założeń użytych do celów obliczenia optymalnego pod względem kosztów poziomów wymagań minimalnych dotyczących charakterystyki energetycznej (</w:t>
      </w:r>
      <w:r w:rsidRPr="004E3242">
        <w:rPr>
          <w:rFonts w:ascii="Arial" w:eastAsia="Times New Roman" w:hAnsi="Arial" w:cs="Arial"/>
          <w:sz w:val="20"/>
          <w:szCs w:val="20"/>
          <w:lang w:eastAsia="pl-PL"/>
        </w:rPr>
        <w:t>uzupełnienie zostało przekazane do KE we wrześniu 2014 r.)</w:t>
      </w:r>
    </w:p>
    <w:p w14:paraId="176E8FC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przypadku art. 3 dyrektywy 2012/27/UE, dotyczącej efektywności energetycznej warunek wypełniony został poprzez przekazanie Komisji Europejskiej informacji dotyczącej krajowego celu indykatywnego w zakresie efektywności energetycznej dla Polski, ustalonego na podstawie ww. artykułu dyrektywy.</w:t>
      </w:r>
    </w:p>
    <w:p w14:paraId="078E7EB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Ustawa Prawo Energetyczne w pełni wdraża dyrektywę 2006/32/WE (art.13).</w:t>
      </w:r>
    </w:p>
    <w:p w14:paraId="009F050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Cała dyrektywa 2009/28/EC została implementowana, poprzez:</w:t>
      </w:r>
    </w:p>
    <w:p w14:paraId="6F907DE9" w14:textId="77777777" w:rsidR="004E3242" w:rsidRPr="004E3242" w:rsidRDefault="004E3242" w:rsidP="00D20217">
      <w:pPr>
        <w:numPr>
          <w:ilvl w:val="0"/>
          <w:numId w:val="8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Ustawa z dnia 10 kwietnia 1997 r. Prawo energetyczne wraz z aktami wykonawczymi;</w:t>
      </w:r>
    </w:p>
    <w:p w14:paraId="153B3F78" w14:textId="77777777" w:rsidR="004E3242" w:rsidRPr="004E3242" w:rsidRDefault="004E3242" w:rsidP="00D20217">
      <w:pPr>
        <w:numPr>
          <w:ilvl w:val="0"/>
          <w:numId w:val="8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Ustawa z dnia 21 marca 2014 r. o zmianie ustawy o biokomponentach i biopaliwach ciekłych oraz niektórych innych ustaw;</w:t>
      </w:r>
    </w:p>
    <w:p w14:paraId="1CFEAC4C" w14:textId="77777777" w:rsidR="004E3242" w:rsidRPr="004E3242" w:rsidRDefault="004E3242" w:rsidP="00D20217">
      <w:pPr>
        <w:numPr>
          <w:ilvl w:val="0"/>
          <w:numId w:val="8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Krajowy Plan Działań w zakresie energii ze źródeł odnawialnych, przyjęty uchwałą Rady Ministrów z dnia 7 grudnia 2010 r.;</w:t>
      </w:r>
    </w:p>
    <w:p w14:paraId="7124A0F2" w14:textId="77777777" w:rsidR="004E3242" w:rsidRPr="004E3242" w:rsidRDefault="004E3242" w:rsidP="00D20217">
      <w:pPr>
        <w:numPr>
          <w:ilvl w:val="0"/>
          <w:numId w:val="8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Polityka Energetyczna do 2030 roku.</w:t>
      </w:r>
    </w:p>
    <w:p w14:paraId="253F4CB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projekcie wytycznych KE </w:t>
      </w:r>
      <w:proofErr w:type="spellStart"/>
      <w:r w:rsidRPr="004E3242">
        <w:rPr>
          <w:rFonts w:ascii="Arial" w:eastAsia="Times New Roman" w:hAnsi="Arial" w:cs="Arial"/>
          <w:sz w:val="20"/>
          <w:szCs w:val="20"/>
          <w:lang w:eastAsia="pl-PL"/>
        </w:rPr>
        <w:t>ws</w:t>
      </w:r>
      <w:proofErr w:type="spellEnd"/>
      <w:r w:rsidRPr="004E3242">
        <w:rPr>
          <w:rFonts w:ascii="Arial" w:eastAsia="Times New Roman" w:hAnsi="Arial" w:cs="Arial"/>
          <w:sz w:val="20"/>
          <w:szCs w:val="20"/>
          <w:lang w:eastAsia="pl-PL"/>
        </w:rPr>
        <w:t xml:space="preserve">. wypełnienia warunkowości zawarta została obszerna interpretacja warunku dotyczącego wsparcia dla </w:t>
      </w:r>
      <w:r w:rsidRPr="004E3242">
        <w:rPr>
          <w:rFonts w:ascii="Arial" w:eastAsia="Times New Roman" w:hAnsi="Arial" w:cs="Arial"/>
          <w:b/>
          <w:bCs/>
          <w:sz w:val="20"/>
          <w:szCs w:val="20"/>
          <w:lang w:eastAsia="pl-PL"/>
        </w:rPr>
        <w:t>wysokosprawnej kogeneracji</w:t>
      </w:r>
      <w:r w:rsidRPr="004E3242">
        <w:rPr>
          <w:rFonts w:ascii="Arial" w:eastAsia="Times New Roman" w:hAnsi="Arial" w:cs="Arial"/>
          <w:sz w:val="20"/>
          <w:szCs w:val="20"/>
          <w:lang w:eastAsia="pl-PL"/>
        </w:rPr>
        <w:t xml:space="preserve"> energii cieplnej i energetycznej.</w:t>
      </w:r>
    </w:p>
    <w:p w14:paraId="086FCD0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Warunek został spełniony poprzez ustawę o zmianie ustawy – prawo energetyczne z dnia 14 marca 2014 r., przedłużającą wsparcie dla wytwarzania energii elektrycznej i ciepła we wszystkich rodzajach jednostek wysokosprawnej kogeneracji do końca 2018 roku. z rozliczeniem do 30 czerwca 2019 r.</w:t>
      </w:r>
    </w:p>
    <w:p w14:paraId="4418206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CT 5 Promowanie dostosowania do zmian klimatu, zapobiegania ryzyku i zarządzania ryzykiem</w:t>
      </w:r>
    </w:p>
    <w:p w14:paraId="6CA04AD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zakresie </w:t>
      </w:r>
      <w:r w:rsidRPr="004E3242">
        <w:rPr>
          <w:rFonts w:ascii="Arial" w:eastAsia="Times New Roman" w:hAnsi="Arial" w:cs="Arial"/>
          <w:b/>
          <w:bCs/>
          <w:sz w:val="20"/>
          <w:szCs w:val="20"/>
          <w:lang w:eastAsia="pl-PL"/>
        </w:rPr>
        <w:t>CT 5.</w:t>
      </w:r>
      <w:r w:rsidRPr="004E3242">
        <w:rPr>
          <w:rFonts w:ascii="Arial" w:eastAsia="Times New Roman" w:hAnsi="Arial" w:cs="Arial"/>
          <w:sz w:val="20"/>
          <w:szCs w:val="20"/>
          <w:lang w:eastAsia="pl-PL"/>
        </w:rPr>
        <w:t xml:space="preserve"> warunkiem jest posiadanie krajowej oraz regionalnych strategii ryzyka/ocen </w:t>
      </w:r>
      <w:proofErr w:type="spellStart"/>
      <w:r w:rsidRPr="004E3242">
        <w:rPr>
          <w:rFonts w:ascii="Arial" w:eastAsia="Times New Roman" w:hAnsi="Arial" w:cs="Arial"/>
          <w:sz w:val="20"/>
          <w:szCs w:val="20"/>
          <w:lang w:eastAsia="pl-PL"/>
        </w:rPr>
        <w:t>ryzyk</w:t>
      </w:r>
      <w:proofErr w:type="spellEnd"/>
      <w:r w:rsidRPr="004E3242">
        <w:rPr>
          <w:rFonts w:ascii="Arial" w:eastAsia="Times New Roman" w:hAnsi="Arial" w:cs="Arial"/>
          <w:sz w:val="20"/>
          <w:szCs w:val="20"/>
          <w:lang w:eastAsia="pl-PL"/>
        </w:rPr>
        <w:t xml:space="preserve"> oraz przedłożenie jej KE w ramach Wspólnotowego Mechanizmu Ochrony Ludności. Polska </w:t>
      </w:r>
      <w:r w:rsidRPr="004E3242">
        <w:rPr>
          <w:rFonts w:ascii="Arial" w:eastAsia="Times New Roman" w:hAnsi="Arial" w:cs="Arial"/>
          <w:b/>
          <w:bCs/>
          <w:sz w:val="20"/>
          <w:szCs w:val="20"/>
          <w:lang w:eastAsia="pl-PL"/>
        </w:rPr>
        <w:t>spełnia przypisane dla warunku 5.1 kryteria</w:t>
      </w:r>
      <w:r w:rsidRPr="004E3242">
        <w:rPr>
          <w:rFonts w:ascii="Arial" w:eastAsia="Times New Roman" w:hAnsi="Arial" w:cs="Arial"/>
          <w:sz w:val="20"/>
          <w:szCs w:val="20"/>
          <w:lang w:eastAsia="pl-PL"/>
        </w:rPr>
        <w:t xml:space="preserve"> wskazujące elementy, jakie powinny obejmować przygotowane dokumenty, odnoszące się do oceny ryzyka. W dniu 13 lutego 2014r. Polska przekazała wyjaśnienia – dokument roboczy przygotowywany przez Rządowe Centrum Bezpieczeństwa, opracowany na bazie niejawnego </w:t>
      </w:r>
      <w:r w:rsidRPr="004E3242">
        <w:rPr>
          <w:rFonts w:ascii="Arial" w:eastAsia="Times New Roman" w:hAnsi="Arial" w:cs="Arial"/>
          <w:i/>
          <w:iCs/>
          <w:sz w:val="20"/>
          <w:szCs w:val="20"/>
          <w:lang w:eastAsia="pl-PL"/>
        </w:rPr>
        <w:t>Raportu o zagrożeniach bezpieczeństwa narodowego</w:t>
      </w:r>
      <w:r w:rsidRPr="004E3242">
        <w:rPr>
          <w:rFonts w:ascii="Arial" w:eastAsia="Times New Roman" w:hAnsi="Arial" w:cs="Arial"/>
          <w:sz w:val="20"/>
          <w:szCs w:val="20"/>
          <w:lang w:eastAsia="pl-PL"/>
        </w:rPr>
        <w:t xml:space="preserve"> (przyjęty przez Radę Ministrów </w:t>
      </w:r>
      <w:r w:rsidRPr="004E3242">
        <w:rPr>
          <w:rFonts w:ascii="Arial" w:eastAsia="Times New Roman" w:hAnsi="Arial" w:cs="Arial"/>
          <w:sz w:val="20"/>
          <w:szCs w:val="20"/>
          <w:lang w:eastAsia="pl-PL"/>
        </w:rPr>
        <w:br/>
        <w:t>12 lipca 2013r.).</w:t>
      </w:r>
    </w:p>
    <w:p w14:paraId="5C62F24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Elementem wypełnienia warunku i podstawą do prowadzenia interwencji w obszarze adaptacji do zmian klimatu jest </w:t>
      </w:r>
      <w:r w:rsidRPr="004E3242">
        <w:rPr>
          <w:rFonts w:ascii="Arial" w:eastAsia="Times New Roman" w:hAnsi="Arial" w:cs="Arial"/>
          <w:i/>
          <w:iCs/>
          <w:sz w:val="20"/>
          <w:szCs w:val="20"/>
          <w:lang w:eastAsia="pl-PL"/>
        </w:rPr>
        <w:t xml:space="preserve">Strategiczny Plan Adaptacji dla sektorów i obszarów wrażliwych na zmiany klimatu </w:t>
      </w:r>
      <w:r w:rsidRPr="004E3242">
        <w:rPr>
          <w:rFonts w:ascii="Arial" w:eastAsia="Times New Roman" w:hAnsi="Arial" w:cs="Arial"/>
          <w:sz w:val="20"/>
          <w:szCs w:val="20"/>
          <w:lang w:eastAsia="pl-PL"/>
        </w:rPr>
        <w:t>(przyjęty przez RM 29 października 2013r.). Dokument obejmuje swoim zakresem m.in. scenariusze zmian klimatu dla Polski z uwzględnieniem uwarunkowań regionalnych, określenie wpływu zmian klimatu na sektory gospodarcze, w tym w szczególności takie sektory jak: gospodarka wodna, rolnictwo, leśnictwo, ochrona wybrzeża, budownictwo, transport, energetyka, gospodarka przestrzenna, jak również wskazanie działań adaptacyjnych w odniesieniu do sektorów oraz kosztów tych działań.</w:t>
      </w:r>
    </w:p>
    <w:p w14:paraId="5AF4F95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CT 6 Zachowanie i ochrona środowiska oraz promowanie efektywnego gospodarowania zasobami</w:t>
      </w:r>
    </w:p>
    <w:p w14:paraId="030E41E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 xml:space="preserve">W zakresie </w:t>
      </w:r>
      <w:r w:rsidRPr="004E3242">
        <w:rPr>
          <w:rFonts w:ascii="Arial" w:eastAsia="Times New Roman" w:hAnsi="Arial" w:cs="Arial"/>
          <w:b/>
          <w:bCs/>
          <w:sz w:val="20"/>
          <w:szCs w:val="20"/>
          <w:lang w:eastAsia="pl-PL"/>
        </w:rPr>
        <w:t>CT 6.</w:t>
      </w:r>
      <w:r w:rsidRPr="004E3242">
        <w:rPr>
          <w:rFonts w:ascii="Arial" w:eastAsia="Times New Roman" w:hAnsi="Arial" w:cs="Arial"/>
          <w:sz w:val="20"/>
          <w:szCs w:val="20"/>
          <w:lang w:eastAsia="pl-PL"/>
        </w:rPr>
        <w:t xml:space="preserve"> warunki koncentrują się na konieczności wdrożenia legislacji UE w odniesieniu do dwóch obszarów, na które skierowana zostanie przeważająca część alokacji, tj. sektora gospodarki odpadami oraz sektora gospodarki wodno-ściekowej.</w:t>
      </w:r>
    </w:p>
    <w:p w14:paraId="5502A60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obszarze </w:t>
      </w:r>
      <w:r w:rsidRPr="004E3242">
        <w:rPr>
          <w:rFonts w:ascii="Arial" w:eastAsia="Times New Roman" w:hAnsi="Arial" w:cs="Arial"/>
          <w:b/>
          <w:bCs/>
          <w:sz w:val="20"/>
          <w:szCs w:val="20"/>
          <w:lang w:eastAsia="pl-PL"/>
        </w:rPr>
        <w:t>gospodarki odpadami</w:t>
      </w:r>
      <w:r w:rsidRPr="004E3242">
        <w:rPr>
          <w:rFonts w:ascii="Arial" w:eastAsia="Times New Roman" w:hAnsi="Arial" w:cs="Arial"/>
          <w:sz w:val="20"/>
          <w:szCs w:val="20"/>
          <w:lang w:eastAsia="pl-PL"/>
        </w:rPr>
        <w:t xml:space="preserve"> działania legislacyjne zostały praktycznie zakończone (uchwalone zostały ustawy: </w:t>
      </w:r>
      <w:r w:rsidRPr="004E3242">
        <w:rPr>
          <w:rFonts w:ascii="Arial" w:eastAsia="Times New Roman" w:hAnsi="Arial" w:cs="Arial"/>
          <w:i/>
          <w:iCs/>
          <w:sz w:val="20"/>
          <w:szCs w:val="20"/>
          <w:lang w:eastAsia="pl-PL"/>
        </w:rPr>
        <w:t>o zmianie ustawy</w:t>
      </w:r>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o utrzymaniu czystości i porządku w gminach</w:t>
      </w:r>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oraz niektórych innych ustaw</w:t>
      </w:r>
      <w:r w:rsidRPr="004E3242">
        <w:rPr>
          <w:rFonts w:ascii="Arial" w:eastAsia="Times New Roman" w:hAnsi="Arial" w:cs="Arial"/>
          <w:sz w:val="20"/>
          <w:szCs w:val="20"/>
          <w:lang w:eastAsia="pl-PL"/>
        </w:rPr>
        <w:t xml:space="preserve"> – 1.07.2011 r. oraz </w:t>
      </w:r>
      <w:r w:rsidRPr="004E3242">
        <w:rPr>
          <w:rFonts w:ascii="Arial" w:eastAsia="Times New Roman" w:hAnsi="Arial" w:cs="Arial"/>
          <w:i/>
          <w:iCs/>
          <w:sz w:val="20"/>
          <w:szCs w:val="20"/>
          <w:lang w:eastAsia="pl-PL"/>
        </w:rPr>
        <w:t xml:space="preserve">o odpadach </w:t>
      </w:r>
      <w:r w:rsidRPr="004E3242">
        <w:rPr>
          <w:rFonts w:ascii="Arial" w:eastAsia="Times New Roman" w:hAnsi="Arial" w:cs="Arial"/>
          <w:sz w:val="20"/>
          <w:szCs w:val="20"/>
          <w:lang w:eastAsia="pl-PL"/>
        </w:rPr>
        <w:t xml:space="preserve">– 14.12.2012 r.). Na poziomie krajowym uchwalony został również </w:t>
      </w:r>
      <w:r w:rsidRPr="004E3242">
        <w:rPr>
          <w:rFonts w:ascii="Arial" w:eastAsia="Times New Roman" w:hAnsi="Arial" w:cs="Arial"/>
          <w:i/>
          <w:iCs/>
          <w:sz w:val="20"/>
          <w:szCs w:val="20"/>
          <w:lang w:eastAsia="pl-PL"/>
        </w:rPr>
        <w:t>Krajowy plan gospodarki odpadami 20</w:t>
      </w:r>
      <w:r w:rsidRPr="004E3242">
        <w:rPr>
          <w:rFonts w:ascii="Arial" w:eastAsia="Times New Roman" w:hAnsi="Arial" w:cs="Arial"/>
          <w:sz w:val="20"/>
          <w:szCs w:val="20"/>
          <w:lang w:eastAsia="pl-PL"/>
        </w:rPr>
        <w:t xml:space="preserve">14 (zawiera m.in. część poświęconą zapobieganiu powstawaniu odpadów), który będzie aktualizowany w 2015 r. Ponadto w związku ze stwierdzonymi brakami w </w:t>
      </w:r>
      <w:proofErr w:type="spellStart"/>
      <w:r w:rsidRPr="004E3242">
        <w:rPr>
          <w:rFonts w:ascii="Arial" w:eastAsia="Times New Roman" w:hAnsi="Arial" w:cs="Arial"/>
          <w:sz w:val="20"/>
          <w:szCs w:val="20"/>
          <w:lang w:eastAsia="pl-PL"/>
        </w:rPr>
        <w:t>wpgo</w:t>
      </w:r>
      <w:proofErr w:type="spellEnd"/>
      <w:r w:rsidRPr="004E3242">
        <w:rPr>
          <w:rFonts w:ascii="Arial" w:eastAsia="Times New Roman" w:hAnsi="Arial" w:cs="Arial"/>
          <w:sz w:val="20"/>
          <w:szCs w:val="20"/>
          <w:lang w:eastAsia="pl-PL"/>
        </w:rPr>
        <w:t xml:space="preserve"> w zakresie zapobiegania powstawaniu odpadów został opracowany, jako odrębny dokument </w:t>
      </w:r>
      <w:r w:rsidRPr="004E3242">
        <w:rPr>
          <w:rFonts w:ascii="Arial" w:eastAsia="Times New Roman" w:hAnsi="Arial" w:cs="Arial"/>
          <w:i/>
          <w:iCs/>
          <w:sz w:val="20"/>
          <w:szCs w:val="20"/>
          <w:lang w:eastAsia="pl-PL"/>
        </w:rPr>
        <w:t>Krajowy program zapobiegania powstawaniu odpadów</w:t>
      </w:r>
      <w:r w:rsidRPr="004E3242">
        <w:rPr>
          <w:rFonts w:ascii="Arial" w:eastAsia="Times New Roman" w:hAnsi="Arial" w:cs="Arial"/>
          <w:sz w:val="20"/>
          <w:szCs w:val="20"/>
          <w:lang w:eastAsia="pl-PL"/>
        </w:rPr>
        <w:t>, obejmujący zarówno działania na poziomie krajowym, jak i województw (przyjęty przez RM 26 czerwca 2014 r.).</w:t>
      </w:r>
    </w:p>
    <w:p w14:paraId="61A7A74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Pozostałe działania koncentrują się na poziomie regionalnym – KE notyfikowane zostały wszystkie (16) wojewódzkie plany gospodarki odpadami (</w:t>
      </w:r>
      <w:proofErr w:type="spellStart"/>
      <w:r w:rsidRPr="004E3242">
        <w:rPr>
          <w:rFonts w:ascii="Arial" w:eastAsia="Times New Roman" w:hAnsi="Arial" w:cs="Arial"/>
          <w:sz w:val="20"/>
          <w:szCs w:val="20"/>
          <w:lang w:eastAsia="pl-PL"/>
        </w:rPr>
        <w:t>wpgo</w:t>
      </w:r>
      <w:proofErr w:type="spellEnd"/>
      <w:r w:rsidRPr="004E3242">
        <w:rPr>
          <w:rFonts w:ascii="Arial" w:eastAsia="Times New Roman" w:hAnsi="Arial" w:cs="Arial"/>
          <w:sz w:val="20"/>
          <w:szCs w:val="20"/>
          <w:lang w:eastAsia="pl-PL"/>
        </w:rPr>
        <w:t xml:space="preserve">). Dodatkowo zostaną przygotowane plany inwestycyjne, stanowiące uszczegółowienie </w:t>
      </w:r>
      <w:proofErr w:type="spellStart"/>
      <w:r w:rsidRPr="004E3242">
        <w:rPr>
          <w:rFonts w:ascii="Arial" w:eastAsia="Times New Roman" w:hAnsi="Arial" w:cs="Arial"/>
          <w:sz w:val="20"/>
          <w:szCs w:val="20"/>
          <w:lang w:eastAsia="pl-PL"/>
        </w:rPr>
        <w:t>wpgo</w:t>
      </w:r>
      <w:proofErr w:type="spellEnd"/>
      <w:r w:rsidRPr="004E3242">
        <w:rPr>
          <w:rFonts w:ascii="Arial" w:eastAsia="Times New Roman" w:hAnsi="Arial" w:cs="Arial"/>
          <w:sz w:val="20"/>
          <w:szCs w:val="20"/>
          <w:lang w:eastAsia="pl-PL"/>
        </w:rPr>
        <w:t xml:space="preserve"> w zakresie wskazania instalacji do przetwarzania odpadów komunalnych, które powinny zostać wybudowane w województwie/regionie.</w:t>
      </w:r>
    </w:p>
    <w:p w14:paraId="77C9CFC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obszarze </w:t>
      </w:r>
      <w:r w:rsidRPr="004E3242">
        <w:rPr>
          <w:rFonts w:ascii="Arial" w:eastAsia="Times New Roman" w:hAnsi="Arial" w:cs="Arial"/>
          <w:b/>
          <w:bCs/>
          <w:sz w:val="20"/>
          <w:szCs w:val="20"/>
          <w:lang w:eastAsia="pl-PL"/>
        </w:rPr>
        <w:t>gospodarki wodnej</w:t>
      </w:r>
      <w:r w:rsidRPr="004E3242">
        <w:rPr>
          <w:rFonts w:ascii="Arial" w:eastAsia="Times New Roman" w:hAnsi="Arial" w:cs="Arial"/>
          <w:sz w:val="20"/>
          <w:szCs w:val="20"/>
          <w:lang w:eastAsia="pl-PL"/>
        </w:rPr>
        <w:t xml:space="preserve"> kluczowym elementem jest przyjęcie </w:t>
      </w:r>
      <w:r w:rsidRPr="004E3242">
        <w:rPr>
          <w:rFonts w:ascii="Arial" w:eastAsia="Times New Roman" w:hAnsi="Arial" w:cs="Arial"/>
          <w:i/>
          <w:iCs/>
          <w:sz w:val="20"/>
          <w:szCs w:val="20"/>
          <w:lang w:eastAsia="pl-PL"/>
        </w:rPr>
        <w:t>planów gospodarowania wodami</w:t>
      </w:r>
      <w:r w:rsidRPr="004E3242">
        <w:rPr>
          <w:rFonts w:ascii="Arial" w:eastAsia="Times New Roman" w:hAnsi="Arial" w:cs="Arial"/>
          <w:sz w:val="20"/>
          <w:szCs w:val="20"/>
          <w:lang w:eastAsia="pl-PL"/>
        </w:rPr>
        <w:t xml:space="preserve"> </w:t>
      </w:r>
      <w:r w:rsidRPr="004E3242">
        <w:rPr>
          <w:rFonts w:ascii="Arial" w:eastAsia="Times New Roman" w:hAnsi="Arial" w:cs="Arial"/>
          <w:i/>
          <w:iCs/>
          <w:sz w:val="20"/>
          <w:szCs w:val="20"/>
          <w:lang w:eastAsia="pl-PL"/>
        </w:rPr>
        <w:t>na obszarach dorzeczy</w:t>
      </w:r>
      <w:r w:rsidRPr="004E3242">
        <w:rPr>
          <w:rFonts w:ascii="Arial" w:eastAsia="Times New Roman" w:hAnsi="Arial" w:cs="Arial"/>
          <w:sz w:val="20"/>
          <w:szCs w:val="20"/>
          <w:lang w:eastAsia="pl-PL"/>
        </w:rPr>
        <w:t xml:space="preserve"> (PGW), zgodnych z wymogami RDW. PGW (zatwierdzone przez RM 22.02.2011r.), będą podlegały aktualizacji w 2015 r. W grudniu 2012 r. KE oceniła przyjęte dotychczas PGW, przedstawiając zalecenia do podjęcia działań w II. cyklu planistycznym. Zalecenia te są uwzględniane w ramach trwających prac nad przygotowaniem aktualizacji PGW.</w:t>
      </w:r>
    </w:p>
    <w:p w14:paraId="1435A00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Nowe PGW będą w pełni zgodne z wymogami RDW będą uwzględniać wyniki monitoringu stanu wód (zgodnie z art. 8 RDW) i opierać się na ocenie stanu jednolitych części wód, na podstawie danych monitoringowych za lata 2010-2012 (zgodnie z zał. V do RDW). Zaktualizowane PGW będą uwzględniać przedsięwzięcia infrastrukturalne mogące wywierać wpływ na stan wód i dla których możliwe jest zastosowanie odstępstw (z art. 4 RDW).</w:t>
      </w:r>
    </w:p>
    <w:p w14:paraId="6847E036"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Ponadto w związku z oczekiwaniami KE, PL opracowała (zatwierdzone przez RM 26.08.2014)  przejściowe dokumenty w gosp. wodnej, tzw. </w:t>
      </w:r>
      <w:proofErr w:type="spellStart"/>
      <w:r w:rsidRPr="004E3242">
        <w:rPr>
          <w:rFonts w:ascii="Arial" w:eastAsia="Times New Roman" w:hAnsi="Arial" w:cs="Arial"/>
          <w:sz w:val="20"/>
          <w:szCs w:val="20"/>
          <w:lang w:eastAsia="pl-PL"/>
        </w:rPr>
        <w:t>Masterplany</w:t>
      </w:r>
      <w:proofErr w:type="spellEnd"/>
      <w:r w:rsidRPr="004E3242">
        <w:rPr>
          <w:rFonts w:ascii="Arial" w:eastAsia="Times New Roman" w:hAnsi="Arial" w:cs="Arial"/>
          <w:sz w:val="20"/>
          <w:szCs w:val="20"/>
          <w:lang w:eastAsia="pl-PL"/>
        </w:rPr>
        <w:t xml:space="preserve"> dla dorzeczy Wisły i Odry, stanowiące uzupełnienie obowiązujących PGW. Jest to również element niezbędny dla uruchomienia środków na inwestycje w gospodarce wodnej (w tym również w ramach CT 5) w okresie 2014-2020.</w:t>
      </w:r>
    </w:p>
    <w:p w14:paraId="28716B0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MŚ trwają także prace przygotowaniem nowej ustawy </w:t>
      </w:r>
      <w:r w:rsidRPr="004E3242">
        <w:rPr>
          <w:rFonts w:ascii="Arial" w:eastAsia="Times New Roman" w:hAnsi="Arial" w:cs="Arial"/>
          <w:i/>
          <w:iCs/>
          <w:sz w:val="20"/>
          <w:szCs w:val="20"/>
          <w:lang w:eastAsia="pl-PL"/>
        </w:rPr>
        <w:t>– Prawo wodne</w:t>
      </w:r>
      <w:r w:rsidRPr="004E3242">
        <w:rPr>
          <w:rFonts w:ascii="Arial" w:eastAsia="Times New Roman" w:hAnsi="Arial" w:cs="Arial"/>
          <w:sz w:val="20"/>
          <w:szCs w:val="20"/>
          <w:lang w:eastAsia="pl-PL"/>
        </w:rPr>
        <w:t xml:space="preserve"> (w dn. 21.10.2014 r. RM przyjęła projekt założeń do ustawy)</w:t>
      </w:r>
      <w:r w:rsidRPr="004E3242">
        <w:rPr>
          <w:rFonts w:ascii="Arial" w:eastAsia="Times New Roman" w:hAnsi="Arial" w:cs="Arial"/>
          <w:i/>
          <w:iCs/>
          <w:sz w:val="20"/>
          <w:szCs w:val="20"/>
          <w:lang w:eastAsia="pl-PL"/>
        </w:rPr>
        <w:t xml:space="preserve">, </w:t>
      </w:r>
      <w:r w:rsidRPr="004E3242">
        <w:rPr>
          <w:rFonts w:ascii="Arial" w:eastAsia="Times New Roman" w:hAnsi="Arial" w:cs="Arial"/>
          <w:sz w:val="20"/>
          <w:szCs w:val="20"/>
          <w:lang w:eastAsia="pl-PL"/>
        </w:rPr>
        <w:t xml:space="preserve">obejmujący zakresem m.in. zapewnienie komplementarności polityce opłat za wodę z uwzględnieniem zasady „zwrotu kosztów za usługi wodne (wynikające </w:t>
      </w:r>
      <w:r w:rsidRPr="004E3242">
        <w:rPr>
          <w:rFonts w:ascii="Arial" w:eastAsia="Times New Roman" w:hAnsi="Arial" w:cs="Arial"/>
          <w:sz w:val="20"/>
          <w:szCs w:val="20"/>
          <w:lang w:eastAsia="pl-PL"/>
        </w:rPr>
        <w:br/>
        <w:t xml:space="preserve">z uzup. </w:t>
      </w:r>
      <w:proofErr w:type="spellStart"/>
      <w:r w:rsidRPr="004E3242">
        <w:rPr>
          <w:rFonts w:ascii="Arial" w:eastAsia="Times New Roman" w:hAnsi="Arial" w:cs="Arial"/>
          <w:sz w:val="20"/>
          <w:szCs w:val="20"/>
          <w:lang w:eastAsia="pl-PL"/>
        </w:rPr>
        <w:t>transp</w:t>
      </w:r>
      <w:proofErr w:type="spellEnd"/>
      <w:r w:rsidRPr="004E3242">
        <w:rPr>
          <w:rFonts w:ascii="Arial" w:eastAsia="Times New Roman" w:hAnsi="Arial" w:cs="Arial"/>
          <w:sz w:val="20"/>
          <w:szCs w:val="20"/>
          <w:lang w:eastAsia="pl-PL"/>
        </w:rPr>
        <w:t xml:space="preserve">. art. 9 RDW). </w:t>
      </w:r>
      <w:r w:rsidRPr="004E3242">
        <w:rPr>
          <w:rFonts w:ascii="Arial" w:eastAsia="Times New Roman" w:hAnsi="Arial" w:cs="Arial"/>
          <w:b/>
          <w:bCs/>
          <w:sz w:val="20"/>
          <w:szCs w:val="20"/>
          <w:lang w:eastAsia="pl-PL"/>
        </w:rPr>
        <w:t xml:space="preserve">W odniesieniu do inwestycji z EFRR i FS (gosp. wodno-ściekowa), zwrot kosztów w sektorze komunalnym jest na odpowiednim poziomie, określonym </w:t>
      </w:r>
      <w:r w:rsidRPr="004E3242">
        <w:rPr>
          <w:rFonts w:ascii="Arial" w:eastAsia="Times New Roman" w:hAnsi="Arial" w:cs="Arial"/>
          <w:b/>
          <w:bCs/>
          <w:sz w:val="20"/>
          <w:szCs w:val="20"/>
          <w:lang w:eastAsia="pl-PL"/>
        </w:rPr>
        <w:br/>
        <w:t>w zatwierdzonych PGW.</w:t>
      </w:r>
      <w:r w:rsidRPr="004E3242">
        <w:rPr>
          <w:rFonts w:ascii="Arial" w:eastAsia="Times New Roman" w:hAnsi="Arial" w:cs="Arial"/>
          <w:sz w:val="20"/>
          <w:szCs w:val="20"/>
          <w:lang w:eastAsia="pl-PL"/>
        </w:rPr>
        <w:t xml:space="preserve"> Działania te będą jednak dotyczyć w głównej mierze pozostałych sektorów, których nie dotyczy wsparcie w ramach EFRR i FS. Zakłada się, że przepisy ustawy wejdą w życie </w:t>
      </w:r>
      <w:r w:rsidRPr="004E3242">
        <w:rPr>
          <w:rFonts w:ascii="Arial" w:eastAsia="Times New Roman" w:hAnsi="Arial" w:cs="Arial"/>
          <w:sz w:val="20"/>
          <w:szCs w:val="20"/>
          <w:lang w:eastAsia="pl-PL"/>
        </w:rPr>
        <w:br/>
        <w:t>z dniem 1 stycznia 2016 r., wraz z początkiem roku budżetowego.</w:t>
      </w:r>
    </w:p>
    <w:p w14:paraId="2222FB1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 xml:space="preserve">CT 7 Promowanie zrównoważonego transportu i usuwanie niedoborów przepustowości </w:t>
      </w:r>
      <w:r w:rsidRPr="004E3242">
        <w:rPr>
          <w:rFonts w:ascii="Arial" w:eastAsia="Times New Roman" w:hAnsi="Arial" w:cs="Arial"/>
          <w:b/>
          <w:bCs/>
          <w:i/>
          <w:iCs/>
          <w:sz w:val="20"/>
          <w:szCs w:val="20"/>
          <w:lang w:eastAsia="pl-PL"/>
        </w:rPr>
        <w:br/>
        <w:t>w działaniu najważniejszych infrastruktur sieciowych</w:t>
      </w:r>
    </w:p>
    <w:p w14:paraId="3306EF7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przypadku celu tematycznego 7. (</w:t>
      </w:r>
      <w:r w:rsidRPr="004E3242">
        <w:rPr>
          <w:rFonts w:ascii="Arial" w:eastAsia="Times New Roman" w:hAnsi="Arial" w:cs="Arial"/>
          <w:b/>
          <w:bCs/>
          <w:sz w:val="20"/>
          <w:szCs w:val="20"/>
          <w:lang w:eastAsia="pl-PL"/>
        </w:rPr>
        <w:t>transport</w:t>
      </w:r>
      <w:r w:rsidRPr="004E3242">
        <w:rPr>
          <w:rFonts w:ascii="Arial" w:eastAsia="Times New Roman" w:hAnsi="Arial" w:cs="Arial"/>
          <w:sz w:val="20"/>
          <w:szCs w:val="20"/>
          <w:lang w:eastAsia="pl-PL"/>
        </w:rPr>
        <w:t>) warunki zostały określone w Załączniku XI pkt. 7 Rozporządzenia ogólnego i dotyczą strategicznego podejścia do planowania infrastruktury transportowej oraz przygotowania szczegółowych i realistycznych ram planistycznych dla projektów (</w:t>
      </w:r>
      <w:proofErr w:type="spellStart"/>
      <w:r w:rsidRPr="004E3242">
        <w:rPr>
          <w:rFonts w:ascii="Arial" w:eastAsia="Times New Roman" w:hAnsi="Arial" w:cs="Arial"/>
          <w:i/>
          <w:sz w:val="20"/>
          <w:szCs w:val="20"/>
          <w:lang w:eastAsia="pl-PL"/>
        </w:rPr>
        <w:t>project</w:t>
      </w:r>
      <w:proofErr w:type="spellEnd"/>
      <w:r w:rsidRPr="004E3242">
        <w:rPr>
          <w:rFonts w:ascii="Arial" w:eastAsia="Times New Roman" w:hAnsi="Arial" w:cs="Arial"/>
          <w:i/>
          <w:sz w:val="20"/>
          <w:szCs w:val="20"/>
          <w:lang w:eastAsia="pl-PL"/>
        </w:rPr>
        <w:t xml:space="preserve"> </w:t>
      </w:r>
      <w:proofErr w:type="spellStart"/>
      <w:r w:rsidRPr="004E3242">
        <w:rPr>
          <w:rFonts w:ascii="Arial" w:eastAsia="Times New Roman" w:hAnsi="Arial" w:cs="Arial"/>
          <w:i/>
          <w:sz w:val="20"/>
          <w:szCs w:val="20"/>
          <w:lang w:eastAsia="pl-PL"/>
        </w:rPr>
        <w:t>pipeline</w:t>
      </w:r>
      <w:proofErr w:type="spellEnd"/>
      <w:r w:rsidRPr="004E3242">
        <w:rPr>
          <w:rFonts w:ascii="Arial" w:eastAsia="Times New Roman" w:hAnsi="Arial" w:cs="Arial"/>
          <w:sz w:val="20"/>
          <w:szCs w:val="20"/>
          <w:lang w:eastAsia="pl-PL"/>
        </w:rPr>
        <w:t xml:space="preserve">), zawierających harmonogram budżetowy. Ponadto wymagane jest określenie działań na rzecz zapewnienia zdolności instytucji i beneficjentów do przygotowania i wdrażania </w:t>
      </w:r>
      <w:proofErr w:type="spellStart"/>
      <w:r w:rsidRPr="004E3242">
        <w:rPr>
          <w:rFonts w:ascii="Arial" w:eastAsia="Times New Roman" w:hAnsi="Arial" w:cs="Arial"/>
          <w:i/>
          <w:sz w:val="20"/>
          <w:szCs w:val="20"/>
          <w:lang w:eastAsia="pl-PL"/>
        </w:rPr>
        <w:t>project</w:t>
      </w:r>
      <w:proofErr w:type="spellEnd"/>
      <w:r w:rsidRPr="004E3242">
        <w:rPr>
          <w:rFonts w:ascii="Arial" w:eastAsia="Times New Roman" w:hAnsi="Arial" w:cs="Arial"/>
          <w:sz w:val="20"/>
          <w:szCs w:val="20"/>
          <w:lang w:eastAsia="pl-PL"/>
        </w:rPr>
        <w:t xml:space="preserve"> </w:t>
      </w:r>
      <w:proofErr w:type="spellStart"/>
      <w:r w:rsidRPr="004E3242">
        <w:rPr>
          <w:rFonts w:ascii="Arial" w:eastAsia="Times New Roman" w:hAnsi="Arial" w:cs="Arial"/>
          <w:i/>
          <w:sz w:val="20"/>
          <w:szCs w:val="20"/>
          <w:lang w:eastAsia="pl-PL"/>
        </w:rPr>
        <w:t>pipeline</w:t>
      </w:r>
      <w:proofErr w:type="spellEnd"/>
      <w:r w:rsidRPr="004E3242">
        <w:rPr>
          <w:rFonts w:ascii="Arial" w:eastAsia="Times New Roman" w:hAnsi="Arial" w:cs="Arial"/>
          <w:sz w:val="20"/>
          <w:szCs w:val="20"/>
          <w:lang w:eastAsia="pl-PL"/>
        </w:rPr>
        <w:t xml:space="preserve">. Warunek został spełniony przez Polskę dzięki przyjęciu Strategii Rozwoju Transportu do 2020 roku (z perspektywą do 2030 roku) oraz Dokumentu Implementacyjnego (DI), który zawiera ranking projektów drogowych, kolejowych i transportu wodnego (morskiego i śródlądowego) wraz </w:t>
      </w:r>
      <w:r w:rsidRPr="004E3242">
        <w:rPr>
          <w:rFonts w:ascii="Arial" w:eastAsia="Times New Roman" w:hAnsi="Arial" w:cs="Arial"/>
          <w:sz w:val="20"/>
          <w:szCs w:val="20"/>
          <w:lang w:eastAsia="pl-PL"/>
        </w:rPr>
        <w:br/>
        <w:t xml:space="preserve">z kosztami i harmonogramem przygotowania i realizacji poszczególnych projektów. W DI opisano planowane działania mające na celu wzmocnienie instytucjonalne beneficjentów. DI obejmuje </w:t>
      </w:r>
      <w:r w:rsidRPr="004E3242">
        <w:rPr>
          <w:rFonts w:ascii="Arial" w:eastAsia="Times New Roman" w:hAnsi="Arial" w:cs="Arial"/>
          <w:sz w:val="20"/>
          <w:szCs w:val="20"/>
          <w:lang w:eastAsia="pl-PL"/>
        </w:rPr>
        <w:lastRenderedPageBreak/>
        <w:t xml:space="preserve">inwestycje przewidziane do finansowania w ramach polityki spójności 2014-2020, jak również CEF </w:t>
      </w:r>
      <w:r w:rsidRPr="004E3242">
        <w:rPr>
          <w:rFonts w:ascii="Arial" w:eastAsia="Times New Roman" w:hAnsi="Arial" w:cs="Arial"/>
          <w:sz w:val="20"/>
          <w:szCs w:val="20"/>
          <w:lang w:eastAsia="pl-PL"/>
        </w:rPr>
        <w:br/>
        <w:t>i innych źródeł.</w:t>
      </w:r>
    </w:p>
    <w:p w14:paraId="2C1D100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przypadku celu tematycznego 7. (</w:t>
      </w:r>
      <w:r w:rsidRPr="004E3242">
        <w:rPr>
          <w:rFonts w:ascii="Arial" w:eastAsia="Times New Roman" w:hAnsi="Arial" w:cs="Arial"/>
          <w:b/>
          <w:bCs/>
          <w:sz w:val="20"/>
          <w:szCs w:val="20"/>
          <w:lang w:eastAsia="pl-PL"/>
        </w:rPr>
        <w:t>infrastruktura energetyczna</w:t>
      </w:r>
      <w:r w:rsidRPr="004E3242">
        <w:rPr>
          <w:rFonts w:ascii="Arial" w:eastAsia="Times New Roman" w:hAnsi="Arial" w:cs="Arial"/>
          <w:sz w:val="20"/>
          <w:szCs w:val="20"/>
          <w:lang w:eastAsia="pl-PL"/>
        </w:rPr>
        <w:t xml:space="preserve">) warunki dotyczą przygotowywanego aktualnie przez Ministerstwo Gospodarki tzw. </w:t>
      </w:r>
      <w:proofErr w:type="spellStart"/>
      <w:r w:rsidRPr="004E3242">
        <w:rPr>
          <w:rFonts w:ascii="Arial" w:eastAsia="Times New Roman" w:hAnsi="Arial" w:cs="Arial"/>
          <w:i/>
          <w:iCs/>
          <w:sz w:val="20"/>
          <w:szCs w:val="20"/>
          <w:lang w:eastAsia="pl-PL"/>
        </w:rPr>
        <w:t>project</w:t>
      </w:r>
      <w:proofErr w:type="spellEnd"/>
      <w:r w:rsidRPr="004E3242">
        <w:rPr>
          <w:rFonts w:ascii="Arial" w:eastAsia="Times New Roman" w:hAnsi="Arial" w:cs="Arial"/>
          <w:i/>
          <w:iCs/>
          <w:sz w:val="20"/>
          <w:szCs w:val="20"/>
          <w:lang w:eastAsia="pl-PL"/>
        </w:rPr>
        <w:t xml:space="preserve"> </w:t>
      </w:r>
      <w:proofErr w:type="spellStart"/>
      <w:r w:rsidRPr="004E3242">
        <w:rPr>
          <w:rFonts w:ascii="Arial" w:eastAsia="Times New Roman" w:hAnsi="Arial" w:cs="Arial"/>
          <w:i/>
          <w:iCs/>
          <w:sz w:val="20"/>
          <w:szCs w:val="20"/>
          <w:lang w:eastAsia="pl-PL"/>
        </w:rPr>
        <w:t>pipeline</w:t>
      </w:r>
      <w:proofErr w:type="spellEnd"/>
      <w:r w:rsidRPr="004E3242">
        <w:rPr>
          <w:rFonts w:ascii="Arial" w:eastAsia="Times New Roman" w:hAnsi="Arial" w:cs="Arial"/>
          <w:sz w:val="20"/>
          <w:szCs w:val="20"/>
          <w:lang w:eastAsia="pl-PL"/>
        </w:rPr>
        <w:t>. Dokument zostanie przygotowany i zaakceptowany do końca 2014 roku.</w:t>
      </w:r>
    </w:p>
    <w:p w14:paraId="71FCC30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CT 9. Promowanie włączenia społecznego, walka z ubóstwem i wszelką dyskryminacją</w:t>
      </w:r>
    </w:p>
    <w:p w14:paraId="08D3696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systemie planowania strategicznego funkcję dokumentu zapewniającego odpowiednie krajowe ramy strategiczne dla obszaru ochrony zdrowia pełnić będzie </w:t>
      </w:r>
      <w:r w:rsidRPr="004E3242">
        <w:rPr>
          <w:rFonts w:ascii="Arial" w:eastAsia="Times New Roman" w:hAnsi="Arial" w:cs="Arial"/>
          <w:i/>
          <w:iCs/>
          <w:sz w:val="20"/>
          <w:szCs w:val="20"/>
          <w:lang w:eastAsia="pl-PL"/>
        </w:rPr>
        <w:t>Policy Paper dla ochrony zdrowia na lata 2014-2020 Krajowe Strategiczne Ramy.</w:t>
      </w:r>
      <w:r w:rsidRPr="004E3242">
        <w:rPr>
          <w:rFonts w:ascii="Arial" w:eastAsia="Times New Roman" w:hAnsi="Arial" w:cs="Arial"/>
          <w:sz w:val="20"/>
          <w:szCs w:val="20"/>
          <w:lang w:eastAsia="pl-PL"/>
        </w:rPr>
        <w:t xml:space="preserve"> Będzie on scalać wsparcie dla systemu ochrony zdrowia ujęte w ramach poszczególnych strategii zintegrowanych oraz służyć będzie celom wdrożeniowym. Dokument składa się z trzech części.</w:t>
      </w:r>
    </w:p>
    <w:p w14:paraId="3180016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Pierwszą część stanowi diagnoza sytuacji zdrowotnej w Polsce, obejmująca analizę demograficzną </w:t>
      </w:r>
      <w:r w:rsidRPr="004E3242">
        <w:rPr>
          <w:rFonts w:ascii="Arial" w:eastAsia="Times New Roman" w:hAnsi="Arial" w:cs="Arial"/>
          <w:sz w:val="20"/>
          <w:szCs w:val="20"/>
          <w:lang w:eastAsia="pl-PL"/>
        </w:rPr>
        <w:br/>
        <w:t>i epidemiologiczną, a także opis organizacji systemu zdrowotnego, w tym diagnoza zasobów infrastrukturalnych oraz kadrowych, w ujęciu krajowym oraz regionalnym.</w:t>
      </w:r>
    </w:p>
    <w:p w14:paraId="16C32DA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Druga część to część </w:t>
      </w:r>
      <w:proofErr w:type="spellStart"/>
      <w:r w:rsidRPr="004E3242">
        <w:rPr>
          <w:rFonts w:ascii="Arial" w:eastAsia="Times New Roman" w:hAnsi="Arial" w:cs="Arial"/>
          <w:sz w:val="20"/>
          <w:szCs w:val="20"/>
          <w:lang w:eastAsia="pl-PL"/>
        </w:rPr>
        <w:t>strategiczno</w:t>
      </w:r>
      <w:proofErr w:type="spellEnd"/>
      <w:r w:rsidRPr="004E3242">
        <w:rPr>
          <w:rFonts w:ascii="Arial" w:eastAsia="Times New Roman" w:hAnsi="Arial" w:cs="Arial"/>
          <w:sz w:val="20"/>
          <w:szCs w:val="20"/>
          <w:lang w:eastAsia="pl-PL"/>
        </w:rPr>
        <w:t>-implementacyjna, uwzględniająca cele długoterminowe i kierunki interwencji zawarte w dokumentach strategicznych nowego systemu zarządzania rozwojem Polski.</w:t>
      </w:r>
    </w:p>
    <w:p w14:paraId="58BB39F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trzeciej części dokumentu przedstawiono ramy realizacyjne projektowanych działań: system koordynacji, monitorowania i ewaluacji wsparcia sektora zdrowia ze środków UE (na poziomie centralnym oraz regionalnym, wraz z mechanizmami proefektywnościowymi), wskaźniki kontekstowe wynikające z dokumentów strategicznych i wskaźniki dla celów operacyjnych oraz ramy finansowe.</w:t>
      </w:r>
    </w:p>
    <w:p w14:paraId="21AB412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Instytucją odpowiedzialną za przygotowanie dokumentu oraz prowadzenie prac związanych z jego treścią jest: Ministerstwo Zdrowia.</w:t>
      </w:r>
    </w:p>
    <w:p w14:paraId="41EE294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p>
    <w:p w14:paraId="68B2CC5B" w14:textId="77777777" w:rsidR="004E3242" w:rsidRPr="004E3242" w:rsidRDefault="004E3242" w:rsidP="004E3242">
      <w:pPr>
        <w:spacing w:before="120" w:after="120"/>
        <w:jc w:val="both"/>
        <w:rPr>
          <w:rFonts w:ascii="Arial" w:hAnsi="Arial" w:cs="Arial"/>
          <w:b/>
          <w:spacing w:val="4"/>
          <w:sz w:val="16"/>
          <w:szCs w:val="16"/>
        </w:rPr>
        <w:sectPr w:rsidR="004E3242" w:rsidRPr="004E3242" w:rsidSect="00C73ABE">
          <w:pgSz w:w="11906" w:h="16838"/>
          <w:pgMar w:top="1418" w:right="1418" w:bottom="1418" w:left="1418" w:header="709" w:footer="709" w:gutter="0"/>
          <w:cols w:space="708"/>
          <w:titlePg/>
          <w:docGrid w:linePitch="360"/>
        </w:sect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2085"/>
        <w:gridCol w:w="1535"/>
        <w:gridCol w:w="1419"/>
        <w:gridCol w:w="2499"/>
        <w:gridCol w:w="1409"/>
        <w:gridCol w:w="3393"/>
        <w:gridCol w:w="3012"/>
      </w:tblGrid>
      <w:tr w:rsidR="004E3242" w:rsidRPr="004E3242" w14:paraId="79CC280B" w14:textId="77777777" w:rsidTr="00AA7998">
        <w:trPr>
          <w:tblHeader/>
        </w:trPr>
        <w:tc>
          <w:tcPr>
            <w:tcW w:w="679" w:type="pct"/>
            <w:shd w:val="clear" w:color="auto" w:fill="99CC00"/>
            <w:vAlign w:val="center"/>
          </w:tcPr>
          <w:p w14:paraId="2E569C0C" w14:textId="77777777" w:rsidR="004E3242" w:rsidRPr="004E3242" w:rsidRDefault="004E3242" w:rsidP="004E3242">
            <w:pPr>
              <w:spacing w:before="60" w:after="60" w:line="240" w:lineRule="auto"/>
              <w:jc w:val="both"/>
              <w:rPr>
                <w:rFonts w:ascii="Arial" w:hAnsi="Arial" w:cs="Arial"/>
                <w:color w:val="FFFFFF"/>
                <w:spacing w:val="4"/>
                <w:sz w:val="16"/>
                <w:szCs w:val="16"/>
              </w:rPr>
            </w:pPr>
            <w:r w:rsidRPr="004E3242">
              <w:rPr>
                <w:rFonts w:ascii="Arial" w:hAnsi="Arial" w:cs="Arial"/>
                <w:color w:val="FFFFFF"/>
                <w:spacing w:val="4"/>
                <w:sz w:val="16"/>
                <w:szCs w:val="16"/>
              </w:rPr>
              <w:lastRenderedPageBreak/>
              <w:t>Warunek</w:t>
            </w:r>
          </w:p>
        </w:tc>
        <w:tc>
          <w:tcPr>
            <w:tcW w:w="500" w:type="pct"/>
            <w:shd w:val="clear" w:color="auto" w:fill="99CC00"/>
            <w:vAlign w:val="center"/>
          </w:tcPr>
          <w:p w14:paraId="4BAD3BCB" w14:textId="77777777" w:rsidR="004E3242" w:rsidRPr="004E3242" w:rsidRDefault="004E3242" w:rsidP="004E3242">
            <w:pPr>
              <w:spacing w:before="60" w:after="60" w:line="240" w:lineRule="auto"/>
              <w:ind w:left="-100"/>
              <w:jc w:val="center"/>
              <w:rPr>
                <w:rFonts w:ascii="Arial" w:hAnsi="Arial" w:cs="Arial"/>
                <w:color w:val="FFFFFF"/>
                <w:spacing w:val="4"/>
                <w:sz w:val="16"/>
                <w:szCs w:val="16"/>
              </w:rPr>
            </w:pPr>
            <w:r w:rsidRPr="004E3242">
              <w:rPr>
                <w:rFonts w:ascii="Arial" w:hAnsi="Arial" w:cs="Arial"/>
                <w:color w:val="FFFFFF"/>
                <w:spacing w:val="4"/>
                <w:sz w:val="16"/>
                <w:szCs w:val="16"/>
              </w:rPr>
              <w:t>Oś priorytetowa</w:t>
            </w:r>
          </w:p>
        </w:tc>
        <w:tc>
          <w:tcPr>
            <w:tcW w:w="462" w:type="pct"/>
            <w:shd w:val="clear" w:color="auto" w:fill="99CC00"/>
            <w:vAlign w:val="center"/>
          </w:tcPr>
          <w:p w14:paraId="4FDBC6DE" w14:textId="77777777" w:rsidR="004E3242" w:rsidRPr="004E3242" w:rsidRDefault="004E3242" w:rsidP="004E3242">
            <w:pPr>
              <w:spacing w:before="60" w:after="60" w:line="240" w:lineRule="auto"/>
              <w:jc w:val="both"/>
              <w:rPr>
                <w:rFonts w:ascii="Arial" w:hAnsi="Arial" w:cs="Arial"/>
                <w:color w:val="FFFFFF"/>
                <w:spacing w:val="4"/>
                <w:sz w:val="16"/>
                <w:szCs w:val="16"/>
              </w:rPr>
            </w:pPr>
            <w:r w:rsidRPr="004E3242">
              <w:rPr>
                <w:rFonts w:ascii="Arial" w:hAnsi="Arial" w:cs="Arial"/>
                <w:color w:val="FFFFFF"/>
                <w:spacing w:val="4"/>
                <w:sz w:val="16"/>
                <w:szCs w:val="16"/>
              </w:rPr>
              <w:t>Spełnienie warunku</w:t>
            </w:r>
          </w:p>
        </w:tc>
        <w:tc>
          <w:tcPr>
            <w:tcW w:w="814" w:type="pct"/>
            <w:shd w:val="clear" w:color="auto" w:fill="99CC00"/>
            <w:vAlign w:val="center"/>
          </w:tcPr>
          <w:p w14:paraId="3D69109C" w14:textId="77777777" w:rsidR="004E3242" w:rsidRPr="004E3242" w:rsidRDefault="004E3242" w:rsidP="004E3242">
            <w:pPr>
              <w:spacing w:before="60" w:after="60" w:line="240" w:lineRule="auto"/>
              <w:jc w:val="both"/>
              <w:rPr>
                <w:rFonts w:ascii="Arial" w:hAnsi="Arial" w:cs="Arial"/>
                <w:color w:val="FFFFFF"/>
                <w:spacing w:val="4"/>
                <w:sz w:val="16"/>
                <w:szCs w:val="16"/>
              </w:rPr>
            </w:pPr>
            <w:r w:rsidRPr="004E3242">
              <w:rPr>
                <w:rFonts w:ascii="Arial" w:hAnsi="Arial" w:cs="Arial"/>
                <w:color w:val="FFFFFF"/>
                <w:spacing w:val="4"/>
                <w:sz w:val="16"/>
                <w:szCs w:val="16"/>
              </w:rPr>
              <w:t>Kryteria</w:t>
            </w:r>
          </w:p>
        </w:tc>
        <w:tc>
          <w:tcPr>
            <w:tcW w:w="459" w:type="pct"/>
            <w:shd w:val="clear" w:color="auto" w:fill="99CC00"/>
            <w:vAlign w:val="center"/>
          </w:tcPr>
          <w:p w14:paraId="02AF01F9" w14:textId="77777777" w:rsidR="004E3242" w:rsidRPr="004E3242" w:rsidRDefault="004E3242" w:rsidP="004E3242">
            <w:pPr>
              <w:spacing w:before="60" w:after="60" w:line="240" w:lineRule="auto"/>
              <w:jc w:val="both"/>
              <w:rPr>
                <w:rFonts w:ascii="Arial" w:hAnsi="Arial" w:cs="Arial"/>
                <w:color w:val="FFFFFF"/>
                <w:spacing w:val="4"/>
                <w:sz w:val="16"/>
                <w:szCs w:val="16"/>
              </w:rPr>
            </w:pPr>
            <w:r w:rsidRPr="004E3242">
              <w:rPr>
                <w:rFonts w:ascii="Arial" w:hAnsi="Arial" w:cs="Arial"/>
                <w:color w:val="FFFFFF"/>
                <w:spacing w:val="4"/>
                <w:sz w:val="16"/>
                <w:szCs w:val="16"/>
              </w:rPr>
              <w:t>Spełnienie kryteriów</w:t>
            </w:r>
          </w:p>
        </w:tc>
        <w:tc>
          <w:tcPr>
            <w:tcW w:w="1105" w:type="pct"/>
            <w:shd w:val="clear" w:color="auto" w:fill="99CC00"/>
            <w:vAlign w:val="center"/>
          </w:tcPr>
          <w:p w14:paraId="0EEB6402" w14:textId="77777777" w:rsidR="004E3242" w:rsidRPr="004E3242" w:rsidRDefault="004E3242" w:rsidP="004E3242">
            <w:pPr>
              <w:spacing w:before="60" w:after="60" w:line="240" w:lineRule="auto"/>
              <w:jc w:val="both"/>
              <w:rPr>
                <w:rFonts w:ascii="Arial" w:hAnsi="Arial" w:cs="Arial"/>
                <w:color w:val="FFFFFF"/>
                <w:spacing w:val="4"/>
                <w:sz w:val="16"/>
                <w:szCs w:val="16"/>
              </w:rPr>
            </w:pPr>
            <w:r w:rsidRPr="004E3242">
              <w:rPr>
                <w:rFonts w:ascii="Arial" w:hAnsi="Arial" w:cs="Arial"/>
                <w:color w:val="FFFFFF"/>
                <w:spacing w:val="4"/>
                <w:sz w:val="16"/>
                <w:szCs w:val="16"/>
              </w:rPr>
              <w:t>Odniesienie</w:t>
            </w:r>
          </w:p>
        </w:tc>
        <w:tc>
          <w:tcPr>
            <w:tcW w:w="981" w:type="pct"/>
            <w:shd w:val="clear" w:color="auto" w:fill="99CC00"/>
            <w:vAlign w:val="center"/>
          </w:tcPr>
          <w:p w14:paraId="77685D31" w14:textId="77777777" w:rsidR="004E3242" w:rsidRPr="004E3242" w:rsidRDefault="004E3242" w:rsidP="004E3242">
            <w:pPr>
              <w:spacing w:before="60" w:after="60" w:line="240" w:lineRule="auto"/>
              <w:jc w:val="both"/>
              <w:rPr>
                <w:rFonts w:ascii="Arial" w:hAnsi="Arial" w:cs="Arial"/>
                <w:color w:val="FFFFFF"/>
                <w:spacing w:val="4"/>
                <w:sz w:val="16"/>
                <w:szCs w:val="16"/>
              </w:rPr>
            </w:pPr>
            <w:r w:rsidRPr="004E3242">
              <w:rPr>
                <w:rFonts w:ascii="Arial" w:hAnsi="Arial" w:cs="Arial"/>
                <w:color w:val="FFFFFF"/>
                <w:spacing w:val="4"/>
                <w:sz w:val="16"/>
                <w:szCs w:val="16"/>
              </w:rPr>
              <w:t>Wyjaśnienie</w:t>
            </w:r>
          </w:p>
        </w:tc>
      </w:tr>
      <w:tr w:rsidR="004E3242" w:rsidRPr="004E3242" w14:paraId="055C281A" w14:textId="77777777" w:rsidTr="00AA7998">
        <w:tc>
          <w:tcPr>
            <w:tcW w:w="679" w:type="pct"/>
            <w:vMerge w:val="restart"/>
            <w:shd w:val="clear" w:color="auto" w:fill="D6E3BC"/>
            <w:vAlign w:val="center"/>
          </w:tcPr>
          <w:p w14:paraId="282928F5"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smallCaps/>
                <w:sz w:val="16"/>
                <w:szCs w:val="16"/>
              </w:rPr>
              <w:t>Istnienie zdolności administracyjnych umożliwiających wdrożenie i stosowanie unijnych przepisów i polityki dotyczących niedyskryminacji w odniesieniu do EFSI.</w:t>
            </w:r>
          </w:p>
        </w:tc>
        <w:tc>
          <w:tcPr>
            <w:tcW w:w="500" w:type="pct"/>
            <w:vMerge w:val="restart"/>
            <w:shd w:val="clear" w:color="auto" w:fill="F2F2F2"/>
            <w:vAlign w:val="center"/>
          </w:tcPr>
          <w:p w14:paraId="4E14F554"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 – X.</w:t>
            </w:r>
          </w:p>
        </w:tc>
        <w:tc>
          <w:tcPr>
            <w:tcW w:w="462" w:type="pct"/>
            <w:vMerge w:val="restart"/>
            <w:shd w:val="clear" w:color="auto" w:fill="F2F2F2"/>
            <w:vAlign w:val="center"/>
          </w:tcPr>
          <w:p w14:paraId="1514657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Częściowo </w:t>
            </w:r>
          </w:p>
        </w:tc>
        <w:tc>
          <w:tcPr>
            <w:tcW w:w="814" w:type="pct"/>
            <w:shd w:val="clear" w:color="auto" w:fill="F2F2F2"/>
            <w:vAlign w:val="center"/>
          </w:tcPr>
          <w:p w14:paraId="4A84764B"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zgodne z ramami instytucjonalnymi i prawnymi państw członkowskich dotyczące zaangażowania podmiotów odpowiedzialnych za wspieranie równego traktowania wszystkich osób podczas przygotowywania i wdrażania programów, w tym zapewnienie doradztwa dotyczącego równości w zakresie działań związanych z EFSI.</w:t>
            </w:r>
          </w:p>
        </w:tc>
        <w:tc>
          <w:tcPr>
            <w:tcW w:w="459" w:type="pct"/>
            <w:shd w:val="clear" w:color="auto" w:fill="F2F2F2"/>
            <w:vAlign w:val="center"/>
          </w:tcPr>
          <w:p w14:paraId="56BAF7B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shd w:val="clear" w:color="auto" w:fill="F2F2F2"/>
            <w:vAlign w:val="center"/>
          </w:tcPr>
          <w:p w14:paraId="5DBDBA23"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z dnia 3 grudnia 2010 r. o wdrożeniu niektórych przepisów Unii Europejskiej w zakresie równego traktowania.</w:t>
            </w:r>
          </w:p>
          <w:p w14:paraId="529AB352"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i/>
                <w:iCs/>
                <w:sz w:val="16"/>
                <w:szCs w:val="16"/>
                <w:lang w:eastAsia="pl-PL"/>
              </w:rPr>
              <w:t>http://isap.sejm.gov.pl/DetailsServlet?id=WDU2010254</w:t>
            </w:r>
          </w:p>
          <w:p w14:paraId="13DE2C21"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4D4FB193"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6C62988C" w14:textId="77777777" w:rsidTr="00AA7998">
        <w:tc>
          <w:tcPr>
            <w:tcW w:w="679" w:type="pct"/>
            <w:vMerge/>
            <w:shd w:val="clear" w:color="auto" w:fill="D6E3BC"/>
            <w:vAlign w:val="center"/>
          </w:tcPr>
          <w:p w14:paraId="3B7B1CCD"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7D0CB684"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6BC2E22F" w14:textId="77777777" w:rsidR="004E3242" w:rsidRPr="004E3242" w:rsidRDefault="004E3242" w:rsidP="004E3242">
            <w:pPr>
              <w:spacing w:before="60" w:after="60" w:line="240" w:lineRule="auto"/>
              <w:ind w:left="-121"/>
              <w:jc w:val="center"/>
              <w:rPr>
                <w:rFonts w:ascii="Arial" w:hAnsi="Arial" w:cs="Arial"/>
                <w:spacing w:val="4"/>
                <w:sz w:val="16"/>
                <w:szCs w:val="16"/>
              </w:rPr>
            </w:pPr>
          </w:p>
        </w:tc>
        <w:tc>
          <w:tcPr>
            <w:tcW w:w="814" w:type="pct"/>
            <w:shd w:val="clear" w:color="auto" w:fill="F2F2F2"/>
            <w:vAlign w:val="center"/>
          </w:tcPr>
          <w:p w14:paraId="2E6C0535"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w zakresie szkoleń pracowników instytucji zaangażowanych w zarządzanie EFSI oraz kontrolę nad tymi funduszami z dziedziny unijnych przepisów i polityki dotyczących niedyskryminacji.</w:t>
            </w:r>
          </w:p>
        </w:tc>
        <w:tc>
          <w:tcPr>
            <w:tcW w:w="459" w:type="pct"/>
            <w:shd w:val="clear" w:color="auto" w:fill="F2F2F2"/>
            <w:vAlign w:val="center"/>
          </w:tcPr>
          <w:p w14:paraId="01109DE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Niespełnione  </w:t>
            </w:r>
          </w:p>
        </w:tc>
        <w:tc>
          <w:tcPr>
            <w:tcW w:w="1105" w:type="pct"/>
            <w:shd w:val="clear" w:color="auto" w:fill="F2F2F2"/>
            <w:vAlign w:val="center"/>
          </w:tcPr>
          <w:p w14:paraId="75861349"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sz w:val="16"/>
                <w:szCs w:val="16"/>
              </w:rPr>
              <w:t>Agenda działań na rzecz równości szans i niedyskryminacji w ramach funduszy unijnych 2014-2020.</w:t>
            </w:r>
          </w:p>
        </w:tc>
        <w:tc>
          <w:tcPr>
            <w:tcW w:w="981" w:type="pct"/>
            <w:shd w:val="clear" w:color="auto" w:fill="F2F2F2"/>
            <w:vAlign w:val="center"/>
          </w:tcPr>
          <w:p w14:paraId="339EC119"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Agenda została przesłana do KE przez MIR 12 sierpnia 2014 r.</w:t>
            </w:r>
          </w:p>
        </w:tc>
      </w:tr>
      <w:tr w:rsidR="004E3242" w:rsidRPr="004E3242" w14:paraId="6954BE06" w14:textId="77777777" w:rsidTr="00AA7998">
        <w:tc>
          <w:tcPr>
            <w:tcW w:w="679" w:type="pct"/>
            <w:vMerge w:val="restart"/>
            <w:shd w:val="clear" w:color="auto" w:fill="D6E3BC"/>
            <w:vAlign w:val="center"/>
          </w:tcPr>
          <w:p w14:paraId="1D83231B"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smallCaps/>
                <w:sz w:val="16"/>
                <w:szCs w:val="16"/>
              </w:rPr>
              <w:t>Istnienie zdolności administracyjnych umożliwiających wdrożenie i stosowanie unijnych przepisów i polityki dotyczących równouprawnienia płci w odniesieniu do EFSI.</w:t>
            </w:r>
          </w:p>
        </w:tc>
        <w:tc>
          <w:tcPr>
            <w:tcW w:w="500" w:type="pct"/>
            <w:vMerge w:val="restart"/>
            <w:shd w:val="clear" w:color="auto" w:fill="F2F2F2"/>
            <w:vAlign w:val="center"/>
          </w:tcPr>
          <w:p w14:paraId="4AE67A2E"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 xml:space="preserve">I. – X. </w:t>
            </w:r>
          </w:p>
        </w:tc>
        <w:tc>
          <w:tcPr>
            <w:tcW w:w="462" w:type="pct"/>
            <w:vMerge w:val="restart"/>
            <w:shd w:val="clear" w:color="auto" w:fill="F2F2F2"/>
            <w:vAlign w:val="center"/>
          </w:tcPr>
          <w:p w14:paraId="06EA1978"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Częściowo</w:t>
            </w:r>
          </w:p>
        </w:tc>
        <w:tc>
          <w:tcPr>
            <w:tcW w:w="814" w:type="pct"/>
            <w:shd w:val="clear" w:color="auto" w:fill="F2F2F2"/>
            <w:vAlign w:val="center"/>
          </w:tcPr>
          <w:p w14:paraId="5DDFD381" w14:textId="77777777" w:rsidR="004E3242" w:rsidRPr="004E3242" w:rsidRDefault="004E3242" w:rsidP="004E3242">
            <w:pPr>
              <w:spacing w:before="60" w:after="60" w:line="240" w:lineRule="auto"/>
              <w:jc w:val="center"/>
              <w:rPr>
                <w:rFonts w:ascii="Arial" w:hAnsi="Arial" w:cs="Arial"/>
                <w:spacing w:val="4"/>
                <w:sz w:val="16"/>
                <w:szCs w:val="16"/>
                <w:u w:val="single"/>
              </w:rPr>
            </w:pPr>
            <w:r w:rsidRPr="004E3242">
              <w:rPr>
                <w:rFonts w:ascii="Arial" w:hAnsi="Arial" w:cs="Arial"/>
                <w:sz w:val="16"/>
                <w:szCs w:val="16"/>
              </w:rPr>
              <w:t>Rozwiązania zgodne z ramami instytucjonalnymi i prawnymi państw członkowskich dotyczące zaangażowania podmiotów odpowiedzialnych za równouprawnienie płci podczas przygotowywania i realizacji programów, w tym zapewnienie doradztwa dotyczącego równouprawnienia płci w zakresie działań związanych z EFSI.</w:t>
            </w:r>
          </w:p>
        </w:tc>
        <w:tc>
          <w:tcPr>
            <w:tcW w:w="459" w:type="pct"/>
            <w:shd w:val="clear" w:color="auto" w:fill="F2F2F2"/>
            <w:vAlign w:val="center"/>
          </w:tcPr>
          <w:p w14:paraId="6EC1DD91"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shd w:val="clear" w:color="auto" w:fill="F2F2F2"/>
            <w:vAlign w:val="center"/>
          </w:tcPr>
          <w:p w14:paraId="1E5DFE7C"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z dnia 3 grudnia 2010 r. o wdrożeniu niektórych przepisów Unii Europejskiej w zakresie równego traktowania.</w:t>
            </w:r>
          </w:p>
          <w:p w14:paraId="16F8A9CD"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i/>
                <w:iCs/>
                <w:sz w:val="16"/>
                <w:szCs w:val="16"/>
                <w:lang w:eastAsia="pl-PL"/>
              </w:rPr>
              <w:t>http://isap.sejm.gov.pl/DetailsServlet?id=WDU2010254</w:t>
            </w:r>
          </w:p>
          <w:p w14:paraId="5C96CD47"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204DF24A"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457B7016" w14:textId="77777777" w:rsidTr="00AA7998">
        <w:tc>
          <w:tcPr>
            <w:tcW w:w="679" w:type="pct"/>
            <w:vMerge/>
            <w:shd w:val="clear" w:color="auto" w:fill="D6E3BC"/>
            <w:vAlign w:val="center"/>
          </w:tcPr>
          <w:p w14:paraId="730ACE68"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009D7102"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33050BB4"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639ED826"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 xml:space="preserve">Rozwiązania zgodne z ramami instytucjonalnymi i prawnymi państw członkowskich dotyczące zaangażowania podmiotów odpowiedzialnych za równouprawnienie płci podczas przygotowywania i realizacji programów, w tym zapewnienie doradztwa </w:t>
            </w:r>
            <w:r w:rsidRPr="004E3242">
              <w:rPr>
                <w:rFonts w:ascii="Arial" w:hAnsi="Arial" w:cs="Arial"/>
                <w:sz w:val="16"/>
                <w:szCs w:val="16"/>
              </w:rPr>
              <w:lastRenderedPageBreak/>
              <w:t>dotyczącego równouprawnienia płci w zakresie działań związanych z EFSI.</w:t>
            </w:r>
          </w:p>
        </w:tc>
        <w:tc>
          <w:tcPr>
            <w:tcW w:w="459" w:type="pct"/>
            <w:shd w:val="clear" w:color="auto" w:fill="F2F2F2"/>
            <w:vAlign w:val="center"/>
          </w:tcPr>
          <w:p w14:paraId="5FD7146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Niespełnione</w:t>
            </w:r>
          </w:p>
        </w:tc>
        <w:tc>
          <w:tcPr>
            <w:tcW w:w="1105" w:type="pct"/>
            <w:shd w:val="clear" w:color="auto" w:fill="F2F2F2"/>
            <w:vAlign w:val="center"/>
          </w:tcPr>
          <w:p w14:paraId="593615BF"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sz w:val="16"/>
                <w:szCs w:val="16"/>
              </w:rPr>
              <w:t>Agenda działań na rzecz równości szans i niedyskryminacji w ramach funduszy unijnych 2014-2020.</w:t>
            </w:r>
          </w:p>
        </w:tc>
        <w:tc>
          <w:tcPr>
            <w:tcW w:w="981" w:type="pct"/>
            <w:shd w:val="clear" w:color="auto" w:fill="F2F2F2"/>
            <w:vAlign w:val="center"/>
          </w:tcPr>
          <w:p w14:paraId="0AED1CED"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Agenda została przesłana do KE przez MIR 12 sierpnia 2014 r.</w:t>
            </w:r>
          </w:p>
        </w:tc>
      </w:tr>
      <w:tr w:rsidR="004E3242" w:rsidRPr="004E3242" w14:paraId="42907AE6" w14:textId="77777777" w:rsidTr="00AA7998">
        <w:tc>
          <w:tcPr>
            <w:tcW w:w="679" w:type="pct"/>
            <w:vMerge w:val="restart"/>
            <w:shd w:val="clear" w:color="auto" w:fill="D6E3BC"/>
            <w:vAlign w:val="center"/>
          </w:tcPr>
          <w:p w14:paraId="2B87DA7A"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smallCaps/>
                <w:sz w:val="16"/>
                <w:szCs w:val="16"/>
              </w:rPr>
              <w:t>Istnienie zdolności administracyjnych umożliwiających wdrożenie i stosowanie Konwencji Narodów Zjednoczonych o prawach osób z niepełnosprawnościami w odniesieniu do EFSI zgodnie z decyzją Rady 2010/48/WE</w:t>
            </w:r>
          </w:p>
        </w:tc>
        <w:tc>
          <w:tcPr>
            <w:tcW w:w="500" w:type="pct"/>
            <w:vMerge w:val="restart"/>
            <w:shd w:val="clear" w:color="auto" w:fill="F2F2F2"/>
            <w:vAlign w:val="center"/>
          </w:tcPr>
          <w:p w14:paraId="15D55609"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 – X.</w:t>
            </w:r>
          </w:p>
        </w:tc>
        <w:tc>
          <w:tcPr>
            <w:tcW w:w="462" w:type="pct"/>
            <w:vMerge w:val="restart"/>
            <w:shd w:val="clear" w:color="auto" w:fill="F2F2F2"/>
            <w:vAlign w:val="center"/>
          </w:tcPr>
          <w:p w14:paraId="3452575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Częściowo</w:t>
            </w:r>
          </w:p>
        </w:tc>
        <w:tc>
          <w:tcPr>
            <w:tcW w:w="814" w:type="pct"/>
            <w:shd w:val="clear" w:color="auto" w:fill="F2F2F2"/>
            <w:vAlign w:val="center"/>
          </w:tcPr>
          <w:p w14:paraId="55ED3D55"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zgodne z ramami instytucjonalnymi i prawnymi państw członkowskich dotyczące konsultacji i zaangażowania podmiotów odpowiedzialnych za ochronę praw osób z niepełnosprawnościami lub organizacji przedstawicielskich osób z niepełnosprawnościami i innych właściwych zainteresowanych stron podczas przygotowywania i wdrażania programów.</w:t>
            </w:r>
          </w:p>
        </w:tc>
        <w:tc>
          <w:tcPr>
            <w:tcW w:w="459" w:type="pct"/>
            <w:shd w:val="clear" w:color="auto" w:fill="F2F2F2"/>
            <w:vAlign w:val="center"/>
          </w:tcPr>
          <w:p w14:paraId="0956BD7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Spełnione</w:t>
            </w:r>
          </w:p>
        </w:tc>
        <w:tc>
          <w:tcPr>
            <w:tcW w:w="1105" w:type="pct"/>
            <w:shd w:val="clear" w:color="auto" w:fill="F2F2F2"/>
            <w:vAlign w:val="center"/>
          </w:tcPr>
          <w:p w14:paraId="5FAF8B65"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z dnia 3 grudnia 2010 r. o wdrożeniu niektórych przepisów Unii Europejskiej w zakresie równego traktowania.</w:t>
            </w:r>
          </w:p>
          <w:p w14:paraId="6C83839F"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i/>
                <w:iCs/>
                <w:sz w:val="16"/>
                <w:szCs w:val="16"/>
                <w:lang w:eastAsia="pl-PL"/>
              </w:rPr>
              <w:t>http://isap.sejm.gov.pl/DetailsServlet?id=WDU2010254</w:t>
            </w:r>
          </w:p>
          <w:p w14:paraId="0C5D541D"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73709EFE"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62BBAEA4" w14:textId="77777777" w:rsidTr="00AA7998">
        <w:tc>
          <w:tcPr>
            <w:tcW w:w="679" w:type="pct"/>
            <w:vMerge/>
            <w:shd w:val="clear" w:color="auto" w:fill="D6E3BC"/>
            <w:vAlign w:val="center"/>
          </w:tcPr>
          <w:p w14:paraId="3BC79083"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71FFCBF3"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7D402BB9"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21DA618E"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w zakresie szkoleń pracowników instytucji zaangażowanych w zarządzanie EFSI oraz kontrolę nad tymi funduszami z dziedziny obowiązujących unijnych przepisów i polityki dotyczących niepełnosprawności, w tym dostępności i praktycznego stosowania Konwencji o prawach osób z niepełnosprawnościami, zgodnie z przepisami unijnymi i prawem krajowym.</w:t>
            </w:r>
          </w:p>
        </w:tc>
        <w:tc>
          <w:tcPr>
            <w:tcW w:w="459" w:type="pct"/>
            <w:shd w:val="clear" w:color="auto" w:fill="F2F2F2"/>
            <w:vAlign w:val="center"/>
          </w:tcPr>
          <w:p w14:paraId="51DD361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Niespełnione </w:t>
            </w:r>
          </w:p>
        </w:tc>
        <w:tc>
          <w:tcPr>
            <w:tcW w:w="1105" w:type="pct"/>
            <w:shd w:val="clear" w:color="auto" w:fill="F2F2F2"/>
            <w:vAlign w:val="center"/>
          </w:tcPr>
          <w:p w14:paraId="2E71D2D9"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sz w:val="16"/>
                <w:szCs w:val="16"/>
              </w:rPr>
              <w:t>Agenda działań na rzecz równości szans i niedyskryminacji w ramach funduszy unijnych 2014-2020.</w:t>
            </w:r>
          </w:p>
        </w:tc>
        <w:tc>
          <w:tcPr>
            <w:tcW w:w="981" w:type="pct"/>
            <w:shd w:val="clear" w:color="auto" w:fill="F2F2F2"/>
            <w:vAlign w:val="center"/>
          </w:tcPr>
          <w:p w14:paraId="5FB2A047"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Agenda została przesłana do KE przez MIR 12 sierpnia 2014 r.</w:t>
            </w:r>
          </w:p>
        </w:tc>
      </w:tr>
      <w:tr w:rsidR="004E3242" w:rsidRPr="004E3242" w14:paraId="160464D5" w14:textId="77777777" w:rsidTr="00AA7998">
        <w:tc>
          <w:tcPr>
            <w:tcW w:w="679" w:type="pct"/>
            <w:vMerge/>
            <w:shd w:val="clear" w:color="auto" w:fill="D6E3BC"/>
            <w:vAlign w:val="center"/>
          </w:tcPr>
          <w:p w14:paraId="5527A42A"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6CD1D03F"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482EFDCB"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4DCB26CB"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dotyczące monitorowania wdrożenia przepisów art. 9 Konwencji o prawach osób z niepełnosprawnościami w związku z EFSI przy przygotowaniu i wdrażaniu programów.</w:t>
            </w:r>
          </w:p>
        </w:tc>
        <w:tc>
          <w:tcPr>
            <w:tcW w:w="459" w:type="pct"/>
            <w:shd w:val="clear" w:color="auto" w:fill="F2F2F2"/>
            <w:vAlign w:val="center"/>
          </w:tcPr>
          <w:p w14:paraId="059C0F9E"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Spełnione</w:t>
            </w:r>
          </w:p>
        </w:tc>
        <w:tc>
          <w:tcPr>
            <w:tcW w:w="1105" w:type="pct"/>
            <w:shd w:val="clear" w:color="auto" w:fill="F2F2F2"/>
            <w:vAlign w:val="center"/>
          </w:tcPr>
          <w:p w14:paraId="4F0FDA05"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z dnia 3 grudnia 2010 r. o wdrożeniu niektórych przepisów Unii Europejskiej w zakresie równego traktowania.</w:t>
            </w:r>
          </w:p>
          <w:p w14:paraId="2E2BBF72"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i/>
                <w:iCs/>
                <w:sz w:val="16"/>
                <w:szCs w:val="16"/>
                <w:lang w:eastAsia="pl-PL"/>
              </w:rPr>
              <w:t>http://isap.sejm.gov.pl/DetailsServlet?id=WDU2010254</w:t>
            </w:r>
          </w:p>
          <w:p w14:paraId="5F5C32C8"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6F150F99"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226F5D47" w14:textId="77777777" w:rsidTr="00AA7998">
        <w:tc>
          <w:tcPr>
            <w:tcW w:w="679" w:type="pct"/>
            <w:shd w:val="clear" w:color="auto" w:fill="D6E3BC"/>
            <w:vAlign w:val="center"/>
          </w:tcPr>
          <w:p w14:paraId="419D09C8"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shd w:val="clear" w:color="auto" w:fill="F2F2F2"/>
            <w:vAlign w:val="center"/>
          </w:tcPr>
          <w:p w14:paraId="408D25A8"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shd w:val="clear" w:color="auto" w:fill="F2F2F2"/>
            <w:vAlign w:val="center"/>
          </w:tcPr>
          <w:p w14:paraId="01EA7C5F"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1BB1EFED" w14:textId="77777777" w:rsidR="004E3242" w:rsidRPr="004E3242" w:rsidRDefault="004E3242" w:rsidP="004E3242">
            <w:pPr>
              <w:spacing w:before="60" w:after="60" w:line="240" w:lineRule="auto"/>
              <w:jc w:val="both"/>
              <w:rPr>
                <w:rFonts w:ascii="Arial" w:hAnsi="Arial" w:cs="Arial"/>
                <w:spacing w:val="4"/>
                <w:sz w:val="16"/>
                <w:szCs w:val="16"/>
                <w:u w:val="single"/>
              </w:rPr>
            </w:pPr>
          </w:p>
        </w:tc>
        <w:tc>
          <w:tcPr>
            <w:tcW w:w="459" w:type="pct"/>
            <w:shd w:val="clear" w:color="auto" w:fill="F2F2F2"/>
            <w:vAlign w:val="center"/>
          </w:tcPr>
          <w:p w14:paraId="144E1F69" w14:textId="77777777" w:rsidR="004E3242" w:rsidRPr="004E3242" w:rsidRDefault="004E3242" w:rsidP="004E3242">
            <w:pPr>
              <w:spacing w:before="60" w:after="60" w:line="240" w:lineRule="auto"/>
              <w:jc w:val="center"/>
              <w:rPr>
                <w:rFonts w:ascii="Arial" w:hAnsi="Arial" w:cs="Arial"/>
                <w:spacing w:val="4"/>
                <w:sz w:val="16"/>
                <w:szCs w:val="16"/>
              </w:rPr>
            </w:pPr>
          </w:p>
        </w:tc>
        <w:tc>
          <w:tcPr>
            <w:tcW w:w="1105" w:type="pct"/>
            <w:shd w:val="clear" w:color="auto" w:fill="F2F2F2"/>
            <w:vAlign w:val="center"/>
          </w:tcPr>
          <w:p w14:paraId="1417AE21"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6B7FD731"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7012CBFB" w14:textId="77777777" w:rsidTr="00AA7998">
        <w:tc>
          <w:tcPr>
            <w:tcW w:w="679" w:type="pct"/>
            <w:vMerge w:val="restart"/>
            <w:shd w:val="clear" w:color="auto" w:fill="D6E3BC"/>
            <w:vAlign w:val="center"/>
          </w:tcPr>
          <w:p w14:paraId="255A249E"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smallCaps/>
                <w:sz w:val="16"/>
                <w:szCs w:val="16"/>
              </w:rPr>
              <w:lastRenderedPageBreak/>
              <w:t>Istnienie rozwiązań dotyczących skutecznego stosowania unijnych przepisów w zakresie zamówień publicznych w odniesieniu do EFSI</w:t>
            </w:r>
          </w:p>
        </w:tc>
        <w:tc>
          <w:tcPr>
            <w:tcW w:w="500" w:type="pct"/>
            <w:vMerge w:val="restart"/>
            <w:shd w:val="clear" w:color="auto" w:fill="F2F2F2"/>
            <w:vAlign w:val="center"/>
          </w:tcPr>
          <w:p w14:paraId="0E3B813E"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 – X.</w:t>
            </w:r>
          </w:p>
        </w:tc>
        <w:tc>
          <w:tcPr>
            <w:tcW w:w="462" w:type="pct"/>
            <w:vMerge w:val="restart"/>
            <w:shd w:val="clear" w:color="auto" w:fill="F2F2F2"/>
            <w:vAlign w:val="center"/>
          </w:tcPr>
          <w:p w14:paraId="1BD9D1B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Spełniony </w:t>
            </w:r>
          </w:p>
        </w:tc>
        <w:tc>
          <w:tcPr>
            <w:tcW w:w="814" w:type="pct"/>
            <w:shd w:val="clear" w:color="auto" w:fill="F2F2F2"/>
            <w:vAlign w:val="center"/>
          </w:tcPr>
          <w:p w14:paraId="0E4EF0B6"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dotyczące skutecznego stosowania unijnych przepisów w zakresie zamówień publicznych poprzez stosowne mechanizmy.</w:t>
            </w:r>
          </w:p>
        </w:tc>
        <w:tc>
          <w:tcPr>
            <w:tcW w:w="459" w:type="pct"/>
            <w:shd w:val="clear" w:color="auto" w:fill="F2F2F2"/>
            <w:vAlign w:val="center"/>
          </w:tcPr>
          <w:p w14:paraId="0575356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val="restart"/>
            <w:shd w:val="clear" w:color="auto" w:fill="F2F2F2"/>
            <w:vAlign w:val="center"/>
          </w:tcPr>
          <w:p w14:paraId="7C8FA974"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o zmianie ustawy Prawo zamówień publicznych obejmująca dostosowanie do wyroku Trybunału Sprawiedliwości UE w sprawie C-465/11, tj. modyfikacji art. 24 ust. 1 pkt 1 i art. 24 ust. pkt 1a ustawy PZP</w:t>
            </w:r>
          </w:p>
          <w:p w14:paraId="2E64C7F2"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http://www.uzp.gov.pl/cmsws/page/?F;248;ustawa_pzp.html</w:t>
            </w:r>
          </w:p>
          <w:p w14:paraId="6B574BAE"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0EFF37F8"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45E12AB9" w14:textId="77777777" w:rsidTr="00AA7998">
        <w:tc>
          <w:tcPr>
            <w:tcW w:w="679" w:type="pct"/>
            <w:vMerge/>
            <w:shd w:val="clear" w:color="auto" w:fill="D6E3BC"/>
            <w:vAlign w:val="center"/>
          </w:tcPr>
          <w:p w14:paraId="1C284071"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4F3CE406"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6E04A420"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431959AF"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zapewniające przejrzystość postępowań o udzielanie zamówienia.</w:t>
            </w:r>
          </w:p>
        </w:tc>
        <w:tc>
          <w:tcPr>
            <w:tcW w:w="459" w:type="pct"/>
            <w:shd w:val="clear" w:color="auto" w:fill="F2F2F2"/>
            <w:vAlign w:val="center"/>
          </w:tcPr>
          <w:p w14:paraId="3E92645E"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shd w:val="clear" w:color="auto" w:fill="F2F2F2"/>
            <w:vAlign w:val="center"/>
          </w:tcPr>
          <w:p w14:paraId="1121432B"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441A7401"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0AC1A930" w14:textId="77777777" w:rsidTr="00AA7998">
        <w:tc>
          <w:tcPr>
            <w:tcW w:w="679" w:type="pct"/>
            <w:vMerge/>
            <w:shd w:val="clear" w:color="auto" w:fill="D6E3BC"/>
            <w:vAlign w:val="center"/>
          </w:tcPr>
          <w:p w14:paraId="6A30C54F"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6C0E5A30"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7DA6D241"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03DCFA55"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w zakresie szkoleń i rozpowszechniania informacji wśród pracowników zaangażowanych we wdrażanie EFSI.</w:t>
            </w:r>
          </w:p>
        </w:tc>
        <w:tc>
          <w:tcPr>
            <w:tcW w:w="459" w:type="pct"/>
            <w:shd w:val="clear" w:color="auto" w:fill="F2F2F2"/>
            <w:vAlign w:val="center"/>
          </w:tcPr>
          <w:p w14:paraId="4F7C45F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shd w:val="clear" w:color="auto" w:fill="F2F2F2"/>
            <w:vAlign w:val="center"/>
          </w:tcPr>
          <w:p w14:paraId="6D946885"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717AB012"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23754D74" w14:textId="77777777" w:rsidTr="00AA7998">
        <w:tc>
          <w:tcPr>
            <w:tcW w:w="679" w:type="pct"/>
            <w:vMerge/>
            <w:shd w:val="clear" w:color="auto" w:fill="D6E3BC"/>
            <w:vAlign w:val="center"/>
          </w:tcPr>
          <w:p w14:paraId="428459A6"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6A700C85"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679D34A3"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14F947C1"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zapewniające zdolności administracyjne w celu wdrożenia i stosowania unijnych przepisów w zakresie zamówień publicznych.</w:t>
            </w:r>
          </w:p>
        </w:tc>
        <w:tc>
          <w:tcPr>
            <w:tcW w:w="459" w:type="pct"/>
            <w:shd w:val="clear" w:color="auto" w:fill="F2F2F2"/>
            <w:vAlign w:val="center"/>
          </w:tcPr>
          <w:p w14:paraId="3A42783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Spełnione</w:t>
            </w:r>
          </w:p>
        </w:tc>
        <w:tc>
          <w:tcPr>
            <w:tcW w:w="1105" w:type="pct"/>
            <w:vMerge/>
            <w:shd w:val="clear" w:color="auto" w:fill="F2F2F2"/>
            <w:vAlign w:val="center"/>
          </w:tcPr>
          <w:p w14:paraId="230B1CFE"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7C640088"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3B5E56DB" w14:textId="77777777" w:rsidTr="00AA7998">
        <w:tc>
          <w:tcPr>
            <w:tcW w:w="679" w:type="pct"/>
            <w:vMerge w:val="restart"/>
            <w:shd w:val="clear" w:color="auto" w:fill="D6E3BC"/>
            <w:vAlign w:val="center"/>
          </w:tcPr>
          <w:p w14:paraId="66293248"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smallCaps/>
                <w:sz w:val="16"/>
                <w:szCs w:val="16"/>
              </w:rPr>
              <w:t>Istnienie rozwiązań dotyczących skutecznego stosowania unijnych przepisów w zakresie pomocy państwa w odniesieniu do EFSI</w:t>
            </w:r>
          </w:p>
        </w:tc>
        <w:tc>
          <w:tcPr>
            <w:tcW w:w="500" w:type="pct"/>
            <w:vMerge w:val="restart"/>
            <w:shd w:val="clear" w:color="auto" w:fill="F2F2F2"/>
            <w:vAlign w:val="center"/>
          </w:tcPr>
          <w:p w14:paraId="557AD783"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 – IX.</w:t>
            </w:r>
          </w:p>
        </w:tc>
        <w:tc>
          <w:tcPr>
            <w:tcW w:w="462" w:type="pct"/>
            <w:vMerge w:val="restart"/>
            <w:shd w:val="clear" w:color="auto" w:fill="F2F2F2"/>
            <w:vAlign w:val="center"/>
          </w:tcPr>
          <w:p w14:paraId="64AA90E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Spełniony</w:t>
            </w:r>
          </w:p>
        </w:tc>
        <w:tc>
          <w:tcPr>
            <w:tcW w:w="814" w:type="pct"/>
            <w:shd w:val="clear" w:color="auto" w:fill="F2F2F2"/>
            <w:vAlign w:val="center"/>
          </w:tcPr>
          <w:p w14:paraId="7E851533"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dotyczące skutecznego stosowania unijnych przepisów w zakresie pomocy państwa.</w:t>
            </w:r>
          </w:p>
        </w:tc>
        <w:tc>
          <w:tcPr>
            <w:tcW w:w="459" w:type="pct"/>
            <w:shd w:val="clear" w:color="auto" w:fill="F2F2F2"/>
            <w:vAlign w:val="center"/>
          </w:tcPr>
          <w:p w14:paraId="528B435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val="restart"/>
            <w:shd w:val="clear" w:color="auto" w:fill="F2F2F2"/>
            <w:vAlign w:val="center"/>
          </w:tcPr>
          <w:p w14:paraId="43A2ECD2"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Baza danych tzw. SHRIMP (System Harmonogramowania, Raportowania i Monitorowania Pomocy),</w:t>
            </w:r>
          </w:p>
          <w:p w14:paraId="5C63FF11"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http://www.uokik.gov.pl/kompetencje_prezesa_uokik_w_zakresie_pomocy_publicznej.php</w:t>
            </w:r>
          </w:p>
          <w:p w14:paraId="033D13A9"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w:t>
            </w:r>
          </w:p>
          <w:p w14:paraId="5927DDC2"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xml:space="preserve">Ustawa z dnia 30 kwietnia 2004 r. </w:t>
            </w:r>
            <w:r w:rsidRPr="004E3242">
              <w:rPr>
                <w:rFonts w:ascii="Arial" w:eastAsia="Times New Roman" w:hAnsi="Arial" w:cs="Arial"/>
                <w:i/>
                <w:iCs/>
                <w:sz w:val="16"/>
                <w:szCs w:val="16"/>
                <w:lang w:eastAsia="pl-PL"/>
              </w:rPr>
              <w:t>o postępowaniu w sprawach dotyczących pomocy publicznej</w:t>
            </w:r>
            <w:r w:rsidRPr="004E3242">
              <w:rPr>
                <w:rFonts w:ascii="Arial" w:eastAsia="Times New Roman" w:hAnsi="Arial" w:cs="Arial"/>
                <w:sz w:val="16"/>
                <w:szCs w:val="16"/>
                <w:lang w:eastAsia="pl-PL"/>
              </w:rPr>
              <w:t xml:space="preserve"> (t. j. Dz. U. z 2007 r. Nr 59, poz. 404, z </w:t>
            </w:r>
            <w:proofErr w:type="spellStart"/>
            <w:r w:rsidRPr="004E3242">
              <w:rPr>
                <w:rFonts w:ascii="Arial" w:eastAsia="Times New Roman" w:hAnsi="Arial" w:cs="Arial"/>
                <w:sz w:val="16"/>
                <w:szCs w:val="16"/>
                <w:lang w:eastAsia="pl-PL"/>
              </w:rPr>
              <w:t>późn</w:t>
            </w:r>
            <w:proofErr w:type="spellEnd"/>
            <w:r w:rsidRPr="004E3242">
              <w:rPr>
                <w:rFonts w:ascii="Arial" w:eastAsia="Times New Roman" w:hAnsi="Arial" w:cs="Arial"/>
                <w:sz w:val="16"/>
                <w:szCs w:val="16"/>
                <w:lang w:eastAsia="pl-PL"/>
              </w:rPr>
              <w:t>. zm.)</w:t>
            </w:r>
          </w:p>
          <w:p w14:paraId="6973517D"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http://isap.sejm.gov.pl/DetailsServlet?id=WDU2007059</w:t>
            </w:r>
          </w:p>
          <w:p w14:paraId="080A1C7A"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06F335A9"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5A60F770" w14:textId="77777777" w:rsidTr="00AA7998">
        <w:tc>
          <w:tcPr>
            <w:tcW w:w="679" w:type="pct"/>
            <w:vMerge/>
            <w:shd w:val="clear" w:color="auto" w:fill="D6E3BC"/>
            <w:vAlign w:val="center"/>
          </w:tcPr>
          <w:p w14:paraId="2D36EDD2"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2F4E5819"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6B968382"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083FF68F"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w zakresie szkoleń i rozpowszechniania informacji wśród pracowników zaangażowanych we wdrażanie EFSI.</w:t>
            </w:r>
          </w:p>
        </w:tc>
        <w:tc>
          <w:tcPr>
            <w:tcW w:w="459" w:type="pct"/>
            <w:shd w:val="clear" w:color="auto" w:fill="F2F2F2"/>
            <w:vAlign w:val="center"/>
          </w:tcPr>
          <w:p w14:paraId="18E287D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shd w:val="clear" w:color="auto" w:fill="F2F2F2"/>
            <w:vAlign w:val="center"/>
          </w:tcPr>
          <w:p w14:paraId="45813BC9"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09DF6637"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686F18A3" w14:textId="77777777" w:rsidTr="00AA7998">
        <w:tc>
          <w:tcPr>
            <w:tcW w:w="679" w:type="pct"/>
            <w:vMerge/>
            <w:shd w:val="clear" w:color="auto" w:fill="D6E3BC"/>
            <w:vAlign w:val="center"/>
          </w:tcPr>
          <w:p w14:paraId="55016B03"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32733E70"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0A2F1B31"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4C32EBBC" w14:textId="77777777" w:rsidR="004E3242" w:rsidRPr="004E3242" w:rsidRDefault="004E3242" w:rsidP="004E3242">
            <w:pPr>
              <w:spacing w:before="60" w:after="60" w:line="240" w:lineRule="auto"/>
              <w:jc w:val="both"/>
              <w:rPr>
                <w:rFonts w:ascii="Arial" w:hAnsi="Arial" w:cs="Arial"/>
                <w:spacing w:val="4"/>
                <w:sz w:val="16"/>
                <w:szCs w:val="16"/>
                <w:u w:val="single"/>
              </w:rPr>
            </w:pPr>
          </w:p>
        </w:tc>
        <w:tc>
          <w:tcPr>
            <w:tcW w:w="459" w:type="pct"/>
            <w:shd w:val="clear" w:color="auto" w:fill="F2F2F2"/>
            <w:vAlign w:val="center"/>
          </w:tcPr>
          <w:p w14:paraId="588A6955" w14:textId="77777777" w:rsidR="004E3242" w:rsidRPr="004E3242" w:rsidRDefault="004E3242" w:rsidP="004E3242">
            <w:pPr>
              <w:spacing w:before="60" w:after="60" w:line="240" w:lineRule="auto"/>
              <w:jc w:val="center"/>
              <w:rPr>
                <w:rFonts w:ascii="Arial" w:hAnsi="Arial" w:cs="Arial"/>
                <w:spacing w:val="4"/>
                <w:sz w:val="16"/>
                <w:szCs w:val="16"/>
              </w:rPr>
            </w:pPr>
          </w:p>
        </w:tc>
        <w:tc>
          <w:tcPr>
            <w:tcW w:w="1105" w:type="pct"/>
            <w:vMerge/>
            <w:shd w:val="clear" w:color="auto" w:fill="F2F2F2"/>
            <w:vAlign w:val="center"/>
          </w:tcPr>
          <w:p w14:paraId="50F7BA25"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4AACF63B"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06197B8D" w14:textId="77777777" w:rsidTr="00AA7998">
        <w:tc>
          <w:tcPr>
            <w:tcW w:w="679" w:type="pct"/>
            <w:vMerge/>
            <w:shd w:val="clear" w:color="auto" w:fill="D6E3BC"/>
            <w:vAlign w:val="center"/>
          </w:tcPr>
          <w:p w14:paraId="091111F1"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6EE9ED2A"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1F3C6151"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6A6E1A0B"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zapewniające zdolności administracyjne niezbędne do wdrożenia i stosowania unijnych przepisów w zakresie pomocy państwa.</w:t>
            </w:r>
          </w:p>
        </w:tc>
        <w:tc>
          <w:tcPr>
            <w:tcW w:w="459" w:type="pct"/>
            <w:shd w:val="clear" w:color="auto" w:fill="F2F2F2"/>
            <w:vAlign w:val="center"/>
          </w:tcPr>
          <w:p w14:paraId="1CEA0BF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shd w:val="clear" w:color="auto" w:fill="F2F2F2"/>
            <w:vAlign w:val="center"/>
          </w:tcPr>
          <w:p w14:paraId="59DAA347"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33B6C7BD"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7E21CD75" w14:textId="77777777" w:rsidTr="00AA7998">
        <w:tc>
          <w:tcPr>
            <w:tcW w:w="679" w:type="pct"/>
            <w:vMerge w:val="restart"/>
            <w:shd w:val="clear" w:color="auto" w:fill="D6E3BC"/>
            <w:vAlign w:val="center"/>
          </w:tcPr>
          <w:p w14:paraId="1AA57431"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smallCaps/>
                <w:sz w:val="16"/>
                <w:szCs w:val="16"/>
              </w:rPr>
              <w:t xml:space="preserve">Istnienie rozwiązań zapewniających skuteczne stosowanie </w:t>
            </w:r>
            <w:r w:rsidRPr="004E3242">
              <w:rPr>
                <w:rFonts w:ascii="Arial" w:hAnsi="Arial" w:cs="Arial"/>
                <w:smallCaps/>
                <w:sz w:val="16"/>
                <w:szCs w:val="16"/>
              </w:rPr>
              <w:lastRenderedPageBreak/>
              <w:t>unijnych przepisów w dziedzinie ochrony środowiska w zakresie ocen oddziaływania na środowisko (OOŚ) oraz strategicznych ocen oddziaływania na środowisko (SEA)</w:t>
            </w:r>
          </w:p>
        </w:tc>
        <w:tc>
          <w:tcPr>
            <w:tcW w:w="500" w:type="pct"/>
            <w:vMerge w:val="restart"/>
            <w:shd w:val="clear" w:color="auto" w:fill="F2F2F2"/>
            <w:vAlign w:val="center"/>
          </w:tcPr>
          <w:p w14:paraId="58673678"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lastRenderedPageBreak/>
              <w:t>I. – IX.</w:t>
            </w:r>
          </w:p>
        </w:tc>
        <w:tc>
          <w:tcPr>
            <w:tcW w:w="462" w:type="pct"/>
            <w:vMerge w:val="restart"/>
            <w:shd w:val="clear" w:color="auto" w:fill="F2F2F2"/>
            <w:vAlign w:val="center"/>
          </w:tcPr>
          <w:p w14:paraId="0AA17C0E"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Spełniony</w:t>
            </w:r>
          </w:p>
        </w:tc>
        <w:tc>
          <w:tcPr>
            <w:tcW w:w="814" w:type="pct"/>
            <w:shd w:val="clear" w:color="auto" w:fill="F2F2F2"/>
            <w:vAlign w:val="center"/>
          </w:tcPr>
          <w:p w14:paraId="7020CC1F"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 xml:space="preserve">Rozwiązania dotyczące skutecznego stosowania dyrektywy Parlamentu </w:t>
            </w:r>
            <w:r w:rsidRPr="004E3242">
              <w:rPr>
                <w:rFonts w:ascii="Arial" w:hAnsi="Arial" w:cs="Arial"/>
                <w:sz w:val="16"/>
                <w:szCs w:val="16"/>
              </w:rPr>
              <w:lastRenderedPageBreak/>
              <w:t>Europejskiego i Rady 2011/92/UE (OOŚ) i dyrektywy Parlamentu Europejskiego i Rady 2001/42/WE (SEA).</w:t>
            </w:r>
          </w:p>
        </w:tc>
        <w:tc>
          <w:tcPr>
            <w:tcW w:w="459" w:type="pct"/>
            <w:shd w:val="clear" w:color="auto" w:fill="F2F2F2"/>
            <w:vAlign w:val="center"/>
          </w:tcPr>
          <w:p w14:paraId="3543B37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 xml:space="preserve">Spełnione </w:t>
            </w:r>
          </w:p>
        </w:tc>
        <w:tc>
          <w:tcPr>
            <w:tcW w:w="1105" w:type="pct"/>
            <w:vMerge w:val="restart"/>
            <w:shd w:val="clear" w:color="auto" w:fill="F2F2F2"/>
            <w:vAlign w:val="center"/>
          </w:tcPr>
          <w:p w14:paraId="01483C17" w14:textId="77777777" w:rsidR="004E3242" w:rsidRPr="004E3242" w:rsidRDefault="004E3242" w:rsidP="00D20217">
            <w:pPr>
              <w:numPr>
                <w:ilvl w:val="0"/>
                <w:numId w:val="89"/>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o zmianie ustawy Prawo wodne oraz niektórych innych ustaw</w:t>
            </w:r>
          </w:p>
          <w:p w14:paraId="4B35F4C1" w14:textId="77777777" w:rsidR="004E3242" w:rsidRPr="004E3242" w:rsidRDefault="004E3242" w:rsidP="00D20217">
            <w:pPr>
              <w:numPr>
                <w:ilvl w:val="0"/>
                <w:numId w:val="89"/>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lastRenderedPageBreak/>
              <w:t>Ustawa o udostępnianiu informacji o środowisku i jego ochronie, udziale społeczeństwa w ochronie środowiska oraz o ocenach oddziaływania na środowisko</w:t>
            </w:r>
          </w:p>
          <w:p w14:paraId="6FFB6501" w14:textId="77777777" w:rsidR="004E3242" w:rsidRPr="004E3242" w:rsidRDefault="004E3242" w:rsidP="00D20217">
            <w:pPr>
              <w:numPr>
                <w:ilvl w:val="0"/>
                <w:numId w:val="89"/>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Rozporządzenie Rady Ministrów w sprawie przedsięwzięć mogących znacząco oddziaływać na środowisko</w:t>
            </w:r>
          </w:p>
          <w:p w14:paraId="1A5EDB51" w14:textId="77777777" w:rsidR="004E3242" w:rsidRPr="004E3242" w:rsidRDefault="004E3242" w:rsidP="00D20217">
            <w:pPr>
              <w:numPr>
                <w:ilvl w:val="0"/>
                <w:numId w:val="89"/>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Prawo geologiczne i górnicze oraz niektórych innych ustaw (Dz. U. poz. 1238)</w:t>
            </w:r>
          </w:p>
          <w:p w14:paraId="441060F5" w14:textId="77777777" w:rsidR="004E3242" w:rsidRPr="004E3242" w:rsidRDefault="004E3242" w:rsidP="004E3242">
            <w:pPr>
              <w:spacing w:before="60" w:after="60" w:line="240" w:lineRule="auto"/>
              <w:jc w:val="both"/>
              <w:rPr>
                <w:rFonts w:ascii="Arial" w:hAnsi="Arial" w:cs="Arial"/>
                <w:b/>
                <w:sz w:val="16"/>
                <w:szCs w:val="16"/>
              </w:rPr>
            </w:pPr>
          </w:p>
        </w:tc>
        <w:tc>
          <w:tcPr>
            <w:tcW w:w="981" w:type="pct"/>
            <w:vMerge w:val="restart"/>
            <w:shd w:val="clear" w:color="auto" w:fill="F2F2F2"/>
            <w:vAlign w:val="center"/>
          </w:tcPr>
          <w:p w14:paraId="43646920"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lastRenderedPageBreak/>
              <w:t>http://isap.sejm.gov.pl/DetailsServlet?id=WDU20140000850 http://isap.sejm.gov.pl/DetailsServlet?id</w:t>
            </w:r>
            <w:r w:rsidRPr="004E3242">
              <w:rPr>
                <w:rFonts w:ascii="Arial" w:hAnsi="Arial" w:cs="Arial"/>
                <w:sz w:val="16"/>
                <w:szCs w:val="16"/>
              </w:rPr>
              <w:lastRenderedPageBreak/>
              <w:t>=WDU20081991227 http://isap.sejm.gov.pl/DetailsServlet?id=WDU20130000817 http://isap.sejm.gov.pl/DetailsServlet?id=WDU2013000</w:t>
            </w:r>
          </w:p>
        </w:tc>
      </w:tr>
      <w:tr w:rsidR="004E3242" w:rsidRPr="004E3242" w14:paraId="243303C3" w14:textId="77777777" w:rsidTr="00AA7998">
        <w:tc>
          <w:tcPr>
            <w:tcW w:w="679" w:type="pct"/>
            <w:vMerge/>
            <w:shd w:val="clear" w:color="auto" w:fill="D6E3BC"/>
            <w:vAlign w:val="center"/>
          </w:tcPr>
          <w:p w14:paraId="71D403BA"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6D9FEB15"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2B0A6FDA"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4A71D556"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w zakresie szkoleń i rozpowszechniania informacji wśród pracowników zaangażowanych we wdrażanie dyrektyw dotyczących OOŚ i SEA.</w:t>
            </w:r>
          </w:p>
        </w:tc>
        <w:tc>
          <w:tcPr>
            <w:tcW w:w="459" w:type="pct"/>
            <w:shd w:val="clear" w:color="auto" w:fill="F2F2F2"/>
            <w:vAlign w:val="center"/>
          </w:tcPr>
          <w:p w14:paraId="0C12279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shd w:val="clear" w:color="auto" w:fill="F2F2F2"/>
            <w:vAlign w:val="center"/>
          </w:tcPr>
          <w:p w14:paraId="2F85ECE1" w14:textId="77777777" w:rsidR="004E3242" w:rsidRPr="004E3242" w:rsidRDefault="004E3242" w:rsidP="004E3242">
            <w:pPr>
              <w:spacing w:before="60" w:after="60" w:line="240" w:lineRule="auto"/>
              <w:jc w:val="both"/>
              <w:rPr>
                <w:rFonts w:ascii="Arial" w:hAnsi="Arial" w:cs="Arial"/>
                <w:b/>
                <w:sz w:val="16"/>
                <w:szCs w:val="16"/>
              </w:rPr>
            </w:pPr>
          </w:p>
        </w:tc>
        <w:tc>
          <w:tcPr>
            <w:tcW w:w="981" w:type="pct"/>
            <w:vMerge/>
            <w:shd w:val="clear" w:color="auto" w:fill="F2F2F2"/>
            <w:vAlign w:val="center"/>
          </w:tcPr>
          <w:p w14:paraId="3FDD347A"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5244D2E2" w14:textId="77777777" w:rsidTr="00AA7998">
        <w:tc>
          <w:tcPr>
            <w:tcW w:w="679" w:type="pct"/>
            <w:vMerge/>
            <w:shd w:val="clear" w:color="auto" w:fill="D6E3BC"/>
            <w:vAlign w:val="center"/>
          </w:tcPr>
          <w:p w14:paraId="542428B4"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0A3A6B91"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7E3D5BE9"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12FBE95E"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Rozwiązania mające na celu zapewnienie odpowiednich zdolności administracyjnych.</w:t>
            </w:r>
          </w:p>
        </w:tc>
        <w:tc>
          <w:tcPr>
            <w:tcW w:w="459" w:type="pct"/>
            <w:shd w:val="clear" w:color="auto" w:fill="F2F2F2"/>
            <w:vAlign w:val="center"/>
          </w:tcPr>
          <w:p w14:paraId="6534680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vMerge/>
            <w:shd w:val="clear" w:color="auto" w:fill="F2F2F2"/>
            <w:vAlign w:val="center"/>
          </w:tcPr>
          <w:p w14:paraId="2687CD2E" w14:textId="77777777" w:rsidR="004E3242" w:rsidRPr="004E3242" w:rsidRDefault="004E3242" w:rsidP="004E3242">
            <w:pPr>
              <w:spacing w:before="60" w:after="60" w:line="240" w:lineRule="auto"/>
              <w:jc w:val="both"/>
              <w:rPr>
                <w:rFonts w:ascii="Arial" w:hAnsi="Arial" w:cs="Arial"/>
                <w:b/>
                <w:sz w:val="16"/>
                <w:szCs w:val="16"/>
              </w:rPr>
            </w:pPr>
          </w:p>
        </w:tc>
        <w:tc>
          <w:tcPr>
            <w:tcW w:w="981" w:type="pct"/>
            <w:vMerge/>
            <w:shd w:val="clear" w:color="auto" w:fill="F2F2F2"/>
            <w:vAlign w:val="center"/>
          </w:tcPr>
          <w:p w14:paraId="42D7221F"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208C3B72" w14:textId="77777777" w:rsidTr="00AA7998">
        <w:tc>
          <w:tcPr>
            <w:tcW w:w="679" w:type="pct"/>
            <w:vMerge w:val="restart"/>
            <w:shd w:val="clear" w:color="auto" w:fill="D6E3BC"/>
            <w:vAlign w:val="center"/>
          </w:tcPr>
          <w:p w14:paraId="355AF6DA"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smallCaps/>
                <w:sz w:val="16"/>
                <w:szCs w:val="16"/>
              </w:rPr>
              <w:t>Istnienie podstawy statystycznej niezbędnej do przeprowadzenia ocen skuteczności i ocen oddziaływania programów. Istnienie systemu wskaźników rezultatu niezbędnych przy wyborze działań, które w najefektywniejszy sposób przyczyniają się do osiągnięcia pożądanych rezultatów, do monitorowania postępów w osiąganiu rezultatów oraz do podejmowania ewaluacji oddziaływania</w:t>
            </w:r>
          </w:p>
        </w:tc>
        <w:tc>
          <w:tcPr>
            <w:tcW w:w="500" w:type="pct"/>
            <w:vMerge w:val="restart"/>
            <w:shd w:val="clear" w:color="auto" w:fill="F2F2F2"/>
            <w:vAlign w:val="center"/>
          </w:tcPr>
          <w:p w14:paraId="7DBCDF5C"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 – X.</w:t>
            </w:r>
          </w:p>
        </w:tc>
        <w:tc>
          <w:tcPr>
            <w:tcW w:w="462" w:type="pct"/>
            <w:vMerge w:val="restart"/>
            <w:shd w:val="clear" w:color="auto" w:fill="F2F2F2"/>
            <w:vAlign w:val="center"/>
          </w:tcPr>
          <w:p w14:paraId="51D1C84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Spełniony</w:t>
            </w:r>
          </w:p>
        </w:tc>
        <w:tc>
          <w:tcPr>
            <w:tcW w:w="814" w:type="pct"/>
            <w:shd w:val="clear" w:color="auto" w:fill="F2F2F2"/>
            <w:vAlign w:val="center"/>
          </w:tcPr>
          <w:p w14:paraId="77FD2F5F"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Gotowe są rozwiązania w zakresie terminowego gromadzenia i agregowania danych statystycznych, które obejmują następujące elementy: identyfikację źródeł i mechanizmów mających na celu zapewnienie walidacji statystycznej.</w:t>
            </w:r>
          </w:p>
        </w:tc>
        <w:tc>
          <w:tcPr>
            <w:tcW w:w="459" w:type="pct"/>
            <w:shd w:val="clear" w:color="auto" w:fill="F2F2F2"/>
            <w:vAlign w:val="center"/>
          </w:tcPr>
          <w:p w14:paraId="470F38B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shd w:val="clear" w:color="auto" w:fill="F2F2F2"/>
            <w:vAlign w:val="center"/>
          </w:tcPr>
          <w:p w14:paraId="2DFF78DB"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W zakresie wskaźników ze statystyki publicznej:</w:t>
            </w:r>
          </w:p>
          <w:p w14:paraId="3CCC4220" w14:textId="77777777" w:rsidR="004E3242" w:rsidRPr="004E3242" w:rsidRDefault="004E3242" w:rsidP="00D20217">
            <w:pPr>
              <w:numPr>
                <w:ilvl w:val="0"/>
                <w:numId w:val="90"/>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xml:space="preserve">ustawa o statystyce publicznej z dn. 29 czerwca 1995 r. (z </w:t>
            </w:r>
            <w:proofErr w:type="spellStart"/>
            <w:r w:rsidRPr="004E3242">
              <w:rPr>
                <w:rFonts w:ascii="Arial" w:eastAsia="Times New Roman" w:hAnsi="Arial" w:cs="Arial"/>
                <w:sz w:val="16"/>
                <w:szCs w:val="16"/>
                <w:lang w:eastAsia="pl-PL"/>
              </w:rPr>
              <w:t>późn</w:t>
            </w:r>
            <w:proofErr w:type="spellEnd"/>
            <w:r w:rsidRPr="004E3242">
              <w:rPr>
                <w:rFonts w:ascii="Arial" w:eastAsia="Times New Roman" w:hAnsi="Arial" w:cs="Arial"/>
                <w:sz w:val="16"/>
                <w:szCs w:val="16"/>
                <w:lang w:eastAsia="pl-PL"/>
              </w:rPr>
              <w:t>. zm.).</w:t>
            </w:r>
          </w:p>
          <w:p w14:paraId="031193EE"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http://isap.sejm.gov.pl/DetailsServlet?id=WDU19950880439</w:t>
            </w:r>
          </w:p>
          <w:p w14:paraId="5464BDD1"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w:t>
            </w:r>
          </w:p>
          <w:p w14:paraId="37D2E926"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W zakresie wskaźników spoza statystyki publicznej:</w:t>
            </w:r>
          </w:p>
          <w:p w14:paraId="314728B4" w14:textId="77777777" w:rsidR="004E3242" w:rsidRPr="004E3242" w:rsidRDefault="004E3242" w:rsidP="00D20217">
            <w:pPr>
              <w:numPr>
                <w:ilvl w:val="0"/>
                <w:numId w:val="91"/>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IZ zapewnia mechanizmy właściwej kontroli jakości danych i walidacji statystycznej (wskaźniki rezultatu spoza statystyki publicznej).</w:t>
            </w:r>
          </w:p>
          <w:p w14:paraId="11F14953" w14:textId="77777777" w:rsidR="004E3242" w:rsidRPr="004E3242" w:rsidRDefault="004E3242" w:rsidP="00D20217">
            <w:pPr>
              <w:numPr>
                <w:ilvl w:val="0"/>
                <w:numId w:val="91"/>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Zmodernizowany i rozbudowany system SL 2014 (wskaźniki produktu).</w:t>
            </w:r>
          </w:p>
          <w:p w14:paraId="7096B703"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60F7E154"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3B16C366" w14:textId="77777777" w:rsidTr="00AA7998">
        <w:tc>
          <w:tcPr>
            <w:tcW w:w="679" w:type="pct"/>
            <w:vMerge/>
            <w:shd w:val="clear" w:color="auto" w:fill="D6E3BC"/>
            <w:vAlign w:val="center"/>
          </w:tcPr>
          <w:p w14:paraId="3ED1356B"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7AFB1BC4"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0E651C80"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58031C5C"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 xml:space="preserve">Gotowe są rozwiązania w </w:t>
            </w:r>
            <w:r w:rsidRPr="004E3242">
              <w:rPr>
                <w:rFonts w:ascii="Arial" w:hAnsi="Arial" w:cs="Arial"/>
                <w:sz w:val="16"/>
                <w:szCs w:val="16"/>
              </w:rPr>
              <w:lastRenderedPageBreak/>
              <w:t>zakresie terminowego gromadzenia i agregowania danych statystycznych, które obejmują następujące elementy: uregulowania dotyczące publikacji i dostępności publicznej zagregowanych danych.</w:t>
            </w:r>
          </w:p>
        </w:tc>
        <w:tc>
          <w:tcPr>
            <w:tcW w:w="459" w:type="pct"/>
            <w:shd w:val="clear" w:color="auto" w:fill="F2F2F2"/>
            <w:vAlign w:val="center"/>
          </w:tcPr>
          <w:p w14:paraId="0A63E8A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Spełnione</w:t>
            </w:r>
          </w:p>
        </w:tc>
        <w:tc>
          <w:tcPr>
            <w:tcW w:w="1105" w:type="pct"/>
            <w:shd w:val="clear" w:color="auto" w:fill="F2F2F2"/>
            <w:vAlign w:val="center"/>
          </w:tcPr>
          <w:p w14:paraId="35E1832C"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xml:space="preserve">W zakresie wskaźników ze statystyki </w:t>
            </w:r>
            <w:r w:rsidRPr="004E3242">
              <w:rPr>
                <w:rFonts w:ascii="Arial" w:eastAsia="Times New Roman" w:hAnsi="Arial" w:cs="Arial"/>
                <w:sz w:val="16"/>
                <w:szCs w:val="16"/>
                <w:lang w:eastAsia="pl-PL"/>
              </w:rPr>
              <w:lastRenderedPageBreak/>
              <w:t>publicznej:</w:t>
            </w:r>
          </w:p>
          <w:p w14:paraId="2771F86A" w14:textId="77777777" w:rsidR="004E3242" w:rsidRPr="004E3242" w:rsidRDefault="004E3242" w:rsidP="00D20217">
            <w:pPr>
              <w:numPr>
                <w:ilvl w:val="0"/>
                <w:numId w:val="92"/>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xml:space="preserve">ustawa o statystyce publicznej z dn. 29 czerwca 1995 r. (z </w:t>
            </w:r>
            <w:proofErr w:type="spellStart"/>
            <w:r w:rsidRPr="004E3242">
              <w:rPr>
                <w:rFonts w:ascii="Arial" w:eastAsia="Times New Roman" w:hAnsi="Arial" w:cs="Arial"/>
                <w:sz w:val="16"/>
                <w:szCs w:val="16"/>
                <w:lang w:eastAsia="pl-PL"/>
              </w:rPr>
              <w:t>późn</w:t>
            </w:r>
            <w:proofErr w:type="spellEnd"/>
            <w:r w:rsidRPr="004E3242">
              <w:rPr>
                <w:rFonts w:ascii="Arial" w:eastAsia="Times New Roman" w:hAnsi="Arial" w:cs="Arial"/>
                <w:sz w:val="16"/>
                <w:szCs w:val="16"/>
                <w:lang w:eastAsia="pl-PL"/>
              </w:rPr>
              <w:t>. zm.).</w:t>
            </w:r>
          </w:p>
          <w:p w14:paraId="5A53D4A5"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http://isap.sejm.gov.pl/DetailsServlet?id=WDU19950880439</w:t>
            </w:r>
          </w:p>
          <w:p w14:paraId="5D11AB7C"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w:t>
            </w:r>
          </w:p>
          <w:p w14:paraId="09ECA352" w14:textId="77777777" w:rsidR="004E3242" w:rsidRPr="004E3242" w:rsidRDefault="004E3242" w:rsidP="004E3242">
            <w:p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W zakresie wskaźników spoza statystyki publicznej:</w:t>
            </w:r>
          </w:p>
          <w:p w14:paraId="56422A26" w14:textId="77777777" w:rsidR="004E3242" w:rsidRPr="004E3242" w:rsidRDefault="004E3242" w:rsidP="00D20217">
            <w:pPr>
              <w:numPr>
                <w:ilvl w:val="0"/>
                <w:numId w:val="93"/>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IZ zapewnia mechanizmy właściwej kontroli jakości danych i walidacji statystycznej (wskaźniki rezultatu spoza statystyki publicznej).</w:t>
            </w:r>
          </w:p>
          <w:p w14:paraId="4357D7D6" w14:textId="77777777" w:rsidR="004E3242" w:rsidRPr="004E3242" w:rsidRDefault="004E3242" w:rsidP="00D20217">
            <w:pPr>
              <w:numPr>
                <w:ilvl w:val="0"/>
                <w:numId w:val="93"/>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Zmodernizowany i rozbudowany system SL 2014 (wskaźniki produktu).</w:t>
            </w:r>
          </w:p>
          <w:p w14:paraId="1BFFF307"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451B158E"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22F95F79" w14:textId="77777777" w:rsidTr="00AA7998">
        <w:tc>
          <w:tcPr>
            <w:tcW w:w="679" w:type="pct"/>
            <w:vMerge/>
            <w:shd w:val="clear" w:color="auto" w:fill="D6E3BC"/>
            <w:vAlign w:val="center"/>
          </w:tcPr>
          <w:p w14:paraId="7352FF96"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52240E09"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4C3B4284"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1873943A"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Skuteczny system wskaźników rezultatu, obejmujący: wybór wskaźników rezultatu dla każdego programu, dostarczających informacji na temat przyczyn uzasadniających wybór działań z zakresu polityki finansowanych przez dany program.</w:t>
            </w:r>
          </w:p>
        </w:tc>
        <w:tc>
          <w:tcPr>
            <w:tcW w:w="459" w:type="pct"/>
            <w:shd w:val="clear" w:color="auto" w:fill="F2F2F2"/>
            <w:vAlign w:val="center"/>
          </w:tcPr>
          <w:p w14:paraId="250A397B"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Spełnione </w:t>
            </w:r>
          </w:p>
        </w:tc>
        <w:tc>
          <w:tcPr>
            <w:tcW w:w="1105" w:type="pct"/>
            <w:shd w:val="clear" w:color="auto" w:fill="F2F2F2"/>
            <w:vAlign w:val="center"/>
          </w:tcPr>
          <w:p w14:paraId="144BF74E" w14:textId="77777777" w:rsidR="004E3242" w:rsidRPr="004E3242" w:rsidRDefault="004E3242" w:rsidP="00D20217">
            <w:pPr>
              <w:numPr>
                <w:ilvl w:val="0"/>
                <w:numId w:val="94"/>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Zapisy instrukcyjne „</w:t>
            </w:r>
            <w:r w:rsidRPr="004E3242">
              <w:rPr>
                <w:rFonts w:ascii="Arial" w:eastAsia="Times New Roman" w:hAnsi="Arial" w:cs="Arial"/>
                <w:i/>
                <w:iCs/>
                <w:sz w:val="16"/>
                <w:szCs w:val="16"/>
                <w:lang w:eastAsia="pl-PL"/>
              </w:rPr>
              <w:t>Szablonu Programu Operacyjnego 2014-2020 w Polsce z komentarzem</w:t>
            </w:r>
            <w:r w:rsidRPr="004E3242">
              <w:rPr>
                <w:rFonts w:ascii="Arial" w:eastAsia="Times New Roman" w:hAnsi="Arial" w:cs="Arial"/>
                <w:sz w:val="16"/>
                <w:szCs w:val="16"/>
                <w:lang w:eastAsia="pl-PL"/>
              </w:rPr>
              <w:t>".</w:t>
            </w:r>
          </w:p>
          <w:p w14:paraId="415B3A16" w14:textId="77777777" w:rsidR="004E3242" w:rsidRPr="004E3242" w:rsidRDefault="004E3242" w:rsidP="00D20217">
            <w:pPr>
              <w:numPr>
                <w:ilvl w:val="0"/>
                <w:numId w:val="94"/>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Stosownie uzupełniony POIŚ, tj. w tabeli 3. poprawnie określone wskaźniki rezultatu, w tabeli 5. - wskaźniki produktu oraz w tabeli 6. - wskaźniki ram wykonania.</w:t>
            </w:r>
          </w:p>
          <w:p w14:paraId="63D03428"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456DDE63"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54EAF07A" w14:textId="77777777" w:rsidTr="00AA7998">
        <w:tc>
          <w:tcPr>
            <w:tcW w:w="679" w:type="pct"/>
            <w:vMerge/>
            <w:shd w:val="clear" w:color="auto" w:fill="D6E3BC"/>
            <w:vAlign w:val="center"/>
          </w:tcPr>
          <w:p w14:paraId="53D060D3"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7C1F5D82"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5A5342C7"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4735C48E"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Skuteczny system wskaźników rezultatu, obejmujący: ustanowienie wartości docelowych dla tych wskaźników.</w:t>
            </w:r>
          </w:p>
        </w:tc>
        <w:tc>
          <w:tcPr>
            <w:tcW w:w="459" w:type="pct"/>
            <w:shd w:val="clear" w:color="auto" w:fill="F2F2F2"/>
            <w:vAlign w:val="center"/>
          </w:tcPr>
          <w:p w14:paraId="74C24384"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Spełnione</w:t>
            </w:r>
          </w:p>
        </w:tc>
        <w:tc>
          <w:tcPr>
            <w:tcW w:w="1105" w:type="pct"/>
            <w:shd w:val="clear" w:color="auto" w:fill="F2F2F2"/>
            <w:vAlign w:val="center"/>
          </w:tcPr>
          <w:p w14:paraId="5BA5072D" w14:textId="77777777" w:rsidR="004E3242" w:rsidRPr="004E3242" w:rsidRDefault="004E3242" w:rsidP="00D20217">
            <w:pPr>
              <w:numPr>
                <w:ilvl w:val="0"/>
                <w:numId w:val="95"/>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Zapisy instrukcyjne „</w:t>
            </w:r>
            <w:r w:rsidRPr="004E3242">
              <w:rPr>
                <w:rFonts w:ascii="Arial" w:eastAsia="Times New Roman" w:hAnsi="Arial" w:cs="Arial"/>
                <w:i/>
                <w:iCs/>
                <w:sz w:val="16"/>
                <w:szCs w:val="16"/>
                <w:lang w:eastAsia="pl-PL"/>
              </w:rPr>
              <w:t>Szablonu Programu Operacyjnego 2014-2020 w Polsce z komentarzem</w:t>
            </w:r>
            <w:r w:rsidRPr="004E3242">
              <w:rPr>
                <w:rFonts w:ascii="Arial" w:eastAsia="Times New Roman" w:hAnsi="Arial" w:cs="Arial"/>
                <w:sz w:val="16"/>
                <w:szCs w:val="16"/>
                <w:lang w:eastAsia="pl-PL"/>
              </w:rPr>
              <w:t>".</w:t>
            </w:r>
          </w:p>
          <w:p w14:paraId="65113CA9" w14:textId="77777777" w:rsidR="004E3242" w:rsidRPr="004E3242" w:rsidRDefault="004E3242" w:rsidP="00D20217">
            <w:pPr>
              <w:numPr>
                <w:ilvl w:val="0"/>
                <w:numId w:val="95"/>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 xml:space="preserve">Stosownie uzupełniony POIŚ, tj. w tabeli 3. poprawnie określone wskaźniki rezultatu, w tabeli 5. - </w:t>
            </w:r>
            <w:r w:rsidRPr="004E3242">
              <w:rPr>
                <w:rFonts w:ascii="Arial" w:eastAsia="Times New Roman" w:hAnsi="Arial" w:cs="Arial"/>
                <w:sz w:val="16"/>
                <w:szCs w:val="16"/>
                <w:lang w:eastAsia="pl-PL"/>
              </w:rPr>
              <w:lastRenderedPageBreak/>
              <w:t>wskaźniki produktu oraz w tabeli 6. - wskaźniki ram wykonania.</w:t>
            </w:r>
          </w:p>
          <w:p w14:paraId="61510E23"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7D984062"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2604BB47" w14:textId="77777777" w:rsidTr="00AA7998">
        <w:tc>
          <w:tcPr>
            <w:tcW w:w="679" w:type="pct"/>
            <w:vMerge/>
            <w:shd w:val="clear" w:color="auto" w:fill="D6E3BC"/>
            <w:vAlign w:val="center"/>
          </w:tcPr>
          <w:p w14:paraId="54186258"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4681A4A2"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7695AC72"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67058A32"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Skuteczny system wskaźników rezultatu, obejmujący: spójność każdego wskaźnika z następującymi wymogami: odporność oraz walidacja statystyczna, jasność interpretacji normatywnej, reagowanie na politykę, terminowe gromadzenie danych.</w:t>
            </w:r>
          </w:p>
        </w:tc>
        <w:tc>
          <w:tcPr>
            <w:tcW w:w="459" w:type="pct"/>
            <w:shd w:val="clear" w:color="auto" w:fill="F2F2F2"/>
            <w:vAlign w:val="center"/>
          </w:tcPr>
          <w:p w14:paraId="5A9398D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Spełnione</w:t>
            </w:r>
          </w:p>
        </w:tc>
        <w:tc>
          <w:tcPr>
            <w:tcW w:w="1105" w:type="pct"/>
            <w:shd w:val="clear" w:color="auto" w:fill="F2F2F2"/>
            <w:vAlign w:val="center"/>
          </w:tcPr>
          <w:p w14:paraId="6B5C94C0" w14:textId="77777777" w:rsidR="004E3242" w:rsidRPr="004E3242" w:rsidRDefault="004E3242" w:rsidP="00D20217">
            <w:pPr>
              <w:numPr>
                <w:ilvl w:val="0"/>
                <w:numId w:val="96"/>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Zapisy instrukcyjne „</w:t>
            </w:r>
            <w:r w:rsidRPr="004E3242">
              <w:rPr>
                <w:rFonts w:ascii="Arial" w:eastAsia="Times New Roman" w:hAnsi="Arial" w:cs="Arial"/>
                <w:i/>
                <w:iCs/>
                <w:sz w:val="16"/>
                <w:szCs w:val="16"/>
                <w:lang w:eastAsia="pl-PL"/>
              </w:rPr>
              <w:t>Szablonu Programu Operacyjnego 2014-2020 w Polsce z komentarzem</w:t>
            </w:r>
            <w:r w:rsidRPr="004E3242">
              <w:rPr>
                <w:rFonts w:ascii="Arial" w:eastAsia="Times New Roman" w:hAnsi="Arial" w:cs="Arial"/>
                <w:sz w:val="16"/>
                <w:szCs w:val="16"/>
                <w:lang w:eastAsia="pl-PL"/>
              </w:rPr>
              <w:t>".</w:t>
            </w:r>
          </w:p>
          <w:p w14:paraId="59C37F9C" w14:textId="77777777" w:rsidR="004E3242" w:rsidRPr="004E3242" w:rsidRDefault="004E3242" w:rsidP="00D20217">
            <w:pPr>
              <w:numPr>
                <w:ilvl w:val="0"/>
                <w:numId w:val="96"/>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Stosownie uzupełniony POIŚ, tj. w tabeli 3. poprawnie określone wskaźniki rezultatu, w tabeli 5. - wskaźniki produktu oraz w tabeli 6. - wskaźniki ram wykonania.</w:t>
            </w:r>
          </w:p>
          <w:p w14:paraId="3C03793C"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6C4ECC69" w14:textId="77777777" w:rsidR="004E3242" w:rsidRPr="004E3242" w:rsidRDefault="004E3242" w:rsidP="004E3242">
            <w:pPr>
              <w:spacing w:before="60" w:after="60" w:line="240" w:lineRule="auto"/>
              <w:jc w:val="both"/>
              <w:rPr>
                <w:rFonts w:ascii="Arial" w:hAnsi="Arial" w:cs="Arial"/>
                <w:sz w:val="16"/>
                <w:szCs w:val="16"/>
              </w:rPr>
            </w:pPr>
          </w:p>
        </w:tc>
      </w:tr>
      <w:tr w:rsidR="004E3242" w:rsidRPr="004E3242" w14:paraId="02C19D17" w14:textId="77777777" w:rsidTr="00AA7998">
        <w:tc>
          <w:tcPr>
            <w:tcW w:w="679" w:type="pct"/>
            <w:vMerge/>
            <w:shd w:val="clear" w:color="auto" w:fill="D6E3BC"/>
            <w:vAlign w:val="center"/>
          </w:tcPr>
          <w:p w14:paraId="1E915242" w14:textId="77777777" w:rsidR="004E3242" w:rsidRPr="004E3242" w:rsidRDefault="004E3242" w:rsidP="004E3242">
            <w:pPr>
              <w:spacing w:after="0" w:line="240" w:lineRule="auto"/>
              <w:jc w:val="both"/>
              <w:rPr>
                <w:rFonts w:ascii="Arial" w:hAnsi="Arial" w:cs="Arial"/>
                <w:bCs/>
                <w:smallCaps/>
                <w:spacing w:val="4"/>
                <w:sz w:val="16"/>
                <w:szCs w:val="16"/>
              </w:rPr>
            </w:pPr>
          </w:p>
        </w:tc>
        <w:tc>
          <w:tcPr>
            <w:tcW w:w="500" w:type="pct"/>
            <w:vMerge/>
            <w:shd w:val="clear" w:color="auto" w:fill="F2F2F2"/>
            <w:vAlign w:val="center"/>
          </w:tcPr>
          <w:p w14:paraId="480D820C"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4942D88E"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247AA364"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z w:val="16"/>
                <w:szCs w:val="16"/>
              </w:rPr>
              <w:t>Istnieją odpowiednie procedury zapewniające stosowanie skutecznego systemu wskaźników we wszystkich operacjach finansowanych z programu.</w:t>
            </w:r>
          </w:p>
        </w:tc>
        <w:tc>
          <w:tcPr>
            <w:tcW w:w="459" w:type="pct"/>
            <w:shd w:val="clear" w:color="auto" w:fill="F2F2F2"/>
            <w:vAlign w:val="center"/>
          </w:tcPr>
          <w:p w14:paraId="0FDB0B1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Spełnione</w:t>
            </w:r>
          </w:p>
        </w:tc>
        <w:tc>
          <w:tcPr>
            <w:tcW w:w="1105" w:type="pct"/>
            <w:shd w:val="clear" w:color="auto" w:fill="F2F2F2"/>
            <w:vAlign w:val="center"/>
          </w:tcPr>
          <w:p w14:paraId="61447FEA" w14:textId="77777777" w:rsidR="004E3242" w:rsidRPr="004E3242" w:rsidRDefault="004E3242" w:rsidP="00D20217">
            <w:pPr>
              <w:numPr>
                <w:ilvl w:val="0"/>
                <w:numId w:val="97"/>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Właściwe akty prawne UE (rozporządzenia PE i Rady - ogólne i funduszowe oraz wykonawcze KE).</w:t>
            </w:r>
          </w:p>
          <w:p w14:paraId="1BEC0DB3" w14:textId="77777777" w:rsidR="004E3242" w:rsidRPr="004E3242" w:rsidRDefault="004E3242" w:rsidP="00D20217">
            <w:pPr>
              <w:numPr>
                <w:ilvl w:val="0"/>
                <w:numId w:val="97"/>
              </w:numPr>
              <w:spacing w:before="100" w:beforeAutospacing="1" w:after="100" w:afterAutospacing="1" w:line="240" w:lineRule="auto"/>
              <w:rPr>
                <w:rFonts w:ascii="Arial" w:eastAsia="Times New Roman" w:hAnsi="Arial" w:cs="Arial"/>
                <w:sz w:val="16"/>
                <w:szCs w:val="16"/>
                <w:lang w:val="en-US" w:eastAsia="pl-PL"/>
              </w:rPr>
            </w:pPr>
            <w:proofErr w:type="spellStart"/>
            <w:r w:rsidRPr="004E3242">
              <w:rPr>
                <w:rFonts w:ascii="Arial" w:eastAsia="Times New Roman" w:hAnsi="Arial" w:cs="Arial"/>
                <w:sz w:val="16"/>
                <w:szCs w:val="16"/>
                <w:lang w:val="en-US" w:eastAsia="pl-PL"/>
              </w:rPr>
              <w:t>Wytyczne</w:t>
            </w:r>
            <w:proofErr w:type="spellEnd"/>
            <w:r w:rsidRPr="004E3242">
              <w:rPr>
                <w:rFonts w:ascii="Arial" w:eastAsia="Times New Roman" w:hAnsi="Arial" w:cs="Arial"/>
                <w:sz w:val="16"/>
                <w:szCs w:val="16"/>
                <w:lang w:val="en-US" w:eastAsia="pl-PL"/>
              </w:rPr>
              <w:t xml:space="preserve"> KE "</w:t>
            </w:r>
            <w:r w:rsidRPr="004E3242">
              <w:rPr>
                <w:rFonts w:ascii="Arial" w:eastAsia="Times New Roman" w:hAnsi="Arial" w:cs="Arial"/>
                <w:i/>
                <w:iCs/>
                <w:sz w:val="16"/>
                <w:szCs w:val="16"/>
                <w:lang w:val="en-US" w:eastAsia="pl-PL"/>
              </w:rPr>
              <w:t>The programming period 2014-2020 guidance document on monitoring and evaluation - European Regional Development Fund and Cohesion Fund</w:t>
            </w:r>
            <w:r w:rsidRPr="004E3242">
              <w:rPr>
                <w:rFonts w:ascii="Arial" w:eastAsia="Times New Roman" w:hAnsi="Arial" w:cs="Arial"/>
                <w:sz w:val="16"/>
                <w:szCs w:val="16"/>
                <w:lang w:val="en-US" w:eastAsia="pl-PL"/>
              </w:rPr>
              <w:t>".</w:t>
            </w:r>
          </w:p>
          <w:p w14:paraId="49D64FC3" w14:textId="77777777" w:rsidR="004E3242" w:rsidRPr="004E3242" w:rsidRDefault="004E3242" w:rsidP="00D20217">
            <w:pPr>
              <w:numPr>
                <w:ilvl w:val="0"/>
                <w:numId w:val="97"/>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Ustawa z 11 lipca 2014 r. o zasadach realizacji programów w zakresie polityki spójności finansowanych w perspektywie finansowej 2014-2020.</w:t>
            </w:r>
          </w:p>
          <w:p w14:paraId="3DBECD79" w14:textId="77777777" w:rsidR="004E3242" w:rsidRPr="004E3242" w:rsidRDefault="004E3242" w:rsidP="00D20217">
            <w:pPr>
              <w:numPr>
                <w:ilvl w:val="0"/>
                <w:numId w:val="97"/>
              </w:numPr>
              <w:spacing w:before="100" w:beforeAutospacing="1" w:after="100" w:afterAutospacing="1" w:line="240" w:lineRule="auto"/>
              <w:rPr>
                <w:rFonts w:ascii="Arial" w:eastAsia="Times New Roman" w:hAnsi="Arial" w:cs="Arial"/>
                <w:sz w:val="16"/>
                <w:szCs w:val="16"/>
                <w:lang w:eastAsia="pl-PL"/>
              </w:rPr>
            </w:pPr>
            <w:r w:rsidRPr="004E3242">
              <w:rPr>
                <w:rFonts w:ascii="Arial" w:eastAsia="Times New Roman" w:hAnsi="Arial" w:cs="Arial"/>
                <w:sz w:val="16"/>
                <w:szCs w:val="16"/>
                <w:lang w:eastAsia="pl-PL"/>
              </w:rPr>
              <w:t>Zapisy instrukcyjne „</w:t>
            </w:r>
            <w:r w:rsidRPr="004E3242">
              <w:rPr>
                <w:rFonts w:ascii="Arial" w:eastAsia="Times New Roman" w:hAnsi="Arial" w:cs="Arial"/>
                <w:i/>
                <w:iCs/>
                <w:sz w:val="16"/>
                <w:szCs w:val="16"/>
                <w:lang w:eastAsia="pl-PL"/>
              </w:rPr>
              <w:t>Szablonu Programu Operacyjnego 2014-2020 w Polsce z komentarzem</w:t>
            </w:r>
            <w:r w:rsidRPr="004E3242">
              <w:rPr>
                <w:rFonts w:ascii="Arial" w:eastAsia="Times New Roman" w:hAnsi="Arial" w:cs="Arial"/>
                <w:sz w:val="16"/>
                <w:szCs w:val="16"/>
                <w:lang w:eastAsia="pl-PL"/>
              </w:rPr>
              <w:t>”.</w:t>
            </w:r>
          </w:p>
          <w:p w14:paraId="5BDD686E" w14:textId="77777777" w:rsidR="004E3242" w:rsidRPr="004E3242" w:rsidRDefault="004E3242" w:rsidP="004E3242">
            <w:pPr>
              <w:spacing w:before="60" w:after="60" w:line="240" w:lineRule="auto"/>
              <w:jc w:val="both"/>
              <w:rPr>
                <w:rFonts w:ascii="Arial" w:hAnsi="Arial" w:cs="Arial"/>
                <w:b/>
                <w:sz w:val="16"/>
                <w:szCs w:val="16"/>
              </w:rPr>
            </w:pPr>
          </w:p>
        </w:tc>
        <w:tc>
          <w:tcPr>
            <w:tcW w:w="981" w:type="pct"/>
            <w:shd w:val="clear" w:color="auto" w:fill="F2F2F2"/>
            <w:vAlign w:val="center"/>
          </w:tcPr>
          <w:p w14:paraId="57FC3D1E"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Ustawa z 11 lipca 2014 r. o zasadach realizacji programów w zakresie polityki spójności finansowanych w perspektywie finansowej 2014-2020 (http://isap.sejm.gov.pl/DetailsServlet?id=WDU2014000</w:t>
            </w:r>
          </w:p>
        </w:tc>
      </w:tr>
      <w:tr w:rsidR="004E3242" w:rsidRPr="004E3242" w14:paraId="509649E9" w14:textId="77777777" w:rsidTr="00AA7998">
        <w:tc>
          <w:tcPr>
            <w:tcW w:w="679" w:type="pct"/>
            <w:vMerge w:val="restart"/>
            <w:shd w:val="clear" w:color="auto" w:fill="D6E3BC"/>
            <w:vAlign w:val="center"/>
          </w:tcPr>
          <w:p w14:paraId="58B43220"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t xml:space="preserve">4.1 Przeprowadzono działania promujące racjonalne kosztowo ulepszenie efektywnego końcowego wykorzystania energii </w:t>
            </w:r>
            <w:r w:rsidRPr="004E3242">
              <w:rPr>
                <w:rFonts w:ascii="Arial" w:hAnsi="Arial" w:cs="Arial"/>
                <w:bCs/>
                <w:smallCaps/>
                <w:spacing w:val="4"/>
                <w:sz w:val="16"/>
                <w:szCs w:val="16"/>
              </w:rPr>
              <w:lastRenderedPageBreak/>
              <w:t>oraz racjonalne kosztowo inwestycje w efektywność energetyczną przy budowaniu lub renowacji budynków</w:t>
            </w:r>
          </w:p>
        </w:tc>
        <w:tc>
          <w:tcPr>
            <w:tcW w:w="500" w:type="pct"/>
            <w:vMerge w:val="restart"/>
            <w:shd w:val="clear" w:color="auto" w:fill="F2F2F2"/>
            <w:vAlign w:val="center"/>
          </w:tcPr>
          <w:p w14:paraId="13F3ED5E"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lastRenderedPageBreak/>
              <w:t>I.</w:t>
            </w:r>
          </w:p>
        </w:tc>
        <w:tc>
          <w:tcPr>
            <w:tcW w:w="462" w:type="pct"/>
            <w:vMerge w:val="restart"/>
            <w:shd w:val="clear" w:color="auto" w:fill="F2F2F2"/>
            <w:vAlign w:val="center"/>
          </w:tcPr>
          <w:p w14:paraId="0FE5DD4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Warunek częściowo spełniony</w:t>
            </w:r>
          </w:p>
        </w:tc>
        <w:tc>
          <w:tcPr>
            <w:tcW w:w="814" w:type="pct"/>
            <w:shd w:val="clear" w:color="auto" w:fill="F2F2F2"/>
            <w:vAlign w:val="center"/>
          </w:tcPr>
          <w:p w14:paraId="0067CEFC"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pacing w:val="4"/>
                <w:sz w:val="16"/>
                <w:szCs w:val="16"/>
                <w:u w:val="single"/>
              </w:rPr>
              <w:t>Kryterium 1.</w:t>
            </w:r>
          </w:p>
          <w:p w14:paraId="297C3E4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Działania służące zapewnieniu wdrożenia minimalnych wymagań dotyczących charakterystyki energetycznej budynków, zgodnie z art. 3, 4 i 5 dyrektywy Parlamentu </w:t>
            </w:r>
            <w:r w:rsidRPr="004E3242">
              <w:rPr>
                <w:rFonts w:ascii="Arial" w:hAnsi="Arial" w:cs="Arial"/>
                <w:sz w:val="16"/>
                <w:szCs w:val="16"/>
              </w:rPr>
              <w:lastRenderedPageBreak/>
              <w:t>Europejskiego i Rady 2010/31/UE.</w:t>
            </w:r>
          </w:p>
        </w:tc>
        <w:tc>
          <w:tcPr>
            <w:tcW w:w="459" w:type="pct"/>
            <w:shd w:val="clear" w:color="auto" w:fill="F2F2F2"/>
            <w:vAlign w:val="center"/>
          </w:tcPr>
          <w:p w14:paraId="1E6D6A5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Kryterium spełnione</w:t>
            </w:r>
          </w:p>
        </w:tc>
        <w:tc>
          <w:tcPr>
            <w:tcW w:w="1105" w:type="pct"/>
            <w:shd w:val="clear" w:color="auto" w:fill="F2F2F2"/>
            <w:vAlign w:val="center"/>
          </w:tcPr>
          <w:p w14:paraId="6695068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z w:val="16"/>
                <w:szCs w:val="16"/>
              </w:rPr>
              <w:t>Art</w:t>
            </w:r>
            <w:r w:rsidRPr="004E3242">
              <w:rPr>
                <w:rFonts w:ascii="Arial" w:hAnsi="Arial" w:cs="Arial"/>
                <w:sz w:val="16"/>
                <w:szCs w:val="16"/>
              </w:rPr>
              <w:t>. 3, 4 i 5 dyrektywy Parlamentu Europejskiego i Rady 2010/31/UE zostały w pełni wdrożone.</w:t>
            </w:r>
          </w:p>
        </w:tc>
        <w:tc>
          <w:tcPr>
            <w:tcW w:w="981" w:type="pct"/>
            <w:shd w:val="clear" w:color="auto" w:fill="F2F2F2"/>
            <w:vAlign w:val="center"/>
          </w:tcPr>
          <w:p w14:paraId="7E279BF0"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art. 3 i 11-Rozporządzenie w sprawie metodologii obliczania charakterystyki energetycznej budynku i lokalu mieszkalnego lub części budynku stanowiącej samodzielną całość techniczno-użytkową oraz sposobu sporządzania i wzorów świadectw ich </w:t>
            </w:r>
            <w:r w:rsidRPr="004E3242">
              <w:rPr>
                <w:rFonts w:ascii="Arial" w:hAnsi="Arial" w:cs="Arial"/>
                <w:sz w:val="16"/>
                <w:szCs w:val="16"/>
              </w:rPr>
              <w:lastRenderedPageBreak/>
              <w:t>charakterystyki energetycznej. Art. 4 Rozporządzenie Ministra Infrastruktury z w sprawie warunków technicznych, jakim powinny odpowiadać budynki i ich usytuowanie. Art. 5 został określony m.in. w Sprawozdaniu ze wszystkich danych wyjściowych i założeń użytych do celów obliczenia optymalnego pod względem kosztów poziomów wymagań minimalnych dotyczących charakterystyki energetycznej.</w:t>
            </w:r>
          </w:p>
        </w:tc>
      </w:tr>
      <w:tr w:rsidR="004E3242" w:rsidRPr="004E3242" w14:paraId="0B0F367C" w14:textId="77777777" w:rsidTr="00AA7998">
        <w:tc>
          <w:tcPr>
            <w:tcW w:w="679" w:type="pct"/>
            <w:vMerge/>
            <w:shd w:val="clear" w:color="auto" w:fill="D6E3BC"/>
            <w:vAlign w:val="center"/>
          </w:tcPr>
          <w:p w14:paraId="309E5613" w14:textId="77777777" w:rsidR="004E3242" w:rsidRPr="004E3242" w:rsidRDefault="004E3242" w:rsidP="004E3242">
            <w:pPr>
              <w:spacing w:before="60" w:after="60" w:line="240" w:lineRule="auto"/>
              <w:jc w:val="center"/>
              <w:rPr>
                <w:rFonts w:ascii="Arial" w:hAnsi="Arial" w:cs="Arial"/>
                <w:bCs/>
                <w:spacing w:val="4"/>
                <w:sz w:val="16"/>
                <w:szCs w:val="16"/>
              </w:rPr>
            </w:pPr>
          </w:p>
        </w:tc>
        <w:tc>
          <w:tcPr>
            <w:tcW w:w="500" w:type="pct"/>
            <w:vMerge/>
            <w:shd w:val="clear" w:color="auto" w:fill="F2F2F2"/>
            <w:vAlign w:val="center"/>
          </w:tcPr>
          <w:p w14:paraId="4558D5FE"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7C1648DC"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7DF62D1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u w:val="single"/>
              </w:rPr>
              <w:t>Kryterium 2.</w:t>
            </w:r>
          </w:p>
          <w:p w14:paraId="682C86E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Działania konieczne do utworzenia systemu certyfikacji w odniesieniu do charakterystyki energetycznej budynków, spójnego z art. 11 dyrektywy 2010/31/UE.</w:t>
            </w:r>
          </w:p>
        </w:tc>
        <w:tc>
          <w:tcPr>
            <w:tcW w:w="459" w:type="pct"/>
            <w:shd w:val="clear" w:color="auto" w:fill="F2F2F2"/>
            <w:vAlign w:val="center"/>
          </w:tcPr>
          <w:p w14:paraId="0F40F52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Kryterium częściowo spełnione</w:t>
            </w:r>
          </w:p>
        </w:tc>
        <w:tc>
          <w:tcPr>
            <w:tcW w:w="1105" w:type="pct"/>
            <w:shd w:val="clear" w:color="auto" w:fill="F2F2F2"/>
            <w:vAlign w:val="center"/>
          </w:tcPr>
          <w:p w14:paraId="4A09EF2D" w14:textId="77777777" w:rsidR="004E3242" w:rsidRPr="004E3242" w:rsidRDefault="004E3242" w:rsidP="004E3242">
            <w:pPr>
              <w:spacing w:before="60" w:after="60" w:line="240" w:lineRule="auto"/>
              <w:jc w:val="both"/>
              <w:rPr>
                <w:rFonts w:ascii="Arial" w:hAnsi="Arial" w:cs="Arial"/>
                <w:b/>
                <w:sz w:val="16"/>
                <w:szCs w:val="16"/>
              </w:rPr>
            </w:pPr>
          </w:p>
          <w:p w14:paraId="7A295D8C" w14:textId="77777777" w:rsidR="004E3242" w:rsidRPr="004E3242" w:rsidRDefault="004E3242" w:rsidP="004E3242">
            <w:pPr>
              <w:spacing w:before="60" w:after="60" w:line="240" w:lineRule="auto"/>
              <w:jc w:val="both"/>
              <w:rPr>
                <w:rFonts w:ascii="Arial" w:hAnsi="Arial" w:cs="Arial"/>
                <w:b/>
                <w:sz w:val="16"/>
                <w:szCs w:val="16"/>
              </w:rPr>
            </w:pPr>
          </w:p>
          <w:p w14:paraId="1FF6B9A6" w14:textId="77777777" w:rsidR="004E3242" w:rsidRPr="004E3242" w:rsidRDefault="004E3242" w:rsidP="004E3242">
            <w:pPr>
              <w:spacing w:before="60" w:after="60" w:line="240" w:lineRule="auto"/>
              <w:jc w:val="both"/>
              <w:rPr>
                <w:rFonts w:ascii="Arial" w:hAnsi="Arial" w:cs="Arial"/>
                <w:b/>
                <w:sz w:val="16"/>
                <w:szCs w:val="16"/>
              </w:rPr>
            </w:pPr>
          </w:p>
          <w:p w14:paraId="573CDD76" w14:textId="77777777" w:rsidR="004E3242" w:rsidRPr="004E3242" w:rsidRDefault="004E3242" w:rsidP="004E3242">
            <w:pPr>
              <w:spacing w:before="60" w:after="60" w:line="240" w:lineRule="auto"/>
              <w:jc w:val="both"/>
              <w:rPr>
                <w:rFonts w:ascii="Arial" w:hAnsi="Arial" w:cs="Arial"/>
                <w:b/>
                <w:sz w:val="16"/>
                <w:szCs w:val="16"/>
              </w:rPr>
            </w:pPr>
          </w:p>
          <w:p w14:paraId="5508CEA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Cały art. 11-proj. </w:t>
            </w:r>
            <w:proofErr w:type="spellStart"/>
            <w:r w:rsidRPr="004E3242">
              <w:rPr>
                <w:rFonts w:ascii="Arial" w:hAnsi="Arial" w:cs="Arial"/>
                <w:sz w:val="16"/>
                <w:szCs w:val="16"/>
              </w:rPr>
              <w:t>Rozp</w:t>
            </w:r>
            <w:proofErr w:type="spellEnd"/>
            <w:r w:rsidRPr="004E3242">
              <w:rPr>
                <w:rFonts w:ascii="Arial" w:hAnsi="Arial" w:cs="Arial"/>
                <w:sz w:val="16"/>
                <w:szCs w:val="16"/>
              </w:rPr>
              <w:t xml:space="preserve">. w sprawie metodologii wyznaczania charakterystyki energetycznej budynku lub części </w:t>
            </w:r>
            <w:proofErr w:type="spellStart"/>
            <w:r w:rsidRPr="004E3242">
              <w:rPr>
                <w:rFonts w:ascii="Arial" w:hAnsi="Arial" w:cs="Arial"/>
                <w:sz w:val="16"/>
                <w:szCs w:val="16"/>
              </w:rPr>
              <w:t>budynku,sposobu</w:t>
            </w:r>
            <w:proofErr w:type="spellEnd"/>
            <w:r w:rsidRPr="004E3242">
              <w:rPr>
                <w:rFonts w:ascii="Arial" w:hAnsi="Arial" w:cs="Arial"/>
                <w:sz w:val="16"/>
                <w:szCs w:val="16"/>
              </w:rPr>
              <w:t xml:space="preserve"> sporządzania oraz wzorów świadectw charakterystyki energetycznej. Art. 11 ust. 2 Rozporządzenie w sprawie metodologii obliczania charakterystyki energetycznej budynku i lokalu mieszkalnego lub części budynku stanowiącej samodzielną całość techniczno-użytkową oraz sposobu sporządzania i wzorów świadectw ich charakterystyki energetycznej. Art. 11 ust. 5 nie wymaga wdrożenia.</w:t>
            </w:r>
          </w:p>
        </w:tc>
        <w:tc>
          <w:tcPr>
            <w:tcW w:w="981" w:type="pct"/>
            <w:shd w:val="clear" w:color="auto" w:fill="F2F2F2"/>
            <w:vAlign w:val="center"/>
          </w:tcPr>
          <w:p w14:paraId="4DEC03BA" w14:textId="77777777" w:rsidR="004E3242" w:rsidRPr="004E3242" w:rsidRDefault="004E3242" w:rsidP="004E3242">
            <w:pPr>
              <w:spacing w:before="60" w:after="60" w:line="240" w:lineRule="auto"/>
              <w:jc w:val="both"/>
              <w:rPr>
                <w:rFonts w:ascii="Arial" w:hAnsi="Arial" w:cs="Arial"/>
                <w:sz w:val="16"/>
                <w:szCs w:val="16"/>
              </w:rPr>
            </w:pPr>
          </w:p>
          <w:p w14:paraId="7257DF78" w14:textId="77777777" w:rsidR="004E3242" w:rsidRPr="004E3242" w:rsidRDefault="004E3242" w:rsidP="004E3242">
            <w:pPr>
              <w:spacing w:before="60" w:after="60" w:line="240" w:lineRule="auto"/>
              <w:jc w:val="both"/>
              <w:rPr>
                <w:rFonts w:ascii="Arial" w:hAnsi="Arial" w:cs="Arial"/>
                <w:sz w:val="16"/>
                <w:szCs w:val="16"/>
              </w:rPr>
            </w:pPr>
          </w:p>
          <w:p w14:paraId="3024E3D3" w14:textId="77777777" w:rsidR="004E3242" w:rsidRPr="004E3242" w:rsidRDefault="004E3242" w:rsidP="004E3242">
            <w:pPr>
              <w:spacing w:before="60" w:after="60" w:line="240" w:lineRule="auto"/>
              <w:jc w:val="both"/>
              <w:rPr>
                <w:rFonts w:ascii="Arial" w:hAnsi="Arial" w:cs="Arial"/>
                <w:sz w:val="16"/>
                <w:szCs w:val="16"/>
              </w:rPr>
            </w:pPr>
          </w:p>
          <w:p w14:paraId="1244D86B" w14:textId="77777777" w:rsidR="004E3242" w:rsidRPr="004E3242" w:rsidRDefault="004E3242" w:rsidP="004E3242">
            <w:pPr>
              <w:spacing w:before="60" w:after="60" w:line="240" w:lineRule="auto"/>
              <w:jc w:val="both"/>
              <w:rPr>
                <w:rFonts w:ascii="Arial" w:hAnsi="Arial" w:cs="Arial"/>
                <w:sz w:val="16"/>
                <w:szCs w:val="16"/>
              </w:rPr>
            </w:pPr>
          </w:p>
          <w:p w14:paraId="762F2E46"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Rozporządzenie ma zapewnić pełną zgodność z art. 11 dyrektywy 2010/31/UE, w zakresie: - zaleceń dotyczących działań w związku z ważniejszą renowacją, - zaleceń dotyczących działań w odniesieniu do poszczególnych elementów budynku niezależnie od ważniejszej renowacji, - technicznej wykonalności zaleceń. W załącznikach nr 3-5 do ww. rozporządzenia, na trzeciej stronie we wzorze świadectwa wskazano, że osoba uprawniona do sporządzenia świadectwa zamieszcza informację, gdzie można uzyskać szczegółowe informacje dotyczące opłacalności ekonomicznej zawartych w świadectwie zaleceń oraz informację dotyczącą działań, jakie należy podjąć w celu wypełnienia zaleceń. </w:t>
            </w:r>
          </w:p>
        </w:tc>
      </w:tr>
      <w:tr w:rsidR="004E3242" w:rsidRPr="004E3242" w14:paraId="16E7A962" w14:textId="77777777" w:rsidTr="00AA7998">
        <w:tc>
          <w:tcPr>
            <w:tcW w:w="679" w:type="pct"/>
            <w:vMerge/>
            <w:shd w:val="clear" w:color="auto" w:fill="D6E3BC"/>
            <w:vAlign w:val="center"/>
          </w:tcPr>
          <w:p w14:paraId="61A9DAAF" w14:textId="77777777" w:rsidR="004E3242" w:rsidRPr="004E3242" w:rsidRDefault="004E3242" w:rsidP="004E3242">
            <w:pPr>
              <w:spacing w:before="60" w:after="60" w:line="240" w:lineRule="auto"/>
              <w:jc w:val="center"/>
              <w:rPr>
                <w:rFonts w:ascii="Arial" w:hAnsi="Arial" w:cs="Arial"/>
                <w:bCs/>
                <w:spacing w:val="4"/>
                <w:sz w:val="16"/>
                <w:szCs w:val="16"/>
              </w:rPr>
            </w:pPr>
          </w:p>
        </w:tc>
        <w:tc>
          <w:tcPr>
            <w:tcW w:w="500" w:type="pct"/>
            <w:vMerge/>
            <w:shd w:val="clear" w:color="auto" w:fill="F2F2F2"/>
            <w:vAlign w:val="center"/>
          </w:tcPr>
          <w:p w14:paraId="4C3748C9"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shd w:val="clear" w:color="auto" w:fill="F2F2F2"/>
            <w:vAlign w:val="center"/>
          </w:tcPr>
          <w:p w14:paraId="7FF01F5B"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39EFEC2E"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pacing w:val="4"/>
                <w:sz w:val="16"/>
                <w:szCs w:val="16"/>
                <w:u w:val="single"/>
              </w:rPr>
              <w:t>Kryterium 3.</w:t>
            </w:r>
          </w:p>
          <w:p w14:paraId="44447FF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Działania służące zapewnieniu planowania strategicznego w dziedzinie efektywności energetycznej, spójne z art. 3 dyrektywy Parlamentu Europejskiego i </w:t>
            </w:r>
            <w:r w:rsidRPr="004E3242">
              <w:rPr>
                <w:rFonts w:ascii="Arial" w:hAnsi="Arial" w:cs="Arial"/>
                <w:spacing w:val="4"/>
                <w:sz w:val="16"/>
                <w:szCs w:val="16"/>
              </w:rPr>
              <w:lastRenderedPageBreak/>
              <w:t>Rady 2012/27/EU.</w:t>
            </w:r>
          </w:p>
        </w:tc>
        <w:tc>
          <w:tcPr>
            <w:tcW w:w="459" w:type="pct"/>
            <w:shd w:val="clear" w:color="auto" w:fill="F2F2F2"/>
            <w:vAlign w:val="center"/>
          </w:tcPr>
          <w:p w14:paraId="12ED3B9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lastRenderedPageBreak/>
              <w:t>Kryterium spełnione</w:t>
            </w:r>
          </w:p>
        </w:tc>
        <w:tc>
          <w:tcPr>
            <w:tcW w:w="1105" w:type="pct"/>
            <w:shd w:val="clear" w:color="auto" w:fill="F2F2F2"/>
            <w:vAlign w:val="center"/>
          </w:tcPr>
          <w:p w14:paraId="3213A6B6"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lang w:eastAsia="zh-CN"/>
              </w:rPr>
              <w:t>Przekazano do Komisji Europejskiej Informację w sprawie krajowego celu indykatywnego w zakresie efektywności energetycznej dla Polski ustalonego na postawie art. 3 ust. 1 dyrektywy 2012/27/UE.</w:t>
            </w:r>
          </w:p>
        </w:tc>
        <w:tc>
          <w:tcPr>
            <w:tcW w:w="981" w:type="pct"/>
            <w:shd w:val="clear" w:color="auto" w:fill="F2F2F2"/>
            <w:vAlign w:val="center"/>
          </w:tcPr>
          <w:p w14:paraId="36EF56F4" w14:textId="77777777" w:rsidR="004E3242" w:rsidRPr="004E3242" w:rsidRDefault="004E3242" w:rsidP="004E3242">
            <w:pPr>
              <w:spacing w:before="60" w:after="60" w:line="240" w:lineRule="auto"/>
              <w:jc w:val="center"/>
              <w:rPr>
                <w:rFonts w:ascii="Arial" w:hAnsi="Arial" w:cs="Arial"/>
                <w:spacing w:val="4"/>
                <w:sz w:val="16"/>
                <w:szCs w:val="16"/>
              </w:rPr>
            </w:pPr>
          </w:p>
        </w:tc>
      </w:tr>
      <w:tr w:rsidR="004E3242" w:rsidRPr="004E3242" w14:paraId="141B3671" w14:textId="77777777" w:rsidTr="00AA7998">
        <w:tc>
          <w:tcPr>
            <w:tcW w:w="679" w:type="pct"/>
            <w:vMerge/>
            <w:shd w:val="clear" w:color="auto" w:fill="D6E3BC"/>
            <w:vAlign w:val="center"/>
          </w:tcPr>
          <w:p w14:paraId="5059C6CE" w14:textId="77777777" w:rsidR="004E3242" w:rsidRPr="004E3242" w:rsidRDefault="004E3242" w:rsidP="004E3242">
            <w:pPr>
              <w:spacing w:before="60" w:after="60" w:line="240" w:lineRule="auto"/>
              <w:jc w:val="center"/>
              <w:rPr>
                <w:rFonts w:ascii="Arial" w:hAnsi="Arial" w:cs="Arial"/>
                <w:bCs/>
                <w:spacing w:val="4"/>
                <w:sz w:val="16"/>
                <w:szCs w:val="16"/>
              </w:rPr>
            </w:pPr>
          </w:p>
        </w:tc>
        <w:tc>
          <w:tcPr>
            <w:tcW w:w="500" w:type="pct"/>
            <w:vMerge/>
            <w:shd w:val="clear" w:color="auto" w:fill="F2F2F2"/>
            <w:vAlign w:val="center"/>
          </w:tcPr>
          <w:p w14:paraId="1F2C9B23"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shd w:val="clear" w:color="auto" w:fill="F2F2F2"/>
            <w:vAlign w:val="center"/>
          </w:tcPr>
          <w:p w14:paraId="0D486070"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2CA8708C"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pacing w:val="4"/>
                <w:sz w:val="16"/>
                <w:szCs w:val="16"/>
                <w:u w:val="single"/>
              </w:rPr>
              <w:t>Kryterium 4.</w:t>
            </w:r>
          </w:p>
          <w:p w14:paraId="54F265C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Działania spójne z art. 13 dyrektywy Parlamentu Europejskiego i Rady 2006/32/WE w sprawie końcowego wykorzystania energii i usług energetycznych, aby zagwarantować dostarczenie klientom końcowym indywidualnych liczników w zakresie, w jakim jest to możliwe technicznie, racjonalne finansowo i proporcjonalne w odniesieniu do potencjalnych oszczędności energii.</w:t>
            </w:r>
          </w:p>
        </w:tc>
        <w:tc>
          <w:tcPr>
            <w:tcW w:w="459" w:type="pct"/>
            <w:shd w:val="clear" w:color="auto" w:fill="F2F2F2"/>
            <w:vAlign w:val="center"/>
          </w:tcPr>
          <w:p w14:paraId="72366E1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t>Kryterium spełnione</w:t>
            </w:r>
          </w:p>
        </w:tc>
        <w:tc>
          <w:tcPr>
            <w:tcW w:w="1105" w:type="pct"/>
            <w:shd w:val="clear" w:color="auto" w:fill="F2F2F2"/>
            <w:vAlign w:val="center"/>
          </w:tcPr>
          <w:p w14:paraId="2D2B0F9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color w:val="000000"/>
                <w:sz w:val="16"/>
                <w:szCs w:val="16"/>
              </w:rPr>
              <w:t>Dyrektywa została wdrożona poprzez ustawę o efektywności energetycznej oraz ustawę Prawo energetyczne.</w:t>
            </w:r>
          </w:p>
        </w:tc>
        <w:tc>
          <w:tcPr>
            <w:tcW w:w="981" w:type="pct"/>
            <w:shd w:val="clear" w:color="auto" w:fill="F2F2F2"/>
            <w:vAlign w:val="center"/>
          </w:tcPr>
          <w:p w14:paraId="6801475A" w14:textId="77777777" w:rsidR="004E3242" w:rsidRPr="004E3242" w:rsidRDefault="004E3242" w:rsidP="004E3242">
            <w:pPr>
              <w:spacing w:before="60" w:after="60" w:line="240" w:lineRule="auto"/>
              <w:jc w:val="center"/>
              <w:rPr>
                <w:rFonts w:ascii="Arial" w:hAnsi="Arial" w:cs="Arial"/>
                <w:spacing w:val="4"/>
                <w:sz w:val="16"/>
                <w:szCs w:val="16"/>
              </w:rPr>
            </w:pPr>
          </w:p>
        </w:tc>
      </w:tr>
      <w:tr w:rsidR="004E3242" w:rsidRPr="004E3242" w14:paraId="0AF94D88" w14:textId="77777777" w:rsidTr="00AA7998">
        <w:tc>
          <w:tcPr>
            <w:tcW w:w="679" w:type="pct"/>
            <w:shd w:val="clear" w:color="auto" w:fill="D6E3BC"/>
            <w:vAlign w:val="center"/>
          </w:tcPr>
          <w:p w14:paraId="7304525B"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t>4.2 Przeprowadzono działania promujące wysoko wydajną kogenerację energii cieplnej i elektrycznej</w:t>
            </w:r>
          </w:p>
        </w:tc>
        <w:tc>
          <w:tcPr>
            <w:tcW w:w="500" w:type="pct"/>
            <w:shd w:val="clear" w:color="auto" w:fill="F2F2F2"/>
            <w:vAlign w:val="center"/>
          </w:tcPr>
          <w:p w14:paraId="07D86DF0"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w:t>
            </w:r>
          </w:p>
        </w:tc>
        <w:tc>
          <w:tcPr>
            <w:tcW w:w="462" w:type="pct"/>
            <w:shd w:val="clear" w:color="auto" w:fill="F2F2F2"/>
            <w:vAlign w:val="center"/>
          </w:tcPr>
          <w:p w14:paraId="14FE53DA" w14:textId="77777777" w:rsidR="004E3242" w:rsidRPr="004E3242" w:rsidRDefault="004E3242" w:rsidP="004E3242">
            <w:pPr>
              <w:spacing w:before="60" w:after="60" w:line="240" w:lineRule="auto"/>
              <w:jc w:val="center"/>
              <w:rPr>
                <w:rFonts w:ascii="Arial" w:hAnsi="Arial" w:cs="Arial"/>
                <w:bCs/>
                <w:spacing w:val="4"/>
                <w:sz w:val="16"/>
                <w:szCs w:val="16"/>
              </w:rPr>
            </w:pPr>
            <w:r w:rsidRPr="004E3242">
              <w:rPr>
                <w:rFonts w:ascii="Arial" w:hAnsi="Arial" w:cs="Arial"/>
                <w:bCs/>
                <w:spacing w:val="4"/>
                <w:sz w:val="16"/>
                <w:szCs w:val="16"/>
              </w:rPr>
              <w:t>Warunek spełniony</w:t>
            </w:r>
          </w:p>
        </w:tc>
        <w:tc>
          <w:tcPr>
            <w:tcW w:w="814" w:type="pct"/>
            <w:shd w:val="clear" w:color="auto" w:fill="F2F2F2"/>
            <w:vAlign w:val="center"/>
          </w:tcPr>
          <w:p w14:paraId="7BE3867E"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pacing w:val="4"/>
                <w:sz w:val="16"/>
                <w:szCs w:val="16"/>
                <w:u w:val="single"/>
              </w:rPr>
              <w:t>Kryterium 1.</w:t>
            </w:r>
          </w:p>
          <w:p w14:paraId="62AB87BB" w14:textId="77777777" w:rsidR="004E3242" w:rsidRPr="004E3242" w:rsidRDefault="004E3242" w:rsidP="004E3242">
            <w:pPr>
              <w:suppressAutoHyphens/>
              <w:spacing w:before="60" w:after="60" w:line="240" w:lineRule="auto"/>
              <w:jc w:val="both"/>
              <w:rPr>
                <w:rFonts w:ascii="Arial" w:hAnsi="Arial" w:cs="Arial"/>
                <w:sz w:val="16"/>
                <w:szCs w:val="16"/>
              </w:rPr>
            </w:pPr>
            <w:r w:rsidRPr="004E3242">
              <w:rPr>
                <w:rFonts w:ascii="Arial" w:hAnsi="Arial" w:cs="Arial"/>
                <w:sz w:val="16"/>
                <w:szCs w:val="16"/>
              </w:rPr>
              <w:t>Wsparcie dla kogeneracji opiera się na popycie na użytkową energię cieplną i oszczędności energii pierwotnej zgodnie z art. 7 ust. 1 i art. 9 ust. 1 lit. a) i b) dyrektywy 2004/8/WE.</w:t>
            </w:r>
          </w:p>
          <w:p w14:paraId="698309CA" w14:textId="77777777" w:rsidR="004E3242" w:rsidRPr="004E3242" w:rsidRDefault="004E3242" w:rsidP="004E3242">
            <w:pPr>
              <w:suppressAutoHyphens/>
              <w:spacing w:before="60" w:after="60" w:line="240" w:lineRule="auto"/>
              <w:jc w:val="both"/>
              <w:rPr>
                <w:rFonts w:ascii="Arial" w:hAnsi="Arial" w:cs="Arial"/>
                <w:sz w:val="16"/>
                <w:szCs w:val="16"/>
              </w:rPr>
            </w:pPr>
          </w:p>
          <w:p w14:paraId="631B8A0F" w14:textId="77777777" w:rsidR="004E3242" w:rsidRPr="004E3242" w:rsidRDefault="004E3242" w:rsidP="004E3242">
            <w:pPr>
              <w:suppressAutoHyphens/>
              <w:spacing w:before="60" w:after="60" w:line="240" w:lineRule="auto"/>
              <w:jc w:val="both"/>
              <w:rPr>
                <w:rFonts w:ascii="Arial" w:hAnsi="Arial" w:cs="Arial"/>
                <w:sz w:val="16"/>
                <w:szCs w:val="16"/>
              </w:rPr>
            </w:pPr>
          </w:p>
          <w:p w14:paraId="328C4F12" w14:textId="77777777" w:rsidR="004E3242" w:rsidRPr="004E3242" w:rsidRDefault="004E3242" w:rsidP="004E3242">
            <w:pPr>
              <w:suppressAutoHyphens/>
              <w:spacing w:before="60" w:after="60" w:line="240" w:lineRule="auto"/>
              <w:jc w:val="both"/>
              <w:rPr>
                <w:rFonts w:ascii="Arial" w:hAnsi="Arial" w:cs="Arial"/>
                <w:sz w:val="16"/>
                <w:szCs w:val="16"/>
              </w:rPr>
            </w:pPr>
          </w:p>
          <w:p w14:paraId="4BC2356A" w14:textId="77777777" w:rsidR="004E3242" w:rsidRPr="004E3242" w:rsidRDefault="004E3242" w:rsidP="004E3242">
            <w:pPr>
              <w:suppressAutoHyphens/>
              <w:spacing w:before="60" w:after="60" w:line="240" w:lineRule="auto"/>
              <w:jc w:val="both"/>
              <w:rPr>
                <w:rFonts w:ascii="Arial" w:hAnsi="Arial" w:cs="Arial"/>
                <w:sz w:val="16"/>
                <w:szCs w:val="16"/>
              </w:rPr>
            </w:pPr>
          </w:p>
          <w:p w14:paraId="7487EF1C" w14:textId="77777777" w:rsidR="004E3242" w:rsidRPr="004E3242" w:rsidRDefault="004E3242" w:rsidP="004E3242">
            <w:pPr>
              <w:suppressAutoHyphens/>
              <w:spacing w:before="60" w:after="60" w:line="240" w:lineRule="auto"/>
              <w:jc w:val="both"/>
              <w:rPr>
                <w:rFonts w:ascii="Arial" w:hAnsi="Arial" w:cs="Arial"/>
                <w:sz w:val="16"/>
                <w:szCs w:val="16"/>
              </w:rPr>
            </w:pPr>
          </w:p>
          <w:p w14:paraId="1DECE994" w14:textId="77777777" w:rsidR="004E3242" w:rsidRPr="004E3242" w:rsidRDefault="004E3242" w:rsidP="004E3242">
            <w:pPr>
              <w:suppressAutoHyphens/>
              <w:spacing w:before="60" w:after="60" w:line="240" w:lineRule="auto"/>
              <w:jc w:val="both"/>
              <w:rPr>
                <w:rFonts w:ascii="Arial" w:hAnsi="Arial" w:cs="Arial"/>
                <w:sz w:val="16"/>
                <w:szCs w:val="16"/>
              </w:rPr>
            </w:pPr>
          </w:p>
          <w:p w14:paraId="24C99587" w14:textId="77777777" w:rsidR="004E3242" w:rsidRPr="004E3242" w:rsidRDefault="004E3242" w:rsidP="004E3242">
            <w:pPr>
              <w:suppressAutoHyphens/>
              <w:spacing w:before="60" w:after="60" w:line="240" w:lineRule="auto"/>
              <w:jc w:val="both"/>
              <w:rPr>
                <w:rFonts w:ascii="Arial" w:hAnsi="Arial" w:cs="Arial"/>
                <w:sz w:val="16"/>
                <w:szCs w:val="16"/>
              </w:rPr>
            </w:pPr>
          </w:p>
          <w:p w14:paraId="647A2FD0" w14:textId="77777777" w:rsidR="004E3242" w:rsidRPr="004E3242" w:rsidRDefault="004E3242" w:rsidP="004E3242">
            <w:pPr>
              <w:suppressAutoHyphens/>
              <w:spacing w:before="60" w:after="60" w:line="240" w:lineRule="auto"/>
              <w:jc w:val="both"/>
              <w:rPr>
                <w:rFonts w:ascii="Arial" w:hAnsi="Arial" w:cs="Arial"/>
                <w:sz w:val="16"/>
                <w:szCs w:val="16"/>
              </w:rPr>
            </w:pPr>
            <w:r w:rsidRPr="004E3242">
              <w:rPr>
                <w:rFonts w:ascii="Arial" w:hAnsi="Arial" w:cs="Arial"/>
                <w:sz w:val="16"/>
                <w:szCs w:val="16"/>
              </w:rPr>
              <w:t>Kryterium 2</w:t>
            </w:r>
          </w:p>
          <w:p w14:paraId="3E891B40" w14:textId="77777777" w:rsidR="004E3242" w:rsidRPr="004E3242" w:rsidRDefault="004E3242" w:rsidP="004E3242">
            <w:pPr>
              <w:suppressAutoHyphens/>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Państwa członkowskie lub ich właściwe organy oceniły istniejące prawodawstwo i ramy regulacyjne pod kątem procedur udzielania zezwoleń lub innych procedur, aby: a) zachęcić do projektowania jednostek kogeneracji dla pokrycia ekonomicznie </w:t>
            </w:r>
            <w:r w:rsidRPr="004E3242">
              <w:rPr>
                <w:rFonts w:ascii="Arial" w:hAnsi="Arial" w:cs="Arial"/>
                <w:spacing w:val="4"/>
                <w:sz w:val="16"/>
                <w:szCs w:val="16"/>
              </w:rPr>
              <w:lastRenderedPageBreak/>
              <w:t xml:space="preserve">uzasadnionego zapotrzebowania na ciepło użytkowe i unikania produkcji ciepła w ilościach przekraczających zapotrzebowanie na ciepło użytkowe, oraz b) ograniczyć regulacyjne i </w:t>
            </w:r>
            <w:proofErr w:type="spellStart"/>
            <w:r w:rsidRPr="004E3242">
              <w:rPr>
                <w:rFonts w:ascii="Arial" w:hAnsi="Arial" w:cs="Arial"/>
                <w:spacing w:val="4"/>
                <w:sz w:val="16"/>
                <w:szCs w:val="16"/>
              </w:rPr>
              <w:t>pozaregulacyjne</w:t>
            </w:r>
            <w:proofErr w:type="spellEnd"/>
            <w:r w:rsidRPr="004E3242">
              <w:rPr>
                <w:rFonts w:ascii="Arial" w:hAnsi="Arial" w:cs="Arial"/>
                <w:spacing w:val="4"/>
                <w:sz w:val="16"/>
                <w:szCs w:val="16"/>
              </w:rPr>
              <w:t xml:space="preserve"> bariery utrudniające rozwój kogeneracji.</w:t>
            </w:r>
          </w:p>
        </w:tc>
        <w:tc>
          <w:tcPr>
            <w:tcW w:w="459" w:type="pct"/>
            <w:shd w:val="clear" w:color="auto" w:fill="F2F2F2"/>
            <w:vAlign w:val="center"/>
          </w:tcPr>
          <w:p w14:paraId="2CE7342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Kryterium spełnione</w:t>
            </w:r>
          </w:p>
        </w:tc>
        <w:tc>
          <w:tcPr>
            <w:tcW w:w="1105" w:type="pct"/>
            <w:shd w:val="clear" w:color="auto" w:fill="F2F2F2"/>
            <w:vAlign w:val="center"/>
          </w:tcPr>
          <w:p w14:paraId="3CC97897" w14:textId="77777777" w:rsidR="004E3242" w:rsidRPr="004E3242" w:rsidRDefault="004E3242" w:rsidP="004E3242">
            <w:pPr>
              <w:suppressAutoHyphens/>
              <w:spacing w:before="60" w:after="60" w:line="240" w:lineRule="auto"/>
              <w:jc w:val="both"/>
              <w:rPr>
                <w:rFonts w:ascii="Arial" w:hAnsi="Arial" w:cs="Arial"/>
                <w:sz w:val="16"/>
                <w:szCs w:val="16"/>
              </w:rPr>
            </w:pPr>
            <w:r w:rsidRPr="004E3242">
              <w:rPr>
                <w:rFonts w:ascii="Arial" w:hAnsi="Arial" w:cs="Arial"/>
                <w:sz w:val="16"/>
                <w:szCs w:val="16"/>
              </w:rPr>
              <w:t>Ustawa o zmianie ustawy – prawo energetyczne z dnia 14 marca 2014 r</w:t>
            </w:r>
          </w:p>
          <w:p w14:paraId="18241552" w14:textId="77777777" w:rsidR="004E3242" w:rsidRPr="004E3242" w:rsidRDefault="004E3242" w:rsidP="004E3242">
            <w:pPr>
              <w:suppressAutoHyphens/>
              <w:spacing w:before="60" w:after="60" w:line="240" w:lineRule="auto"/>
              <w:jc w:val="both"/>
              <w:rPr>
                <w:rFonts w:ascii="Arial" w:hAnsi="Arial" w:cs="Arial"/>
                <w:sz w:val="16"/>
                <w:szCs w:val="16"/>
              </w:rPr>
            </w:pPr>
          </w:p>
          <w:p w14:paraId="3B52A3CF" w14:textId="77777777" w:rsidR="004E3242" w:rsidRPr="004E3242" w:rsidRDefault="004E3242" w:rsidP="004E3242">
            <w:pPr>
              <w:suppressAutoHyphens/>
              <w:spacing w:before="60" w:after="60" w:line="240" w:lineRule="auto"/>
              <w:jc w:val="both"/>
              <w:rPr>
                <w:rFonts w:ascii="Arial" w:hAnsi="Arial" w:cs="Arial"/>
                <w:sz w:val="16"/>
                <w:szCs w:val="16"/>
              </w:rPr>
            </w:pPr>
          </w:p>
          <w:p w14:paraId="6C631ECD" w14:textId="77777777" w:rsidR="004E3242" w:rsidRPr="004E3242" w:rsidRDefault="004E3242" w:rsidP="004E3242">
            <w:pPr>
              <w:suppressAutoHyphens/>
              <w:spacing w:before="60" w:after="60" w:line="240" w:lineRule="auto"/>
              <w:jc w:val="both"/>
              <w:rPr>
                <w:rFonts w:ascii="Arial" w:hAnsi="Arial" w:cs="Arial"/>
                <w:sz w:val="16"/>
                <w:szCs w:val="16"/>
              </w:rPr>
            </w:pPr>
          </w:p>
          <w:p w14:paraId="31A1A02D" w14:textId="77777777" w:rsidR="004E3242" w:rsidRPr="004E3242" w:rsidRDefault="004E3242" w:rsidP="004E3242">
            <w:pPr>
              <w:suppressAutoHyphens/>
              <w:spacing w:before="60" w:after="60" w:line="240" w:lineRule="auto"/>
              <w:jc w:val="both"/>
              <w:rPr>
                <w:rFonts w:ascii="Arial" w:hAnsi="Arial" w:cs="Arial"/>
                <w:sz w:val="16"/>
                <w:szCs w:val="16"/>
              </w:rPr>
            </w:pPr>
          </w:p>
          <w:p w14:paraId="208AA203" w14:textId="77777777" w:rsidR="004E3242" w:rsidRPr="004E3242" w:rsidRDefault="004E3242" w:rsidP="004E3242">
            <w:pPr>
              <w:suppressAutoHyphens/>
              <w:spacing w:before="60" w:after="60" w:line="240" w:lineRule="auto"/>
              <w:jc w:val="both"/>
              <w:rPr>
                <w:rFonts w:ascii="Arial" w:hAnsi="Arial" w:cs="Arial"/>
                <w:sz w:val="16"/>
                <w:szCs w:val="16"/>
              </w:rPr>
            </w:pPr>
          </w:p>
          <w:p w14:paraId="01760165" w14:textId="77777777" w:rsidR="004E3242" w:rsidRPr="004E3242" w:rsidRDefault="004E3242" w:rsidP="004E3242">
            <w:pPr>
              <w:suppressAutoHyphens/>
              <w:spacing w:before="60" w:after="60" w:line="240" w:lineRule="auto"/>
              <w:jc w:val="both"/>
              <w:rPr>
                <w:rFonts w:ascii="Arial" w:hAnsi="Arial" w:cs="Arial"/>
                <w:sz w:val="16"/>
                <w:szCs w:val="16"/>
              </w:rPr>
            </w:pPr>
          </w:p>
          <w:p w14:paraId="27202AED" w14:textId="77777777" w:rsidR="004E3242" w:rsidRPr="004E3242" w:rsidRDefault="004E3242" w:rsidP="004E3242">
            <w:pPr>
              <w:suppressAutoHyphens/>
              <w:spacing w:before="60" w:after="60" w:line="240" w:lineRule="auto"/>
              <w:jc w:val="both"/>
              <w:rPr>
                <w:rFonts w:ascii="Arial" w:hAnsi="Arial" w:cs="Arial"/>
                <w:sz w:val="16"/>
                <w:szCs w:val="16"/>
              </w:rPr>
            </w:pPr>
          </w:p>
          <w:p w14:paraId="181B9886" w14:textId="77777777" w:rsidR="004E3242" w:rsidRPr="004E3242" w:rsidRDefault="004E3242" w:rsidP="004E3242">
            <w:pPr>
              <w:suppressAutoHyphens/>
              <w:spacing w:before="60" w:after="60" w:line="240" w:lineRule="auto"/>
              <w:jc w:val="both"/>
              <w:rPr>
                <w:rFonts w:ascii="Arial" w:hAnsi="Arial" w:cs="Arial"/>
                <w:sz w:val="16"/>
                <w:szCs w:val="16"/>
              </w:rPr>
            </w:pPr>
          </w:p>
          <w:p w14:paraId="75B70429" w14:textId="77777777" w:rsidR="004E3242" w:rsidRPr="004E3242" w:rsidRDefault="004E3242" w:rsidP="004E3242">
            <w:pPr>
              <w:suppressAutoHyphens/>
              <w:spacing w:before="60" w:after="60" w:line="240" w:lineRule="auto"/>
              <w:jc w:val="both"/>
              <w:rPr>
                <w:rFonts w:ascii="Arial" w:hAnsi="Arial" w:cs="Arial"/>
                <w:sz w:val="16"/>
                <w:szCs w:val="16"/>
              </w:rPr>
            </w:pPr>
          </w:p>
          <w:p w14:paraId="0927994A" w14:textId="77777777" w:rsidR="004E3242" w:rsidRPr="004E3242" w:rsidRDefault="004E3242" w:rsidP="004E3242">
            <w:pPr>
              <w:suppressAutoHyphens/>
              <w:spacing w:before="60" w:after="60" w:line="240" w:lineRule="auto"/>
              <w:jc w:val="both"/>
              <w:rPr>
                <w:rFonts w:ascii="Arial" w:hAnsi="Arial" w:cs="Arial"/>
                <w:sz w:val="16"/>
                <w:szCs w:val="16"/>
              </w:rPr>
            </w:pPr>
          </w:p>
          <w:p w14:paraId="4F305578" w14:textId="77777777" w:rsidR="004E3242" w:rsidRPr="004E3242" w:rsidRDefault="004E3242" w:rsidP="004E3242">
            <w:pPr>
              <w:suppressAutoHyphens/>
              <w:spacing w:before="60" w:after="60" w:line="240" w:lineRule="auto"/>
              <w:jc w:val="both"/>
              <w:rPr>
                <w:rFonts w:ascii="Arial" w:hAnsi="Arial" w:cs="Arial"/>
                <w:sz w:val="16"/>
                <w:szCs w:val="16"/>
              </w:rPr>
            </w:pPr>
          </w:p>
          <w:p w14:paraId="0C4BAF2B" w14:textId="77777777" w:rsidR="004E3242" w:rsidRPr="004E3242" w:rsidRDefault="004E3242" w:rsidP="004E3242">
            <w:pPr>
              <w:suppressAutoHyphens/>
              <w:spacing w:before="60" w:after="60" w:line="240" w:lineRule="auto"/>
              <w:jc w:val="both"/>
              <w:rPr>
                <w:rFonts w:ascii="Arial" w:hAnsi="Arial" w:cs="Arial"/>
                <w:sz w:val="16"/>
                <w:szCs w:val="16"/>
              </w:rPr>
            </w:pPr>
          </w:p>
          <w:p w14:paraId="4E8BBE8A" w14:textId="77777777" w:rsidR="004E3242" w:rsidRPr="004E3242" w:rsidRDefault="004E3242" w:rsidP="004E3242">
            <w:pPr>
              <w:suppressAutoHyphens/>
              <w:spacing w:before="60" w:after="60" w:line="240" w:lineRule="auto"/>
              <w:jc w:val="both"/>
              <w:rPr>
                <w:rFonts w:ascii="Arial" w:hAnsi="Arial" w:cs="Arial"/>
                <w:spacing w:val="4"/>
                <w:sz w:val="16"/>
                <w:szCs w:val="16"/>
              </w:rPr>
            </w:pPr>
            <w:r w:rsidRPr="004E3242">
              <w:rPr>
                <w:rFonts w:ascii="Arial" w:hAnsi="Arial" w:cs="Arial"/>
                <w:sz w:val="16"/>
                <w:szCs w:val="16"/>
              </w:rPr>
              <w:t>Jak wyżej</w:t>
            </w:r>
          </w:p>
        </w:tc>
        <w:tc>
          <w:tcPr>
            <w:tcW w:w="981" w:type="pct"/>
            <w:shd w:val="clear" w:color="auto" w:fill="F2F2F2"/>
            <w:vAlign w:val="center"/>
          </w:tcPr>
          <w:p w14:paraId="62199DA1" w14:textId="77777777" w:rsidR="004E3242" w:rsidRPr="004E3242" w:rsidRDefault="004E3242" w:rsidP="004E3242">
            <w:pPr>
              <w:suppressAutoHyphens/>
              <w:spacing w:before="60" w:after="60" w:line="240" w:lineRule="auto"/>
              <w:jc w:val="both"/>
              <w:rPr>
                <w:rFonts w:ascii="Arial" w:hAnsi="Arial" w:cs="Arial"/>
                <w:sz w:val="16"/>
                <w:szCs w:val="16"/>
                <w:lang w:eastAsia="zh-CN"/>
              </w:rPr>
            </w:pPr>
            <w:r w:rsidRPr="004E3242">
              <w:rPr>
                <w:rFonts w:ascii="Arial" w:hAnsi="Arial" w:cs="Arial"/>
                <w:sz w:val="16"/>
                <w:szCs w:val="16"/>
                <w:lang w:eastAsia="zh-CN"/>
              </w:rPr>
              <w:t xml:space="preserve">Ustawa przedłuża wsparcie dla wytwarzania energii elektrycznej i ciepła we wszystkich rodzajach jednostek wysokosprawnej kogeneracji (tj. opalanych paliwami gazowymi lub o łącznej mocy zainstalowanej elektrycznej źródła poniżej 1 MW, opalanych metanem lub gazem uzyskiwanym z przetwarzania biomasy oraz w pozostałych jednostkach kogeneracji) do końca 2018 r. z rozliczeniem do 30 czerwca 2019 r. weszła w życie z dniem 30 kwietnia 2014 r. Natomiast system wsparcia dla wytwórców energii elektrycznej w technologii wysokosprawnej kogeneracji obowiązujący do końca 2018 r. znajduje się w notyfikacji KE. </w:t>
            </w:r>
          </w:p>
          <w:p w14:paraId="0BC1201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t>Jak wyżej</w:t>
            </w:r>
          </w:p>
        </w:tc>
      </w:tr>
      <w:tr w:rsidR="004E3242" w:rsidRPr="004E3242" w14:paraId="519B9CC1" w14:textId="77777777" w:rsidTr="00AA7998">
        <w:tc>
          <w:tcPr>
            <w:tcW w:w="679" w:type="pct"/>
            <w:vMerge w:val="restart"/>
            <w:shd w:val="clear" w:color="auto" w:fill="D6E3BC"/>
            <w:vAlign w:val="center"/>
          </w:tcPr>
          <w:p w14:paraId="192003D8"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t xml:space="preserve">4.3 Przeprowadzono działania promujące wytwarzanie </w:t>
            </w:r>
            <w:r w:rsidRPr="004E3242">
              <w:rPr>
                <w:rFonts w:ascii="Arial" w:hAnsi="Arial" w:cs="Arial"/>
                <w:bCs/>
                <w:smallCaps/>
                <w:spacing w:val="4"/>
                <w:sz w:val="16"/>
                <w:szCs w:val="16"/>
              </w:rPr>
              <w:br/>
              <w:t>i dystrybucję odnawialnych źródeł energii.</w:t>
            </w:r>
          </w:p>
        </w:tc>
        <w:tc>
          <w:tcPr>
            <w:tcW w:w="500" w:type="pct"/>
            <w:vMerge w:val="restart"/>
            <w:shd w:val="clear" w:color="auto" w:fill="F2F2F2"/>
            <w:vAlign w:val="center"/>
          </w:tcPr>
          <w:p w14:paraId="7C403A1A"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w:t>
            </w:r>
          </w:p>
        </w:tc>
        <w:tc>
          <w:tcPr>
            <w:tcW w:w="462" w:type="pct"/>
            <w:vMerge w:val="restart"/>
            <w:shd w:val="clear" w:color="auto" w:fill="F2F2F2"/>
            <w:vAlign w:val="center"/>
          </w:tcPr>
          <w:p w14:paraId="4701DFF8" w14:textId="77777777" w:rsidR="004E3242" w:rsidRPr="004E3242" w:rsidRDefault="004E3242" w:rsidP="004E3242">
            <w:pPr>
              <w:spacing w:before="60" w:after="60" w:line="240" w:lineRule="auto"/>
              <w:jc w:val="center"/>
              <w:rPr>
                <w:rFonts w:ascii="Arial" w:hAnsi="Arial" w:cs="Arial"/>
                <w:bCs/>
                <w:spacing w:val="4"/>
                <w:sz w:val="16"/>
                <w:szCs w:val="16"/>
              </w:rPr>
            </w:pPr>
            <w:r w:rsidRPr="004E3242">
              <w:rPr>
                <w:rFonts w:ascii="Arial" w:hAnsi="Arial" w:cs="Arial"/>
                <w:bCs/>
                <w:spacing w:val="4"/>
                <w:sz w:val="16"/>
                <w:szCs w:val="16"/>
              </w:rPr>
              <w:t xml:space="preserve">Warunek spełniony </w:t>
            </w:r>
          </w:p>
        </w:tc>
        <w:tc>
          <w:tcPr>
            <w:tcW w:w="814" w:type="pct"/>
            <w:shd w:val="clear" w:color="auto" w:fill="F2F2F2"/>
            <w:vAlign w:val="center"/>
          </w:tcPr>
          <w:p w14:paraId="2DFA15EB" w14:textId="77777777" w:rsidR="004E3242" w:rsidRPr="004E3242" w:rsidRDefault="004E3242" w:rsidP="004E3242">
            <w:pPr>
              <w:spacing w:before="60" w:after="60" w:line="240" w:lineRule="auto"/>
              <w:jc w:val="both"/>
              <w:rPr>
                <w:rFonts w:ascii="Arial" w:hAnsi="Arial" w:cs="Arial"/>
                <w:sz w:val="16"/>
                <w:szCs w:val="16"/>
                <w:u w:val="single"/>
              </w:rPr>
            </w:pPr>
            <w:r w:rsidRPr="004E3242">
              <w:rPr>
                <w:rFonts w:ascii="Arial" w:hAnsi="Arial" w:cs="Arial"/>
                <w:sz w:val="16"/>
                <w:szCs w:val="16"/>
                <w:u w:val="single"/>
              </w:rPr>
              <w:t>Kryterium 1.</w:t>
            </w:r>
          </w:p>
          <w:p w14:paraId="6E27B6A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Gotowe są przejrzyste systemy wsparcia, priorytetowy lub gwarantowany dostęp do sieci oraz pierwszeństwo w dystrybucji, jak również standardowe zasady odnoszące się do ponoszenia i podziału kosztów dostosowań technicznych, które to zasady zostały podane do publicznej wiadomości, zgodnie z art. 14 ust. 1, art. 16 ust. 2 oraz art. 16 ust. 3 dyrektywy 2009/28/WE.</w:t>
            </w:r>
            <w:r w:rsidRPr="004E3242">
              <w:rPr>
                <w:rFonts w:ascii="Arial" w:hAnsi="Arial" w:cs="Arial"/>
                <w:b/>
                <w:bCs/>
                <w:sz w:val="16"/>
                <w:szCs w:val="16"/>
              </w:rPr>
              <w:t>.</w:t>
            </w:r>
          </w:p>
        </w:tc>
        <w:tc>
          <w:tcPr>
            <w:tcW w:w="459" w:type="pct"/>
            <w:shd w:val="clear" w:color="auto" w:fill="F2F2F2"/>
            <w:vAlign w:val="center"/>
          </w:tcPr>
          <w:p w14:paraId="04962BA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Kryterium spełnione </w:t>
            </w:r>
          </w:p>
        </w:tc>
        <w:tc>
          <w:tcPr>
            <w:tcW w:w="1105" w:type="pct"/>
            <w:shd w:val="clear" w:color="auto" w:fill="F2F2F2"/>
            <w:vAlign w:val="center"/>
          </w:tcPr>
          <w:p w14:paraId="1015BEE6"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Cała dyrektywa 2009/28/EC została implementowana.</w:t>
            </w:r>
          </w:p>
          <w:p w14:paraId="2D49427D" w14:textId="77777777" w:rsidR="004E3242" w:rsidRPr="004E3242" w:rsidRDefault="004E3242" w:rsidP="004E3242">
            <w:pPr>
              <w:spacing w:before="60" w:after="60" w:line="240" w:lineRule="auto"/>
              <w:jc w:val="both"/>
              <w:rPr>
                <w:rFonts w:ascii="Arial" w:hAnsi="Arial" w:cs="Arial"/>
                <w:sz w:val="16"/>
                <w:szCs w:val="16"/>
              </w:rPr>
            </w:pPr>
          </w:p>
          <w:p w14:paraId="6E889371"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    Ustawa z dnia 10 kwietnia 1997 r. Prawo energetyczne wraz z aktami wykonawczymi</w:t>
            </w:r>
          </w:p>
          <w:p w14:paraId="088D54AF"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    Ustawa z dnia 21 marca 2014 r. o zmianie ustawy o biokomponentach i biopaliwach ciekłych oraz niektórych innych ustaw</w:t>
            </w:r>
          </w:p>
          <w:p w14:paraId="30F67027"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    Krajowy Plan Działań w zakresie energii ze źródeł odnawialnych, przyjęty uchwałą Rady Ministrów z dnia 7 grudnia 2010 r.</w:t>
            </w:r>
          </w:p>
          <w:p w14:paraId="793952F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    Polityka Energetyczna do 2030 roku.</w:t>
            </w:r>
            <w:r w:rsidRPr="004E3242">
              <w:rPr>
                <w:rFonts w:ascii="Arial" w:hAnsi="Arial" w:cs="Arial"/>
                <w:spacing w:val="4"/>
                <w:sz w:val="16"/>
                <w:szCs w:val="16"/>
              </w:rPr>
              <w:t xml:space="preserve"> </w:t>
            </w:r>
          </w:p>
        </w:tc>
        <w:tc>
          <w:tcPr>
            <w:tcW w:w="981" w:type="pct"/>
            <w:shd w:val="clear" w:color="auto" w:fill="F2F2F2"/>
            <w:vAlign w:val="center"/>
          </w:tcPr>
          <w:p w14:paraId="272FF265" w14:textId="77777777" w:rsidR="004E3242" w:rsidRPr="004E3242" w:rsidRDefault="004E3242" w:rsidP="004E3242">
            <w:pPr>
              <w:spacing w:before="60" w:after="60" w:line="240" w:lineRule="auto"/>
              <w:jc w:val="both"/>
              <w:rPr>
                <w:rFonts w:ascii="Arial" w:hAnsi="Arial" w:cs="Arial"/>
                <w:sz w:val="16"/>
                <w:szCs w:val="16"/>
              </w:rPr>
            </w:pPr>
          </w:p>
          <w:p w14:paraId="7572D67E"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Kwestie związane z wdrożeniem dyrektywy 2009/28/WE w zakresie objętym warunkowością ex </w:t>
            </w:r>
            <w:proofErr w:type="spellStart"/>
            <w:r w:rsidRPr="004E3242">
              <w:rPr>
                <w:rFonts w:ascii="Arial" w:hAnsi="Arial" w:cs="Arial"/>
                <w:sz w:val="16"/>
                <w:szCs w:val="16"/>
              </w:rPr>
              <w:t>ante</w:t>
            </w:r>
            <w:proofErr w:type="spellEnd"/>
            <w:r w:rsidRPr="004E3242">
              <w:rPr>
                <w:rFonts w:ascii="Arial" w:hAnsi="Arial" w:cs="Arial"/>
                <w:sz w:val="16"/>
                <w:szCs w:val="16"/>
              </w:rPr>
              <w:t xml:space="preserve"> zostały doprecyzowane w polskim porządku prawnym poprzez przyjęcie ustawy o zmianie ustawy - Prawo energetyczne oraz niektórych innych ustaw (druk sejmowy nr 946) tj. tzw. „mały </w:t>
            </w:r>
            <w:proofErr w:type="spellStart"/>
            <w:r w:rsidRPr="004E3242">
              <w:rPr>
                <w:rFonts w:ascii="Arial" w:hAnsi="Arial" w:cs="Arial"/>
                <w:sz w:val="16"/>
                <w:szCs w:val="16"/>
              </w:rPr>
              <w:t>trójpak”.oraz</w:t>
            </w:r>
            <w:proofErr w:type="spellEnd"/>
            <w:r w:rsidRPr="004E3242">
              <w:rPr>
                <w:rFonts w:ascii="Arial" w:hAnsi="Arial" w:cs="Arial"/>
                <w:sz w:val="16"/>
                <w:szCs w:val="16"/>
              </w:rPr>
              <w:t xml:space="preserve"> ustawy o zmianie ustawy o biokomponentach i biopaliwach ciekłych w zakresie wdrożenia schematów certyfikacji biokomponentów pod kątem kryteriów zrównoważonego rozwoju. Aktualnie projektowany jest nowy system wsparcia OZE w Polsce, który zawarty jest w dedykowanej ustawie dotyczącej OZE</w:t>
            </w:r>
          </w:p>
        </w:tc>
      </w:tr>
      <w:tr w:rsidR="004E3242" w:rsidRPr="004E3242" w14:paraId="5C7577FD" w14:textId="77777777" w:rsidTr="00AA7998">
        <w:tc>
          <w:tcPr>
            <w:tcW w:w="679" w:type="pct"/>
            <w:vMerge/>
            <w:shd w:val="clear" w:color="auto" w:fill="D6E3BC"/>
            <w:vAlign w:val="center"/>
          </w:tcPr>
          <w:p w14:paraId="59D9710D" w14:textId="77777777" w:rsidR="004E3242" w:rsidRPr="004E3242" w:rsidRDefault="004E3242" w:rsidP="004E3242">
            <w:pPr>
              <w:spacing w:before="60" w:after="60" w:line="240" w:lineRule="auto"/>
              <w:jc w:val="center"/>
              <w:rPr>
                <w:rFonts w:ascii="Arial" w:hAnsi="Arial" w:cs="Arial"/>
                <w:bCs/>
                <w:spacing w:val="4"/>
                <w:sz w:val="16"/>
                <w:szCs w:val="16"/>
              </w:rPr>
            </w:pPr>
          </w:p>
        </w:tc>
        <w:tc>
          <w:tcPr>
            <w:tcW w:w="500" w:type="pct"/>
            <w:vMerge/>
            <w:shd w:val="clear" w:color="auto" w:fill="F2F2F2"/>
            <w:vAlign w:val="center"/>
          </w:tcPr>
          <w:p w14:paraId="05D2F0DE" w14:textId="77777777" w:rsidR="004E3242" w:rsidRPr="004E3242" w:rsidRDefault="004E3242" w:rsidP="004E3242">
            <w:pPr>
              <w:spacing w:before="60" w:after="60" w:line="240" w:lineRule="auto"/>
              <w:ind w:left="-100"/>
              <w:jc w:val="center"/>
              <w:rPr>
                <w:rFonts w:ascii="Arial" w:hAnsi="Arial" w:cs="Arial"/>
                <w:bCs/>
                <w:spacing w:val="4"/>
                <w:sz w:val="16"/>
                <w:szCs w:val="16"/>
              </w:rPr>
            </w:pPr>
          </w:p>
        </w:tc>
        <w:tc>
          <w:tcPr>
            <w:tcW w:w="462" w:type="pct"/>
            <w:vMerge/>
            <w:shd w:val="clear" w:color="auto" w:fill="F2F2F2"/>
            <w:vAlign w:val="center"/>
          </w:tcPr>
          <w:p w14:paraId="086F32C5" w14:textId="77777777" w:rsidR="004E3242" w:rsidRPr="004E3242" w:rsidRDefault="004E3242" w:rsidP="004E3242">
            <w:pPr>
              <w:spacing w:before="60" w:after="60" w:line="240" w:lineRule="auto"/>
              <w:jc w:val="center"/>
              <w:rPr>
                <w:rFonts w:ascii="Arial" w:hAnsi="Arial" w:cs="Arial"/>
                <w:spacing w:val="4"/>
                <w:sz w:val="16"/>
                <w:szCs w:val="16"/>
              </w:rPr>
            </w:pPr>
          </w:p>
        </w:tc>
        <w:tc>
          <w:tcPr>
            <w:tcW w:w="814" w:type="pct"/>
            <w:shd w:val="clear" w:color="auto" w:fill="F2F2F2"/>
            <w:vAlign w:val="center"/>
          </w:tcPr>
          <w:p w14:paraId="2CFB52EF" w14:textId="77777777" w:rsidR="004E3242" w:rsidRPr="004E3242" w:rsidRDefault="004E3242" w:rsidP="004E3242">
            <w:pPr>
              <w:spacing w:before="60" w:after="60" w:line="240" w:lineRule="auto"/>
              <w:jc w:val="both"/>
              <w:rPr>
                <w:rFonts w:ascii="Arial" w:hAnsi="Arial" w:cs="Arial"/>
                <w:spacing w:val="4"/>
                <w:sz w:val="16"/>
                <w:szCs w:val="16"/>
                <w:u w:val="single"/>
              </w:rPr>
            </w:pPr>
            <w:r w:rsidRPr="004E3242">
              <w:rPr>
                <w:rFonts w:ascii="Arial" w:hAnsi="Arial" w:cs="Arial"/>
                <w:spacing w:val="4"/>
                <w:sz w:val="16"/>
                <w:szCs w:val="16"/>
                <w:u w:val="single"/>
              </w:rPr>
              <w:t>Kryterium 2.</w:t>
            </w:r>
          </w:p>
          <w:p w14:paraId="40A96A7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Państwo członkowskie przyjęło krajowy plan działania w zakresie energii ze źródeł odnawialnych zgodnie z art. 4 dyrektywy Parlamentu Europejskiego i Rady 2009/28/WE..</w:t>
            </w:r>
          </w:p>
        </w:tc>
        <w:tc>
          <w:tcPr>
            <w:tcW w:w="459" w:type="pct"/>
            <w:shd w:val="clear" w:color="auto" w:fill="F2F2F2"/>
            <w:vAlign w:val="center"/>
          </w:tcPr>
          <w:p w14:paraId="3E66810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Kryterium spełnione</w:t>
            </w:r>
          </w:p>
        </w:tc>
        <w:tc>
          <w:tcPr>
            <w:tcW w:w="1105" w:type="pct"/>
            <w:shd w:val="clear" w:color="auto" w:fill="F2F2F2"/>
            <w:vAlign w:val="center"/>
          </w:tcPr>
          <w:p w14:paraId="7D706737" w14:textId="77777777" w:rsidR="004E3242" w:rsidRPr="004E3242" w:rsidRDefault="004E3242" w:rsidP="004E3242">
            <w:pPr>
              <w:suppressAutoHyphens/>
              <w:spacing w:before="60" w:after="60" w:line="240" w:lineRule="auto"/>
              <w:jc w:val="both"/>
              <w:rPr>
                <w:rFonts w:ascii="Arial" w:hAnsi="Arial" w:cs="Arial"/>
                <w:sz w:val="16"/>
                <w:szCs w:val="16"/>
                <w:lang w:eastAsia="zh-CN"/>
              </w:rPr>
            </w:pPr>
            <w:r w:rsidRPr="004E3242">
              <w:rPr>
                <w:rFonts w:ascii="Arial" w:hAnsi="Arial" w:cs="Arial"/>
                <w:sz w:val="16"/>
                <w:szCs w:val="16"/>
                <w:lang w:eastAsia="zh-CN"/>
              </w:rPr>
              <w:t>Krajowy Plan Działań w zakresie energii ze źródeł odnawialnych został przyjęty w 2010 r.</w:t>
            </w:r>
          </w:p>
          <w:p w14:paraId="5C34B758" w14:textId="77777777" w:rsidR="004E3242" w:rsidRPr="004E3242" w:rsidRDefault="004E3242" w:rsidP="004E3242">
            <w:pPr>
              <w:suppressAutoHyphens/>
              <w:spacing w:before="60" w:after="60" w:line="240" w:lineRule="auto"/>
              <w:jc w:val="both"/>
              <w:rPr>
                <w:rFonts w:ascii="Arial" w:hAnsi="Arial" w:cs="Arial"/>
                <w:sz w:val="16"/>
                <w:szCs w:val="16"/>
                <w:lang w:eastAsia="zh-CN"/>
              </w:rPr>
            </w:pPr>
          </w:p>
          <w:p w14:paraId="6D6A894D" w14:textId="77777777" w:rsidR="004E3242" w:rsidRPr="004E3242" w:rsidRDefault="004E3242" w:rsidP="004E3242">
            <w:pPr>
              <w:suppressAutoHyphens/>
              <w:spacing w:before="60" w:after="60" w:line="240" w:lineRule="auto"/>
              <w:jc w:val="both"/>
              <w:rPr>
                <w:rFonts w:ascii="Arial" w:hAnsi="Arial" w:cs="Arial"/>
                <w:spacing w:val="4"/>
                <w:sz w:val="16"/>
                <w:szCs w:val="16"/>
              </w:rPr>
            </w:pPr>
            <w:r w:rsidRPr="004E3242">
              <w:rPr>
                <w:rFonts w:ascii="Arial" w:hAnsi="Arial" w:cs="Arial"/>
                <w:sz w:val="16"/>
                <w:szCs w:val="16"/>
                <w:lang w:eastAsia="zh-CN"/>
              </w:rPr>
              <w:t>Sprawozdanie z realizacji Krajowego Planu Działań w zakresie energii odnawialnej za lata 2011-2012 zostało przyjęte przez Radę Ministrów w dniu 06.03.2014 r.</w:t>
            </w:r>
          </w:p>
        </w:tc>
        <w:tc>
          <w:tcPr>
            <w:tcW w:w="981" w:type="pct"/>
            <w:shd w:val="clear" w:color="auto" w:fill="F2F2F2"/>
            <w:vAlign w:val="center"/>
          </w:tcPr>
          <w:p w14:paraId="2B22431D"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Pismem z dnia 24 marca 2014 r. Ministerstwo Gospodarki przesłało sprawozdanie do Stałego Przedstawiciela RP przy UE z prośbą o przekazanie dokumentu do KE. Stałe Przedstawicielstwo RP przy UE przekazało do KE pismo w tej sprawie 31 marca 2014 r. w wersji elektronicznej, a oficjalnym pismem 3 kwietnia 2014 r</w:t>
            </w:r>
          </w:p>
        </w:tc>
      </w:tr>
      <w:tr w:rsidR="004E3242" w:rsidRPr="004E3242" w14:paraId="2909D36C" w14:textId="77777777" w:rsidTr="00AA7998">
        <w:tc>
          <w:tcPr>
            <w:tcW w:w="679" w:type="pct"/>
            <w:shd w:val="clear" w:color="auto" w:fill="D6E3BC"/>
            <w:vAlign w:val="center"/>
          </w:tcPr>
          <w:p w14:paraId="2189178D"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t xml:space="preserve">5.1 Zapobieganie ryzyku i zarządzanie ryzykiem: istnienie krajowych lub regionalnych ocen </w:t>
            </w:r>
            <w:r w:rsidRPr="004E3242">
              <w:rPr>
                <w:rFonts w:ascii="Arial" w:hAnsi="Arial" w:cs="Arial"/>
                <w:bCs/>
                <w:smallCaps/>
                <w:spacing w:val="4"/>
                <w:sz w:val="16"/>
                <w:szCs w:val="16"/>
              </w:rPr>
              <w:lastRenderedPageBreak/>
              <w:t>ryzyka na potrzeby zarządzania klęskami i katastrofami, uwzględniających dostosowanie do zmiany klimatu.</w:t>
            </w:r>
          </w:p>
        </w:tc>
        <w:tc>
          <w:tcPr>
            <w:tcW w:w="500" w:type="pct"/>
            <w:shd w:val="clear" w:color="auto" w:fill="F2F2F2"/>
            <w:vAlign w:val="center"/>
          </w:tcPr>
          <w:p w14:paraId="2359529E"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lastRenderedPageBreak/>
              <w:t>II.</w:t>
            </w:r>
          </w:p>
        </w:tc>
        <w:tc>
          <w:tcPr>
            <w:tcW w:w="462" w:type="pct"/>
            <w:shd w:val="clear" w:color="auto" w:fill="F2F2F2"/>
            <w:vAlign w:val="center"/>
          </w:tcPr>
          <w:p w14:paraId="34C33B6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Warunek spełniony</w:t>
            </w:r>
          </w:p>
        </w:tc>
        <w:tc>
          <w:tcPr>
            <w:tcW w:w="814" w:type="pct"/>
            <w:shd w:val="clear" w:color="auto" w:fill="F2F2F2"/>
            <w:vAlign w:val="center"/>
          </w:tcPr>
          <w:p w14:paraId="40CBE877" w14:textId="77777777" w:rsidR="004E3242" w:rsidRPr="004E3242" w:rsidRDefault="004E3242" w:rsidP="004E3242">
            <w:p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Gotowa jest krajowa lub regionalne oceny ryzyka zawierające następujące elementy:</w:t>
            </w:r>
          </w:p>
          <w:p w14:paraId="69A20095" w14:textId="77777777" w:rsidR="004E3242" w:rsidRPr="004E3242" w:rsidRDefault="004E3242" w:rsidP="00B345B6">
            <w:pPr>
              <w:numPr>
                <w:ilvl w:val="0"/>
                <w:numId w:val="45"/>
              </w:num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lastRenderedPageBreak/>
              <w:t>opis procesu, metodyki, metod i niewrażliwych danych wykorzystywanych w ocenach ryzyka, jak również opartych na ryzyku kryteriów określania inwestycji priorytetowych;</w:t>
            </w:r>
          </w:p>
          <w:p w14:paraId="06FD4ECA" w14:textId="77777777" w:rsidR="004E3242" w:rsidRPr="004E3242" w:rsidRDefault="004E3242" w:rsidP="00B345B6">
            <w:pPr>
              <w:numPr>
                <w:ilvl w:val="0"/>
                <w:numId w:val="45"/>
              </w:numPr>
              <w:spacing w:before="60" w:after="60" w:line="240" w:lineRule="auto"/>
              <w:jc w:val="both"/>
              <w:rPr>
                <w:rFonts w:ascii="Arial" w:hAnsi="Arial" w:cs="Arial"/>
                <w:sz w:val="16"/>
                <w:szCs w:val="16"/>
                <w:lang w:eastAsia="pl-PL"/>
              </w:rPr>
            </w:pPr>
            <w:r w:rsidRPr="004E3242">
              <w:rPr>
                <w:rFonts w:ascii="Arial" w:hAnsi="Arial" w:cs="Arial"/>
                <w:sz w:val="16"/>
                <w:szCs w:val="16"/>
              </w:rPr>
              <w:t>opis scenariuszy zakładających jeden rodzaj ryzyka i scenariuszy zakładających wiele rodzajów ryzyka;</w:t>
            </w:r>
          </w:p>
          <w:p w14:paraId="3EC45C1F" w14:textId="77777777" w:rsidR="004E3242" w:rsidRPr="004E3242" w:rsidRDefault="004E3242" w:rsidP="00B345B6">
            <w:pPr>
              <w:numPr>
                <w:ilvl w:val="0"/>
                <w:numId w:val="45"/>
              </w:numPr>
              <w:spacing w:before="60" w:after="60" w:line="240" w:lineRule="auto"/>
              <w:jc w:val="both"/>
              <w:rPr>
                <w:rFonts w:ascii="Arial" w:hAnsi="Arial" w:cs="Arial"/>
                <w:spacing w:val="4"/>
                <w:sz w:val="16"/>
                <w:szCs w:val="16"/>
              </w:rPr>
            </w:pPr>
            <w:r w:rsidRPr="004E3242">
              <w:rPr>
                <w:rFonts w:ascii="Arial" w:hAnsi="Arial" w:cs="Arial"/>
                <w:sz w:val="16"/>
                <w:szCs w:val="16"/>
              </w:rPr>
              <w:t>uwzględnienie, w stosownych przypadkach, krajowych strategii dostosowania do zmiany klimatu.</w:t>
            </w:r>
          </w:p>
        </w:tc>
        <w:tc>
          <w:tcPr>
            <w:tcW w:w="459" w:type="pct"/>
            <w:shd w:val="clear" w:color="auto" w:fill="F2F2F2"/>
            <w:vAlign w:val="center"/>
          </w:tcPr>
          <w:p w14:paraId="0E0EE8B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z w:val="16"/>
                <w:szCs w:val="16"/>
              </w:rPr>
              <w:lastRenderedPageBreak/>
              <w:t>Kryteria</w:t>
            </w:r>
            <w:r w:rsidRPr="004E3242">
              <w:rPr>
                <w:rFonts w:ascii="Arial" w:hAnsi="Arial" w:cs="Arial"/>
                <w:spacing w:val="4"/>
                <w:sz w:val="16"/>
                <w:szCs w:val="16"/>
              </w:rPr>
              <w:t xml:space="preserve"> spełnione</w:t>
            </w:r>
          </w:p>
        </w:tc>
        <w:tc>
          <w:tcPr>
            <w:tcW w:w="1105" w:type="pct"/>
            <w:shd w:val="clear" w:color="auto" w:fill="F2F2F2"/>
            <w:vAlign w:val="center"/>
          </w:tcPr>
          <w:p w14:paraId="6D021A41"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Kryteria 1 i 2:</w:t>
            </w:r>
          </w:p>
          <w:p w14:paraId="04B619CA" w14:textId="77777777" w:rsidR="004E3242" w:rsidRPr="004E3242" w:rsidRDefault="004E3242" w:rsidP="004E3242">
            <w:pPr>
              <w:spacing w:before="60" w:after="60" w:line="240" w:lineRule="auto"/>
              <w:jc w:val="both"/>
              <w:rPr>
                <w:rFonts w:ascii="Arial" w:hAnsi="Arial" w:cs="Arial"/>
                <w:i/>
                <w:spacing w:val="4"/>
                <w:sz w:val="16"/>
                <w:szCs w:val="16"/>
              </w:rPr>
            </w:pPr>
            <w:r w:rsidRPr="004E3242">
              <w:rPr>
                <w:rFonts w:ascii="Arial" w:hAnsi="Arial" w:cs="Arial"/>
                <w:spacing w:val="4"/>
                <w:sz w:val="16"/>
                <w:szCs w:val="16"/>
              </w:rPr>
              <w:t xml:space="preserve">Dokument </w:t>
            </w:r>
            <w:r w:rsidRPr="004E3242">
              <w:rPr>
                <w:rFonts w:ascii="Arial" w:hAnsi="Arial" w:cs="Arial"/>
                <w:i/>
                <w:spacing w:val="4"/>
                <w:sz w:val="16"/>
                <w:szCs w:val="16"/>
              </w:rPr>
              <w:t xml:space="preserve">Ocena ryzyka na potrzeby zarządzania kryzysowego. Raport o zagrożeniach bezpieczeństwa </w:t>
            </w:r>
            <w:r w:rsidRPr="004E3242">
              <w:rPr>
                <w:rFonts w:ascii="Arial" w:hAnsi="Arial" w:cs="Arial"/>
                <w:i/>
                <w:spacing w:val="4"/>
                <w:sz w:val="16"/>
                <w:szCs w:val="16"/>
              </w:rPr>
              <w:lastRenderedPageBreak/>
              <w:t>narodowego</w:t>
            </w:r>
            <w:r w:rsidRPr="004E3242">
              <w:rPr>
                <w:rFonts w:ascii="Arial" w:hAnsi="Arial" w:cs="Arial"/>
                <w:spacing w:val="4"/>
                <w:sz w:val="16"/>
                <w:szCs w:val="16"/>
              </w:rPr>
              <w:t xml:space="preserve"> przygotowywany przez Rządowe Centrum Bezpieczeństwa, opracowany na bazie niejawnego </w:t>
            </w:r>
            <w:r w:rsidRPr="004E3242">
              <w:rPr>
                <w:rFonts w:ascii="Arial" w:hAnsi="Arial" w:cs="Arial"/>
                <w:i/>
                <w:spacing w:val="4"/>
                <w:sz w:val="16"/>
                <w:szCs w:val="16"/>
              </w:rPr>
              <w:t>Raportu o zagrożeniach bezpieczeństwa narodowego.</w:t>
            </w:r>
          </w:p>
          <w:p w14:paraId="59081CB1" w14:textId="77777777" w:rsidR="004E3242" w:rsidRPr="004E3242" w:rsidRDefault="00D5430D" w:rsidP="004E3242">
            <w:pPr>
              <w:spacing w:before="60" w:after="60" w:line="240" w:lineRule="auto"/>
              <w:jc w:val="both"/>
              <w:rPr>
                <w:rFonts w:ascii="Arial" w:hAnsi="Arial" w:cs="Arial"/>
                <w:color w:val="0000FF"/>
                <w:spacing w:val="4"/>
                <w:sz w:val="16"/>
                <w:szCs w:val="16"/>
                <w:u w:val="single"/>
              </w:rPr>
            </w:pPr>
            <w:hyperlink r:id="rId15" w:history="1">
              <w:r w:rsidR="004E3242" w:rsidRPr="004E3242">
                <w:rPr>
                  <w:rFonts w:ascii="Arial" w:hAnsi="Arial" w:cs="Arial"/>
                  <w:color w:val="0000FF"/>
                  <w:spacing w:val="4"/>
                  <w:sz w:val="16"/>
                  <w:szCs w:val="16"/>
                  <w:u w:val="single"/>
                </w:rPr>
                <w:t>http://rcb.gov.pl/wp-content/uploads/ocenaryzyka.pdf</w:t>
              </w:r>
            </w:hyperlink>
          </w:p>
          <w:p w14:paraId="2741A8FD"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1CFCC0F6"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2783690C"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7761B65E"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7A9E1926"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1E37C151"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5BFFF34D"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0525B7A1"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1302491F"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59BBF57D"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1AC5A457" w14:textId="77777777" w:rsidR="004E3242" w:rsidRPr="004E3242" w:rsidRDefault="004E3242" w:rsidP="004E3242">
            <w:pPr>
              <w:spacing w:before="60" w:after="60" w:line="240" w:lineRule="auto"/>
              <w:jc w:val="both"/>
              <w:rPr>
                <w:rFonts w:ascii="Arial" w:hAnsi="Arial" w:cs="Arial"/>
                <w:color w:val="0000FF"/>
                <w:spacing w:val="4"/>
                <w:sz w:val="16"/>
                <w:szCs w:val="16"/>
                <w:u w:val="single"/>
              </w:rPr>
            </w:pPr>
          </w:p>
          <w:p w14:paraId="2B3E4E9C"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Kryterium 3:</w:t>
            </w:r>
          </w:p>
          <w:p w14:paraId="105A889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i/>
                <w:spacing w:val="4"/>
                <w:sz w:val="16"/>
                <w:szCs w:val="16"/>
              </w:rPr>
              <w:t>Strategiczny plan adaptacji dla sektorów i obszarów wrażliwych na zmiany klimatu do roku 2020, z perspektywą do roku 2030</w:t>
            </w:r>
            <w:r w:rsidRPr="004E3242">
              <w:rPr>
                <w:rFonts w:ascii="Arial" w:hAnsi="Arial" w:cs="Arial"/>
                <w:spacing w:val="4"/>
                <w:sz w:val="16"/>
                <w:szCs w:val="16"/>
              </w:rPr>
              <w:t xml:space="preserve"> (SPA 2020)</w:t>
            </w:r>
          </w:p>
          <w:p w14:paraId="7C3610F8" w14:textId="77777777" w:rsidR="004E3242" w:rsidRPr="004E3242" w:rsidRDefault="00D5430D" w:rsidP="004E3242">
            <w:pPr>
              <w:spacing w:before="60" w:after="60" w:line="240" w:lineRule="auto"/>
              <w:jc w:val="both"/>
              <w:rPr>
                <w:rFonts w:ascii="Arial" w:hAnsi="Arial" w:cs="Arial"/>
                <w:spacing w:val="4"/>
                <w:sz w:val="16"/>
                <w:szCs w:val="16"/>
              </w:rPr>
            </w:pPr>
            <w:hyperlink r:id="rId16" w:history="1">
              <w:r w:rsidR="004E3242" w:rsidRPr="004E3242">
                <w:rPr>
                  <w:rFonts w:ascii="Arial" w:hAnsi="Arial" w:cs="Arial"/>
                  <w:color w:val="0000FF"/>
                  <w:spacing w:val="4"/>
                  <w:sz w:val="16"/>
                  <w:szCs w:val="16"/>
                  <w:u w:val="single"/>
                </w:rPr>
                <w:t>http://klimada.mos.gov.pl/dokument-spa-2020</w:t>
              </w:r>
            </w:hyperlink>
          </w:p>
          <w:p w14:paraId="4135E252" w14:textId="77777777" w:rsidR="004E3242" w:rsidRPr="004E3242" w:rsidRDefault="004E3242" w:rsidP="004E3242">
            <w:pPr>
              <w:spacing w:before="60" w:after="60" w:line="240" w:lineRule="auto"/>
              <w:jc w:val="both"/>
              <w:rPr>
                <w:rFonts w:ascii="Arial" w:hAnsi="Arial" w:cs="Arial"/>
                <w:spacing w:val="4"/>
                <w:sz w:val="16"/>
                <w:szCs w:val="16"/>
              </w:rPr>
            </w:pPr>
          </w:p>
          <w:p w14:paraId="4B3830BD" w14:textId="77777777" w:rsidR="004E3242" w:rsidRPr="004E3242" w:rsidRDefault="004E3242" w:rsidP="004E3242">
            <w:pPr>
              <w:spacing w:before="60" w:after="60" w:line="240" w:lineRule="auto"/>
              <w:jc w:val="both"/>
              <w:rPr>
                <w:rFonts w:ascii="Arial" w:hAnsi="Arial" w:cs="Arial"/>
                <w:spacing w:val="4"/>
                <w:sz w:val="16"/>
                <w:szCs w:val="16"/>
              </w:rPr>
            </w:pPr>
          </w:p>
          <w:p w14:paraId="45B2B167" w14:textId="77777777" w:rsidR="004E3242" w:rsidRPr="004E3242" w:rsidRDefault="004E3242" w:rsidP="004E3242">
            <w:pPr>
              <w:spacing w:before="60" w:after="60" w:line="240" w:lineRule="auto"/>
              <w:jc w:val="both"/>
              <w:rPr>
                <w:rFonts w:ascii="Arial" w:hAnsi="Arial" w:cs="Arial"/>
                <w:spacing w:val="4"/>
                <w:sz w:val="16"/>
                <w:szCs w:val="16"/>
              </w:rPr>
            </w:pPr>
          </w:p>
          <w:p w14:paraId="734CA816" w14:textId="77777777" w:rsidR="004E3242" w:rsidRPr="004E3242" w:rsidRDefault="004E3242" w:rsidP="004E3242">
            <w:pPr>
              <w:spacing w:before="60" w:after="60" w:line="240" w:lineRule="auto"/>
              <w:jc w:val="both"/>
              <w:rPr>
                <w:rFonts w:ascii="Arial" w:hAnsi="Arial" w:cs="Arial"/>
                <w:spacing w:val="4"/>
                <w:sz w:val="16"/>
                <w:szCs w:val="16"/>
              </w:rPr>
            </w:pPr>
          </w:p>
          <w:p w14:paraId="5ED954DE" w14:textId="77777777" w:rsidR="004E3242" w:rsidRPr="004E3242" w:rsidRDefault="004E3242" w:rsidP="004E3242">
            <w:pPr>
              <w:spacing w:before="60" w:after="60" w:line="240" w:lineRule="auto"/>
              <w:jc w:val="both"/>
              <w:rPr>
                <w:rFonts w:ascii="Arial" w:hAnsi="Arial" w:cs="Arial"/>
                <w:spacing w:val="4"/>
                <w:sz w:val="16"/>
                <w:szCs w:val="16"/>
              </w:rPr>
            </w:pPr>
          </w:p>
          <w:p w14:paraId="5299B2AC" w14:textId="77777777" w:rsidR="004E3242" w:rsidRPr="004E3242" w:rsidRDefault="004E3242" w:rsidP="004E3242">
            <w:pPr>
              <w:spacing w:before="60" w:after="60" w:line="240" w:lineRule="auto"/>
              <w:jc w:val="both"/>
              <w:rPr>
                <w:rFonts w:ascii="Arial" w:hAnsi="Arial" w:cs="Arial"/>
                <w:spacing w:val="4"/>
                <w:sz w:val="16"/>
                <w:szCs w:val="16"/>
              </w:rPr>
            </w:pPr>
          </w:p>
          <w:p w14:paraId="6D684B25" w14:textId="77777777" w:rsidR="004E3242" w:rsidRPr="004E3242" w:rsidRDefault="004E3242" w:rsidP="004E3242">
            <w:pPr>
              <w:spacing w:before="60" w:after="60" w:line="240" w:lineRule="auto"/>
              <w:jc w:val="both"/>
              <w:rPr>
                <w:rFonts w:ascii="Arial" w:hAnsi="Arial" w:cs="Arial"/>
                <w:spacing w:val="4"/>
                <w:sz w:val="16"/>
                <w:szCs w:val="16"/>
              </w:rPr>
            </w:pPr>
          </w:p>
        </w:tc>
        <w:tc>
          <w:tcPr>
            <w:tcW w:w="981" w:type="pct"/>
            <w:shd w:val="clear" w:color="auto" w:fill="F2F2F2"/>
            <w:vAlign w:val="center"/>
          </w:tcPr>
          <w:p w14:paraId="5517C267"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lastRenderedPageBreak/>
              <w:t>Kryteria 1 i 2:</w:t>
            </w:r>
          </w:p>
          <w:p w14:paraId="0B89BBEB"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Głównym kryterium spełnienia warunku 5.1 (kryteria 1. i 2.) jest posiadanie przez Polskę krajowej </w:t>
            </w:r>
            <w:r w:rsidRPr="004E3242">
              <w:rPr>
                <w:rFonts w:ascii="Arial" w:hAnsi="Arial" w:cs="Arial"/>
                <w:spacing w:val="4"/>
                <w:sz w:val="16"/>
                <w:szCs w:val="16"/>
              </w:rPr>
              <w:lastRenderedPageBreak/>
              <w:t xml:space="preserve">oraz regionalnych strategii ryzyka/ocen </w:t>
            </w:r>
            <w:proofErr w:type="spellStart"/>
            <w:r w:rsidRPr="004E3242">
              <w:rPr>
                <w:rFonts w:ascii="Arial" w:hAnsi="Arial" w:cs="Arial"/>
                <w:spacing w:val="4"/>
                <w:sz w:val="16"/>
                <w:szCs w:val="16"/>
              </w:rPr>
              <w:t>ryzyk</w:t>
            </w:r>
            <w:proofErr w:type="spellEnd"/>
            <w:r w:rsidRPr="004E3242">
              <w:rPr>
                <w:rFonts w:ascii="Arial" w:hAnsi="Arial" w:cs="Arial"/>
                <w:spacing w:val="4"/>
                <w:sz w:val="16"/>
                <w:szCs w:val="16"/>
              </w:rPr>
              <w:t xml:space="preserve"> i przedłożenie jej KE w ramach Wspólnotowego Mechanizmu Ochrony Ludności.</w:t>
            </w:r>
          </w:p>
          <w:p w14:paraId="3DFAD95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Polska </w:t>
            </w:r>
            <w:r w:rsidRPr="004E3242">
              <w:rPr>
                <w:rFonts w:ascii="Arial" w:hAnsi="Arial" w:cs="Arial"/>
                <w:b/>
                <w:spacing w:val="4"/>
                <w:sz w:val="16"/>
                <w:szCs w:val="16"/>
              </w:rPr>
              <w:t>spełnia przypisane dla warunku 5.1 kryteria</w:t>
            </w:r>
            <w:r w:rsidRPr="004E3242">
              <w:rPr>
                <w:rFonts w:ascii="Arial" w:hAnsi="Arial" w:cs="Arial"/>
                <w:spacing w:val="4"/>
                <w:sz w:val="16"/>
                <w:szCs w:val="16"/>
              </w:rPr>
              <w:t xml:space="preserve"> wskazujące elementy, jakie powinny obejmować przygotowane dokumenty odnoszące się do oceny ryzyka. 13.02.2014 r. strona polska przekazała szczegółowe wyjaśnienia – dokument </w:t>
            </w:r>
            <w:r w:rsidRPr="004E3242">
              <w:rPr>
                <w:rFonts w:ascii="Arial" w:hAnsi="Arial" w:cs="Arial"/>
                <w:i/>
                <w:spacing w:val="4"/>
                <w:sz w:val="16"/>
                <w:szCs w:val="16"/>
              </w:rPr>
              <w:t>Ocena ryzyka na potrzeby zarządzania kryzysowego. Raport o zagrożeniach bezpieczeństwa narodowego,</w:t>
            </w:r>
            <w:r w:rsidRPr="004E3242">
              <w:rPr>
                <w:rFonts w:ascii="Arial" w:hAnsi="Arial" w:cs="Arial"/>
                <w:spacing w:val="4"/>
                <w:sz w:val="16"/>
                <w:szCs w:val="16"/>
              </w:rPr>
              <w:t xml:space="preserve"> przygotowywany przez Rządowe Centrum Bezpieczeństwa, opracowany na bazie niejawnego </w:t>
            </w:r>
            <w:r w:rsidRPr="004E3242">
              <w:rPr>
                <w:rFonts w:ascii="Arial" w:hAnsi="Arial" w:cs="Arial"/>
                <w:i/>
                <w:spacing w:val="4"/>
                <w:sz w:val="16"/>
                <w:szCs w:val="16"/>
              </w:rPr>
              <w:t>Raportu o zagrożeniach bezpieczeństwa narodowego</w:t>
            </w:r>
            <w:r w:rsidRPr="004E3242">
              <w:rPr>
                <w:rFonts w:ascii="Arial" w:hAnsi="Arial" w:cs="Arial"/>
                <w:spacing w:val="4"/>
                <w:sz w:val="16"/>
                <w:szCs w:val="16"/>
              </w:rPr>
              <w:t xml:space="preserve"> (przyjęty uchwałą RM z dnia 12.07.2013 r.).</w:t>
            </w:r>
          </w:p>
          <w:p w14:paraId="5B700C68"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Kryterium 3:</w:t>
            </w:r>
          </w:p>
          <w:p w14:paraId="7498E804"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Wypełnieniem</w:t>
            </w:r>
            <w:r w:rsidRPr="004E3242" w:rsidDel="007D16F5">
              <w:rPr>
                <w:rFonts w:ascii="Arial" w:hAnsi="Arial" w:cs="Arial"/>
                <w:spacing w:val="4"/>
                <w:sz w:val="16"/>
                <w:szCs w:val="16"/>
              </w:rPr>
              <w:t xml:space="preserve"> </w:t>
            </w:r>
            <w:r w:rsidRPr="004E3242">
              <w:rPr>
                <w:rFonts w:ascii="Arial" w:hAnsi="Arial" w:cs="Arial"/>
                <w:spacing w:val="4"/>
                <w:sz w:val="16"/>
                <w:szCs w:val="16"/>
              </w:rPr>
              <w:t xml:space="preserve">kryterium i podstawą do prowadzenia interwencji w obszarze adaptacji do zmian klimatu jest </w:t>
            </w:r>
            <w:r w:rsidRPr="004E3242">
              <w:rPr>
                <w:rFonts w:ascii="Arial" w:hAnsi="Arial" w:cs="Arial"/>
                <w:i/>
                <w:iCs/>
                <w:spacing w:val="4"/>
                <w:sz w:val="16"/>
                <w:szCs w:val="16"/>
              </w:rPr>
              <w:t xml:space="preserve">Strategiczny Plan Adaptacji dla sektorów i obszarów wrażliwych na zmiany klimatu </w:t>
            </w:r>
            <w:r w:rsidRPr="004E3242">
              <w:rPr>
                <w:rFonts w:ascii="Arial" w:hAnsi="Arial" w:cs="Arial"/>
                <w:iCs/>
                <w:spacing w:val="4"/>
                <w:sz w:val="16"/>
                <w:szCs w:val="16"/>
              </w:rPr>
              <w:t>(</w:t>
            </w:r>
            <w:r w:rsidRPr="004E3242">
              <w:rPr>
                <w:rFonts w:ascii="Arial" w:hAnsi="Arial" w:cs="Arial"/>
                <w:spacing w:val="4"/>
                <w:sz w:val="16"/>
                <w:szCs w:val="16"/>
              </w:rPr>
              <w:t>przyjęty przez RM</w:t>
            </w:r>
            <w:r w:rsidRPr="004E3242">
              <w:rPr>
                <w:rFonts w:ascii="Arial" w:hAnsi="Arial" w:cs="Arial"/>
                <w:sz w:val="16"/>
                <w:szCs w:val="16"/>
              </w:rPr>
              <w:t xml:space="preserve"> </w:t>
            </w:r>
            <w:r w:rsidRPr="004E3242">
              <w:rPr>
                <w:rFonts w:ascii="Arial" w:hAnsi="Arial" w:cs="Arial"/>
                <w:spacing w:val="4"/>
                <w:sz w:val="16"/>
                <w:szCs w:val="16"/>
              </w:rPr>
              <w:t xml:space="preserve">29.10.2013 r.). Dokument ten obejmuje swoim zakresem m.in.: przedstawienie scenariuszy zmian klimatu dla PL z uwzględnieniem uwarunkowań regionalnych, określenie wpływu zmian klimatu na sektory gospodarcze, w tym w szczególności takie sektory jak: gospodarka wodna, rolnictwo, leśnictwo, ochrona wybrzeża, budownictwo, transport, energetyka, gospodarka przestrzenna, a także wskazanie działań adaptacyjnych w odniesieniu do sektorów oraz kosztów tych działań. </w:t>
            </w:r>
          </w:p>
        </w:tc>
      </w:tr>
      <w:tr w:rsidR="004E3242" w:rsidRPr="004E3242" w14:paraId="60F8F9DC" w14:textId="77777777" w:rsidTr="00AA7998">
        <w:tc>
          <w:tcPr>
            <w:tcW w:w="679" w:type="pct"/>
            <w:shd w:val="clear" w:color="auto" w:fill="D6E3BC"/>
            <w:vAlign w:val="center"/>
          </w:tcPr>
          <w:p w14:paraId="79009459"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lastRenderedPageBreak/>
              <w:t xml:space="preserve">6.1. Gospodarka wodna: Istnienie – </w:t>
            </w:r>
            <w:r w:rsidRPr="004E3242">
              <w:rPr>
                <w:rFonts w:ascii="Arial" w:hAnsi="Arial" w:cs="Arial"/>
                <w:bCs/>
                <w:smallCaps/>
                <w:spacing w:val="4"/>
                <w:sz w:val="16"/>
                <w:szCs w:val="16"/>
              </w:rPr>
              <w:lastRenderedPageBreak/>
              <w:t>w odniesieniu do inwestycji wspieranych przez programy – a) polityki taryfowej w zakresie cen wody, przewidującej odpowiednie zachęty dla użytkowników, aby efektywnie korzystali z zasobów wodnych oraz b) odpowiedniego wkładu różnych użytkowników wody w zwrot kosztów za usługi wodne w stopniu określonym w zatwierdzonych planach gospodarowania wodami w dorzeczu.</w:t>
            </w:r>
          </w:p>
        </w:tc>
        <w:tc>
          <w:tcPr>
            <w:tcW w:w="500" w:type="pct"/>
            <w:shd w:val="clear" w:color="auto" w:fill="F2F2F2"/>
            <w:vAlign w:val="center"/>
          </w:tcPr>
          <w:p w14:paraId="26480A6D"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lastRenderedPageBreak/>
              <w:t>II</w:t>
            </w:r>
          </w:p>
        </w:tc>
        <w:tc>
          <w:tcPr>
            <w:tcW w:w="462" w:type="pct"/>
            <w:shd w:val="clear" w:color="auto" w:fill="F2F2F2"/>
            <w:vAlign w:val="center"/>
          </w:tcPr>
          <w:p w14:paraId="34C4C73F"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Niespełniony</w:t>
            </w:r>
          </w:p>
        </w:tc>
        <w:tc>
          <w:tcPr>
            <w:tcW w:w="814" w:type="pct"/>
            <w:shd w:val="clear" w:color="auto" w:fill="F2F2F2"/>
            <w:vAlign w:val="center"/>
          </w:tcPr>
          <w:p w14:paraId="7C1C98F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W sektorach wspieranych z </w:t>
            </w:r>
            <w:r w:rsidRPr="004E3242">
              <w:rPr>
                <w:rFonts w:ascii="Arial" w:hAnsi="Arial" w:cs="Arial"/>
                <w:spacing w:val="4"/>
                <w:sz w:val="16"/>
                <w:szCs w:val="16"/>
              </w:rPr>
              <w:lastRenderedPageBreak/>
              <w:t xml:space="preserve">EFRR i Funduszu Spójności, państwo członkowskie zapewniło wkład różnych użytkowników wody w zwrot kosztów za usługi wodne w podziale na sektory, zgodnie z art. 9 ust. 1 </w:t>
            </w:r>
            <w:proofErr w:type="spellStart"/>
            <w:r w:rsidRPr="004E3242">
              <w:rPr>
                <w:rFonts w:ascii="Arial" w:hAnsi="Arial" w:cs="Arial"/>
                <w:spacing w:val="4"/>
                <w:sz w:val="16"/>
                <w:szCs w:val="16"/>
              </w:rPr>
              <w:t>tiret</w:t>
            </w:r>
            <w:proofErr w:type="spellEnd"/>
            <w:r w:rsidRPr="004E3242">
              <w:rPr>
                <w:rFonts w:ascii="Arial" w:hAnsi="Arial" w:cs="Arial"/>
                <w:spacing w:val="4"/>
                <w:sz w:val="16"/>
                <w:szCs w:val="16"/>
              </w:rPr>
              <w:t xml:space="preserve"> pierwsze dyrektywy 2000/60/WE, przy uwzględnieniu w stosownych przypadkach skutków społecznych, środowiskowych i gospodarczych zwrotu, jak również warunków geograficznych i klimatycznych dotkniętego regionu lub dotkniętych regionów.</w:t>
            </w:r>
          </w:p>
          <w:p w14:paraId="70246CAE"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Przyjęcie planu gospodarowania wodami w dorzeczu dla obszaru dorzecza spójnego z art. 13 dyrektywy 2000/60/WE</w:t>
            </w:r>
          </w:p>
        </w:tc>
        <w:tc>
          <w:tcPr>
            <w:tcW w:w="459" w:type="pct"/>
            <w:shd w:val="clear" w:color="auto" w:fill="F2F2F2"/>
            <w:vAlign w:val="center"/>
          </w:tcPr>
          <w:p w14:paraId="406A374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Niespełnione</w:t>
            </w:r>
          </w:p>
        </w:tc>
        <w:tc>
          <w:tcPr>
            <w:tcW w:w="1105" w:type="pct"/>
            <w:shd w:val="clear" w:color="auto" w:fill="F2F2F2"/>
            <w:vAlign w:val="center"/>
          </w:tcPr>
          <w:p w14:paraId="45D7D0E6"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Kryterium 1:</w:t>
            </w:r>
          </w:p>
          <w:p w14:paraId="0375D82E"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lastRenderedPageBreak/>
              <w:t>Nowelizacja ustawy Prawo wodne</w:t>
            </w:r>
          </w:p>
          <w:p w14:paraId="5AF3214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PL zapewni także wypełnienie zobowiązań wynikających z Planu działania w zakresie planowania strategicznego w gospodarce wodnej z 2013r. i przeprowadzi reformę instytucjonalną oraz zapewni podejście do strategicznego zarządzania zasobami wodnymi zgodnego z RDW.</w:t>
            </w:r>
          </w:p>
          <w:p w14:paraId="3C5035A0" w14:textId="77777777" w:rsidR="004E3242" w:rsidRPr="004E3242" w:rsidRDefault="004E3242" w:rsidP="004E3242">
            <w:pPr>
              <w:spacing w:before="60" w:after="60" w:line="240" w:lineRule="auto"/>
              <w:jc w:val="both"/>
              <w:rPr>
                <w:rFonts w:ascii="Arial" w:hAnsi="Arial" w:cs="Arial"/>
                <w:spacing w:val="4"/>
                <w:sz w:val="16"/>
                <w:szCs w:val="16"/>
              </w:rPr>
            </w:pPr>
          </w:p>
          <w:p w14:paraId="6C2601A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Przekazanie uchwalonego przez RM projektu ustawy Prawo wodne do Marszałka Sejmu: II kw. 2015r. Zakłada się, że przepisy ustawy wejdą w życie z dn. 01.01.2016r., wraz z początkiem roku budżetowego.</w:t>
            </w:r>
          </w:p>
          <w:p w14:paraId="09197AC6" w14:textId="77777777" w:rsidR="004E3242" w:rsidRPr="004E3242" w:rsidRDefault="004E3242" w:rsidP="004E3242">
            <w:pPr>
              <w:spacing w:before="60" w:after="60" w:line="240" w:lineRule="auto"/>
              <w:jc w:val="both"/>
              <w:rPr>
                <w:rFonts w:ascii="Arial" w:hAnsi="Arial" w:cs="Arial"/>
                <w:spacing w:val="4"/>
                <w:sz w:val="16"/>
                <w:szCs w:val="16"/>
              </w:rPr>
            </w:pPr>
          </w:p>
          <w:p w14:paraId="3187A604" w14:textId="77777777" w:rsidR="004E3242" w:rsidRPr="004E3242" w:rsidRDefault="004E3242" w:rsidP="004E3242">
            <w:pPr>
              <w:spacing w:before="60" w:after="60" w:line="240" w:lineRule="auto"/>
              <w:jc w:val="both"/>
              <w:rPr>
                <w:rFonts w:ascii="Arial" w:hAnsi="Arial" w:cs="Arial"/>
                <w:spacing w:val="4"/>
                <w:sz w:val="16"/>
                <w:szCs w:val="16"/>
              </w:rPr>
            </w:pPr>
          </w:p>
          <w:p w14:paraId="3BF8C81C" w14:textId="77777777" w:rsidR="004E3242" w:rsidRPr="004E3242" w:rsidRDefault="004E3242" w:rsidP="004E3242">
            <w:pPr>
              <w:spacing w:before="60" w:after="60" w:line="240" w:lineRule="auto"/>
              <w:jc w:val="both"/>
              <w:rPr>
                <w:rFonts w:ascii="Arial" w:hAnsi="Arial" w:cs="Arial"/>
                <w:spacing w:val="4"/>
                <w:sz w:val="16"/>
                <w:szCs w:val="16"/>
              </w:rPr>
            </w:pPr>
          </w:p>
          <w:p w14:paraId="5221C026" w14:textId="77777777" w:rsidR="004E3242" w:rsidRPr="004E3242" w:rsidRDefault="004E3242" w:rsidP="004E3242">
            <w:pPr>
              <w:spacing w:before="60" w:after="60" w:line="240" w:lineRule="auto"/>
              <w:jc w:val="both"/>
              <w:rPr>
                <w:rFonts w:ascii="Arial" w:hAnsi="Arial" w:cs="Arial"/>
                <w:spacing w:val="4"/>
                <w:sz w:val="16"/>
                <w:szCs w:val="16"/>
              </w:rPr>
            </w:pPr>
          </w:p>
          <w:p w14:paraId="73D553CF" w14:textId="77777777" w:rsidR="004E3242" w:rsidRPr="004E3242" w:rsidRDefault="004E3242" w:rsidP="004E3242">
            <w:pPr>
              <w:spacing w:before="60" w:after="60" w:line="240" w:lineRule="auto"/>
              <w:jc w:val="both"/>
              <w:rPr>
                <w:rFonts w:ascii="Arial" w:hAnsi="Arial" w:cs="Arial"/>
                <w:spacing w:val="4"/>
                <w:sz w:val="16"/>
                <w:szCs w:val="16"/>
              </w:rPr>
            </w:pPr>
          </w:p>
          <w:p w14:paraId="59FD1C84" w14:textId="77777777" w:rsidR="004E3242" w:rsidRPr="004E3242" w:rsidRDefault="004E3242" w:rsidP="004E3242">
            <w:pPr>
              <w:spacing w:before="60" w:after="60" w:line="240" w:lineRule="auto"/>
              <w:jc w:val="both"/>
              <w:rPr>
                <w:rFonts w:ascii="Arial" w:hAnsi="Arial" w:cs="Arial"/>
                <w:spacing w:val="4"/>
                <w:sz w:val="16"/>
                <w:szCs w:val="16"/>
              </w:rPr>
            </w:pPr>
          </w:p>
          <w:p w14:paraId="5E3BD895" w14:textId="77777777" w:rsidR="004E3242" w:rsidRPr="004E3242" w:rsidRDefault="004E3242" w:rsidP="004E3242">
            <w:pPr>
              <w:spacing w:before="60" w:after="60" w:line="240" w:lineRule="auto"/>
              <w:jc w:val="both"/>
              <w:rPr>
                <w:rFonts w:ascii="Arial" w:hAnsi="Arial" w:cs="Arial"/>
                <w:spacing w:val="4"/>
                <w:sz w:val="16"/>
                <w:szCs w:val="16"/>
              </w:rPr>
            </w:pPr>
          </w:p>
          <w:p w14:paraId="38F0A3CC" w14:textId="77777777" w:rsidR="004E3242" w:rsidRPr="004E3242" w:rsidRDefault="004E3242" w:rsidP="004E3242">
            <w:pPr>
              <w:spacing w:before="60" w:after="60" w:line="240" w:lineRule="auto"/>
              <w:jc w:val="both"/>
              <w:rPr>
                <w:rFonts w:ascii="Arial" w:hAnsi="Arial" w:cs="Arial"/>
                <w:spacing w:val="4"/>
                <w:sz w:val="16"/>
                <w:szCs w:val="16"/>
              </w:rPr>
            </w:pPr>
          </w:p>
          <w:p w14:paraId="02C89085" w14:textId="77777777" w:rsidR="004E3242" w:rsidRPr="004E3242" w:rsidRDefault="004E3242" w:rsidP="004E3242">
            <w:pPr>
              <w:spacing w:before="60" w:after="60" w:line="240" w:lineRule="auto"/>
              <w:jc w:val="both"/>
              <w:rPr>
                <w:rFonts w:ascii="Arial" w:hAnsi="Arial" w:cs="Arial"/>
                <w:spacing w:val="4"/>
                <w:sz w:val="16"/>
                <w:szCs w:val="16"/>
              </w:rPr>
            </w:pPr>
          </w:p>
          <w:p w14:paraId="635CF5C3" w14:textId="77777777" w:rsidR="004E3242" w:rsidRPr="004E3242" w:rsidRDefault="004E3242" w:rsidP="004E3242">
            <w:pPr>
              <w:spacing w:before="60" w:after="60" w:line="240" w:lineRule="auto"/>
              <w:jc w:val="both"/>
              <w:rPr>
                <w:rFonts w:ascii="Arial" w:hAnsi="Arial" w:cs="Arial"/>
                <w:spacing w:val="4"/>
                <w:sz w:val="16"/>
                <w:szCs w:val="16"/>
              </w:rPr>
            </w:pPr>
          </w:p>
          <w:p w14:paraId="004D2392" w14:textId="77777777" w:rsidR="004E3242" w:rsidRPr="004E3242" w:rsidRDefault="004E3242" w:rsidP="004E3242">
            <w:pPr>
              <w:spacing w:before="60" w:after="60" w:line="240" w:lineRule="auto"/>
              <w:jc w:val="both"/>
              <w:rPr>
                <w:rFonts w:ascii="Arial" w:hAnsi="Arial" w:cs="Arial"/>
                <w:spacing w:val="4"/>
                <w:sz w:val="16"/>
                <w:szCs w:val="16"/>
              </w:rPr>
            </w:pPr>
          </w:p>
          <w:p w14:paraId="2A5A4778" w14:textId="77777777" w:rsidR="004E3242" w:rsidRPr="004E3242" w:rsidRDefault="004E3242" w:rsidP="004E3242">
            <w:pPr>
              <w:spacing w:before="60" w:after="60" w:line="240" w:lineRule="auto"/>
              <w:jc w:val="both"/>
              <w:rPr>
                <w:rFonts w:ascii="Arial" w:hAnsi="Arial" w:cs="Arial"/>
                <w:spacing w:val="4"/>
                <w:sz w:val="16"/>
                <w:szCs w:val="16"/>
              </w:rPr>
            </w:pPr>
          </w:p>
          <w:p w14:paraId="64749F9C" w14:textId="77777777" w:rsidR="004E3242" w:rsidRPr="004E3242" w:rsidRDefault="004E3242" w:rsidP="004E3242">
            <w:pPr>
              <w:spacing w:before="60" w:after="60" w:line="240" w:lineRule="auto"/>
              <w:jc w:val="both"/>
              <w:rPr>
                <w:rFonts w:ascii="Arial" w:hAnsi="Arial" w:cs="Arial"/>
                <w:spacing w:val="4"/>
                <w:sz w:val="16"/>
                <w:szCs w:val="16"/>
              </w:rPr>
            </w:pPr>
          </w:p>
          <w:p w14:paraId="691C03CD" w14:textId="77777777" w:rsidR="004E3242" w:rsidRPr="004E3242" w:rsidRDefault="004E3242" w:rsidP="004E3242">
            <w:pPr>
              <w:spacing w:before="60" w:after="60" w:line="240" w:lineRule="auto"/>
              <w:jc w:val="both"/>
              <w:rPr>
                <w:rFonts w:ascii="Arial" w:hAnsi="Arial" w:cs="Arial"/>
                <w:spacing w:val="4"/>
                <w:sz w:val="16"/>
                <w:szCs w:val="16"/>
              </w:rPr>
            </w:pPr>
          </w:p>
          <w:p w14:paraId="72CAD165"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Kryterium 2:</w:t>
            </w:r>
          </w:p>
          <w:p w14:paraId="69D00E8B"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Aktualizacja planów gospodarowania wodami na obszarach dorzeczy (PGW)</w:t>
            </w:r>
          </w:p>
          <w:p w14:paraId="6DCAD84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PGW będą oparte na monitoringu i ocenie stanu wód zgodnej z RDW. Wszelkie derogacje będą wystarczająco uzasadnione i opisane w planach. </w:t>
            </w:r>
          </w:p>
          <w:p w14:paraId="19D78684"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Zatwierdzenie aktualizacji PGW przez RM (IV kw. 2015 r.)</w:t>
            </w:r>
          </w:p>
          <w:p w14:paraId="7C50394F"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lastRenderedPageBreak/>
              <w:t>Przekazanie do KE raportu wraz z kopiami aktualizacji PGW – do I kw. 2016 r.</w:t>
            </w:r>
          </w:p>
          <w:p w14:paraId="2CB39738" w14:textId="77777777" w:rsidR="004E3242" w:rsidRPr="004E3242" w:rsidRDefault="004E3242" w:rsidP="004E3242">
            <w:pPr>
              <w:spacing w:before="60" w:after="60" w:line="240" w:lineRule="auto"/>
              <w:jc w:val="both"/>
              <w:rPr>
                <w:rFonts w:ascii="Arial" w:hAnsi="Arial" w:cs="Arial"/>
                <w:spacing w:val="4"/>
                <w:sz w:val="16"/>
                <w:szCs w:val="16"/>
              </w:rPr>
            </w:pPr>
          </w:p>
          <w:p w14:paraId="00BCFB37" w14:textId="77777777" w:rsidR="004E3242" w:rsidRPr="004E3242" w:rsidRDefault="004E3242" w:rsidP="004E3242">
            <w:pPr>
              <w:spacing w:before="60" w:after="60" w:line="240" w:lineRule="auto"/>
              <w:jc w:val="both"/>
              <w:rPr>
                <w:rFonts w:ascii="Arial" w:hAnsi="Arial" w:cs="Arial"/>
                <w:spacing w:val="4"/>
                <w:sz w:val="16"/>
                <w:szCs w:val="16"/>
              </w:rPr>
            </w:pPr>
          </w:p>
          <w:p w14:paraId="6CFE2579" w14:textId="77777777" w:rsidR="004E3242" w:rsidRPr="004E3242" w:rsidRDefault="004E3242" w:rsidP="004E3242">
            <w:pPr>
              <w:spacing w:before="60" w:after="60" w:line="240" w:lineRule="auto"/>
              <w:jc w:val="both"/>
              <w:rPr>
                <w:rFonts w:ascii="Arial" w:hAnsi="Arial" w:cs="Arial"/>
                <w:spacing w:val="4"/>
                <w:sz w:val="16"/>
                <w:szCs w:val="16"/>
              </w:rPr>
            </w:pPr>
          </w:p>
          <w:p w14:paraId="6CF09182" w14:textId="77777777" w:rsidR="004E3242" w:rsidRPr="004E3242" w:rsidRDefault="004E3242" w:rsidP="004E3242">
            <w:pPr>
              <w:spacing w:before="60" w:after="60" w:line="240" w:lineRule="auto"/>
              <w:jc w:val="both"/>
              <w:rPr>
                <w:rFonts w:ascii="Arial" w:hAnsi="Arial" w:cs="Arial"/>
                <w:spacing w:val="4"/>
                <w:sz w:val="16"/>
                <w:szCs w:val="16"/>
              </w:rPr>
            </w:pPr>
          </w:p>
          <w:p w14:paraId="640B2C06" w14:textId="77777777" w:rsidR="004E3242" w:rsidRPr="004E3242" w:rsidRDefault="004E3242" w:rsidP="004E3242">
            <w:pPr>
              <w:spacing w:before="60" w:after="60" w:line="240" w:lineRule="auto"/>
              <w:jc w:val="both"/>
              <w:rPr>
                <w:rFonts w:ascii="Arial" w:hAnsi="Arial" w:cs="Arial"/>
                <w:spacing w:val="4"/>
                <w:sz w:val="16"/>
                <w:szCs w:val="16"/>
              </w:rPr>
            </w:pPr>
          </w:p>
        </w:tc>
        <w:tc>
          <w:tcPr>
            <w:tcW w:w="981" w:type="pct"/>
            <w:shd w:val="clear" w:color="auto" w:fill="F2F2F2"/>
            <w:vAlign w:val="center"/>
          </w:tcPr>
          <w:p w14:paraId="1BA4CF81" w14:textId="77777777" w:rsidR="004E3242" w:rsidRPr="004E3242" w:rsidRDefault="004E3242" w:rsidP="004E3242">
            <w:pPr>
              <w:spacing w:before="60" w:after="60" w:line="240" w:lineRule="auto"/>
              <w:jc w:val="both"/>
              <w:rPr>
                <w:rFonts w:ascii="Arial" w:hAnsi="Arial" w:cs="Arial"/>
                <w:b/>
                <w:bCs/>
                <w:spacing w:val="4"/>
                <w:sz w:val="16"/>
                <w:szCs w:val="16"/>
              </w:rPr>
            </w:pPr>
            <w:r w:rsidRPr="004E3242">
              <w:rPr>
                <w:rFonts w:ascii="Arial" w:hAnsi="Arial" w:cs="Arial"/>
                <w:b/>
                <w:bCs/>
                <w:spacing w:val="4"/>
                <w:sz w:val="16"/>
                <w:szCs w:val="16"/>
              </w:rPr>
              <w:lastRenderedPageBreak/>
              <w:t>Kryterium 1:</w:t>
            </w:r>
          </w:p>
          <w:p w14:paraId="1CB93BDE"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lastRenderedPageBreak/>
              <w:t>W odniesieniu do inwestycji z EFRR i FS (gosp. wodno-ściekowa),</w:t>
            </w:r>
            <w:r w:rsidRPr="004E3242">
              <w:rPr>
                <w:rFonts w:ascii="Arial" w:hAnsi="Arial" w:cs="Arial"/>
                <w:sz w:val="16"/>
                <w:szCs w:val="16"/>
              </w:rPr>
              <w:t xml:space="preserve"> </w:t>
            </w:r>
            <w:r w:rsidRPr="004E3242">
              <w:rPr>
                <w:rFonts w:ascii="Arial" w:hAnsi="Arial" w:cs="Arial"/>
                <w:b/>
                <w:sz w:val="16"/>
                <w:szCs w:val="16"/>
              </w:rPr>
              <w:t>zwrot kosztów w sektorze komunalnym jest na odpowiednim poziomie</w:t>
            </w:r>
            <w:r w:rsidRPr="004E3242">
              <w:rPr>
                <w:rFonts w:ascii="Arial" w:hAnsi="Arial" w:cs="Arial"/>
                <w:sz w:val="16"/>
                <w:szCs w:val="16"/>
              </w:rPr>
              <w:t>, określonym w zatwierdzonych PGW.</w:t>
            </w:r>
          </w:p>
          <w:p w14:paraId="093A6960"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t>Analiza zwrotu kosztów usług wodnych</w:t>
            </w:r>
            <w:r w:rsidRPr="004E3242">
              <w:rPr>
                <w:rFonts w:ascii="Arial" w:hAnsi="Arial" w:cs="Arial"/>
                <w:sz w:val="16"/>
                <w:szCs w:val="16"/>
              </w:rPr>
              <w:t xml:space="preserve">, z </w:t>
            </w:r>
            <w:proofErr w:type="spellStart"/>
            <w:r w:rsidRPr="004E3242">
              <w:rPr>
                <w:rFonts w:ascii="Arial" w:hAnsi="Arial" w:cs="Arial"/>
                <w:sz w:val="16"/>
                <w:szCs w:val="16"/>
              </w:rPr>
              <w:t>uwzgl</w:t>
            </w:r>
            <w:proofErr w:type="spellEnd"/>
            <w:r w:rsidRPr="004E3242">
              <w:rPr>
                <w:rFonts w:ascii="Arial" w:hAnsi="Arial" w:cs="Arial"/>
                <w:sz w:val="16"/>
                <w:szCs w:val="16"/>
              </w:rPr>
              <w:t xml:space="preserve">. kosztów </w:t>
            </w:r>
            <w:proofErr w:type="spellStart"/>
            <w:r w:rsidRPr="004E3242">
              <w:rPr>
                <w:rFonts w:ascii="Arial" w:hAnsi="Arial" w:cs="Arial"/>
                <w:sz w:val="16"/>
                <w:szCs w:val="16"/>
              </w:rPr>
              <w:t>środow</w:t>
            </w:r>
            <w:proofErr w:type="spellEnd"/>
            <w:r w:rsidRPr="004E3242">
              <w:rPr>
                <w:rFonts w:ascii="Arial" w:hAnsi="Arial" w:cs="Arial"/>
                <w:sz w:val="16"/>
                <w:szCs w:val="16"/>
              </w:rPr>
              <w:t xml:space="preserve">. i zasobowych (Art.9), dla sektorów: komunalnego, przemysłu i rolnictwa, </w:t>
            </w:r>
            <w:r w:rsidRPr="004E3242">
              <w:rPr>
                <w:rFonts w:ascii="Arial" w:hAnsi="Arial" w:cs="Arial"/>
                <w:b/>
                <w:sz w:val="16"/>
                <w:szCs w:val="16"/>
              </w:rPr>
              <w:t xml:space="preserve">została przeprowadzona w I </w:t>
            </w:r>
            <w:proofErr w:type="spellStart"/>
            <w:r w:rsidRPr="004E3242">
              <w:rPr>
                <w:rFonts w:ascii="Arial" w:hAnsi="Arial" w:cs="Arial"/>
                <w:b/>
                <w:sz w:val="16"/>
                <w:szCs w:val="16"/>
              </w:rPr>
              <w:t>i</w:t>
            </w:r>
            <w:proofErr w:type="spellEnd"/>
            <w:r w:rsidRPr="004E3242">
              <w:rPr>
                <w:rFonts w:ascii="Arial" w:hAnsi="Arial" w:cs="Arial"/>
                <w:b/>
                <w:sz w:val="16"/>
                <w:szCs w:val="16"/>
              </w:rPr>
              <w:t xml:space="preserve"> II cyklu planistycznym</w:t>
            </w:r>
            <w:r w:rsidRPr="004E3242">
              <w:rPr>
                <w:rFonts w:ascii="Arial" w:hAnsi="Arial" w:cs="Arial"/>
                <w:sz w:val="16"/>
                <w:szCs w:val="16"/>
              </w:rPr>
              <w:t xml:space="preserve">. </w:t>
            </w:r>
          </w:p>
          <w:p w14:paraId="20E9446B"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sz w:val="16"/>
                <w:szCs w:val="16"/>
              </w:rPr>
              <w:t>Zasada zwrotu kosztów usług wodnych</w:t>
            </w:r>
            <w:r w:rsidRPr="004E3242">
              <w:rPr>
                <w:rFonts w:ascii="Arial" w:hAnsi="Arial" w:cs="Arial"/>
                <w:sz w:val="16"/>
                <w:szCs w:val="16"/>
              </w:rPr>
              <w:t xml:space="preserve"> jest realizowana na gruncie przepisów ustawy Prawo wodne oraz systemu opłat za korzystanie ze środowiska w ustawie Prawo ochrony środowiska (POŚ). Użytkownicy wód </w:t>
            </w:r>
            <w:r w:rsidRPr="004E3242">
              <w:rPr>
                <w:rFonts w:ascii="Arial" w:hAnsi="Arial" w:cs="Arial"/>
                <w:b/>
                <w:sz w:val="16"/>
                <w:szCs w:val="16"/>
              </w:rPr>
              <w:t>zobowiązani są do ponoszenia kosztów korzystania z zasobów poprzez uiszczanie opłat za pobór wód i zrzut ładunków zanieczyszczeń (RM ustala stawki)</w:t>
            </w:r>
            <w:r w:rsidRPr="004E3242">
              <w:rPr>
                <w:rFonts w:ascii="Arial" w:hAnsi="Arial" w:cs="Arial"/>
                <w:sz w:val="16"/>
                <w:szCs w:val="16"/>
              </w:rPr>
              <w:t xml:space="preserve">. Funkcjonujący w PL system zwolnień z opłat </w:t>
            </w:r>
            <w:r w:rsidRPr="004E3242">
              <w:rPr>
                <w:rFonts w:ascii="Arial" w:hAnsi="Arial" w:cs="Arial"/>
                <w:b/>
                <w:sz w:val="16"/>
                <w:szCs w:val="16"/>
              </w:rPr>
              <w:t xml:space="preserve">nie dotyczy sektorów objętych wsparciem PO </w:t>
            </w:r>
            <w:proofErr w:type="spellStart"/>
            <w:r w:rsidRPr="004E3242">
              <w:rPr>
                <w:rFonts w:ascii="Arial" w:hAnsi="Arial" w:cs="Arial"/>
                <w:b/>
                <w:sz w:val="16"/>
                <w:szCs w:val="16"/>
              </w:rPr>
              <w:t>IiŚ</w:t>
            </w:r>
            <w:proofErr w:type="spellEnd"/>
            <w:r w:rsidRPr="004E3242">
              <w:rPr>
                <w:rFonts w:ascii="Arial" w:hAnsi="Arial" w:cs="Arial"/>
                <w:b/>
                <w:sz w:val="16"/>
                <w:szCs w:val="16"/>
              </w:rPr>
              <w:t>.</w:t>
            </w:r>
          </w:p>
          <w:p w14:paraId="2FF28DB8"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pacing w:val="4"/>
                <w:sz w:val="16"/>
                <w:szCs w:val="16"/>
              </w:rPr>
              <w:t xml:space="preserve"> </w:t>
            </w:r>
            <w:r w:rsidRPr="004E3242">
              <w:rPr>
                <w:rFonts w:ascii="Arial" w:hAnsi="Arial" w:cs="Arial"/>
                <w:sz w:val="16"/>
                <w:szCs w:val="16"/>
              </w:rPr>
              <w:t xml:space="preserve">Opracowane zostały zał. do ustawy Prawo wodne w celu </w:t>
            </w:r>
            <w:r w:rsidRPr="004E3242">
              <w:rPr>
                <w:rFonts w:ascii="Arial" w:hAnsi="Arial" w:cs="Arial"/>
                <w:spacing w:val="4"/>
                <w:sz w:val="16"/>
                <w:szCs w:val="16"/>
              </w:rPr>
              <w:t>m.in.: zapewnienia komplementarności polityce opłat za wodę z uwzględnieniem zasady pełnego „zwrotu kosztów za usługi wodne” (</w:t>
            </w:r>
            <w:r w:rsidRPr="004E3242">
              <w:rPr>
                <w:rFonts w:ascii="Arial" w:hAnsi="Arial" w:cs="Arial"/>
                <w:sz w:val="16"/>
                <w:szCs w:val="16"/>
              </w:rPr>
              <w:t xml:space="preserve">wynikające z uzup. </w:t>
            </w:r>
            <w:proofErr w:type="spellStart"/>
            <w:r w:rsidRPr="004E3242">
              <w:rPr>
                <w:rFonts w:ascii="Arial" w:hAnsi="Arial" w:cs="Arial"/>
                <w:sz w:val="16"/>
                <w:szCs w:val="16"/>
              </w:rPr>
              <w:t>transp</w:t>
            </w:r>
            <w:proofErr w:type="spellEnd"/>
            <w:r w:rsidRPr="004E3242">
              <w:rPr>
                <w:rFonts w:ascii="Arial" w:hAnsi="Arial" w:cs="Arial"/>
                <w:sz w:val="16"/>
                <w:szCs w:val="16"/>
              </w:rPr>
              <w:t>. art.. 9 R DW).</w:t>
            </w:r>
          </w:p>
          <w:p w14:paraId="0733A550" w14:textId="77777777" w:rsidR="004E3242" w:rsidRPr="004E3242" w:rsidRDefault="004E3242" w:rsidP="004E3242">
            <w:pPr>
              <w:spacing w:before="60" w:after="60" w:line="240" w:lineRule="auto"/>
              <w:jc w:val="both"/>
              <w:rPr>
                <w:rFonts w:ascii="Arial" w:hAnsi="Arial" w:cs="Arial"/>
                <w:sz w:val="16"/>
                <w:szCs w:val="16"/>
              </w:rPr>
            </w:pPr>
          </w:p>
          <w:p w14:paraId="63599CE4" w14:textId="77777777" w:rsidR="004E3242" w:rsidRPr="004E3242" w:rsidRDefault="004E3242" w:rsidP="004E3242">
            <w:pPr>
              <w:spacing w:before="60" w:after="60" w:line="240" w:lineRule="auto"/>
              <w:jc w:val="both"/>
              <w:rPr>
                <w:rFonts w:ascii="Arial" w:hAnsi="Arial" w:cs="Arial"/>
                <w:b/>
                <w:bCs/>
                <w:spacing w:val="4"/>
                <w:sz w:val="16"/>
                <w:szCs w:val="16"/>
              </w:rPr>
            </w:pPr>
            <w:r w:rsidRPr="004E3242">
              <w:rPr>
                <w:rFonts w:ascii="Arial" w:hAnsi="Arial" w:cs="Arial"/>
                <w:b/>
                <w:bCs/>
                <w:spacing w:val="4"/>
                <w:sz w:val="16"/>
                <w:szCs w:val="16"/>
              </w:rPr>
              <w:t>Kryterium 2:</w:t>
            </w:r>
          </w:p>
          <w:p w14:paraId="7FE4C4D2" w14:textId="77777777" w:rsidR="004E3242" w:rsidRPr="004E3242" w:rsidRDefault="004E3242" w:rsidP="004E3242">
            <w:pPr>
              <w:spacing w:before="60" w:after="60" w:line="240" w:lineRule="auto"/>
              <w:jc w:val="both"/>
              <w:rPr>
                <w:rFonts w:ascii="Arial" w:hAnsi="Arial" w:cs="Arial"/>
                <w:b/>
                <w:bCs/>
                <w:spacing w:val="4"/>
                <w:sz w:val="16"/>
                <w:szCs w:val="16"/>
              </w:rPr>
            </w:pPr>
            <w:r w:rsidRPr="004E3242">
              <w:rPr>
                <w:rFonts w:ascii="Arial" w:hAnsi="Arial" w:cs="Arial"/>
                <w:sz w:val="16"/>
                <w:szCs w:val="16"/>
              </w:rPr>
              <w:t>W związku z oczekiwaniami KE, PL opracowała (</w:t>
            </w:r>
            <w:proofErr w:type="spellStart"/>
            <w:r w:rsidRPr="004E3242">
              <w:rPr>
                <w:rFonts w:ascii="Arial" w:hAnsi="Arial" w:cs="Arial"/>
                <w:sz w:val="16"/>
                <w:szCs w:val="16"/>
              </w:rPr>
              <w:t>zatwierdz</w:t>
            </w:r>
            <w:proofErr w:type="spellEnd"/>
            <w:r w:rsidRPr="004E3242">
              <w:rPr>
                <w:rFonts w:ascii="Arial" w:hAnsi="Arial" w:cs="Arial"/>
                <w:sz w:val="16"/>
                <w:szCs w:val="16"/>
              </w:rPr>
              <w:t xml:space="preserve">. przez RM 26.08.2014)  przejściowe  dok. w gosp. wodnej, tzw. </w:t>
            </w:r>
            <w:proofErr w:type="spellStart"/>
            <w:r w:rsidRPr="004E3242">
              <w:rPr>
                <w:rFonts w:ascii="Arial" w:hAnsi="Arial" w:cs="Arial"/>
                <w:sz w:val="16"/>
                <w:szCs w:val="16"/>
              </w:rPr>
              <w:t>Masterplany</w:t>
            </w:r>
            <w:proofErr w:type="spellEnd"/>
            <w:r w:rsidRPr="004E3242">
              <w:rPr>
                <w:rFonts w:ascii="Arial" w:hAnsi="Arial" w:cs="Arial"/>
                <w:sz w:val="16"/>
                <w:szCs w:val="16"/>
              </w:rPr>
              <w:t xml:space="preserve"> dla dorzeczy Wisły i Odry, stanowiące uzupełnienie obowiązujących PGW.</w:t>
            </w:r>
          </w:p>
          <w:p w14:paraId="065F9F02" w14:textId="77777777" w:rsidR="004E3242" w:rsidRPr="004E3242" w:rsidRDefault="004E3242" w:rsidP="004E3242">
            <w:pPr>
              <w:spacing w:before="60" w:after="60" w:line="240" w:lineRule="auto"/>
              <w:jc w:val="both"/>
              <w:rPr>
                <w:rFonts w:ascii="Arial" w:hAnsi="Arial" w:cs="Arial"/>
                <w:b/>
                <w:bCs/>
                <w:spacing w:val="4"/>
                <w:sz w:val="16"/>
                <w:szCs w:val="16"/>
              </w:rPr>
            </w:pPr>
          </w:p>
          <w:p w14:paraId="1D63C6CD"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PGW zostały zatwierdzone przez RM </w:t>
            </w:r>
            <w:r w:rsidRPr="004E3242">
              <w:rPr>
                <w:rFonts w:ascii="Arial" w:hAnsi="Arial" w:cs="Arial"/>
                <w:sz w:val="16"/>
                <w:szCs w:val="16"/>
              </w:rPr>
              <w:lastRenderedPageBreak/>
              <w:t>22.02. 2011 r. Ich aktualizacja zgodnie z wymogami krajowymi oraz RDW nastąpi w 2015 r.</w:t>
            </w:r>
          </w:p>
          <w:p w14:paraId="17CE6D5C"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W grudniu 2012 r. KE oceniła przyjęte dotychczas PGW, przedstawiając zalecenia do podjęcia działań w II. cyklu planistycznym. Zalecenia te są uwzględniane w ramach prac planistycznych II. Trwają prace nad przygotowaniem projektów aktualizacji PGW.</w:t>
            </w:r>
          </w:p>
          <w:p w14:paraId="65460F74"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Nowe plany będą w pełni zgodne z wymogami RDW będą uwzględniać wyniki monitoringu stanu wód, zgodnie z Art. 8 RDW i opierać się na ocenie stanu jednolitych części wód, na podstawie danych monitoringowych za lata 2010-2012, zgodnie z załącznikiem V do RDW. Zaktualizowane PGW będą uwzględniać przedsięwzięcia infrastrukturalne mogące wywierać wpływ na stan wód i dla których możliwe jest zastosowanie odstępstw (z art. 4 RDW).</w:t>
            </w:r>
          </w:p>
          <w:p w14:paraId="4BCBB55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W związku z oczekiwaniami KE, PL opracowała (</w:t>
            </w:r>
            <w:proofErr w:type="spellStart"/>
            <w:r w:rsidRPr="004E3242">
              <w:rPr>
                <w:rFonts w:ascii="Arial" w:hAnsi="Arial" w:cs="Arial"/>
                <w:sz w:val="16"/>
                <w:szCs w:val="16"/>
              </w:rPr>
              <w:t>zatwierdz</w:t>
            </w:r>
            <w:proofErr w:type="spellEnd"/>
            <w:r w:rsidRPr="004E3242">
              <w:rPr>
                <w:rFonts w:ascii="Arial" w:hAnsi="Arial" w:cs="Arial"/>
                <w:sz w:val="16"/>
                <w:szCs w:val="16"/>
              </w:rPr>
              <w:t xml:space="preserve">. przez RM 26.08.2014) przejściowe dok. w gospodarce wodnej, tzw. </w:t>
            </w:r>
            <w:proofErr w:type="spellStart"/>
            <w:r w:rsidRPr="004E3242">
              <w:rPr>
                <w:rFonts w:ascii="Arial" w:hAnsi="Arial" w:cs="Arial"/>
                <w:sz w:val="16"/>
                <w:szCs w:val="16"/>
              </w:rPr>
              <w:t>Masterplany</w:t>
            </w:r>
            <w:proofErr w:type="spellEnd"/>
            <w:r w:rsidRPr="004E3242">
              <w:rPr>
                <w:rFonts w:ascii="Arial" w:hAnsi="Arial" w:cs="Arial"/>
                <w:sz w:val="16"/>
                <w:szCs w:val="16"/>
              </w:rPr>
              <w:t xml:space="preserve"> dla obszarów dorzeczy Wisły i Odry, stanowiące uzupełnienie obowiązujących PGW. </w:t>
            </w:r>
          </w:p>
        </w:tc>
      </w:tr>
      <w:tr w:rsidR="004E3242" w:rsidRPr="004E3242" w14:paraId="04A5C8FF" w14:textId="77777777" w:rsidTr="00AA7998">
        <w:tc>
          <w:tcPr>
            <w:tcW w:w="679" w:type="pct"/>
            <w:shd w:val="clear" w:color="auto" w:fill="D6E3BC"/>
            <w:vAlign w:val="center"/>
          </w:tcPr>
          <w:p w14:paraId="4A9667A7"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lastRenderedPageBreak/>
              <w:t xml:space="preserve">6.2. Gospodarka odpadami: Promowanie zrównoważonych gospodarczo i środowiskowo inwestycji w sektorze gospodarki odpadami, w szczególności poprzez opracowanie planów gospodarki odpadami zgodnych z dyrektywą 2008/98/WE oraz </w:t>
            </w:r>
            <w:r w:rsidRPr="004E3242">
              <w:rPr>
                <w:rFonts w:ascii="Arial" w:hAnsi="Arial" w:cs="Arial"/>
                <w:bCs/>
                <w:smallCaps/>
                <w:spacing w:val="4"/>
                <w:sz w:val="16"/>
                <w:szCs w:val="16"/>
              </w:rPr>
              <w:lastRenderedPageBreak/>
              <w:t>z hierarchią odpadów.</w:t>
            </w:r>
          </w:p>
        </w:tc>
        <w:tc>
          <w:tcPr>
            <w:tcW w:w="500" w:type="pct"/>
            <w:shd w:val="clear" w:color="auto" w:fill="F2F2F2"/>
            <w:vAlign w:val="center"/>
          </w:tcPr>
          <w:p w14:paraId="07135FBE"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lang w:val="en-US"/>
              </w:rPr>
              <w:lastRenderedPageBreak/>
              <w:t>II</w:t>
            </w:r>
          </w:p>
        </w:tc>
        <w:tc>
          <w:tcPr>
            <w:tcW w:w="462" w:type="pct"/>
            <w:shd w:val="clear" w:color="auto" w:fill="F2F2F2"/>
            <w:vAlign w:val="center"/>
          </w:tcPr>
          <w:p w14:paraId="0D4CA8FC"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Częściowo spełniony</w:t>
            </w:r>
          </w:p>
        </w:tc>
        <w:tc>
          <w:tcPr>
            <w:tcW w:w="814" w:type="pct"/>
            <w:shd w:val="clear" w:color="auto" w:fill="F2F2F2"/>
            <w:vAlign w:val="center"/>
          </w:tcPr>
          <w:p w14:paraId="50FB7E6C" w14:textId="77777777" w:rsidR="004E3242" w:rsidRPr="004E3242" w:rsidRDefault="004E3242" w:rsidP="004E3242">
            <w:p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Zgodnie z wymogami art. 11 ust. 5 dyrektywy 2008/98/WE Komisji przekazano sprawozdanie z realizacji dotyczące postępów w osiąganiu celów określonych w art. 11 dyrektywy 2008/98/WE.</w:t>
            </w:r>
          </w:p>
          <w:p w14:paraId="5B2DDBE3" w14:textId="77777777" w:rsidR="004E3242" w:rsidRPr="004E3242" w:rsidRDefault="004E3242" w:rsidP="004E3242">
            <w:p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Istnienie jednego lub kilku planów gospodarki odpadami zgodnie z wymogami art. 28 dyrektywy 2008/98/WE.</w:t>
            </w:r>
          </w:p>
          <w:p w14:paraId="09596777" w14:textId="77777777" w:rsidR="004E3242" w:rsidRPr="004E3242" w:rsidRDefault="004E3242" w:rsidP="004E3242">
            <w:p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lastRenderedPageBreak/>
              <w:t>Istnienie programów zapobiegania powstawaniu odpadów, zgodnie z wymogami art. 29 dyrektywy 2008/98/WE.</w:t>
            </w:r>
          </w:p>
          <w:p w14:paraId="45E2E51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Przyjęto środki niezbędne do osiągnięcia celów na 2020 r. dotyczących przygotowania do ponownego wykorzystania i recyklingu, zgodnie z art. 11 ust. 2 dyrektywy 2008/98/WE.</w:t>
            </w:r>
          </w:p>
        </w:tc>
        <w:tc>
          <w:tcPr>
            <w:tcW w:w="459" w:type="pct"/>
            <w:shd w:val="clear" w:color="auto" w:fill="F2F2F2"/>
            <w:vAlign w:val="center"/>
          </w:tcPr>
          <w:p w14:paraId="2C7BB1A5"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Częściowo spełnione</w:t>
            </w:r>
          </w:p>
        </w:tc>
        <w:tc>
          <w:tcPr>
            <w:tcW w:w="1105" w:type="pct"/>
            <w:shd w:val="clear" w:color="auto" w:fill="F2F2F2"/>
            <w:vAlign w:val="center"/>
          </w:tcPr>
          <w:p w14:paraId="205ADE4F"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 xml:space="preserve">Kryterium 1: </w:t>
            </w:r>
          </w:p>
          <w:p w14:paraId="590F4E9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Sprawozdanie dotyczące postępów w osiąganiu celów określonych w art. 11 dyrektywy 2008/98/WE</w:t>
            </w:r>
          </w:p>
          <w:p w14:paraId="3B470B84" w14:textId="77777777" w:rsidR="004E3242" w:rsidRPr="004E3242" w:rsidRDefault="004E3242" w:rsidP="004E3242">
            <w:pPr>
              <w:spacing w:before="60" w:after="60" w:line="240" w:lineRule="auto"/>
              <w:jc w:val="both"/>
              <w:rPr>
                <w:rFonts w:ascii="Arial" w:hAnsi="Arial" w:cs="Arial"/>
                <w:spacing w:val="4"/>
                <w:sz w:val="16"/>
                <w:szCs w:val="16"/>
              </w:rPr>
            </w:pPr>
          </w:p>
          <w:p w14:paraId="2F9188D1" w14:textId="77777777" w:rsidR="004E3242" w:rsidRPr="004E3242" w:rsidRDefault="004E3242" w:rsidP="004E3242">
            <w:pPr>
              <w:spacing w:before="60" w:after="60" w:line="240" w:lineRule="auto"/>
              <w:jc w:val="both"/>
              <w:rPr>
                <w:rFonts w:ascii="Arial" w:hAnsi="Arial" w:cs="Arial"/>
                <w:spacing w:val="4"/>
                <w:sz w:val="16"/>
                <w:szCs w:val="16"/>
              </w:rPr>
            </w:pPr>
          </w:p>
          <w:p w14:paraId="7D3A86CC"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 xml:space="preserve">Kryterium 2: </w:t>
            </w:r>
          </w:p>
          <w:p w14:paraId="49524E40"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Aktualizacja Krajowego planu gospodarki odpadami 2014 (</w:t>
            </w:r>
            <w:proofErr w:type="spellStart"/>
            <w:r w:rsidRPr="004E3242">
              <w:rPr>
                <w:rFonts w:ascii="Arial" w:hAnsi="Arial" w:cs="Arial"/>
                <w:spacing w:val="4"/>
                <w:sz w:val="16"/>
                <w:szCs w:val="16"/>
              </w:rPr>
              <w:t>Kpgo</w:t>
            </w:r>
            <w:proofErr w:type="spellEnd"/>
            <w:r w:rsidRPr="004E3242">
              <w:rPr>
                <w:rFonts w:ascii="Arial" w:hAnsi="Arial" w:cs="Arial"/>
                <w:spacing w:val="4"/>
                <w:sz w:val="16"/>
                <w:szCs w:val="16"/>
              </w:rPr>
              <w:t>)</w:t>
            </w:r>
            <w:r w:rsidRPr="004E3242">
              <w:rPr>
                <w:rFonts w:ascii="Arial" w:hAnsi="Arial" w:cs="Arial"/>
                <w:sz w:val="16"/>
                <w:szCs w:val="16"/>
              </w:rPr>
              <w:t xml:space="preserve"> </w:t>
            </w:r>
            <w:r w:rsidRPr="004E3242">
              <w:rPr>
                <w:rFonts w:ascii="Arial" w:hAnsi="Arial" w:cs="Arial"/>
                <w:spacing w:val="4"/>
                <w:sz w:val="16"/>
                <w:szCs w:val="16"/>
              </w:rPr>
              <w:t>- do końca 2015 r.</w:t>
            </w:r>
          </w:p>
          <w:p w14:paraId="7590B6C0"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Następnie na jego podstawie zostaną </w:t>
            </w:r>
            <w:r w:rsidRPr="004E3242">
              <w:rPr>
                <w:rFonts w:ascii="Arial" w:hAnsi="Arial" w:cs="Arial"/>
                <w:spacing w:val="4"/>
                <w:sz w:val="16"/>
                <w:szCs w:val="16"/>
              </w:rPr>
              <w:lastRenderedPageBreak/>
              <w:t>opracowane plany wojewódzkie. Plany wojewódzkie będą realizować działania określone w krajowym planie, a także będą stanowić podstawowy dokument planistyczny w sektorze gospodarki odpadami w województwach.</w:t>
            </w:r>
          </w:p>
          <w:p w14:paraId="4BBFEB3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Aktualizacje </w:t>
            </w:r>
            <w:proofErr w:type="spellStart"/>
            <w:r w:rsidRPr="004E3242">
              <w:rPr>
                <w:rFonts w:ascii="Arial" w:hAnsi="Arial" w:cs="Arial"/>
                <w:spacing w:val="4"/>
                <w:sz w:val="16"/>
                <w:szCs w:val="16"/>
              </w:rPr>
              <w:t>wpgo</w:t>
            </w:r>
            <w:proofErr w:type="spellEnd"/>
            <w:r w:rsidRPr="004E3242">
              <w:rPr>
                <w:rFonts w:ascii="Arial" w:hAnsi="Arial" w:cs="Arial"/>
                <w:sz w:val="16"/>
                <w:szCs w:val="16"/>
              </w:rPr>
              <w:t xml:space="preserve"> </w:t>
            </w:r>
            <w:r w:rsidRPr="004E3242">
              <w:rPr>
                <w:rFonts w:ascii="Arial" w:hAnsi="Arial" w:cs="Arial"/>
                <w:spacing w:val="4"/>
                <w:sz w:val="16"/>
                <w:szCs w:val="16"/>
              </w:rPr>
              <w:t>(z opracowaniem planów inwestycyjnych)</w:t>
            </w:r>
            <w:r w:rsidRPr="004E3242">
              <w:rPr>
                <w:rFonts w:ascii="Arial" w:hAnsi="Arial" w:cs="Arial"/>
                <w:sz w:val="16"/>
                <w:szCs w:val="16"/>
              </w:rPr>
              <w:t xml:space="preserve"> </w:t>
            </w:r>
            <w:r w:rsidRPr="004E3242">
              <w:rPr>
                <w:rFonts w:ascii="Arial" w:hAnsi="Arial" w:cs="Arial"/>
                <w:spacing w:val="4"/>
                <w:sz w:val="16"/>
                <w:szCs w:val="16"/>
              </w:rPr>
              <w:t xml:space="preserve">-  do końca 2016r.  </w:t>
            </w:r>
          </w:p>
          <w:p w14:paraId="1CAFACC5" w14:textId="77777777" w:rsidR="004E3242" w:rsidRPr="004E3242" w:rsidRDefault="004E3242" w:rsidP="004E3242">
            <w:pPr>
              <w:spacing w:before="60" w:after="60" w:line="240" w:lineRule="auto"/>
              <w:jc w:val="both"/>
              <w:rPr>
                <w:rFonts w:ascii="Arial" w:hAnsi="Arial" w:cs="Arial"/>
                <w:spacing w:val="4"/>
                <w:sz w:val="16"/>
                <w:szCs w:val="16"/>
              </w:rPr>
            </w:pPr>
          </w:p>
          <w:p w14:paraId="1A83CAD9" w14:textId="77777777" w:rsidR="004E3242" w:rsidRPr="004E3242" w:rsidRDefault="004E3242" w:rsidP="004E3242">
            <w:pPr>
              <w:spacing w:before="60" w:after="60" w:line="240" w:lineRule="auto"/>
              <w:jc w:val="both"/>
              <w:rPr>
                <w:rFonts w:ascii="Arial" w:hAnsi="Arial" w:cs="Arial"/>
                <w:spacing w:val="4"/>
                <w:sz w:val="16"/>
                <w:szCs w:val="16"/>
              </w:rPr>
            </w:pPr>
          </w:p>
          <w:p w14:paraId="4D09B309" w14:textId="77777777" w:rsidR="004E3242" w:rsidRPr="004E3242" w:rsidRDefault="004E3242" w:rsidP="004E3242">
            <w:pPr>
              <w:spacing w:before="60" w:after="60" w:line="240" w:lineRule="auto"/>
              <w:jc w:val="both"/>
              <w:rPr>
                <w:rFonts w:ascii="Arial" w:hAnsi="Arial" w:cs="Arial"/>
                <w:spacing w:val="4"/>
                <w:sz w:val="16"/>
                <w:szCs w:val="16"/>
              </w:rPr>
            </w:pPr>
          </w:p>
          <w:p w14:paraId="08262FB2" w14:textId="77777777" w:rsidR="004E3242" w:rsidRPr="004E3242" w:rsidRDefault="004E3242" w:rsidP="004E3242">
            <w:pPr>
              <w:spacing w:before="60" w:after="60" w:line="240" w:lineRule="auto"/>
              <w:jc w:val="both"/>
              <w:rPr>
                <w:rFonts w:ascii="Arial" w:hAnsi="Arial" w:cs="Arial"/>
                <w:spacing w:val="4"/>
                <w:sz w:val="16"/>
                <w:szCs w:val="16"/>
              </w:rPr>
            </w:pPr>
          </w:p>
          <w:p w14:paraId="3C0087D2" w14:textId="77777777" w:rsidR="004E3242" w:rsidRPr="004E3242" w:rsidRDefault="004E3242" w:rsidP="004E3242">
            <w:pPr>
              <w:spacing w:before="60" w:after="60" w:line="240" w:lineRule="auto"/>
              <w:jc w:val="both"/>
              <w:rPr>
                <w:rFonts w:ascii="Arial" w:hAnsi="Arial" w:cs="Arial"/>
                <w:spacing w:val="4"/>
                <w:sz w:val="16"/>
                <w:szCs w:val="16"/>
              </w:rPr>
            </w:pPr>
          </w:p>
          <w:p w14:paraId="7B675A0D" w14:textId="77777777" w:rsidR="004E3242" w:rsidRPr="004E3242" w:rsidRDefault="004E3242" w:rsidP="004E3242">
            <w:pPr>
              <w:spacing w:before="60" w:after="60" w:line="240" w:lineRule="auto"/>
              <w:jc w:val="both"/>
              <w:rPr>
                <w:rFonts w:ascii="Arial" w:hAnsi="Arial" w:cs="Arial"/>
                <w:spacing w:val="4"/>
                <w:sz w:val="16"/>
                <w:szCs w:val="16"/>
              </w:rPr>
            </w:pPr>
          </w:p>
          <w:p w14:paraId="46F6B1F6" w14:textId="77777777" w:rsidR="004E3242" w:rsidRPr="004E3242" w:rsidRDefault="004E3242" w:rsidP="004E3242">
            <w:pPr>
              <w:spacing w:before="60" w:after="60" w:line="240" w:lineRule="auto"/>
              <w:jc w:val="both"/>
              <w:rPr>
                <w:rFonts w:ascii="Arial" w:hAnsi="Arial" w:cs="Arial"/>
                <w:spacing w:val="4"/>
                <w:sz w:val="16"/>
                <w:szCs w:val="16"/>
              </w:rPr>
            </w:pPr>
          </w:p>
          <w:p w14:paraId="01161359" w14:textId="77777777" w:rsidR="004E3242" w:rsidRPr="004E3242" w:rsidRDefault="004E3242" w:rsidP="004E3242">
            <w:pPr>
              <w:spacing w:before="60" w:after="60" w:line="240" w:lineRule="auto"/>
              <w:jc w:val="both"/>
              <w:rPr>
                <w:rFonts w:ascii="Arial" w:hAnsi="Arial" w:cs="Arial"/>
                <w:spacing w:val="4"/>
                <w:sz w:val="16"/>
                <w:szCs w:val="16"/>
              </w:rPr>
            </w:pPr>
          </w:p>
          <w:p w14:paraId="46F0DCCD" w14:textId="77777777" w:rsidR="004E3242" w:rsidRPr="004E3242" w:rsidRDefault="004E3242" w:rsidP="004E3242">
            <w:pPr>
              <w:spacing w:before="60" w:after="60" w:line="240" w:lineRule="auto"/>
              <w:jc w:val="both"/>
              <w:rPr>
                <w:rFonts w:ascii="Arial" w:hAnsi="Arial" w:cs="Arial"/>
                <w:spacing w:val="4"/>
                <w:sz w:val="16"/>
                <w:szCs w:val="16"/>
              </w:rPr>
            </w:pPr>
          </w:p>
          <w:p w14:paraId="21538968" w14:textId="77777777" w:rsidR="004E3242" w:rsidRPr="004E3242" w:rsidRDefault="004E3242" w:rsidP="004E3242">
            <w:pPr>
              <w:spacing w:before="60" w:after="60" w:line="240" w:lineRule="auto"/>
              <w:jc w:val="both"/>
              <w:rPr>
                <w:rFonts w:ascii="Arial" w:hAnsi="Arial" w:cs="Arial"/>
                <w:spacing w:val="4"/>
                <w:sz w:val="16"/>
                <w:szCs w:val="16"/>
              </w:rPr>
            </w:pPr>
          </w:p>
          <w:p w14:paraId="1CCB0D10"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Kryterium 3:</w:t>
            </w:r>
          </w:p>
          <w:p w14:paraId="34C0CDB8"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Krajowy program zapobiegania powstawaniu odpadów (</w:t>
            </w:r>
            <w:proofErr w:type="spellStart"/>
            <w:r w:rsidRPr="004E3242">
              <w:rPr>
                <w:rFonts w:ascii="Arial" w:hAnsi="Arial" w:cs="Arial"/>
                <w:spacing w:val="4"/>
                <w:sz w:val="16"/>
                <w:szCs w:val="16"/>
              </w:rPr>
              <w:t>Kpzpo</w:t>
            </w:r>
            <w:proofErr w:type="spellEnd"/>
            <w:r w:rsidRPr="004E3242">
              <w:rPr>
                <w:rFonts w:ascii="Arial" w:hAnsi="Arial" w:cs="Arial"/>
                <w:spacing w:val="4"/>
                <w:sz w:val="16"/>
                <w:szCs w:val="16"/>
              </w:rPr>
              <w:t>)</w:t>
            </w:r>
          </w:p>
          <w:p w14:paraId="63A0DA7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Dokument został przyjęty przez RM 26.06.2014r. i przekazany KE.</w:t>
            </w:r>
          </w:p>
          <w:p w14:paraId="2CE90FA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http://www.mos.gov.pl/g2/big/2014_02/9eb50a325ed3098179730907a88a53d5.pdf</w:t>
            </w:r>
          </w:p>
          <w:p w14:paraId="040A0AAE" w14:textId="77777777" w:rsidR="004E3242" w:rsidRPr="004E3242" w:rsidRDefault="004E3242" w:rsidP="004E3242">
            <w:pPr>
              <w:spacing w:before="60" w:after="60" w:line="240" w:lineRule="auto"/>
              <w:jc w:val="both"/>
              <w:rPr>
                <w:rFonts w:ascii="Arial" w:hAnsi="Arial" w:cs="Arial"/>
                <w:spacing w:val="4"/>
                <w:sz w:val="16"/>
                <w:szCs w:val="16"/>
              </w:rPr>
            </w:pPr>
          </w:p>
          <w:p w14:paraId="1048719B" w14:textId="77777777" w:rsidR="004E3242" w:rsidRPr="004E3242" w:rsidRDefault="004E3242" w:rsidP="004E3242">
            <w:pPr>
              <w:spacing w:before="60" w:after="60" w:line="240" w:lineRule="auto"/>
              <w:jc w:val="both"/>
              <w:rPr>
                <w:rFonts w:ascii="Arial" w:hAnsi="Arial" w:cs="Arial"/>
                <w:spacing w:val="4"/>
                <w:sz w:val="16"/>
                <w:szCs w:val="16"/>
              </w:rPr>
            </w:pPr>
          </w:p>
          <w:p w14:paraId="463B0A38" w14:textId="77777777" w:rsidR="004E3242" w:rsidRPr="004E3242" w:rsidRDefault="004E3242" w:rsidP="004E3242">
            <w:pPr>
              <w:spacing w:before="60" w:after="60" w:line="240" w:lineRule="auto"/>
              <w:jc w:val="both"/>
              <w:rPr>
                <w:rFonts w:ascii="Arial" w:hAnsi="Arial" w:cs="Arial"/>
                <w:spacing w:val="4"/>
                <w:sz w:val="16"/>
                <w:szCs w:val="16"/>
              </w:rPr>
            </w:pPr>
          </w:p>
          <w:p w14:paraId="6203E80C" w14:textId="77777777" w:rsidR="004E3242" w:rsidRPr="004E3242" w:rsidRDefault="004E3242" w:rsidP="004E3242">
            <w:pPr>
              <w:spacing w:before="60" w:after="60" w:line="240" w:lineRule="auto"/>
              <w:jc w:val="both"/>
              <w:rPr>
                <w:rFonts w:ascii="Arial" w:hAnsi="Arial" w:cs="Arial"/>
                <w:spacing w:val="4"/>
                <w:sz w:val="16"/>
                <w:szCs w:val="16"/>
              </w:rPr>
            </w:pPr>
          </w:p>
          <w:p w14:paraId="4AEA0F2B" w14:textId="77777777" w:rsidR="004E3242" w:rsidRPr="004E3242" w:rsidRDefault="004E3242" w:rsidP="004E3242">
            <w:pPr>
              <w:spacing w:before="60" w:after="60" w:line="240" w:lineRule="auto"/>
              <w:jc w:val="both"/>
              <w:rPr>
                <w:rFonts w:ascii="Arial" w:hAnsi="Arial" w:cs="Arial"/>
                <w:spacing w:val="4"/>
                <w:sz w:val="16"/>
                <w:szCs w:val="16"/>
              </w:rPr>
            </w:pPr>
          </w:p>
          <w:p w14:paraId="1054B34D" w14:textId="77777777" w:rsidR="004E3242" w:rsidRPr="004E3242" w:rsidRDefault="004E3242" w:rsidP="004E3242">
            <w:pPr>
              <w:spacing w:before="60" w:after="60" w:line="240" w:lineRule="auto"/>
              <w:jc w:val="both"/>
              <w:rPr>
                <w:rFonts w:ascii="Arial" w:hAnsi="Arial" w:cs="Arial"/>
                <w:spacing w:val="4"/>
                <w:sz w:val="16"/>
                <w:szCs w:val="16"/>
              </w:rPr>
            </w:pPr>
          </w:p>
          <w:p w14:paraId="1C6F39D0" w14:textId="77777777" w:rsidR="004E3242" w:rsidRPr="004E3242" w:rsidRDefault="004E3242" w:rsidP="004E3242">
            <w:pPr>
              <w:spacing w:before="60" w:after="60" w:line="240" w:lineRule="auto"/>
              <w:jc w:val="both"/>
              <w:rPr>
                <w:rFonts w:ascii="Arial" w:hAnsi="Arial" w:cs="Arial"/>
                <w:spacing w:val="4"/>
                <w:sz w:val="16"/>
                <w:szCs w:val="16"/>
              </w:rPr>
            </w:pPr>
          </w:p>
          <w:p w14:paraId="720993D0" w14:textId="77777777" w:rsidR="004E3242" w:rsidRPr="004E3242" w:rsidRDefault="004E3242" w:rsidP="004E3242">
            <w:pPr>
              <w:spacing w:before="60" w:after="60" w:line="240" w:lineRule="auto"/>
              <w:jc w:val="both"/>
              <w:rPr>
                <w:rFonts w:ascii="Arial" w:hAnsi="Arial" w:cs="Arial"/>
                <w:spacing w:val="4"/>
                <w:sz w:val="16"/>
                <w:szCs w:val="16"/>
              </w:rPr>
            </w:pPr>
          </w:p>
          <w:p w14:paraId="747875B1" w14:textId="77777777" w:rsidR="004E3242" w:rsidRPr="004E3242" w:rsidRDefault="004E3242" w:rsidP="004E3242">
            <w:pPr>
              <w:spacing w:before="60" w:after="60" w:line="240" w:lineRule="auto"/>
              <w:jc w:val="both"/>
              <w:rPr>
                <w:rFonts w:ascii="Arial" w:hAnsi="Arial" w:cs="Arial"/>
                <w:spacing w:val="4"/>
                <w:sz w:val="16"/>
                <w:szCs w:val="16"/>
              </w:rPr>
            </w:pPr>
          </w:p>
          <w:p w14:paraId="4C47ED21" w14:textId="77777777" w:rsidR="004E3242" w:rsidRPr="004E3242" w:rsidRDefault="004E3242" w:rsidP="004E3242">
            <w:pPr>
              <w:spacing w:before="60" w:after="60" w:line="240" w:lineRule="auto"/>
              <w:jc w:val="both"/>
              <w:rPr>
                <w:rFonts w:ascii="Arial" w:hAnsi="Arial" w:cs="Arial"/>
                <w:spacing w:val="4"/>
                <w:sz w:val="16"/>
                <w:szCs w:val="16"/>
              </w:rPr>
            </w:pPr>
          </w:p>
          <w:p w14:paraId="7E60DF21" w14:textId="77777777" w:rsidR="004E3242" w:rsidRPr="004E3242" w:rsidRDefault="004E3242" w:rsidP="004E3242">
            <w:pPr>
              <w:spacing w:before="60" w:after="60" w:line="240" w:lineRule="auto"/>
              <w:jc w:val="both"/>
              <w:rPr>
                <w:rFonts w:ascii="Arial" w:hAnsi="Arial" w:cs="Arial"/>
                <w:spacing w:val="4"/>
                <w:sz w:val="16"/>
                <w:szCs w:val="16"/>
              </w:rPr>
            </w:pPr>
          </w:p>
          <w:p w14:paraId="655CF484" w14:textId="77777777" w:rsidR="004E3242" w:rsidRPr="004E3242" w:rsidRDefault="004E3242" w:rsidP="004E3242">
            <w:pPr>
              <w:spacing w:before="60" w:after="60" w:line="240" w:lineRule="auto"/>
              <w:jc w:val="both"/>
              <w:rPr>
                <w:rFonts w:ascii="Arial" w:hAnsi="Arial" w:cs="Arial"/>
                <w:spacing w:val="4"/>
                <w:sz w:val="16"/>
                <w:szCs w:val="16"/>
              </w:rPr>
            </w:pPr>
          </w:p>
          <w:p w14:paraId="3A1D4BC9" w14:textId="77777777" w:rsidR="004E3242" w:rsidRPr="004E3242" w:rsidRDefault="004E3242" w:rsidP="004E3242">
            <w:pPr>
              <w:spacing w:before="60" w:after="60" w:line="240" w:lineRule="auto"/>
              <w:jc w:val="both"/>
              <w:rPr>
                <w:rFonts w:ascii="Arial" w:hAnsi="Arial" w:cs="Arial"/>
                <w:spacing w:val="4"/>
                <w:sz w:val="16"/>
                <w:szCs w:val="16"/>
              </w:rPr>
            </w:pPr>
          </w:p>
          <w:p w14:paraId="10F14413" w14:textId="77777777" w:rsidR="004E3242" w:rsidRPr="004E3242" w:rsidRDefault="004E3242" w:rsidP="004E3242">
            <w:pPr>
              <w:spacing w:before="60" w:after="60" w:line="240" w:lineRule="auto"/>
              <w:jc w:val="both"/>
              <w:rPr>
                <w:rFonts w:ascii="Arial" w:hAnsi="Arial" w:cs="Arial"/>
                <w:spacing w:val="4"/>
                <w:sz w:val="16"/>
                <w:szCs w:val="16"/>
              </w:rPr>
            </w:pPr>
          </w:p>
          <w:p w14:paraId="12CD4F84" w14:textId="77777777" w:rsidR="004E3242" w:rsidRPr="004E3242" w:rsidRDefault="004E3242" w:rsidP="004E3242">
            <w:pPr>
              <w:spacing w:before="60" w:after="60" w:line="240" w:lineRule="auto"/>
              <w:jc w:val="both"/>
              <w:rPr>
                <w:rFonts w:ascii="Arial" w:hAnsi="Arial" w:cs="Arial"/>
                <w:spacing w:val="4"/>
                <w:sz w:val="16"/>
                <w:szCs w:val="16"/>
              </w:rPr>
            </w:pPr>
          </w:p>
          <w:p w14:paraId="697040C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pacing w:val="4"/>
                <w:sz w:val="16"/>
                <w:szCs w:val="16"/>
              </w:rPr>
              <w:t>Kryterium 4</w:t>
            </w:r>
            <w:r w:rsidRPr="004E3242">
              <w:rPr>
                <w:rFonts w:ascii="Arial" w:hAnsi="Arial" w:cs="Arial"/>
                <w:spacing w:val="4"/>
                <w:sz w:val="16"/>
                <w:szCs w:val="16"/>
              </w:rPr>
              <w:t>:</w:t>
            </w:r>
          </w:p>
          <w:p w14:paraId="127243F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Wypełnienie kryterium będzie związane z podjęciem przez PL następujących działań: </w:t>
            </w:r>
          </w:p>
          <w:p w14:paraId="44A58E74"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a) przeprowadzenie prac legislacyjnych umożliwiających realizację celów dla roku 2020:</w:t>
            </w:r>
          </w:p>
          <w:p w14:paraId="1E56D56E"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b) skuteczna egzekucja prawa;</w:t>
            </w:r>
          </w:p>
          <w:p w14:paraId="044695E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c) realizowanie kampanii informacyjno-edukacyjnych;</w:t>
            </w:r>
          </w:p>
          <w:p w14:paraId="22F1C0E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d) budowa spójnej sieci gospodarowania odpadami zaplanowanej zgodnie z hierarchią postępowania z odpadami.</w:t>
            </w:r>
          </w:p>
          <w:p w14:paraId="2F82D6D5" w14:textId="77777777" w:rsidR="004E3242" w:rsidRPr="004E3242" w:rsidRDefault="004E3242" w:rsidP="004E3242">
            <w:pPr>
              <w:spacing w:before="60" w:after="60" w:line="240" w:lineRule="auto"/>
              <w:jc w:val="both"/>
              <w:rPr>
                <w:rFonts w:ascii="Arial" w:hAnsi="Arial" w:cs="Arial"/>
                <w:spacing w:val="4"/>
                <w:sz w:val="16"/>
                <w:szCs w:val="16"/>
              </w:rPr>
            </w:pPr>
          </w:p>
          <w:p w14:paraId="49786C97"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 </w:t>
            </w:r>
          </w:p>
        </w:tc>
        <w:tc>
          <w:tcPr>
            <w:tcW w:w="981" w:type="pct"/>
            <w:shd w:val="clear" w:color="auto" w:fill="F2F2F2"/>
            <w:vAlign w:val="center"/>
          </w:tcPr>
          <w:p w14:paraId="2BEAB41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bCs/>
                <w:spacing w:val="4"/>
                <w:sz w:val="16"/>
                <w:szCs w:val="16"/>
              </w:rPr>
              <w:lastRenderedPageBreak/>
              <w:t xml:space="preserve">Kryterium 1: </w:t>
            </w:r>
            <w:r w:rsidRPr="004E3242">
              <w:rPr>
                <w:rFonts w:ascii="Arial" w:hAnsi="Arial" w:cs="Arial"/>
                <w:spacing w:val="4"/>
                <w:sz w:val="16"/>
                <w:szCs w:val="16"/>
              </w:rPr>
              <w:t>spełnione.</w:t>
            </w:r>
          </w:p>
          <w:p w14:paraId="660B00D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Sprawozdanie zostało przekazane w terminie do KE</w:t>
            </w:r>
            <w:r w:rsidRPr="004E3242">
              <w:rPr>
                <w:rFonts w:ascii="Arial" w:hAnsi="Arial" w:cs="Arial"/>
                <w:sz w:val="16"/>
                <w:szCs w:val="16"/>
                <w:lang w:eastAsia="zh-CN"/>
              </w:rPr>
              <w:t xml:space="preserve"> za pośrednictwem systemu </w:t>
            </w:r>
            <w:proofErr w:type="spellStart"/>
            <w:r w:rsidRPr="004E3242">
              <w:rPr>
                <w:rFonts w:ascii="Arial" w:hAnsi="Arial" w:cs="Arial"/>
                <w:spacing w:val="4"/>
                <w:sz w:val="16"/>
                <w:szCs w:val="16"/>
              </w:rPr>
              <w:t>eDAMIS</w:t>
            </w:r>
            <w:proofErr w:type="spellEnd"/>
            <w:r w:rsidRPr="004E3242">
              <w:rPr>
                <w:rFonts w:ascii="Arial" w:hAnsi="Arial" w:cs="Arial"/>
                <w:spacing w:val="4"/>
                <w:sz w:val="16"/>
                <w:szCs w:val="16"/>
              </w:rPr>
              <w:t xml:space="preserve"> (</w:t>
            </w:r>
            <w:proofErr w:type="spellStart"/>
            <w:r w:rsidRPr="004E3242">
              <w:rPr>
                <w:rFonts w:ascii="Arial" w:hAnsi="Arial" w:cs="Arial"/>
                <w:b/>
                <w:bCs/>
                <w:spacing w:val="4"/>
                <w:sz w:val="16"/>
                <w:szCs w:val="16"/>
              </w:rPr>
              <w:t>E</w:t>
            </w:r>
            <w:r w:rsidRPr="004E3242">
              <w:rPr>
                <w:rFonts w:ascii="Arial" w:hAnsi="Arial" w:cs="Arial"/>
                <w:spacing w:val="4"/>
                <w:sz w:val="16"/>
                <w:szCs w:val="16"/>
              </w:rPr>
              <w:t>lectronic</w:t>
            </w:r>
            <w:proofErr w:type="spellEnd"/>
            <w:r w:rsidRPr="004E3242">
              <w:rPr>
                <w:rFonts w:ascii="Arial" w:hAnsi="Arial" w:cs="Arial"/>
                <w:spacing w:val="4"/>
                <w:sz w:val="16"/>
                <w:szCs w:val="16"/>
              </w:rPr>
              <w:t xml:space="preserve"> </w:t>
            </w:r>
            <w:r w:rsidRPr="004E3242">
              <w:rPr>
                <w:rFonts w:ascii="Arial" w:hAnsi="Arial" w:cs="Arial"/>
                <w:b/>
                <w:bCs/>
                <w:spacing w:val="4"/>
                <w:sz w:val="16"/>
                <w:szCs w:val="16"/>
              </w:rPr>
              <w:t>D</w:t>
            </w:r>
            <w:r w:rsidRPr="004E3242">
              <w:rPr>
                <w:rFonts w:ascii="Arial" w:hAnsi="Arial" w:cs="Arial"/>
                <w:spacing w:val="4"/>
                <w:sz w:val="16"/>
                <w:szCs w:val="16"/>
              </w:rPr>
              <w:t xml:space="preserve">ata </w:t>
            </w:r>
            <w:proofErr w:type="spellStart"/>
            <w:r w:rsidRPr="004E3242">
              <w:rPr>
                <w:rFonts w:ascii="Arial" w:hAnsi="Arial" w:cs="Arial"/>
                <w:spacing w:val="4"/>
                <w:sz w:val="16"/>
                <w:szCs w:val="16"/>
              </w:rPr>
              <w:t>Files</w:t>
            </w:r>
            <w:proofErr w:type="spellEnd"/>
            <w:r w:rsidRPr="004E3242">
              <w:rPr>
                <w:rFonts w:ascii="Arial" w:hAnsi="Arial" w:cs="Arial"/>
                <w:spacing w:val="4"/>
                <w:sz w:val="16"/>
                <w:szCs w:val="16"/>
              </w:rPr>
              <w:t xml:space="preserve"> </w:t>
            </w:r>
            <w:r w:rsidRPr="004E3242">
              <w:rPr>
                <w:rFonts w:ascii="Arial" w:hAnsi="Arial" w:cs="Arial"/>
                <w:b/>
                <w:bCs/>
                <w:spacing w:val="4"/>
                <w:sz w:val="16"/>
                <w:szCs w:val="16"/>
              </w:rPr>
              <w:t>A</w:t>
            </w:r>
            <w:r w:rsidRPr="004E3242">
              <w:rPr>
                <w:rFonts w:ascii="Arial" w:hAnsi="Arial" w:cs="Arial"/>
                <w:spacing w:val="4"/>
                <w:sz w:val="16"/>
                <w:szCs w:val="16"/>
              </w:rPr>
              <w:t xml:space="preserve">dministration and </w:t>
            </w:r>
            <w:r w:rsidRPr="004E3242">
              <w:rPr>
                <w:rFonts w:ascii="Arial" w:hAnsi="Arial" w:cs="Arial"/>
                <w:b/>
                <w:bCs/>
                <w:spacing w:val="4"/>
                <w:sz w:val="16"/>
                <w:szCs w:val="16"/>
              </w:rPr>
              <w:t>M</w:t>
            </w:r>
            <w:r w:rsidRPr="004E3242">
              <w:rPr>
                <w:rFonts w:ascii="Arial" w:hAnsi="Arial" w:cs="Arial"/>
                <w:spacing w:val="4"/>
                <w:sz w:val="16"/>
                <w:szCs w:val="16"/>
              </w:rPr>
              <w:t xml:space="preserve">anagement </w:t>
            </w:r>
            <w:r w:rsidRPr="004E3242">
              <w:rPr>
                <w:rFonts w:ascii="Arial" w:hAnsi="Arial" w:cs="Arial"/>
                <w:b/>
                <w:bCs/>
                <w:spacing w:val="4"/>
                <w:sz w:val="16"/>
                <w:szCs w:val="16"/>
              </w:rPr>
              <w:t>I</w:t>
            </w:r>
            <w:r w:rsidRPr="004E3242">
              <w:rPr>
                <w:rFonts w:ascii="Arial" w:hAnsi="Arial" w:cs="Arial"/>
                <w:spacing w:val="4"/>
                <w:sz w:val="16"/>
                <w:szCs w:val="16"/>
              </w:rPr>
              <w:t xml:space="preserve">nformation </w:t>
            </w:r>
            <w:r w:rsidRPr="004E3242">
              <w:rPr>
                <w:rFonts w:ascii="Arial" w:hAnsi="Arial" w:cs="Arial"/>
                <w:b/>
                <w:bCs/>
                <w:spacing w:val="4"/>
                <w:sz w:val="16"/>
                <w:szCs w:val="16"/>
              </w:rPr>
              <w:t>S</w:t>
            </w:r>
            <w:r w:rsidRPr="004E3242">
              <w:rPr>
                <w:rFonts w:ascii="Arial" w:hAnsi="Arial" w:cs="Arial"/>
                <w:spacing w:val="4"/>
                <w:sz w:val="16"/>
                <w:szCs w:val="16"/>
              </w:rPr>
              <w:t>ystem).</w:t>
            </w:r>
          </w:p>
          <w:p w14:paraId="4F2CEE7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bCs/>
                <w:spacing w:val="4"/>
                <w:sz w:val="16"/>
                <w:szCs w:val="16"/>
              </w:rPr>
              <w:t>Kryterium 2:</w:t>
            </w:r>
            <w:r w:rsidRPr="004E3242">
              <w:rPr>
                <w:rFonts w:ascii="Arial" w:hAnsi="Arial" w:cs="Arial"/>
                <w:spacing w:val="4"/>
                <w:sz w:val="16"/>
                <w:szCs w:val="16"/>
              </w:rPr>
              <w:t xml:space="preserve"> niespełnione.</w:t>
            </w:r>
          </w:p>
          <w:p w14:paraId="09C4E5FC"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PL zdecydowała się na aktualizacje dotychczasowych planów gospodarki odpadami ze względu na zmianę podejścia do systemu gosp. </w:t>
            </w:r>
            <w:r w:rsidRPr="004E3242">
              <w:rPr>
                <w:rFonts w:ascii="Arial" w:hAnsi="Arial" w:cs="Arial"/>
                <w:spacing w:val="4"/>
                <w:sz w:val="16"/>
                <w:szCs w:val="16"/>
              </w:rPr>
              <w:lastRenderedPageBreak/>
              <w:t xml:space="preserve">odpadami komunalnymi. W tym celu MŚ opracuje wytyczne do aktualizacji krajowego oraz wojewódzkich planów gospodarki odpadami. </w:t>
            </w:r>
            <w:r w:rsidRPr="004E3242">
              <w:rPr>
                <w:rFonts w:ascii="Arial" w:hAnsi="Arial" w:cs="Arial"/>
                <w:b/>
                <w:spacing w:val="4"/>
                <w:sz w:val="16"/>
                <w:szCs w:val="16"/>
              </w:rPr>
              <w:t>Wytyczne zostaną opracowane do końca I kw. 2015 r.</w:t>
            </w:r>
          </w:p>
          <w:p w14:paraId="61B7A21A" w14:textId="77777777" w:rsidR="004E3242" w:rsidRPr="004E3242" w:rsidRDefault="004E3242" w:rsidP="004E3242">
            <w:pPr>
              <w:spacing w:before="60" w:after="60" w:line="240" w:lineRule="auto"/>
              <w:jc w:val="both"/>
              <w:rPr>
                <w:rFonts w:ascii="Arial" w:hAnsi="Arial" w:cs="Arial"/>
                <w:spacing w:val="4"/>
                <w:sz w:val="16"/>
                <w:szCs w:val="16"/>
              </w:rPr>
            </w:pPr>
            <w:proofErr w:type="spellStart"/>
            <w:r w:rsidRPr="004E3242">
              <w:rPr>
                <w:rFonts w:ascii="Arial" w:hAnsi="Arial" w:cs="Arial"/>
                <w:b/>
                <w:spacing w:val="4"/>
                <w:sz w:val="16"/>
                <w:szCs w:val="16"/>
              </w:rPr>
              <w:t>Kpgo</w:t>
            </w:r>
            <w:proofErr w:type="spellEnd"/>
            <w:r w:rsidRPr="004E3242">
              <w:rPr>
                <w:rFonts w:ascii="Arial" w:hAnsi="Arial" w:cs="Arial"/>
                <w:b/>
                <w:spacing w:val="4"/>
                <w:sz w:val="16"/>
                <w:szCs w:val="16"/>
              </w:rPr>
              <w:t xml:space="preserve"> zostanie zaktualizowany do końca 2015 r</w:t>
            </w:r>
            <w:r w:rsidRPr="004E3242">
              <w:rPr>
                <w:rFonts w:ascii="Arial" w:hAnsi="Arial" w:cs="Arial"/>
                <w:spacing w:val="4"/>
                <w:sz w:val="16"/>
                <w:szCs w:val="16"/>
              </w:rPr>
              <w:t xml:space="preserve">. </w:t>
            </w:r>
          </w:p>
          <w:p w14:paraId="5CD2AA1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Następnie na jego podstawie zostaną opracowane plany wojewódzkie.</w:t>
            </w:r>
          </w:p>
          <w:p w14:paraId="18D33A3A"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spacing w:val="4"/>
                <w:sz w:val="16"/>
                <w:szCs w:val="16"/>
              </w:rPr>
              <w:t xml:space="preserve">Aktualizacja </w:t>
            </w:r>
            <w:proofErr w:type="spellStart"/>
            <w:r w:rsidRPr="004E3242">
              <w:rPr>
                <w:rFonts w:ascii="Arial" w:hAnsi="Arial" w:cs="Arial"/>
                <w:b/>
                <w:spacing w:val="4"/>
                <w:sz w:val="16"/>
                <w:szCs w:val="16"/>
              </w:rPr>
              <w:t>wpgo</w:t>
            </w:r>
            <w:proofErr w:type="spellEnd"/>
            <w:r w:rsidRPr="004E3242">
              <w:rPr>
                <w:rFonts w:ascii="Arial" w:hAnsi="Arial" w:cs="Arial"/>
                <w:spacing w:val="4"/>
                <w:sz w:val="16"/>
                <w:szCs w:val="16"/>
              </w:rPr>
              <w:t xml:space="preserve"> (z opracowaniem planów inwestycyjnych </w:t>
            </w:r>
            <w:r w:rsidRPr="004E3242">
              <w:rPr>
                <w:rFonts w:ascii="Arial" w:hAnsi="Arial" w:cs="Arial"/>
                <w:b/>
                <w:spacing w:val="4"/>
                <w:sz w:val="16"/>
                <w:szCs w:val="16"/>
              </w:rPr>
              <w:t>zostanie przeprowadzona</w:t>
            </w:r>
            <w:r w:rsidRPr="004E3242">
              <w:rPr>
                <w:rFonts w:ascii="Arial" w:hAnsi="Arial" w:cs="Arial"/>
                <w:b/>
                <w:sz w:val="16"/>
                <w:szCs w:val="16"/>
              </w:rPr>
              <w:t xml:space="preserve"> </w:t>
            </w:r>
            <w:r w:rsidRPr="004E3242">
              <w:rPr>
                <w:rFonts w:ascii="Arial" w:hAnsi="Arial" w:cs="Arial"/>
                <w:b/>
                <w:spacing w:val="4"/>
                <w:sz w:val="16"/>
                <w:szCs w:val="16"/>
              </w:rPr>
              <w:t>do końca 2016 r.</w:t>
            </w:r>
            <w:r w:rsidRPr="004E3242">
              <w:rPr>
                <w:rFonts w:ascii="Arial" w:hAnsi="Arial" w:cs="Arial"/>
                <w:spacing w:val="4"/>
                <w:sz w:val="16"/>
                <w:szCs w:val="16"/>
              </w:rPr>
              <w:t xml:space="preserve">  </w:t>
            </w:r>
            <w:proofErr w:type="spellStart"/>
            <w:r w:rsidRPr="004E3242">
              <w:rPr>
                <w:rFonts w:ascii="Arial" w:hAnsi="Arial" w:cs="Arial"/>
                <w:spacing w:val="4"/>
                <w:sz w:val="16"/>
                <w:szCs w:val="16"/>
              </w:rPr>
              <w:t>Wpgo</w:t>
            </w:r>
            <w:proofErr w:type="spellEnd"/>
            <w:r w:rsidRPr="004E3242">
              <w:rPr>
                <w:rFonts w:ascii="Arial" w:hAnsi="Arial" w:cs="Arial"/>
                <w:spacing w:val="4"/>
                <w:sz w:val="16"/>
                <w:szCs w:val="16"/>
              </w:rPr>
              <w:t xml:space="preserve"> będą opiniowane przez Ministra Środowiska, a plany inwestycyjne – zatwierdzane, co zapewni ich spójność z polityką państwa, a tym samym pozwoli  na osiągnięcie celów wynikających z prawa UE. </w:t>
            </w:r>
          </w:p>
          <w:p w14:paraId="7A6D73B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b/>
                <w:bCs/>
                <w:spacing w:val="4"/>
                <w:sz w:val="16"/>
                <w:szCs w:val="16"/>
              </w:rPr>
              <w:t>Kryterium 3:</w:t>
            </w:r>
            <w:r w:rsidRPr="004E3242">
              <w:rPr>
                <w:rFonts w:ascii="Arial" w:hAnsi="Arial" w:cs="Arial"/>
                <w:spacing w:val="4"/>
                <w:sz w:val="16"/>
                <w:szCs w:val="16"/>
              </w:rPr>
              <w:t xml:space="preserve"> spełnione.</w:t>
            </w:r>
          </w:p>
          <w:p w14:paraId="53FC6F7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Na poziomie krajowym </w:t>
            </w:r>
            <w:proofErr w:type="spellStart"/>
            <w:r w:rsidRPr="004E3242">
              <w:rPr>
                <w:rFonts w:ascii="Arial" w:hAnsi="Arial" w:cs="Arial"/>
                <w:spacing w:val="4"/>
                <w:sz w:val="16"/>
                <w:szCs w:val="16"/>
              </w:rPr>
              <w:t>Kpgo</w:t>
            </w:r>
            <w:proofErr w:type="spellEnd"/>
            <w:r w:rsidRPr="004E3242">
              <w:rPr>
                <w:rFonts w:ascii="Arial" w:hAnsi="Arial" w:cs="Arial"/>
                <w:spacing w:val="4"/>
                <w:sz w:val="16"/>
                <w:szCs w:val="16"/>
              </w:rPr>
              <w:t xml:space="preserve"> 2014 spełnia wymagania art. 29 dyrektywy 2008/98/WE – zgodnie z ustawą o odpadach zawiera część poświęconą zapobieganiu powstawaniu odpadów, w której są zawarte poziomy odniesienia (diagnoza stanu aktualnego - dane dotyczące ilości wytwarzanych odpadów), a także opisane i ocenione istniejące środki zapobiegania powstawaniu odpadów. W rozdz. 5 określono kierunki działań w zakresie zapobiegania powstawaniu odpadów. Natomiast w harmonogramie (rozdz. 6) zaproponowano kolejne zadania dotyczące zapobiegania powstawaniu odpadów (np. w zakresie prac naukowo-badawczych). </w:t>
            </w:r>
          </w:p>
          <w:p w14:paraId="164C44F4"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W związku ze stwierdzonymi brakami w </w:t>
            </w:r>
            <w:proofErr w:type="spellStart"/>
            <w:r w:rsidRPr="004E3242">
              <w:rPr>
                <w:rFonts w:ascii="Arial" w:hAnsi="Arial" w:cs="Arial"/>
                <w:sz w:val="16"/>
                <w:szCs w:val="16"/>
              </w:rPr>
              <w:t>wpgo</w:t>
            </w:r>
            <w:proofErr w:type="spellEnd"/>
            <w:r w:rsidRPr="004E3242">
              <w:rPr>
                <w:rFonts w:ascii="Arial" w:hAnsi="Arial" w:cs="Arial"/>
                <w:sz w:val="16"/>
                <w:szCs w:val="16"/>
              </w:rPr>
              <w:t xml:space="preserve"> w zakresie zapobiegania </w:t>
            </w:r>
            <w:r w:rsidRPr="004E3242">
              <w:rPr>
                <w:rFonts w:ascii="Arial" w:hAnsi="Arial" w:cs="Arial"/>
                <w:sz w:val="16"/>
                <w:szCs w:val="16"/>
              </w:rPr>
              <w:lastRenderedPageBreak/>
              <w:t xml:space="preserve">powstawaniu odpadów, został opracowany, jako odrębny dokument </w:t>
            </w:r>
            <w:r w:rsidRPr="004E3242">
              <w:rPr>
                <w:rFonts w:ascii="Arial" w:hAnsi="Arial" w:cs="Arial"/>
                <w:i/>
                <w:sz w:val="16"/>
                <w:szCs w:val="16"/>
              </w:rPr>
              <w:t>Krajowy program zapobiegania powstawaniu odpadów</w:t>
            </w:r>
            <w:r w:rsidRPr="004E3242">
              <w:rPr>
                <w:rFonts w:ascii="Arial" w:hAnsi="Arial" w:cs="Arial"/>
                <w:sz w:val="16"/>
                <w:szCs w:val="16"/>
              </w:rPr>
              <w:t xml:space="preserve"> (</w:t>
            </w:r>
            <w:proofErr w:type="spellStart"/>
            <w:r w:rsidRPr="004E3242">
              <w:rPr>
                <w:rFonts w:ascii="Arial" w:hAnsi="Arial" w:cs="Arial"/>
                <w:sz w:val="16"/>
                <w:szCs w:val="16"/>
              </w:rPr>
              <w:t>Kpzpo</w:t>
            </w:r>
            <w:proofErr w:type="spellEnd"/>
            <w:r w:rsidRPr="004E3242">
              <w:rPr>
                <w:rFonts w:ascii="Arial" w:hAnsi="Arial" w:cs="Arial"/>
                <w:sz w:val="16"/>
                <w:szCs w:val="16"/>
              </w:rPr>
              <w:t xml:space="preserve">), obejmujący zarówno działania na poziomie krajowym, jak i województw. </w:t>
            </w:r>
          </w:p>
          <w:p w14:paraId="06FE04A2"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b/>
                <w:bCs/>
                <w:sz w:val="16"/>
                <w:szCs w:val="16"/>
              </w:rPr>
              <w:t xml:space="preserve">Kryterium 4: </w:t>
            </w:r>
            <w:r w:rsidRPr="004E3242">
              <w:rPr>
                <w:rFonts w:ascii="Arial" w:hAnsi="Arial" w:cs="Arial"/>
                <w:sz w:val="16"/>
                <w:szCs w:val="16"/>
              </w:rPr>
              <w:t>niespełnione.</w:t>
            </w:r>
          </w:p>
          <w:p w14:paraId="5A0472F9"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Wypełnienie tego kryterium będzie związane z podjęciem przez PL następujących działań (i przedstawienie ich w planach gospodarki odpadami lub sprawozdaniu z transpozycji i wdrażania dyrektywy2008/98/WE, o którym mowa w kryterium 1):</w:t>
            </w:r>
          </w:p>
          <w:p w14:paraId="77BB962B" w14:textId="77777777" w:rsidR="004E3242" w:rsidRPr="004E3242" w:rsidRDefault="004E3242" w:rsidP="00B345B6">
            <w:pPr>
              <w:numPr>
                <w:ilvl w:val="0"/>
                <w:numId w:val="36"/>
              </w:numPr>
              <w:spacing w:before="60" w:after="60" w:line="240" w:lineRule="auto"/>
              <w:jc w:val="both"/>
              <w:rPr>
                <w:rFonts w:ascii="Arial" w:hAnsi="Arial" w:cs="Arial"/>
                <w:sz w:val="16"/>
                <w:szCs w:val="16"/>
              </w:rPr>
            </w:pPr>
            <w:r w:rsidRPr="004E3242">
              <w:rPr>
                <w:rFonts w:ascii="Arial" w:hAnsi="Arial" w:cs="Arial"/>
                <w:sz w:val="16"/>
                <w:szCs w:val="16"/>
              </w:rPr>
              <w:t>przeprowadzenie prac legislacyjnych umożliwiających realizację celów dla roku 2020:</w:t>
            </w:r>
          </w:p>
          <w:p w14:paraId="727CD60C" w14:textId="77777777" w:rsidR="004E3242" w:rsidRPr="004E3242" w:rsidRDefault="004E3242" w:rsidP="00B345B6">
            <w:pPr>
              <w:numPr>
                <w:ilvl w:val="0"/>
                <w:numId w:val="35"/>
              </w:numPr>
              <w:spacing w:before="60" w:after="60" w:line="240" w:lineRule="auto"/>
              <w:jc w:val="both"/>
              <w:rPr>
                <w:rFonts w:ascii="Arial" w:hAnsi="Arial" w:cs="Arial"/>
                <w:sz w:val="16"/>
                <w:szCs w:val="16"/>
              </w:rPr>
            </w:pPr>
            <w:r w:rsidRPr="004E3242">
              <w:rPr>
                <w:rFonts w:ascii="Arial" w:hAnsi="Arial" w:cs="Arial"/>
                <w:sz w:val="16"/>
                <w:szCs w:val="16"/>
              </w:rPr>
              <w:t>wprowadzenie przepisów dotyczących nowego systemu gospodarki odpadami komunalnymi (już zrealizowane);</w:t>
            </w:r>
          </w:p>
          <w:p w14:paraId="3A2C6FE3" w14:textId="77777777" w:rsidR="004E3242" w:rsidRPr="004E3242" w:rsidRDefault="004E3242" w:rsidP="00B345B6">
            <w:pPr>
              <w:numPr>
                <w:ilvl w:val="0"/>
                <w:numId w:val="35"/>
              </w:numPr>
              <w:spacing w:before="60" w:after="60" w:line="240" w:lineRule="auto"/>
              <w:jc w:val="both"/>
              <w:rPr>
                <w:rFonts w:ascii="Arial" w:hAnsi="Arial" w:cs="Arial"/>
                <w:sz w:val="16"/>
                <w:szCs w:val="16"/>
              </w:rPr>
            </w:pPr>
            <w:r w:rsidRPr="004E3242">
              <w:rPr>
                <w:rFonts w:ascii="Arial" w:hAnsi="Arial" w:cs="Arial"/>
                <w:sz w:val="16"/>
                <w:szCs w:val="16"/>
              </w:rPr>
              <w:t>wzmocnienie instrumentów finansowych;</w:t>
            </w:r>
          </w:p>
          <w:p w14:paraId="55CD3619" w14:textId="77777777" w:rsidR="004E3242" w:rsidRPr="004E3242" w:rsidRDefault="004E3242" w:rsidP="00B345B6">
            <w:pPr>
              <w:numPr>
                <w:ilvl w:val="0"/>
                <w:numId w:val="36"/>
              </w:numPr>
              <w:spacing w:before="60" w:after="60" w:line="240" w:lineRule="auto"/>
              <w:jc w:val="both"/>
              <w:rPr>
                <w:rFonts w:ascii="Arial" w:hAnsi="Arial" w:cs="Arial"/>
                <w:sz w:val="16"/>
                <w:szCs w:val="16"/>
              </w:rPr>
            </w:pPr>
            <w:r w:rsidRPr="004E3242">
              <w:rPr>
                <w:rFonts w:ascii="Arial" w:hAnsi="Arial" w:cs="Arial"/>
                <w:sz w:val="16"/>
                <w:szCs w:val="16"/>
              </w:rPr>
              <w:t>skuteczna egzekucja prawa;</w:t>
            </w:r>
          </w:p>
          <w:p w14:paraId="3CA146BB" w14:textId="77777777" w:rsidR="004E3242" w:rsidRPr="004E3242" w:rsidRDefault="004E3242" w:rsidP="00B345B6">
            <w:pPr>
              <w:numPr>
                <w:ilvl w:val="0"/>
                <w:numId w:val="36"/>
              </w:numPr>
              <w:spacing w:before="60" w:after="60" w:line="240" w:lineRule="auto"/>
              <w:jc w:val="both"/>
              <w:rPr>
                <w:rFonts w:ascii="Arial" w:hAnsi="Arial" w:cs="Arial"/>
                <w:sz w:val="16"/>
                <w:szCs w:val="16"/>
              </w:rPr>
            </w:pPr>
            <w:r w:rsidRPr="004E3242">
              <w:rPr>
                <w:rFonts w:ascii="Arial" w:hAnsi="Arial" w:cs="Arial"/>
                <w:sz w:val="16"/>
                <w:szCs w:val="16"/>
              </w:rPr>
              <w:t>realizowanie kampanii informacyjno-edukacyjnych (na poziomie MŚ i gmin);</w:t>
            </w:r>
          </w:p>
          <w:p w14:paraId="1223521F" w14:textId="77777777" w:rsidR="004E3242" w:rsidRPr="004E3242" w:rsidRDefault="004E3242" w:rsidP="00B345B6">
            <w:pPr>
              <w:numPr>
                <w:ilvl w:val="0"/>
                <w:numId w:val="36"/>
              </w:numPr>
              <w:spacing w:before="60" w:after="60" w:line="240" w:lineRule="auto"/>
              <w:jc w:val="both"/>
              <w:rPr>
                <w:rFonts w:ascii="Arial" w:hAnsi="Arial" w:cs="Arial"/>
                <w:sz w:val="16"/>
                <w:szCs w:val="16"/>
              </w:rPr>
            </w:pPr>
            <w:r w:rsidRPr="004E3242">
              <w:rPr>
                <w:rFonts w:ascii="Arial" w:hAnsi="Arial" w:cs="Arial"/>
                <w:sz w:val="16"/>
                <w:szCs w:val="16"/>
              </w:rPr>
              <w:t>budowa spójnej sieci gospodarowania odpadami zaplanowanej zgodnie z hierarchią postępowania z odpadami.</w:t>
            </w:r>
          </w:p>
          <w:p w14:paraId="70122F19" w14:textId="77777777" w:rsidR="004E3242" w:rsidRPr="004E3242" w:rsidRDefault="004E3242" w:rsidP="004E3242">
            <w:pPr>
              <w:spacing w:before="60" w:after="60" w:line="240" w:lineRule="auto"/>
              <w:jc w:val="both"/>
              <w:rPr>
                <w:rFonts w:ascii="Arial" w:hAnsi="Arial" w:cs="Arial"/>
                <w:b/>
                <w:spacing w:val="4"/>
                <w:sz w:val="16"/>
                <w:szCs w:val="16"/>
              </w:rPr>
            </w:pPr>
            <w:r w:rsidRPr="004E3242">
              <w:rPr>
                <w:rFonts w:ascii="Arial" w:hAnsi="Arial" w:cs="Arial"/>
                <w:b/>
                <w:spacing w:val="4"/>
                <w:sz w:val="16"/>
                <w:szCs w:val="16"/>
              </w:rPr>
              <w:t>Działania zrealizowane oraz te, które mają zostać podjęte w celu realizacji kryterium 4 zostały szczegółowo opisane w Załączniku do Planu działań RP w celu wypełnienia kryteriów 2 i 4 dla warunku wstępnego 6.2. (gospodarka odpadami) jaki został przekazany KE.</w:t>
            </w:r>
          </w:p>
        </w:tc>
      </w:tr>
      <w:tr w:rsidR="004E3242" w:rsidRPr="004E3242" w14:paraId="6BC7B733" w14:textId="77777777" w:rsidTr="00AA7998">
        <w:tc>
          <w:tcPr>
            <w:tcW w:w="679" w:type="pct"/>
            <w:shd w:val="clear" w:color="auto" w:fill="D6E3BC"/>
            <w:vAlign w:val="center"/>
          </w:tcPr>
          <w:p w14:paraId="671C9C4D"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lastRenderedPageBreak/>
              <w:t>7.1. Transport: Istnienie kompleksowego planu/planów lub ram w zakresie inwestycji transportowych zgodnie z instytucjonalną strukturą państw członkowskich (z uwzględnieniem transportu publicznego na szczeblu regionalnym i lokalnym), które wspierają rozwój infrastruktury i poprawiają łączność z kompleksową bazową siecią TEN-T.</w:t>
            </w:r>
          </w:p>
        </w:tc>
        <w:tc>
          <w:tcPr>
            <w:tcW w:w="500" w:type="pct"/>
            <w:shd w:val="clear" w:color="auto" w:fill="F2F2F2"/>
            <w:vAlign w:val="center"/>
          </w:tcPr>
          <w:p w14:paraId="4FA5229E"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III-VI</w:t>
            </w:r>
          </w:p>
        </w:tc>
        <w:tc>
          <w:tcPr>
            <w:tcW w:w="462" w:type="pct"/>
            <w:shd w:val="clear" w:color="auto" w:fill="F2F2F2"/>
            <w:vAlign w:val="center"/>
          </w:tcPr>
          <w:p w14:paraId="0D2DEFC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Warunek spełniony</w:t>
            </w:r>
          </w:p>
        </w:tc>
        <w:tc>
          <w:tcPr>
            <w:tcW w:w="814" w:type="pct"/>
            <w:shd w:val="clear" w:color="auto" w:fill="F2F2F2"/>
            <w:vAlign w:val="center"/>
          </w:tcPr>
          <w:p w14:paraId="365459BE"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Istnienie kompleksowego planu/planów transportu lub ram w zakresie inwestycji transportowych spełniających wymogi prawne dotyczące strategicznej oceny środowiskowej i określających: wkład w jednolity europejski obszar transportu zgodnie z art. 10 rozporządzenia Parlamentu Europejskiego i Rady (UE) nr 1315/2013 w tym priorytetów w zakresie inwestycji w:</w:t>
            </w:r>
          </w:p>
          <w:p w14:paraId="5D03AD8E" w14:textId="77777777" w:rsidR="004E3242" w:rsidRPr="004E3242" w:rsidRDefault="004E3242" w:rsidP="00B345B6">
            <w:pPr>
              <w:numPr>
                <w:ilvl w:val="0"/>
                <w:numId w:val="34"/>
              </w:numPr>
              <w:spacing w:before="60" w:after="60" w:line="240" w:lineRule="auto"/>
              <w:jc w:val="both"/>
              <w:rPr>
                <w:rFonts w:ascii="Arial" w:hAnsi="Arial" w:cs="Arial"/>
                <w:spacing w:val="4"/>
                <w:sz w:val="16"/>
                <w:szCs w:val="16"/>
              </w:rPr>
            </w:pPr>
            <w:r w:rsidRPr="004E3242">
              <w:rPr>
                <w:rFonts w:ascii="Arial" w:hAnsi="Arial" w:cs="Arial"/>
                <w:spacing w:val="4"/>
                <w:sz w:val="16"/>
                <w:szCs w:val="16"/>
              </w:rPr>
              <w:t>bazową i kompleksową sieć TEN-T, w których przewiduje się inwestycje w ramach EFRR i Funduszu Spójności; oraz</w:t>
            </w:r>
          </w:p>
          <w:p w14:paraId="71261120" w14:textId="77777777" w:rsidR="004E3242" w:rsidRPr="004E3242" w:rsidRDefault="004E3242" w:rsidP="00B345B6">
            <w:pPr>
              <w:numPr>
                <w:ilvl w:val="0"/>
                <w:numId w:val="34"/>
              </w:numPr>
              <w:spacing w:before="60" w:after="60" w:line="240" w:lineRule="auto"/>
              <w:jc w:val="both"/>
              <w:rPr>
                <w:rFonts w:ascii="Arial" w:hAnsi="Arial" w:cs="Arial"/>
                <w:spacing w:val="4"/>
                <w:sz w:val="16"/>
                <w:szCs w:val="16"/>
              </w:rPr>
            </w:pPr>
            <w:r w:rsidRPr="004E3242">
              <w:rPr>
                <w:rFonts w:ascii="Arial" w:hAnsi="Arial" w:cs="Arial"/>
                <w:spacing w:val="4"/>
                <w:sz w:val="16"/>
                <w:szCs w:val="16"/>
              </w:rPr>
              <w:t>wtórną łączność;</w:t>
            </w:r>
          </w:p>
          <w:p w14:paraId="5C6BF215" w14:textId="77777777" w:rsidR="004E3242" w:rsidRPr="004E3242" w:rsidRDefault="004E3242" w:rsidP="00B345B6">
            <w:pPr>
              <w:numPr>
                <w:ilvl w:val="0"/>
                <w:numId w:val="34"/>
              </w:numPr>
              <w:spacing w:before="60" w:after="60" w:line="240" w:lineRule="auto"/>
              <w:jc w:val="both"/>
              <w:rPr>
                <w:rFonts w:ascii="Arial" w:hAnsi="Arial" w:cs="Arial"/>
                <w:spacing w:val="4"/>
                <w:sz w:val="16"/>
                <w:szCs w:val="16"/>
              </w:rPr>
            </w:pPr>
            <w:r w:rsidRPr="004E3242">
              <w:rPr>
                <w:rFonts w:ascii="Arial" w:hAnsi="Arial" w:cs="Arial"/>
                <w:spacing w:val="4"/>
                <w:sz w:val="16"/>
                <w:szCs w:val="16"/>
              </w:rPr>
              <w:t>identyfikację odpowiedniej ilości realistycznych i zaawansowanych w przygotowaniu projektów, które mają być wspierane w ramach EFRR i Funduszu Spójności;</w:t>
            </w:r>
          </w:p>
          <w:p w14:paraId="3432FA67" w14:textId="77777777" w:rsidR="004E3242" w:rsidRPr="004E3242" w:rsidRDefault="004E3242" w:rsidP="00B345B6">
            <w:pPr>
              <w:numPr>
                <w:ilvl w:val="0"/>
                <w:numId w:val="34"/>
              </w:numPr>
              <w:spacing w:before="60" w:after="60" w:line="240" w:lineRule="auto"/>
              <w:jc w:val="both"/>
              <w:rPr>
                <w:rFonts w:ascii="Arial" w:hAnsi="Arial" w:cs="Arial"/>
                <w:spacing w:val="4"/>
                <w:sz w:val="16"/>
                <w:szCs w:val="16"/>
              </w:rPr>
            </w:pPr>
            <w:r w:rsidRPr="004E3242">
              <w:rPr>
                <w:rFonts w:ascii="Arial" w:hAnsi="Arial" w:cs="Arial"/>
                <w:spacing w:val="4"/>
                <w:sz w:val="16"/>
                <w:szCs w:val="16"/>
              </w:rPr>
              <w:t>działania mające na celu zapewnienie zdolności instytucjonalnych instytucji pośredniczących i beneficjentów do realizacji projektów.</w:t>
            </w:r>
          </w:p>
        </w:tc>
        <w:tc>
          <w:tcPr>
            <w:tcW w:w="459" w:type="pct"/>
            <w:shd w:val="clear" w:color="auto" w:fill="F2F2F2"/>
            <w:vAlign w:val="center"/>
          </w:tcPr>
          <w:p w14:paraId="22BD150A"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Kryteria spełnione</w:t>
            </w:r>
          </w:p>
        </w:tc>
        <w:tc>
          <w:tcPr>
            <w:tcW w:w="1105" w:type="pct"/>
            <w:shd w:val="clear" w:color="auto" w:fill="F2F2F2"/>
            <w:vAlign w:val="center"/>
          </w:tcPr>
          <w:p w14:paraId="4ADCEF62"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Strategia Rozwoju Transportu do 2020 roku (z perspektywą do 2030 r.)</w:t>
            </w:r>
          </w:p>
          <w:p w14:paraId="18D858C6"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rPr>
              <w:t xml:space="preserve"> </w:t>
            </w:r>
            <w:r w:rsidRPr="004E3242">
              <w:rPr>
                <w:rFonts w:ascii="Arial" w:hAnsi="Arial" w:cs="Arial"/>
                <w:spacing w:val="4"/>
                <w:sz w:val="16"/>
                <w:szCs w:val="16"/>
              </w:rPr>
              <w:t>http://www.mir.gov.pl/Transport/Zrownowazony_transport/SRT/Documents/Strategia_Rozwoju_Transportu_do_2020_roku.pdf</w:t>
            </w:r>
          </w:p>
          <w:p w14:paraId="3ED2530F" w14:textId="77777777" w:rsidR="004E3242" w:rsidRPr="004E3242" w:rsidRDefault="004E3242" w:rsidP="004E3242">
            <w:pPr>
              <w:spacing w:before="60" w:after="60" w:line="240" w:lineRule="auto"/>
              <w:jc w:val="both"/>
              <w:rPr>
                <w:rFonts w:ascii="Arial" w:hAnsi="Arial" w:cs="Arial"/>
                <w:spacing w:val="4"/>
                <w:sz w:val="16"/>
                <w:szCs w:val="16"/>
              </w:rPr>
            </w:pPr>
          </w:p>
          <w:p w14:paraId="25C949F5"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Dokument Implementacyjny do Strategii Rozwoju Transportu do 2020 roku (z perspektywą do 2030 r.), który jest planem inwestycyjnym dla przedsięwzięć współfinansowanych ze środków UE </w:t>
            </w:r>
          </w:p>
          <w:p w14:paraId="3626F7DF"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color w:val="000000"/>
                <w:sz w:val="16"/>
                <w:szCs w:val="16"/>
                <w:lang w:eastAsia="pl-PL"/>
              </w:rPr>
              <w:t>http://www.mir.gov.pl/Transport/Zrownowazony_transport/SRT/Dokument_Implementacyjny/Documents/Dokument_Implementacyjny_do_SRT_17102014.pdf</w:t>
            </w:r>
          </w:p>
        </w:tc>
        <w:tc>
          <w:tcPr>
            <w:tcW w:w="981" w:type="pct"/>
            <w:shd w:val="clear" w:color="auto" w:fill="F2F2F2"/>
            <w:vAlign w:val="center"/>
          </w:tcPr>
          <w:p w14:paraId="100004E0" w14:textId="77777777" w:rsidR="004E3242" w:rsidRPr="004E3242" w:rsidRDefault="004E3242" w:rsidP="004E3242">
            <w:pPr>
              <w:spacing w:before="60" w:after="60" w:line="240" w:lineRule="auto"/>
              <w:jc w:val="center"/>
              <w:rPr>
                <w:rFonts w:ascii="Arial" w:hAnsi="Arial" w:cs="Arial"/>
                <w:spacing w:val="4"/>
                <w:sz w:val="16"/>
                <w:szCs w:val="16"/>
              </w:rPr>
            </w:pPr>
          </w:p>
        </w:tc>
      </w:tr>
      <w:tr w:rsidR="004E3242" w:rsidRPr="004E3242" w14:paraId="25C7BD4E" w14:textId="77777777" w:rsidTr="00AA7998">
        <w:tc>
          <w:tcPr>
            <w:tcW w:w="679" w:type="pct"/>
            <w:shd w:val="clear" w:color="auto" w:fill="D6E3BC"/>
            <w:vAlign w:val="center"/>
          </w:tcPr>
          <w:p w14:paraId="67CC17B6"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bCs/>
                <w:smallCaps/>
                <w:spacing w:val="4"/>
                <w:sz w:val="16"/>
                <w:szCs w:val="16"/>
              </w:rPr>
              <w:t xml:space="preserve">7.2. Kolej: Istnienie w kompleksowym planie/ kompleksowych planach lub ramach dotyczących transportu wyraźnej części dotyczącej rozwoju kolei zgodnie </w:t>
            </w:r>
            <w:r w:rsidRPr="004E3242">
              <w:rPr>
                <w:rFonts w:ascii="Arial" w:hAnsi="Arial" w:cs="Arial"/>
                <w:bCs/>
                <w:smallCaps/>
                <w:spacing w:val="4"/>
                <w:sz w:val="16"/>
                <w:szCs w:val="16"/>
              </w:rPr>
              <w:lastRenderedPageBreak/>
              <w:t>z instytucjonalną strukturą państw członkowskich (z uwzględnieniem transportu publicznego na szczeblu regionalnym i lokalnym), która wspiera rozwój infrastruktury i poprawia łączność z kompleksową i bazową siecią TEN-T. Inwestycje tabor, interoperacyjność oraz rozwijanie potencjału.</w:t>
            </w:r>
          </w:p>
        </w:tc>
        <w:tc>
          <w:tcPr>
            <w:tcW w:w="500" w:type="pct"/>
            <w:shd w:val="clear" w:color="auto" w:fill="F2F2F2"/>
            <w:vAlign w:val="center"/>
          </w:tcPr>
          <w:p w14:paraId="1BB68872"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lastRenderedPageBreak/>
              <w:t>V</w:t>
            </w:r>
          </w:p>
        </w:tc>
        <w:tc>
          <w:tcPr>
            <w:tcW w:w="462" w:type="pct"/>
            <w:shd w:val="clear" w:color="auto" w:fill="F2F2F2"/>
            <w:vAlign w:val="center"/>
          </w:tcPr>
          <w:p w14:paraId="449D4366"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Warunek spełniony</w:t>
            </w:r>
          </w:p>
        </w:tc>
        <w:tc>
          <w:tcPr>
            <w:tcW w:w="814" w:type="pct"/>
            <w:shd w:val="clear" w:color="auto" w:fill="F2F2F2"/>
            <w:vAlign w:val="center"/>
          </w:tcPr>
          <w:p w14:paraId="602F6C8E"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Istnienie w określonych powyżej planie/planach lub ramach dotyczących transportu części odnoszącej się do rozwoju kolei, spełniającej wymogi prawne dotyczące strategicznej oceny oddziaływania na </w:t>
            </w:r>
            <w:r w:rsidRPr="004E3242">
              <w:rPr>
                <w:rFonts w:ascii="Arial" w:hAnsi="Arial" w:cs="Arial"/>
                <w:spacing w:val="4"/>
                <w:sz w:val="16"/>
                <w:szCs w:val="16"/>
              </w:rPr>
              <w:lastRenderedPageBreak/>
              <w:t>środowiskowo i identyfikującej odpowiednią ilość realistycznych i zaawansowanych w przygotowaniu projektów (wraz z harmonogramem, budżetem).</w:t>
            </w:r>
          </w:p>
          <w:p w14:paraId="16646EE3" w14:textId="77777777" w:rsidR="004E3242" w:rsidRPr="004E3242" w:rsidRDefault="004E3242" w:rsidP="004E3242">
            <w:pPr>
              <w:spacing w:before="60" w:after="60" w:line="240" w:lineRule="auto"/>
              <w:jc w:val="both"/>
              <w:rPr>
                <w:rFonts w:ascii="Arial" w:hAnsi="Arial" w:cs="Arial"/>
                <w:spacing w:val="4"/>
                <w:sz w:val="16"/>
                <w:szCs w:val="16"/>
              </w:rPr>
            </w:pPr>
          </w:p>
          <w:p w14:paraId="25FEB22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Działania mające na celu zapewnienie zdolności instytucji pośredniczących i beneficjentów do realizacji projektów.</w:t>
            </w:r>
          </w:p>
          <w:p w14:paraId="3704C0FB" w14:textId="77777777" w:rsidR="004E3242" w:rsidRPr="004E3242" w:rsidRDefault="004E3242" w:rsidP="004E3242">
            <w:pPr>
              <w:spacing w:before="60" w:after="60" w:line="240" w:lineRule="auto"/>
              <w:jc w:val="both"/>
              <w:rPr>
                <w:rFonts w:ascii="Arial" w:hAnsi="Arial" w:cs="Arial"/>
                <w:spacing w:val="4"/>
                <w:sz w:val="16"/>
                <w:szCs w:val="16"/>
              </w:rPr>
            </w:pPr>
          </w:p>
        </w:tc>
        <w:tc>
          <w:tcPr>
            <w:tcW w:w="459" w:type="pct"/>
            <w:shd w:val="clear" w:color="auto" w:fill="F2F2F2"/>
            <w:vAlign w:val="center"/>
          </w:tcPr>
          <w:p w14:paraId="4C6C35F9"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Kryteria spełnione</w:t>
            </w:r>
          </w:p>
        </w:tc>
        <w:tc>
          <w:tcPr>
            <w:tcW w:w="1105" w:type="pct"/>
            <w:shd w:val="clear" w:color="auto" w:fill="F2F2F2"/>
            <w:vAlign w:val="center"/>
          </w:tcPr>
          <w:p w14:paraId="6E5F74A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Strategia Rozwoju Transportu do 2020 roku (z perspektywą do 2030 r.);</w:t>
            </w:r>
          </w:p>
          <w:p w14:paraId="5F0B641D"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xml:space="preserve">Dokument Implementacyjny do Strategii Rozwoju Transportu do 2020 roku (z perspektywą do 2030 r.), który zawiera wskazane elementy w odniesieniu do inwestycji kolejowych, w tym informację </w:t>
            </w:r>
            <w:r w:rsidRPr="004E3242">
              <w:rPr>
                <w:rFonts w:ascii="Arial" w:hAnsi="Arial" w:cs="Arial"/>
                <w:spacing w:val="4"/>
                <w:sz w:val="16"/>
                <w:szCs w:val="16"/>
              </w:rPr>
              <w:lastRenderedPageBreak/>
              <w:t>na temat zapewnienia odpowiednich zdolności instytucji pośredniczących i beneficjentów do realizacji projektów.</w:t>
            </w:r>
          </w:p>
        </w:tc>
        <w:tc>
          <w:tcPr>
            <w:tcW w:w="981" w:type="pct"/>
            <w:shd w:val="clear" w:color="auto" w:fill="F2F2F2"/>
            <w:vAlign w:val="center"/>
          </w:tcPr>
          <w:p w14:paraId="530C9BF4" w14:textId="77777777" w:rsidR="004E3242" w:rsidRPr="004E3242" w:rsidRDefault="004E3242" w:rsidP="004E3242">
            <w:pPr>
              <w:spacing w:before="60" w:after="60" w:line="240" w:lineRule="auto"/>
              <w:jc w:val="center"/>
              <w:rPr>
                <w:rFonts w:ascii="Arial" w:hAnsi="Arial" w:cs="Arial"/>
                <w:spacing w:val="4"/>
                <w:sz w:val="16"/>
                <w:szCs w:val="16"/>
              </w:rPr>
            </w:pPr>
          </w:p>
        </w:tc>
      </w:tr>
      <w:tr w:rsidR="004E3242" w:rsidRPr="004E3242" w14:paraId="22BEB9F6" w14:textId="77777777" w:rsidTr="00AA7998">
        <w:trPr>
          <w:trHeight w:val="1686"/>
        </w:trPr>
        <w:tc>
          <w:tcPr>
            <w:tcW w:w="679" w:type="pct"/>
            <w:shd w:val="clear" w:color="auto" w:fill="D6E3BC"/>
            <w:vAlign w:val="center"/>
          </w:tcPr>
          <w:p w14:paraId="7AB60EC2"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bCs/>
                <w:smallCaps/>
                <w:spacing w:val="4"/>
                <w:sz w:val="16"/>
                <w:szCs w:val="16"/>
              </w:rPr>
              <w:t xml:space="preserve">7.3. Inne rodzaje transportu, w tym śródlądowe drogi wodne i transport morski, porty, połączenia multimodalne i infrastruktura portów lotniczych: Istnienie w kompleksowym planie lub kompleksowych planach lub ramach dotyczących transportu wyraźnej części dotyczącej śródlądowych dróg wodnych i transportu morskiego, portów, połączeń multimodalnych i infrastruktury portów lotniczych, które poprawiają łączność z kompleksowymi i bazowymi sieciami TEN-T i przyczyniają się do promowania </w:t>
            </w:r>
            <w:r w:rsidRPr="004E3242">
              <w:rPr>
                <w:rFonts w:ascii="Arial" w:hAnsi="Arial" w:cs="Arial"/>
                <w:bCs/>
                <w:smallCaps/>
                <w:spacing w:val="4"/>
                <w:sz w:val="16"/>
                <w:szCs w:val="16"/>
              </w:rPr>
              <w:lastRenderedPageBreak/>
              <w:t>zrównoważonej mobilności regionalnej i lokalnej</w:t>
            </w:r>
          </w:p>
        </w:tc>
        <w:tc>
          <w:tcPr>
            <w:tcW w:w="500" w:type="pct"/>
            <w:shd w:val="clear" w:color="auto" w:fill="F2F2F2"/>
            <w:vAlign w:val="center"/>
          </w:tcPr>
          <w:p w14:paraId="356115DF"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lastRenderedPageBreak/>
              <w:t>III</w:t>
            </w:r>
          </w:p>
        </w:tc>
        <w:tc>
          <w:tcPr>
            <w:tcW w:w="462" w:type="pct"/>
            <w:shd w:val="clear" w:color="auto" w:fill="F2F2F2"/>
            <w:vAlign w:val="center"/>
          </w:tcPr>
          <w:p w14:paraId="6890ED57"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Warunek spełniony</w:t>
            </w:r>
          </w:p>
        </w:tc>
        <w:tc>
          <w:tcPr>
            <w:tcW w:w="814" w:type="pct"/>
            <w:shd w:val="clear" w:color="auto" w:fill="F2F2F2"/>
            <w:vAlign w:val="center"/>
          </w:tcPr>
          <w:p w14:paraId="1AEE20F0"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Istnienie w kompleksowym planie lub kompleksowych planach lub ramach dotyczących transportu wyraźnej części dotyczącej śródlądowych dróg wodnych i transportu morskiego, portów, połączeń multimodalnych i infrastruktury portów lotniczych, która:</w:t>
            </w:r>
          </w:p>
          <w:p w14:paraId="3C72541B"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spełnia wymogi prawne dotyczące strategicznej oceny oddziaływania na środowisko,</w:t>
            </w:r>
          </w:p>
          <w:p w14:paraId="09115D23"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 identyfikuje odpowiednią ilość realistycznych i zaawansowanych w przygotowaniu projektów (wraz z harmonogramem, budżetem); działania mające na celu zapewnienie zdolności instytucji pośredniczących i beneficjentów do realizacji projektów.</w:t>
            </w:r>
          </w:p>
        </w:tc>
        <w:tc>
          <w:tcPr>
            <w:tcW w:w="459" w:type="pct"/>
            <w:shd w:val="clear" w:color="auto" w:fill="F2F2F2"/>
            <w:vAlign w:val="center"/>
          </w:tcPr>
          <w:p w14:paraId="7A2ECC9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Kryteria spełnione</w:t>
            </w:r>
          </w:p>
        </w:tc>
        <w:tc>
          <w:tcPr>
            <w:tcW w:w="1105" w:type="pct"/>
            <w:shd w:val="clear" w:color="auto" w:fill="F2F2F2"/>
            <w:vAlign w:val="center"/>
          </w:tcPr>
          <w:p w14:paraId="706AFA77"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Strategia Rozwoju Transportu do 2020 roku (z perspektywą do 2030 r.);</w:t>
            </w:r>
          </w:p>
          <w:p w14:paraId="5317AA21"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pacing w:val="4"/>
                <w:sz w:val="16"/>
                <w:szCs w:val="16"/>
              </w:rPr>
              <w:t>Dokument Implementacyjny do Strategii Rozwoju Transportu do 2020 roku (z perspektywą do 2030 r.), który zawiera wskazane elementy w odniesieniu do inwestycji na drogach wodnych śródlądowych i w transporcie morskim, w tym informację na temat zapewnienia odpowiednich zdolności instytucji pośredniczących i beneficjentów do realizacji projektów.</w:t>
            </w:r>
          </w:p>
        </w:tc>
        <w:tc>
          <w:tcPr>
            <w:tcW w:w="981" w:type="pct"/>
            <w:shd w:val="clear" w:color="auto" w:fill="F2F2F2"/>
            <w:vAlign w:val="center"/>
          </w:tcPr>
          <w:p w14:paraId="4DE69A6A" w14:textId="77777777" w:rsidR="004E3242" w:rsidRPr="004E3242" w:rsidRDefault="004E3242" w:rsidP="004E3242">
            <w:pPr>
              <w:spacing w:before="60" w:after="60" w:line="240" w:lineRule="auto"/>
              <w:jc w:val="both"/>
              <w:rPr>
                <w:rFonts w:ascii="Arial" w:hAnsi="Arial" w:cs="Arial"/>
                <w:spacing w:val="4"/>
                <w:sz w:val="16"/>
                <w:szCs w:val="16"/>
              </w:rPr>
            </w:pPr>
          </w:p>
        </w:tc>
      </w:tr>
      <w:tr w:rsidR="004E3242" w:rsidRPr="004E3242" w14:paraId="1B62D0CA" w14:textId="77777777" w:rsidTr="00AA7998">
        <w:tc>
          <w:tcPr>
            <w:tcW w:w="679" w:type="pct"/>
            <w:shd w:val="clear" w:color="auto" w:fill="D6E3BC"/>
            <w:vAlign w:val="center"/>
          </w:tcPr>
          <w:p w14:paraId="09F0E9F6" w14:textId="77777777" w:rsidR="004E3242" w:rsidRPr="004E3242" w:rsidRDefault="004E3242" w:rsidP="004E3242">
            <w:pPr>
              <w:spacing w:after="0" w:line="240" w:lineRule="auto"/>
              <w:jc w:val="both"/>
              <w:rPr>
                <w:rFonts w:ascii="Arial" w:hAnsi="Arial" w:cs="Arial"/>
                <w:bCs/>
                <w:smallCaps/>
                <w:spacing w:val="4"/>
                <w:sz w:val="16"/>
                <w:szCs w:val="16"/>
              </w:rPr>
            </w:pPr>
            <w:r w:rsidRPr="004E3242">
              <w:rPr>
                <w:rFonts w:ascii="Arial" w:hAnsi="Arial" w:cs="Arial"/>
                <w:bCs/>
                <w:smallCaps/>
                <w:spacing w:val="4"/>
                <w:sz w:val="16"/>
                <w:szCs w:val="16"/>
              </w:rPr>
              <w:t xml:space="preserve">7.4 Opracowanie inteligentnych systemów dystrybucji, magazynowania i </w:t>
            </w:r>
            <w:proofErr w:type="spellStart"/>
            <w:r w:rsidRPr="004E3242">
              <w:rPr>
                <w:rFonts w:ascii="Arial" w:hAnsi="Arial" w:cs="Arial"/>
                <w:bCs/>
                <w:smallCaps/>
                <w:spacing w:val="4"/>
                <w:sz w:val="16"/>
                <w:szCs w:val="16"/>
              </w:rPr>
              <w:t>przesyłu</w:t>
            </w:r>
            <w:proofErr w:type="spellEnd"/>
            <w:r w:rsidRPr="004E3242">
              <w:rPr>
                <w:rFonts w:ascii="Arial" w:hAnsi="Arial" w:cs="Arial"/>
                <w:bCs/>
                <w:smallCaps/>
                <w:spacing w:val="4"/>
                <w:sz w:val="16"/>
                <w:szCs w:val="16"/>
              </w:rPr>
              <w:t xml:space="preserve"> energii. Istnienie kompleksowych planów inwestycji w inteligentną infrastrukturę energetyczną oraz przepisów wpływających na zwiększenie efektywności energetycznej i bezpieczeństwa dostaw</w:t>
            </w:r>
          </w:p>
          <w:p w14:paraId="7A4C42CD" w14:textId="77777777" w:rsidR="004E3242" w:rsidRPr="004E3242" w:rsidRDefault="004E3242" w:rsidP="004E3242">
            <w:pPr>
              <w:spacing w:before="60" w:after="60" w:line="240" w:lineRule="auto"/>
              <w:jc w:val="center"/>
              <w:rPr>
                <w:rFonts w:ascii="Arial" w:hAnsi="Arial" w:cs="Arial"/>
                <w:bCs/>
                <w:spacing w:val="4"/>
                <w:sz w:val="16"/>
                <w:szCs w:val="16"/>
              </w:rPr>
            </w:pPr>
          </w:p>
        </w:tc>
        <w:tc>
          <w:tcPr>
            <w:tcW w:w="500" w:type="pct"/>
            <w:shd w:val="clear" w:color="auto" w:fill="F2F2F2"/>
            <w:vAlign w:val="center"/>
          </w:tcPr>
          <w:p w14:paraId="5AABBAC4"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VII</w:t>
            </w:r>
          </w:p>
        </w:tc>
        <w:tc>
          <w:tcPr>
            <w:tcW w:w="462" w:type="pct"/>
            <w:shd w:val="clear" w:color="auto" w:fill="F2F2F2"/>
            <w:vAlign w:val="center"/>
          </w:tcPr>
          <w:p w14:paraId="0928DAA2"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Warunek częściowo spełniony</w:t>
            </w:r>
          </w:p>
        </w:tc>
        <w:tc>
          <w:tcPr>
            <w:tcW w:w="814" w:type="pct"/>
            <w:shd w:val="clear" w:color="auto" w:fill="F2F2F2"/>
            <w:vAlign w:val="center"/>
          </w:tcPr>
          <w:p w14:paraId="7F581BC4"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Gotowe są kompleksowe plany określające priorytety dotyczące infrastruktury energetycznej na szczeblu krajowym:</w:t>
            </w:r>
          </w:p>
          <w:p w14:paraId="722E20C4" w14:textId="77777777" w:rsidR="004E3242" w:rsidRPr="004E3242" w:rsidRDefault="004E3242" w:rsidP="00B345B6">
            <w:pPr>
              <w:numPr>
                <w:ilvl w:val="0"/>
                <w:numId w:val="42"/>
              </w:numPr>
              <w:spacing w:before="60" w:after="60" w:line="240" w:lineRule="auto"/>
              <w:jc w:val="both"/>
              <w:rPr>
                <w:rFonts w:ascii="Arial" w:hAnsi="Arial" w:cs="Arial"/>
                <w:sz w:val="16"/>
                <w:szCs w:val="16"/>
              </w:rPr>
            </w:pPr>
            <w:r w:rsidRPr="004E3242">
              <w:rPr>
                <w:rFonts w:ascii="Arial" w:hAnsi="Arial" w:cs="Arial"/>
                <w:sz w:val="16"/>
                <w:szCs w:val="16"/>
              </w:rPr>
              <w:t>zgodnie z art. 22 dyrektywy 2009/72/WE oraz 2009/73/WE, w stosownych przypadkach, oraz</w:t>
            </w:r>
          </w:p>
          <w:p w14:paraId="6EABF510" w14:textId="77777777" w:rsidR="004E3242" w:rsidRPr="004E3242" w:rsidRDefault="004E3242" w:rsidP="00B345B6">
            <w:pPr>
              <w:numPr>
                <w:ilvl w:val="0"/>
                <w:numId w:val="42"/>
              </w:numPr>
              <w:spacing w:before="60" w:after="60" w:line="240" w:lineRule="auto"/>
              <w:jc w:val="both"/>
              <w:rPr>
                <w:rFonts w:ascii="Arial" w:hAnsi="Arial" w:cs="Arial"/>
                <w:sz w:val="16"/>
                <w:szCs w:val="16"/>
              </w:rPr>
            </w:pPr>
            <w:r w:rsidRPr="004E3242">
              <w:rPr>
                <w:rFonts w:ascii="Arial" w:hAnsi="Arial" w:cs="Arial"/>
                <w:sz w:val="16"/>
                <w:szCs w:val="16"/>
              </w:rPr>
              <w:t>zgodnie z odpowiednimi regionalnymi planami inwestycyjnymi na mocy art. 12 oraz z dziesięcioletnim planem rozwoju sieci na poziomie UE zgodnie z art. 8 ust. 3 lit. b rozporządzenia Parlamentu Europejskiego i Rady (WE) nr 714/2009 oraz Parlamentu Europejskiego i Rady (WE) nr 715/2009, oraz</w:t>
            </w:r>
          </w:p>
          <w:p w14:paraId="55E55C60" w14:textId="77777777" w:rsidR="004E3242" w:rsidRPr="004E3242" w:rsidRDefault="004E3242" w:rsidP="00B345B6">
            <w:pPr>
              <w:numPr>
                <w:ilvl w:val="0"/>
                <w:numId w:val="42"/>
              </w:numPr>
              <w:spacing w:before="60" w:after="60" w:line="240" w:lineRule="auto"/>
              <w:jc w:val="both"/>
              <w:rPr>
                <w:rFonts w:ascii="Arial" w:hAnsi="Arial" w:cs="Arial"/>
                <w:sz w:val="16"/>
                <w:szCs w:val="16"/>
              </w:rPr>
            </w:pPr>
            <w:r w:rsidRPr="004E3242">
              <w:rPr>
                <w:rFonts w:ascii="Arial" w:hAnsi="Arial" w:cs="Arial"/>
                <w:sz w:val="16"/>
                <w:szCs w:val="16"/>
              </w:rPr>
              <w:t>zgodnie z art. 3 ust. 4 rozporządzenia Parlamentu Europejskiego i Rady nr 347/2013/UE;</w:t>
            </w:r>
          </w:p>
          <w:p w14:paraId="5B15A890"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Plany zawierają:</w:t>
            </w:r>
          </w:p>
          <w:p w14:paraId="68F08669" w14:textId="77777777" w:rsidR="004E3242" w:rsidRPr="004E3242" w:rsidRDefault="004E3242" w:rsidP="00B345B6">
            <w:pPr>
              <w:numPr>
                <w:ilvl w:val="0"/>
                <w:numId w:val="43"/>
              </w:numPr>
              <w:spacing w:before="60" w:after="60" w:line="240" w:lineRule="auto"/>
              <w:jc w:val="both"/>
              <w:rPr>
                <w:rFonts w:ascii="Arial" w:hAnsi="Arial" w:cs="Arial"/>
                <w:sz w:val="16"/>
                <w:szCs w:val="16"/>
              </w:rPr>
            </w:pPr>
            <w:r w:rsidRPr="004E3242">
              <w:rPr>
                <w:rFonts w:ascii="Arial" w:hAnsi="Arial" w:cs="Arial"/>
                <w:sz w:val="16"/>
                <w:szCs w:val="16"/>
              </w:rPr>
              <w:t>identyfikację odpowiedniej ilości realistycznych i zaawansowanych w przygotowaniu projektów, które mają być wspierane w ramach EFRR</w:t>
            </w:r>
          </w:p>
          <w:p w14:paraId="6E614BC6" w14:textId="77777777" w:rsidR="004E3242" w:rsidRPr="004E3242" w:rsidRDefault="004E3242" w:rsidP="00B345B6">
            <w:pPr>
              <w:numPr>
                <w:ilvl w:val="0"/>
                <w:numId w:val="43"/>
              </w:numPr>
              <w:spacing w:before="60" w:after="60" w:line="240" w:lineRule="auto"/>
              <w:jc w:val="both"/>
              <w:rPr>
                <w:rFonts w:ascii="Arial" w:hAnsi="Arial" w:cs="Arial"/>
                <w:sz w:val="16"/>
                <w:szCs w:val="16"/>
              </w:rPr>
            </w:pPr>
            <w:r w:rsidRPr="004E3242">
              <w:rPr>
                <w:rFonts w:ascii="Arial" w:hAnsi="Arial" w:cs="Arial"/>
                <w:sz w:val="16"/>
                <w:szCs w:val="16"/>
              </w:rPr>
              <w:t xml:space="preserve">działania umożliwiające </w:t>
            </w:r>
            <w:r w:rsidRPr="004E3242">
              <w:rPr>
                <w:rFonts w:ascii="Arial" w:hAnsi="Arial" w:cs="Arial"/>
                <w:sz w:val="16"/>
                <w:szCs w:val="16"/>
              </w:rPr>
              <w:lastRenderedPageBreak/>
              <w:t>osiągnięcie celów w zakresie spójności społecznej i gospodarczej oraz ochrony środowiska zgodnie z art. 3 ust. 10 dyrektywy 2009/72/WE oraz art. 3 ust. 7 dyrektywy 2009/73/WE,</w:t>
            </w:r>
          </w:p>
          <w:p w14:paraId="25A4DEC5" w14:textId="77777777" w:rsidR="004E3242" w:rsidRPr="004E3242" w:rsidRDefault="004E3242" w:rsidP="00B345B6">
            <w:pPr>
              <w:numPr>
                <w:ilvl w:val="0"/>
                <w:numId w:val="43"/>
              </w:numPr>
              <w:spacing w:before="60" w:after="60" w:line="240" w:lineRule="auto"/>
              <w:jc w:val="both"/>
              <w:rPr>
                <w:rFonts w:ascii="Arial" w:hAnsi="Arial" w:cs="Arial"/>
                <w:spacing w:val="4"/>
                <w:sz w:val="16"/>
                <w:szCs w:val="16"/>
              </w:rPr>
            </w:pPr>
            <w:r w:rsidRPr="004E3242">
              <w:rPr>
                <w:rFonts w:ascii="Arial" w:hAnsi="Arial" w:cs="Arial"/>
                <w:sz w:val="16"/>
                <w:szCs w:val="16"/>
              </w:rPr>
              <w:t>działania umożliwiające lepsze wykorzystanie energii i promowanie efektywności energetycznej zgodnie z art. 3 ust. 11 dyrektywy 2009/72/WE oraz art. 3 ust. 8 dyrektywy 2009/73/WE</w:t>
            </w:r>
          </w:p>
        </w:tc>
        <w:tc>
          <w:tcPr>
            <w:tcW w:w="459" w:type="pct"/>
            <w:shd w:val="clear" w:color="auto" w:fill="F2F2F2"/>
            <w:vAlign w:val="center"/>
          </w:tcPr>
          <w:p w14:paraId="4102FE83"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lastRenderedPageBreak/>
              <w:t>Kryterium częściowo spełnione</w:t>
            </w:r>
          </w:p>
        </w:tc>
        <w:tc>
          <w:tcPr>
            <w:tcW w:w="1105" w:type="pct"/>
            <w:shd w:val="clear" w:color="auto" w:fill="F2F2F2"/>
            <w:vAlign w:val="center"/>
          </w:tcPr>
          <w:p w14:paraId="2AEAC45A"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Aktem prawnym stwarzającym obowiązek przygotowania kompleksowych planów określających priorytety dotyczące infrastruktury gazowej na szczeblu krajowym jest Ustawa Prawo Energetyczne. Ustawa z dnia 26 lipca 2013 r. o zmianie ustawy - Prawo energetyczne oraz niektórych innych ustaw. Ustawa weszła w życie 11 września 2013 r.</w:t>
            </w:r>
          </w:p>
          <w:p w14:paraId="0B7B8598"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Kryterium pierwsze: zgodność z art. 22 Dyrektywy 2009/73/WE</w:t>
            </w:r>
          </w:p>
          <w:p w14:paraId="1CC0C3FB"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Kryterium należy uznać za spełnione ponieważ, art. 22 dotyczy modelu ITO (independent </w:t>
            </w:r>
            <w:proofErr w:type="spellStart"/>
            <w:r w:rsidRPr="004E3242">
              <w:rPr>
                <w:rFonts w:ascii="Arial" w:hAnsi="Arial" w:cs="Arial"/>
                <w:sz w:val="16"/>
                <w:szCs w:val="16"/>
              </w:rPr>
              <w:t>Transmission</w:t>
            </w:r>
            <w:proofErr w:type="spellEnd"/>
            <w:r w:rsidRPr="004E3242">
              <w:rPr>
                <w:rFonts w:ascii="Arial" w:hAnsi="Arial" w:cs="Arial"/>
                <w:sz w:val="16"/>
                <w:szCs w:val="16"/>
              </w:rPr>
              <w:t xml:space="preserve"> Operator). W Polsce w odniesieniu do operatorów systemów przesyłowych nie wprowadzono modelu ITO, tylko model rozdziału właścicielskiego (OU- </w:t>
            </w:r>
            <w:proofErr w:type="spellStart"/>
            <w:r w:rsidRPr="004E3242">
              <w:rPr>
                <w:rFonts w:ascii="Arial" w:hAnsi="Arial" w:cs="Arial"/>
                <w:sz w:val="16"/>
                <w:szCs w:val="16"/>
              </w:rPr>
              <w:t>ownership</w:t>
            </w:r>
            <w:proofErr w:type="spellEnd"/>
            <w:r w:rsidRPr="004E3242">
              <w:rPr>
                <w:rFonts w:ascii="Arial" w:hAnsi="Arial" w:cs="Arial"/>
                <w:sz w:val="16"/>
                <w:szCs w:val="16"/>
              </w:rPr>
              <w:t xml:space="preserve"> </w:t>
            </w:r>
            <w:proofErr w:type="spellStart"/>
            <w:r w:rsidRPr="004E3242">
              <w:rPr>
                <w:rFonts w:ascii="Arial" w:hAnsi="Arial" w:cs="Arial"/>
                <w:sz w:val="16"/>
                <w:szCs w:val="16"/>
              </w:rPr>
              <w:t>unbundling</w:t>
            </w:r>
            <w:proofErr w:type="spellEnd"/>
            <w:r w:rsidRPr="004E3242">
              <w:rPr>
                <w:rFonts w:ascii="Arial" w:hAnsi="Arial" w:cs="Arial"/>
                <w:sz w:val="16"/>
                <w:szCs w:val="16"/>
              </w:rPr>
              <w:t>) oraz model ISO (Independent System Operator). Z uwagi na fakt, iż art. 22 nie dotyczy Polski, samo kryterium ex-</w:t>
            </w:r>
            <w:proofErr w:type="spellStart"/>
            <w:r w:rsidRPr="004E3242">
              <w:rPr>
                <w:rFonts w:ascii="Arial" w:hAnsi="Arial" w:cs="Arial"/>
                <w:sz w:val="16"/>
                <w:szCs w:val="16"/>
              </w:rPr>
              <w:t>ante</w:t>
            </w:r>
            <w:proofErr w:type="spellEnd"/>
            <w:r w:rsidRPr="004E3242">
              <w:rPr>
                <w:rFonts w:ascii="Arial" w:hAnsi="Arial" w:cs="Arial"/>
                <w:sz w:val="16"/>
                <w:szCs w:val="16"/>
              </w:rPr>
              <w:t xml:space="preserve"> również nie dotyczy Polski.</w:t>
            </w:r>
          </w:p>
          <w:p w14:paraId="2A2B2AA8"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Kryterium drugie: zgodność z art. 12 oraz art. 8 ust. 3 lit. b Rozporządzenia nr 715/2009/WE</w:t>
            </w:r>
          </w:p>
          <w:p w14:paraId="55104AE4"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Rozporządzenie obowiązuje wprost i jest bezpośrednio skuteczne. Przepisy rozporządzenia zostały dodatkowo doprecyzowane przez:</w:t>
            </w:r>
          </w:p>
          <w:p w14:paraId="6D160130"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art. 9c ust. 1 pkt 5, art. 9c ust. 1 pkt 10, art. 9c ust. 10a , art. 16 ust 1 pkt 4 oraz , art. 16 ust. 9 pkt 1 Ustawy - Prawo Energetyczne.</w:t>
            </w:r>
          </w:p>
          <w:p w14:paraId="00389204"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Kryterium trzecie: zgodność z art. 3.4 Rozporządzenia 347/2013/WE</w:t>
            </w:r>
          </w:p>
          <w:p w14:paraId="1546556F"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lastRenderedPageBreak/>
              <w:t>Rozporządzenie obowiązuje wprost i jest bezpośrednio skuteczne. Lista PCI została zatwierdzona we wrześniu 2013</w:t>
            </w:r>
          </w:p>
          <w:p w14:paraId="46483CB8"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sz w:val="16"/>
                <w:szCs w:val="16"/>
              </w:rPr>
              <w:t xml:space="preserve">Projekty zgłoszone przez Polskę do unijnej listy projektów będących przedmiotem wspólnego zainteresowania (PCI) są zgodne z zaakceptowanym przez Prezesa Urzędu Regulacji Energetyki krajowym dokumentem „Plan rozwoju zapotrzebowania na paliwa gazowe na lata 2014-2023” przedstawionym przez operatora systemu przesyłowego. </w:t>
            </w:r>
          </w:p>
          <w:p w14:paraId="5C4E4C4B"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Kryterium czwarte</w:t>
            </w:r>
          </w:p>
          <w:p w14:paraId="42D1C96A"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Kryterium zostanie spełnione po przyjęciu przez Ministerstwo Gospodarki dokumentu: Project </w:t>
            </w:r>
            <w:proofErr w:type="spellStart"/>
            <w:r w:rsidRPr="004E3242">
              <w:rPr>
                <w:rFonts w:ascii="Arial" w:hAnsi="Arial" w:cs="Arial"/>
                <w:sz w:val="16"/>
                <w:szCs w:val="16"/>
              </w:rPr>
              <w:t>Pipeline</w:t>
            </w:r>
            <w:proofErr w:type="spellEnd"/>
            <w:r w:rsidRPr="004E3242">
              <w:rPr>
                <w:rFonts w:ascii="Arial" w:hAnsi="Arial" w:cs="Arial"/>
                <w:sz w:val="16"/>
                <w:szCs w:val="16"/>
              </w:rPr>
              <w:t xml:space="preserve"> I.</w:t>
            </w:r>
          </w:p>
          <w:p w14:paraId="0528BE21"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 xml:space="preserve">Kryterium piąte: zgodność z art. 3.7 Dyrektywy 2009/73/EC </w:t>
            </w:r>
            <w:r w:rsidRPr="004E3242">
              <w:rPr>
                <w:rFonts w:ascii="Arial" w:hAnsi="Arial" w:cs="Arial"/>
                <w:sz w:val="16"/>
                <w:szCs w:val="16"/>
              </w:rPr>
              <w:t>oraz</w:t>
            </w:r>
            <w:r w:rsidRPr="004E3242">
              <w:rPr>
                <w:rFonts w:ascii="Arial" w:hAnsi="Arial" w:cs="Arial"/>
                <w:b/>
                <w:sz w:val="16"/>
                <w:szCs w:val="16"/>
              </w:rPr>
              <w:t xml:space="preserve"> </w:t>
            </w:r>
            <w:r w:rsidRPr="004E3242">
              <w:rPr>
                <w:rFonts w:ascii="Arial" w:hAnsi="Arial" w:cs="Arial"/>
                <w:sz w:val="16"/>
                <w:szCs w:val="16"/>
              </w:rPr>
              <w:t>3 ust. 10 dyrektywy 2009/72/WE</w:t>
            </w:r>
          </w:p>
          <w:p w14:paraId="0712AA92"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Kryterium spełnione:</w:t>
            </w:r>
          </w:p>
          <w:p w14:paraId="72264774" w14:textId="77777777" w:rsidR="004E3242" w:rsidRPr="004E3242" w:rsidRDefault="004E3242" w:rsidP="00B345B6">
            <w:pPr>
              <w:numPr>
                <w:ilvl w:val="0"/>
                <w:numId w:val="37"/>
              </w:numPr>
              <w:spacing w:before="60" w:after="60" w:line="240" w:lineRule="auto"/>
              <w:jc w:val="both"/>
              <w:rPr>
                <w:rFonts w:ascii="Arial" w:hAnsi="Arial" w:cs="Arial"/>
                <w:sz w:val="16"/>
                <w:szCs w:val="16"/>
              </w:rPr>
            </w:pPr>
            <w:r w:rsidRPr="004E3242">
              <w:rPr>
                <w:rFonts w:ascii="Arial" w:hAnsi="Arial" w:cs="Arial"/>
                <w:sz w:val="16"/>
                <w:szCs w:val="16"/>
              </w:rPr>
              <w:t xml:space="preserve">Ustawa z dnia 10 kwietnia 1997 r. Prawo energetyczne, </w:t>
            </w:r>
          </w:p>
          <w:p w14:paraId="4190119F" w14:textId="77777777" w:rsidR="004E3242" w:rsidRPr="004E3242" w:rsidRDefault="004E3242" w:rsidP="00B345B6">
            <w:pPr>
              <w:numPr>
                <w:ilvl w:val="0"/>
                <w:numId w:val="38"/>
              </w:numPr>
              <w:spacing w:before="60" w:after="60" w:line="240" w:lineRule="auto"/>
              <w:jc w:val="both"/>
              <w:rPr>
                <w:rFonts w:ascii="Arial" w:hAnsi="Arial" w:cs="Arial"/>
                <w:sz w:val="16"/>
                <w:szCs w:val="16"/>
              </w:rPr>
            </w:pPr>
            <w:r w:rsidRPr="004E3242">
              <w:rPr>
                <w:rFonts w:ascii="Arial" w:hAnsi="Arial" w:cs="Arial"/>
                <w:sz w:val="16"/>
                <w:szCs w:val="16"/>
              </w:rPr>
              <w:t>Ustawa z dnia 15 kwietnia 2011 r. o efektywności energetycznej</w:t>
            </w:r>
          </w:p>
          <w:p w14:paraId="4F00CA91" w14:textId="77777777" w:rsidR="004E3242" w:rsidRPr="004E3242" w:rsidRDefault="004E3242" w:rsidP="00B345B6">
            <w:pPr>
              <w:numPr>
                <w:ilvl w:val="0"/>
                <w:numId w:val="38"/>
              </w:numPr>
              <w:spacing w:before="60" w:after="60" w:line="240" w:lineRule="auto"/>
              <w:jc w:val="both"/>
              <w:rPr>
                <w:rFonts w:ascii="Arial" w:hAnsi="Arial" w:cs="Arial"/>
                <w:sz w:val="16"/>
                <w:szCs w:val="16"/>
              </w:rPr>
            </w:pPr>
            <w:r w:rsidRPr="004E3242">
              <w:rPr>
                <w:rFonts w:ascii="Arial" w:hAnsi="Arial" w:cs="Arial"/>
                <w:sz w:val="16"/>
                <w:szCs w:val="16"/>
              </w:rPr>
              <w:t xml:space="preserve">ustawa z dnia 24 kwietnia 2009 r. o inwestycjach w zakresie terminalu </w:t>
            </w:r>
            <w:proofErr w:type="spellStart"/>
            <w:r w:rsidRPr="004E3242">
              <w:rPr>
                <w:rFonts w:ascii="Arial" w:hAnsi="Arial" w:cs="Arial"/>
                <w:sz w:val="16"/>
                <w:szCs w:val="16"/>
              </w:rPr>
              <w:t>regazyfikacyjnego</w:t>
            </w:r>
            <w:proofErr w:type="spellEnd"/>
            <w:r w:rsidRPr="004E3242">
              <w:rPr>
                <w:rFonts w:ascii="Arial" w:hAnsi="Arial" w:cs="Arial"/>
                <w:sz w:val="16"/>
                <w:szCs w:val="16"/>
              </w:rPr>
              <w:t xml:space="preserve"> skroplonego gazu ziemnego w Świnoujściu,</w:t>
            </w:r>
          </w:p>
          <w:p w14:paraId="6C67F34A" w14:textId="77777777" w:rsidR="004E3242" w:rsidRPr="004E3242" w:rsidRDefault="004E3242" w:rsidP="00B345B6">
            <w:pPr>
              <w:numPr>
                <w:ilvl w:val="0"/>
                <w:numId w:val="38"/>
              </w:numPr>
              <w:spacing w:before="60" w:after="60" w:line="240" w:lineRule="auto"/>
              <w:jc w:val="both"/>
              <w:rPr>
                <w:rFonts w:ascii="Arial" w:hAnsi="Arial" w:cs="Arial"/>
                <w:sz w:val="16"/>
                <w:szCs w:val="16"/>
              </w:rPr>
            </w:pPr>
            <w:r w:rsidRPr="004E3242">
              <w:rPr>
                <w:rFonts w:ascii="Arial" w:hAnsi="Arial" w:cs="Arial"/>
                <w:sz w:val="16"/>
                <w:szCs w:val="16"/>
              </w:rPr>
              <w:t>ustawa z dnia 16 lutego 2007 r. o zapasach ropy naftowej, produktów naftowych i gazu ziemnego oraz zasadach postępowania w sytuacjach zagrażania bezpieczeństwa paliwowego państwa i zakłóceń na rynku naftowym</w:t>
            </w:r>
          </w:p>
          <w:p w14:paraId="6AED5D2F"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 xml:space="preserve">Kryterium szóste: zgodność z art. 3.8 Dyrektywy 2009/73/EC </w:t>
            </w:r>
            <w:r w:rsidRPr="004E3242">
              <w:rPr>
                <w:rFonts w:ascii="Arial" w:hAnsi="Arial" w:cs="Arial"/>
                <w:sz w:val="16"/>
                <w:szCs w:val="16"/>
              </w:rPr>
              <w:t>oraz</w:t>
            </w:r>
            <w:r w:rsidRPr="004E3242">
              <w:rPr>
                <w:rFonts w:ascii="Arial" w:hAnsi="Arial" w:cs="Arial"/>
                <w:b/>
                <w:sz w:val="16"/>
                <w:szCs w:val="16"/>
              </w:rPr>
              <w:t xml:space="preserve"> </w:t>
            </w:r>
            <w:r w:rsidRPr="004E3242">
              <w:rPr>
                <w:rFonts w:ascii="Arial" w:hAnsi="Arial" w:cs="Arial"/>
                <w:sz w:val="16"/>
                <w:szCs w:val="16"/>
              </w:rPr>
              <w:t>art. 3 ust. 11 dyrektywy 2009/72</w:t>
            </w:r>
          </w:p>
          <w:p w14:paraId="2F1CC54B" w14:textId="77777777" w:rsidR="004E3242" w:rsidRPr="004E3242" w:rsidRDefault="004E3242" w:rsidP="004E3242">
            <w:pPr>
              <w:spacing w:before="60" w:after="60" w:line="240" w:lineRule="auto"/>
              <w:jc w:val="both"/>
              <w:rPr>
                <w:rFonts w:ascii="Arial" w:hAnsi="Arial" w:cs="Arial"/>
                <w:b/>
                <w:sz w:val="16"/>
                <w:szCs w:val="16"/>
              </w:rPr>
            </w:pPr>
            <w:r w:rsidRPr="004E3242">
              <w:rPr>
                <w:rFonts w:ascii="Arial" w:hAnsi="Arial" w:cs="Arial"/>
                <w:b/>
                <w:sz w:val="16"/>
                <w:szCs w:val="16"/>
              </w:rPr>
              <w:t>Kryterium spełnione:</w:t>
            </w:r>
          </w:p>
          <w:p w14:paraId="7DC99367" w14:textId="77777777" w:rsidR="004E3242" w:rsidRPr="004E3242" w:rsidRDefault="004E3242" w:rsidP="00B345B6">
            <w:pPr>
              <w:numPr>
                <w:ilvl w:val="0"/>
                <w:numId w:val="39"/>
              </w:numPr>
              <w:spacing w:before="60" w:after="60" w:line="240" w:lineRule="auto"/>
              <w:jc w:val="both"/>
              <w:rPr>
                <w:rFonts w:ascii="Arial" w:hAnsi="Arial" w:cs="Arial"/>
                <w:sz w:val="16"/>
                <w:szCs w:val="16"/>
              </w:rPr>
            </w:pPr>
            <w:r w:rsidRPr="004E3242">
              <w:rPr>
                <w:rFonts w:ascii="Arial" w:hAnsi="Arial" w:cs="Arial"/>
                <w:sz w:val="16"/>
                <w:szCs w:val="16"/>
              </w:rPr>
              <w:t xml:space="preserve">Ustawa z dnia 10 kwietnia 1997 r. Prawo energetyczne, </w:t>
            </w:r>
          </w:p>
          <w:p w14:paraId="3928C95C" w14:textId="77777777" w:rsidR="004E3242" w:rsidRPr="004E3242" w:rsidRDefault="004E3242" w:rsidP="00B345B6">
            <w:pPr>
              <w:numPr>
                <w:ilvl w:val="0"/>
                <w:numId w:val="39"/>
              </w:numPr>
              <w:spacing w:before="60" w:after="60" w:line="240" w:lineRule="auto"/>
              <w:jc w:val="both"/>
              <w:rPr>
                <w:rFonts w:ascii="Arial" w:hAnsi="Arial" w:cs="Arial"/>
                <w:sz w:val="16"/>
                <w:szCs w:val="16"/>
              </w:rPr>
            </w:pPr>
            <w:r w:rsidRPr="004E3242">
              <w:rPr>
                <w:rFonts w:ascii="Arial" w:hAnsi="Arial" w:cs="Arial"/>
                <w:sz w:val="16"/>
                <w:szCs w:val="16"/>
              </w:rPr>
              <w:t xml:space="preserve">Ustawa z dnia 15 kwietnia 2011 r. o </w:t>
            </w:r>
            <w:r w:rsidRPr="004E3242">
              <w:rPr>
                <w:rFonts w:ascii="Arial" w:hAnsi="Arial" w:cs="Arial"/>
                <w:sz w:val="16"/>
                <w:szCs w:val="16"/>
              </w:rPr>
              <w:lastRenderedPageBreak/>
              <w:t xml:space="preserve">efektywności energetycznej, </w:t>
            </w:r>
          </w:p>
          <w:p w14:paraId="6CC19A79" w14:textId="77777777" w:rsidR="004E3242" w:rsidRPr="004E3242" w:rsidRDefault="004E3242" w:rsidP="00B345B6">
            <w:pPr>
              <w:numPr>
                <w:ilvl w:val="0"/>
                <w:numId w:val="39"/>
              </w:numPr>
              <w:spacing w:before="60" w:after="60" w:line="240" w:lineRule="auto"/>
              <w:jc w:val="both"/>
              <w:rPr>
                <w:rFonts w:ascii="Arial" w:hAnsi="Arial" w:cs="Arial"/>
                <w:sz w:val="16"/>
                <w:szCs w:val="16"/>
              </w:rPr>
            </w:pPr>
            <w:r w:rsidRPr="004E3242">
              <w:rPr>
                <w:rFonts w:ascii="Arial" w:hAnsi="Arial" w:cs="Arial"/>
                <w:sz w:val="16"/>
                <w:szCs w:val="16"/>
              </w:rPr>
              <w:t>Rozporządzenie Ministra Gospodarki w sprawie zasad kształtowania i kalkulacji taryf oraz rozliczeń w obrocie paliwami gazowymi - podpisane w dniu 28 czerwca 2013 r.</w:t>
            </w:r>
          </w:p>
          <w:p w14:paraId="5A4FFBCE" w14:textId="77777777" w:rsidR="004E3242" w:rsidRPr="004E3242" w:rsidRDefault="004E3242" w:rsidP="00B345B6">
            <w:pPr>
              <w:numPr>
                <w:ilvl w:val="0"/>
                <w:numId w:val="39"/>
              </w:numPr>
              <w:spacing w:before="60" w:after="60" w:line="240" w:lineRule="auto"/>
              <w:jc w:val="both"/>
              <w:rPr>
                <w:rFonts w:ascii="Arial" w:hAnsi="Arial" w:cs="Arial"/>
                <w:sz w:val="16"/>
                <w:szCs w:val="16"/>
              </w:rPr>
            </w:pPr>
            <w:r w:rsidRPr="004E3242">
              <w:rPr>
                <w:rFonts w:ascii="Arial" w:hAnsi="Arial" w:cs="Arial"/>
                <w:sz w:val="16"/>
                <w:szCs w:val="16"/>
              </w:rPr>
              <w:t>Rozporządzenie Ministra Gospodarki z dnia 2 lipca 2010 r. w sprawie szczegółowych warunków funkcjonowania systemu gazowego</w:t>
            </w:r>
          </w:p>
          <w:p w14:paraId="497C04BF" w14:textId="77777777" w:rsidR="004E3242" w:rsidRPr="004E3242" w:rsidRDefault="004E3242" w:rsidP="004E3242">
            <w:pPr>
              <w:spacing w:before="60" w:after="60" w:line="240" w:lineRule="auto"/>
              <w:jc w:val="both"/>
              <w:rPr>
                <w:rFonts w:ascii="Arial" w:hAnsi="Arial" w:cs="Arial"/>
                <w:spacing w:val="4"/>
                <w:sz w:val="16"/>
                <w:szCs w:val="16"/>
              </w:rPr>
            </w:pPr>
          </w:p>
        </w:tc>
        <w:tc>
          <w:tcPr>
            <w:tcW w:w="981" w:type="pct"/>
            <w:shd w:val="clear" w:color="auto" w:fill="F2F2F2"/>
            <w:vAlign w:val="center"/>
          </w:tcPr>
          <w:p w14:paraId="35CEF758" w14:textId="77777777" w:rsidR="004E3242" w:rsidRPr="004E3242" w:rsidRDefault="004E3242" w:rsidP="004E3242">
            <w:pPr>
              <w:spacing w:before="60" w:after="60" w:line="240" w:lineRule="auto"/>
              <w:jc w:val="both"/>
              <w:rPr>
                <w:rFonts w:ascii="Arial" w:hAnsi="Arial" w:cs="Arial"/>
                <w:sz w:val="16"/>
                <w:szCs w:val="16"/>
                <w:lang w:eastAsia="zh-CN"/>
              </w:rPr>
            </w:pPr>
            <w:r w:rsidRPr="004E3242">
              <w:rPr>
                <w:rFonts w:ascii="Arial" w:hAnsi="Arial" w:cs="Arial"/>
                <w:sz w:val="16"/>
                <w:szCs w:val="16"/>
                <w:lang w:eastAsia="zh-CN"/>
              </w:rPr>
              <w:lastRenderedPageBreak/>
              <w:t>Kryterium czwarte</w:t>
            </w:r>
          </w:p>
          <w:p w14:paraId="5FF3AA48" w14:textId="77777777" w:rsidR="004E3242" w:rsidRPr="004E3242" w:rsidRDefault="004E3242" w:rsidP="004E3242">
            <w:pPr>
              <w:spacing w:before="60" w:after="60" w:line="240" w:lineRule="auto"/>
              <w:jc w:val="both"/>
              <w:rPr>
                <w:rFonts w:ascii="Arial" w:hAnsi="Arial" w:cs="Arial"/>
                <w:sz w:val="16"/>
                <w:szCs w:val="16"/>
                <w:lang w:eastAsia="zh-CN"/>
              </w:rPr>
            </w:pPr>
            <w:r w:rsidRPr="004E3242">
              <w:rPr>
                <w:rFonts w:ascii="Arial" w:hAnsi="Arial" w:cs="Arial"/>
                <w:sz w:val="16"/>
                <w:szCs w:val="16"/>
                <w:lang w:eastAsia="zh-CN"/>
              </w:rPr>
              <w:t xml:space="preserve">Przyjęcie dokumentu Project </w:t>
            </w:r>
            <w:proofErr w:type="spellStart"/>
            <w:r w:rsidRPr="004E3242">
              <w:rPr>
                <w:rFonts w:ascii="Arial" w:hAnsi="Arial" w:cs="Arial"/>
                <w:sz w:val="16"/>
                <w:szCs w:val="16"/>
                <w:lang w:eastAsia="zh-CN"/>
              </w:rPr>
              <w:t>Pipeline</w:t>
            </w:r>
            <w:proofErr w:type="spellEnd"/>
          </w:p>
          <w:p w14:paraId="21D878A8" w14:textId="77777777" w:rsidR="004E3242" w:rsidRPr="004E3242" w:rsidRDefault="004E3242" w:rsidP="004E3242">
            <w:pPr>
              <w:spacing w:before="60" w:after="60" w:line="240" w:lineRule="auto"/>
              <w:jc w:val="both"/>
              <w:rPr>
                <w:rFonts w:ascii="Arial" w:hAnsi="Arial" w:cs="Arial"/>
                <w:bCs/>
                <w:sz w:val="16"/>
                <w:szCs w:val="16"/>
                <w:lang w:eastAsia="zh-CN"/>
              </w:rPr>
            </w:pPr>
            <w:r w:rsidRPr="004E3242">
              <w:rPr>
                <w:rFonts w:ascii="Arial" w:hAnsi="Arial" w:cs="Arial"/>
                <w:bCs/>
                <w:sz w:val="16"/>
                <w:szCs w:val="16"/>
                <w:lang w:eastAsia="zh-CN"/>
              </w:rPr>
              <w:t>Instytucja wiodąca: MG</w:t>
            </w:r>
          </w:p>
          <w:p w14:paraId="0899791C" w14:textId="77777777" w:rsidR="004E3242" w:rsidRPr="004E3242" w:rsidRDefault="004E3242" w:rsidP="004E3242">
            <w:pPr>
              <w:spacing w:before="60" w:after="60" w:line="240" w:lineRule="auto"/>
              <w:jc w:val="both"/>
              <w:rPr>
                <w:rFonts w:ascii="Arial" w:hAnsi="Arial" w:cs="Arial"/>
                <w:bCs/>
                <w:sz w:val="16"/>
                <w:szCs w:val="16"/>
                <w:lang w:eastAsia="zh-CN"/>
              </w:rPr>
            </w:pPr>
            <w:r w:rsidRPr="004E3242">
              <w:rPr>
                <w:rFonts w:ascii="Arial" w:hAnsi="Arial" w:cs="Arial"/>
                <w:bCs/>
                <w:sz w:val="16"/>
                <w:szCs w:val="16"/>
                <w:lang w:eastAsia="zh-CN"/>
              </w:rPr>
              <w:t>Termin: do końca 2014 r</w:t>
            </w:r>
          </w:p>
          <w:p w14:paraId="02C7E3DE" w14:textId="77777777" w:rsidR="004E3242" w:rsidRPr="004E3242" w:rsidRDefault="004E3242" w:rsidP="004E3242">
            <w:pPr>
              <w:spacing w:before="60" w:after="60" w:line="240" w:lineRule="auto"/>
              <w:jc w:val="both"/>
              <w:rPr>
                <w:rFonts w:ascii="Arial" w:hAnsi="Arial" w:cs="Arial"/>
                <w:sz w:val="16"/>
                <w:szCs w:val="16"/>
                <w:lang w:eastAsia="zh-CN"/>
              </w:rPr>
            </w:pPr>
          </w:p>
          <w:p w14:paraId="497D7412" w14:textId="77777777" w:rsidR="004E3242" w:rsidRPr="004E3242" w:rsidRDefault="004E3242" w:rsidP="004E3242">
            <w:pPr>
              <w:spacing w:before="60" w:after="60" w:line="240" w:lineRule="auto"/>
              <w:jc w:val="both"/>
              <w:rPr>
                <w:rFonts w:ascii="Arial" w:hAnsi="Arial" w:cs="Arial"/>
                <w:sz w:val="16"/>
                <w:szCs w:val="16"/>
                <w:lang w:eastAsia="zh-CN"/>
              </w:rPr>
            </w:pPr>
          </w:p>
          <w:p w14:paraId="6CDAA7C3" w14:textId="77777777" w:rsidR="004E3242" w:rsidRPr="004E3242" w:rsidRDefault="004E3242" w:rsidP="004E3242">
            <w:pPr>
              <w:spacing w:before="60" w:after="60" w:line="240" w:lineRule="auto"/>
              <w:jc w:val="center"/>
              <w:rPr>
                <w:rFonts w:ascii="Arial" w:hAnsi="Arial" w:cs="Arial"/>
                <w:spacing w:val="4"/>
                <w:sz w:val="16"/>
                <w:szCs w:val="16"/>
              </w:rPr>
            </w:pPr>
          </w:p>
        </w:tc>
      </w:tr>
      <w:tr w:rsidR="004E3242" w:rsidRPr="004E3242" w14:paraId="278BD527" w14:textId="77777777" w:rsidTr="00AA7998">
        <w:tc>
          <w:tcPr>
            <w:tcW w:w="679" w:type="pct"/>
            <w:shd w:val="clear" w:color="auto" w:fill="D6E3BC"/>
            <w:vAlign w:val="center"/>
          </w:tcPr>
          <w:p w14:paraId="38F08D0E" w14:textId="77777777" w:rsidR="004E3242" w:rsidRPr="004E3242" w:rsidRDefault="004E3242" w:rsidP="004E3242">
            <w:pPr>
              <w:shd w:val="clear" w:color="auto" w:fill="D6E3BC"/>
              <w:spacing w:after="0" w:line="240" w:lineRule="auto"/>
              <w:jc w:val="both"/>
              <w:rPr>
                <w:rFonts w:ascii="Arial" w:hAnsi="Arial" w:cs="Arial"/>
                <w:bCs/>
                <w:spacing w:val="4"/>
                <w:sz w:val="16"/>
                <w:szCs w:val="16"/>
              </w:rPr>
            </w:pPr>
            <w:r w:rsidRPr="004E3242">
              <w:rPr>
                <w:rFonts w:ascii="Arial" w:hAnsi="Arial" w:cs="Arial"/>
                <w:bCs/>
                <w:smallCaps/>
                <w:spacing w:val="4"/>
                <w:sz w:val="16"/>
                <w:szCs w:val="16"/>
              </w:rPr>
              <w:lastRenderedPageBreak/>
              <w:t>9</w:t>
            </w:r>
            <w:r w:rsidRPr="004E3242">
              <w:rPr>
                <w:rFonts w:ascii="Arial" w:hAnsi="Arial" w:cs="Arial"/>
                <w:bCs/>
                <w:smallCaps/>
                <w:spacing w:val="4"/>
                <w:sz w:val="16"/>
                <w:szCs w:val="16"/>
                <w:shd w:val="clear" w:color="auto" w:fill="D6E3BC"/>
              </w:rPr>
              <w:t>.3. Istnienie krajowych lub regionalnych strategicznych</w:t>
            </w:r>
            <w:r w:rsidRPr="004E3242">
              <w:rPr>
                <w:rFonts w:ascii="Arial" w:hAnsi="Arial" w:cs="Arial"/>
                <w:bCs/>
                <w:smallCaps/>
                <w:spacing w:val="4"/>
                <w:sz w:val="16"/>
                <w:szCs w:val="16"/>
              </w:rPr>
              <w:t xml:space="preserve"> ram polityki zdrowotnej w zakresie określonym w art. 168 TFUE, gwarantujących stabilność ekonomiczną.</w:t>
            </w:r>
          </w:p>
        </w:tc>
        <w:tc>
          <w:tcPr>
            <w:tcW w:w="500" w:type="pct"/>
            <w:shd w:val="clear" w:color="auto" w:fill="F2F2F2"/>
            <w:vAlign w:val="center"/>
          </w:tcPr>
          <w:p w14:paraId="7F602A59" w14:textId="77777777" w:rsidR="004E3242" w:rsidRPr="004E3242" w:rsidRDefault="004E3242" w:rsidP="004E3242">
            <w:pPr>
              <w:spacing w:before="60" w:after="60" w:line="240" w:lineRule="auto"/>
              <w:ind w:left="-100"/>
              <w:jc w:val="center"/>
              <w:rPr>
                <w:rFonts w:ascii="Arial" w:hAnsi="Arial" w:cs="Arial"/>
                <w:bCs/>
                <w:spacing w:val="4"/>
                <w:sz w:val="16"/>
                <w:szCs w:val="16"/>
              </w:rPr>
            </w:pPr>
            <w:r w:rsidRPr="004E3242">
              <w:rPr>
                <w:rFonts w:ascii="Arial" w:hAnsi="Arial" w:cs="Arial"/>
                <w:bCs/>
                <w:spacing w:val="4"/>
                <w:sz w:val="16"/>
                <w:szCs w:val="16"/>
              </w:rPr>
              <w:t>IX</w:t>
            </w:r>
          </w:p>
        </w:tc>
        <w:tc>
          <w:tcPr>
            <w:tcW w:w="462" w:type="pct"/>
            <w:shd w:val="clear" w:color="auto" w:fill="F2F2F2"/>
            <w:vAlign w:val="center"/>
          </w:tcPr>
          <w:p w14:paraId="2745977D" w14:textId="77777777" w:rsidR="004E3242" w:rsidRPr="004E3242" w:rsidRDefault="004E3242" w:rsidP="004E3242">
            <w:pPr>
              <w:spacing w:before="60" w:after="60" w:line="240" w:lineRule="auto"/>
              <w:jc w:val="center"/>
              <w:rPr>
                <w:rFonts w:ascii="Arial" w:hAnsi="Arial" w:cs="Arial"/>
                <w:spacing w:val="4"/>
                <w:sz w:val="16"/>
                <w:szCs w:val="16"/>
              </w:rPr>
            </w:pPr>
            <w:r w:rsidRPr="004E3242">
              <w:rPr>
                <w:rFonts w:ascii="Arial" w:hAnsi="Arial" w:cs="Arial"/>
                <w:spacing w:val="4"/>
                <w:sz w:val="16"/>
                <w:szCs w:val="16"/>
              </w:rPr>
              <w:t xml:space="preserve">Warunek niespełniony </w:t>
            </w:r>
          </w:p>
        </w:tc>
        <w:tc>
          <w:tcPr>
            <w:tcW w:w="814" w:type="pct"/>
            <w:shd w:val="clear" w:color="auto" w:fill="F2F2F2"/>
            <w:vAlign w:val="center"/>
          </w:tcPr>
          <w:p w14:paraId="33D15354" w14:textId="77777777" w:rsidR="004E3242" w:rsidRPr="004E3242" w:rsidRDefault="004E3242" w:rsidP="004E3242">
            <w:pPr>
              <w:tabs>
                <w:tab w:val="num" w:pos="16"/>
              </w:tabs>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Gotowe są krajowe lub regionalne strategiczne ramy polityki zdrowotnej, które zawierają:</w:t>
            </w:r>
          </w:p>
          <w:p w14:paraId="00768AD9" w14:textId="77777777" w:rsidR="004E3242" w:rsidRPr="004E3242" w:rsidRDefault="004E3242" w:rsidP="004E3242">
            <w:pPr>
              <w:tabs>
                <w:tab w:val="num" w:pos="16"/>
              </w:tabs>
              <w:spacing w:before="60" w:after="60" w:line="240" w:lineRule="auto"/>
              <w:jc w:val="both"/>
              <w:rPr>
                <w:rFonts w:ascii="Arial" w:hAnsi="Arial" w:cs="Arial"/>
                <w:sz w:val="16"/>
                <w:szCs w:val="16"/>
                <w:lang w:eastAsia="pl-PL"/>
              </w:rPr>
            </w:pPr>
          </w:p>
          <w:p w14:paraId="5EB94554" w14:textId="77777777" w:rsidR="004E3242" w:rsidRPr="004E3242" w:rsidRDefault="004E3242" w:rsidP="00B345B6">
            <w:pPr>
              <w:numPr>
                <w:ilvl w:val="0"/>
                <w:numId w:val="44"/>
              </w:num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skoordynowane działania poprawiające dostęp do świadczeń zdrowotnych;</w:t>
            </w:r>
          </w:p>
          <w:p w14:paraId="04A57E96" w14:textId="77777777" w:rsidR="004E3242" w:rsidRPr="004E3242" w:rsidRDefault="004E3242" w:rsidP="004E3242">
            <w:pPr>
              <w:spacing w:before="60" w:after="60" w:line="240" w:lineRule="auto"/>
              <w:ind w:left="850" w:hanging="850"/>
              <w:jc w:val="both"/>
              <w:rPr>
                <w:rFonts w:ascii="Arial" w:hAnsi="Arial" w:cs="Arial"/>
                <w:sz w:val="16"/>
                <w:szCs w:val="16"/>
                <w:lang w:eastAsia="pl-PL"/>
              </w:rPr>
            </w:pPr>
          </w:p>
          <w:p w14:paraId="5BF601FA" w14:textId="77777777" w:rsidR="004E3242" w:rsidRPr="004E3242" w:rsidRDefault="004E3242" w:rsidP="004E3242">
            <w:pPr>
              <w:spacing w:before="60" w:after="60" w:line="240" w:lineRule="auto"/>
              <w:ind w:left="850" w:hanging="850"/>
              <w:jc w:val="both"/>
              <w:rPr>
                <w:rFonts w:ascii="Arial" w:hAnsi="Arial" w:cs="Arial"/>
                <w:sz w:val="16"/>
                <w:szCs w:val="16"/>
                <w:lang w:eastAsia="pl-PL"/>
              </w:rPr>
            </w:pPr>
          </w:p>
          <w:p w14:paraId="07B6CA96" w14:textId="77777777" w:rsidR="004E3242" w:rsidRPr="004E3242" w:rsidRDefault="004E3242" w:rsidP="00B345B6">
            <w:pPr>
              <w:numPr>
                <w:ilvl w:val="0"/>
                <w:numId w:val="44"/>
              </w:num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działania mające na celu stymulowanie efektywności w sektorze opieki zdrowotnej poprzez wprowadzanie modeli świadczenia usług i infrastruktury;</w:t>
            </w:r>
          </w:p>
          <w:p w14:paraId="0A868C26" w14:textId="77777777" w:rsidR="004E3242" w:rsidRPr="004E3242" w:rsidRDefault="004E3242" w:rsidP="004E3242">
            <w:pPr>
              <w:spacing w:before="60" w:after="60" w:line="240" w:lineRule="auto"/>
              <w:jc w:val="both"/>
              <w:rPr>
                <w:rFonts w:ascii="Arial" w:hAnsi="Arial" w:cs="Arial"/>
                <w:sz w:val="16"/>
                <w:szCs w:val="16"/>
                <w:lang w:eastAsia="pl-PL"/>
              </w:rPr>
            </w:pPr>
          </w:p>
          <w:p w14:paraId="66BB555C" w14:textId="77777777" w:rsidR="004E3242" w:rsidRPr="004E3242" w:rsidRDefault="004E3242" w:rsidP="00B345B6">
            <w:pPr>
              <w:numPr>
                <w:ilvl w:val="0"/>
                <w:numId w:val="44"/>
              </w:numPr>
              <w:spacing w:before="60" w:after="60" w:line="240" w:lineRule="auto"/>
              <w:jc w:val="both"/>
              <w:rPr>
                <w:rFonts w:ascii="Arial" w:hAnsi="Arial" w:cs="Arial"/>
                <w:sz w:val="16"/>
                <w:szCs w:val="16"/>
                <w:lang w:eastAsia="pl-PL"/>
              </w:rPr>
            </w:pPr>
            <w:r w:rsidRPr="004E3242">
              <w:rPr>
                <w:rFonts w:ascii="Arial" w:hAnsi="Arial" w:cs="Arial"/>
                <w:sz w:val="16"/>
                <w:szCs w:val="16"/>
                <w:lang w:eastAsia="pl-PL"/>
              </w:rPr>
              <w:t>system monitorowania i przeglądu.</w:t>
            </w:r>
          </w:p>
          <w:p w14:paraId="3BC6962B" w14:textId="77777777" w:rsidR="004E3242" w:rsidRPr="004E3242" w:rsidRDefault="004E3242" w:rsidP="004E3242">
            <w:pPr>
              <w:spacing w:before="60" w:after="60"/>
              <w:rPr>
                <w:rFonts w:ascii="Arial" w:hAnsi="Arial" w:cs="Arial"/>
                <w:sz w:val="16"/>
                <w:szCs w:val="16"/>
              </w:rPr>
            </w:pPr>
          </w:p>
          <w:p w14:paraId="4C7BD11A" w14:textId="77777777" w:rsidR="004E3242" w:rsidRPr="004E3242" w:rsidRDefault="004E3242" w:rsidP="004E3242">
            <w:pPr>
              <w:spacing w:before="60" w:after="60"/>
              <w:rPr>
                <w:rFonts w:ascii="Arial" w:hAnsi="Arial" w:cs="Arial"/>
                <w:sz w:val="16"/>
                <w:szCs w:val="16"/>
              </w:rPr>
            </w:pPr>
          </w:p>
          <w:p w14:paraId="4511B859" w14:textId="77777777" w:rsidR="004E3242" w:rsidRPr="004E3242" w:rsidRDefault="004E3242" w:rsidP="004E3242">
            <w:pPr>
              <w:spacing w:before="60" w:after="60" w:line="240" w:lineRule="auto"/>
              <w:jc w:val="both"/>
              <w:rPr>
                <w:rFonts w:ascii="Arial" w:hAnsi="Arial" w:cs="Arial"/>
                <w:spacing w:val="4"/>
                <w:sz w:val="16"/>
                <w:szCs w:val="16"/>
              </w:rPr>
            </w:pPr>
            <w:r w:rsidRPr="004E3242">
              <w:rPr>
                <w:rFonts w:ascii="Arial" w:hAnsi="Arial" w:cs="Arial"/>
                <w:sz w:val="16"/>
                <w:szCs w:val="16"/>
                <w:lang w:eastAsia="pl-PL"/>
              </w:rPr>
              <w:t xml:space="preserve">Państwo członkowskie lub region przyjęły ramy określające szacunkowo dostępne środki budżetowe na opiekę zdrowotną oraz efektywną pod względem kosztów koncentrację środków przeznaczonych na </w:t>
            </w:r>
            <w:r w:rsidRPr="004E3242">
              <w:rPr>
                <w:rFonts w:ascii="Arial" w:hAnsi="Arial" w:cs="Arial"/>
                <w:sz w:val="16"/>
                <w:szCs w:val="16"/>
                <w:lang w:eastAsia="pl-PL"/>
              </w:rPr>
              <w:lastRenderedPageBreak/>
              <w:t>priorytetowe potrzeby opieki zdrowotnej.</w:t>
            </w:r>
          </w:p>
        </w:tc>
        <w:tc>
          <w:tcPr>
            <w:tcW w:w="459" w:type="pct"/>
            <w:shd w:val="clear" w:color="auto" w:fill="F2F2F2"/>
            <w:vAlign w:val="center"/>
          </w:tcPr>
          <w:p w14:paraId="53DA095E"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lastRenderedPageBreak/>
              <w:t>Kryterium niespełnione</w:t>
            </w:r>
          </w:p>
          <w:p w14:paraId="6EA64F96" w14:textId="77777777" w:rsidR="004E3242" w:rsidRPr="004E3242" w:rsidRDefault="004E3242" w:rsidP="004E3242">
            <w:pPr>
              <w:spacing w:before="60" w:after="60"/>
              <w:rPr>
                <w:rFonts w:ascii="Arial" w:hAnsi="Arial" w:cs="Arial"/>
                <w:spacing w:val="4"/>
                <w:sz w:val="16"/>
                <w:szCs w:val="16"/>
              </w:rPr>
            </w:pPr>
          </w:p>
          <w:p w14:paraId="7D4811AB" w14:textId="77777777" w:rsidR="004E3242" w:rsidRPr="004E3242" w:rsidRDefault="004E3242" w:rsidP="004E3242">
            <w:pPr>
              <w:spacing w:before="60" w:after="60"/>
              <w:rPr>
                <w:rFonts w:ascii="Arial" w:hAnsi="Arial" w:cs="Arial"/>
                <w:spacing w:val="4"/>
                <w:sz w:val="16"/>
                <w:szCs w:val="16"/>
              </w:rPr>
            </w:pPr>
          </w:p>
          <w:p w14:paraId="50DAC7C7"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Kryterium niespełnione</w:t>
            </w:r>
          </w:p>
          <w:p w14:paraId="742F0477" w14:textId="77777777" w:rsidR="004E3242" w:rsidRPr="004E3242" w:rsidRDefault="004E3242" w:rsidP="004E3242">
            <w:pPr>
              <w:spacing w:before="60" w:after="60"/>
              <w:rPr>
                <w:rFonts w:ascii="Arial" w:hAnsi="Arial" w:cs="Arial"/>
                <w:spacing w:val="4"/>
                <w:sz w:val="16"/>
                <w:szCs w:val="16"/>
              </w:rPr>
            </w:pPr>
          </w:p>
          <w:p w14:paraId="4ACB4E01" w14:textId="77777777" w:rsidR="004E3242" w:rsidRPr="004E3242" w:rsidRDefault="004E3242" w:rsidP="004E3242">
            <w:pPr>
              <w:spacing w:before="60" w:after="60"/>
              <w:rPr>
                <w:rFonts w:ascii="Arial" w:hAnsi="Arial" w:cs="Arial"/>
                <w:spacing w:val="4"/>
                <w:sz w:val="16"/>
                <w:szCs w:val="16"/>
              </w:rPr>
            </w:pPr>
          </w:p>
          <w:p w14:paraId="747C511B"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Kryterium niespełnione</w:t>
            </w:r>
          </w:p>
          <w:p w14:paraId="6040635B" w14:textId="77777777" w:rsidR="004E3242" w:rsidRPr="004E3242" w:rsidRDefault="004E3242" w:rsidP="004E3242">
            <w:pPr>
              <w:spacing w:before="60" w:after="60"/>
              <w:rPr>
                <w:rFonts w:ascii="Arial" w:hAnsi="Arial" w:cs="Arial"/>
                <w:spacing w:val="4"/>
                <w:sz w:val="16"/>
                <w:szCs w:val="16"/>
              </w:rPr>
            </w:pPr>
          </w:p>
          <w:p w14:paraId="21307F4A" w14:textId="77777777" w:rsidR="004E3242" w:rsidRPr="004E3242" w:rsidRDefault="004E3242" w:rsidP="004E3242">
            <w:pPr>
              <w:spacing w:before="60" w:after="60"/>
              <w:rPr>
                <w:rFonts w:ascii="Arial" w:hAnsi="Arial" w:cs="Arial"/>
                <w:spacing w:val="4"/>
                <w:sz w:val="16"/>
                <w:szCs w:val="16"/>
              </w:rPr>
            </w:pPr>
          </w:p>
          <w:p w14:paraId="5C8FFC91" w14:textId="77777777" w:rsidR="004E3242" w:rsidRPr="004E3242" w:rsidRDefault="004E3242" w:rsidP="004E3242">
            <w:pPr>
              <w:spacing w:before="60" w:after="60"/>
              <w:rPr>
                <w:rFonts w:ascii="Arial" w:hAnsi="Arial" w:cs="Arial"/>
                <w:spacing w:val="4"/>
                <w:sz w:val="16"/>
                <w:szCs w:val="16"/>
              </w:rPr>
            </w:pPr>
          </w:p>
          <w:p w14:paraId="1AD939D8" w14:textId="77777777" w:rsidR="004E3242" w:rsidRPr="004E3242" w:rsidRDefault="004E3242" w:rsidP="004E3242">
            <w:pPr>
              <w:spacing w:before="60" w:after="60"/>
              <w:rPr>
                <w:rFonts w:ascii="Arial" w:hAnsi="Arial" w:cs="Arial"/>
                <w:spacing w:val="4"/>
                <w:sz w:val="16"/>
                <w:szCs w:val="16"/>
              </w:rPr>
            </w:pPr>
          </w:p>
          <w:p w14:paraId="1A8CCDEA"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 xml:space="preserve">Kryterium </w:t>
            </w:r>
          </w:p>
          <w:p w14:paraId="26C4578F" w14:textId="77777777" w:rsidR="004E3242" w:rsidRPr="004E3242" w:rsidRDefault="004E3242" w:rsidP="004E3242">
            <w:pPr>
              <w:spacing w:before="60" w:after="60"/>
              <w:rPr>
                <w:rFonts w:ascii="Arial" w:hAnsi="Arial" w:cs="Arial"/>
                <w:spacing w:val="4"/>
                <w:sz w:val="16"/>
                <w:szCs w:val="16"/>
              </w:rPr>
            </w:pPr>
          </w:p>
          <w:p w14:paraId="555FE2B6" w14:textId="77777777" w:rsidR="004E3242" w:rsidRPr="004E3242" w:rsidRDefault="004E3242" w:rsidP="004E3242">
            <w:pPr>
              <w:spacing w:before="60" w:after="60"/>
              <w:rPr>
                <w:rFonts w:ascii="Arial" w:hAnsi="Arial" w:cs="Arial"/>
                <w:spacing w:val="4"/>
                <w:sz w:val="16"/>
                <w:szCs w:val="16"/>
              </w:rPr>
            </w:pPr>
          </w:p>
          <w:p w14:paraId="5A89512F" w14:textId="77777777" w:rsidR="004E3242" w:rsidRPr="004E3242" w:rsidRDefault="004E3242" w:rsidP="004E3242">
            <w:pPr>
              <w:spacing w:before="60" w:after="60"/>
              <w:rPr>
                <w:rFonts w:ascii="Arial" w:hAnsi="Arial" w:cs="Arial"/>
                <w:spacing w:val="4"/>
                <w:sz w:val="16"/>
                <w:szCs w:val="16"/>
              </w:rPr>
            </w:pPr>
            <w:r w:rsidRPr="004E3242">
              <w:rPr>
                <w:rFonts w:ascii="Arial" w:hAnsi="Arial" w:cs="Arial"/>
                <w:spacing w:val="4"/>
                <w:sz w:val="16"/>
                <w:szCs w:val="16"/>
              </w:rPr>
              <w:t>Kryterium niespełnione</w:t>
            </w:r>
          </w:p>
          <w:p w14:paraId="60FC5595" w14:textId="77777777" w:rsidR="004E3242" w:rsidRPr="004E3242" w:rsidRDefault="004E3242" w:rsidP="004E3242">
            <w:pPr>
              <w:spacing w:before="60" w:after="60"/>
              <w:rPr>
                <w:rFonts w:ascii="Arial" w:hAnsi="Arial" w:cs="Arial"/>
                <w:spacing w:val="4"/>
                <w:sz w:val="16"/>
                <w:szCs w:val="16"/>
              </w:rPr>
            </w:pPr>
          </w:p>
          <w:p w14:paraId="4B6C2958" w14:textId="77777777" w:rsidR="004E3242" w:rsidRPr="004E3242" w:rsidRDefault="004E3242" w:rsidP="004E3242">
            <w:pPr>
              <w:spacing w:before="60" w:after="60"/>
              <w:rPr>
                <w:rFonts w:ascii="Arial" w:hAnsi="Arial" w:cs="Arial"/>
                <w:spacing w:val="4"/>
                <w:sz w:val="16"/>
                <w:szCs w:val="16"/>
              </w:rPr>
            </w:pPr>
          </w:p>
          <w:p w14:paraId="0F7AE43F" w14:textId="77777777" w:rsidR="004E3242" w:rsidRPr="004E3242" w:rsidRDefault="004E3242" w:rsidP="004E3242">
            <w:pPr>
              <w:spacing w:before="60" w:after="60" w:line="240" w:lineRule="auto"/>
              <w:jc w:val="center"/>
              <w:rPr>
                <w:rFonts w:ascii="Arial" w:hAnsi="Arial" w:cs="Arial"/>
                <w:spacing w:val="4"/>
                <w:sz w:val="16"/>
                <w:szCs w:val="16"/>
              </w:rPr>
            </w:pPr>
          </w:p>
        </w:tc>
        <w:tc>
          <w:tcPr>
            <w:tcW w:w="1105" w:type="pct"/>
            <w:shd w:val="clear" w:color="auto" w:fill="F2F2F2"/>
            <w:vAlign w:val="center"/>
          </w:tcPr>
          <w:p w14:paraId="7892FF1A" w14:textId="77777777" w:rsidR="004E3242" w:rsidRPr="004E3242" w:rsidRDefault="004E3242" w:rsidP="004E3242">
            <w:pPr>
              <w:spacing w:before="60" w:after="60" w:line="240" w:lineRule="auto"/>
              <w:jc w:val="both"/>
              <w:rPr>
                <w:rFonts w:ascii="Arial" w:hAnsi="Arial" w:cs="Arial"/>
                <w:sz w:val="16"/>
                <w:szCs w:val="16"/>
              </w:rPr>
            </w:pPr>
            <w:r w:rsidRPr="004E3242">
              <w:rPr>
                <w:rFonts w:ascii="Arial" w:hAnsi="Arial" w:cs="Arial"/>
                <w:sz w:val="16"/>
                <w:szCs w:val="16"/>
              </w:rPr>
              <w:t xml:space="preserve">Policy </w:t>
            </w:r>
            <w:proofErr w:type="spellStart"/>
            <w:r w:rsidRPr="004E3242">
              <w:rPr>
                <w:rFonts w:ascii="Arial" w:hAnsi="Arial" w:cs="Arial"/>
                <w:sz w:val="16"/>
                <w:szCs w:val="16"/>
              </w:rPr>
              <w:t>paper</w:t>
            </w:r>
            <w:proofErr w:type="spellEnd"/>
            <w:r w:rsidRPr="004E3242">
              <w:rPr>
                <w:rFonts w:ascii="Arial" w:hAnsi="Arial" w:cs="Arial"/>
                <w:sz w:val="16"/>
                <w:szCs w:val="16"/>
              </w:rPr>
              <w:t xml:space="preserve"> dla ochrony zdrowia na lata 2014-2020 - Krajowe Ramy Strategiczne</w:t>
            </w:r>
          </w:p>
          <w:p w14:paraId="3A518DD1" w14:textId="77777777" w:rsidR="004E3242" w:rsidRPr="004E3242" w:rsidRDefault="004E3242" w:rsidP="004E3242">
            <w:pPr>
              <w:spacing w:before="60" w:after="60" w:line="240" w:lineRule="auto"/>
              <w:jc w:val="both"/>
              <w:rPr>
                <w:rFonts w:ascii="Arial" w:hAnsi="Arial" w:cs="Arial"/>
                <w:sz w:val="16"/>
                <w:szCs w:val="16"/>
              </w:rPr>
            </w:pPr>
          </w:p>
          <w:p w14:paraId="65BA710D" w14:textId="77777777" w:rsidR="004E3242" w:rsidRPr="004E3242" w:rsidRDefault="004E3242" w:rsidP="004E3242">
            <w:pPr>
              <w:spacing w:before="60" w:after="60" w:line="240" w:lineRule="auto"/>
              <w:jc w:val="both"/>
              <w:rPr>
                <w:rFonts w:ascii="Arial" w:hAnsi="Arial" w:cs="Arial"/>
                <w:sz w:val="16"/>
                <w:szCs w:val="16"/>
              </w:rPr>
            </w:pPr>
          </w:p>
          <w:p w14:paraId="3C8FEFAB" w14:textId="77777777" w:rsidR="004E3242" w:rsidRPr="004E3242" w:rsidRDefault="004E3242" w:rsidP="004E3242">
            <w:pPr>
              <w:spacing w:before="60" w:after="60" w:line="240" w:lineRule="auto"/>
              <w:jc w:val="both"/>
              <w:rPr>
                <w:rFonts w:ascii="Arial" w:hAnsi="Arial" w:cs="Arial"/>
                <w:sz w:val="16"/>
                <w:szCs w:val="16"/>
              </w:rPr>
            </w:pPr>
          </w:p>
          <w:p w14:paraId="78EA34D4" w14:textId="77777777" w:rsidR="004E3242" w:rsidRPr="004E3242" w:rsidRDefault="004E3242" w:rsidP="004E3242">
            <w:pPr>
              <w:spacing w:before="60" w:after="60" w:line="240" w:lineRule="auto"/>
              <w:jc w:val="both"/>
              <w:rPr>
                <w:rFonts w:ascii="Arial" w:hAnsi="Arial" w:cs="Arial"/>
                <w:sz w:val="16"/>
                <w:szCs w:val="16"/>
              </w:rPr>
            </w:pPr>
          </w:p>
          <w:p w14:paraId="4BF9B4AE" w14:textId="77777777" w:rsidR="004E3242" w:rsidRPr="004E3242" w:rsidRDefault="004E3242" w:rsidP="004E3242">
            <w:pPr>
              <w:spacing w:before="60" w:after="60" w:line="240" w:lineRule="auto"/>
              <w:jc w:val="both"/>
              <w:rPr>
                <w:rFonts w:ascii="Arial" w:hAnsi="Arial" w:cs="Arial"/>
                <w:sz w:val="16"/>
                <w:szCs w:val="16"/>
              </w:rPr>
            </w:pPr>
          </w:p>
          <w:p w14:paraId="4595673B" w14:textId="77777777" w:rsidR="004E3242" w:rsidRPr="004E3242" w:rsidRDefault="004E3242" w:rsidP="004E3242">
            <w:pPr>
              <w:spacing w:before="60" w:after="60" w:line="240" w:lineRule="auto"/>
              <w:jc w:val="both"/>
              <w:rPr>
                <w:rFonts w:ascii="Arial" w:hAnsi="Arial" w:cs="Arial"/>
                <w:sz w:val="16"/>
                <w:szCs w:val="16"/>
              </w:rPr>
            </w:pPr>
          </w:p>
          <w:p w14:paraId="0FA60B1E" w14:textId="77777777" w:rsidR="004E3242" w:rsidRPr="004E3242" w:rsidRDefault="004E3242" w:rsidP="004E3242">
            <w:pPr>
              <w:spacing w:before="60" w:after="60" w:line="240" w:lineRule="auto"/>
              <w:jc w:val="both"/>
              <w:rPr>
                <w:rFonts w:ascii="Arial" w:hAnsi="Arial" w:cs="Arial"/>
                <w:sz w:val="16"/>
                <w:szCs w:val="16"/>
              </w:rPr>
            </w:pPr>
          </w:p>
          <w:p w14:paraId="700538B7" w14:textId="77777777" w:rsidR="004E3242" w:rsidRPr="004E3242" w:rsidRDefault="004E3242" w:rsidP="004E3242">
            <w:pPr>
              <w:spacing w:before="60" w:after="60" w:line="240" w:lineRule="auto"/>
              <w:jc w:val="both"/>
              <w:rPr>
                <w:rFonts w:ascii="Arial" w:hAnsi="Arial" w:cs="Arial"/>
                <w:sz w:val="16"/>
                <w:szCs w:val="16"/>
              </w:rPr>
            </w:pPr>
          </w:p>
          <w:p w14:paraId="135DB4E0" w14:textId="77777777" w:rsidR="004E3242" w:rsidRPr="004E3242" w:rsidRDefault="004E3242" w:rsidP="004E3242">
            <w:pPr>
              <w:spacing w:before="60" w:after="60" w:line="240" w:lineRule="auto"/>
              <w:jc w:val="both"/>
              <w:rPr>
                <w:rFonts w:ascii="Arial" w:hAnsi="Arial" w:cs="Arial"/>
                <w:sz w:val="16"/>
                <w:szCs w:val="16"/>
              </w:rPr>
            </w:pPr>
          </w:p>
          <w:p w14:paraId="0CF0BA8A" w14:textId="77777777" w:rsidR="004E3242" w:rsidRPr="004E3242" w:rsidRDefault="004E3242" w:rsidP="004E3242">
            <w:pPr>
              <w:spacing w:before="60" w:after="60" w:line="240" w:lineRule="auto"/>
              <w:jc w:val="both"/>
              <w:rPr>
                <w:rFonts w:ascii="Arial" w:hAnsi="Arial" w:cs="Arial"/>
                <w:sz w:val="16"/>
                <w:szCs w:val="16"/>
              </w:rPr>
            </w:pPr>
          </w:p>
          <w:p w14:paraId="0A30E65A" w14:textId="77777777" w:rsidR="004E3242" w:rsidRPr="004E3242" w:rsidRDefault="004E3242" w:rsidP="004E3242">
            <w:pPr>
              <w:spacing w:before="60" w:after="60" w:line="240" w:lineRule="auto"/>
              <w:jc w:val="both"/>
              <w:rPr>
                <w:rFonts w:ascii="Arial" w:hAnsi="Arial" w:cs="Arial"/>
                <w:sz w:val="16"/>
                <w:szCs w:val="16"/>
              </w:rPr>
            </w:pPr>
          </w:p>
          <w:p w14:paraId="1101B03D" w14:textId="77777777" w:rsidR="004E3242" w:rsidRPr="004E3242" w:rsidRDefault="004E3242" w:rsidP="004E3242">
            <w:pPr>
              <w:spacing w:before="60" w:after="60" w:line="240" w:lineRule="auto"/>
              <w:jc w:val="both"/>
              <w:rPr>
                <w:rFonts w:ascii="Arial" w:hAnsi="Arial" w:cs="Arial"/>
                <w:sz w:val="16"/>
                <w:szCs w:val="16"/>
              </w:rPr>
            </w:pPr>
          </w:p>
          <w:p w14:paraId="08D2C7B7" w14:textId="77777777" w:rsidR="004E3242" w:rsidRPr="004E3242" w:rsidRDefault="004E3242" w:rsidP="004E3242">
            <w:pPr>
              <w:spacing w:before="60" w:after="60" w:line="240" w:lineRule="auto"/>
              <w:jc w:val="both"/>
              <w:rPr>
                <w:rFonts w:ascii="Arial" w:hAnsi="Arial" w:cs="Arial"/>
                <w:sz w:val="16"/>
                <w:szCs w:val="16"/>
              </w:rPr>
            </w:pPr>
          </w:p>
          <w:p w14:paraId="194469C3" w14:textId="77777777" w:rsidR="004E3242" w:rsidRPr="004E3242" w:rsidRDefault="004E3242" w:rsidP="004E3242">
            <w:pPr>
              <w:spacing w:before="60" w:after="60" w:line="240" w:lineRule="auto"/>
              <w:jc w:val="both"/>
              <w:rPr>
                <w:rFonts w:ascii="Arial" w:hAnsi="Arial" w:cs="Arial"/>
                <w:sz w:val="16"/>
                <w:szCs w:val="16"/>
              </w:rPr>
            </w:pPr>
          </w:p>
          <w:p w14:paraId="709A0CBE" w14:textId="77777777" w:rsidR="004E3242" w:rsidRPr="004E3242" w:rsidRDefault="004E3242" w:rsidP="004E3242">
            <w:pPr>
              <w:spacing w:before="60" w:after="60" w:line="240" w:lineRule="auto"/>
              <w:jc w:val="both"/>
              <w:rPr>
                <w:rFonts w:ascii="Arial" w:hAnsi="Arial" w:cs="Arial"/>
                <w:sz w:val="16"/>
                <w:szCs w:val="16"/>
              </w:rPr>
            </w:pPr>
          </w:p>
          <w:p w14:paraId="60E7C9FC" w14:textId="77777777" w:rsidR="004E3242" w:rsidRPr="004E3242" w:rsidRDefault="004E3242" w:rsidP="004E3242">
            <w:pPr>
              <w:spacing w:before="60" w:after="60" w:line="240" w:lineRule="auto"/>
              <w:jc w:val="both"/>
              <w:rPr>
                <w:rFonts w:ascii="Arial" w:hAnsi="Arial" w:cs="Arial"/>
                <w:sz w:val="16"/>
                <w:szCs w:val="16"/>
              </w:rPr>
            </w:pPr>
          </w:p>
          <w:p w14:paraId="373CB738" w14:textId="77777777" w:rsidR="004E3242" w:rsidRPr="004E3242" w:rsidRDefault="004E3242" w:rsidP="004E3242">
            <w:pPr>
              <w:spacing w:before="60" w:after="60" w:line="240" w:lineRule="auto"/>
              <w:jc w:val="both"/>
              <w:rPr>
                <w:rFonts w:ascii="Arial" w:hAnsi="Arial" w:cs="Arial"/>
                <w:sz w:val="16"/>
                <w:szCs w:val="16"/>
              </w:rPr>
            </w:pPr>
          </w:p>
          <w:p w14:paraId="2F4D9DAF" w14:textId="77777777" w:rsidR="004E3242" w:rsidRPr="004E3242" w:rsidRDefault="004E3242" w:rsidP="004E3242">
            <w:pPr>
              <w:spacing w:before="60" w:after="60" w:line="240" w:lineRule="auto"/>
              <w:jc w:val="both"/>
              <w:rPr>
                <w:rFonts w:ascii="Arial" w:hAnsi="Arial" w:cs="Arial"/>
                <w:sz w:val="16"/>
                <w:szCs w:val="16"/>
              </w:rPr>
            </w:pPr>
          </w:p>
          <w:p w14:paraId="4FA72135" w14:textId="77777777" w:rsidR="004E3242" w:rsidRPr="004E3242" w:rsidRDefault="004E3242" w:rsidP="004E3242">
            <w:pPr>
              <w:spacing w:before="60" w:after="60" w:line="240" w:lineRule="auto"/>
              <w:jc w:val="both"/>
              <w:rPr>
                <w:rFonts w:ascii="Arial" w:hAnsi="Arial" w:cs="Arial"/>
                <w:sz w:val="16"/>
                <w:szCs w:val="16"/>
              </w:rPr>
            </w:pPr>
          </w:p>
          <w:p w14:paraId="59B1D7E7" w14:textId="77777777" w:rsidR="004E3242" w:rsidRPr="004E3242" w:rsidRDefault="004E3242" w:rsidP="004E3242">
            <w:pPr>
              <w:spacing w:before="60" w:after="60" w:line="240" w:lineRule="auto"/>
              <w:jc w:val="both"/>
              <w:rPr>
                <w:rFonts w:ascii="Arial" w:hAnsi="Arial" w:cs="Arial"/>
                <w:sz w:val="16"/>
                <w:szCs w:val="16"/>
              </w:rPr>
            </w:pPr>
          </w:p>
          <w:p w14:paraId="16B4971B" w14:textId="77777777" w:rsidR="004E3242" w:rsidRPr="004E3242" w:rsidRDefault="004E3242" w:rsidP="004E3242">
            <w:pPr>
              <w:spacing w:before="60" w:after="60" w:line="240" w:lineRule="auto"/>
              <w:jc w:val="both"/>
              <w:rPr>
                <w:rFonts w:ascii="Arial" w:hAnsi="Arial" w:cs="Arial"/>
                <w:sz w:val="16"/>
                <w:szCs w:val="16"/>
              </w:rPr>
            </w:pPr>
          </w:p>
          <w:p w14:paraId="2915A6A6" w14:textId="77777777" w:rsidR="004E3242" w:rsidRPr="004E3242" w:rsidRDefault="004E3242" w:rsidP="004E3242">
            <w:pPr>
              <w:spacing w:before="60" w:after="60" w:line="240" w:lineRule="auto"/>
              <w:jc w:val="both"/>
              <w:rPr>
                <w:rFonts w:ascii="Arial" w:hAnsi="Arial" w:cs="Arial"/>
                <w:sz w:val="16"/>
                <w:szCs w:val="16"/>
              </w:rPr>
            </w:pPr>
          </w:p>
        </w:tc>
        <w:tc>
          <w:tcPr>
            <w:tcW w:w="981" w:type="pct"/>
            <w:shd w:val="clear" w:color="auto" w:fill="F2F2F2"/>
            <w:vAlign w:val="center"/>
          </w:tcPr>
          <w:p w14:paraId="3EA6FEDA" w14:textId="77777777" w:rsidR="004E3242" w:rsidRPr="004E3242" w:rsidRDefault="004E3242" w:rsidP="004E3242">
            <w:pPr>
              <w:spacing w:before="60" w:after="60" w:line="240" w:lineRule="auto"/>
              <w:jc w:val="center"/>
              <w:rPr>
                <w:rFonts w:ascii="Arial" w:hAnsi="Arial" w:cs="Arial"/>
                <w:spacing w:val="4"/>
                <w:sz w:val="16"/>
                <w:szCs w:val="16"/>
              </w:rPr>
            </w:pPr>
          </w:p>
        </w:tc>
      </w:tr>
    </w:tbl>
    <w:p w14:paraId="3A7CF87C" w14:textId="77777777" w:rsidR="004E3242" w:rsidRPr="004E3242" w:rsidRDefault="004E3242" w:rsidP="004E3242">
      <w:pPr>
        <w:spacing w:after="120" w:line="280" w:lineRule="atLeast"/>
        <w:jc w:val="both"/>
        <w:rPr>
          <w:rFonts w:ascii="Arial" w:hAnsi="Arial" w:cs="Arial"/>
          <w:b/>
          <w:i/>
          <w:spacing w:val="4"/>
          <w:sz w:val="20"/>
          <w:szCs w:val="20"/>
        </w:rPr>
        <w:sectPr w:rsidR="004E3242" w:rsidRPr="004E3242" w:rsidSect="00C73ABE">
          <w:pgSz w:w="16838" w:h="11906" w:orient="landscape"/>
          <w:pgMar w:top="1418" w:right="851" w:bottom="1418" w:left="851" w:header="709" w:footer="709" w:gutter="0"/>
          <w:cols w:space="708"/>
          <w:titlePg/>
          <w:docGrid w:linePitch="360"/>
        </w:sectPr>
      </w:pPr>
    </w:p>
    <w:p w14:paraId="6755732D"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681" w:name="_Toc373503589"/>
      <w:bookmarkStart w:id="682" w:name="_Toc373767501"/>
      <w:bookmarkStart w:id="683" w:name="_Toc373769053"/>
      <w:bookmarkStart w:id="684" w:name="_Toc373769371"/>
      <w:bookmarkStart w:id="685" w:name="_Toc373503593"/>
      <w:bookmarkStart w:id="686" w:name="_Toc373767505"/>
      <w:bookmarkStart w:id="687" w:name="_Toc373769057"/>
      <w:bookmarkStart w:id="688" w:name="_Toc373769375"/>
      <w:bookmarkStart w:id="689" w:name="_Toc373503595"/>
      <w:bookmarkStart w:id="690" w:name="_Toc373767507"/>
      <w:bookmarkStart w:id="691" w:name="_Toc373769059"/>
      <w:bookmarkStart w:id="692" w:name="_Toc373769377"/>
      <w:bookmarkStart w:id="693" w:name="_Toc373503596"/>
      <w:bookmarkStart w:id="694" w:name="_Toc373767508"/>
      <w:bookmarkStart w:id="695" w:name="_Toc373769060"/>
      <w:bookmarkStart w:id="696" w:name="_Toc373769378"/>
      <w:bookmarkStart w:id="697" w:name="_Toc373503598"/>
      <w:bookmarkStart w:id="698" w:name="_Toc373767510"/>
      <w:bookmarkStart w:id="699" w:name="_Toc373769062"/>
      <w:bookmarkStart w:id="700" w:name="_Toc373769380"/>
      <w:bookmarkStart w:id="701" w:name="_Toc373503599"/>
      <w:bookmarkStart w:id="702" w:name="_Toc373767511"/>
      <w:bookmarkStart w:id="703" w:name="_Toc373769063"/>
      <w:bookmarkStart w:id="704" w:name="_Toc373769381"/>
      <w:bookmarkStart w:id="705" w:name="_Toc373503603"/>
      <w:bookmarkStart w:id="706" w:name="_Toc373767515"/>
      <w:bookmarkStart w:id="707" w:name="_Toc373769067"/>
      <w:bookmarkStart w:id="708" w:name="_Toc373769385"/>
      <w:bookmarkStart w:id="709" w:name="_Toc373503605"/>
      <w:bookmarkStart w:id="710" w:name="_Toc373767517"/>
      <w:bookmarkStart w:id="711" w:name="_Toc373769069"/>
      <w:bookmarkStart w:id="712" w:name="_Toc373769387"/>
      <w:bookmarkStart w:id="713" w:name="_Toc373503607"/>
      <w:bookmarkStart w:id="714" w:name="_Toc373767519"/>
      <w:bookmarkStart w:id="715" w:name="_Toc373769071"/>
      <w:bookmarkStart w:id="716" w:name="_Toc373769389"/>
      <w:bookmarkStart w:id="717" w:name="_Toc373503608"/>
      <w:bookmarkStart w:id="718" w:name="_Toc373767520"/>
      <w:bookmarkStart w:id="719" w:name="_Toc373769072"/>
      <w:bookmarkStart w:id="720" w:name="_Toc373769390"/>
      <w:bookmarkStart w:id="721" w:name="_Toc373503609"/>
      <w:bookmarkStart w:id="722" w:name="_Toc373767521"/>
      <w:bookmarkStart w:id="723" w:name="_Toc373769073"/>
      <w:bookmarkStart w:id="724" w:name="_Toc373769391"/>
      <w:bookmarkStart w:id="725" w:name="_Toc373503612"/>
      <w:bookmarkStart w:id="726" w:name="_Toc373767524"/>
      <w:bookmarkStart w:id="727" w:name="_Toc373769076"/>
      <w:bookmarkStart w:id="728" w:name="_Toc373769394"/>
      <w:bookmarkStart w:id="729" w:name="_Toc394314818"/>
      <w:bookmarkStart w:id="730" w:name="_Toc8381059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4E3242">
        <w:rPr>
          <w:rFonts w:ascii="Arial" w:hAnsi="Arial"/>
          <w:smallCaps/>
          <w:spacing w:val="15"/>
          <w:sz w:val="24"/>
          <w:lang w:eastAsia="pl-PL"/>
        </w:rPr>
        <w:lastRenderedPageBreak/>
        <w:t>Ścieżka dojścia do spełnienia warunków</w:t>
      </w:r>
      <w:bookmarkEnd w:id="729"/>
      <w:bookmarkEnd w:id="730"/>
    </w:p>
    <w:p w14:paraId="54308626" w14:textId="77777777" w:rsidR="004E3242" w:rsidRPr="004E3242" w:rsidRDefault="004E3242" w:rsidP="004E3242">
      <w:pPr>
        <w:keepNext/>
        <w:spacing w:before="60" w:after="60" w:line="240" w:lineRule="auto"/>
        <w:rPr>
          <w:rFonts w:ascii="Arial" w:hAnsi="Arial" w:cs="Arial"/>
          <w:b/>
          <w:bCs/>
          <w:smallCaps/>
          <w:color w:val="808080"/>
          <w:sz w:val="18"/>
          <w:szCs w:val="18"/>
          <w:lang w:eastAsia="pl-PL"/>
        </w:rPr>
      </w:pPr>
      <w:r w:rsidRPr="004E3242">
        <w:rPr>
          <w:rFonts w:ascii="Arial" w:hAnsi="Arial" w:cs="Arial"/>
          <w:b/>
          <w:bCs/>
          <w:smallCaps/>
          <w:color w:val="808080"/>
          <w:sz w:val="18"/>
          <w:szCs w:val="18"/>
          <w:lang w:eastAsia="pl-PL"/>
        </w:rPr>
        <w:t xml:space="preserve">Tabela </w:t>
      </w:r>
      <w:r w:rsidRPr="004E3242">
        <w:rPr>
          <w:rFonts w:ascii="Arial" w:hAnsi="Arial" w:cs="Arial"/>
          <w:b/>
          <w:bCs/>
          <w:smallCaps/>
          <w:color w:val="808080"/>
          <w:sz w:val="18"/>
          <w:szCs w:val="18"/>
          <w:lang w:eastAsia="pl-PL"/>
        </w:rPr>
        <w:fldChar w:fldCharType="begin"/>
      </w:r>
      <w:r w:rsidRPr="004E3242">
        <w:rPr>
          <w:rFonts w:ascii="Arial" w:hAnsi="Arial" w:cs="Arial"/>
          <w:b/>
          <w:bCs/>
          <w:smallCaps/>
          <w:color w:val="808080"/>
          <w:sz w:val="18"/>
          <w:szCs w:val="18"/>
          <w:lang w:eastAsia="pl-PL"/>
        </w:rPr>
        <w:instrText xml:space="preserve"> SEQ Tabela \* ARABIC </w:instrText>
      </w:r>
      <w:r w:rsidRPr="004E3242">
        <w:rPr>
          <w:rFonts w:ascii="Arial" w:hAnsi="Arial" w:cs="Arial"/>
          <w:b/>
          <w:bCs/>
          <w:smallCaps/>
          <w:color w:val="808080"/>
          <w:sz w:val="18"/>
          <w:szCs w:val="18"/>
          <w:lang w:eastAsia="pl-PL"/>
        </w:rPr>
        <w:fldChar w:fldCharType="separate"/>
      </w:r>
      <w:r w:rsidR="00C04517">
        <w:rPr>
          <w:rFonts w:ascii="Arial" w:hAnsi="Arial" w:cs="Arial"/>
          <w:b/>
          <w:bCs/>
          <w:smallCaps/>
          <w:noProof/>
          <w:color w:val="808080"/>
          <w:sz w:val="18"/>
          <w:szCs w:val="18"/>
          <w:lang w:eastAsia="pl-PL"/>
        </w:rPr>
        <w:t>3</w:t>
      </w:r>
      <w:r w:rsidRPr="004E3242">
        <w:rPr>
          <w:rFonts w:ascii="Arial" w:hAnsi="Arial" w:cs="Arial"/>
          <w:b/>
          <w:bCs/>
          <w:smallCaps/>
          <w:color w:val="808080"/>
          <w:sz w:val="18"/>
          <w:szCs w:val="18"/>
          <w:lang w:eastAsia="pl-PL"/>
        </w:rPr>
        <w:fldChar w:fldCharType="end"/>
      </w:r>
      <w:r w:rsidRPr="004E3242">
        <w:rPr>
          <w:rFonts w:ascii="Arial" w:hAnsi="Arial" w:cs="Arial"/>
          <w:b/>
          <w:bCs/>
          <w:smallCaps/>
          <w:color w:val="808080"/>
          <w:sz w:val="18"/>
          <w:szCs w:val="18"/>
          <w:lang w:eastAsia="pl-PL"/>
        </w:rPr>
        <w:t>. Warunki tematyczne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1E0" w:firstRow="1" w:lastRow="1" w:firstColumn="1" w:lastColumn="1" w:noHBand="0" w:noVBand="0"/>
      </w:tblPr>
      <w:tblGrid>
        <w:gridCol w:w="2377"/>
        <w:gridCol w:w="4253"/>
        <w:gridCol w:w="5385"/>
        <w:gridCol w:w="1842"/>
        <w:gridCol w:w="1495"/>
      </w:tblGrid>
      <w:tr w:rsidR="004E3242" w:rsidRPr="004E3242" w14:paraId="67F9A440" w14:textId="77777777" w:rsidTr="00AA7998">
        <w:trPr>
          <w:tblHeader/>
        </w:trPr>
        <w:tc>
          <w:tcPr>
            <w:tcW w:w="774" w:type="pct"/>
            <w:shd w:val="clear" w:color="auto" w:fill="99CC00"/>
            <w:vAlign w:val="center"/>
          </w:tcPr>
          <w:p w14:paraId="649742DC" w14:textId="77777777" w:rsidR="004E3242" w:rsidRPr="004E3242" w:rsidRDefault="004E3242" w:rsidP="004E3242">
            <w:pPr>
              <w:spacing w:after="0" w:line="240" w:lineRule="auto"/>
              <w:jc w:val="center"/>
              <w:rPr>
                <w:rFonts w:ascii="Arial" w:hAnsi="Arial" w:cs="Arial"/>
                <w:b/>
                <w:color w:val="FFFFFF"/>
                <w:spacing w:val="4"/>
                <w:sz w:val="16"/>
                <w:szCs w:val="16"/>
              </w:rPr>
            </w:pPr>
            <w:r w:rsidRPr="004E3242">
              <w:rPr>
                <w:rFonts w:ascii="Arial" w:hAnsi="Arial" w:cs="Arial"/>
                <w:b/>
                <w:color w:val="FFFFFF"/>
                <w:spacing w:val="4"/>
                <w:sz w:val="16"/>
                <w:szCs w:val="16"/>
              </w:rPr>
              <w:t>Warunek</w:t>
            </w:r>
          </w:p>
        </w:tc>
        <w:tc>
          <w:tcPr>
            <w:tcW w:w="1385" w:type="pct"/>
            <w:shd w:val="clear" w:color="auto" w:fill="99CC00"/>
            <w:vAlign w:val="center"/>
          </w:tcPr>
          <w:p w14:paraId="19ECD0B5" w14:textId="77777777" w:rsidR="004E3242" w:rsidRPr="004E3242" w:rsidRDefault="004E3242" w:rsidP="004E3242">
            <w:pPr>
              <w:spacing w:after="0" w:line="240" w:lineRule="auto"/>
              <w:jc w:val="center"/>
              <w:rPr>
                <w:rFonts w:ascii="Arial" w:hAnsi="Arial" w:cs="Arial"/>
                <w:b/>
                <w:color w:val="FFFFFF"/>
                <w:spacing w:val="4"/>
                <w:sz w:val="16"/>
                <w:szCs w:val="16"/>
              </w:rPr>
            </w:pPr>
            <w:r w:rsidRPr="004E3242">
              <w:rPr>
                <w:rFonts w:ascii="Arial" w:hAnsi="Arial" w:cs="Arial"/>
                <w:b/>
                <w:color w:val="FFFFFF"/>
                <w:spacing w:val="4"/>
                <w:sz w:val="16"/>
                <w:szCs w:val="16"/>
              </w:rPr>
              <w:t>Kryteria</w:t>
            </w:r>
          </w:p>
        </w:tc>
        <w:tc>
          <w:tcPr>
            <w:tcW w:w="1754" w:type="pct"/>
            <w:shd w:val="clear" w:color="auto" w:fill="99CC00"/>
            <w:vAlign w:val="center"/>
          </w:tcPr>
          <w:p w14:paraId="2D0F80FA" w14:textId="77777777" w:rsidR="004E3242" w:rsidRPr="004E3242" w:rsidRDefault="004E3242" w:rsidP="004E3242">
            <w:pPr>
              <w:spacing w:after="0" w:line="240" w:lineRule="auto"/>
              <w:jc w:val="center"/>
              <w:rPr>
                <w:rFonts w:ascii="Arial" w:hAnsi="Arial" w:cs="Arial"/>
                <w:b/>
                <w:color w:val="FFFFFF"/>
                <w:spacing w:val="4"/>
                <w:sz w:val="16"/>
                <w:szCs w:val="16"/>
              </w:rPr>
            </w:pPr>
            <w:r w:rsidRPr="004E3242">
              <w:rPr>
                <w:rFonts w:ascii="Arial" w:hAnsi="Arial" w:cs="Arial"/>
                <w:b/>
                <w:color w:val="FFFFFF"/>
                <w:spacing w:val="4"/>
                <w:sz w:val="16"/>
                <w:szCs w:val="16"/>
              </w:rPr>
              <w:t>Planowane działania</w:t>
            </w:r>
          </w:p>
        </w:tc>
        <w:tc>
          <w:tcPr>
            <w:tcW w:w="600" w:type="pct"/>
            <w:shd w:val="clear" w:color="auto" w:fill="99CC00"/>
            <w:vAlign w:val="center"/>
          </w:tcPr>
          <w:p w14:paraId="46D3CCC3" w14:textId="77777777" w:rsidR="004E3242" w:rsidRPr="004E3242" w:rsidRDefault="004E3242" w:rsidP="004E3242">
            <w:pPr>
              <w:spacing w:after="0" w:line="240" w:lineRule="auto"/>
              <w:jc w:val="center"/>
              <w:rPr>
                <w:rFonts w:ascii="Arial" w:hAnsi="Arial" w:cs="Arial"/>
                <w:b/>
                <w:color w:val="FFFFFF"/>
                <w:spacing w:val="4"/>
                <w:sz w:val="16"/>
                <w:szCs w:val="16"/>
              </w:rPr>
            </w:pPr>
            <w:r w:rsidRPr="004E3242">
              <w:rPr>
                <w:rFonts w:ascii="Arial" w:hAnsi="Arial" w:cs="Arial"/>
                <w:b/>
                <w:color w:val="FFFFFF"/>
                <w:spacing w:val="4"/>
                <w:sz w:val="16"/>
                <w:szCs w:val="16"/>
              </w:rPr>
              <w:t>Termin</w:t>
            </w:r>
          </w:p>
        </w:tc>
        <w:tc>
          <w:tcPr>
            <w:tcW w:w="487" w:type="pct"/>
            <w:shd w:val="clear" w:color="auto" w:fill="99CC00"/>
            <w:vAlign w:val="center"/>
          </w:tcPr>
          <w:p w14:paraId="46633BCB" w14:textId="77777777" w:rsidR="004E3242" w:rsidRPr="004E3242" w:rsidRDefault="004E3242" w:rsidP="004E3242">
            <w:pPr>
              <w:spacing w:after="0" w:line="240" w:lineRule="auto"/>
              <w:jc w:val="center"/>
              <w:rPr>
                <w:rFonts w:ascii="Arial" w:hAnsi="Arial" w:cs="Arial"/>
                <w:b/>
                <w:color w:val="FFFFFF"/>
                <w:spacing w:val="4"/>
                <w:sz w:val="16"/>
                <w:szCs w:val="16"/>
              </w:rPr>
            </w:pPr>
            <w:r w:rsidRPr="004E3242">
              <w:rPr>
                <w:rFonts w:ascii="Arial" w:hAnsi="Arial" w:cs="Arial"/>
                <w:b/>
                <w:color w:val="FFFFFF"/>
                <w:spacing w:val="4"/>
                <w:sz w:val="16"/>
                <w:szCs w:val="16"/>
              </w:rPr>
              <w:t>Podmiot odpowiedzialny</w:t>
            </w:r>
          </w:p>
        </w:tc>
      </w:tr>
      <w:tr w:rsidR="004E3242" w:rsidRPr="004E3242" w14:paraId="411F326F" w14:textId="77777777" w:rsidTr="00AA7998">
        <w:tc>
          <w:tcPr>
            <w:tcW w:w="774" w:type="pct"/>
            <w:shd w:val="clear" w:color="auto" w:fill="F2F2F2"/>
            <w:vAlign w:val="center"/>
          </w:tcPr>
          <w:p w14:paraId="6F1F0C5B" w14:textId="77777777" w:rsidR="004E3242" w:rsidRPr="004E3242" w:rsidRDefault="004E3242" w:rsidP="004E3242">
            <w:pPr>
              <w:spacing w:after="0" w:line="240" w:lineRule="auto"/>
              <w:jc w:val="both"/>
              <w:rPr>
                <w:rFonts w:ascii="Arial" w:hAnsi="Arial" w:cs="Arial"/>
                <w:smallCaps/>
                <w:sz w:val="16"/>
                <w:szCs w:val="16"/>
              </w:rPr>
            </w:pPr>
            <w:r w:rsidRPr="004E3242">
              <w:rPr>
                <w:rFonts w:ascii="Arial" w:hAnsi="Arial" w:cs="Arial"/>
                <w:smallCaps/>
                <w:sz w:val="16"/>
                <w:szCs w:val="16"/>
              </w:rPr>
              <w:t>Istnienie zdolności administracyjnych umożliwiających wdrożenie i stosowanie unijnych przepisów i polityki dotyczących niedyskryminacji w odniesieniu do EFSI.</w:t>
            </w:r>
          </w:p>
          <w:p w14:paraId="1529E87C" w14:textId="77777777" w:rsidR="004E3242" w:rsidRPr="004E3242" w:rsidRDefault="004E3242" w:rsidP="004E3242">
            <w:pPr>
              <w:spacing w:after="0" w:line="240" w:lineRule="auto"/>
              <w:jc w:val="both"/>
              <w:rPr>
                <w:rFonts w:ascii="Arial" w:hAnsi="Arial" w:cs="Arial"/>
                <w:color w:val="FFFFFF"/>
                <w:spacing w:val="4"/>
                <w:sz w:val="16"/>
                <w:szCs w:val="16"/>
              </w:rPr>
            </w:pPr>
          </w:p>
        </w:tc>
        <w:tc>
          <w:tcPr>
            <w:tcW w:w="1385" w:type="pct"/>
            <w:shd w:val="clear" w:color="auto" w:fill="F2F2F2"/>
            <w:vAlign w:val="center"/>
          </w:tcPr>
          <w:p w14:paraId="03C8A668" w14:textId="77777777" w:rsidR="004E3242" w:rsidRPr="004E3242" w:rsidRDefault="004E3242" w:rsidP="004E3242">
            <w:pPr>
              <w:spacing w:after="0" w:line="240" w:lineRule="auto"/>
              <w:jc w:val="both"/>
              <w:rPr>
                <w:rFonts w:ascii="Arial" w:hAnsi="Arial" w:cs="Arial"/>
                <w:color w:val="FFFFFF"/>
                <w:spacing w:val="4"/>
                <w:sz w:val="16"/>
                <w:szCs w:val="16"/>
              </w:rPr>
            </w:pPr>
            <w:r w:rsidRPr="004E3242">
              <w:rPr>
                <w:rFonts w:ascii="Arial" w:hAnsi="Arial" w:cs="Arial"/>
                <w:sz w:val="16"/>
                <w:szCs w:val="16"/>
              </w:rPr>
              <w:t>Rozwiązania w zakresie szkoleń pracowników instytucji zaangażowanych w zarządzanie EFSI oraz kontrolę nad tymi funduszami z dziedziny unijnych przepisów i polityki dotyczących niedyskryminacji.</w:t>
            </w:r>
          </w:p>
        </w:tc>
        <w:tc>
          <w:tcPr>
            <w:tcW w:w="1754" w:type="pct"/>
            <w:vMerge w:val="restart"/>
            <w:shd w:val="clear" w:color="auto" w:fill="F2F2F2"/>
            <w:vAlign w:val="center"/>
          </w:tcPr>
          <w:p w14:paraId="43A49097" w14:textId="77777777" w:rsidR="004E3242" w:rsidRPr="004E3242" w:rsidRDefault="004E3242" w:rsidP="004E3242">
            <w:pPr>
              <w:spacing w:before="40" w:after="40" w:line="240" w:lineRule="auto"/>
              <w:jc w:val="both"/>
              <w:rPr>
                <w:rFonts w:ascii="Arial" w:hAnsi="Arial" w:cs="Arial"/>
                <w:color w:val="FFFFFF"/>
                <w:spacing w:val="4"/>
                <w:sz w:val="16"/>
                <w:szCs w:val="16"/>
              </w:rPr>
            </w:pPr>
            <w:r w:rsidRPr="004E3242">
              <w:rPr>
                <w:rFonts w:ascii="Arial" w:hAnsi="Arial" w:cs="Arial"/>
                <w:sz w:val="16"/>
                <w:szCs w:val="16"/>
              </w:rPr>
              <w:t xml:space="preserve">Przyjęcie Agendy działań na rzecz równości szans </w:t>
            </w:r>
            <w:r w:rsidRPr="004E3242">
              <w:rPr>
                <w:rFonts w:ascii="Arial" w:hAnsi="Arial" w:cs="Arial"/>
                <w:sz w:val="16"/>
                <w:szCs w:val="16"/>
              </w:rPr>
              <w:br/>
              <w:t>i niedyskryminacji w ramach funduszy unijnych 2014-2020 przez Komitet Koordynacyjny UP.</w:t>
            </w:r>
          </w:p>
        </w:tc>
        <w:tc>
          <w:tcPr>
            <w:tcW w:w="600" w:type="pct"/>
            <w:vMerge w:val="restart"/>
            <w:shd w:val="clear" w:color="auto" w:fill="F2F2F2"/>
            <w:vAlign w:val="center"/>
          </w:tcPr>
          <w:p w14:paraId="1B4BBC29" w14:textId="77777777" w:rsidR="004E3242" w:rsidRPr="004E3242" w:rsidRDefault="004E3242" w:rsidP="004E3242">
            <w:pPr>
              <w:jc w:val="center"/>
              <w:rPr>
                <w:rFonts w:ascii="Arial" w:hAnsi="Arial" w:cs="Arial"/>
                <w:sz w:val="16"/>
                <w:szCs w:val="16"/>
              </w:rPr>
            </w:pPr>
            <w:r w:rsidRPr="004E3242">
              <w:rPr>
                <w:rFonts w:ascii="Arial" w:hAnsi="Arial" w:cs="Arial"/>
                <w:sz w:val="16"/>
                <w:szCs w:val="16"/>
              </w:rPr>
              <w:t>31 marca 2015 r.</w:t>
            </w:r>
          </w:p>
          <w:p w14:paraId="437E396D" w14:textId="77777777" w:rsidR="004E3242" w:rsidRPr="004E3242" w:rsidRDefault="004E3242" w:rsidP="004E3242">
            <w:pPr>
              <w:spacing w:before="40" w:after="40" w:line="240" w:lineRule="auto"/>
              <w:jc w:val="center"/>
              <w:rPr>
                <w:rFonts w:ascii="Arial" w:hAnsi="Arial" w:cs="Arial"/>
                <w:sz w:val="16"/>
                <w:szCs w:val="16"/>
              </w:rPr>
            </w:pPr>
            <w:r w:rsidRPr="004E3242">
              <w:rPr>
                <w:rFonts w:ascii="Arial" w:hAnsi="Arial" w:cs="Arial"/>
                <w:color w:val="FFFFFF"/>
                <w:spacing w:val="4"/>
                <w:sz w:val="16"/>
                <w:szCs w:val="16"/>
              </w:rPr>
              <w:t>1 połowa 2015 r.</w:t>
            </w:r>
          </w:p>
        </w:tc>
        <w:tc>
          <w:tcPr>
            <w:tcW w:w="487" w:type="pct"/>
            <w:vMerge w:val="restart"/>
            <w:shd w:val="clear" w:color="auto" w:fill="F2F2F2"/>
            <w:vAlign w:val="center"/>
          </w:tcPr>
          <w:p w14:paraId="5C6DDDD7"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color w:val="FFFFFF"/>
                <w:spacing w:val="4"/>
                <w:sz w:val="16"/>
                <w:szCs w:val="16"/>
              </w:rPr>
              <w:t>M</w:t>
            </w:r>
            <w:r w:rsidRPr="004E3242">
              <w:rPr>
                <w:rFonts w:ascii="Arial" w:hAnsi="Arial" w:cs="Arial"/>
                <w:b/>
                <w:spacing w:val="4"/>
                <w:sz w:val="16"/>
                <w:szCs w:val="16"/>
              </w:rPr>
              <w:t xml:space="preserve"> </w:t>
            </w:r>
            <w:r w:rsidRPr="004E3242">
              <w:rPr>
                <w:rFonts w:ascii="Arial" w:hAnsi="Arial" w:cs="Arial"/>
                <w:spacing w:val="4"/>
                <w:sz w:val="16"/>
                <w:szCs w:val="16"/>
              </w:rPr>
              <w:t xml:space="preserve">Ministerstwo Infrastruktury </w:t>
            </w:r>
            <w:r w:rsidRPr="004E3242">
              <w:rPr>
                <w:rFonts w:ascii="Arial" w:hAnsi="Arial" w:cs="Arial"/>
                <w:spacing w:val="4"/>
                <w:sz w:val="16"/>
                <w:szCs w:val="16"/>
              </w:rPr>
              <w:br/>
              <w:t>i Rozwoju</w:t>
            </w:r>
          </w:p>
          <w:p w14:paraId="7DE479BD" w14:textId="77777777" w:rsidR="004E3242" w:rsidRPr="004E3242" w:rsidRDefault="004E3242" w:rsidP="004E3242">
            <w:pPr>
              <w:spacing w:before="40" w:after="40" w:line="240" w:lineRule="auto"/>
              <w:ind w:right="459"/>
              <w:rPr>
                <w:rFonts w:ascii="Arial" w:hAnsi="Arial" w:cs="Arial"/>
                <w:color w:val="FFFFFF"/>
                <w:spacing w:val="4"/>
                <w:sz w:val="16"/>
                <w:szCs w:val="16"/>
              </w:rPr>
            </w:pPr>
          </w:p>
        </w:tc>
      </w:tr>
      <w:tr w:rsidR="004E3242" w:rsidRPr="004E3242" w14:paraId="2B4D3390" w14:textId="77777777" w:rsidTr="00AA7998">
        <w:trPr>
          <w:trHeight w:val="70"/>
        </w:trPr>
        <w:tc>
          <w:tcPr>
            <w:tcW w:w="774" w:type="pct"/>
            <w:shd w:val="clear" w:color="auto" w:fill="F2F2F2"/>
            <w:vAlign w:val="center"/>
          </w:tcPr>
          <w:p w14:paraId="64DEA004"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mallCaps/>
                <w:sz w:val="16"/>
                <w:szCs w:val="16"/>
              </w:rPr>
              <w:t>Istnienie zdolności administracyjnych umożliwiających wdrożenie i stosowanie unijnych przepisów i polityki dotyczących równouprawnienia płci w odniesieniu do EFSI.</w:t>
            </w:r>
          </w:p>
        </w:tc>
        <w:tc>
          <w:tcPr>
            <w:tcW w:w="1385" w:type="pct"/>
            <w:shd w:val="clear" w:color="auto" w:fill="F2F2F2"/>
            <w:vAlign w:val="center"/>
          </w:tcPr>
          <w:p w14:paraId="4BADB589"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color w:val="FFFFFF"/>
                <w:spacing w:val="4"/>
                <w:sz w:val="16"/>
                <w:szCs w:val="16"/>
              </w:rPr>
              <w:t xml:space="preserve">Działania konieczne do utworzenia systemu </w:t>
            </w:r>
            <w:r w:rsidRPr="004E3242">
              <w:rPr>
                <w:rFonts w:ascii="Arial" w:hAnsi="Arial" w:cs="Arial"/>
                <w:sz w:val="16"/>
                <w:szCs w:val="16"/>
              </w:rPr>
              <w:t xml:space="preserve">Rozwiązania zgodne z ramami instytucjonalnymi i prawnymi państw członkowskich dotyczące zaangażowania podmiotów odpowiedzialnych za równouprawnienie płci podczas przygotowywania i realizacji programów, w tym zapewnienie doradztwa dotyczącego równouprawnienia płci w zakresie działań związanych z </w:t>
            </w:r>
            <w:proofErr w:type="spellStart"/>
            <w:r w:rsidRPr="004E3242">
              <w:rPr>
                <w:rFonts w:ascii="Arial" w:hAnsi="Arial" w:cs="Arial"/>
                <w:sz w:val="16"/>
                <w:szCs w:val="16"/>
              </w:rPr>
              <w:t>EFSI.</w:t>
            </w:r>
            <w:r w:rsidRPr="004E3242">
              <w:rPr>
                <w:rFonts w:ascii="Arial" w:hAnsi="Arial" w:cs="Arial"/>
                <w:color w:val="FFFFFF"/>
                <w:spacing w:val="4"/>
                <w:sz w:val="16"/>
                <w:szCs w:val="16"/>
              </w:rPr>
              <w:t>w</w:t>
            </w:r>
            <w:proofErr w:type="spellEnd"/>
            <w:r w:rsidRPr="004E3242">
              <w:rPr>
                <w:rFonts w:ascii="Arial" w:hAnsi="Arial" w:cs="Arial"/>
                <w:color w:val="FFFFFF"/>
                <w:spacing w:val="4"/>
                <w:sz w:val="16"/>
                <w:szCs w:val="16"/>
              </w:rPr>
              <w:t xml:space="preserve"> odniesieniu do charakterystyki energetycznej budynków, spójnego z art. 11 dyrektywy 2010/31/UE.</w:t>
            </w:r>
          </w:p>
        </w:tc>
        <w:tc>
          <w:tcPr>
            <w:tcW w:w="1754" w:type="pct"/>
            <w:vMerge/>
            <w:shd w:val="clear" w:color="auto" w:fill="F2F2F2"/>
            <w:vAlign w:val="center"/>
          </w:tcPr>
          <w:p w14:paraId="621A1AD0" w14:textId="77777777" w:rsidR="004E3242" w:rsidRPr="004E3242" w:rsidRDefault="004E3242" w:rsidP="004E3242">
            <w:pPr>
              <w:spacing w:before="40" w:after="40" w:line="240" w:lineRule="auto"/>
              <w:jc w:val="both"/>
              <w:rPr>
                <w:rFonts w:ascii="Arial" w:hAnsi="Arial" w:cs="Arial"/>
                <w:b/>
                <w:spacing w:val="4"/>
                <w:sz w:val="16"/>
                <w:szCs w:val="16"/>
              </w:rPr>
            </w:pPr>
          </w:p>
        </w:tc>
        <w:tc>
          <w:tcPr>
            <w:tcW w:w="600" w:type="pct"/>
            <w:vMerge/>
            <w:shd w:val="clear" w:color="auto" w:fill="F2F2F2"/>
            <w:vAlign w:val="center"/>
          </w:tcPr>
          <w:p w14:paraId="1E8399CC" w14:textId="77777777" w:rsidR="004E3242" w:rsidRPr="004E3242" w:rsidRDefault="004E3242" w:rsidP="004E3242">
            <w:pPr>
              <w:spacing w:before="40" w:after="40" w:line="240" w:lineRule="auto"/>
              <w:jc w:val="center"/>
              <w:rPr>
                <w:rFonts w:ascii="Arial" w:hAnsi="Arial" w:cs="Arial"/>
                <w:b/>
                <w:spacing w:val="4"/>
                <w:sz w:val="16"/>
                <w:szCs w:val="16"/>
              </w:rPr>
            </w:pPr>
          </w:p>
        </w:tc>
        <w:tc>
          <w:tcPr>
            <w:tcW w:w="487" w:type="pct"/>
            <w:vMerge/>
            <w:shd w:val="clear" w:color="auto" w:fill="F2F2F2"/>
            <w:vAlign w:val="center"/>
          </w:tcPr>
          <w:p w14:paraId="39AFE0BB" w14:textId="77777777" w:rsidR="004E3242" w:rsidRPr="004E3242" w:rsidRDefault="004E3242" w:rsidP="004E3242">
            <w:pPr>
              <w:spacing w:before="40" w:after="40" w:line="240" w:lineRule="auto"/>
              <w:jc w:val="center"/>
              <w:rPr>
                <w:rFonts w:ascii="Arial" w:hAnsi="Arial" w:cs="Arial"/>
                <w:b/>
                <w:spacing w:val="4"/>
                <w:sz w:val="16"/>
                <w:szCs w:val="16"/>
              </w:rPr>
            </w:pPr>
          </w:p>
        </w:tc>
      </w:tr>
      <w:tr w:rsidR="004E3242" w:rsidRPr="004E3242" w14:paraId="35D6C968" w14:textId="77777777" w:rsidTr="00AA7998">
        <w:tc>
          <w:tcPr>
            <w:tcW w:w="774" w:type="pct"/>
            <w:shd w:val="clear" w:color="auto" w:fill="F2F2F2"/>
            <w:vAlign w:val="center"/>
          </w:tcPr>
          <w:p w14:paraId="4BBFD5AE" w14:textId="77777777" w:rsidR="004E3242" w:rsidRPr="004E3242" w:rsidRDefault="004E3242" w:rsidP="004E3242">
            <w:pPr>
              <w:spacing w:after="0" w:line="240" w:lineRule="auto"/>
              <w:jc w:val="both"/>
              <w:rPr>
                <w:rFonts w:ascii="Arial" w:hAnsi="Arial" w:cs="Arial"/>
                <w:color w:val="FFFFFF"/>
                <w:spacing w:val="4"/>
                <w:sz w:val="16"/>
                <w:szCs w:val="16"/>
              </w:rPr>
            </w:pPr>
            <w:r w:rsidRPr="004E3242">
              <w:rPr>
                <w:rFonts w:ascii="Arial" w:hAnsi="Arial" w:cs="Arial"/>
                <w:smallCaps/>
                <w:sz w:val="16"/>
                <w:szCs w:val="16"/>
              </w:rPr>
              <w:t>Istnienie zdolności administracyjnych umożliwiających wdrożenie i stosowanie Konwencji Narodów Zjednoczonych o prawach osób z niepełnosprawnościami w odniesieniu do EFSI zgodnie z decyzją Rady 2010/48/WE</w:t>
            </w:r>
          </w:p>
        </w:tc>
        <w:tc>
          <w:tcPr>
            <w:tcW w:w="1385" w:type="pct"/>
            <w:shd w:val="clear" w:color="auto" w:fill="F2F2F2"/>
            <w:vAlign w:val="center"/>
          </w:tcPr>
          <w:p w14:paraId="19756129" w14:textId="77777777" w:rsidR="004E3242" w:rsidRPr="004E3242" w:rsidRDefault="004E3242" w:rsidP="004E3242">
            <w:pPr>
              <w:spacing w:after="0" w:line="240" w:lineRule="auto"/>
              <w:jc w:val="both"/>
              <w:rPr>
                <w:rFonts w:ascii="Arial" w:hAnsi="Arial" w:cs="Arial"/>
                <w:color w:val="FFFFFF"/>
                <w:spacing w:val="4"/>
                <w:sz w:val="16"/>
                <w:szCs w:val="16"/>
              </w:rPr>
            </w:pPr>
            <w:r w:rsidRPr="004E3242">
              <w:rPr>
                <w:rFonts w:ascii="Arial" w:hAnsi="Arial" w:cs="Arial"/>
                <w:sz w:val="16"/>
                <w:szCs w:val="16"/>
              </w:rPr>
              <w:t>Rozwiązania w zakresie szkoleń pracowników instytucji zaangażowanych w zarządzanie EFSI oraz kontrolę nad tymi funduszami z dziedziny obowiązujących unijnych przepisów i polityki dotyczących niepełnosprawności, w tym dostępności i praktycznego stosowania Konwencji o prawach osób z niepełnosprawnościami, zgodnie z przepisami unijnymi i prawem krajowym.</w:t>
            </w:r>
          </w:p>
        </w:tc>
        <w:tc>
          <w:tcPr>
            <w:tcW w:w="1754" w:type="pct"/>
            <w:vMerge/>
            <w:shd w:val="clear" w:color="auto" w:fill="F2F2F2"/>
            <w:vAlign w:val="center"/>
          </w:tcPr>
          <w:p w14:paraId="471D196B" w14:textId="77777777" w:rsidR="004E3242" w:rsidRPr="004E3242" w:rsidRDefault="004E3242" w:rsidP="004E3242">
            <w:pPr>
              <w:spacing w:before="40" w:after="40" w:line="240" w:lineRule="auto"/>
              <w:jc w:val="both"/>
              <w:rPr>
                <w:rFonts w:ascii="Arial" w:hAnsi="Arial" w:cs="Arial"/>
                <w:sz w:val="16"/>
                <w:szCs w:val="16"/>
              </w:rPr>
            </w:pPr>
          </w:p>
        </w:tc>
        <w:tc>
          <w:tcPr>
            <w:tcW w:w="600" w:type="pct"/>
            <w:vMerge/>
            <w:shd w:val="clear" w:color="auto" w:fill="F2F2F2"/>
            <w:vAlign w:val="center"/>
          </w:tcPr>
          <w:p w14:paraId="4264E833" w14:textId="77777777" w:rsidR="004E3242" w:rsidRPr="004E3242" w:rsidRDefault="004E3242" w:rsidP="004E3242">
            <w:pPr>
              <w:spacing w:before="40" w:after="40" w:line="240" w:lineRule="auto"/>
              <w:jc w:val="center"/>
              <w:rPr>
                <w:rFonts w:ascii="Arial" w:hAnsi="Arial" w:cs="Arial"/>
                <w:color w:val="FFFFFF"/>
                <w:spacing w:val="4"/>
                <w:sz w:val="16"/>
                <w:szCs w:val="16"/>
              </w:rPr>
            </w:pPr>
          </w:p>
        </w:tc>
        <w:tc>
          <w:tcPr>
            <w:tcW w:w="487" w:type="pct"/>
            <w:vMerge/>
            <w:shd w:val="clear" w:color="auto" w:fill="F2F2F2"/>
            <w:vAlign w:val="center"/>
          </w:tcPr>
          <w:p w14:paraId="342CCD8F" w14:textId="77777777" w:rsidR="004E3242" w:rsidRPr="004E3242" w:rsidRDefault="004E3242" w:rsidP="004E3242">
            <w:pPr>
              <w:spacing w:before="40" w:after="40" w:line="240" w:lineRule="auto"/>
              <w:jc w:val="center"/>
              <w:rPr>
                <w:rFonts w:ascii="Arial" w:hAnsi="Arial" w:cs="Arial"/>
                <w:color w:val="FFFFFF"/>
                <w:spacing w:val="4"/>
                <w:sz w:val="16"/>
                <w:szCs w:val="16"/>
              </w:rPr>
            </w:pPr>
          </w:p>
        </w:tc>
      </w:tr>
      <w:tr w:rsidR="004E3242" w:rsidRPr="004E3242" w14:paraId="43FAB7A0" w14:textId="77777777" w:rsidTr="00AA7998">
        <w:tc>
          <w:tcPr>
            <w:tcW w:w="774" w:type="pct"/>
            <w:shd w:val="clear" w:color="auto" w:fill="F2F2F2"/>
            <w:vAlign w:val="center"/>
          </w:tcPr>
          <w:p w14:paraId="0BF96830"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 xml:space="preserve">4.1 </w:t>
            </w:r>
            <w:r w:rsidRPr="004E3242">
              <w:rPr>
                <w:rFonts w:ascii="Arial" w:hAnsi="Arial" w:cs="Arial"/>
                <w:bCs/>
                <w:spacing w:val="4"/>
                <w:sz w:val="16"/>
                <w:szCs w:val="16"/>
              </w:rPr>
              <w:t>Przeprowadzono działania promujące racjonalne kosztowo ulepszenie efektywnego końcowego wykorzystania energii oraz racjonalne kosztowo inwestycje w efektywność energetyczną przy budowaniu lub renowacji budynków</w:t>
            </w:r>
          </w:p>
        </w:tc>
        <w:tc>
          <w:tcPr>
            <w:tcW w:w="1385" w:type="pct"/>
            <w:shd w:val="clear" w:color="auto" w:fill="F2F2F2"/>
            <w:vAlign w:val="center"/>
          </w:tcPr>
          <w:p w14:paraId="7A1E9EE6"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Działania konieczne do utworzenia systemu certyfikacji w odniesieniu do charakterystyki energetycznej budynków, spójnego z art. 11 dyrektywy 2010/31/UE.</w:t>
            </w:r>
          </w:p>
        </w:tc>
        <w:tc>
          <w:tcPr>
            <w:tcW w:w="1754" w:type="pct"/>
            <w:shd w:val="clear" w:color="auto" w:fill="F2F2F2"/>
            <w:vAlign w:val="center"/>
          </w:tcPr>
          <w:p w14:paraId="03C2D6DE" w14:textId="77777777" w:rsidR="004E3242" w:rsidRPr="004E3242" w:rsidRDefault="004E3242" w:rsidP="004E3242">
            <w:pPr>
              <w:spacing w:before="40" w:after="40" w:line="240" w:lineRule="auto"/>
              <w:jc w:val="both"/>
              <w:rPr>
                <w:rFonts w:ascii="Arial" w:hAnsi="Arial" w:cs="Arial"/>
                <w:b/>
                <w:spacing w:val="4"/>
                <w:sz w:val="16"/>
                <w:szCs w:val="16"/>
              </w:rPr>
            </w:pPr>
            <w:r w:rsidRPr="004E3242">
              <w:rPr>
                <w:rFonts w:ascii="Arial" w:hAnsi="Arial" w:cs="Arial"/>
                <w:b/>
                <w:spacing w:val="4"/>
                <w:sz w:val="16"/>
                <w:szCs w:val="16"/>
              </w:rPr>
              <w:t xml:space="preserve">Kryterium 2 </w:t>
            </w:r>
            <w:r w:rsidRPr="004E3242">
              <w:rPr>
                <w:rFonts w:ascii="Arial" w:hAnsi="Arial" w:cs="Arial"/>
                <w:spacing w:val="4"/>
                <w:sz w:val="16"/>
                <w:szCs w:val="16"/>
              </w:rPr>
              <w:t>Wydanie rozporządzenia w sprawie metodologii wyznaczania charakterystyki energetycznej budynku lub części budynku, sposobu sporządzania oraz wzorów świadectw charakterystyki energetycznej (obecnie zakończono  zbieranie uwag do projektu rozporządzenia w ramach konsultacji publicznych)</w:t>
            </w:r>
          </w:p>
        </w:tc>
        <w:tc>
          <w:tcPr>
            <w:tcW w:w="600" w:type="pct"/>
            <w:shd w:val="clear" w:color="auto" w:fill="F2F2F2"/>
            <w:vAlign w:val="center"/>
          </w:tcPr>
          <w:p w14:paraId="64B9B91F"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1 połowa 2015 r</w:t>
            </w:r>
          </w:p>
        </w:tc>
        <w:tc>
          <w:tcPr>
            <w:tcW w:w="487" w:type="pct"/>
            <w:shd w:val="clear" w:color="auto" w:fill="F2F2F2"/>
            <w:vAlign w:val="center"/>
          </w:tcPr>
          <w:p w14:paraId="43FFB62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 xml:space="preserve">Ministerstwo Infrastruktury </w:t>
            </w:r>
            <w:r w:rsidRPr="004E3242">
              <w:rPr>
                <w:rFonts w:ascii="Arial" w:hAnsi="Arial" w:cs="Arial"/>
                <w:spacing w:val="4"/>
                <w:sz w:val="16"/>
                <w:szCs w:val="16"/>
              </w:rPr>
              <w:br/>
              <w:t>i Rozwoju</w:t>
            </w:r>
          </w:p>
        </w:tc>
      </w:tr>
      <w:tr w:rsidR="004E3242" w:rsidRPr="004E3242" w14:paraId="6C50F9D1" w14:textId="77777777" w:rsidTr="00AA7998">
        <w:tc>
          <w:tcPr>
            <w:tcW w:w="774" w:type="pct"/>
            <w:shd w:val="clear" w:color="auto" w:fill="F2F2F2"/>
            <w:vAlign w:val="center"/>
          </w:tcPr>
          <w:p w14:paraId="04635257"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6.1 Gospodarka wodna</w:t>
            </w:r>
          </w:p>
        </w:tc>
        <w:tc>
          <w:tcPr>
            <w:tcW w:w="1385" w:type="pct"/>
            <w:shd w:val="clear" w:color="auto" w:fill="F2F2F2"/>
            <w:vAlign w:val="center"/>
          </w:tcPr>
          <w:p w14:paraId="715A8594" w14:textId="77777777" w:rsidR="004E3242" w:rsidRPr="004E3242" w:rsidRDefault="004E3242" w:rsidP="004E3242">
            <w:pPr>
              <w:spacing w:after="0" w:line="240" w:lineRule="auto"/>
              <w:jc w:val="both"/>
              <w:rPr>
                <w:rFonts w:ascii="Arial" w:hAnsi="Arial" w:cs="Arial"/>
                <w:spacing w:val="4"/>
                <w:sz w:val="16"/>
                <w:szCs w:val="16"/>
              </w:rPr>
            </w:pPr>
          </w:p>
          <w:p w14:paraId="38C384E3" w14:textId="77777777" w:rsidR="004E3242" w:rsidRPr="004E3242" w:rsidRDefault="004E3242" w:rsidP="004E3242">
            <w:pPr>
              <w:spacing w:after="0" w:line="240" w:lineRule="auto"/>
              <w:jc w:val="both"/>
              <w:rPr>
                <w:rFonts w:ascii="Arial" w:hAnsi="Arial" w:cs="Arial"/>
                <w:spacing w:val="4"/>
                <w:sz w:val="16"/>
                <w:szCs w:val="16"/>
              </w:rPr>
            </w:pPr>
          </w:p>
          <w:p w14:paraId="3FCDD7B3"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 xml:space="preserve">W sektorach wspieranych z EFRR i Funduszu Spójności, państwo członkowskie zapewniło wkład różnych użytkowników wody w zwrot kosztów za usługi wodne w podziale na sektory, zgodnie z art. 9 ust. 1 </w:t>
            </w:r>
            <w:proofErr w:type="spellStart"/>
            <w:r w:rsidRPr="004E3242">
              <w:rPr>
                <w:rFonts w:ascii="Arial" w:hAnsi="Arial" w:cs="Arial"/>
                <w:spacing w:val="4"/>
                <w:sz w:val="16"/>
                <w:szCs w:val="16"/>
              </w:rPr>
              <w:t>tiret</w:t>
            </w:r>
            <w:proofErr w:type="spellEnd"/>
            <w:r w:rsidRPr="004E3242">
              <w:rPr>
                <w:rFonts w:ascii="Arial" w:hAnsi="Arial" w:cs="Arial"/>
                <w:spacing w:val="4"/>
                <w:sz w:val="16"/>
                <w:szCs w:val="16"/>
              </w:rPr>
              <w:t xml:space="preserve"> pierwsze dyrektywy 2000/60/WE, przy uwzględnieniu w stosownych przypadkach skutków społecznych, środowiskowych i gospodarczych zwrotu, jak również warunków geograficznych i klimatycznych dotkniętego regionu lub dotkniętych regionów.</w:t>
            </w:r>
          </w:p>
          <w:p w14:paraId="56D8C2B2"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Przyjęcie planu gospodarowania wodami w dorzeczu dla obszaru dorzecza spójnego z art. 13 dyrektywy 2000/60/WE.</w:t>
            </w:r>
          </w:p>
          <w:p w14:paraId="54B20A3E" w14:textId="77777777" w:rsidR="004E3242" w:rsidRPr="004E3242" w:rsidRDefault="004E3242" w:rsidP="004E3242">
            <w:pPr>
              <w:spacing w:after="0" w:line="240" w:lineRule="auto"/>
              <w:jc w:val="both"/>
              <w:rPr>
                <w:rFonts w:ascii="Arial" w:hAnsi="Arial" w:cs="Arial"/>
                <w:spacing w:val="4"/>
                <w:sz w:val="16"/>
                <w:szCs w:val="16"/>
              </w:rPr>
            </w:pPr>
          </w:p>
        </w:tc>
        <w:tc>
          <w:tcPr>
            <w:tcW w:w="1754" w:type="pct"/>
            <w:shd w:val="clear" w:color="auto" w:fill="F2F2F2"/>
            <w:vAlign w:val="center"/>
          </w:tcPr>
          <w:p w14:paraId="4D3FD5B9" w14:textId="77777777" w:rsidR="004E3242" w:rsidRPr="004E3242" w:rsidRDefault="004E3242" w:rsidP="004E3242">
            <w:pPr>
              <w:spacing w:before="40" w:after="40" w:line="240" w:lineRule="auto"/>
              <w:jc w:val="both"/>
              <w:rPr>
                <w:rFonts w:ascii="Arial" w:hAnsi="Arial" w:cs="Arial"/>
                <w:b/>
                <w:spacing w:val="4"/>
                <w:sz w:val="16"/>
                <w:szCs w:val="16"/>
              </w:rPr>
            </w:pPr>
          </w:p>
          <w:p w14:paraId="24F6F4F2" w14:textId="77777777" w:rsidR="004E3242" w:rsidRPr="004E3242" w:rsidRDefault="004E3242" w:rsidP="004E3242">
            <w:pPr>
              <w:spacing w:before="40" w:after="40" w:line="240" w:lineRule="auto"/>
              <w:jc w:val="both"/>
              <w:rPr>
                <w:rFonts w:ascii="Arial" w:hAnsi="Arial" w:cs="Arial"/>
                <w:b/>
                <w:spacing w:val="4"/>
                <w:sz w:val="16"/>
                <w:szCs w:val="16"/>
              </w:rPr>
            </w:pPr>
          </w:p>
          <w:p w14:paraId="311FC07B"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b/>
                <w:spacing w:val="4"/>
                <w:sz w:val="16"/>
                <w:szCs w:val="16"/>
              </w:rPr>
              <w:t>Kryterium 1:</w:t>
            </w:r>
          </w:p>
          <w:p w14:paraId="2A27FCFC"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Uchwalenie nowej ustawy </w:t>
            </w:r>
            <w:r w:rsidRPr="004E3242">
              <w:rPr>
                <w:rFonts w:ascii="Arial" w:hAnsi="Arial" w:cs="Arial"/>
                <w:i/>
                <w:spacing w:val="4"/>
                <w:sz w:val="16"/>
                <w:szCs w:val="16"/>
              </w:rPr>
              <w:t>Prawo wodne</w:t>
            </w:r>
            <w:r w:rsidRPr="004E3242">
              <w:rPr>
                <w:rFonts w:ascii="Arial" w:hAnsi="Arial" w:cs="Arial"/>
                <w:spacing w:val="4"/>
                <w:sz w:val="16"/>
                <w:szCs w:val="16"/>
              </w:rPr>
              <w:t>, obejmującej zakresem m.in. zapewnienie komplementarności polityce opłat za wodę z uwzględnieniem zasady „zwrotu kosztów za usługi wodne”.</w:t>
            </w:r>
          </w:p>
          <w:p w14:paraId="5B212244"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PL zapewni także wypełnienie zobowiązań wynikających z Planu działania w zakresie planowania strategicznego w gospodarce wodnej z 2013r. i przeprowadzi reformę instytucjonalną oraz zapewni podejście do strategicznego zarządzania zasobami wodnymi zgodnego z RDW.</w:t>
            </w:r>
          </w:p>
          <w:p w14:paraId="212C78ED" w14:textId="77777777" w:rsidR="004E3242" w:rsidRPr="004E3242" w:rsidRDefault="004E3242" w:rsidP="004E3242">
            <w:pPr>
              <w:spacing w:before="40" w:after="40" w:line="240" w:lineRule="auto"/>
              <w:jc w:val="both"/>
              <w:rPr>
                <w:rFonts w:ascii="Arial" w:hAnsi="Arial" w:cs="Arial"/>
                <w:spacing w:val="4"/>
                <w:sz w:val="16"/>
                <w:szCs w:val="16"/>
                <w:u w:val="single"/>
              </w:rPr>
            </w:pPr>
            <w:r w:rsidRPr="004E3242">
              <w:rPr>
                <w:rFonts w:ascii="Arial" w:hAnsi="Arial" w:cs="Arial"/>
                <w:spacing w:val="4"/>
                <w:sz w:val="16"/>
                <w:szCs w:val="16"/>
                <w:u w:val="single"/>
              </w:rPr>
              <w:t>Szczegółowy działania:</w:t>
            </w:r>
          </w:p>
          <w:p w14:paraId="4227D6FE" w14:textId="77777777" w:rsidR="004E3242" w:rsidRPr="004E3242" w:rsidRDefault="004E3242" w:rsidP="00B345B6">
            <w:pPr>
              <w:numPr>
                <w:ilvl w:val="0"/>
                <w:numId w:val="57"/>
              </w:numPr>
              <w:spacing w:before="40" w:after="40" w:line="240" w:lineRule="auto"/>
              <w:jc w:val="both"/>
              <w:rPr>
                <w:rFonts w:ascii="Arial" w:hAnsi="Arial" w:cs="Arial"/>
                <w:spacing w:val="4"/>
                <w:sz w:val="16"/>
                <w:szCs w:val="16"/>
              </w:rPr>
            </w:pPr>
            <w:r w:rsidRPr="004E3242">
              <w:rPr>
                <w:rFonts w:ascii="Arial" w:hAnsi="Arial" w:cs="Arial"/>
                <w:spacing w:val="4"/>
                <w:sz w:val="16"/>
                <w:szCs w:val="16"/>
              </w:rPr>
              <w:t>skierowanie projektu ustawy – Prawo wodne do rozpatrzenia przez RM;</w:t>
            </w:r>
          </w:p>
          <w:p w14:paraId="0D6F9F46" w14:textId="77777777" w:rsidR="004E3242" w:rsidRPr="004E3242" w:rsidRDefault="004E3242" w:rsidP="00B345B6">
            <w:pPr>
              <w:numPr>
                <w:ilvl w:val="0"/>
                <w:numId w:val="57"/>
              </w:num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przekazanie uchwalonego przez RM projektu ustawy Prawo wodne do Marszałka Sejmu RP. </w:t>
            </w:r>
          </w:p>
          <w:p w14:paraId="0E3E0179" w14:textId="77777777" w:rsidR="004E3242" w:rsidRPr="004E3242" w:rsidRDefault="004E3242" w:rsidP="00B345B6">
            <w:pPr>
              <w:numPr>
                <w:ilvl w:val="0"/>
                <w:numId w:val="57"/>
              </w:num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Wejście w życie Ustawy -  z dniem 1 stycznia 2016 r., wraz z początkiem roku budżetowego. </w:t>
            </w:r>
          </w:p>
          <w:p w14:paraId="7BCB258B" w14:textId="77777777" w:rsidR="004E3242" w:rsidRPr="004E3242" w:rsidRDefault="004E3242" w:rsidP="004E3242">
            <w:pPr>
              <w:spacing w:before="40" w:after="40" w:line="240" w:lineRule="auto"/>
              <w:jc w:val="both"/>
              <w:rPr>
                <w:rFonts w:ascii="Arial" w:hAnsi="Arial" w:cs="Arial"/>
                <w:spacing w:val="4"/>
                <w:sz w:val="16"/>
                <w:szCs w:val="16"/>
              </w:rPr>
            </w:pPr>
          </w:p>
          <w:p w14:paraId="3B6C343E"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b/>
                <w:spacing w:val="4"/>
                <w:sz w:val="16"/>
                <w:szCs w:val="16"/>
              </w:rPr>
              <w:t>Kryterium 2:</w:t>
            </w:r>
          </w:p>
          <w:p w14:paraId="411CF3FB"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Przyjęcie aktualizacji Planów gospodarowania wodami na obszarach dorzeczy (PGW)</w:t>
            </w:r>
          </w:p>
          <w:p w14:paraId="0EC8CCA3"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PGW będą oparte na monitoringu i ocenie stanu wód zgodnej z RDW. Wszelkie derogacje będą wystarczająco uzasadnione i opisane w planach.</w:t>
            </w:r>
          </w:p>
          <w:p w14:paraId="485F44A2" w14:textId="77777777" w:rsidR="004E3242" w:rsidRPr="004E3242" w:rsidRDefault="004E3242" w:rsidP="004E3242">
            <w:pPr>
              <w:spacing w:before="40" w:after="40" w:line="240" w:lineRule="auto"/>
              <w:jc w:val="both"/>
              <w:rPr>
                <w:rFonts w:ascii="Arial" w:hAnsi="Arial" w:cs="Arial"/>
                <w:spacing w:val="4"/>
                <w:sz w:val="16"/>
                <w:szCs w:val="16"/>
                <w:u w:val="single"/>
              </w:rPr>
            </w:pPr>
            <w:r w:rsidRPr="004E3242">
              <w:rPr>
                <w:rFonts w:ascii="Arial" w:hAnsi="Arial" w:cs="Arial"/>
                <w:spacing w:val="4"/>
                <w:sz w:val="16"/>
                <w:szCs w:val="16"/>
                <w:u w:val="single"/>
              </w:rPr>
              <w:t>Szczegółowy działania:</w:t>
            </w:r>
          </w:p>
          <w:p w14:paraId="09D8D645" w14:textId="77777777" w:rsidR="004E3242" w:rsidRPr="004E3242" w:rsidRDefault="004E3242" w:rsidP="00B345B6">
            <w:pPr>
              <w:numPr>
                <w:ilvl w:val="0"/>
                <w:numId w:val="58"/>
              </w:numPr>
              <w:spacing w:before="40" w:after="40" w:line="240" w:lineRule="auto"/>
              <w:jc w:val="both"/>
              <w:rPr>
                <w:rFonts w:ascii="Arial" w:hAnsi="Arial" w:cs="Arial"/>
                <w:spacing w:val="4"/>
                <w:sz w:val="16"/>
                <w:szCs w:val="16"/>
              </w:rPr>
            </w:pPr>
            <w:r w:rsidRPr="004E3242">
              <w:rPr>
                <w:rFonts w:ascii="Arial" w:hAnsi="Arial" w:cs="Arial"/>
                <w:spacing w:val="4"/>
                <w:sz w:val="16"/>
                <w:szCs w:val="16"/>
              </w:rPr>
              <w:t>przeprowadzenie SEA dla projektów aktualizacji PGW (wraz z przeprowadzeniem konsultacji społecznych)</w:t>
            </w:r>
          </w:p>
          <w:p w14:paraId="5EA0B941" w14:textId="77777777" w:rsidR="004E3242" w:rsidRPr="004E3242" w:rsidRDefault="004E3242" w:rsidP="00B345B6">
            <w:pPr>
              <w:numPr>
                <w:ilvl w:val="0"/>
                <w:numId w:val="58"/>
              </w:numPr>
              <w:spacing w:before="40" w:after="40" w:line="240" w:lineRule="auto"/>
              <w:jc w:val="both"/>
              <w:rPr>
                <w:rFonts w:ascii="Arial" w:hAnsi="Arial" w:cs="Arial"/>
                <w:spacing w:val="4"/>
                <w:sz w:val="16"/>
                <w:szCs w:val="16"/>
              </w:rPr>
            </w:pPr>
            <w:r w:rsidRPr="004E3242">
              <w:rPr>
                <w:rFonts w:ascii="Arial" w:hAnsi="Arial" w:cs="Arial"/>
                <w:spacing w:val="4"/>
                <w:sz w:val="16"/>
                <w:szCs w:val="16"/>
              </w:rPr>
              <w:t xml:space="preserve">opracowanie ostatecznych wersji aktualizacji PGW </w:t>
            </w:r>
          </w:p>
          <w:p w14:paraId="56EFE88D" w14:textId="77777777" w:rsidR="004E3242" w:rsidRPr="004E3242" w:rsidRDefault="004E3242" w:rsidP="00B345B6">
            <w:pPr>
              <w:numPr>
                <w:ilvl w:val="0"/>
                <w:numId w:val="58"/>
              </w:numPr>
              <w:spacing w:before="40" w:after="40" w:line="240" w:lineRule="auto"/>
              <w:jc w:val="both"/>
              <w:rPr>
                <w:rFonts w:ascii="Arial" w:hAnsi="Arial" w:cs="Arial"/>
                <w:spacing w:val="4"/>
                <w:sz w:val="16"/>
                <w:szCs w:val="16"/>
              </w:rPr>
            </w:pPr>
            <w:r w:rsidRPr="004E3242">
              <w:rPr>
                <w:rFonts w:ascii="Arial" w:hAnsi="Arial" w:cs="Arial"/>
                <w:b/>
                <w:spacing w:val="4"/>
                <w:sz w:val="16"/>
                <w:szCs w:val="16"/>
              </w:rPr>
              <w:t xml:space="preserve">zatwierdzenie aktualizacji PGW </w:t>
            </w:r>
            <w:r w:rsidRPr="004E3242">
              <w:rPr>
                <w:rFonts w:ascii="Arial" w:hAnsi="Arial" w:cs="Arial"/>
                <w:spacing w:val="4"/>
                <w:sz w:val="16"/>
                <w:szCs w:val="16"/>
              </w:rPr>
              <w:t xml:space="preserve">przez Radę Ministrów </w:t>
            </w:r>
          </w:p>
          <w:p w14:paraId="4CB93F51" w14:textId="77777777" w:rsidR="004E3242" w:rsidRPr="004E3242" w:rsidRDefault="004E3242" w:rsidP="004E3242">
            <w:pPr>
              <w:spacing w:before="40" w:after="40" w:line="240" w:lineRule="auto"/>
              <w:ind w:left="360"/>
              <w:jc w:val="both"/>
              <w:rPr>
                <w:rFonts w:ascii="Arial" w:hAnsi="Arial" w:cs="Arial"/>
                <w:spacing w:val="4"/>
                <w:sz w:val="16"/>
                <w:szCs w:val="16"/>
              </w:rPr>
            </w:pPr>
          </w:p>
          <w:p w14:paraId="79BED4F3" w14:textId="77777777" w:rsidR="004E3242" w:rsidRPr="004E3242" w:rsidRDefault="004E3242" w:rsidP="004E3242">
            <w:pPr>
              <w:spacing w:before="40" w:after="40" w:line="240" w:lineRule="auto"/>
              <w:jc w:val="both"/>
              <w:rPr>
                <w:rFonts w:ascii="Arial" w:hAnsi="Arial" w:cs="Arial"/>
                <w:spacing w:val="4"/>
                <w:sz w:val="16"/>
                <w:szCs w:val="16"/>
              </w:rPr>
            </w:pPr>
            <w:r w:rsidRPr="004E3242">
              <w:rPr>
                <w:rFonts w:ascii="Arial" w:hAnsi="Arial" w:cs="Arial"/>
                <w:spacing w:val="4"/>
                <w:sz w:val="16"/>
                <w:szCs w:val="16"/>
              </w:rPr>
              <w:t>Przekazanie do KE raportu wraz z kopiami aktualizacji PGW – I kw.  2016 r.</w:t>
            </w:r>
          </w:p>
        </w:tc>
        <w:tc>
          <w:tcPr>
            <w:tcW w:w="600" w:type="pct"/>
            <w:shd w:val="clear" w:color="auto" w:fill="F2F2F2"/>
            <w:vAlign w:val="center"/>
          </w:tcPr>
          <w:p w14:paraId="28FC55E8" w14:textId="77777777" w:rsidR="004E3242" w:rsidRPr="004E3242" w:rsidRDefault="004E3242" w:rsidP="004E3242">
            <w:pPr>
              <w:spacing w:before="40" w:after="40" w:line="240" w:lineRule="auto"/>
              <w:jc w:val="center"/>
              <w:rPr>
                <w:rFonts w:ascii="Arial" w:hAnsi="Arial" w:cs="Arial"/>
                <w:b/>
                <w:spacing w:val="4"/>
                <w:sz w:val="16"/>
                <w:szCs w:val="16"/>
              </w:rPr>
            </w:pPr>
          </w:p>
          <w:p w14:paraId="737860D9" w14:textId="77777777" w:rsidR="004E3242" w:rsidRPr="004E3242" w:rsidRDefault="004E3242" w:rsidP="004E3242">
            <w:pPr>
              <w:spacing w:before="40" w:after="40" w:line="240" w:lineRule="auto"/>
              <w:jc w:val="center"/>
              <w:rPr>
                <w:rFonts w:ascii="Arial" w:hAnsi="Arial" w:cs="Arial"/>
                <w:b/>
                <w:spacing w:val="4"/>
                <w:sz w:val="16"/>
                <w:szCs w:val="16"/>
              </w:rPr>
            </w:pPr>
          </w:p>
          <w:p w14:paraId="6C284E2E"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b/>
                <w:spacing w:val="4"/>
                <w:sz w:val="16"/>
                <w:szCs w:val="16"/>
              </w:rPr>
              <w:t>Kryterium 1:</w:t>
            </w:r>
          </w:p>
          <w:p w14:paraId="614C2389" w14:textId="77777777" w:rsidR="004E3242" w:rsidRPr="004E3242" w:rsidRDefault="004E3242" w:rsidP="00B345B6">
            <w:pPr>
              <w:numPr>
                <w:ilvl w:val="0"/>
                <w:numId w:val="60"/>
              </w:numPr>
              <w:spacing w:before="40" w:after="40" w:line="240" w:lineRule="auto"/>
              <w:jc w:val="center"/>
              <w:rPr>
                <w:rFonts w:ascii="Arial" w:hAnsi="Arial" w:cs="Arial"/>
                <w:spacing w:val="4"/>
                <w:sz w:val="16"/>
                <w:szCs w:val="16"/>
              </w:rPr>
            </w:pPr>
            <w:r w:rsidRPr="004E3242">
              <w:rPr>
                <w:rFonts w:ascii="Arial" w:hAnsi="Arial" w:cs="Arial"/>
                <w:spacing w:val="4"/>
                <w:sz w:val="16"/>
                <w:szCs w:val="16"/>
              </w:rPr>
              <w:t>I kw. 2015 r.</w:t>
            </w:r>
          </w:p>
          <w:p w14:paraId="40FC1D1B" w14:textId="77777777" w:rsidR="004E3242" w:rsidRPr="004E3242" w:rsidRDefault="004E3242" w:rsidP="00B345B6">
            <w:pPr>
              <w:numPr>
                <w:ilvl w:val="0"/>
                <w:numId w:val="60"/>
              </w:numPr>
              <w:spacing w:before="40" w:after="40" w:line="240" w:lineRule="auto"/>
              <w:jc w:val="center"/>
              <w:rPr>
                <w:rFonts w:ascii="Arial" w:hAnsi="Arial" w:cs="Arial"/>
                <w:spacing w:val="4"/>
                <w:sz w:val="16"/>
                <w:szCs w:val="16"/>
              </w:rPr>
            </w:pPr>
            <w:r w:rsidRPr="004E3242">
              <w:rPr>
                <w:rFonts w:ascii="Arial" w:hAnsi="Arial" w:cs="Arial"/>
                <w:spacing w:val="4"/>
                <w:sz w:val="16"/>
                <w:szCs w:val="16"/>
              </w:rPr>
              <w:t>II kw. 2015 r.</w:t>
            </w:r>
          </w:p>
          <w:p w14:paraId="22F56296" w14:textId="77777777" w:rsidR="004E3242" w:rsidRPr="004E3242" w:rsidRDefault="004E3242" w:rsidP="00B345B6">
            <w:pPr>
              <w:numPr>
                <w:ilvl w:val="0"/>
                <w:numId w:val="60"/>
              </w:numPr>
              <w:spacing w:before="40" w:after="40" w:line="240" w:lineRule="auto"/>
              <w:jc w:val="center"/>
              <w:rPr>
                <w:rFonts w:ascii="Arial" w:hAnsi="Arial" w:cs="Arial"/>
                <w:spacing w:val="4"/>
                <w:sz w:val="16"/>
                <w:szCs w:val="16"/>
              </w:rPr>
            </w:pPr>
            <w:r w:rsidRPr="004E3242">
              <w:rPr>
                <w:rFonts w:ascii="Arial" w:hAnsi="Arial" w:cs="Arial"/>
                <w:spacing w:val="4"/>
                <w:sz w:val="16"/>
                <w:szCs w:val="16"/>
              </w:rPr>
              <w:t>I kw. 2016 r.</w:t>
            </w:r>
          </w:p>
          <w:p w14:paraId="3AD3DCCC" w14:textId="77777777" w:rsidR="004E3242" w:rsidRPr="004E3242" w:rsidRDefault="004E3242" w:rsidP="004E3242">
            <w:pPr>
              <w:spacing w:before="40" w:after="40" w:line="240" w:lineRule="auto"/>
              <w:jc w:val="center"/>
              <w:rPr>
                <w:rFonts w:ascii="Arial" w:hAnsi="Arial" w:cs="Arial"/>
                <w:spacing w:val="4"/>
                <w:sz w:val="16"/>
                <w:szCs w:val="16"/>
              </w:rPr>
            </w:pPr>
          </w:p>
          <w:p w14:paraId="6CCA62D0" w14:textId="77777777" w:rsidR="004E3242" w:rsidRPr="004E3242" w:rsidRDefault="004E3242" w:rsidP="004E3242">
            <w:pPr>
              <w:spacing w:before="40" w:after="40" w:line="240" w:lineRule="auto"/>
              <w:jc w:val="center"/>
              <w:rPr>
                <w:rFonts w:ascii="Arial" w:hAnsi="Arial" w:cs="Arial"/>
                <w:spacing w:val="4"/>
                <w:sz w:val="16"/>
                <w:szCs w:val="16"/>
              </w:rPr>
            </w:pPr>
          </w:p>
          <w:p w14:paraId="2B3DA433" w14:textId="77777777" w:rsidR="004E3242" w:rsidRPr="004E3242" w:rsidRDefault="004E3242" w:rsidP="004E3242">
            <w:pPr>
              <w:spacing w:before="40" w:after="40" w:line="240" w:lineRule="auto"/>
              <w:jc w:val="center"/>
              <w:rPr>
                <w:rFonts w:ascii="Arial" w:hAnsi="Arial" w:cs="Arial"/>
                <w:spacing w:val="4"/>
                <w:sz w:val="16"/>
                <w:szCs w:val="16"/>
              </w:rPr>
            </w:pPr>
          </w:p>
          <w:p w14:paraId="76D0FBE3" w14:textId="77777777" w:rsidR="004E3242" w:rsidRPr="004E3242" w:rsidRDefault="004E3242" w:rsidP="004E3242">
            <w:pPr>
              <w:spacing w:before="40" w:after="40" w:line="240" w:lineRule="auto"/>
              <w:jc w:val="center"/>
              <w:rPr>
                <w:rFonts w:ascii="Arial" w:hAnsi="Arial" w:cs="Arial"/>
                <w:b/>
                <w:spacing w:val="4"/>
                <w:sz w:val="16"/>
                <w:szCs w:val="16"/>
              </w:rPr>
            </w:pPr>
          </w:p>
          <w:p w14:paraId="4A5C189E" w14:textId="77777777" w:rsidR="004E3242" w:rsidRPr="004E3242" w:rsidRDefault="004E3242" w:rsidP="004E3242">
            <w:pPr>
              <w:spacing w:before="40" w:after="40" w:line="240" w:lineRule="auto"/>
              <w:jc w:val="center"/>
              <w:rPr>
                <w:rFonts w:ascii="Arial" w:hAnsi="Arial" w:cs="Arial"/>
                <w:b/>
                <w:spacing w:val="4"/>
                <w:sz w:val="16"/>
                <w:szCs w:val="16"/>
              </w:rPr>
            </w:pPr>
          </w:p>
          <w:p w14:paraId="4A2947A1" w14:textId="77777777" w:rsidR="004E3242" w:rsidRPr="004E3242" w:rsidRDefault="004E3242" w:rsidP="004E3242">
            <w:pPr>
              <w:spacing w:before="40" w:after="40" w:line="240" w:lineRule="auto"/>
              <w:jc w:val="center"/>
              <w:rPr>
                <w:rFonts w:ascii="Arial" w:hAnsi="Arial" w:cs="Arial"/>
                <w:b/>
                <w:spacing w:val="4"/>
                <w:sz w:val="16"/>
                <w:szCs w:val="16"/>
              </w:rPr>
            </w:pPr>
          </w:p>
          <w:p w14:paraId="2CADCA59" w14:textId="77777777" w:rsidR="004E3242" w:rsidRPr="004E3242" w:rsidRDefault="004E3242" w:rsidP="004E3242">
            <w:pPr>
              <w:spacing w:before="40" w:after="40" w:line="240" w:lineRule="auto"/>
              <w:jc w:val="center"/>
              <w:rPr>
                <w:rFonts w:ascii="Arial" w:hAnsi="Arial" w:cs="Arial"/>
                <w:b/>
                <w:spacing w:val="4"/>
                <w:sz w:val="16"/>
                <w:szCs w:val="16"/>
              </w:rPr>
            </w:pPr>
          </w:p>
          <w:p w14:paraId="22389086" w14:textId="77777777" w:rsidR="004E3242" w:rsidRPr="004E3242" w:rsidRDefault="004E3242" w:rsidP="004E3242">
            <w:pPr>
              <w:spacing w:before="40" w:after="40" w:line="240" w:lineRule="auto"/>
              <w:jc w:val="center"/>
              <w:rPr>
                <w:rFonts w:ascii="Arial" w:hAnsi="Arial" w:cs="Arial"/>
                <w:b/>
                <w:spacing w:val="4"/>
                <w:sz w:val="16"/>
                <w:szCs w:val="16"/>
              </w:rPr>
            </w:pPr>
          </w:p>
          <w:p w14:paraId="6F0D3680"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b/>
                <w:spacing w:val="4"/>
                <w:sz w:val="16"/>
                <w:szCs w:val="16"/>
              </w:rPr>
              <w:t>Kryterium 2:</w:t>
            </w:r>
          </w:p>
          <w:p w14:paraId="68F0B3D3"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IV kw. 2015 r.</w:t>
            </w:r>
          </w:p>
          <w:p w14:paraId="752F9212" w14:textId="77777777" w:rsidR="004E3242" w:rsidRPr="004E3242" w:rsidRDefault="004E3242" w:rsidP="00B345B6">
            <w:pPr>
              <w:numPr>
                <w:ilvl w:val="0"/>
                <w:numId w:val="59"/>
              </w:numPr>
              <w:spacing w:before="40" w:after="40" w:line="240" w:lineRule="auto"/>
              <w:jc w:val="center"/>
              <w:rPr>
                <w:rFonts w:ascii="Arial" w:hAnsi="Arial" w:cs="Arial"/>
                <w:spacing w:val="4"/>
                <w:sz w:val="16"/>
                <w:szCs w:val="16"/>
              </w:rPr>
            </w:pPr>
            <w:r w:rsidRPr="004E3242">
              <w:rPr>
                <w:rFonts w:ascii="Arial" w:hAnsi="Arial" w:cs="Arial"/>
                <w:spacing w:val="4"/>
                <w:sz w:val="16"/>
                <w:szCs w:val="16"/>
              </w:rPr>
              <w:t>II kw.  2015 r.</w:t>
            </w:r>
          </w:p>
          <w:p w14:paraId="3D03B65F" w14:textId="77777777" w:rsidR="004E3242" w:rsidRPr="004E3242" w:rsidRDefault="004E3242" w:rsidP="00B345B6">
            <w:pPr>
              <w:numPr>
                <w:ilvl w:val="0"/>
                <w:numId w:val="59"/>
              </w:numPr>
              <w:spacing w:before="40" w:after="40" w:line="240" w:lineRule="auto"/>
              <w:jc w:val="center"/>
              <w:rPr>
                <w:rFonts w:ascii="Arial" w:hAnsi="Arial" w:cs="Arial"/>
                <w:spacing w:val="4"/>
                <w:sz w:val="16"/>
                <w:szCs w:val="16"/>
              </w:rPr>
            </w:pPr>
            <w:r w:rsidRPr="004E3242">
              <w:rPr>
                <w:rFonts w:ascii="Arial" w:hAnsi="Arial" w:cs="Arial"/>
                <w:spacing w:val="4"/>
                <w:sz w:val="16"/>
                <w:szCs w:val="16"/>
              </w:rPr>
              <w:t>III kw.  2015 r.</w:t>
            </w:r>
          </w:p>
          <w:p w14:paraId="527841D6" w14:textId="77777777" w:rsidR="004E3242" w:rsidRPr="004E3242" w:rsidRDefault="004E3242" w:rsidP="00B345B6">
            <w:pPr>
              <w:numPr>
                <w:ilvl w:val="0"/>
                <w:numId w:val="59"/>
              </w:numPr>
              <w:spacing w:before="40" w:after="40" w:line="240" w:lineRule="auto"/>
              <w:jc w:val="center"/>
              <w:rPr>
                <w:rFonts w:ascii="Arial" w:hAnsi="Arial" w:cs="Arial"/>
                <w:spacing w:val="4"/>
                <w:sz w:val="16"/>
                <w:szCs w:val="16"/>
              </w:rPr>
            </w:pPr>
            <w:r w:rsidRPr="004E3242">
              <w:rPr>
                <w:rFonts w:ascii="Arial" w:hAnsi="Arial" w:cs="Arial"/>
                <w:spacing w:val="4"/>
                <w:sz w:val="16"/>
                <w:szCs w:val="16"/>
              </w:rPr>
              <w:t>IV kw.  2015 r.</w:t>
            </w:r>
          </w:p>
          <w:p w14:paraId="6A829B16" w14:textId="77777777" w:rsidR="004E3242" w:rsidRPr="004E3242" w:rsidRDefault="004E3242" w:rsidP="004E3242">
            <w:pPr>
              <w:spacing w:before="40" w:after="40" w:line="240" w:lineRule="auto"/>
              <w:ind w:left="360"/>
              <w:jc w:val="center"/>
              <w:rPr>
                <w:rFonts w:ascii="Arial" w:hAnsi="Arial" w:cs="Arial"/>
                <w:spacing w:val="4"/>
                <w:sz w:val="16"/>
                <w:szCs w:val="16"/>
              </w:rPr>
            </w:pPr>
          </w:p>
          <w:p w14:paraId="2F848DDC" w14:textId="77777777" w:rsidR="004E3242" w:rsidRPr="004E3242" w:rsidRDefault="004E3242" w:rsidP="004E3242">
            <w:pPr>
              <w:spacing w:before="40" w:after="40" w:line="240" w:lineRule="auto"/>
              <w:ind w:left="360"/>
              <w:jc w:val="center"/>
              <w:rPr>
                <w:rFonts w:ascii="Arial" w:hAnsi="Arial" w:cs="Arial"/>
                <w:spacing w:val="4"/>
                <w:sz w:val="16"/>
                <w:szCs w:val="16"/>
              </w:rPr>
            </w:pPr>
          </w:p>
          <w:p w14:paraId="0B42F5DC" w14:textId="77777777" w:rsidR="004E3242" w:rsidRPr="004E3242" w:rsidRDefault="004E3242" w:rsidP="004E3242">
            <w:pPr>
              <w:spacing w:before="40" w:after="40" w:line="240" w:lineRule="auto"/>
              <w:ind w:left="360"/>
              <w:jc w:val="center"/>
              <w:rPr>
                <w:rFonts w:ascii="Arial" w:hAnsi="Arial" w:cs="Arial"/>
                <w:spacing w:val="4"/>
                <w:sz w:val="16"/>
                <w:szCs w:val="16"/>
              </w:rPr>
            </w:pPr>
          </w:p>
        </w:tc>
        <w:tc>
          <w:tcPr>
            <w:tcW w:w="487" w:type="pct"/>
            <w:shd w:val="clear" w:color="auto" w:fill="F2F2F2"/>
            <w:vAlign w:val="center"/>
          </w:tcPr>
          <w:p w14:paraId="22DEB099" w14:textId="77777777" w:rsidR="004E3242" w:rsidRPr="004E3242" w:rsidRDefault="004E3242" w:rsidP="004E3242">
            <w:pPr>
              <w:spacing w:before="40" w:after="40" w:line="240" w:lineRule="auto"/>
              <w:jc w:val="center"/>
              <w:rPr>
                <w:rFonts w:ascii="Arial" w:hAnsi="Arial" w:cs="Arial"/>
                <w:b/>
                <w:spacing w:val="4"/>
                <w:sz w:val="16"/>
                <w:szCs w:val="16"/>
              </w:rPr>
            </w:pPr>
          </w:p>
          <w:p w14:paraId="54298F7C" w14:textId="77777777" w:rsidR="004E3242" w:rsidRPr="004E3242" w:rsidRDefault="004E3242" w:rsidP="004E3242">
            <w:pPr>
              <w:spacing w:before="40" w:after="40" w:line="240" w:lineRule="auto"/>
              <w:jc w:val="center"/>
              <w:rPr>
                <w:rFonts w:ascii="Arial" w:hAnsi="Arial" w:cs="Arial"/>
                <w:b/>
                <w:spacing w:val="4"/>
                <w:sz w:val="16"/>
                <w:szCs w:val="16"/>
              </w:rPr>
            </w:pPr>
          </w:p>
          <w:p w14:paraId="597260D6" w14:textId="77777777" w:rsidR="004E3242" w:rsidRPr="004E3242" w:rsidRDefault="004E3242" w:rsidP="004E3242">
            <w:pPr>
              <w:spacing w:before="40" w:after="40" w:line="240" w:lineRule="auto"/>
              <w:jc w:val="center"/>
              <w:rPr>
                <w:rFonts w:ascii="Arial" w:hAnsi="Arial" w:cs="Arial"/>
                <w:b/>
                <w:spacing w:val="4"/>
                <w:sz w:val="16"/>
                <w:szCs w:val="16"/>
              </w:rPr>
            </w:pPr>
            <w:r w:rsidRPr="004E3242">
              <w:rPr>
                <w:rFonts w:ascii="Arial" w:hAnsi="Arial" w:cs="Arial"/>
                <w:b/>
                <w:spacing w:val="4"/>
                <w:sz w:val="16"/>
                <w:szCs w:val="16"/>
              </w:rPr>
              <w:t>Kryterium 1:</w:t>
            </w:r>
          </w:p>
          <w:p w14:paraId="13F9D4F3"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MŚ / Parlament</w:t>
            </w:r>
          </w:p>
          <w:p w14:paraId="726B34A2" w14:textId="77777777" w:rsidR="004E3242" w:rsidRPr="004E3242" w:rsidRDefault="004E3242" w:rsidP="004E3242">
            <w:pPr>
              <w:spacing w:before="40" w:after="40" w:line="240" w:lineRule="auto"/>
              <w:jc w:val="center"/>
              <w:rPr>
                <w:rFonts w:ascii="Arial" w:hAnsi="Arial" w:cs="Arial"/>
                <w:spacing w:val="4"/>
                <w:sz w:val="16"/>
                <w:szCs w:val="16"/>
              </w:rPr>
            </w:pPr>
          </w:p>
          <w:p w14:paraId="15CF1A33" w14:textId="77777777" w:rsidR="004E3242" w:rsidRPr="004E3242" w:rsidRDefault="004E3242" w:rsidP="004E3242">
            <w:pPr>
              <w:spacing w:before="40" w:after="40" w:line="240" w:lineRule="auto"/>
              <w:jc w:val="center"/>
              <w:rPr>
                <w:rFonts w:ascii="Arial" w:hAnsi="Arial" w:cs="Arial"/>
                <w:spacing w:val="4"/>
                <w:sz w:val="16"/>
                <w:szCs w:val="16"/>
              </w:rPr>
            </w:pPr>
          </w:p>
          <w:p w14:paraId="452CC702" w14:textId="77777777" w:rsidR="004E3242" w:rsidRPr="004E3242" w:rsidRDefault="004E3242" w:rsidP="004E3242">
            <w:pPr>
              <w:spacing w:before="40" w:after="40" w:line="240" w:lineRule="auto"/>
              <w:jc w:val="center"/>
              <w:rPr>
                <w:rFonts w:ascii="Arial" w:hAnsi="Arial" w:cs="Arial"/>
                <w:spacing w:val="4"/>
                <w:sz w:val="16"/>
                <w:szCs w:val="16"/>
              </w:rPr>
            </w:pPr>
          </w:p>
          <w:p w14:paraId="61DB5F35" w14:textId="77777777" w:rsidR="004E3242" w:rsidRPr="004E3242" w:rsidRDefault="004E3242" w:rsidP="004E3242">
            <w:pPr>
              <w:spacing w:before="40" w:after="40" w:line="240" w:lineRule="auto"/>
              <w:jc w:val="center"/>
              <w:rPr>
                <w:rFonts w:ascii="Arial" w:hAnsi="Arial" w:cs="Arial"/>
                <w:spacing w:val="4"/>
                <w:sz w:val="16"/>
                <w:szCs w:val="16"/>
              </w:rPr>
            </w:pPr>
          </w:p>
          <w:p w14:paraId="37E05909" w14:textId="77777777" w:rsidR="004E3242" w:rsidRPr="004E3242" w:rsidRDefault="004E3242" w:rsidP="004E3242">
            <w:pPr>
              <w:spacing w:before="40" w:after="40" w:line="240" w:lineRule="auto"/>
              <w:jc w:val="center"/>
              <w:rPr>
                <w:rFonts w:ascii="Arial" w:hAnsi="Arial" w:cs="Arial"/>
                <w:spacing w:val="4"/>
                <w:sz w:val="16"/>
                <w:szCs w:val="16"/>
              </w:rPr>
            </w:pPr>
          </w:p>
          <w:p w14:paraId="34C46D83" w14:textId="77777777" w:rsidR="004E3242" w:rsidRPr="004E3242" w:rsidRDefault="004E3242" w:rsidP="004E3242">
            <w:pPr>
              <w:spacing w:before="40" w:after="40" w:line="240" w:lineRule="auto"/>
              <w:jc w:val="center"/>
              <w:rPr>
                <w:rFonts w:ascii="Arial" w:hAnsi="Arial" w:cs="Arial"/>
                <w:spacing w:val="4"/>
                <w:sz w:val="16"/>
                <w:szCs w:val="16"/>
              </w:rPr>
            </w:pPr>
          </w:p>
          <w:p w14:paraId="6EA9F9C0" w14:textId="77777777" w:rsidR="004E3242" w:rsidRPr="004E3242" w:rsidRDefault="004E3242" w:rsidP="004E3242">
            <w:pPr>
              <w:spacing w:before="40" w:after="40" w:line="240" w:lineRule="auto"/>
              <w:jc w:val="center"/>
              <w:rPr>
                <w:rFonts w:ascii="Arial" w:hAnsi="Arial" w:cs="Arial"/>
                <w:spacing w:val="4"/>
                <w:sz w:val="16"/>
                <w:szCs w:val="16"/>
              </w:rPr>
            </w:pPr>
          </w:p>
          <w:p w14:paraId="09DF3FAD" w14:textId="77777777" w:rsidR="004E3242" w:rsidRPr="004E3242" w:rsidRDefault="004E3242" w:rsidP="004E3242">
            <w:pPr>
              <w:spacing w:before="40" w:after="40" w:line="240" w:lineRule="auto"/>
              <w:jc w:val="center"/>
              <w:rPr>
                <w:rFonts w:ascii="Arial" w:hAnsi="Arial" w:cs="Arial"/>
                <w:spacing w:val="4"/>
                <w:sz w:val="16"/>
                <w:szCs w:val="16"/>
              </w:rPr>
            </w:pPr>
          </w:p>
          <w:p w14:paraId="549A8C50" w14:textId="77777777" w:rsidR="004E3242" w:rsidRPr="004E3242" w:rsidRDefault="004E3242" w:rsidP="004E3242">
            <w:pPr>
              <w:spacing w:before="40" w:after="40" w:line="240" w:lineRule="auto"/>
              <w:jc w:val="center"/>
              <w:rPr>
                <w:rFonts w:ascii="Arial" w:hAnsi="Arial" w:cs="Arial"/>
                <w:spacing w:val="4"/>
                <w:sz w:val="16"/>
                <w:szCs w:val="16"/>
              </w:rPr>
            </w:pPr>
          </w:p>
          <w:p w14:paraId="4805C94E" w14:textId="77777777" w:rsidR="004E3242" w:rsidRPr="004E3242" w:rsidRDefault="004E3242" w:rsidP="004E3242">
            <w:pPr>
              <w:spacing w:before="40" w:after="40" w:line="240" w:lineRule="auto"/>
              <w:jc w:val="center"/>
              <w:rPr>
                <w:rFonts w:ascii="Arial" w:hAnsi="Arial" w:cs="Arial"/>
                <w:b/>
                <w:spacing w:val="4"/>
                <w:sz w:val="16"/>
                <w:szCs w:val="16"/>
              </w:rPr>
            </w:pPr>
          </w:p>
          <w:p w14:paraId="210892EC" w14:textId="77777777" w:rsidR="004E3242" w:rsidRPr="004E3242" w:rsidRDefault="004E3242" w:rsidP="004E3242">
            <w:pPr>
              <w:spacing w:before="40" w:after="40" w:line="240" w:lineRule="auto"/>
              <w:jc w:val="center"/>
              <w:rPr>
                <w:rFonts w:ascii="Arial" w:hAnsi="Arial" w:cs="Arial"/>
                <w:b/>
                <w:spacing w:val="4"/>
                <w:sz w:val="16"/>
                <w:szCs w:val="16"/>
              </w:rPr>
            </w:pPr>
            <w:r w:rsidRPr="004E3242">
              <w:rPr>
                <w:rFonts w:ascii="Arial" w:hAnsi="Arial" w:cs="Arial"/>
                <w:b/>
                <w:spacing w:val="4"/>
                <w:sz w:val="16"/>
                <w:szCs w:val="16"/>
              </w:rPr>
              <w:t>Kryterium 2:</w:t>
            </w:r>
          </w:p>
          <w:p w14:paraId="60F93C8D" w14:textId="77777777" w:rsidR="004E3242" w:rsidRPr="004E3242" w:rsidRDefault="004E3242" w:rsidP="004E3242">
            <w:pPr>
              <w:spacing w:before="40" w:after="40" w:line="240" w:lineRule="auto"/>
              <w:jc w:val="center"/>
              <w:rPr>
                <w:rFonts w:ascii="Arial" w:hAnsi="Arial" w:cs="Arial"/>
                <w:spacing w:val="4"/>
                <w:sz w:val="16"/>
                <w:szCs w:val="16"/>
              </w:rPr>
            </w:pPr>
            <w:r w:rsidRPr="004E3242">
              <w:rPr>
                <w:rFonts w:ascii="Arial" w:hAnsi="Arial" w:cs="Arial"/>
                <w:spacing w:val="4"/>
                <w:sz w:val="16"/>
                <w:szCs w:val="16"/>
              </w:rPr>
              <w:t>KZGW / MŚ / RM</w:t>
            </w:r>
          </w:p>
          <w:p w14:paraId="5494DEBD" w14:textId="77777777" w:rsidR="004E3242" w:rsidRPr="004E3242" w:rsidRDefault="004E3242" w:rsidP="004E3242">
            <w:pPr>
              <w:spacing w:before="40" w:after="40" w:line="240" w:lineRule="auto"/>
              <w:jc w:val="center"/>
              <w:rPr>
                <w:rFonts w:ascii="Arial" w:hAnsi="Arial" w:cs="Arial"/>
                <w:spacing w:val="4"/>
                <w:sz w:val="16"/>
                <w:szCs w:val="16"/>
              </w:rPr>
            </w:pPr>
          </w:p>
          <w:p w14:paraId="6E31D99D" w14:textId="77777777" w:rsidR="004E3242" w:rsidRPr="004E3242" w:rsidRDefault="004E3242" w:rsidP="004E3242">
            <w:pPr>
              <w:spacing w:before="40" w:after="40" w:line="240" w:lineRule="auto"/>
              <w:jc w:val="center"/>
              <w:rPr>
                <w:rFonts w:ascii="Arial" w:hAnsi="Arial" w:cs="Arial"/>
                <w:spacing w:val="4"/>
                <w:sz w:val="16"/>
                <w:szCs w:val="16"/>
              </w:rPr>
            </w:pPr>
          </w:p>
          <w:p w14:paraId="09765DE4" w14:textId="77777777" w:rsidR="004E3242" w:rsidRPr="004E3242" w:rsidRDefault="004E3242" w:rsidP="004E3242">
            <w:pPr>
              <w:spacing w:before="40" w:after="40" w:line="240" w:lineRule="auto"/>
              <w:jc w:val="center"/>
              <w:rPr>
                <w:rFonts w:ascii="Arial" w:hAnsi="Arial" w:cs="Arial"/>
                <w:spacing w:val="4"/>
                <w:sz w:val="16"/>
                <w:szCs w:val="16"/>
              </w:rPr>
            </w:pPr>
          </w:p>
          <w:p w14:paraId="1CFC9F10" w14:textId="77777777" w:rsidR="004E3242" w:rsidRPr="004E3242" w:rsidRDefault="004E3242" w:rsidP="004E3242">
            <w:pPr>
              <w:spacing w:before="40" w:after="40" w:line="240" w:lineRule="auto"/>
              <w:jc w:val="center"/>
              <w:rPr>
                <w:rFonts w:ascii="Arial" w:hAnsi="Arial" w:cs="Arial"/>
                <w:spacing w:val="4"/>
                <w:sz w:val="16"/>
                <w:szCs w:val="16"/>
              </w:rPr>
            </w:pPr>
          </w:p>
          <w:p w14:paraId="226EFB3C" w14:textId="77777777" w:rsidR="004E3242" w:rsidRPr="004E3242" w:rsidRDefault="004E3242" w:rsidP="004E3242">
            <w:pPr>
              <w:spacing w:before="40" w:after="40" w:line="240" w:lineRule="auto"/>
              <w:jc w:val="center"/>
              <w:rPr>
                <w:rFonts w:ascii="Arial" w:hAnsi="Arial" w:cs="Arial"/>
                <w:spacing w:val="4"/>
                <w:sz w:val="16"/>
                <w:szCs w:val="16"/>
              </w:rPr>
            </w:pPr>
          </w:p>
          <w:p w14:paraId="16A8FF25" w14:textId="77777777" w:rsidR="004E3242" w:rsidRPr="004E3242" w:rsidRDefault="004E3242" w:rsidP="004E3242">
            <w:pPr>
              <w:spacing w:before="40" w:after="40" w:line="240" w:lineRule="auto"/>
              <w:jc w:val="center"/>
              <w:rPr>
                <w:rFonts w:ascii="Arial" w:hAnsi="Arial" w:cs="Arial"/>
                <w:spacing w:val="4"/>
                <w:sz w:val="16"/>
                <w:szCs w:val="16"/>
              </w:rPr>
            </w:pPr>
          </w:p>
        </w:tc>
      </w:tr>
      <w:tr w:rsidR="004E3242" w:rsidRPr="004E3242" w14:paraId="67931884" w14:textId="77777777" w:rsidTr="00AA7998">
        <w:tc>
          <w:tcPr>
            <w:tcW w:w="774" w:type="pct"/>
            <w:shd w:val="clear" w:color="auto" w:fill="F2F2F2"/>
            <w:vAlign w:val="center"/>
          </w:tcPr>
          <w:p w14:paraId="798CBCC9"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lastRenderedPageBreak/>
              <w:t>6.2</w:t>
            </w:r>
            <w:r w:rsidRPr="004E3242">
              <w:rPr>
                <w:rFonts w:ascii="Arial" w:hAnsi="Arial" w:cs="Arial"/>
                <w:noProof/>
                <w:sz w:val="16"/>
                <w:szCs w:val="16"/>
              </w:rPr>
              <w:t xml:space="preserve"> </w:t>
            </w:r>
            <w:r w:rsidRPr="004E3242">
              <w:rPr>
                <w:rFonts w:ascii="Arial" w:hAnsi="Arial" w:cs="Arial"/>
                <w:spacing w:val="4"/>
                <w:sz w:val="16"/>
                <w:szCs w:val="16"/>
              </w:rPr>
              <w:t>Gospodarka odpadami</w:t>
            </w:r>
          </w:p>
        </w:tc>
        <w:tc>
          <w:tcPr>
            <w:tcW w:w="1385" w:type="pct"/>
            <w:shd w:val="clear" w:color="auto" w:fill="F2F2F2"/>
            <w:vAlign w:val="center"/>
          </w:tcPr>
          <w:p w14:paraId="27336095" w14:textId="77777777" w:rsidR="004E3242" w:rsidRPr="004E3242" w:rsidRDefault="004E3242" w:rsidP="004E3242">
            <w:pPr>
              <w:spacing w:after="0" w:line="240" w:lineRule="auto"/>
              <w:jc w:val="both"/>
              <w:rPr>
                <w:rFonts w:ascii="Arial" w:hAnsi="Arial" w:cs="Arial"/>
                <w:sz w:val="16"/>
                <w:szCs w:val="16"/>
                <w:lang w:eastAsia="pl-PL"/>
              </w:rPr>
            </w:pPr>
            <w:r w:rsidRPr="004E3242">
              <w:rPr>
                <w:rFonts w:ascii="Arial" w:hAnsi="Arial" w:cs="Arial"/>
                <w:sz w:val="16"/>
                <w:szCs w:val="16"/>
                <w:lang w:eastAsia="pl-PL"/>
              </w:rPr>
              <w:t>Zgodnie z wymogami art. 11 ust. 5 dyrektywy 2008/98/WE Komisji przekazano sprawozdanie z realizacji dotyczące postępów w osiąganiu celów określonych w art. 11 dyrektywy 2008/98/WE.</w:t>
            </w:r>
          </w:p>
          <w:p w14:paraId="790D0DD1" w14:textId="77777777" w:rsidR="004E3242" w:rsidRPr="004E3242" w:rsidRDefault="004E3242" w:rsidP="004E3242">
            <w:pPr>
              <w:spacing w:after="0" w:line="240" w:lineRule="auto"/>
              <w:jc w:val="both"/>
              <w:rPr>
                <w:rFonts w:ascii="Arial" w:hAnsi="Arial" w:cs="Arial"/>
                <w:sz w:val="16"/>
                <w:szCs w:val="16"/>
                <w:lang w:eastAsia="pl-PL"/>
              </w:rPr>
            </w:pPr>
            <w:r w:rsidRPr="004E3242">
              <w:rPr>
                <w:rFonts w:ascii="Arial" w:hAnsi="Arial" w:cs="Arial"/>
                <w:sz w:val="16"/>
                <w:szCs w:val="16"/>
                <w:lang w:eastAsia="pl-PL"/>
              </w:rPr>
              <w:t>Istnienie jednego lub kilku planów gospodarki odpadami zgodnie z wymogami art. 28 dyrektywy 2008/98/WE.</w:t>
            </w:r>
          </w:p>
          <w:p w14:paraId="04D7F507" w14:textId="77777777" w:rsidR="004E3242" w:rsidRPr="004E3242" w:rsidRDefault="004E3242" w:rsidP="004E3242">
            <w:pPr>
              <w:spacing w:after="0" w:line="240" w:lineRule="auto"/>
              <w:jc w:val="both"/>
              <w:rPr>
                <w:rFonts w:ascii="Arial" w:hAnsi="Arial" w:cs="Arial"/>
                <w:sz w:val="16"/>
                <w:szCs w:val="16"/>
                <w:lang w:eastAsia="pl-PL"/>
              </w:rPr>
            </w:pPr>
            <w:r w:rsidRPr="004E3242">
              <w:rPr>
                <w:rFonts w:ascii="Arial" w:hAnsi="Arial" w:cs="Arial"/>
                <w:sz w:val="16"/>
                <w:szCs w:val="16"/>
                <w:lang w:eastAsia="pl-PL"/>
              </w:rPr>
              <w:t>Istnienie programów zapobiegania powstawaniu odpadów zgodnie z wymogami art. 29 dyrektywy 2008/98/WE.</w:t>
            </w:r>
          </w:p>
          <w:p w14:paraId="6BDFC8CF"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z w:val="16"/>
                <w:szCs w:val="16"/>
              </w:rPr>
              <w:t xml:space="preserve">Przyjęto środki niezbędne do osiągnięcia celów na 2020 r. dotyczących przygotowania do ponownego </w:t>
            </w:r>
            <w:r w:rsidRPr="004E3242">
              <w:rPr>
                <w:rFonts w:ascii="Arial" w:hAnsi="Arial" w:cs="Arial"/>
                <w:sz w:val="16"/>
                <w:szCs w:val="16"/>
              </w:rPr>
              <w:lastRenderedPageBreak/>
              <w:t>wykorzystania i recyklingu, zgodnie z art. 11 ust. 2 dyrektywy 2008/98/WE.</w:t>
            </w:r>
          </w:p>
        </w:tc>
        <w:tc>
          <w:tcPr>
            <w:tcW w:w="1754" w:type="pct"/>
            <w:shd w:val="clear" w:color="auto" w:fill="F2F2F2"/>
            <w:vAlign w:val="center"/>
          </w:tcPr>
          <w:p w14:paraId="0327A10B" w14:textId="77777777" w:rsidR="004E3242" w:rsidRPr="004E3242" w:rsidRDefault="004E3242" w:rsidP="004E3242">
            <w:pPr>
              <w:spacing w:beforeLines="40" w:before="96" w:afterLines="40" w:after="96" w:line="240" w:lineRule="auto"/>
              <w:jc w:val="both"/>
              <w:rPr>
                <w:rFonts w:ascii="Arial" w:hAnsi="Arial" w:cs="Arial"/>
                <w:b/>
                <w:sz w:val="16"/>
                <w:szCs w:val="16"/>
              </w:rPr>
            </w:pPr>
            <w:r w:rsidRPr="004E3242">
              <w:rPr>
                <w:rFonts w:ascii="Arial" w:hAnsi="Arial" w:cs="Arial"/>
                <w:b/>
                <w:sz w:val="16"/>
                <w:szCs w:val="16"/>
              </w:rPr>
              <w:lastRenderedPageBreak/>
              <w:t>Kryterium 2:</w:t>
            </w:r>
          </w:p>
          <w:p w14:paraId="2259CF95" w14:textId="77777777" w:rsidR="004E3242" w:rsidRPr="004E3242" w:rsidRDefault="004E3242" w:rsidP="004E3242">
            <w:pPr>
              <w:spacing w:beforeLines="40" w:before="96" w:afterLines="40" w:after="96" w:line="240" w:lineRule="auto"/>
              <w:jc w:val="both"/>
              <w:rPr>
                <w:rFonts w:ascii="Arial" w:hAnsi="Arial" w:cs="Arial"/>
                <w:sz w:val="16"/>
                <w:szCs w:val="16"/>
                <w:u w:val="single"/>
              </w:rPr>
            </w:pPr>
            <w:r w:rsidRPr="004E3242">
              <w:rPr>
                <w:rFonts w:ascii="Arial" w:hAnsi="Arial" w:cs="Arial"/>
                <w:sz w:val="16"/>
                <w:szCs w:val="16"/>
                <w:u w:val="single"/>
              </w:rPr>
              <w:t>Szczegółowe działania:</w:t>
            </w:r>
          </w:p>
          <w:p w14:paraId="6A7D3D87" w14:textId="77777777" w:rsidR="004E3242" w:rsidRPr="004E3242" w:rsidRDefault="004E3242" w:rsidP="00B345B6">
            <w:pPr>
              <w:numPr>
                <w:ilvl w:val="0"/>
                <w:numId w:val="55"/>
              </w:numPr>
              <w:spacing w:beforeLines="40" w:before="96" w:afterLines="40" w:after="96" w:line="240" w:lineRule="auto"/>
              <w:jc w:val="both"/>
              <w:rPr>
                <w:rFonts w:ascii="Arial" w:hAnsi="Arial" w:cs="Arial"/>
                <w:sz w:val="16"/>
                <w:szCs w:val="16"/>
              </w:rPr>
            </w:pPr>
            <w:r w:rsidRPr="004E3242">
              <w:rPr>
                <w:rFonts w:ascii="Arial" w:hAnsi="Arial" w:cs="Arial"/>
                <w:sz w:val="16"/>
                <w:szCs w:val="16"/>
              </w:rPr>
              <w:t xml:space="preserve">Wprowadzenie ustawowego obowiązku sporządzania przez zarządy województw planów inwestycyjnych w zakresie gospodarki odpadami komunalnymi, które będą stanowić załączniki do </w:t>
            </w:r>
            <w:proofErr w:type="spellStart"/>
            <w:r w:rsidRPr="004E3242">
              <w:rPr>
                <w:rFonts w:ascii="Arial" w:hAnsi="Arial" w:cs="Arial"/>
                <w:sz w:val="16"/>
                <w:szCs w:val="16"/>
              </w:rPr>
              <w:t>wpgo</w:t>
            </w:r>
            <w:proofErr w:type="spellEnd"/>
          </w:p>
          <w:p w14:paraId="61AE4FF0" w14:textId="77777777" w:rsidR="004E3242" w:rsidRPr="004E3242" w:rsidRDefault="004E3242" w:rsidP="00B345B6">
            <w:pPr>
              <w:numPr>
                <w:ilvl w:val="0"/>
                <w:numId w:val="55"/>
              </w:numPr>
              <w:spacing w:beforeLines="40" w:before="96" w:afterLines="40" w:after="96" w:line="240" w:lineRule="auto"/>
              <w:jc w:val="both"/>
              <w:rPr>
                <w:rFonts w:ascii="Arial" w:hAnsi="Arial" w:cs="Arial"/>
                <w:sz w:val="16"/>
                <w:szCs w:val="16"/>
              </w:rPr>
            </w:pPr>
            <w:r w:rsidRPr="004E3242">
              <w:rPr>
                <w:rFonts w:ascii="Arial" w:hAnsi="Arial" w:cs="Arial"/>
                <w:sz w:val="16"/>
                <w:szCs w:val="16"/>
              </w:rPr>
              <w:t>Wydanie rozporządzenia określającego sposób i formę sporządzania wojewódzkiego planu gospodarki odpadami oraz wzór planu inwestycyjnego</w:t>
            </w:r>
          </w:p>
          <w:p w14:paraId="773D999A" w14:textId="77777777" w:rsidR="004E3242" w:rsidRPr="004E3242" w:rsidRDefault="004E3242" w:rsidP="00B345B6">
            <w:pPr>
              <w:numPr>
                <w:ilvl w:val="0"/>
                <w:numId w:val="55"/>
              </w:numPr>
              <w:spacing w:beforeLines="40" w:before="96" w:afterLines="40" w:after="96" w:line="240" w:lineRule="auto"/>
              <w:jc w:val="both"/>
              <w:rPr>
                <w:rFonts w:ascii="Arial" w:hAnsi="Arial" w:cs="Arial"/>
                <w:sz w:val="16"/>
                <w:szCs w:val="16"/>
              </w:rPr>
            </w:pPr>
            <w:r w:rsidRPr="004E3242">
              <w:rPr>
                <w:rFonts w:ascii="Arial" w:hAnsi="Arial" w:cs="Arial"/>
                <w:sz w:val="16"/>
                <w:szCs w:val="16"/>
              </w:rPr>
              <w:lastRenderedPageBreak/>
              <w:t>Opracowanie wytycznych dla sporządzenia planów gospodarki odpadami</w:t>
            </w:r>
          </w:p>
          <w:p w14:paraId="113AACF9" w14:textId="77777777" w:rsidR="004E3242" w:rsidRPr="004E3242" w:rsidRDefault="004E3242" w:rsidP="00B345B6">
            <w:pPr>
              <w:numPr>
                <w:ilvl w:val="0"/>
                <w:numId w:val="55"/>
              </w:numPr>
              <w:spacing w:beforeLines="40" w:before="96" w:afterLines="40" w:after="96" w:line="240" w:lineRule="auto"/>
              <w:jc w:val="both"/>
              <w:rPr>
                <w:rFonts w:ascii="Arial" w:hAnsi="Arial" w:cs="Arial"/>
                <w:sz w:val="16"/>
                <w:szCs w:val="16"/>
              </w:rPr>
            </w:pPr>
            <w:r w:rsidRPr="004E3242">
              <w:rPr>
                <w:rFonts w:ascii="Arial" w:hAnsi="Arial" w:cs="Arial"/>
                <w:b/>
                <w:sz w:val="16"/>
                <w:szCs w:val="16"/>
              </w:rPr>
              <w:t xml:space="preserve">Aktualizacja </w:t>
            </w:r>
            <w:proofErr w:type="spellStart"/>
            <w:r w:rsidRPr="004E3242">
              <w:rPr>
                <w:rFonts w:ascii="Arial" w:hAnsi="Arial" w:cs="Arial"/>
                <w:b/>
                <w:sz w:val="16"/>
                <w:szCs w:val="16"/>
              </w:rPr>
              <w:t>Kpgo</w:t>
            </w:r>
            <w:proofErr w:type="spellEnd"/>
            <w:r w:rsidRPr="004E3242">
              <w:rPr>
                <w:rFonts w:ascii="Arial" w:hAnsi="Arial" w:cs="Arial"/>
                <w:sz w:val="16"/>
                <w:szCs w:val="16"/>
              </w:rPr>
              <w:t xml:space="preserve">, po dokonaniu analizy sprawozdań z realizacji dotychczasowych </w:t>
            </w:r>
            <w:proofErr w:type="spellStart"/>
            <w:r w:rsidRPr="004E3242">
              <w:rPr>
                <w:rFonts w:ascii="Arial" w:hAnsi="Arial" w:cs="Arial"/>
                <w:sz w:val="16"/>
                <w:szCs w:val="16"/>
              </w:rPr>
              <w:t>wpgo</w:t>
            </w:r>
            <w:proofErr w:type="spellEnd"/>
            <w:r w:rsidRPr="004E3242">
              <w:rPr>
                <w:rFonts w:ascii="Arial" w:hAnsi="Arial" w:cs="Arial"/>
                <w:sz w:val="16"/>
                <w:szCs w:val="16"/>
              </w:rPr>
              <w:t xml:space="preserve">, z uwzględnieniem sprawozdania z realizacji </w:t>
            </w:r>
            <w:proofErr w:type="spellStart"/>
            <w:r w:rsidRPr="004E3242">
              <w:rPr>
                <w:rFonts w:ascii="Arial" w:hAnsi="Arial" w:cs="Arial"/>
                <w:sz w:val="16"/>
                <w:szCs w:val="16"/>
              </w:rPr>
              <w:t>Kpgo</w:t>
            </w:r>
            <w:proofErr w:type="spellEnd"/>
            <w:r w:rsidRPr="004E3242">
              <w:rPr>
                <w:rFonts w:ascii="Arial" w:hAnsi="Arial" w:cs="Arial"/>
                <w:sz w:val="16"/>
                <w:szCs w:val="16"/>
              </w:rPr>
              <w:t xml:space="preserve"> oraz prac nad nowelizacją dyrektyw w zakresie gospodarki odpadami</w:t>
            </w:r>
          </w:p>
          <w:p w14:paraId="130A8209" w14:textId="77777777" w:rsidR="004E3242" w:rsidRPr="004E3242" w:rsidRDefault="004E3242" w:rsidP="00B345B6">
            <w:pPr>
              <w:numPr>
                <w:ilvl w:val="0"/>
                <w:numId w:val="55"/>
              </w:numPr>
              <w:spacing w:beforeLines="40" w:before="96" w:afterLines="40" w:after="96" w:line="240" w:lineRule="auto"/>
              <w:jc w:val="both"/>
              <w:rPr>
                <w:rFonts w:ascii="Arial" w:hAnsi="Arial" w:cs="Arial"/>
                <w:sz w:val="16"/>
                <w:szCs w:val="16"/>
              </w:rPr>
            </w:pPr>
            <w:r w:rsidRPr="004E3242">
              <w:rPr>
                <w:rFonts w:ascii="Arial" w:hAnsi="Arial" w:cs="Arial"/>
                <w:b/>
                <w:sz w:val="16"/>
                <w:szCs w:val="16"/>
              </w:rPr>
              <w:t xml:space="preserve">Aktualizacja </w:t>
            </w:r>
            <w:proofErr w:type="spellStart"/>
            <w:r w:rsidRPr="004E3242">
              <w:rPr>
                <w:rFonts w:ascii="Arial" w:hAnsi="Arial" w:cs="Arial"/>
                <w:b/>
                <w:sz w:val="16"/>
                <w:szCs w:val="16"/>
              </w:rPr>
              <w:t>wpgo</w:t>
            </w:r>
            <w:proofErr w:type="spellEnd"/>
            <w:r w:rsidRPr="004E3242">
              <w:rPr>
                <w:rFonts w:ascii="Arial" w:hAnsi="Arial" w:cs="Arial"/>
                <w:sz w:val="16"/>
                <w:szCs w:val="16"/>
              </w:rPr>
              <w:t xml:space="preserve"> wraz z opracowaniem planów inwestycyjnych w zakresie gospodarki odpadami komunalnymi</w:t>
            </w:r>
          </w:p>
          <w:p w14:paraId="152B41E1" w14:textId="77777777" w:rsidR="004E3242" w:rsidRPr="004E3242" w:rsidRDefault="004E3242" w:rsidP="004E3242">
            <w:pPr>
              <w:spacing w:beforeLines="40" w:before="96" w:afterLines="40" w:after="96" w:line="240" w:lineRule="auto"/>
              <w:jc w:val="both"/>
              <w:rPr>
                <w:rFonts w:ascii="Arial" w:hAnsi="Arial" w:cs="Arial"/>
                <w:sz w:val="16"/>
                <w:szCs w:val="16"/>
              </w:rPr>
            </w:pPr>
          </w:p>
          <w:p w14:paraId="378B0777" w14:textId="77777777" w:rsidR="004E3242" w:rsidRPr="004E3242" w:rsidRDefault="004E3242" w:rsidP="004E3242">
            <w:pPr>
              <w:spacing w:beforeLines="40" w:before="96" w:afterLines="40" w:after="96" w:line="240" w:lineRule="auto"/>
              <w:jc w:val="both"/>
              <w:rPr>
                <w:rFonts w:ascii="Arial" w:hAnsi="Arial" w:cs="Arial"/>
                <w:b/>
                <w:spacing w:val="4"/>
                <w:sz w:val="16"/>
                <w:szCs w:val="16"/>
              </w:rPr>
            </w:pPr>
            <w:r w:rsidRPr="004E3242">
              <w:rPr>
                <w:rFonts w:ascii="Arial" w:hAnsi="Arial" w:cs="Arial"/>
                <w:b/>
                <w:spacing w:val="4"/>
                <w:sz w:val="16"/>
                <w:szCs w:val="16"/>
              </w:rPr>
              <w:t>Kryterium 4:</w:t>
            </w:r>
          </w:p>
          <w:p w14:paraId="6BAA38F1" w14:textId="77777777" w:rsidR="004E3242" w:rsidRPr="004E3242" w:rsidRDefault="004E3242" w:rsidP="004E3242">
            <w:pPr>
              <w:spacing w:beforeLines="40" w:before="96" w:afterLines="40" w:after="96" w:line="240" w:lineRule="auto"/>
              <w:jc w:val="both"/>
              <w:rPr>
                <w:rFonts w:ascii="Arial" w:hAnsi="Arial" w:cs="Arial"/>
                <w:spacing w:val="4"/>
                <w:sz w:val="16"/>
                <w:szCs w:val="16"/>
                <w:u w:val="single"/>
              </w:rPr>
            </w:pPr>
            <w:r w:rsidRPr="004E3242">
              <w:rPr>
                <w:rFonts w:ascii="Arial" w:hAnsi="Arial" w:cs="Arial"/>
                <w:spacing w:val="4"/>
                <w:sz w:val="16"/>
                <w:szCs w:val="16"/>
                <w:u w:val="single"/>
              </w:rPr>
              <w:t>Szczegółowe działania:</w:t>
            </w:r>
          </w:p>
          <w:p w14:paraId="7C577826"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Nowelizacja ustawy z dnia 13.09.1996 r. o utrzymaniu czystości i porządku w gminach</w:t>
            </w:r>
          </w:p>
          <w:p w14:paraId="42A93AB9"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 xml:space="preserve">Wprowadzenie standardów segregacji odpadów komunalnych obowiązujących w całym kraju – </w:t>
            </w:r>
            <w:proofErr w:type="spellStart"/>
            <w:r w:rsidRPr="004E3242">
              <w:rPr>
                <w:rFonts w:ascii="Arial" w:eastAsia="Times New Roman" w:hAnsi="Arial" w:cs="Arial"/>
                <w:sz w:val="16"/>
                <w:szCs w:val="16"/>
              </w:rPr>
              <w:t>rozp</w:t>
            </w:r>
            <w:proofErr w:type="spellEnd"/>
            <w:r w:rsidRPr="004E3242">
              <w:rPr>
                <w:rFonts w:ascii="Arial" w:eastAsia="Times New Roman" w:hAnsi="Arial" w:cs="Arial"/>
                <w:sz w:val="16"/>
                <w:szCs w:val="16"/>
              </w:rPr>
              <w:t xml:space="preserve">. </w:t>
            </w:r>
            <w:proofErr w:type="spellStart"/>
            <w:r w:rsidRPr="004E3242">
              <w:rPr>
                <w:rFonts w:ascii="Arial" w:eastAsia="Times New Roman" w:hAnsi="Arial" w:cs="Arial"/>
                <w:sz w:val="16"/>
                <w:szCs w:val="16"/>
              </w:rPr>
              <w:t>ws</w:t>
            </w:r>
            <w:proofErr w:type="spellEnd"/>
            <w:r w:rsidRPr="004E3242">
              <w:rPr>
                <w:rFonts w:ascii="Arial" w:eastAsia="Times New Roman" w:hAnsi="Arial" w:cs="Arial"/>
                <w:sz w:val="16"/>
                <w:szCs w:val="16"/>
              </w:rPr>
              <w:t xml:space="preserve"> obowiązku selektywnego zbierania niektórych odpadów komunalnych oraz szczegółowego sposobu selektywnego zbierania wybranych frakcji odpadów</w:t>
            </w:r>
          </w:p>
          <w:p w14:paraId="713E9ADA"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 xml:space="preserve">Wydanie </w:t>
            </w:r>
            <w:proofErr w:type="spellStart"/>
            <w:r w:rsidRPr="004E3242">
              <w:rPr>
                <w:rFonts w:ascii="Arial" w:eastAsia="Times New Roman" w:hAnsi="Arial" w:cs="Arial"/>
                <w:sz w:val="16"/>
                <w:szCs w:val="16"/>
              </w:rPr>
              <w:t>rozp</w:t>
            </w:r>
            <w:proofErr w:type="spellEnd"/>
            <w:r w:rsidRPr="004E3242">
              <w:rPr>
                <w:rFonts w:ascii="Arial" w:eastAsia="Times New Roman" w:hAnsi="Arial" w:cs="Arial"/>
                <w:sz w:val="16"/>
                <w:szCs w:val="16"/>
              </w:rPr>
              <w:t xml:space="preserve">. RM </w:t>
            </w:r>
            <w:proofErr w:type="spellStart"/>
            <w:r w:rsidRPr="004E3242">
              <w:rPr>
                <w:rFonts w:ascii="Arial" w:eastAsia="Times New Roman" w:hAnsi="Arial" w:cs="Arial"/>
                <w:sz w:val="16"/>
                <w:szCs w:val="16"/>
              </w:rPr>
              <w:t>ws</w:t>
            </w:r>
            <w:proofErr w:type="spellEnd"/>
            <w:r w:rsidRPr="004E3242">
              <w:rPr>
                <w:rFonts w:ascii="Arial" w:eastAsia="Times New Roman" w:hAnsi="Arial" w:cs="Arial"/>
                <w:sz w:val="16"/>
                <w:szCs w:val="16"/>
              </w:rPr>
              <w:t xml:space="preserve"> opłat za korzystanie ze środowiska (m.in. podwyższenie opłat dla strumieni odpadów, które powinny być poddane recyklingowi)</w:t>
            </w:r>
          </w:p>
          <w:p w14:paraId="09C7A0A0"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 xml:space="preserve">Uchwalenie nowej ustawy o zużytym sprzęcie elektrycznym i elektronicznym </w:t>
            </w:r>
          </w:p>
          <w:p w14:paraId="4A69BE51"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 xml:space="preserve">Wydanie nowego </w:t>
            </w:r>
            <w:proofErr w:type="spellStart"/>
            <w:r w:rsidRPr="004E3242">
              <w:rPr>
                <w:rFonts w:ascii="Arial" w:eastAsia="Times New Roman" w:hAnsi="Arial" w:cs="Arial"/>
                <w:sz w:val="16"/>
                <w:szCs w:val="16"/>
              </w:rPr>
              <w:t>rozp</w:t>
            </w:r>
            <w:proofErr w:type="spellEnd"/>
            <w:r w:rsidRPr="004E3242">
              <w:rPr>
                <w:rFonts w:ascii="Arial" w:eastAsia="Times New Roman" w:hAnsi="Arial" w:cs="Arial"/>
                <w:sz w:val="16"/>
                <w:szCs w:val="16"/>
              </w:rPr>
              <w:t xml:space="preserve">. </w:t>
            </w:r>
            <w:proofErr w:type="spellStart"/>
            <w:r w:rsidRPr="004E3242">
              <w:rPr>
                <w:rFonts w:ascii="Arial" w:eastAsia="Times New Roman" w:hAnsi="Arial" w:cs="Arial"/>
                <w:sz w:val="16"/>
                <w:szCs w:val="16"/>
              </w:rPr>
              <w:t>ws</w:t>
            </w:r>
            <w:proofErr w:type="spellEnd"/>
            <w:r w:rsidRPr="004E3242">
              <w:rPr>
                <w:rFonts w:ascii="Arial" w:eastAsia="Times New Roman" w:hAnsi="Arial" w:cs="Arial"/>
                <w:sz w:val="16"/>
                <w:szCs w:val="16"/>
              </w:rPr>
              <w:t xml:space="preserve"> wzorów sprawozdań o odebranych odpadach komunalnych oraz realizacji zadań z zakresu gospodarowania odpadami komunalnymi (w celu poprawienia jakości pozyskiwanych danych)</w:t>
            </w:r>
          </w:p>
          <w:p w14:paraId="55B6F900"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 xml:space="preserve">Wydanie </w:t>
            </w:r>
            <w:proofErr w:type="spellStart"/>
            <w:r w:rsidRPr="004E3242">
              <w:rPr>
                <w:rFonts w:ascii="Arial" w:eastAsia="Times New Roman" w:hAnsi="Arial" w:cs="Arial"/>
                <w:sz w:val="16"/>
                <w:szCs w:val="16"/>
              </w:rPr>
              <w:t>rozp</w:t>
            </w:r>
            <w:proofErr w:type="spellEnd"/>
            <w:r w:rsidRPr="004E3242">
              <w:rPr>
                <w:rFonts w:ascii="Arial" w:eastAsia="Times New Roman" w:hAnsi="Arial" w:cs="Arial"/>
                <w:sz w:val="16"/>
                <w:szCs w:val="16"/>
              </w:rPr>
              <w:t xml:space="preserve">. dotyczącego audytu na podstawie art. 51 ustawy z 13.06.2013 r. o gospodarce opakowaniami i odpadami opakowaniowymi </w:t>
            </w:r>
          </w:p>
          <w:p w14:paraId="677B4B17"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hAnsi="Arial" w:cs="Arial"/>
                <w:sz w:val="16"/>
                <w:szCs w:val="16"/>
              </w:rPr>
              <w:t xml:space="preserve">Zorganizowanie eksperckich spotkań z </w:t>
            </w:r>
            <w:proofErr w:type="spellStart"/>
            <w:r w:rsidRPr="004E3242">
              <w:rPr>
                <w:rFonts w:ascii="Arial" w:hAnsi="Arial" w:cs="Arial"/>
                <w:sz w:val="16"/>
                <w:szCs w:val="16"/>
              </w:rPr>
              <w:t>jst</w:t>
            </w:r>
            <w:proofErr w:type="spellEnd"/>
            <w:r w:rsidRPr="004E3242">
              <w:rPr>
                <w:rFonts w:ascii="Arial" w:hAnsi="Arial" w:cs="Arial"/>
                <w:sz w:val="16"/>
                <w:szCs w:val="16"/>
              </w:rPr>
              <w:t xml:space="preserve"> i przedsiębiorcami oraz przeprowadzenie kampanii informacyjnej dotyczącej upowszechnienia informacji nt. konieczności i potrzeby podwyższenia stawek opłat za składowanie odpadów</w:t>
            </w:r>
          </w:p>
          <w:p w14:paraId="7FFCA63D"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Wzmocnienie dodatkowych systemów zbierania odpadów, w tym odpadów komunalnych poprzez możliwość finansowania innych form zbierania odpadów  np. różnego rodzaju obwoźnych punktów zbierania, akcyjnego zbierania poszczególnych rodzajów odpadów, itp.</w:t>
            </w:r>
          </w:p>
          <w:p w14:paraId="1A828027"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 xml:space="preserve">Działania edukacyjne: Przeprowadzenie kampanii, której główny </w:t>
            </w:r>
            <w:r w:rsidRPr="004E3242">
              <w:rPr>
                <w:rFonts w:ascii="Arial" w:eastAsia="Times New Roman" w:hAnsi="Arial" w:cs="Arial"/>
                <w:sz w:val="16"/>
                <w:szCs w:val="16"/>
              </w:rPr>
              <w:lastRenderedPageBreak/>
              <w:t>obszar komunikacyjny skierowany jest do mieszkańców i dotyczy promocji recyklingu oraz selektywnego zbierania odpadów komunalnych</w:t>
            </w:r>
            <w:r w:rsidRPr="004E3242">
              <w:rPr>
                <w:rFonts w:ascii="Arial" w:hAnsi="Arial" w:cs="Arial"/>
                <w:sz w:val="16"/>
                <w:szCs w:val="16"/>
              </w:rPr>
              <w:t xml:space="preserve"> </w:t>
            </w:r>
            <w:r w:rsidRPr="004E3242">
              <w:rPr>
                <w:rFonts w:ascii="Arial" w:eastAsia="Times New Roman" w:hAnsi="Arial" w:cs="Arial"/>
                <w:sz w:val="16"/>
                <w:szCs w:val="16"/>
              </w:rPr>
              <w:t>i przydomowego kompostowania odpadów komunalnych</w:t>
            </w:r>
          </w:p>
          <w:p w14:paraId="1B7B13BD"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Opracowanie programu akredytacyjnego dla audytorów, którzy zgodnie z przepisami ustawy z 13.06.2013 r. o gospodarce opakowaniami i odpadami opakowaniowymi, przeprowadzać będą audyty przedsiębiorców przetwarzających odpady opakowaniowe oraz wywożących poza terytorium kraju odpady opakowaniowe do ich przetworzenia</w:t>
            </w:r>
          </w:p>
          <w:p w14:paraId="5BB0FCA5"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 xml:space="preserve">Wprowadzenie do priorytetów finansowania NFOŚiGW i </w:t>
            </w:r>
            <w:proofErr w:type="spellStart"/>
            <w:r w:rsidRPr="004E3242">
              <w:rPr>
                <w:rFonts w:ascii="Arial" w:eastAsia="Times New Roman" w:hAnsi="Arial" w:cs="Arial"/>
                <w:sz w:val="16"/>
                <w:szCs w:val="16"/>
              </w:rPr>
              <w:t>wfośigw</w:t>
            </w:r>
            <w:proofErr w:type="spellEnd"/>
            <w:r w:rsidRPr="004E3242">
              <w:rPr>
                <w:rFonts w:ascii="Arial" w:eastAsia="Times New Roman" w:hAnsi="Arial" w:cs="Arial"/>
                <w:sz w:val="16"/>
                <w:szCs w:val="16"/>
              </w:rPr>
              <w:t xml:space="preserve"> pilotażowych projektów związanych ze zbieraniem i przetwarzaniem odpadów ulegających biodegradacji</w:t>
            </w:r>
          </w:p>
          <w:p w14:paraId="2FD92E9E"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Opracowanie zasad i zakresu audytu wewnętrznego, któremu, zgodnie z przepisami ustawy z 13.06.2013 r. o gospodarce opakowaniami i odpadami opakowaniowymi, będą podlegać przedsiębiorcy prowadzący przetwarzanie odpadów opakowaniowych o zdolnościach przetwarzania przekraczających 400 Mg oraz wywożący poza terytorium kraju odpady opakowaniowe do przetworzenia o masie przekraczającej 400 Mg; celem audytu będzie sprawdzenie wiarygodności danych dotyczących masy przetworzonych odpadów opakowaniowych</w:t>
            </w:r>
          </w:p>
          <w:p w14:paraId="39DE33B9" w14:textId="77777777" w:rsidR="004E3242" w:rsidRPr="004E3242" w:rsidRDefault="004E3242" w:rsidP="00B345B6">
            <w:pPr>
              <w:numPr>
                <w:ilvl w:val="0"/>
                <w:numId w:val="48"/>
              </w:numPr>
              <w:suppressAutoHyphens/>
              <w:spacing w:beforeLines="40" w:before="96" w:afterLines="40" w:after="96" w:line="240" w:lineRule="auto"/>
              <w:jc w:val="both"/>
              <w:rPr>
                <w:rFonts w:ascii="Arial" w:eastAsia="Times New Roman" w:hAnsi="Arial" w:cs="Arial"/>
                <w:sz w:val="16"/>
                <w:szCs w:val="16"/>
                <w:u w:val="single"/>
              </w:rPr>
            </w:pPr>
            <w:r w:rsidRPr="004E3242">
              <w:rPr>
                <w:rFonts w:ascii="Arial" w:eastAsia="Times New Roman" w:hAnsi="Arial" w:cs="Arial"/>
                <w:sz w:val="16"/>
                <w:szCs w:val="16"/>
              </w:rPr>
              <w:t>Zwiększenie możliwości dokonywania odzysku odpadów budowlano-rozbiórkowych w związku z przyjęciem nowego rozporządzenia w sprawie odzysku odpadów poza instalacjami i urządzeniami</w:t>
            </w:r>
          </w:p>
        </w:tc>
        <w:tc>
          <w:tcPr>
            <w:tcW w:w="600" w:type="pct"/>
            <w:shd w:val="clear" w:color="auto" w:fill="F2F2F2"/>
            <w:vAlign w:val="center"/>
          </w:tcPr>
          <w:p w14:paraId="1C730F42"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r w:rsidRPr="004E3242">
              <w:rPr>
                <w:rFonts w:ascii="Arial" w:hAnsi="Arial" w:cs="Arial"/>
                <w:b/>
                <w:spacing w:val="4"/>
                <w:sz w:val="16"/>
                <w:szCs w:val="16"/>
              </w:rPr>
              <w:lastRenderedPageBreak/>
              <w:t>Kryterium 2:</w:t>
            </w:r>
          </w:p>
          <w:p w14:paraId="051D22A8"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49C74C0A" w14:textId="77777777" w:rsidR="004E3242" w:rsidRPr="004E3242" w:rsidRDefault="004E3242" w:rsidP="00B345B6">
            <w:pPr>
              <w:numPr>
                <w:ilvl w:val="0"/>
                <w:numId w:val="54"/>
              </w:numPr>
              <w:spacing w:beforeLines="40" w:before="96" w:afterLines="40" w:after="96" w:line="240" w:lineRule="auto"/>
              <w:ind w:left="360"/>
              <w:jc w:val="center"/>
              <w:rPr>
                <w:rFonts w:ascii="Arial" w:hAnsi="Arial" w:cs="Arial"/>
                <w:spacing w:val="4"/>
                <w:sz w:val="16"/>
                <w:szCs w:val="16"/>
              </w:rPr>
            </w:pPr>
            <w:r w:rsidRPr="004E3242">
              <w:rPr>
                <w:rFonts w:ascii="Arial" w:hAnsi="Arial" w:cs="Arial"/>
                <w:spacing w:val="4"/>
                <w:sz w:val="16"/>
                <w:szCs w:val="16"/>
              </w:rPr>
              <w:t>IV kw. 2014 r.</w:t>
            </w:r>
          </w:p>
          <w:p w14:paraId="7DBD00A2" w14:textId="77777777" w:rsidR="004E3242" w:rsidRPr="004E3242" w:rsidRDefault="004E3242" w:rsidP="00B345B6">
            <w:pPr>
              <w:numPr>
                <w:ilvl w:val="0"/>
                <w:numId w:val="54"/>
              </w:numPr>
              <w:spacing w:beforeLines="40" w:before="96" w:afterLines="40" w:after="96" w:line="240" w:lineRule="auto"/>
              <w:ind w:left="360"/>
              <w:jc w:val="center"/>
              <w:rPr>
                <w:rFonts w:ascii="Arial" w:hAnsi="Arial" w:cs="Arial"/>
                <w:spacing w:val="4"/>
                <w:sz w:val="16"/>
                <w:szCs w:val="16"/>
              </w:rPr>
            </w:pPr>
            <w:r w:rsidRPr="004E3242">
              <w:rPr>
                <w:rFonts w:ascii="Arial" w:hAnsi="Arial" w:cs="Arial"/>
                <w:spacing w:val="4"/>
                <w:sz w:val="16"/>
                <w:szCs w:val="16"/>
              </w:rPr>
              <w:t>I kw. 2015 r.</w:t>
            </w:r>
          </w:p>
          <w:p w14:paraId="56CE415C" w14:textId="77777777" w:rsidR="004E3242" w:rsidRPr="004E3242" w:rsidRDefault="004E3242" w:rsidP="00B345B6">
            <w:pPr>
              <w:numPr>
                <w:ilvl w:val="0"/>
                <w:numId w:val="54"/>
              </w:numPr>
              <w:spacing w:beforeLines="40" w:before="96" w:afterLines="40" w:after="96" w:line="240" w:lineRule="auto"/>
              <w:ind w:left="360"/>
              <w:jc w:val="center"/>
              <w:rPr>
                <w:rFonts w:ascii="Arial" w:hAnsi="Arial" w:cs="Arial"/>
                <w:spacing w:val="4"/>
                <w:sz w:val="16"/>
                <w:szCs w:val="16"/>
              </w:rPr>
            </w:pPr>
            <w:r w:rsidRPr="004E3242">
              <w:rPr>
                <w:rFonts w:ascii="Arial" w:hAnsi="Arial" w:cs="Arial"/>
                <w:spacing w:val="4"/>
                <w:sz w:val="16"/>
                <w:szCs w:val="16"/>
              </w:rPr>
              <w:t>II kw. 2015 r.</w:t>
            </w:r>
          </w:p>
          <w:p w14:paraId="41AE3FA9" w14:textId="77777777" w:rsidR="004E3242" w:rsidRPr="004E3242" w:rsidRDefault="004E3242" w:rsidP="00B345B6">
            <w:pPr>
              <w:numPr>
                <w:ilvl w:val="0"/>
                <w:numId w:val="54"/>
              </w:numPr>
              <w:spacing w:beforeLines="40" w:before="96" w:afterLines="40" w:after="96" w:line="240" w:lineRule="auto"/>
              <w:ind w:left="360"/>
              <w:jc w:val="center"/>
              <w:rPr>
                <w:rFonts w:ascii="Arial" w:hAnsi="Arial" w:cs="Arial"/>
                <w:b/>
                <w:spacing w:val="4"/>
                <w:sz w:val="16"/>
                <w:szCs w:val="16"/>
              </w:rPr>
            </w:pPr>
            <w:r w:rsidRPr="004E3242">
              <w:rPr>
                <w:rFonts w:ascii="Arial" w:hAnsi="Arial" w:cs="Arial"/>
                <w:b/>
                <w:spacing w:val="4"/>
                <w:sz w:val="16"/>
                <w:szCs w:val="16"/>
              </w:rPr>
              <w:t>IV kw. 2015 r.</w:t>
            </w:r>
          </w:p>
          <w:p w14:paraId="54CD1D0C" w14:textId="77777777" w:rsidR="004E3242" w:rsidRPr="004E3242" w:rsidRDefault="004E3242" w:rsidP="00B345B6">
            <w:pPr>
              <w:numPr>
                <w:ilvl w:val="0"/>
                <w:numId w:val="54"/>
              </w:numPr>
              <w:spacing w:beforeLines="40" w:before="96" w:afterLines="40" w:after="96" w:line="240" w:lineRule="auto"/>
              <w:ind w:left="360"/>
              <w:jc w:val="center"/>
              <w:rPr>
                <w:rFonts w:ascii="Arial" w:hAnsi="Arial" w:cs="Arial"/>
                <w:b/>
                <w:spacing w:val="4"/>
                <w:sz w:val="16"/>
                <w:szCs w:val="16"/>
              </w:rPr>
            </w:pPr>
            <w:r w:rsidRPr="004E3242">
              <w:rPr>
                <w:rFonts w:ascii="Arial" w:hAnsi="Arial" w:cs="Arial"/>
                <w:b/>
                <w:spacing w:val="4"/>
                <w:sz w:val="16"/>
                <w:szCs w:val="16"/>
              </w:rPr>
              <w:lastRenderedPageBreak/>
              <w:t>IV kw. 2016 r.</w:t>
            </w:r>
          </w:p>
          <w:p w14:paraId="5BE0295A"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419F5349"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184AFF73"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10368FC9"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1836BD8E"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0712B885"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743D882D" w14:textId="77777777" w:rsidR="004E3242" w:rsidRPr="004E3242" w:rsidRDefault="004E3242" w:rsidP="004E3242">
            <w:pPr>
              <w:spacing w:beforeLines="40" w:before="96" w:afterLines="40" w:after="96" w:line="240" w:lineRule="auto"/>
              <w:jc w:val="center"/>
              <w:rPr>
                <w:rFonts w:ascii="Arial" w:hAnsi="Arial" w:cs="Arial"/>
                <w:spacing w:val="4"/>
                <w:sz w:val="16"/>
                <w:szCs w:val="16"/>
              </w:rPr>
            </w:pPr>
          </w:p>
          <w:p w14:paraId="779E1996"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r w:rsidRPr="004E3242">
              <w:rPr>
                <w:rFonts w:ascii="Arial" w:hAnsi="Arial" w:cs="Arial"/>
                <w:b/>
                <w:spacing w:val="4"/>
                <w:sz w:val="16"/>
                <w:szCs w:val="16"/>
              </w:rPr>
              <w:t>Kryterium 4:</w:t>
            </w:r>
          </w:p>
          <w:p w14:paraId="0748776C"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IV kw. 2014 r.</w:t>
            </w:r>
          </w:p>
          <w:p w14:paraId="021A1B51"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I kw. 2015 r.</w:t>
            </w:r>
          </w:p>
          <w:p w14:paraId="3E96A4EE"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IV kw. 2015 r.</w:t>
            </w:r>
          </w:p>
          <w:p w14:paraId="34420246"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2014 r. – I kw. 2015 r.</w:t>
            </w:r>
          </w:p>
          <w:p w14:paraId="635E10AB"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IV kw. 2015 r.</w:t>
            </w:r>
          </w:p>
          <w:p w14:paraId="2AB256C6"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2014-2015</w:t>
            </w:r>
          </w:p>
          <w:p w14:paraId="16B7BDED"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IV kw. 2015 r.</w:t>
            </w:r>
          </w:p>
          <w:p w14:paraId="21FDF854"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IV kw. 2016 r.</w:t>
            </w:r>
          </w:p>
          <w:p w14:paraId="272C7014"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2015 r. – IV kw. 2016 r.;</w:t>
            </w:r>
          </w:p>
          <w:p w14:paraId="6ED486A1"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2014 r. – 2015 r.</w:t>
            </w:r>
          </w:p>
          <w:p w14:paraId="6A3DC6BF"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2015 r. – IV kw. 2016 r.;</w:t>
            </w:r>
          </w:p>
          <w:p w14:paraId="5EFE7BC1"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2014 r. – 2015 r.</w:t>
            </w:r>
          </w:p>
          <w:p w14:paraId="63DE8A4E" w14:textId="77777777" w:rsidR="004E3242" w:rsidRPr="004E3242" w:rsidRDefault="004E3242" w:rsidP="00B345B6">
            <w:pPr>
              <w:numPr>
                <w:ilvl w:val="0"/>
                <w:numId w:val="49"/>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IV kw. 2014 r. (przekazanie projektu  do notyfikacji technicznej KE), I kw. 2015 r. (wejście w życie rozporządzania)</w:t>
            </w:r>
          </w:p>
        </w:tc>
        <w:tc>
          <w:tcPr>
            <w:tcW w:w="487" w:type="pct"/>
            <w:shd w:val="clear" w:color="auto" w:fill="F2F2F2"/>
            <w:vAlign w:val="center"/>
          </w:tcPr>
          <w:p w14:paraId="6B6CC174"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r w:rsidRPr="004E3242">
              <w:rPr>
                <w:rFonts w:ascii="Arial" w:hAnsi="Arial" w:cs="Arial"/>
                <w:b/>
                <w:spacing w:val="4"/>
                <w:sz w:val="16"/>
                <w:szCs w:val="16"/>
              </w:rPr>
              <w:lastRenderedPageBreak/>
              <w:t>Kryterium 2:</w:t>
            </w:r>
          </w:p>
          <w:p w14:paraId="4646674A"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p>
          <w:p w14:paraId="15F56E4F" w14:textId="77777777" w:rsidR="004E3242" w:rsidRPr="004E3242" w:rsidRDefault="004E3242" w:rsidP="00B345B6">
            <w:pPr>
              <w:numPr>
                <w:ilvl w:val="0"/>
                <w:numId w:val="56"/>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Parlament</w:t>
            </w:r>
          </w:p>
          <w:p w14:paraId="039579CF" w14:textId="77777777" w:rsidR="004E3242" w:rsidRPr="004E3242" w:rsidRDefault="004E3242" w:rsidP="00B345B6">
            <w:pPr>
              <w:numPr>
                <w:ilvl w:val="0"/>
                <w:numId w:val="56"/>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w:t>
            </w:r>
          </w:p>
          <w:p w14:paraId="186EBB04" w14:textId="77777777" w:rsidR="004E3242" w:rsidRPr="004E3242" w:rsidRDefault="004E3242" w:rsidP="00B345B6">
            <w:pPr>
              <w:numPr>
                <w:ilvl w:val="0"/>
                <w:numId w:val="56"/>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w:t>
            </w:r>
          </w:p>
          <w:p w14:paraId="6B09407F" w14:textId="77777777" w:rsidR="004E3242" w:rsidRPr="004E3242" w:rsidRDefault="004E3242" w:rsidP="00B345B6">
            <w:pPr>
              <w:numPr>
                <w:ilvl w:val="0"/>
                <w:numId w:val="56"/>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 / RM</w:t>
            </w:r>
          </w:p>
          <w:p w14:paraId="5CFC433E" w14:textId="77777777" w:rsidR="004E3242" w:rsidRPr="004E3242" w:rsidRDefault="004E3242" w:rsidP="00B345B6">
            <w:pPr>
              <w:numPr>
                <w:ilvl w:val="0"/>
                <w:numId w:val="56"/>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Marszałkow</w:t>
            </w:r>
            <w:r w:rsidRPr="004E3242">
              <w:rPr>
                <w:rFonts w:ascii="Arial" w:hAnsi="Arial" w:cs="Arial"/>
                <w:spacing w:val="4"/>
                <w:sz w:val="16"/>
                <w:szCs w:val="16"/>
              </w:rPr>
              <w:lastRenderedPageBreak/>
              <w:t>ie Województw / Sejmiki Województw</w:t>
            </w:r>
          </w:p>
          <w:p w14:paraId="54AC8C25"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p>
          <w:p w14:paraId="7A89537C"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p>
          <w:p w14:paraId="0154B968"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p>
          <w:p w14:paraId="2A5979EA" w14:textId="77777777" w:rsidR="004E3242" w:rsidRPr="004E3242" w:rsidRDefault="004E3242" w:rsidP="004E3242">
            <w:pPr>
              <w:spacing w:beforeLines="40" w:before="96" w:afterLines="40" w:after="96" w:line="240" w:lineRule="auto"/>
              <w:jc w:val="center"/>
              <w:rPr>
                <w:rFonts w:ascii="Arial" w:hAnsi="Arial" w:cs="Arial"/>
                <w:b/>
                <w:spacing w:val="4"/>
                <w:sz w:val="16"/>
                <w:szCs w:val="16"/>
              </w:rPr>
            </w:pPr>
            <w:r w:rsidRPr="004E3242">
              <w:rPr>
                <w:rFonts w:ascii="Arial" w:hAnsi="Arial" w:cs="Arial"/>
                <w:b/>
                <w:spacing w:val="4"/>
                <w:sz w:val="16"/>
                <w:szCs w:val="16"/>
              </w:rPr>
              <w:t>Kryterium 4:</w:t>
            </w:r>
          </w:p>
          <w:p w14:paraId="45A6C327"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Parlament</w:t>
            </w:r>
          </w:p>
          <w:p w14:paraId="2999768A"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w:t>
            </w:r>
          </w:p>
          <w:p w14:paraId="7F655350"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 / RM</w:t>
            </w:r>
          </w:p>
          <w:p w14:paraId="6D3A1354"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Parlament</w:t>
            </w:r>
          </w:p>
          <w:p w14:paraId="680473AD"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w:t>
            </w:r>
          </w:p>
          <w:p w14:paraId="0DD69EEC"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w:t>
            </w:r>
          </w:p>
          <w:p w14:paraId="7D9B8CDC"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w:t>
            </w:r>
          </w:p>
          <w:p w14:paraId="5377DEEA"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 (podst. prawna), Gminy (działania organ.)</w:t>
            </w:r>
          </w:p>
          <w:p w14:paraId="38AF8EC0"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 (kampania ogólnopolska), Gminy (kampanie lokalne)</w:t>
            </w:r>
          </w:p>
          <w:p w14:paraId="42042A20"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Polskie Centrum Akredytacyjne (współpraca MŚ)</w:t>
            </w:r>
          </w:p>
          <w:p w14:paraId="34D0E751"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 Marszałkowie</w:t>
            </w:r>
          </w:p>
          <w:p w14:paraId="4D46D229"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t>MŚ</w:t>
            </w:r>
          </w:p>
          <w:p w14:paraId="30F95087" w14:textId="77777777" w:rsidR="004E3242" w:rsidRPr="004E3242" w:rsidRDefault="004E3242" w:rsidP="00B345B6">
            <w:pPr>
              <w:numPr>
                <w:ilvl w:val="0"/>
                <w:numId w:val="50"/>
              </w:numPr>
              <w:spacing w:beforeLines="40" w:before="96" w:afterLines="40" w:after="96" w:line="240" w:lineRule="auto"/>
              <w:jc w:val="center"/>
              <w:rPr>
                <w:rFonts w:ascii="Arial" w:hAnsi="Arial" w:cs="Arial"/>
                <w:spacing w:val="4"/>
                <w:sz w:val="16"/>
                <w:szCs w:val="16"/>
              </w:rPr>
            </w:pPr>
            <w:r w:rsidRPr="004E3242">
              <w:rPr>
                <w:rFonts w:ascii="Arial" w:hAnsi="Arial" w:cs="Arial"/>
                <w:spacing w:val="4"/>
                <w:sz w:val="16"/>
                <w:szCs w:val="16"/>
              </w:rPr>
              <w:lastRenderedPageBreak/>
              <w:t>MŚ</w:t>
            </w:r>
          </w:p>
        </w:tc>
      </w:tr>
      <w:tr w:rsidR="004E3242" w:rsidRPr="004E3242" w14:paraId="443368D5" w14:textId="77777777" w:rsidTr="00AA7998">
        <w:tc>
          <w:tcPr>
            <w:tcW w:w="774" w:type="pct"/>
            <w:shd w:val="clear" w:color="auto" w:fill="F2F2F2"/>
            <w:vAlign w:val="center"/>
          </w:tcPr>
          <w:p w14:paraId="1120791E" w14:textId="77777777" w:rsidR="004E3242" w:rsidRPr="004E3242" w:rsidRDefault="004E3242" w:rsidP="004E3242">
            <w:pPr>
              <w:spacing w:after="0" w:line="240" w:lineRule="auto"/>
              <w:jc w:val="both"/>
              <w:rPr>
                <w:rFonts w:ascii="Arial" w:hAnsi="Arial" w:cs="Arial"/>
                <w:spacing w:val="4"/>
                <w:sz w:val="16"/>
                <w:szCs w:val="16"/>
              </w:rPr>
            </w:pPr>
          </w:p>
        </w:tc>
        <w:tc>
          <w:tcPr>
            <w:tcW w:w="1385" w:type="pct"/>
            <w:shd w:val="clear" w:color="auto" w:fill="F2F2F2"/>
            <w:vAlign w:val="center"/>
          </w:tcPr>
          <w:p w14:paraId="25D31C5D" w14:textId="77777777" w:rsidR="004E3242" w:rsidRPr="004E3242" w:rsidRDefault="004E3242" w:rsidP="004E3242">
            <w:pPr>
              <w:spacing w:after="0" w:line="240" w:lineRule="auto"/>
              <w:jc w:val="both"/>
              <w:rPr>
                <w:rFonts w:ascii="Arial" w:hAnsi="Arial" w:cs="Arial"/>
                <w:spacing w:val="4"/>
                <w:sz w:val="16"/>
                <w:szCs w:val="16"/>
              </w:rPr>
            </w:pPr>
          </w:p>
        </w:tc>
        <w:tc>
          <w:tcPr>
            <w:tcW w:w="1754" w:type="pct"/>
            <w:shd w:val="clear" w:color="auto" w:fill="F2F2F2"/>
            <w:vAlign w:val="center"/>
          </w:tcPr>
          <w:p w14:paraId="2EF3D28F" w14:textId="77777777" w:rsidR="004E3242" w:rsidRPr="004E3242" w:rsidRDefault="004E3242" w:rsidP="004E3242">
            <w:pPr>
              <w:spacing w:after="0" w:line="240" w:lineRule="auto"/>
              <w:jc w:val="both"/>
              <w:rPr>
                <w:rFonts w:ascii="Arial" w:hAnsi="Arial" w:cs="Arial"/>
                <w:spacing w:val="4"/>
                <w:sz w:val="16"/>
                <w:szCs w:val="16"/>
              </w:rPr>
            </w:pPr>
          </w:p>
        </w:tc>
        <w:tc>
          <w:tcPr>
            <w:tcW w:w="600" w:type="pct"/>
            <w:shd w:val="clear" w:color="auto" w:fill="F2F2F2"/>
            <w:vAlign w:val="center"/>
          </w:tcPr>
          <w:p w14:paraId="5AE18952" w14:textId="77777777" w:rsidR="004E3242" w:rsidRPr="004E3242" w:rsidRDefault="004E3242" w:rsidP="004E3242">
            <w:pPr>
              <w:spacing w:after="0" w:line="240" w:lineRule="auto"/>
              <w:jc w:val="center"/>
              <w:rPr>
                <w:rFonts w:ascii="Arial" w:hAnsi="Arial" w:cs="Arial"/>
                <w:spacing w:val="4"/>
                <w:sz w:val="16"/>
                <w:szCs w:val="16"/>
              </w:rPr>
            </w:pPr>
          </w:p>
        </w:tc>
        <w:tc>
          <w:tcPr>
            <w:tcW w:w="487" w:type="pct"/>
            <w:shd w:val="clear" w:color="auto" w:fill="F2F2F2"/>
            <w:vAlign w:val="center"/>
          </w:tcPr>
          <w:p w14:paraId="195DF2AC" w14:textId="77777777" w:rsidR="004E3242" w:rsidRPr="004E3242" w:rsidRDefault="004E3242" w:rsidP="004E3242">
            <w:pPr>
              <w:spacing w:after="0" w:line="240" w:lineRule="auto"/>
              <w:jc w:val="center"/>
              <w:rPr>
                <w:rFonts w:ascii="Arial" w:hAnsi="Arial" w:cs="Arial"/>
                <w:spacing w:val="4"/>
                <w:sz w:val="16"/>
                <w:szCs w:val="16"/>
              </w:rPr>
            </w:pPr>
          </w:p>
        </w:tc>
      </w:tr>
      <w:tr w:rsidR="004E3242" w:rsidRPr="004E3242" w14:paraId="76A80A18" w14:textId="77777777" w:rsidTr="00AA7998">
        <w:tc>
          <w:tcPr>
            <w:tcW w:w="774" w:type="pct"/>
            <w:shd w:val="clear" w:color="auto" w:fill="F2F2F2"/>
            <w:vAlign w:val="center"/>
          </w:tcPr>
          <w:p w14:paraId="03497DA3" w14:textId="77777777" w:rsidR="004E3242" w:rsidRPr="004E3242" w:rsidRDefault="004E3242" w:rsidP="004E3242">
            <w:pPr>
              <w:spacing w:after="0" w:line="240" w:lineRule="auto"/>
              <w:jc w:val="both"/>
              <w:rPr>
                <w:rFonts w:ascii="Arial" w:hAnsi="Arial" w:cs="Arial"/>
                <w:bCs/>
                <w:spacing w:val="4"/>
                <w:sz w:val="16"/>
                <w:szCs w:val="16"/>
              </w:rPr>
            </w:pPr>
            <w:r w:rsidRPr="004E3242">
              <w:rPr>
                <w:rFonts w:ascii="Arial" w:hAnsi="Arial" w:cs="Arial"/>
                <w:spacing w:val="4"/>
                <w:sz w:val="16"/>
                <w:szCs w:val="16"/>
              </w:rPr>
              <w:t xml:space="preserve">7.4 </w:t>
            </w:r>
            <w:r w:rsidRPr="004E3242">
              <w:rPr>
                <w:rFonts w:ascii="Arial" w:hAnsi="Arial" w:cs="Arial"/>
                <w:bCs/>
                <w:spacing w:val="4"/>
                <w:sz w:val="16"/>
                <w:szCs w:val="16"/>
              </w:rPr>
              <w:t>Opracowanie</w:t>
            </w:r>
            <w:r w:rsidRPr="004E3242">
              <w:rPr>
                <w:rFonts w:ascii="Arial" w:hAnsi="Arial" w:cs="Arial"/>
                <w:spacing w:val="4"/>
                <w:sz w:val="16"/>
                <w:szCs w:val="16"/>
              </w:rPr>
              <w:t xml:space="preserve"> inteligentnych systemów dystrybucji, magazynowania i </w:t>
            </w:r>
            <w:proofErr w:type="spellStart"/>
            <w:r w:rsidRPr="004E3242">
              <w:rPr>
                <w:rFonts w:ascii="Arial" w:hAnsi="Arial" w:cs="Arial"/>
                <w:spacing w:val="4"/>
                <w:sz w:val="16"/>
                <w:szCs w:val="16"/>
              </w:rPr>
              <w:t>przesyłu</w:t>
            </w:r>
            <w:proofErr w:type="spellEnd"/>
            <w:r w:rsidRPr="004E3242">
              <w:rPr>
                <w:rFonts w:ascii="Arial" w:hAnsi="Arial" w:cs="Arial"/>
                <w:spacing w:val="4"/>
                <w:sz w:val="16"/>
                <w:szCs w:val="16"/>
              </w:rPr>
              <w:t xml:space="preserve"> energii. Istnienie kompleksowych planów inwestycji w inteligentną infrastrukturę energetyczną</w:t>
            </w:r>
            <w:r w:rsidRPr="004E3242">
              <w:rPr>
                <w:rFonts w:ascii="Arial" w:hAnsi="Arial" w:cs="Arial"/>
                <w:bCs/>
                <w:spacing w:val="4"/>
                <w:sz w:val="16"/>
                <w:szCs w:val="16"/>
              </w:rPr>
              <w:t xml:space="preserve"> oraz przepisów wpływających na zwiększenie</w:t>
            </w:r>
            <w:r w:rsidRPr="004E3242">
              <w:rPr>
                <w:rFonts w:ascii="Arial" w:hAnsi="Arial" w:cs="Arial"/>
                <w:spacing w:val="4"/>
                <w:sz w:val="16"/>
                <w:szCs w:val="16"/>
              </w:rPr>
              <w:t xml:space="preserve"> efektywności energetycznej i bezpieczeństwa dostaw</w:t>
            </w:r>
          </w:p>
          <w:p w14:paraId="356589EB" w14:textId="77777777" w:rsidR="004E3242" w:rsidRPr="004E3242" w:rsidRDefault="004E3242" w:rsidP="004E3242">
            <w:pPr>
              <w:spacing w:after="0" w:line="240" w:lineRule="auto"/>
              <w:jc w:val="both"/>
              <w:rPr>
                <w:rFonts w:ascii="Arial" w:hAnsi="Arial" w:cs="Arial"/>
                <w:spacing w:val="4"/>
                <w:sz w:val="16"/>
                <w:szCs w:val="16"/>
              </w:rPr>
            </w:pPr>
          </w:p>
        </w:tc>
        <w:tc>
          <w:tcPr>
            <w:tcW w:w="1385" w:type="pct"/>
            <w:shd w:val="clear" w:color="auto" w:fill="F2F2F2"/>
            <w:vAlign w:val="center"/>
          </w:tcPr>
          <w:p w14:paraId="1368BC97"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Gotowe są kompleksowe plany określające priorytety dotyczące infrastruktury energetycznej na szczeblu krajowym:</w:t>
            </w:r>
          </w:p>
          <w:p w14:paraId="3417AA86" w14:textId="77777777" w:rsidR="004E3242" w:rsidRPr="004E3242" w:rsidRDefault="004E3242" w:rsidP="00B345B6">
            <w:pPr>
              <w:numPr>
                <w:ilvl w:val="0"/>
                <w:numId w:val="40"/>
              </w:numPr>
              <w:spacing w:after="0" w:line="240" w:lineRule="auto"/>
              <w:jc w:val="both"/>
              <w:rPr>
                <w:rFonts w:ascii="Arial" w:hAnsi="Arial" w:cs="Arial"/>
                <w:sz w:val="16"/>
                <w:szCs w:val="16"/>
              </w:rPr>
            </w:pPr>
            <w:r w:rsidRPr="004E3242">
              <w:rPr>
                <w:rFonts w:ascii="Arial" w:hAnsi="Arial" w:cs="Arial"/>
                <w:sz w:val="16"/>
                <w:szCs w:val="16"/>
              </w:rPr>
              <w:t>zgodnie z art. 22 dyrektywy 2009/72/WE oraz 2009/73/WE, w stosownych przypadkach, oraz</w:t>
            </w:r>
          </w:p>
          <w:p w14:paraId="0AF59CF7" w14:textId="77777777" w:rsidR="004E3242" w:rsidRPr="004E3242" w:rsidRDefault="004E3242" w:rsidP="00B345B6">
            <w:pPr>
              <w:numPr>
                <w:ilvl w:val="0"/>
                <w:numId w:val="40"/>
              </w:numPr>
              <w:spacing w:after="0" w:line="240" w:lineRule="auto"/>
              <w:jc w:val="both"/>
              <w:rPr>
                <w:rFonts w:ascii="Arial" w:hAnsi="Arial" w:cs="Arial"/>
                <w:sz w:val="16"/>
                <w:szCs w:val="16"/>
              </w:rPr>
            </w:pPr>
            <w:r w:rsidRPr="004E3242">
              <w:rPr>
                <w:rFonts w:ascii="Arial" w:hAnsi="Arial" w:cs="Arial"/>
                <w:sz w:val="16"/>
                <w:szCs w:val="16"/>
              </w:rPr>
              <w:t>zgodnie z odpowiednimi regionalnymi planami inwestycyjnymi na mocy art. 12 oraz z dziesięcioletnim planem rozwoju sieci na poziomie UE zgodnie z art. 8 ust. 3 lit. b rozporządzenia Parlamentu Europejskiego i Rady (WE) nr 714/2009 oraz Parlamentu Europejskiego i Rady (WE) nr 715/2009, oraz</w:t>
            </w:r>
          </w:p>
          <w:p w14:paraId="0B9371BF" w14:textId="77777777" w:rsidR="004E3242" w:rsidRPr="004E3242" w:rsidRDefault="004E3242" w:rsidP="00B345B6">
            <w:pPr>
              <w:numPr>
                <w:ilvl w:val="0"/>
                <w:numId w:val="40"/>
              </w:numPr>
              <w:spacing w:after="0" w:line="240" w:lineRule="auto"/>
              <w:jc w:val="both"/>
              <w:rPr>
                <w:rFonts w:ascii="Arial" w:hAnsi="Arial" w:cs="Arial"/>
                <w:sz w:val="16"/>
                <w:szCs w:val="16"/>
              </w:rPr>
            </w:pPr>
            <w:r w:rsidRPr="004E3242">
              <w:rPr>
                <w:rFonts w:ascii="Arial" w:hAnsi="Arial" w:cs="Arial"/>
                <w:sz w:val="16"/>
                <w:szCs w:val="16"/>
              </w:rPr>
              <w:t>zgodnie z art. 3 ust. 4 rozporządzenia Parlamentu Europejskiego i Rady nr 347/2013/UE;</w:t>
            </w:r>
          </w:p>
          <w:p w14:paraId="327F60D6"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Plany zawierają:</w:t>
            </w:r>
          </w:p>
          <w:p w14:paraId="5BB2D146" w14:textId="77777777" w:rsidR="004E3242" w:rsidRPr="004E3242" w:rsidRDefault="004E3242" w:rsidP="00B345B6">
            <w:pPr>
              <w:numPr>
                <w:ilvl w:val="0"/>
                <w:numId w:val="41"/>
              </w:numPr>
              <w:spacing w:after="0" w:line="240" w:lineRule="auto"/>
              <w:jc w:val="both"/>
              <w:rPr>
                <w:rFonts w:ascii="Arial" w:hAnsi="Arial" w:cs="Arial"/>
                <w:sz w:val="16"/>
                <w:szCs w:val="16"/>
              </w:rPr>
            </w:pPr>
            <w:r w:rsidRPr="004E3242">
              <w:rPr>
                <w:rFonts w:ascii="Arial" w:hAnsi="Arial" w:cs="Arial"/>
                <w:sz w:val="16"/>
                <w:szCs w:val="16"/>
              </w:rPr>
              <w:t xml:space="preserve">identyfikację odpowiedniej ilości realistycznych i zaawansowanych w przygotowaniu projektów , </w:t>
            </w:r>
            <w:r w:rsidRPr="004E3242">
              <w:rPr>
                <w:rFonts w:ascii="Arial" w:hAnsi="Arial" w:cs="Arial"/>
                <w:sz w:val="16"/>
                <w:szCs w:val="16"/>
              </w:rPr>
              <w:lastRenderedPageBreak/>
              <w:t>które mają być wspierane w ramach EFRR</w:t>
            </w:r>
          </w:p>
          <w:p w14:paraId="76135AF8" w14:textId="77777777" w:rsidR="004E3242" w:rsidRPr="004E3242" w:rsidRDefault="004E3242" w:rsidP="00B345B6">
            <w:pPr>
              <w:numPr>
                <w:ilvl w:val="0"/>
                <w:numId w:val="41"/>
              </w:numPr>
              <w:spacing w:after="0" w:line="240" w:lineRule="auto"/>
              <w:jc w:val="both"/>
              <w:rPr>
                <w:rFonts w:ascii="Arial" w:hAnsi="Arial" w:cs="Arial"/>
                <w:sz w:val="16"/>
                <w:szCs w:val="16"/>
              </w:rPr>
            </w:pPr>
            <w:r w:rsidRPr="004E3242">
              <w:rPr>
                <w:rFonts w:ascii="Arial" w:hAnsi="Arial" w:cs="Arial"/>
                <w:sz w:val="16"/>
                <w:szCs w:val="16"/>
              </w:rPr>
              <w:t>działania umożliwiające osiągnięcie celów w zakresie spójności społecznej i gospodarczej oraz ochrony środowiska zgodnie z art. 3 ust. 10 dyrektywy 2009/72/WE oraz art. 3 ust. 7 dyrektywy 2009/73/WE,</w:t>
            </w:r>
          </w:p>
          <w:p w14:paraId="5F95D58D" w14:textId="77777777" w:rsidR="004E3242" w:rsidRPr="004E3242" w:rsidRDefault="004E3242" w:rsidP="00B345B6">
            <w:pPr>
              <w:numPr>
                <w:ilvl w:val="0"/>
                <w:numId w:val="41"/>
              </w:numPr>
              <w:spacing w:after="0" w:line="240" w:lineRule="auto"/>
              <w:jc w:val="both"/>
              <w:rPr>
                <w:rFonts w:ascii="Arial" w:hAnsi="Arial" w:cs="Arial"/>
                <w:sz w:val="16"/>
                <w:szCs w:val="16"/>
              </w:rPr>
            </w:pPr>
            <w:r w:rsidRPr="004E3242">
              <w:rPr>
                <w:rFonts w:ascii="Arial" w:hAnsi="Arial" w:cs="Arial"/>
                <w:sz w:val="16"/>
                <w:szCs w:val="16"/>
              </w:rPr>
              <w:t>działania umożliwiające lepsze wykorzystanie energii i promowanie efektywności energetycznej zgodnie z art. 3 ust. 11 dyrektywy 2009/72/WE oraz art. 3 ust. 8 dyrektywy 2009/73/WE.</w:t>
            </w:r>
          </w:p>
        </w:tc>
        <w:tc>
          <w:tcPr>
            <w:tcW w:w="1754" w:type="pct"/>
            <w:shd w:val="clear" w:color="auto" w:fill="F2F2F2"/>
            <w:vAlign w:val="center"/>
          </w:tcPr>
          <w:p w14:paraId="122E6D00" w14:textId="77777777" w:rsidR="004E3242" w:rsidRPr="004E3242" w:rsidRDefault="004E3242" w:rsidP="004E3242">
            <w:pPr>
              <w:spacing w:after="0" w:line="240" w:lineRule="auto"/>
              <w:jc w:val="both"/>
              <w:rPr>
                <w:rFonts w:ascii="Arial" w:hAnsi="Arial" w:cs="Arial"/>
                <w:b/>
                <w:spacing w:val="4"/>
                <w:sz w:val="16"/>
                <w:szCs w:val="16"/>
              </w:rPr>
            </w:pPr>
            <w:r w:rsidRPr="004E3242">
              <w:rPr>
                <w:rFonts w:ascii="Arial" w:hAnsi="Arial" w:cs="Arial"/>
                <w:b/>
                <w:spacing w:val="4"/>
                <w:sz w:val="16"/>
                <w:szCs w:val="16"/>
              </w:rPr>
              <w:lastRenderedPageBreak/>
              <w:t>Kryterium czwarte</w:t>
            </w:r>
          </w:p>
          <w:p w14:paraId="1A184642"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 xml:space="preserve">Na potrzeby Programu Operacyjnego Infrastruktura i Środowisko 2014-2020 opracowywana jest lista (tzw. Project </w:t>
            </w:r>
            <w:proofErr w:type="spellStart"/>
            <w:r w:rsidRPr="004E3242">
              <w:rPr>
                <w:rFonts w:ascii="Arial" w:hAnsi="Arial" w:cs="Arial"/>
                <w:spacing w:val="4"/>
                <w:sz w:val="16"/>
                <w:szCs w:val="16"/>
              </w:rPr>
              <w:t>Pipeline</w:t>
            </w:r>
            <w:proofErr w:type="spellEnd"/>
            <w:r w:rsidRPr="004E3242">
              <w:rPr>
                <w:rFonts w:ascii="Arial" w:hAnsi="Arial" w:cs="Arial"/>
                <w:spacing w:val="4"/>
                <w:sz w:val="16"/>
                <w:szCs w:val="16"/>
              </w:rPr>
              <w:t xml:space="preserve">) dojrzałych projektów planowanych do dofinansowania w ramach EFRR. Przedmiotowy dokument jest tworzony jako dokument towarzyszący </w:t>
            </w:r>
            <w:proofErr w:type="spellStart"/>
            <w:r w:rsidRPr="004E3242">
              <w:rPr>
                <w:rFonts w:ascii="Arial" w:hAnsi="Arial" w:cs="Arial"/>
                <w:spacing w:val="4"/>
                <w:sz w:val="16"/>
                <w:szCs w:val="16"/>
              </w:rPr>
              <w:t>POIiŚ</w:t>
            </w:r>
            <w:proofErr w:type="spellEnd"/>
            <w:r w:rsidRPr="004E3242">
              <w:rPr>
                <w:rFonts w:ascii="Arial" w:hAnsi="Arial" w:cs="Arial"/>
                <w:spacing w:val="4"/>
                <w:sz w:val="16"/>
                <w:szCs w:val="16"/>
              </w:rPr>
              <w:t xml:space="preserve"> 2014-2020 i obejmować będzie m.in. projekty zgłoszone w ramach planów 10-letnich operatorów systemów przesyłowych.</w:t>
            </w:r>
          </w:p>
          <w:p w14:paraId="304C20BA"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 xml:space="preserve">Kryterium zostanie spełnione po przyjęciu przez Ministerstwo Gospodarki dokumentu: Project </w:t>
            </w:r>
            <w:proofErr w:type="spellStart"/>
            <w:r w:rsidRPr="004E3242">
              <w:rPr>
                <w:rFonts w:ascii="Arial" w:hAnsi="Arial" w:cs="Arial"/>
                <w:spacing w:val="4"/>
                <w:sz w:val="16"/>
                <w:szCs w:val="16"/>
              </w:rPr>
              <w:t>Pipeline</w:t>
            </w:r>
            <w:proofErr w:type="spellEnd"/>
            <w:r w:rsidRPr="004E3242">
              <w:rPr>
                <w:rFonts w:ascii="Arial" w:hAnsi="Arial" w:cs="Arial"/>
                <w:spacing w:val="4"/>
                <w:sz w:val="16"/>
                <w:szCs w:val="16"/>
              </w:rPr>
              <w:t>.</w:t>
            </w:r>
          </w:p>
          <w:p w14:paraId="739055BC" w14:textId="77777777" w:rsidR="004E3242" w:rsidRPr="004E3242" w:rsidRDefault="004E3242" w:rsidP="004E3242">
            <w:pPr>
              <w:spacing w:after="0" w:line="240" w:lineRule="auto"/>
              <w:jc w:val="both"/>
              <w:rPr>
                <w:rFonts w:ascii="Arial" w:hAnsi="Arial" w:cs="Arial"/>
                <w:spacing w:val="4"/>
                <w:sz w:val="16"/>
                <w:szCs w:val="16"/>
              </w:rPr>
            </w:pPr>
          </w:p>
          <w:p w14:paraId="03360928" w14:textId="77777777" w:rsidR="004E3242" w:rsidRPr="004E3242" w:rsidRDefault="004E3242" w:rsidP="004E3242">
            <w:pPr>
              <w:spacing w:after="0" w:line="240" w:lineRule="auto"/>
              <w:jc w:val="both"/>
              <w:rPr>
                <w:rFonts w:ascii="Arial" w:hAnsi="Arial" w:cs="Arial"/>
                <w:spacing w:val="4"/>
                <w:sz w:val="16"/>
                <w:szCs w:val="16"/>
              </w:rPr>
            </w:pPr>
          </w:p>
          <w:p w14:paraId="4B0A00BF" w14:textId="77777777" w:rsidR="004E3242" w:rsidRPr="004E3242" w:rsidRDefault="004E3242" w:rsidP="004E3242">
            <w:pPr>
              <w:spacing w:after="0" w:line="240" w:lineRule="auto"/>
              <w:jc w:val="both"/>
              <w:rPr>
                <w:rFonts w:ascii="Arial" w:hAnsi="Arial" w:cs="Arial"/>
                <w:spacing w:val="4"/>
                <w:sz w:val="16"/>
                <w:szCs w:val="16"/>
              </w:rPr>
            </w:pPr>
          </w:p>
          <w:p w14:paraId="59CB8896" w14:textId="77777777" w:rsidR="004E3242" w:rsidRPr="004E3242" w:rsidRDefault="004E3242" w:rsidP="004E3242">
            <w:pPr>
              <w:spacing w:after="0" w:line="240" w:lineRule="auto"/>
              <w:jc w:val="both"/>
              <w:rPr>
                <w:rFonts w:ascii="Arial" w:hAnsi="Arial" w:cs="Arial"/>
                <w:spacing w:val="4"/>
                <w:sz w:val="16"/>
                <w:szCs w:val="16"/>
              </w:rPr>
            </w:pPr>
          </w:p>
          <w:p w14:paraId="7043D43B" w14:textId="77777777" w:rsidR="004E3242" w:rsidRPr="004E3242" w:rsidRDefault="004E3242" w:rsidP="004E3242">
            <w:pPr>
              <w:spacing w:after="0" w:line="240" w:lineRule="auto"/>
              <w:jc w:val="both"/>
              <w:rPr>
                <w:rFonts w:ascii="Arial" w:hAnsi="Arial" w:cs="Arial"/>
                <w:spacing w:val="4"/>
                <w:sz w:val="16"/>
                <w:szCs w:val="16"/>
              </w:rPr>
            </w:pPr>
          </w:p>
          <w:p w14:paraId="7531D14B" w14:textId="77777777" w:rsidR="004E3242" w:rsidRPr="004E3242" w:rsidRDefault="004E3242" w:rsidP="004E3242">
            <w:pPr>
              <w:spacing w:after="0" w:line="240" w:lineRule="auto"/>
              <w:jc w:val="both"/>
              <w:rPr>
                <w:rFonts w:ascii="Arial" w:hAnsi="Arial" w:cs="Arial"/>
                <w:spacing w:val="4"/>
                <w:sz w:val="16"/>
                <w:szCs w:val="16"/>
              </w:rPr>
            </w:pPr>
          </w:p>
          <w:p w14:paraId="13371FD0" w14:textId="77777777" w:rsidR="004E3242" w:rsidRPr="004E3242" w:rsidRDefault="004E3242" w:rsidP="004E3242">
            <w:pPr>
              <w:spacing w:after="0" w:line="240" w:lineRule="auto"/>
              <w:jc w:val="both"/>
              <w:rPr>
                <w:rFonts w:ascii="Arial" w:hAnsi="Arial" w:cs="Arial"/>
                <w:spacing w:val="4"/>
                <w:sz w:val="16"/>
                <w:szCs w:val="16"/>
              </w:rPr>
            </w:pPr>
          </w:p>
        </w:tc>
        <w:tc>
          <w:tcPr>
            <w:tcW w:w="600" w:type="pct"/>
            <w:shd w:val="clear" w:color="auto" w:fill="F2F2F2"/>
            <w:vAlign w:val="center"/>
          </w:tcPr>
          <w:p w14:paraId="44CC21E3" w14:textId="77777777" w:rsidR="004E3242" w:rsidRPr="004E3242" w:rsidRDefault="004E3242" w:rsidP="004E3242">
            <w:pPr>
              <w:spacing w:after="0" w:line="240" w:lineRule="auto"/>
              <w:jc w:val="center"/>
              <w:rPr>
                <w:rFonts w:ascii="Arial" w:hAnsi="Arial" w:cs="Arial"/>
                <w:spacing w:val="4"/>
                <w:sz w:val="16"/>
                <w:szCs w:val="16"/>
              </w:rPr>
            </w:pPr>
            <w:r w:rsidRPr="004E3242">
              <w:rPr>
                <w:rFonts w:ascii="Arial" w:hAnsi="Arial" w:cs="Arial"/>
                <w:bCs/>
                <w:kern w:val="28"/>
                <w:sz w:val="16"/>
                <w:szCs w:val="16"/>
              </w:rPr>
              <w:t>Termin: IV. kwartał 2014 r.</w:t>
            </w:r>
          </w:p>
        </w:tc>
        <w:tc>
          <w:tcPr>
            <w:tcW w:w="487" w:type="pct"/>
            <w:shd w:val="clear" w:color="auto" w:fill="F2F2F2"/>
            <w:vAlign w:val="center"/>
          </w:tcPr>
          <w:p w14:paraId="663CEB90" w14:textId="77777777" w:rsidR="004E3242" w:rsidRPr="004E3242" w:rsidRDefault="004E3242" w:rsidP="004E3242">
            <w:pPr>
              <w:spacing w:after="0" w:line="240" w:lineRule="auto"/>
              <w:jc w:val="center"/>
              <w:rPr>
                <w:rFonts w:ascii="Arial" w:hAnsi="Arial" w:cs="Arial"/>
                <w:bCs/>
                <w:kern w:val="28"/>
                <w:sz w:val="16"/>
                <w:szCs w:val="16"/>
              </w:rPr>
            </w:pPr>
            <w:r w:rsidRPr="004E3242">
              <w:rPr>
                <w:rFonts w:ascii="Arial" w:hAnsi="Arial" w:cs="Arial"/>
                <w:bCs/>
                <w:kern w:val="28"/>
                <w:sz w:val="16"/>
                <w:szCs w:val="16"/>
              </w:rPr>
              <w:t>MG</w:t>
            </w:r>
          </w:p>
          <w:p w14:paraId="4A25D4F2" w14:textId="77777777" w:rsidR="004E3242" w:rsidRPr="004E3242" w:rsidRDefault="004E3242" w:rsidP="004E3242">
            <w:pPr>
              <w:spacing w:after="0" w:line="240" w:lineRule="auto"/>
              <w:jc w:val="center"/>
              <w:rPr>
                <w:rFonts w:ascii="Arial" w:hAnsi="Arial" w:cs="Arial"/>
                <w:bCs/>
                <w:kern w:val="28"/>
                <w:sz w:val="16"/>
                <w:szCs w:val="16"/>
              </w:rPr>
            </w:pPr>
          </w:p>
          <w:p w14:paraId="28671564" w14:textId="77777777" w:rsidR="004E3242" w:rsidRPr="004E3242" w:rsidRDefault="004E3242" w:rsidP="004E3242">
            <w:pPr>
              <w:spacing w:after="0" w:line="240" w:lineRule="auto"/>
              <w:jc w:val="center"/>
              <w:rPr>
                <w:rFonts w:ascii="Arial" w:hAnsi="Arial" w:cs="Arial"/>
                <w:bCs/>
                <w:kern w:val="28"/>
                <w:sz w:val="16"/>
                <w:szCs w:val="16"/>
              </w:rPr>
            </w:pPr>
          </w:p>
          <w:p w14:paraId="15AC7020" w14:textId="77777777" w:rsidR="004E3242" w:rsidRPr="004E3242" w:rsidRDefault="004E3242" w:rsidP="004E3242">
            <w:pPr>
              <w:spacing w:after="0" w:line="240" w:lineRule="auto"/>
              <w:jc w:val="center"/>
              <w:rPr>
                <w:rFonts w:ascii="Arial" w:hAnsi="Arial" w:cs="Arial"/>
                <w:bCs/>
                <w:kern w:val="28"/>
                <w:sz w:val="16"/>
                <w:szCs w:val="16"/>
              </w:rPr>
            </w:pPr>
          </w:p>
          <w:p w14:paraId="13564A74" w14:textId="77777777" w:rsidR="004E3242" w:rsidRPr="004E3242" w:rsidRDefault="004E3242" w:rsidP="004E3242">
            <w:pPr>
              <w:spacing w:after="0" w:line="240" w:lineRule="auto"/>
              <w:jc w:val="center"/>
              <w:rPr>
                <w:rFonts w:ascii="Arial" w:hAnsi="Arial" w:cs="Arial"/>
                <w:bCs/>
                <w:kern w:val="28"/>
                <w:sz w:val="16"/>
                <w:szCs w:val="16"/>
              </w:rPr>
            </w:pPr>
          </w:p>
          <w:p w14:paraId="7072FAE9" w14:textId="77777777" w:rsidR="004E3242" w:rsidRPr="004E3242" w:rsidRDefault="004E3242" w:rsidP="004E3242">
            <w:pPr>
              <w:spacing w:after="0" w:line="240" w:lineRule="auto"/>
              <w:jc w:val="center"/>
              <w:rPr>
                <w:rFonts w:ascii="Arial" w:hAnsi="Arial" w:cs="Arial"/>
                <w:bCs/>
                <w:kern w:val="28"/>
                <w:sz w:val="16"/>
                <w:szCs w:val="16"/>
              </w:rPr>
            </w:pPr>
          </w:p>
          <w:p w14:paraId="0610B462" w14:textId="77777777" w:rsidR="004E3242" w:rsidRPr="004E3242" w:rsidRDefault="004E3242" w:rsidP="004E3242">
            <w:pPr>
              <w:spacing w:after="0" w:line="240" w:lineRule="auto"/>
              <w:jc w:val="center"/>
              <w:rPr>
                <w:rFonts w:ascii="Arial" w:hAnsi="Arial" w:cs="Arial"/>
                <w:bCs/>
                <w:kern w:val="28"/>
                <w:sz w:val="16"/>
                <w:szCs w:val="16"/>
              </w:rPr>
            </w:pPr>
          </w:p>
          <w:p w14:paraId="49E4D144" w14:textId="77777777" w:rsidR="004E3242" w:rsidRPr="004E3242" w:rsidRDefault="004E3242" w:rsidP="004E3242">
            <w:pPr>
              <w:spacing w:after="0" w:line="240" w:lineRule="auto"/>
              <w:jc w:val="center"/>
              <w:rPr>
                <w:rFonts w:ascii="Arial" w:hAnsi="Arial" w:cs="Arial"/>
                <w:bCs/>
                <w:kern w:val="28"/>
                <w:sz w:val="16"/>
                <w:szCs w:val="16"/>
              </w:rPr>
            </w:pPr>
          </w:p>
          <w:p w14:paraId="6A3D0A59" w14:textId="77777777" w:rsidR="004E3242" w:rsidRPr="004E3242" w:rsidRDefault="004E3242" w:rsidP="004E3242">
            <w:pPr>
              <w:spacing w:after="0" w:line="240" w:lineRule="auto"/>
              <w:jc w:val="center"/>
              <w:rPr>
                <w:rFonts w:ascii="Arial" w:hAnsi="Arial" w:cs="Arial"/>
                <w:bCs/>
                <w:kern w:val="28"/>
                <w:sz w:val="16"/>
                <w:szCs w:val="16"/>
              </w:rPr>
            </w:pPr>
          </w:p>
          <w:p w14:paraId="42C2E0B5" w14:textId="77777777" w:rsidR="004E3242" w:rsidRPr="004E3242" w:rsidRDefault="004E3242" w:rsidP="004E3242">
            <w:pPr>
              <w:spacing w:after="0" w:line="240" w:lineRule="auto"/>
              <w:jc w:val="center"/>
              <w:rPr>
                <w:rFonts w:ascii="Arial" w:hAnsi="Arial" w:cs="Arial"/>
                <w:bCs/>
                <w:kern w:val="28"/>
                <w:sz w:val="16"/>
                <w:szCs w:val="16"/>
              </w:rPr>
            </w:pPr>
          </w:p>
          <w:p w14:paraId="49335A91" w14:textId="77777777" w:rsidR="004E3242" w:rsidRPr="004E3242" w:rsidRDefault="004E3242" w:rsidP="004E3242">
            <w:pPr>
              <w:spacing w:after="0" w:line="240" w:lineRule="auto"/>
              <w:jc w:val="center"/>
              <w:rPr>
                <w:rFonts w:ascii="Arial" w:hAnsi="Arial" w:cs="Arial"/>
                <w:bCs/>
                <w:kern w:val="28"/>
                <w:sz w:val="16"/>
                <w:szCs w:val="16"/>
              </w:rPr>
            </w:pPr>
          </w:p>
          <w:p w14:paraId="52264C35" w14:textId="77777777" w:rsidR="004E3242" w:rsidRPr="004E3242" w:rsidRDefault="004E3242" w:rsidP="004E3242">
            <w:pPr>
              <w:spacing w:after="0" w:line="240" w:lineRule="auto"/>
              <w:jc w:val="center"/>
              <w:rPr>
                <w:rFonts w:ascii="Arial" w:hAnsi="Arial" w:cs="Arial"/>
                <w:bCs/>
                <w:kern w:val="28"/>
                <w:sz w:val="16"/>
                <w:szCs w:val="16"/>
              </w:rPr>
            </w:pPr>
          </w:p>
          <w:p w14:paraId="22467DCC" w14:textId="77777777" w:rsidR="004E3242" w:rsidRPr="004E3242" w:rsidRDefault="004E3242" w:rsidP="004E3242">
            <w:pPr>
              <w:spacing w:after="0" w:line="240" w:lineRule="auto"/>
              <w:jc w:val="center"/>
              <w:rPr>
                <w:rFonts w:ascii="Arial" w:hAnsi="Arial" w:cs="Arial"/>
                <w:bCs/>
                <w:kern w:val="28"/>
                <w:sz w:val="16"/>
                <w:szCs w:val="16"/>
              </w:rPr>
            </w:pPr>
          </w:p>
          <w:p w14:paraId="0554CE35" w14:textId="77777777" w:rsidR="004E3242" w:rsidRPr="004E3242" w:rsidRDefault="004E3242" w:rsidP="004E3242">
            <w:pPr>
              <w:spacing w:after="0" w:line="240" w:lineRule="auto"/>
              <w:jc w:val="center"/>
              <w:rPr>
                <w:rFonts w:ascii="Arial" w:hAnsi="Arial" w:cs="Arial"/>
                <w:bCs/>
                <w:kern w:val="28"/>
                <w:sz w:val="16"/>
                <w:szCs w:val="16"/>
              </w:rPr>
            </w:pPr>
          </w:p>
          <w:p w14:paraId="21778B97" w14:textId="77777777" w:rsidR="004E3242" w:rsidRPr="004E3242" w:rsidRDefault="004E3242" w:rsidP="004E3242">
            <w:pPr>
              <w:spacing w:after="0" w:line="240" w:lineRule="auto"/>
              <w:jc w:val="center"/>
              <w:rPr>
                <w:rFonts w:ascii="Arial" w:hAnsi="Arial" w:cs="Arial"/>
                <w:bCs/>
                <w:kern w:val="28"/>
                <w:sz w:val="16"/>
                <w:szCs w:val="16"/>
              </w:rPr>
            </w:pPr>
          </w:p>
          <w:p w14:paraId="0232EC83" w14:textId="77777777" w:rsidR="004E3242" w:rsidRPr="004E3242" w:rsidRDefault="004E3242" w:rsidP="004E3242">
            <w:pPr>
              <w:spacing w:after="0" w:line="240" w:lineRule="auto"/>
              <w:jc w:val="center"/>
              <w:rPr>
                <w:rFonts w:ascii="Arial" w:hAnsi="Arial" w:cs="Arial"/>
                <w:spacing w:val="4"/>
                <w:sz w:val="16"/>
                <w:szCs w:val="16"/>
              </w:rPr>
            </w:pPr>
          </w:p>
        </w:tc>
      </w:tr>
      <w:tr w:rsidR="004E3242" w:rsidRPr="004E3242" w14:paraId="04F170BD" w14:textId="77777777" w:rsidTr="00AA7998">
        <w:tc>
          <w:tcPr>
            <w:tcW w:w="774" w:type="pct"/>
            <w:shd w:val="clear" w:color="auto" w:fill="F2F2F2"/>
            <w:vAlign w:val="center"/>
          </w:tcPr>
          <w:p w14:paraId="279836E1"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 xml:space="preserve">9.3 </w:t>
            </w:r>
            <w:r w:rsidRPr="004E3242">
              <w:rPr>
                <w:rFonts w:ascii="Arial" w:hAnsi="Arial" w:cs="Arial"/>
                <w:sz w:val="16"/>
                <w:szCs w:val="16"/>
              </w:rPr>
              <w:t>Istnienie krajowych lub regionalnych strategicznych ram polityki zdrowotnej w zakresie określonym w art. 168 TFUE, gwarantujących stabilność ekonomiczną.</w:t>
            </w:r>
          </w:p>
          <w:p w14:paraId="157E1F65" w14:textId="77777777" w:rsidR="004E3242" w:rsidRPr="004E3242" w:rsidRDefault="004E3242" w:rsidP="004E3242">
            <w:pPr>
              <w:spacing w:after="0" w:line="240" w:lineRule="auto"/>
              <w:jc w:val="both"/>
              <w:rPr>
                <w:rFonts w:ascii="Arial" w:hAnsi="Arial" w:cs="Arial"/>
                <w:spacing w:val="4"/>
                <w:sz w:val="16"/>
                <w:szCs w:val="16"/>
              </w:rPr>
            </w:pPr>
            <w:r w:rsidRPr="004E3242">
              <w:rPr>
                <w:rFonts w:ascii="Arial" w:hAnsi="Arial" w:cs="Arial"/>
                <w:spacing w:val="4"/>
                <w:sz w:val="16"/>
                <w:szCs w:val="16"/>
              </w:rPr>
              <w:t>.</w:t>
            </w:r>
          </w:p>
        </w:tc>
        <w:tc>
          <w:tcPr>
            <w:tcW w:w="1385" w:type="pct"/>
            <w:shd w:val="clear" w:color="auto" w:fill="F2F2F2"/>
            <w:vAlign w:val="center"/>
          </w:tcPr>
          <w:p w14:paraId="22872E60"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 xml:space="preserve">1. Gotowe są krajowe lub regionalne strategiczne ramy polityki </w:t>
            </w:r>
          </w:p>
          <w:p w14:paraId="370AD3B2"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zdrowotnej, które zawierają:</w:t>
            </w:r>
          </w:p>
          <w:p w14:paraId="35681DB2" w14:textId="77777777" w:rsidR="004E3242" w:rsidRPr="004E3242" w:rsidRDefault="004E3242" w:rsidP="004E3242">
            <w:pPr>
              <w:spacing w:after="0" w:line="240" w:lineRule="auto"/>
              <w:jc w:val="both"/>
              <w:rPr>
                <w:rFonts w:ascii="Arial" w:hAnsi="Arial" w:cs="Arial"/>
                <w:sz w:val="16"/>
                <w:szCs w:val="16"/>
              </w:rPr>
            </w:pPr>
          </w:p>
          <w:p w14:paraId="7647FAD2" w14:textId="77777777" w:rsidR="004E3242" w:rsidRPr="004E3242" w:rsidRDefault="004E3242" w:rsidP="004E3242">
            <w:pPr>
              <w:spacing w:after="0" w:line="240" w:lineRule="auto"/>
              <w:jc w:val="both"/>
              <w:rPr>
                <w:rFonts w:ascii="Arial" w:hAnsi="Arial" w:cs="Arial"/>
                <w:sz w:val="16"/>
                <w:szCs w:val="16"/>
              </w:rPr>
            </w:pPr>
          </w:p>
          <w:p w14:paraId="426E3D3B"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 xml:space="preserve">2) </w:t>
            </w:r>
            <w:r w:rsidRPr="004E3242">
              <w:rPr>
                <w:rFonts w:ascii="Arial" w:hAnsi="Arial" w:cs="Arial"/>
                <w:sz w:val="16"/>
                <w:szCs w:val="16"/>
                <w:lang w:eastAsia="pl-PL"/>
              </w:rPr>
              <w:t>skoordynowane działania poprawiające dostęp do świadczeń zdrowotnych;</w:t>
            </w:r>
          </w:p>
          <w:p w14:paraId="1A2FCC7D" w14:textId="77777777" w:rsidR="004E3242" w:rsidRPr="004E3242" w:rsidRDefault="004E3242" w:rsidP="004E3242">
            <w:pPr>
              <w:spacing w:after="0" w:line="240" w:lineRule="auto"/>
              <w:jc w:val="both"/>
              <w:rPr>
                <w:rFonts w:ascii="Arial" w:hAnsi="Arial" w:cs="Arial"/>
                <w:sz w:val="16"/>
                <w:szCs w:val="16"/>
              </w:rPr>
            </w:pPr>
          </w:p>
          <w:p w14:paraId="36C498E6" w14:textId="77777777" w:rsidR="004E3242" w:rsidRPr="004E3242" w:rsidRDefault="004E3242" w:rsidP="004E3242">
            <w:pPr>
              <w:spacing w:after="0" w:line="240" w:lineRule="auto"/>
              <w:jc w:val="both"/>
              <w:rPr>
                <w:rFonts w:ascii="Arial" w:hAnsi="Arial" w:cs="Arial"/>
                <w:sz w:val="16"/>
                <w:szCs w:val="16"/>
              </w:rPr>
            </w:pPr>
          </w:p>
          <w:p w14:paraId="2F2A7FF4" w14:textId="77777777" w:rsidR="004E3242" w:rsidRPr="004E3242" w:rsidRDefault="004E3242" w:rsidP="004E3242">
            <w:pPr>
              <w:spacing w:after="0" w:line="240" w:lineRule="auto"/>
              <w:jc w:val="both"/>
              <w:rPr>
                <w:rFonts w:ascii="Arial" w:hAnsi="Arial" w:cs="Arial"/>
                <w:sz w:val="16"/>
                <w:szCs w:val="16"/>
              </w:rPr>
            </w:pPr>
          </w:p>
          <w:p w14:paraId="0C7B89A9" w14:textId="77777777" w:rsidR="004E3242" w:rsidRPr="004E3242" w:rsidRDefault="004E3242" w:rsidP="004E3242">
            <w:pPr>
              <w:spacing w:after="0" w:line="240" w:lineRule="auto"/>
              <w:jc w:val="both"/>
              <w:rPr>
                <w:rFonts w:ascii="Arial" w:hAnsi="Arial" w:cs="Arial"/>
                <w:sz w:val="16"/>
                <w:szCs w:val="16"/>
              </w:rPr>
            </w:pPr>
          </w:p>
          <w:p w14:paraId="7A5CDFF3" w14:textId="77777777" w:rsidR="004E3242" w:rsidRPr="004E3242" w:rsidRDefault="004E3242" w:rsidP="004E3242">
            <w:pPr>
              <w:spacing w:after="0" w:line="240" w:lineRule="auto"/>
              <w:jc w:val="both"/>
              <w:rPr>
                <w:rFonts w:ascii="Arial" w:hAnsi="Arial" w:cs="Arial"/>
                <w:sz w:val="16"/>
                <w:szCs w:val="16"/>
              </w:rPr>
            </w:pPr>
          </w:p>
          <w:p w14:paraId="58085906" w14:textId="77777777" w:rsidR="004E3242" w:rsidRPr="004E3242" w:rsidRDefault="004E3242" w:rsidP="004E3242">
            <w:pPr>
              <w:spacing w:after="0" w:line="240" w:lineRule="auto"/>
              <w:jc w:val="both"/>
              <w:rPr>
                <w:rFonts w:ascii="Arial" w:hAnsi="Arial" w:cs="Arial"/>
                <w:sz w:val="16"/>
                <w:szCs w:val="16"/>
              </w:rPr>
            </w:pPr>
          </w:p>
          <w:p w14:paraId="534C1CCF" w14:textId="77777777" w:rsidR="004E3242" w:rsidRPr="004E3242" w:rsidRDefault="004E3242" w:rsidP="004E3242">
            <w:pPr>
              <w:spacing w:after="0" w:line="240" w:lineRule="auto"/>
              <w:jc w:val="both"/>
              <w:rPr>
                <w:rFonts w:ascii="Arial" w:hAnsi="Arial" w:cs="Arial"/>
                <w:sz w:val="16"/>
                <w:szCs w:val="16"/>
              </w:rPr>
            </w:pPr>
          </w:p>
          <w:p w14:paraId="29FA250A" w14:textId="77777777" w:rsidR="004E3242" w:rsidRPr="004E3242" w:rsidRDefault="004E3242" w:rsidP="004E3242">
            <w:pPr>
              <w:spacing w:after="0" w:line="240" w:lineRule="auto"/>
              <w:jc w:val="both"/>
              <w:rPr>
                <w:rFonts w:ascii="Arial" w:hAnsi="Arial" w:cs="Arial"/>
                <w:sz w:val="16"/>
                <w:szCs w:val="16"/>
              </w:rPr>
            </w:pPr>
          </w:p>
          <w:p w14:paraId="7C6BC36D" w14:textId="77777777" w:rsidR="004E3242" w:rsidRPr="004E3242" w:rsidRDefault="004E3242" w:rsidP="004E3242">
            <w:pPr>
              <w:spacing w:after="0" w:line="240" w:lineRule="auto"/>
              <w:jc w:val="both"/>
              <w:rPr>
                <w:rFonts w:ascii="Arial" w:hAnsi="Arial" w:cs="Arial"/>
                <w:sz w:val="16"/>
                <w:szCs w:val="16"/>
              </w:rPr>
            </w:pPr>
          </w:p>
          <w:p w14:paraId="4D3521C9" w14:textId="77777777" w:rsidR="004E3242" w:rsidRPr="004E3242" w:rsidRDefault="004E3242" w:rsidP="004E3242">
            <w:pPr>
              <w:spacing w:after="0" w:line="240" w:lineRule="auto"/>
              <w:jc w:val="both"/>
              <w:rPr>
                <w:rFonts w:ascii="Arial" w:hAnsi="Arial" w:cs="Arial"/>
                <w:sz w:val="16"/>
                <w:szCs w:val="16"/>
              </w:rPr>
            </w:pPr>
          </w:p>
          <w:p w14:paraId="0A5DF929" w14:textId="77777777" w:rsidR="004E3242" w:rsidRPr="004E3242" w:rsidRDefault="004E3242" w:rsidP="004E3242">
            <w:pPr>
              <w:spacing w:after="0" w:line="240" w:lineRule="auto"/>
              <w:jc w:val="both"/>
              <w:rPr>
                <w:rFonts w:ascii="Arial" w:hAnsi="Arial" w:cs="Arial"/>
                <w:sz w:val="16"/>
                <w:szCs w:val="16"/>
              </w:rPr>
            </w:pPr>
          </w:p>
          <w:p w14:paraId="522C44E7" w14:textId="77777777" w:rsidR="004E3242" w:rsidRPr="004E3242" w:rsidRDefault="004E3242" w:rsidP="004E3242">
            <w:pPr>
              <w:spacing w:after="0" w:line="240" w:lineRule="auto"/>
              <w:jc w:val="both"/>
              <w:rPr>
                <w:rFonts w:ascii="Arial" w:hAnsi="Arial" w:cs="Arial"/>
                <w:sz w:val="16"/>
                <w:szCs w:val="16"/>
              </w:rPr>
            </w:pPr>
          </w:p>
          <w:p w14:paraId="075C35CD"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 xml:space="preserve">3) działania mające na celu stymulowanie efektywności </w:t>
            </w:r>
            <w:r w:rsidRPr="004E3242">
              <w:rPr>
                <w:rFonts w:ascii="Arial" w:hAnsi="Arial" w:cs="Arial"/>
                <w:sz w:val="16"/>
                <w:szCs w:val="16"/>
              </w:rPr>
              <w:br/>
              <w:t>w sektorze opieki zdrowotnej poprzez wprowadzanie modeli świadczenia usług i infrastruktury;</w:t>
            </w:r>
          </w:p>
          <w:p w14:paraId="7788B1D1" w14:textId="77777777" w:rsidR="004E3242" w:rsidRPr="004E3242" w:rsidRDefault="004E3242" w:rsidP="004E3242">
            <w:pPr>
              <w:spacing w:after="0" w:line="240" w:lineRule="auto"/>
              <w:jc w:val="both"/>
              <w:rPr>
                <w:rFonts w:ascii="Arial" w:hAnsi="Arial" w:cs="Arial"/>
                <w:sz w:val="16"/>
                <w:szCs w:val="16"/>
              </w:rPr>
            </w:pPr>
          </w:p>
          <w:p w14:paraId="521A8F8B" w14:textId="77777777" w:rsidR="004E3242" w:rsidRPr="004E3242" w:rsidRDefault="004E3242" w:rsidP="004E3242">
            <w:pPr>
              <w:spacing w:after="0" w:line="240" w:lineRule="auto"/>
              <w:jc w:val="both"/>
              <w:rPr>
                <w:rFonts w:ascii="Arial" w:hAnsi="Arial" w:cs="Arial"/>
                <w:sz w:val="16"/>
                <w:szCs w:val="16"/>
              </w:rPr>
            </w:pPr>
          </w:p>
          <w:p w14:paraId="6001A1A2" w14:textId="77777777" w:rsidR="004E3242" w:rsidRPr="004E3242" w:rsidRDefault="004E3242" w:rsidP="004E3242">
            <w:pPr>
              <w:spacing w:after="0" w:line="240" w:lineRule="auto"/>
              <w:jc w:val="both"/>
              <w:rPr>
                <w:rFonts w:ascii="Arial" w:hAnsi="Arial" w:cs="Arial"/>
                <w:sz w:val="16"/>
                <w:szCs w:val="16"/>
              </w:rPr>
            </w:pPr>
          </w:p>
          <w:p w14:paraId="39A2B166" w14:textId="77777777" w:rsidR="004E3242" w:rsidRPr="004E3242" w:rsidRDefault="004E3242" w:rsidP="004E3242">
            <w:pPr>
              <w:spacing w:after="0" w:line="240" w:lineRule="auto"/>
              <w:jc w:val="both"/>
              <w:rPr>
                <w:rFonts w:ascii="Arial" w:hAnsi="Arial" w:cs="Arial"/>
                <w:sz w:val="16"/>
                <w:szCs w:val="16"/>
              </w:rPr>
            </w:pPr>
          </w:p>
          <w:p w14:paraId="317C5EF6" w14:textId="77777777" w:rsidR="004E3242" w:rsidRPr="004E3242" w:rsidRDefault="004E3242" w:rsidP="004E3242">
            <w:pPr>
              <w:spacing w:after="0" w:line="240" w:lineRule="auto"/>
              <w:jc w:val="both"/>
              <w:rPr>
                <w:rFonts w:ascii="Arial" w:hAnsi="Arial" w:cs="Arial"/>
                <w:sz w:val="16"/>
                <w:szCs w:val="16"/>
              </w:rPr>
            </w:pPr>
          </w:p>
          <w:p w14:paraId="0B53D318" w14:textId="77777777" w:rsidR="004E3242" w:rsidRPr="004E3242" w:rsidRDefault="004E3242" w:rsidP="004E3242">
            <w:pPr>
              <w:spacing w:after="0" w:line="240" w:lineRule="auto"/>
              <w:jc w:val="both"/>
              <w:rPr>
                <w:rFonts w:ascii="Arial" w:hAnsi="Arial" w:cs="Arial"/>
                <w:sz w:val="16"/>
                <w:szCs w:val="16"/>
              </w:rPr>
            </w:pPr>
          </w:p>
          <w:p w14:paraId="29D5FD63" w14:textId="77777777" w:rsidR="004E3242" w:rsidRPr="004E3242" w:rsidRDefault="004E3242" w:rsidP="004E3242">
            <w:pPr>
              <w:spacing w:before="60" w:after="60" w:line="240" w:lineRule="auto"/>
              <w:jc w:val="both"/>
              <w:rPr>
                <w:rFonts w:ascii="Arial" w:hAnsi="Arial" w:cs="Arial"/>
                <w:sz w:val="16"/>
                <w:szCs w:val="16"/>
                <w:lang w:eastAsia="pl-PL"/>
              </w:rPr>
            </w:pPr>
            <w:r w:rsidRPr="004E3242">
              <w:rPr>
                <w:rFonts w:ascii="Arial" w:hAnsi="Arial" w:cs="Arial"/>
                <w:sz w:val="16"/>
                <w:szCs w:val="16"/>
              </w:rPr>
              <w:t>4)</w:t>
            </w:r>
            <w:r w:rsidRPr="004E3242">
              <w:rPr>
                <w:rFonts w:ascii="Arial" w:hAnsi="Arial" w:cs="Arial"/>
                <w:sz w:val="16"/>
                <w:szCs w:val="16"/>
                <w:lang w:eastAsia="pl-PL"/>
              </w:rPr>
              <w:t xml:space="preserve"> system monitorowania i przeglądu.</w:t>
            </w:r>
          </w:p>
          <w:p w14:paraId="11668540" w14:textId="77777777" w:rsidR="004E3242" w:rsidRPr="004E3242" w:rsidRDefault="004E3242" w:rsidP="004E3242">
            <w:pPr>
              <w:spacing w:after="0" w:line="240" w:lineRule="auto"/>
              <w:jc w:val="both"/>
              <w:rPr>
                <w:rFonts w:ascii="Arial" w:hAnsi="Arial" w:cs="Arial"/>
                <w:sz w:val="16"/>
                <w:szCs w:val="16"/>
              </w:rPr>
            </w:pPr>
          </w:p>
          <w:p w14:paraId="2512AA44" w14:textId="77777777" w:rsidR="004E3242" w:rsidRPr="004E3242" w:rsidRDefault="004E3242" w:rsidP="004E3242">
            <w:pPr>
              <w:spacing w:after="0" w:line="240" w:lineRule="auto"/>
              <w:jc w:val="both"/>
              <w:rPr>
                <w:rFonts w:ascii="Arial" w:hAnsi="Arial" w:cs="Arial"/>
                <w:sz w:val="16"/>
                <w:szCs w:val="16"/>
              </w:rPr>
            </w:pPr>
          </w:p>
          <w:p w14:paraId="581AA727" w14:textId="77777777" w:rsidR="004E3242" w:rsidRPr="004E3242" w:rsidRDefault="004E3242" w:rsidP="004E3242">
            <w:pPr>
              <w:spacing w:after="0" w:line="240" w:lineRule="auto"/>
              <w:jc w:val="both"/>
              <w:rPr>
                <w:rFonts w:ascii="Arial" w:hAnsi="Arial" w:cs="Arial"/>
                <w:sz w:val="16"/>
                <w:szCs w:val="16"/>
              </w:rPr>
            </w:pPr>
          </w:p>
          <w:p w14:paraId="118B62B4" w14:textId="77777777" w:rsidR="004E3242" w:rsidRPr="004E3242" w:rsidRDefault="004E3242" w:rsidP="004E3242">
            <w:pPr>
              <w:spacing w:after="0" w:line="240" w:lineRule="auto"/>
              <w:jc w:val="both"/>
              <w:rPr>
                <w:rFonts w:ascii="Arial" w:hAnsi="Arial" w:cs="Arial"/>
                <w:sz w:val="16"/>
                <w:szCs w:val="16"/>
              </w:rPr>
            </w:pPr>
          </w:p>
          <w:p w14:paraId="2B565D92" w14:textId="77777777" w:rsidR="004E3242" w:rsidRPr="004E3242" w:rsidRDefault="004E3242" w:rsidP="004E3242">
            <w:pPr>
              <w:spacing w:after="0" w:line="240" w:lineRule="auto"/>
              <w:jc w:val="both"/>
              <w:rPr>
                <w:rFonts w:ascii="Arial" w:hAnsi="Arial" w:cs="Arial"/>
                <w:sz w:val="16"/>
                <w:szCs w:val="16"/>
              </w:rPr>
            </w:pPr>
          </w:p>
          <w:p w14:paraId="2B507D23" w14:textId="77777777" w:rsidR="004E3242" w:rsidRPr="004E3242" w:rsidRDefault="004E3242" w:rsidP="004E3242">
            <w:pPr>
              <w:spacing w:after="0" w:line="240" w:lineRule="auto"/>
              <w:jc w:val="both"/>
              <w:rPr>
                <w:rFonts w:ascii="Arial" w:hAnsi="Arial" w:cs="Arial"/>
                <w:sz w:val="16"/>
                <w:szCs w:val="16"/>
              </w:rPr>
            </w:pPr>
          </w:p>
          <w:p w14:paraId="49DD6C0D" w14:textId="77777777" w:rsidR="004E3242" w:rsidRPr="004E3242" w:rsidRDefault="004E3242" w:rsidP="004E3242">
            <w:pPr>
              <w:spacing w:after="0" w:line="240" w:lineRule="auto"/>
              <w:jc w:val="both"/>
              <w:rPr>
                <w:rFonts w:ascii="Arial" w:hAnsi="Arial" w:cs="Arial"/>
                <w:sz w:val="16"/>
                <w:szCs w:val="16"/>
              </w:rPr>
            </w:pPr>
          </w:p>
          <w:p w14:paraId="4E86FB60" w14:textId="77777777" w:rsidR="004E3242" w:rsidRPr="004E3242" w:rsidRDefault="004E3242" w:rsidP="004E3242">
            <w:pPr>
              <w:spacing w:after="0" w:line="240" w:lineRule="auto"/>
              <w:jc w:val="both"/>
              <w:rPr>
                <w:rFonts w:ascii="Arial" w:hAnsi="Arial" w:cs="Arial"/>
                <w:sz w:val="16"/>
                <w:szCs w:val="16"/>
              </w:rPr>
            </w:pPr>
          </w:p>
          <w:p w14:paraId="2B6664BF" w14:textId="77777777" w:rsidR="004E3242" w:rsidRPr="004E3242" w:rsidRDefault="004E3242" w:rsidP="004E3242">
            <w:pPr>
              <w:spacing w:after="0" w:line="240" w:lineRule="auto"/>
              <w:jc w:val="both"/>
              <w:rPr>
                <w:rFonts w:ascii="Arial" w:hAnsi="Arial" w:cs="Arial"/>
                <w:sz w:val="16"/>
                <w:szCs w:val="16"/>
              </w:rPr>
            </w:pPr>
          </w:p>
          <w:p w14:paraId="1233C92F" w14:textId="77777777" w:rsidR="004E3242" w:rsidRPr="004E3242" w:rsidRDefault="004E3242" w:rsidP="004E3242">
            <w:pPr>
              <w:spacing w:after="0" w:line="240" w:lineRule="auto"/>
              <w:jc w:val="both"/>
              <w:rPr>
                <w:rFonts w:ascii="Arial" w:hAnsi="Arial" w:cs="Arial"/>
                <w:sz w:val="16"/>
                <w:szCs w:val="16"/>
              </w:rPr>
            </w:pPr>
          </w:p>
          <w:p w14:paraId="67B9C2B9" w14:textId="77777777" w:rsidR="004E3242" w:rsidRPr="004E3242" w:rsidRDefault="004E3242" w:rsidP="004E3242">
            <w:pPr>
              <w:spacing w:after="0" w:line="240" w:lineRule="auto"/>
              <w:jc w:val="both"/>
              <w:rPr>
                <w:rFonts w:ascii="Arial" w:hAnsi="Arial" w:cs="Arial"/>
                <w:sz w:val="16"/>
                <w:szCs w:val="16"/>
              </w:rPr>
            </w:pPr>
          </w:p>
          <w:p w14:paraId="5C702B51" w14:textId="77777777" w:rsidR="004E3242" w:rsidRPr="004E3242" w:rsidRDefault="004E3242" w:rsidP="004E3242">
            <w:pPr>
              <w:spacing w:after="0" w:line="240" w:lineRule="auto"/>
              <w:jc w:val="both"/>
              <w:rPr>
                <w:rFonts w:ascii="Arial" w:hAnsi="Arial" w:cs="Arial"/>
                <w:sz w:val="16"/>
                <w:szCs w:val="16"/>
              </w:rPr>
            </w:pPr>
          </w:p>
          <w:p w14:paraId="563AA2C8" w14:textId="77777777" w:rsidR="004E3242" w:rsidRPr="004E3242" w:rsidRDefault="004E3242" w:rsidP="004E3242">
            <w:pPr>
              <w:spacing w:after="0" w:line="240" w:lineRule="auto"/>
              <w:jc w:val="both"/>
              <w:rPr>
                <w:rFonts w:ascii="Arial" w:hAnsi="Arial" w:cs="Arial"/>
                <w:sz w:val="16"/>
                <w:szCs w:val="16"/>
              </w:rPr>
            </w:pPr>
          </w:p>
          <w:p w14:paraId="2283C320" w14:textId="77777777" w:rsidR="004E3242" w:rsidRPr="004E3242" w:rsidRDefault="004E3242" w:rsidP="004E3242">
            <w:pPr>
              <w:spacing w:after="0" w:line="240" w:lineRule="auto"/>
              <w:jc w:val="both"/>
              <w:rPr>
                <w:rFonts w:ascii="Arial" w:hAnsi="Arial" w:cs="Arial"/>
                <w:sz w:val="16"/>
                <w:szCs w:val="16"/>
              </w:rPr>
            </w:pPr>
          </w:p>
          <w:p w14:paraId="33E16EC1" w14:textId="77777777" w:rsidR="004E3242" w:rsidRPr="004E3242" w:rsidRDefault="004E3242" w:rsidP="004E3242">
            <w:pPr>
              <w:rPr>
                <w:rFonts w:ascii="Arial" w:hAnsi="Arial" w:cs="Arial"/>
                <w:sz w:val="16"/>
                <w:szCs w:val="16"/>
              </w:rPr>
            </w:pPr>
            <w:r w:rsidRPr="004E3242">
              <w:rPr>
                <w:rFonts w:ascii="Arial" w:hAnsi="Arial" w:cs="Arial"/>
                <w:sz w:val="16"/>
                <w:szCs w:val="16"/>
              </w:rPr>
              <w:t xml:space="preserve">5) </w:t>
            </w:r>
            <w:r w:rsidRPr="004E3242">
              <w:rPr>
                <w:rFonts w:ascii="Arial" w:hAnsi="Arial" w:cs="Arial"/>
                <w:sz w:val="16"/>
                <w:szCs w:val="16"/>
                <w:lang w:eastAsia="pl-PL"/>
              </w:rPr>
              <w:t>Państwo członkowskie lub region przyjęły ramy określające szacunkowo dostępne środki budżetowe na opiekę zdrowotną oraz efektywną pod względem kosztów koncentrację środków przeznaczonych na priorytetowe potrzeby opieki zdrowotnej.</w:t>
            </w:r>
          </w:p>
          <w:p w14:paraId="6A62AA91" w14:textId="77777777" w:rsidR="004E3242" w:rsidRPr="004E3242" w:rsidRDefault="004E3242" w:rsidP="004E3242">
            <w:pPr>
              <w:spacing w:after="0" w:line="240" w:lineRule="auto"/>
              <w:jc w:val="both"/>
              <w:rPr>
                <w:rFonts w:ascii="Arial" w:hAnsi="Arial" w:cs="Arial"/>
                <w:sz w:val="16"/>
                <w:szCs w:val="16"/>
              </w:rPr>
            </w:pPr>
          </w:p>
          <w:p w14:paraId="66366F50" w14:textId="77777777" w:rsidR="004E3242" w:rsidRPr="004E3242" w:rsidRDefault="004E3242" w:rsidP="004E3242">
            <w:pPr>
              <w:spacing w:after="0" w:line="240" w:lineRule="auto"/>
              <w:jc w:val="both"/>
              <w:rPr>
                <w:rFonts w:ascii="Arial" w:hAnsi="Arial" w:cs="Arial"/>
                <w:sz w:val="16"/>
                <w:szCs w:val="16"/>
              </w:rPr>
            </w:pPr>
          </w:p>
          <w:p w14:paraId="51594CD1" w14:textId="77777777" w:rsidR="004E3242" w:rsidRPr="004E3242" w:rsidRDefault="004E3242" w:rsidP="004E3242">
            <w:pPr>
              <w:spacing w:after="0" w:line="240" w:lineRule="auto"/>
              <w:jc w:val="both"/>
              <w:rPr>
                <w:rFonts w:ascii="Arial" w:hAnsi="Arial" w:cs="Arial"/>
                <w:sz w:val="16"/>
                <w:szCs w:val="16"/>
              </w:rPr>
            </w:pPr>
          </w:p>
        </w:tc>
        <w:tc>
          <w:tcPr>
            <w:tcW w:w="1754" w:type="pct"/>
            <w:shd w:val="clear" w:color="auto" w:fill="F2F2F2"/>
            <w:vAlign w:val="center"/>
          </w:tcPr>
          <w:p w14:paraId="69E4D852"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lastRenderedPageBreak/>
              <w:t>Warunek zostanie uznany za wypełniony po spełnieniu poniższych kryteriów:</w:t>
            </w:r>
          </w:p>
          <w:p w14:paraId="0B4BBF4C" w14:textId="77777777" w:rsidR="004E3242" w:rsidRPr="004E3242" w:rsidRDefault="004E3242" w:rsidP="004E3242">
            <w:pPr>
              <w:spacing w:after="0" w:line="240" w:lineRule="auto"/>
              <w:jc w:val="both"/>
              <w:rPr>
                <w:rFonts w:ascii="Arial" w:hAnsi="Arial" w:cs="Arial"/>
                <w:sz w:val="16"/>
                <w:szCs w:val="16"/>
              </w:rPr>
            </w:pPr>
          </w:p>
          <w:p w14:paraId="73F68399" w14:textId="77777777" w:rsidR="004E3242" w:rsidRPr="004E3242" w:rsidRDefault="004E3242" w:rsidP="004E3242">
            <w:pPr>
              <w:spacing w:after="0" w:line="240" w:lineRule="auto"/>
              <w:jc w:val="both"/>
              <w:rPr>
                <w:rFonts w:ascii="Arial" w:hAnsi="Arial" w:cs="Arial"/>
                <w:sz w:val="16"/>
                <w:szCs w:val="16"/>
              </w:rPr>
            </w:pPr>
          </w:p>
          <w:p w14:paraId="53237F3D"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 xml:space="preserve">Plan działań dotyczący przygotowania dokumentu: Policy Paper dla obszaru ochrony zdrowia w Polsce na lata 2014-2020. Krajowe Ramy Strategiczne. - Uzupełnienie Policy </w:t>
            </w:r>
            <w:proofErr w:type="spellStart"/>
            <w:r w:rsidRPr="004E3242">
              <w:rPr>
                <w:rFonts w:ascii="Arial" w:hAnsi="Arial" w:cs="Arial"/>
                <w:sz w:val="16"/>
                <w:szCs w:val="16"/>
              </w:rPr>
              <w:t>paper</w:t>
            </w:r>
            <w:proofErr w:type="spellEnd"/>
            <w:r w:rsidRPr="004E3242">
              <w:rPr>
                <w:rFonts w:ascii="Arial" w:hAnsi="Arial" w:cs="Arial"/>
                <w:sz w:val="16"/>
                <w:szCs w:val="16"/>
              </w:rPr>
              <w:t xml:space="preserve"> dla ochrony zdrowia na lata 2014-2020. Krajowe Ramy Strategiczne. Dokument zostanie zweryfikowany w kontekście uwag zgłoszonych przez KE na spotkaniu w dniu 16 października 2014 r. Termin: 31/01/2015 r. - Przyjęcie Policy </w:t>
            </w:r>
            <w:proofErr w:type="spellStart"/>
            <w:r w:rsidRPr="004E3242">
              <w:rPr>
                <w:rFonts w:ascii="Arial" w:hAnsi="Arial" w:cs="Arial"/>
                <w:sz w:val="16"/>
                <w:szCs w:val="16"/>
              </w:rPr>
              <w:t>paper</w:t>
            </w:r>
            <w:proofErr w:type="spellEnd"/>
            <w:r w:rsidRPr="004E3242">
              <w:rPr>
                <w:rFonts w:ascii="Arial" w:hAnsi="Arial" w:cs="Arial"/>
                <w:sz w:val="16"/>
                <w:szCs w:val="16"/>
              </w:rPr>
              <w:t xml:space="preserve"> przez właściwe władze na poziomie krajowym. Termin: 30/06/2015 r. Opis spełniania kryterium wraz ze szczegółowym planem działań oraz harmonogramem i instytucjami odpowiedzialnymi zostały przedstawione w Samoocenie spełniania warunkowości ex </w:t>
            </w:r>
            <w:proofErr w:type="spellStart"/>
            <w:r w:rsidRPr="004E3242">
              <w:rPr>
                <w:rFonts w:ascii="Arial" w:hAnsi="Arial" w:cs="Arial"/>
                <w:sz w:val="16"/>
                <w:szCs w:val="16"/>
              </w:rPr>
              <w:t>ante</w:t>
            </w:r>
            <w:proofErr w:type="spellEnd"/>
            <w:r w:rsidRPr="004E3242">
              <w:rPr>
                <w:rFonts w:ascii="Arial" w:hAnsi="Arial" w:cs="Arial"/>
                <w:sz w:val="16"/>
                <w:szCs w:val="16"/>
              </w:rPr>
              <w:t>, stanowiącej załącznik do programu.</w:t>
            </w:r>
          </w:p>
          <w:p w14:paraId="13D52E57" w14:textId="77777777" w:rsidR="004E3242" w:rsidRPr="004E3242" w:rsidRDefault="004E3242" w:rsidP="004E3242">
            <w:pPr>
              <w:spacing w:after="0" w:line="240" w:lineRule="auto"/>
              <w:jc w:val="both"/>
              <w:rPr>
                <w:rFonts w:ascii="Arial" w:hAnsi="Arial" w:cs="Arial"/>
                <w:sz w:val="16"/>
                <w:szCs w:val="16"/>
              </w:rPr>
            </w:pPr>
          </w:p>
          <w:p w14:paraId="745F77A6" w14:textId="77777777" w:rsidR="004E3242" w:rsidRPr="004E3242" w:rsidRDefault="004E3242" w:rsidP="004E3242">
            <w:pPr>
              <w:spacing w:after="0" w:line="240" w:lineRule="auto"/>
              <w:jc w:val="both"/>
              <w:rPr>
                <w:rFonts w:ascii="Arial" w:hAnsi="Arial" w:cs="Arial"/>
                <w:sz w:val="16"/>
                <w:szCs w:val="16"/>
              </w:rPr>
            </w:pPr>
          </w:p>
          <w:p w14:paraId="0D7E166A" w14:textId="77777777" w:rsidR="004E3242" w:rsidRPr="004E3242" w:rsidRDefault="004E3242" w:rsidP="004E3242">
            <w:pPr>
              <w:spacing w:after="0" w:line="240" w:lineRule="auto"/>
              <w:jc w:val="both"/>
              <w:rPr>
                <w:rFonts w:ascii="Arial" w:hAnsi="Arial" w:cs="Arial"/>
                <w:sz w:val="16"/>
                <w:szCs w:val="16"/>
              </w:rPr>
            </w:pPr>
          </w:p>
          <w:p w14:paraId="392EA4C5"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 xml:space="preserve">Plan działań dotyczący map potrzeb zdrowotnych - Sporządzenie „map potrzeb” w zakresie onkologii i kardiologii opisujących elementy systemu na poziomie POZ, AOS, szpitali: Termin: 31/12/2015 - Stworzenie „map potrzeb” dla innych chorób na poziomie POZ, AOS, szpitali: Termin: 31/12/2016 Opis spełniania kryterium wraz ze szczegółowym planem działań oraz harmonogramem i instytucjami odpowiedzialnymi zostały przedstawione w Samoocenie spełniania warunkowości ex </w:t>
            </w:r>
            <w:proofErr w:type="spellStart"/>
            <w:r w:rsidRPr="004E3242">
              <w:rPr>
                <w:rFonts w:ascii="Arial" w:hAnsi="Arial" w:cs="Arial"/>
                <w:sz w:val="16"/>
                <w:szCs w:val="16"/>
              </w:rPr>
              <w:t>ante</w:t>
            </w:r>
            <w:proofErr w:type="spellEnd"/>
            <w:r w:rsidRPr="004E3242">
              <w:rPr>
                <w:rFonts w:ascii="Arial" w:hAnsi="Arial" w:cs="Arial"/>
                <w:sz w:val="16"/>
                <w:szCs w:val="16"/>
              </w:rPr>
              <w:t>, stanowiącej załącznik do programu.</w:t>
            </w:r>
          </w:p>
          <w:p w14:paraId="4D73DF40" w14:textId="77777777" w:rsidR="004E3242" w:rsidRPr="004E3242" w:rsidRDefault="004E3242" w:rsidP="004E3242">
            <w:pPr>
              <w:spacing w:after="0" w:line="240" w:lineRule="auto"/>
              <w:jc w:val="both"/>
              <w:rPr>
                <w:rFonts w:ascii="Arial" w:hAnsi="Arial" w:cs="Arial"/>
                <w:spacing w:val="4"/>
                <w:sz w:val="16"/>
                <w:szCs w:val="16"/>
              </w:rPr>
            </w:pPr>
          </w:p>
          <w:p w14:paraId="7148713D"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 xml:space="preserve">Plan działań dotyczący przygotowania dokumentu: Policy Paper dla obszaru ochrony zdrowia w Polsce na lata 2014-2020. Krajowe Ramy Strategiczne. - Uzupełnienie Policy </w:t>
            </w:r>
            <w:proofErr w:type="spellStart"/>
            <w:r w:rsidRPr="004E3242">
              <w:rPr>
                <w:rFonts w:ascii="Arial" w:hAnsi="Arial" w:cs="Arial"/>
                <w:sz w:val="16"/>
                <w:szCs w:val="16"/>
              </w:rPr>
              <w:t>paper</w:t>
            </w:r>
            <w:proofErr w:type="spellEnd"/>
            <w:r w:rsidRPr="004E3242">
              <w:rPr>
                <w:rFonts w:ascii="Arial" w:hAnsi="Arial" w:cs="Arial"/>
                <w:sz w:val="16"/>
                <w:szCs w:val="16"/>
              </w:rPr>
              <w:t xml:space="preserve"> dla ochrony zdrowia na lata 2014-2020. Krajowe Ramy Strategiczne. Dokument zostanie zweryfikowany w kontekście uwag zgłoszonych przez KE na spotkaniu w dniu 16 października 2014 r. Termin: 31/01/2015 r. - Przyjęcie Policy </w:t>
            </w:r>
            <w:proofErr w:type="spellStart"/>
            <w:r w:rsidRPr="004E3242">
              <w:rPr>
                <w:rFonts w:ascii="Arial" w:hAnsi="Arial" w:cs="Arial"/>
                <w:sz w:val="16"/>
                <w:szCs w:val="16"/>
              </w:rPr>
              <w:t>paper</w:t>
            </w:r>
            <w:proofErr w:type="spellEnd"/>
            <w:r w:rsidRPr="004E3242">
              <w:rPr>
                <w:rFonts w:ascii="Arial" w:hAnsi="Arial" w:cs="Arial"/>
                <w:sz w:val="16"/>
                <w:szCs w:val="16"/>
              </w:rPr>
              <w:t xml:space="preserve"> przez właściwe władze na poziomie krajowym. Termin: 30/06/2015 r Opis spełniania kryterium wraz ze szczegółowym planem działań oraz harmonogramem i instytucjami odpowiedzialnymi zostały przedstawione w Samoocenie spełniania warunkowości ex </w:t>
            </w:r>
            <w:proofErr w:type="spellStart"/>
            <w:r w:rsidRPr="004E3242">
              <w:rPr>
                <w:rFonts w:ascii="Arial" w:hAnsi="Arial" w:cs="Arial"/>
                <w:sz w:val="16"/>
                <w:szCs w:val="16"/>
              </w:rPr>
              <w:t>ante</w:t>
            </w:r>
            <w:proofErr w:type="spellEnd"/>
            <w:r w:rsidRPr="004E3242">
              <w:rPr>
                <w:rFonts w:ascii="Arial" w:hAnsi="Arial" w:cs="Arial"/>
                <w:sz w:val="16"/>
                <w:szCs w:val="16"/>
              </w:rPr>
              <w:t xml:space="preserve">, </w:t>
            </w:r>
            <w:r w:rsidRPr="004E3242">
              <w:rPr>
                <w:rFonts w:ascii="Arial" w:hAnsi="Arial" w:cs="Arial"/>
                <w:sz w:val="16"/>
                <w:szCs w:val="16"/>
              </w:rPr>
              <w:lastRenderedPageBreak/>
              <w:t>stanowiącej załącznik do programu.</w:t>
            </w:r>
          </w:p>
          <w:p w14:paraId="032D2CF2" w14:textId="77777777" w:rsidR="004E3242" w:rsidRPr="004E3242" w:rsidRDefault="004E3242" w:rsidP="004E3242">
            <w:pPr>
              <w:rPr>
                <w:rFonts w:ascii="Arial" w:hAnsi="Arial" w:cs="Arial"/>
                <w:sz w:val="16"/>
                <w:szCs w:val="16"/>
              </w:rPr>
            </w:pPr>
          </w:p>
          <w:p w14:paraId="7721F616" w14:textId="77777777" w:rsidR="004E3242" w:rsidRPr="004E3242" w:rsidRDefault="004E3242" w:rsidP="004E3242">
            <w:pPr>
              <w:rPr>
                <w:rFonts w:ascii="Arial" w:hAnsi="Arial" w:cs="Arial"/>
                <w:sz w:val="16"/>
                <w:szCs w:val="16"/>
              </w:rPr>
            </w:pPr>
          </w:p>
          <w:p w14:paraId="6CEA9058" w14:textId="77777777" w:rsidR="004E3242" w:rsidRPr="004E3242" w:rsidRDefault="004E3242" w:rsidP="004E3242">
            <w:pPr>
              <w:spacing w:after="0" w:line="240" w:lineRule="auto"/>
              <w:jc w:val="both"/>
              <w:rPr>
                <w:rFonts w:ascii="Arial" w:hAnsi="Arial" w:cs="Arial"/>
                <w:sz w:val="16"/>
                <w:szCs w:val="16"/>
              </w:rPr>
            </w:pPr>
            <w:r w:rsidRPr="004E3242">
              <w:rPr>
                <w:rFonts w:ascii="Arial" w:hAnsi="Arial" w:cs="Arial"/>
                <w:sz w:val="16"/>
                <w:szCs w:val="16"/>
              </w:rPr>
              <w:t xml:space="preserve">Plan działań dotyczący przygotowania dokumentu: Policy Paper dla obszaru ochrony zdrowia w Polsce na lata 2014-2020. Krajowe Ramy Strategiczne. - Uzupełnienie Policy </w:t>
            </w:r>
            <w:proofErr w:type="spellStart"/>
            <w:r w:rsidRPr="004E3242">
              <w:rPr>
                <w:rFonts w:ascii="Arial" w:hAnsi="Arial" w:cs="Arial"/>
                <w:sz w:val="16"/>
                <w:szCs w:val="16"/>
              </w:rPr>
              <w:t>paper</w:t>
            </w:r>
            <w:proofErr w:type="spellEnd"/>
            <w:r w:rsidRPr="004E3242">
              <w:rPr>
                <w:rFonts w:ascii="Arial" w:hAnsi="Arial" w:cs="Arial"/>
                <w:sz w:val="16"/>
                <w:szCs w:val="16"/>
              </w:rPr>
              <w:t xml:space="preserve"> dla ochrony zdrowia na lata 2014-2020. Krajowe Ramy Strategiczne. Dokument zostanie zweryfikowany w kontekście uwag zgłoszonych przez KE na spotkaniu w dniu 16 października 2014 r. Termin: 31/01/2015 r. - Przyjęcie Policy </w:t>
            </w:r>
            <w:proofErr w:type="spellStart"/>
            <w:r w:rsidRPr="004E3242">
              <w:rPr>
                <w:rFonts w:ascii="Arial" w:hAnsi="Arial" w:cs="Arial"/>
                <w:sz w:val="16"/>
                <w:szCs w:val="16"/>
              </w:rPr>
              <w:t>paper</w:t>
            </w:r>
            <w:proofErr w:type="spellEnd"/>
            <w:r w:rsidRPr="004E3242">
              <w:rPr>
                <w:rFonts w:ascii="Arial" w:hAnsi="Arial" w:cs="Arial"/>
                <w:sz w:val="16"/>
                <w:szCs w:val="16"/>
              </w:rPr>
              <w:t xml:space="preserve"> przez właściwe władze na poziomie krajowym. Termin: 30/06/2015 r. Opis spełniania kryterium wraz ze szczegółowym planem działań oraz harmonogramem i instytucjami odpowiedzialnymi zostały przedstawione w Samoocenie spełniania warunkowości ex </w:t>
            </w:r>
            <w:proofErr w:type="spellStart"/>
            <w:r w:rsidRPr="004E3242">
              <w:rPr>
                <w:rFonts w:ascii="Arial" w:hAnsi="Arial" w:cs="Arial"/>
                <w:sz w:val="16"/>
                <w:szCs w:val="16"/>
              </w:rPr>
              <w:t>ante</w:t>
            </w:r>
            <w:proofErr w:type="spellEnd"/>
            <w:r w:rsidRPr="004E3242">
              <w:rPr>
                <w:rFonts w:ascii="Arial" w:hAnsi="Arial" w:cs="Arial"/>
                <w:sz w:val="16"/>
                <w:szCs w:val="16"/>
              </w:rPr>
              <w:t>, stanowiącej załącznik do programu.</w:t>
            </w:r>
          </w:p>
          <w:p w14:paraId="7DB07587" w14:textId="77777777" w:rsidR="004E3242" w:rsidRPr="004E3242" w:rsidRDefault="004E3242" w:rsidP="004E3242">
            <w:pPr>
              <w:spacing w:after="0" w:line="240" w:lineRule="auto"/>
              <w:jc w:val="both"/>
              <w:rPr>
                <w:rFonts w:ascii="Arial" w:hAnsi="Arial" w:cs="Arial"/>
                <w:spacing w:val="4"/>
                <w:sz w:val="16"/>
                <w:szCs w:val="16"/>
              </w:rPr>
            </w:pPr>
          </w:p>
        </w:tc>
        <w:tc>
          <w:tcPr>
            <w:tcW w:w="600" w:type="pct"/>
            <w:shd w:val="clear" w:color="auto" w:fill="F2F2F2"/>
            <w:vAlign w:val="center"/>
          </w:tcPr>
          <w:p w14:paraId="7599BC18" w14:textId="77777777" w:rsidR="004E3242" w:rsidRPr="004E3242" w:rsidRDefault="004E3242" w:rsidP="004E3242">
            <w:pPr>
              <w:jc w:val="center"/>
              <w:rPr>
                <w:rFonts w:ascii="Arial" w:hAnsi="Arial" w:cs="Arial"/>
                <w:sz w:val="16"/>
                <w:szCs w:val="16"/>
                <w:lang w:val="en-US"/>
              </w:rPr>
            </w:pPr>
            <w:r w:rsidRPr="004E3242">
              <w:rPr>
                <w:rFonts w:ascii="Arial" w:hAnsi="Arial" w:cs="Arial"/>
                <w:sz w:val="16"/>
                <w:szCs w:val="16"/>
                <w:lang w:val="en-US"/>
              </w:rPr>
              <w:lastRenderedPageBreak/>
              <w:t>2016-12-31</w:t>
            </w:r>
          </w:p>
          <w:p w14:paraId="25D1CEE5" w14:textId="77777777" w:rsidR="004E3242" w:rsidRPr="004E3242" w:rsidRDefault="004E3242" w:rsidP="004E3242">
            <w:pPr>
              <w:jc w:val="center"/>
              <w:rPr>
                <w:rFonts w:ascii="Arial" w:hAnsi="Arial" w:cs="Arial"/>
                <w:spacing w:val="4"/>
                <w:sz w:val="16"/>
                <w:szCs w:val="16"/>
              </w:rPr>
            </w:pPr>
          </w:p>
          <w:p w14:paraId="7CFAE980" w14:textId="77777777" w:rsidR="004E3242" w:rsidRPr="004E3242" w:rsidRDefault="004E3242" w:rsidP="004E3242">
            <w:pPr>
              <w:jc w:val="center"/>
              <w:rPr>
                <w:rFonts w:ascii="Arial" w:hAnsi="Arial" w:cs="Arial"/>
                <w:sz w:val="16"/>
                <w:szCs w:val="16"/>
                <w:lang w:val="en-US"/>
              </w:rPr>
            </w:pPr>
            <w:r w:rsidRPr="004E3242">
              <w:rPr>
                <w:rFonts w:ascii="Arial" w:hAnsi="Arial" w:cs="Arial"/>
                <w:sz w:val="16"/>
                <w:szCs w:val="16"/>
                <w:lang w:val="en-US"/>
              </w:rPr>
              <w:t>2015-06-30</w:t>
            </w:r>
          </w:p>
          <w:p w14:paraId="40DCCA30" w14:textId="77777777" w:rsidR="004E3242" w:rsidRPr="004E3242" w:rsidRDefault="004E3242" w:rsidP="004E3242">
            <w:pPr>
              <w:jc w:val="center"/>
              <w:rPr>
                <w:rFonts w:ascii="Arial" w:hAnsi="Arial" w:cs="Arial"/>
                <w:sz w:val="16"/>
                <w:szCs w:val="16"/>
              </w:rPr>
            </w:pPr>
          </w:p>
          <w:p w14:paraId="7145627C" w14:textId="77777777" w:rsidR="004E3242" w:rsidRPr="004E3242" w:rsidRDefault="004E3242" w:rsidP="004E3242">
            <w:pPr>
              <w:jc w:val="center"/>
              <w:rPr>
                <w:rFonts w:ascii="Arial" w:hAnsi="Arial" w:cs="Arial"/>
                <w:sz w:val="16"/>
                <w:szCs w:val="16"/>
              </w:rPr>
            </w:pPr>
          </w:p>
          <w:p w14:paraId="0DE02117" w14:textId="77777777" w:rsidR="004E3242" w:rsidRPr="004E3242" w:rsidRDefault="004E3242" w:rsidP="004E3242">
            <w:pPr>
              <w:jc w:val="center"/>
              <w:rPr>
                <w:rFonts w:ascii="Arial" w:hAnsi="Arial" w:cs="Arial"/>
                <w:sz w:val="16"/>
                <w:szCs w:val="16"/>
              </w:rPr>
            </w:pPr>
          </w:p>
          <w:p w14:paraId="6A623483" w14:textId="77777777" w:rsidR="004E3242" w:rsidRPr="004E3242" w:rsidRDefault="004E3242" w:rsidP="004E3242">
            <w:pPr>
              <w:jc w:val="center"/>
              <w:rPr>
                <w:rFonts w:ascii="Arial" w:hAnsi="Arial" w:cs="Arial"/>
                <w:sz w:val="16"/>
                <w:szCs w:val="16"/>
              </w:rPr>
            </w:pPr>
          </w:p>
          <w:p w14:paraId="54857887" w14:textId="77777777" w:rsidR="004E3242" w:rsidRPr="004E3242" w:rsidRDefault="004E3242" w:rsidP="004E3242">
            <w:pPr>
              <w:jc w:val="center"/>
              <w:rPr>
                <w:rFonts w:ascii="Arial" w:hAnsi="Arial" w:cs="Arial"/>
                <w:sz w:val="16"/>
                <w:szCs w:val="16"/>
              </w:rPr>
            </w:pPr>
          </w:p>
          <w:p w14:paraId="1F6DC550" w14:textId="77777777" w:rsidR="004E3242" w:rsidRPr="004E3242" w:rsidRDefault="004E3242" w:rsidP="004E3242">
            <w:pPr>
              <w:jc w:val="center"/>
              <w:rPr>
                <w:rFonts w:ascii="Arial" w:hAnsi="Arial" w:cs="Arial"/>
                <w:sz w:val="16"/>
                <w:szCs w:val="16"/>
                <w:lang w:val="en-US"/>
              </w:rPr>
            </w:pPr>
            <w:r w:rsidRPr="004E3242">
              <w:rPr>
                <w:rFonts w:ascii="Arial" w:hAnsi="Arial" w:cs="Arial"/>
                <w:sz w:val="16"/>
                <w:szCs w:val="16"/>
                <w:lang w:val="en-US"/>
              </w:rPr>
              <w:t>2016-12-31</w:t>
            </w:r>
          </w:p>
          <w:p w14:paraId="5137419D" w14:textId="77777777" w:rsidR="004E3242" w:rsidRPr="004E3242" w:rsidRDefault="004E3242" w:rsidP="004E3242">
            <w:pPr>
              <w:jc w:val="center"/>
              <w:rPr>
                <w:rFonts w:ascii="Arial" w:hAnsi="Arial" w:cs="Arial"/>
                <w:sz w:val="16"/>
                <w:szCs w:val="16"/>
                <w:lang w:val="en-US"/>
              </w:rPr>
            </w:pPr>
          </w:p>
          <w:p w14:paraId="4FDCFCAD" w14:textId="77777777" w:rsidR="004E3242" w:rsidRPr="004E3242" w:rsidRDefault="004E3242" w:rsidP="004E3242">
            <w:pPr>
              <w:jc w:val="center"/>
              <w:rPr>
                <w:rFonts w:ascii="Arial" w:hAnsi="Arial" w:cs="Arial"/>
                <w:sz w:val="16"/>
                <w:szCs w:val="16"/>
                <w:lang w:val="en-US"/>
              </w:rPr>
            </w:pPr>
          </w:p>
          <w:p w14:paraId="6BD64E1D" w14:textId="77777777" w:rsidR="004E3242" w:rsidRPr="004E3242" w:rsidRDefault="004E3242" w:rsidP="004E3242">
            <w:pPr>
              <w:jc w:val="center"/>
              <w:rPr>
                <w:rFonts w:ascii="Arial" w:hAnsi="Arial" w:cs="Arial"/>
                <w:sz w:val="16"/>
                <w:szCs w:val="16"/>
                <w:lang w:val="en-US"/>
              </w:rPr>
            </w:pPr>
          </w:p>
          <w:p w14:paraId="177FA380" w14:textId="77777777" w:rsidR="004E3242" w:rsidRPr="004E3242" w:rsidRDefault="004E3242" w:rsidP="004E3242">
            <w:pPr>
              <w:jc w:val="center"/>
              <w:rPr>
                <w:rFonts w:ascii="Arial" w:hAnsi="Arial" w:cs="Arial"/>
                <w:sz w:val="16"/>
                <w:szCs w:val="16"/>
                <w:lang w:val="en-US"/>
              </w:rPr>
            </w:pPr>
            <w:r w:rsidRPr="004E3242">
              <w:rPr>
                <w:rFonts w:ascii="Arial" w:hAnsi="Arial" w:cs="Arial"/>
                <w:sz w:val="16"/>
                <w:szCs w:val="16"/>
                <w:lang w:val="en-US"/>
              </w:rPr>
              <w:t>2015-06-30</w:t>
            </w:r>
          </w:p>
          <w:p w14:paraId="16B02DCF" w14:textId="77777777" w:rsidR="004E3242" w:rsidRPr="004E3242" w:rsidRDefault="004E3242" w:rsidP="004E3242">
            <w:pPr>
              <w:spacing w:after="0" w:line="240" w:lineRule="auto"/>
              <w:jc w:val="center"/>
              <w:rPr>
                <w:rFonts w:ascii="Arial" w:hAnsi="Arial" w:cs="Arial"/>
                <w:spacing w:val="4"/>
                <w:sz w:val="16"/>
                <w:szCs w:val="16"/>
              </w:rPr>
            </w:pPr>
          </w:p>
          <w:p w14:paraId="7FDA1C89" w14:textId="77777777" w:rsidR="004E3242" w:rsidRPr="004E3242" w:rsidRDefault="004E3242" w:rsidP="004E3242">
            <w:pPr>
              <w:spacing w:after="0" w:line="240" w:lineRule="auto"/>
              <w:jc w:val="center"/>
              <w:rPr>
                <w:rFonts w:ascii="Arial" w:hAnsi="Arial" w:cs="Arial"/>
                <w:spacing w:val="4"/>
                <w:sz w:val="16"/>
                <w:szCs w:val="16"/>
              </w:rPr>
            </w:pPr>
          </w:p>
          <w:p w14:paraId="6D85B8C4" w14:textId="77777777" w:rsidR="004E3242" w:rsidRPr="004E3242" w:rsidRDefault="004E3242" w:rsidP="004E3242">
            <w:pPr>
              <w:spacing w:after="0" w:line="240" w:lineRule="auto"/>
              <w:jc w:val="center"/>
              <w:rPr>
                <w:rFonts w:ascii="Arial" w:hAnsi="Arial" w:cs="Arial"/>
                <w:spacing w:val="4"/>
                <w:sz w:val="16"/>
                <w:szCs w:val="16"/>
              </w:rPr>
            </w:pPr>
          </w:p>
          <w:p w14:paraId="3E0E20ED" w14:textId="77777777" w:rsidR="004E3242" w:rsidRPr="004E3242" w:rsidRDefault="004E3242" w:rsidP="004E3242">
            <w:pPr>
              <w:spacing w:after="0" w:line="240" w:lineRule="auto"/>
              <w:jc w:val="center"/>
              <w:rPr>
                <w:rFonts w:ascii="Arial" w:hAnsi="Arial" w:cs="Arial"/>
                <w:spacing w:val="4"/>
                <w:sz w:val="16"/>
                <w:szCs w:val="16"/>
              </w:rPr>
            </w:pPr>
          </w:p>
          <w:p w14:paraId="3F120953" w14:textId="77777777" w:rsidR="004E3242" w:rsidRPr="004E3242" w:rsidRDefault="004E3242" w:rsidP="004E3242">
            <w:pPr>
              <w:spacing w:after="0" w:line="240" w:lineRule="auto"/>
              <w:jc w:val="center"/>
              <w:rPr>
                <w:rFonts w:ascii="Arial" w:hAnsi="Arial" w:cs="Arial"/>
                <w:spacing w:val="4"/>
                <w:sz w:val="16"/>
                <w:szCs w:val="16"/>
              </w:rPr>
            </w:pPr>
          </w:p>
          <w:p w14:paraId="31FC9E34" w14:textId="77777777" w:rsidR="004E3242" w:rsidRPr="004E3242" w:rsidRDefault="004E3242" w:rsidP="004E3242">
            <w:pPr>
              <w:spacing w:after="0" w:line="240" w:lineRule="auto"/>
              <w:jc w:val="center"/>
              <w:rPr>
                <w:rFonts w:ascii="Arial" w:hAnsi="Arial" w:cs="Arial"/>
                <w:spacing w:val="4"/>
                <w:sz w:val="16"/>
                <w:szCs w:val="16"/>
              </w:rPr>
            </w:pPr>
          </w:p>
          <w:p w14:paraId="434DFDB1" w14:textId="77777777" w:rsidR="004E3242" w:rsidRPr="004E3242" w:rsidRDefault="004E3242" w:rsidP="004E3242">
            <w:pPr>
              <w:spacing w:after="0" w:line="240" w:lineRule="auto"/>
              <w:jc w:val="center"/>
              <w:rPr>
                <w:rFonts w:ascii="Arial" w:hAnsi="Arial" w:cs="Arial"/>
                <w:spacing w:val="4"/>
                <w:sz w:val="16"/>
                <w:szCs w:val="16"/>
              </w:rPr>
            </w:pPr>
          </w:p>
          <w:p w14:paraId="220A501C" w14:textId="77777777" w:rsidR="004E3242" w:rsidRPr="004E3242" w:rsidRDefault="004E3242" w:rsidP="004E3242">
            <w:pPr>
              <w:spacing w:after="0" w:line="240" w:lineRule="auto"/>
              <w:jc w:val="center"/>
              <w:rPr>
                <w:rFonts w:ascii="Arial" w:hAnsi="Arial" w:cs="Arial"/>
                <w:spacing w:val="4"/>
                <w:sz w:val="16"/>
                <w:szCs w:val="16"/>
              </w:rPr>
            </w:pPr>
          </w:p>
          <w:p w14:paraId="00B00FBA" w14:textId="77777777" w:rsidR="004E3242" w:rsidRPr="004E3242" w:rsidRDefault="004E3242" w:rsidP="004E3242">
            <w:pPr>
              <w:spacing w:after="0" w:line="240" w:lineRule="auto"/>
              <w:jc w:val="center"/>
              <w:rPr>
                <w:rFonts w:ascii="Arial" w:hAnsi="Arial" w:cs="Arial"/>
                <w:spacing w:val="4"/>
                <w:sz w:val="16"/>
                <w:szCs w:val="16"/>
              </w:rPr>
            </w:pPr>
          </w:p>
          <w:p w14:paraId="7D5805F8" w14:textId="77777777" w:rsidR="004E3242" w:rsidRPr="004E3242" w:rsidRDefault="004E3242" w:rsidP="004E3242">
            <w:pPr>
              <w:spacing w:after="0" w:line="240" w:lineRule="auto"/>
              <w:jc w:val="center"/>
              <w:rPr>
                <w:rFonts w:ascii="Arial" w:hAnsi="Arial" w:cs="Arial"/>
                <w:spacing w:val="4"/>
                <w:sz w:val="16"/>
                <w:szCs w:val="16"/>
              </w:rPr>
            </w:pPr>
          </w:p>
          <w:p w14:paraId="34E9EC2A" w14:textId="77777777" w:rsidR="004E3242" w:rsidRPr="004E3242" w:rsidRDefault="004E3242" w:rsidP="004E3242">
            <w:pPr>
              <w:spacing w:after="0" w:line="240" w:lineRule="auto"/>
              <w:jc w:val="center"/>
              <w:rPr>
                <w:rFonts w:ascii="Arial" w:hAnsi="Arial" w:cs="Arial"/>
                <w:spacing w:val="4"/>
                <w:sz w:val="16"/>
                <w:szCs w:val="16"/>
              </w:rPr>
            </w:pPr>
          </w:p>
          <w:p w14:paraId="0D15CA06" w14:textId="77777777" w:rsidR="004E3242" w:rsidRPr="004E3242" w:rsidRDefault="004E3242" w:rsidP="004E3242">
            <w:pPr>
              <w:spacing w:after="0" w:line="240" w:lineRule="auto"/>
              <w:jc w:val="center"/>
              <w:rPr>
                <w:rFonts w:ascii="Arial" w:hAnsi="Arial" w:cs="Arial"/>
                <w:spacing w:val="4"/>
                <w:sz w:val="16"/>
                <w:szCs w:val="16"/>
              </w:rPr>
            </w:pPr>
          </w:p>
          <w:p w14:paraId="17F3F597" w14:textId="77777777" w:rsidR="004E3242" w:rsidRPr="004E3242" w:rsidRDefault="004E3242" w:rsidP="004E3242">
            <w:pPr>
              <w:spacing w:after="0" w:line="240" w:lineRule="auto"/>
              <w:jc w:val="center"/>
              <w:rPr>
                <w:rFonts w:ascii="Arial" w:hAnsi="Arial" w:cs="Arial"/>
                <w:spacing w:val="4"/>
                <w:sz w:val="16"/>
                <w:szCs w:val="16"/>
              </w:rPr>
            </w:pPr>
          </w:p>
          <w:p w14:paraId="0521582F" w14:textId="77777777" w:rsidR="004E3242" w:rsidRPr="004E3242" w:rsidRDefault="004E3242" w:rsidP="004E3242">
            <w:pPr>
              <w:jc w:val="center"/>
              <w:rPr>
                <w:rFonts w:ascii="Arial" w:hAnsi="Arial" w:cs="Arial"/>
                <w:sz w:val="16"/>
                <w:szCs w:val="16"/>
                <w:lang w:val="en-US"/>
              </w:rPr>
            </w:pPr>
            <w:r w:rsidRPr="004E3242">
              <w:rPr>
                <w:rFonts w:ascii="Arial" w:hAnsi="Arial" w:cs="Arial"/>
                <w:sz w:val="16"/>
                <w:szCs w:val="16"/>
                <w:lang w:val="en-US"/>
              </w:rPr>
              <w:t>2015-06-30</w:t>
            </w:r>
          </w:p>
          <w:p w14:paraId="6B40AAA2" w14:textId="77777777" w:rsidR="004E3242" w:rsidRPr="004E3242" w:rsidRDefault="004E3242" w:rsidP="004E3242">
            <w:pPr>
              <w:spacing w:after="0" w:line="240" w:lineRule="auto"/>
              <w:jc w:val="center"/>
              <w:rPr>
                <w:rFonts w:ascii="Arial" w:hAnsi="Arial" w:cs="Arial"/>
                <w:sz w:val="16"/>
                <w:szCs w:val="16"/>
                <w:lang w:eastAsia="zh-CN"/>
              </w:rPr>
            </w:pPr>
          </w:p>
        </w:tc>
        <w:tc>
          <w:tcPr>
            <w:tcW w:w="487" w:type="pct"/>
            <w:shd w:val="clear" w:color="auto" w:fill="F2F2F2"/>
            <w:vAlign w:val="center"/>
          </w:tcPr>
          <w:p w14:paraId="2ADF0575" w14:textId="77777777" w:rsidR="004E3242" w:rsidRPr="004E3242" w:rsidRDefault="004E3242" w:rsidP="004E3242">
            <w:pPr>
              <w:spacing w:after="0" w:line="240" w:lineRule="auto"/>
              <w:jc w:val="center"/>
              <w:rPr>
                <w:rFonts w:ascii="Arial" w:hAnsi="Arial" w:cs="Arial"/>
                <w:spacing w:val="4"/>
                <w:sz w:val="16"/>
                <w:szCs w:val="16"/>
              </w:rPr>
            </w:pPr>
            <w:r w:rsidRPr="004E3242">
              <w:rPr>
                <w:rFonts w:ascii="Arial" w:hAnsi="Arial" w:cs="Arial"/>
                <w:spacing w:val="4"/>
                <w:sz w:val="16"/>
                <w:szCs w:val="16"/>
              </w:rPr>
              <w:lastRenderedPageBreak/>
              <w:t>MZ</w:t>
            </w:r>
          </w:p>
          <w:p w14:paraId="48E1360A" w14:textId="77777777" w:rsidR="004E3242" w:rsidRPr="004E3242" w:rsidRDefault="004E3242" w:rsidP="004E3242">
            <w:pPr>
              <w:spacing w:after="0" w:line="240" w:lineRule="auto"/>
              <w:jc w:val="center"/>
              <w:rPr>
                <w:rFonts w:ascii="Arial" w:hAnsi="Arial" w:cs="Arial"/>
                <w:spacing w:val="4"/>
                <w:sz w:val="16"/>
                <w:szCs w:val="16"/>
              </w:rPr>
            </w:pPr>
          </w:p>
          <w:p w14:paraId="02E303FD" w14:textId="77777777" w:rsidR="004E3242" w:rsidRPr="004E3242" w:rsidRDefault="004E3242" w:rsidP="004E3242">
            <w:pPr>
              <w:spacing w:after="0" w:line="240" w:lineRule="auto"/>
              <w:jc w:val="center"/>
              <w:rPr>
                <w:rFonts w:ascii="Arial" w:hAnsi="Arial" w:cs="Arial"/>
                <w:spacing w:val="4"/>
                <w:sz w:val="16"/>
                <w:szCs w:val="16"/>
              </w:rPr>
            </w:pPr>
          </w:p>
          <w:p w14:paraId="5A1CB908" w14:textId="77777777" w:rsidR="004E3242" w:rsidRPr="004E3242" w:rsidRDefault="004E3242" w:rsidP="004E3242">
            <w:pPr>
              <w:spacing w:after="0" w:line="240" w:lineRule="auto"/>
              <w:jc w:val="center"/>
              <w:rPr>
                <w:rFonts w:ascii="Arial" w:hAnsi="Arial" w:cs="Arial"/>
                <w:spacing w:val="4"/>
                <w:sz w:val="16"/>
                <w:szCs w:val="16"/>
              </w:rPr>
            </w:pPr>
          </w:p>
          <w:p w14:paraId="1AF343A0" w14:textId="77777777" w:rsidR="004E3242" w:rsidRPr="004E3242" w:rsidRDefault="004E3242" w:rsidP="004E3242">
            <w:pPr>
              <w:spacing w:after="0" w:line="240" w:lineRule="auto"/>
              <w:jc w:val="center"/>
              <w:rPr>
                <w:rFonts w:ascii="Arial" w:hAnsi="Arial" w:cs="Arial"/>
                <w:spacing w:val="4"/>
                <w:sz w:val="16"/>
                <w:szCs w:val="16"/>
              </w:rPr>
            </w:pPr>
          </w:p>
          <w:p w14:paraId="017601D5" w14:textId="77777777" w:rsidR="004E3242" w:rsidRPr="004E3242" w:rsidRDefault="004E3242" w:rsidP="004E3242">
            <w:pPr>
              <w:spacing w:after="0" w:line="240" w:lineRule="auto"/>
              <w:jc w:val="center"/>
              <w:rPr>
                <w:rFonts w:ascii="Arial" w:hAnsi="Arial" w:cs="Arial"/>
                <w:spacing w:val="4"/>
                <w:sz w:val="16"/>
                <w:szCs w:val="16"/>
              </w:rPr>
            </w:pPr>
            <w:r w:rsidRPr="004E3242">
              <w:rPr>
                <w:rFonts w:ascii="Arial" w:hAnsi="Arial" w:cs="Arial"/>
                <w:spacing w:val="4"/>
                <w:sz w:val="16"/>
                <w:szCs w:val="16"/>
              </w:rPr>
              <w:t>MZ</w:t>
            </w:r>
          </w:p>
          <w:p w14:paraId="2730FE67" w14:textId="77777777" w:rsidR="004E3242" w:rsidRPr="004E3242" w:rsidRDefault="004E3242" w:rsidP="004E3242">
            <w:pPr>
              <w:spacing w:after="0" w:line="240" w:lineRule="auto"/>
              <w:jc w:val="center"/>
              <w:rPr>
                <w:rFonts w:ascii="Arial" w:hAnsi="Arial" w:cs="Arial"/>
                <w:spacing w:val="4"/>
                <w:sz w:val="16"/>
                <w:szCs w:val="16"/>
              </w:rPr>
            </w:pPr>
          </w:p>
          <w:p w14:paraId="1D9C8DD6" w14:textId="77777777" w:rsidR="004E3242" w:rsidRPr="004E3242" w:rsidRDefault="004E3242" w:rsidP="004E3242">
            <w:pPr>
              <w:spacing w:after="0" w:line="240" w:lineRule="auto"/>
              <w:jc w:val="center"/>
              <w:rPr>
                <w:rFonts w:ascii="Arial" w:hAnsi="Arial" w:cs="Arial"/>
                <w:spacing w:val="4"/>
                <w:sz w:val="16"/>
                <w:szCs w:val="16"/>
              </w:rPr>
            </w:pPr>
          </w:p>
          <w:p w14:paraId="19FA169C" w14:textId="77777777" w:rsidR="004E3242" w:rsidRPr="004E3242" w:rsidRDefault="004E3242" w:rsidP="004E3242">
            <w:pPr>
              <w:spacing w:after="0" w:line="240" w:lineRule="auto"/>
              <w:jc w:val="center"/>
              <w:rPr>
                <w:rFonts w:ascii="Arial" w:hAnsi="Arial" w:cs="Arial"/>
                <w:spacing w:val="4"/>
                <w:sz w:val="16"/>
                <w:szCs w:val="16"/>
              </w:rPr>
            </w:pPr>
          </w:p>
          <w:p w14:paraId="2A4221EC" w14:textId="77777777" w:rsidR="004E3242" w:rsidRPr="004E3242" w:rsidRDefault="004E3242" w:rsidP="004E3242">
            <w:pPr>
              <w:spacing w:after="0" w:line="240" w:lineRule="auto"/>
              <w:jc w:val="center"/>
              <w:rPr>
                <w:rFonts w:ascii="Arial" w:hAnsi="Arial" w:cs="Arial"/>
                <w:spacing w:val="4"/>
                <w:sz w:val="16"/>
                <w:szCs w:val="16"/>
              </w:rPr>
            </w:pPr>
          </w:p>
          <w:p w14:paraId="461C2241" w14:textId="77777777" w:rsidR="004E3242" w:rsidRPr="004E3242" w:rsidRDefault="004E3242" w:rsidP="004E3242">
            <w:pPr>
              <w:spacing w:after="0" w:line="240" w:lineRule="auto"/>
              <w:jc w:val="center"/>
              <w:rPr>
                <w:rFonts w:ascii="Arial" w:hAnsi="Arial" w:cs="Arial"/>
                <w:spacing w:val="4"/>
                <w:sz w:val="16"/>
                <w:szCs w:val="16"/>
              </w:rPr>
            </w:pPr>
          </w:p>
          <w:p w14:paraId="405AECB2" w14:textId="77777777" w:rsidR="004E3242" w:rsidRPr="004E3242" w:rsidRDefault="004E3242" w:rsidP="004E3242">
            <w:pPr>
              <w:spacing w:after="0" w:line="240" w:lineRule="auto"/>
              <w:jc w:val="center"/>
              <w:rPr>
                <w:rFonts w:ascii="Arial" w:hAnsi="Arial" w:cs="Arial"/>
                <w:spacing w:val="4"/>
                <w:sz w:val="16"/>
                <w:szCs w:val="16"/>
              </w:rPr>
            </w:pPr>
          </w:p>
          <w:p w14:paraId="7B3738FC" w14:textId="77777777" w:rsidR="004E3242" w:rsidRPr="004E3242" w:rsidRDefault="004E3242" w:rsidP="004E3242">
            <w:pPr>
              <w:spacing w:after="0" w:line="240" w:lineRule="auto"/>
              <w:jc w:val="center"/>
              <w:rPr>
                <w:rFonts w:ascii="Arial" w:hAnsi="Arial" w:cs="Arial"/>
                <w:spacing w:val="4"/>
                <w:sz w:val="16"/>
                <w:szCs w:val="16"/>
              </w:rPr>
            </w:pPr>
          </w:p>
          <w:p w14:paraId="109210F6" w14:textId="77777777" w:rsidR="004E3242" w:rsidRPr="004E3242" w:rsidRDefault="004E3242" w:rsidP="004E3242">
            <w:pPr>
              <w:spacing w:after="0" w:line="240" w:lineRule="auto"/>
              <w:jc w:val="center"/>
              <w:rPr>
                <w:rFonts w:ascii="Arial" w:hAnsi="Arial" w:cs="Arial"/>
                <w:spacing w:val="4"/>
                <w:sz w:val="16"/>
                <w:szCs w:val="16"/>
              </w:rPr>
            </w:pPr>
          </w:p>
          <w:p w14:paraId="4EA1791E" w14:textId="77777777" w:rsidR="004E3242" w:rsidRPr="004E3242" w:rsidRDefault="004E3242" w:rsidP="004E3242">
            <w:pPr>
              <w:spacing w:after="0" w:line="240" w:lineRule="auto"/>
              <w:jc w:val="center"/>
              <w:rPr>
                <w:rFonts w:ascii="Arial" w:hAnsi="Arial" w:cs="Arial"/>
                <w:spacing w:val="4"/>
                <w:sz w:val="16"/>
                <w:szCs w:val="16"/>
              </w:rPr>
            </w:pPr>
          </w:p>
          <w:p w14:paraId="23B0663E" w14:textId="77777777" w:rsidR="004E3242" w:rsidRPr="004E3242" w:rsidRDefault="004E3242" w:rsidP="004E3242">
            <w:pPr>
              <w:spacing w:after="0" w:line="240" w:lineRule="auto"/>
              <w:jc w:val="center"/>
              <w:rPr>
                <w:rFonts w:ascii="Arial" w:hAnsi="Arial" w:cs="Arial"/>
                <w:spacing w:val="4"/>
                <w:sz w:val="16"/>
                <w:szCs w:val="16"/>
              </w:rPr>
            </w:pPr>
          </w:p>
          <w:p w14:paraId="414F130B" w14:textId="77777777" w:rsidR="004E3242" w:rsidRPr="004E3242" w:rsidRDefault="004E3242" w:rsidP="004E3242">
            <w:pPr>
              <w:spacing w:after="0" w:line="240" w:lineRule="auto"/>
              <w:jc w:val="center"/>
              <w:rPr>
                <w:rFonts w:ascii="Arial" w:hAnsi="Arial" w:cs="Arial"/>
                <w:spacing w:val="4"/>
                <w:sz w:val="16"/>
                <w:szCs w:val="16"/>
              </w:rPr>
            </w:pPr>
          </w:p>
          <w:p w14:paraId="119A6185" w14:textId="77777777" w:rsidR="004E3242" w:rsidRPr="004E3242" w:rsidRDefault="004E3242" w:rsidP="004E3242">
            <w:pPr>
              <w:spacing w:after="0" w:line="240" w:lineRule="auto"/>
              <w:jc w:val="center"/>
              <w:rPr>
                <w:rFonts w:ascii="Arial" w:hAnsi="Arial" w:cs="Arial"/>
                <w:spacing w:val="4"/>
                <w:sz w:val="16"/>
                <w:szCs w:val="16"/>
              </w:rPr>
            </w:pPr>
          </w:p>
          <w:p w14:paraId="6A9BDA98" w14:textId="77777777" w:rsidR="004E3242" w:rsidRPr="004E3242" w:rsidRDefault="004E3242" w:rsidP="004E3242">
            <w:pPr>
              <w:spacing w:after="0" w:line="240" w:lineRule="auto"/>
              <w:jc w:val="center"/>
              <w:rPr>
                <w:rFonts w:ascii="Arial" w:hAnsi="Arial" w:cs="Arial"/>
                <w:spacing w:val="4"/>
                <w:sz w:val="16"/>
                <w:szCs w:val="16"/>
              </w:rPr>
            </w:pPr>
            <w:r w:rsidRPr="004E3242">
              <w:rPr>
                <w:rFonts w:ascii="Arial" w:hAnsi="Arial" w:cs="Arial"/>
                <w:spacing w:val="4"/>
                <w:sz w:val="16"/>
                <w:szCs w:val="16"/>
              </w:rPr>
              <w:t>MZ</w:t>
            </w:r>
          </w:p>
          <w:p w14:paraId="781DEAA8" w14:textId="77777777" w:rsidR="004E3242" w:rsidRPr="004E3242" w:rsidRDefault="004E3242" w:rsidP="004E3242">
            <w:pPr>
              <w:spacing w:after="0" w:line="240" w:lineRule="auto"/>
              <w:jc w:val="center"/>
              <w:rPr>
                <w:rFonts w:ascii="Arial" w:hAnsi="Arial" w:cs="Arial"/>
                <w:spacing w:val="4"/>
                <w:sz w:val="16"/>
                <w:szCs w:val="16"/>
              </w:rPr>
            </w:pPr>
          </w:p>
          <w:p w14:paraId="2EC02F63" w14:textId="77777777" w:rsidR="004E3242" w:rsidRPr="004E3242" w:rsidRDefault="004E3242" w:rsidP="004E3242">
            <w:pPr>
              <w:spacing w:after="0" w:line="240" w:lineRule="auto"/>
              <w:jc w:val="center"/>
              <w:rPr>
                <w:rFonts w:ascii="Arial" w:hAnsi="Arial" w:cs="Arial"/>
                <w:spacing w:val="4"/>
                <w:sz w:val="16"/>
                <w:szCs w:val="16"/>
              </w:rPr>
            </w:pPr>
          </w:p>
          <w:p w14:paraId="1DE6A24A" w14:textId="77777777" w:rsidR="004E3242" w:rsidRPr="004E3242" w:rsidRDefault="004E3242" w:rsidP="004E3242">
            <w:pPr>
              <w:spacing w:after="0" w:line="240" w:lineRule="auto"/>
              <w:jc w:val="center"/>
              <w:rPr>
                <w:rFonts w:ascii="Arial" w:hAnsi="Arial" w:cs="Arial"/>
                <w:spacing w:val="4"/>
                <w:sz w:val="16"/>
                <w:szCs w:val="16"/>
              </w:rPr>
            </w:pPr>
          </w:p>
          <w:p w14:paraId="33ECA2A3" w14:textId="77777777" w:rsidR="004E3242" w:rsidRPr="004E3242" w:rsidRDefault="004E3242" w:rsidP="004E3242">
            <w:pPr>
              <w:spacing w:after="0" w:line="240" w:lineRule="auto"/>
              <w:jc w:val="center"/>
              <w:rPr>
                <w:rFonts w:ascii="Arial" w:hAnsi="Arial" w:cs="Arial"/>
                <w:spacing w:val="4"/>
                <w:sz w:val="16"/>
                <w:szCs w:val="16"/>
              </w:rPr>
            </w:pPr>
          </w:p>
          <w:p w14:paraId="18281212" w14:textId="77777777" w:rsidR="004E3242" w:rsidRPr="004E3242" w:rsidRDefault="004E3242" w:rsidP="004E3242">
            <w:pPr>
              <w:spacing w:after="0" w:line="240" w:lineRule="auto"/>
              <w:jc w:val="center"/>
              <w:rPr>
                <w:rFonts w:ascii="Arial" w:hAnsi="Arial" w:cs="Arial"/>
                <w:spacing w:val="4"/>
                <w:sz w:val="16"/>
                <w:szCs w:val="16"/>
              </w:rPr>
            </w:pPr>
          </w:p>
          <w:p w14:paraId="544A019F" w14:textId="77777777" w:rsidR="004E3242" w:rsidRPr="004E3242" w:rsidRDefault="004E3242" w:rsidP="004E3242">
            <w:pPr>
              <w:spacing w:after="0" w:line="240" w:lineRule="auto"/>
              <w:jc w:val="center"/>
              <w:rPr>
                <w:rFonts w:ascii="Arial" w:hAnsi="Arial" w:cs="Arial"/>
                <w:spacing w:val="4"/>
                <w:sz w:val="16"/>
                <w:szCs w:val="16"/>
              </w:rPr>
            </w:pPr>
          </w:p>
          <w:p w14:paraId="362D1CBC" w14:textId="77777777" w:rsidR="004E3242" w:rsidRPr="004E3242" w:rsidRDefault="004E3242" w:rsidP="004E3242">
            <w:pPr>
              <w:spacing w:after="0" w:line="240" w:lineRule="auto"/>
              <w:jc w:val="center"/>
              <w:rPr>
                <w:rFonts w:ascii="Arial" w:hAnsi="Arial" w:cs="Arial"/>
                <w:spacing w:val="4"/>
                <w:sz w:val="16"/>
                <w:szCs w:val="16"/>
              </w:rPr>
            </w:pPr>
          </w:p>
          <w:p w14:paraId="7BB42851" w14:textId="77777777" w:rsidR="004E3242" w:rsidRPr="004E3242" w:rsidRDefault="004E3242" w:rsidP="004E3242">
            <w:pPr>
              <w:spacing w:after="0" w:line="240" w:lineRule="auto"/>
              <w:jc w:val="center"/>
              <w:rPr>
                <w:rFonts w:ascii="Arial" w:hAnsi="Arial" w:cs="Arial"/>
                <w:spacing w:val="4"/>
                <w:sz w:val="16"/>
                <w:szCs w:val="16"/>
              </w:rPr>
            </w:pPr>
          </w:p>
          <w:p w14:paraId="497BAB54" w14:textId="77777777" w:rsidR="004E3242" w:rsidRPr="004E3242" w:rsidRDefault="004E3242" w:rsidP="004E3242">
            <w:pPr>
              <w:spacing w:after="0" w:line="240" w:lineRule="auto"/>
              <w:jc w:val="center"/>
              <w:rPr>
                <w:rFonts w:ascii="Arial" w:hAnsi="Arial" w:cs="Arial"/>
                <w:spacing w:val="4"/>
                <w:sz w:val="16"/>
                <w:szCs w:val="16"/>
              </w:rPr>
            </w:pPr>
            <w:r w:rsidRPr="004E3242">
              <w:rPr>
                <w:rFonts w:ascii="Arial" w:hAnsi="Arial" w:cs="Arial"/>
                <w:spacing w:val="4"/>
                <w:sz w:val="16"/>
                <w:szCs w:val="16"/>
              </w:rPr>
              <w:t>MZ</w:t>
            </w:r>
          </w:p>
          <w:p w14:paraId="286891C1" w14:textId="77777777" w:rsidR="004E3242" w:rsidRPr="004E3242" w:rsidRDefault="004E3242" w:rsidP="004E3242">
            <w:pPr>
              <w:spacing w:after="0" w:line="240" w:lineRule="auto"/>
              <w:jc w:val="center"/>
              <w:rPr>
                <w:rFonts w:ascii="Arial" w:hAnsi="Arial" w:cs="Arial"/>
                <w:spacing w:val="4"/>
                <w:sz w:val="16"/>
                <w:szCs w:val="16"/>
              </w:rPr>
            </w:pPr>
          </w:p>
          <w:p w14:paraId="4EAC6397" w14:textId="77777777" w:rsidR="004E3242" w:rsidRPr="004E3242" w:rsidRDefault="004E3242" w:rsidP="004E3242">
            <w:pPr>
              <w:spacing w:after="0" w:line="240" w:lineRule="auto"/>
              <w:jc w:val="center"/>
              <w:rPr>
                <w:rFonts w:ascii="Arial" w:hAnsi="Arial" w:cs="Arial"/>
                <w:spacing w:val="4"/>
                <w:sz w:val="16"/>
                <w:szCs w:val="16"/>
              </w:rPr>
            </w:pPr>
          </w:p>
          <w:p w14:paraId="467586D3" w14:textId="77777777" w:rsidR="004E3242" w:rsidRPr="004E3242" w:rsidRDefault="004E3242" w:rsidP="004E3242">
            <w:pPr>
              <w:spacing w:after="0" w:line="240" w:lineRule="auto"/>
              <w:jc w:val="center"/>
              <w:rPr>
                <w:rFonts w:ascii="Arial" w:hAnsi="Arial" w:cs="Arial"/>
                <w:spacing w:val="4"/>
                <w:sz w:val="16"/>
                <w:szCs w:val="16"/>
              </w:rPr>
            </w:pPr>
          </w:p>
          <w:p w14:paraId="25C226DE" w14:textId="77777777" w:rsidR="004E3242" w:rsidRPr="004E3242" w:rsidRDefault="004E3242" w:rsidP="004E3242">
            <w:pPr>
              <w:spacing w:after="0" w:line="240" w:lineRule="auto"/>
              <w:jc w:val="center"/>
              <w:rPr>
                <w:rFonts w:ascii="Arial" w:hAnsi="Arial" w:cs="Arial"/>
                <w:spacing w:val="4"/>
                <w:sz w:val="16"/>
                <w:szCs w:val="16"/>
              </w:rPr>
            </w:pPr>
          </w:p>
          <w:p w14:paraId="2459E0CD" w14:textId="77777777" w:rsidR="004E3242" w:rsidRPr="004E3242" w:rsidRDefault="004E3242" w:rsidP="004E3242">
            <w:pPr>
              <w:spacing w:after="0" w:line="240" w:lineRule="auto"/>
              <w:jc w:val="center"/>
              <w:rPr>
                <w:rFonts w:ascii="Arial" w:hAnsi="Arial" w:cs="Arial"/>
                <w:spacing w:val="4"/>
                <w:sz w:val="16"/>
                <w:szCs w:val="16"/>
              </w:rPr>
            </w:pPr>
          </w:p>
          <w:p w14:paraId="2711DD42" w14:textId="77777777" w:rsidR="004E3242" w:rsidRPr="004E3242" w:rsidRDefault="004E3242" w:rsidP="004E3242">
            <w:pPr>
              <w:spacing w:after="0" w:line="240" w:lineRule="auto"/>
              <w:jc w:val="center"/>
              <w:rPr>
                <w:rFonts w:ascii="Arial" w:hAnsi="Arial" w:cs="Arial"/>
                <w:spacing w:val="4"/>
                <w:sz w:val="16"/>
                <w:szCs w:val="16"/>
              </w:rPr>
            </w:pPr>
          </w:p>
          <w:p w14:paraId="7361FD12" w14:textId="77777777" w:rsidR="004E3242" w:rsidRPr="004E3242" w:rsidRDefault="004E3242" w:rsidP="004E3242">
            <w:pPr>
              <w:spacing w:after="0" w:line="240" w:lineRule="auto"/>
              <w:jc w:val="center"/>
              <w:rPr>
                <w:rFonts w:ascii="Arial" w:hAnsi="Arial" w:cs="Arial"/>
                <w:spacing w:val="4"/>
                <w:sz w:val="16"/>
                <w:szCs w:val="16"/>
              </w:rPr>
            </w:pPr>
          </w:p>
          <w:p w14:paraId="1136A26A" w14:textId="77777777" w:rsidR="004E3242" w:rsidRPr="004E3242" w:rsidRDefault="004E3242" w:rsidP="004E3242">
            <w:pPr>
              <w:spacing w:after="0" w:line="240" w:lineRule="auto"/>
              <w:jc w:val="center"/>
              <w:rPr>
                <w:rFonts w:ascii="Arial" w:hAnsi="Arial" w:cs="Arial"/>
                <w:spacing w:val="4"/>
                <w:sz w:val="16"/>
                <w:szCs w:val="16"/>
              </w:rPr>
            </w:pPr>
          </w:p>
          <w:p w14:paraId="78016E2F" w14:textId="77777777" w:rsidR="004E3242" w:rsidRPr="004E3242" w:rsidRDefault="004E3242" w:rsidP="004E3242">
            <w:pPr>
              <w:spacing w:after="0" w:line="240" w:lineRule="auto"/>
              <w:jc w:val="center"/>
              <w:rPr>
                <w:rFonts w:ascii="Arial" w:hAnsi="Arial" w:cs="Arial"/>
                <w:spacing w:val="4"/>
                <w:sz w:val="16"/>
                <w:szCs w:val="16"/>
              </w:rPr>
            </w:pPr>
          </w:p>
          <w:p w14:paraId="69ECEB52" w14:textId="77777777" w:rsidR="004E3242" w:rsidRPr="004E3242" w:rsidRDefault="004E3242" w:rsidP="004E3242">
            <w:pPr>
              <w:spacing w:after="0" w:line="240" w:lineRule="auto"/>
              <w:jc w:val="center"/>
              <w:rPr>
                <w:rFonts w:ascii="Arial" w:hAnsi="Arial" w:cs="Arial"/>
                <w:spacing w:val="4"/>
                <w:sz w:val="16"/>
                <w:szCs w:val="16"/>
              </w:rPr>
            </w:pPr>
          </w:p>
          <w:p w14:paraId="410C9882" w14:textId="77777777" w:rsidR="004E3242" w:rsidRPr="004E3242" w:rsidRDefault="004E3242" w:rsidP="004E3242">
            <w:pPr>
              <w:spacing w:after="0" w:line="240" w:lineRule="auto"/>
              <w:jc w:val="center"/>
              <w:rPr>
                <w:rFonts w:ascii="Arial" w:hAnsi="Arial" w:cs="Arial"/>
                <w:spacing w:val="4"/>
                <w:sz w:val="16"/>
                <w:szCs w:val="16"/>
              </w:rPr>
            </w:pPr>
          </w:p>
          <w:p w14:paraId="1B438666" w14:textId="77777777" w:rsidR="004E3242" w:rsidRPr="004E3242" w:rsidRDefault="004E3242" w:rsidP="004E3242">
            <w:pPr>
              <w:spacing w:after="0" w:line="240" w:lineRule="auto"/>
              <w:jc w:val="center"/>
              <w:rPr>
                <w:rFonts w:ascii="Arial" w:hAnsi="Arial" w:cs="Arial"/>
                <w:spacing w:val="4"/>
                <w:sz w:val="16"/>
                <w:szCs w:val="16"/>
              </w:rPr>
            </w:pPr>
          </w:p>
          <w:p w14:paraId="0887C25D" w14:textId="77777777" w:rsidR="004E3242" w:rsidRPr="004E3242" w:rsidRDefault="004E3242" w:rsidP="004E3242">
            <w:pPr>
              <w:spacing w:after="0" w:line="240" w:lineRule="auto"/>
              <w:jc w:val="center"/>
              <w:rPr>
                <w:rFonts w:ascii="Arial" w:hAnsi="Arial" w:cs="Arial"/>
                <w:spacing w:val="4"/>
                <w:sz w:val="16"/>
                <w:szCs w:val="16"/>
              </w:rPr>
            </w:pPr>
          </w:p>
          <w:p w14:paraId="5B380BF3" w14:textId="77777777" w:rsidR="004E3242" w:rsidRPr="004E3242" w:rsidRDefault="004E3242" w:rsidP="004E3242">
            <w:pPr>
              <w:spacing w:after="0" w:line="240" w:lineRule="auto"/>
              <w:jc w:val="center"/>
              <w:rPr>
                <w:rFonts w:ascii="Arial" w:hAnsi="Arial" w:cs="Arial"/>
                <w:spacing w:val="4"/>
                <w:sz w:val="16"/>
                <w:szCs w:val="16"/>
              </w:rPr>
            </w:pPr>
          </w:p>
          <w:p w14:paraId="102F62E4" w14:textId="77777777" w:rsidR="004E3242" w:rsidRPr="004E3242" w:rsidRDefault="004E3242" w:rsidP="004E3242">
            <w:pPr>
              <w:spacing w:after="0" w:line="240" w:lineRule="auto"/>
              <w:jc w:val="center"/>
              <w:rPr>
                <w:rFonts w:ascii="Arial" w:hAnsi="Arial" w:cs="Arial"/>
                <w:spacing w:val="4"/>
                <w:sz w:val="16"/>
                <w:szCs w:val="16"/>
              </w:rPr>
            </w:pPr>
            <w:r w:rsidRPr="004E3242">
              <w:rPr>
                <w:rFonts w:ascii="Arial" w:hAnsi="Arial" w:cs="Arial"/>
                <w:spacing w:val="4"/>
                <w:sz w:val="16"/>
                <w:szCs w:val="16"/>
              </w:rPr>
              <w:t>MZ</w:t>
            </w:r>
          </w:p>
        </w:tc>
      </w:tr>
    </w:tbl>
    <w:p w14:paraId="3D7EC712" w14:textId="77777777" w:rsidR="004E3242" w:rsidRPr="004E3242" w:rsidRDefault="004E3242" w:rsidP="004E3242">
      <w:pPr>
        <w:spacing w:after="120" w:line="280" w:lineRule="atLeast"/>
        <w:rPr>
          <w:rFonts w:ascii="Arial" w:hAnsi="Arial" w:cs="Arial"/>
          <w:b/>
          <w:spacing w:val="4"/>
          <w:sz w:val="20"/>
          <w:szCs w:val="20"/>
        </w:rPr>
        <w:sectPr w:rsidR="004E3242" w:rsidRPr="004E3242" w:rsidSect="00C73ABE">
          <w:pgSz w:w="16838" w:h="11906" w:orient="landscape"/>
          <w:pgMar w:top="1418" w:right="851" w:bottom="1418" w:left="851" w:header="709" w:footer="709" w:gutter="0"/>
          <w:cols w:space="708"/>
          <w:titlePg/>
          <w:docGrid w:linePitch="360"/>
        </w:sectPr>
      </w:pPr>
    </w:p>
    <w:p w14:paraId="43A7D129"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hAnsi="Arial" w:cs="Arial"/>
          <w:bCs/>
          <w:smallCaps/>
          <w:color w:val="000000"/>
          <w:spacing w:val="4"/>
          <w:sz w:val="20"/>
          <w:szCs w:val="20"/>
          <w:lang w:eastAsia="pl-PL"/>
        </w:rPr>
      </w:pPr>
      <w:bookmarkStart w:id="731" w:name="_Toc373503614"/>
      <w:bookmarkStart w:id="732" w:name="_Toc373767526"/>
      <w:bookmarkStart w:id="733" w:name="_Toc373769078"/>
      <w:bookmarkStart w:id="734" w:name="_Toc373769396"/>
      <w:bookmarkStart w:id="735" w:name="_Toc83810597"/>
      <w:bookmarkEnd w:id="731"/>
      <w:bookmarkEnd w:id="732"/>
      <w:bookmarkEnd w:id="733"/>
      <w:bookmarkEnd w:id="734"/>
      <w:r w:rsidRPr="004E3242">
        <w:rPr>
          <w:rFonts w:ascii="Arial" w:eastAsia="Times New Roman" w:hAnsi="Arial"/>
          <w:bCs/>
          <w:smallCaps/>
          <w:color w:val="000000"/>
          <w:spacing w:val="15"/>
          <w:sz w:val="28"/>
          <w:lang w:eastAsia="pl-PL"/>
        </w:rPr>
        <w:lastRenderedPageBreak/>
        <w:t>Zmniejszenie obciążeń administracyjnych dla beneficjentów</w:t>
      </w:r>
      <w:bookmarkEnd w:id="735"/>
    </w:p>
    <w:p w14:paraId="180FE0A6" w14:textId="77777777" w:rsidR="004E3242" w:rsidRPr="004E3242" w:rsidRDefault="004E3242" w:rsidP="004E3242">
      <w:pPr>
        <w:spacing w:after="120"/>
        <w:jc w:val="both"/>
        <w:rPr>
          <w:rFonts w:ascii="Arial" w:eastAsia="Times New Roman" w:hAnsi="Arial" w:cs="Arial"/>
          <w:sz w:val="20"/>
          <w:szCs w:val="20"/>
          <w:lang w:eastAsia="pl-PL"/>
        </w:rPr>
      </w:pPr>
      <w:bookmarkStart w:id="736" w:name="_Toc394314820"/>
      <w:bookmarkEnd w:id="611"/>
      <w:bookmarkEnd w:id="612"/>
      <w:r w:rsidRPr="004E3242">
        <w:rPr>
          <w:rFonts w:ascii="Arial" w:eastAsia="Times New Roman" w:hAnsi="Arial" w:cs="Arial"/>
          <w:b/>
          <w:bCs/>
          <w:i/>
          <w:iCs/>
          <w:sz w:val="20"/>
          <w:szCs w:val="20"/>
          <w:lang w:eastAsia="pl-PL"/>
        </w:rPr>
        <w:t>Ocena i opis zdolności administracyjnej</w:t>
      </w:r>
    </w:p>
    <w:p w14:paraId="3429F01C"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Biorąc pod uwagę doświadczenia z lat 2004-2006 i 2007-2013, w tym mechanizmy współpracy z beneficjentami, zachowano z niewielkimi wyjątkami dotychczasowy kształt instytucjonalny systemu zarządzania i kontroli. Zrezygnowano z powoływania instytucji wdrażających w sektorach o relatywnie mniejszej alokacji (kultura, zdrowie), gdzie nie potwierdziła się konieczność utrzymywania trójszczeblowego systemu zarządzania i kontroli.</w:t>
      </w:r>
    </w:p>
    <w:p w14:paraId="47ED37A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Zaangażowanie doświadczonych instytucji wynika z pozytywnej oceny realizowanych przez nie zadań, zdobytych doświadczeń, a także wartościowego potencjału administracyjnego. Dalszy rozwój tego potencjału będzie wspierany w ramach pomocy technicznej, m.in. w celu zapewnienia stabilności zatrudnienia oraz stałego podnoszenia kwalifikacji kadr. Nadrzędnym celem jest skuteczne wdrażanie programu, a ponadto wypracowanie najmniej uciążliwych dla beneficjentów procedur.</w:t>
      </w:r>
    </w:p>
    <w:p w14:paraId="727D584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Zachowanie dotychczasowego kształtu instytucjonalnego powinno usprawnić uzyskanie desygnacji </w:t>
      </w:r>
      <w:r w:rsidRPr="004E3242">
        <w:rPr>
          <w:rFonts w:ascii="Arial" w:eastAsia="Times New Roman" w:hAnsi="Arial" w:cs="Arial"/>
          <w:sz w:val="20"/>
          <w:szCs w:val="20"/>
          <w:lang w:eastAsia="pl-PL"/>
        </w:rPr>
        <w:br/>
        <w:t>i szybkie osiągnięcie zdolności do realizacji nowych zadań, w szczególności w obszarze rozliczania wydatków. Oczekiwanym rezultatem przyjęcia przez IZ funkcji IC powinno być przyspieszenie procedur certyfikacyjnych, przy jednoczesnej optymalizacji zaangażowanych zasobów.</w:t>
      </w:r>
    </w:p>
    <w:p w14:paraId="4DAFE49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celu ujednolicenia podejścia do zagadnień we wdrażaniu programu wydawane będą przez IZ wytyczne i zalecenia (np. w zakresie kwalifikowalności wydatków, kontroli, obiegu środków finansowych, wykrywania oszustw, korygowania wydatków). Współpraca pomiędzy instytucjami odbywać się będzie m.in. w ramach Komitetu Monitorującego, grup roboczych, konferencji, informatycznej bazy wiedzy. Angażowanie partnerów spoza administracji publicznej w procesy monitorowania realizacji programu, poprzez udział w pracach KM POIŚ, usprawni system jego wdrażania.</w:t>
      </w:r>
    </w:p>
    <w:p w14:paraId="6FE093F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Systematyczna analiza danych oraz badania ewaluacyjne w zakresie zdolności instytucjonalnych pozwolą na adekwatne zmiany w celu poprawy zasobów i wydajności instytucji.</w:t>
      </w:r>
    </w:p>
    <w:p w14:paraId="1599969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Procedury instytucji będą uwzględniały obszar zapobiegania i przeciwdziałania oszustwom, zgodnie </w:t>
      </w:r>
      <w:r w:rsidRPr="004E3242">
        <w:rPr>
          <w:rFonts w:ascii="Arial" w:eastAsia="Times New Roman" w:hAnsi="Arial" w:cs="Arial"/>
          <w:sz w:val="20"/>
          <w:szCs w:val="20"/>
          <w:lang w:eastAsia="pl-PL"/>
        </w:rPr>
        <w:br/>
        <w:t xml:space="preserve">z wymaganiami </w:t>
      </w:r>
      <w:proofErr w:type="spellStart"/>
      <w:r w:rsidRPr="004E3242">
        <w:rPr>
          <w:rFonts w:ascii="Arial" w:eastAsia="Times New Roman" w:hAnsi="Arial" w:cs="Arial"/>
          <w:sz w:val="20"/>
          <w:szCs w:val="20"/>
          <w:lang w:eastAsia="pl-PL"/>
        </w:rPr>
        <w:t>rozp</w:t>
      </w:r>
      <w:proofErr w:type="spellEnd"/>
      <w:r w:rsidRPr="004E3242">
        <w:rPr>
          <w:rFonts w:ascii="Arial" w:eastAsia="Times New Roman" w:hAnsi="Arial" w:cs="Arial"/>
          <w:sz w:val="20"/>
          <w:szCs w:val="20"/>
          <w:lang w:eastAsia="pl-PL"/>
        </w:rPr>
        <w:t>. 1303/2013 oraz zgodnie z przygotowaną przez IZ POIŚ strategią ukierunkowaną na zapobieganie, wykrywanie, korygowanie i raportowanie oszustw. Procedury te będą również obejmowały analizę ryzyka mającą na celu przeciwdziałanie oszustwom (m.in. zmowom przetargowym). Przedmiotowa analiza ryzyka będzie przeprowadzana corocznie, a jej wyniki zostaną wykorzystane m.in. przy sporządzaniu rocznych planów kontroli oraz posłużą do wprowadzania usprawnień systemowych.</w:t>
      </w:r>
    </w:p>
    <w:p w14:paraId="4033F94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Identyfikacja ryzyka zmów przetargowych i innych potencjalnych naruszeń prawa, które mogą wystąpić w procesie realizacji postępowań o udzielenie zamówienia publicznego będzie wzmocniona poprzez analizę wyników kontroli Prezesa UZP oraz kontrole </w:t>
      </w:r>
      <w:r w:rsidRPr="004E3242">
        <w:rPr>
          <w:rFonts w:ascii="Arial" w:eastAsia="Times New Roman" w:hAnsi="Arial" w:cs="Arial"/>
          <w:i/>
          <w:iCs/>
          <w:sz w:val="20"/>
          <w:szCs w:val="20"/>
          <w:lang w:eastAsia="pl-PL"/>
        </w:rPr>
        <w:t>ex-</w:t>
      </w:r>
      <w:proofErr w:type="spellStart"/>
      <w:r w:rsidRPr="004E3242">
        <w:rPr>
          <w:rFonts w:ascii="Arial" w:eastAsia="Times New Roman" w:hAnsi="Arial" w:cs="Arial"/>
          <w:i/>
          <w:iCs/>
          <w:sz w:val="20"/>
          <w:szCs w:val="20"/>
          <w:lang w:eastAsia="pl-PL"/>
        </w:rPr>
        <w:t>ante</w:t>
      </w:r>
      <w:proofErr w:type="spellEnd"/>
      <w:r w:rsidRPr="004E3242">
        <w:rPr>
          <w:rFonts w:ascii="Arial" w:eastAsia="Times New Roman" w:hAnsi="Arial" w:cs="Arial"/>
          <w:sz w:val="20"/>
          <w:szCs w:val="20"/>
          <w:lang w:eastAsia="pl-PL"/>
        </w:rPr>
        <w:t>.</w:t>
      </w:r>
    </w:p>
    <w:p w14:paraId="24EDDB8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IZ zintensyfikuje współpracę z organami ścigania karnego oraz z urzędami centralnymi (m.in. z UOKiK i UZP). Ponadto realizowane będą szkolenia w dziedzinie zwalczania korupcji, zwłaszcza w obszarze udzielania zamówień publicznych.</w:t>
      </w:r>
    </w:p>
    <w:p w14:paraId="540B844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w:t>
      </w:r>
    </w:p>
    <w:p w14:paraId="58DDDD5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Ocena i przedsięwzięcia zmniejszające obciążenia administracyjne</w:t>
      </w:r>
    </w:p>
    <w:p w14:paraId="5281857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perspektywie 2007-2013, w ramach działającego przy Ministrze Rozwoju Regionalnego </w:t>
      </w:r>
      <w:r w:rsidRPr="004E3242">
        <w:rPr>
          <w:rFonts w:ascii="Arial" w:eastAsia="Times New Roman" w:hAnsi="Arial" w:cs="Arial"/>
          <w:i/>
          <w:iCs/>
          <w:sz w:val="20"/>
          <w:szCs w:val="20"/>
          <w:lang w:eastAsia="pl-PL"/>
        </w:rPr>
        <w:t>Zespołu do spraw uproszczeń systemu wykorzystania środków funduszy Unii Europejskiej</w:t>
      </w:r>
      <w:r w:rsidRPr="004E3242">
        <w:rPr>
          <w:rFonts w:ascii="Arial" w:eastAsia="Times New Roman" w:hAnsi="Arial" w:cs="Arial"/>
          <w:sz w:val="20"/>
          <w:szCs w:val="20"/>
          <w:lang w:eastAsia="pl-PL"/>
        </w:rPr>
        <w:t xml:space="preserve">, badano indywidualne </w:t>
      </w:r>
      <w:r w:rsidRPr="004E3242">
        <w:rPr>
          <w:rFonts w:ascii="Arial" w:eastAsia="Times New Roman" w:hAnsi="Arial" w:cs="Arial"/>
          <w:sz w:val="20"/>
          <w:szCs w:val="20"/>
          <w:lang w:eastAsia="pl-PL"/>
        </w:rPr>
        <w:br/>
        <w:t>i systemowe przypadki nadmiernej komplikacji procedur, w tym kwestię dostępu do środków funduszy UE oraz ich rozliczanie.</w:t>
      </w:r>
    </w:p>
    <w:p w14:paraId="4DE9C972"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lastRenderedPageBreak/>
        <w:t>W efekcie w ramach POIŚ 2007-2013 podjęto działania korzystne dla beneficjentów, które przyczyniły się m.in. do:</w:t>
      </w:r>
    </w:p>
    <w:p w14:paraId="1CE2027E" w14:textId="77777777" w:rsidR="004E3242" w:rsidRPr="004E3242" w:rsidRDefault="004E3242" w:rsidP="00D20217">
      <w:pPr>
        <w:numPr>
          <w:ilvl w:val="0"/>
          <w:numId w:val="7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uniknięcia odrzucania wniosków o dofinansowanie z czysto technicznych powodów;</w:t>
      </w:r>
    </w:p>
    <w:p w14:paraId="25865AB7" w14:textId="77777777" w:rsidR="004E3242" w:rsidRPr="004E3242" w:rsidRDefault="004E3242" w:rsidP="00D20217">
      <w:pPr>
        <w:numPr>
          <w:ilvl w:val="0"/>
          <w:numId w:val="7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uniknięcia błędów wnioskodawców i ułatwienia wnioskowania o środki;</w:t>
      </w:r>
    </w:p>
    <w:p w14:paraId="2E52E823" w14:textId="77777777" w:rsidR="004E3242" w:rsidRPr="004E3242" w:rsidRDefault="004E3242" w:rsidP="00D20217">
      <w:pPr>
        <w:numPr>
          <w:ilvl w:val="0"/>
          <w:numId w:val="7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przyspieszenia podjęcia decyzji o przyznaniu dofinansowania;</w:t>
      </w:r>
    </w:p>
    <w:p w14:paraId="3DA04F65" w14:textId="77777777" w:rsidR="004E3242" w:rsidRPr="004E3242" w:rsidRDefault="004E3242" w:rsidP="00D20217">
      <w:pPr>
        <w:numPr>
          <w:ilvl w:val="0"/>
          <w:numId w:val="7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skrócenia terminu zatwierdzania wniosków o płatność;</w:t>
      </w:r>
    </w:p>
    <w:p w14:paraId="4A12B6E0" w14:textId="77777777" w:rsidR="004E3242" w:rsidRPr="004E3242" w:rsidRDefault="004E3242" w:rsidP="00D20217">
      <w:pPr>
        <w:numPr>
          <w:ilvl w:val="0"/>
          <w:numId w:val="78"/>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zmniejszenia obciążenia kontrolami.</w:t>
      </w:r>
    </w:p>
    <w:p w14:paraId="4AFE796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u w:val="single"/>
          <w:lang w:eastAsia="pl-PL"/>
        </w:rPr>
        <w:t>Planowane działania na rzecz zmniejszenia obciążeń administracyjnych  beneficjentów</w:t>
      </w:r>
    </w:p>
    <w:p w14:paraId="1F844FF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ramach POIŚ planuje się optymalizację obciążeń administracyjnych beneficjentów m.in. w ramach pozytywnych rozwiązań w POIŚ 2007-2013. Ze względu na zmieniający się kontekst formalno-prawny oraz nowe regulacje UE, w niektórych obszarach konieczne będą zmiany w celu dostosowania do nowych wymogów. Na przykład nowy system rozliczeń rocznych między państwem członkowskim </w:t>
      </w:r>
      <w:r w:rsidRPr="004E3242">
        <w:rPr>
          <w:rFonts w:ascii="Arial" w:eastAsia="Times New Roman" w:hAnsi="Arial" w:cs="Arial"/>
          <w:sz w:val="20"/>
          <w:szCs w:val="20"/>
          <w:lang w:eastAsia="pl-PL"/>
        </w:rPr>
        <w:br/>
        <w:t>a KE niesie za sobą konieczność różnego typu kontroli na poziomie krajowym, na wczesnych etapach realizacji projektu. Nowe działania projektowane będą w taki sposób, by miały neutralny wpływ na obciążenia beneficjentów.</w:t>
      </w:r>
    </w:p>
    <w:p w14:paraId="31FB9D2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lang w:eastAsia="pl-PL"/>
        </w:rPr>
        <w:t>Ocena wniosków o dofinansowanie</w:t>
      </w:r>
      <w:r w:rsidRPr="004E3242">
        <w:rPr>
          <w:rFonts w:ascii="Arial" w:eastAsia="Times New Roman" w:hAnsi="Arial" w:cs="Arial"/>
          <w:sz w:val="20"/>
          <w:szCs w:val="20"/>
          <w:lang w:eastAsia="pl-PL"/>
        </w:rPr>
        <w:t xml:space="preserve"> będzie ograniczona do kryteriów przyjętych przez Komitet Monitorujący. Kryteria będą precyzyjnie formułowane, tak by beneficjenci posiadali pełną informację </w:t>
      </w:r>
      <w:r w:rsidRPr="004E3242">
        <w:rPr>
          <w:rFonts w:ascii="Arial" w:eastAsia="Times New Roman" w:hAnsi="Arial" w:cs="Arial"/>
          <w:sz w:val="20"/>
          <w:szCs w:val="20"/>
          <w:lang w:eastAsia="pl-PL"/>
        </w:rPr>
        <w:br/>
        <w:t>o zakresie informacji podlegających ocenie.</w:t>
      </w:r>
    </w:p>
    <w:p w14:paraId="1CC7C6E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Zakłada się wsparcie weryfikacji i doradztwa dla projektów o charakterze strategicznym oraz  wzmocnienie potencjału administracyjnego kluczowych beneficjentów w sektorze transportu drogowego i kolejowego, tj. GDDKiA i PKP PLK S.A.</w:t>
      </w:r>
    </w:p>
    <w:p w14:paraId="3725F2B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i/>
          <w:iCs/>
          <w:sz w:val="20"/>
          <w:szCs w:val="20"/>
          <w:lang w:eastAsia="pl-PL"/>
        </w:rPr>
        <w:t>W zakresie finansowania projektu</w:t>
      </w:r>
      <w:r w:rsidRPr="004E3242">
        <w:rPr>
          <w:rFonts w:ascii="Arial" w:eastAsia="Times New Roman" w:hAnsi="Arial" w:cs="Arial"/>
          <w:b/>
          <w:bCs/>
          <w:sz w:val="20"/>
          <w:szCs w:val="20"/>
          <w:lang w:eastAsia="pl-PL"/>
        </w:rPr>
        <w:t xml:space="preserve"> </w:t>
      </w:r>
      <w:r w:rsidRPr="004E3242">
        <w:rPr>
          <w:rFonts w:ascii="Arial" w:eastAsia="Times New Roman" w:hAnsi="Arial" w:cs="Arial"/>
          <w:sz w:val="20"/>
          <w:szCs w:val="20"/>
          <w:lang w:eastAsia="pl-PL"/>
        </w:rPr>
        <w:t>planuje się wykorzystanie rozwiązań z lat 2007-2013, które dotyczyły m.in.:</w:t>
      </w:r>
    </w:p>
    <w:p w14:paraId="45DE3BAA" w14:textId="77777777" w:rsidR="004E3242" w:rsidRPr="004E3242" w:rsidRDefault="004E3242" w:rsidP="00D20217">
      <w:pPr>
        <w:numPr>
          <w:ilvl w:val="0"/>
          <w:numId w:val="79"/>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systemu płatności zaliczkowych;</w:t>
      </w:r>
    </w:p>
    <w:p w14:paraId="79A3BE06" w14:textId="77777777" w:rsidR="004E3242" w:rsidRPr="004E3242" w:rsidRDefault="004E3242" w:rsidP="00D20217">
      <w:pPr>
        <w:numPr>
          <w:ilvl w:val="0"/>
          <w:numId w:val="79"/>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tymczasowych </w:t>
      </w:r>
      <w:proofErr w:type="spellStart"/>
      <w:r w:rsidRPr="004E3242">
        <w:rPr>
          <w:rFonts w:ascii="Arial" w:eastAsia="Times New Roman" w:hAnsi="Arial" w:cs="Arial"/>
          <w:sz w:val="20"/>
          <w:szCs w:val="20"/>
          <w:lang w:eastAsia="pl-PL"/>
        </w:rPr>
        <w:t>wyłączeń</w:t>
      </w:r>
      <w:proofErr w:type="spellEnd"/>
      <w:r w:rsidRPr="004E3242">
        <w:rPr>
          <w:rFonts w:ascii="Arial" w:eastAsia="Times New Roman" w:hAnsi="Arial" w:cs="Arial"/>
          <w:sz w:val="20"/>
          <w:szCs w:val="20"/>
          <w:lang w:eastAsia="pl-PL"/>
        </w:rPr>
        <w:t xml:space="preserve"> wydatków wątpliwych z wniosków beneficjentów o płatność oraz ich ujmowania we wniosku o płatność do KE, po wyjaśnieniu sprawy bez konieczności ponownego składania wniosku o płatność przez beneficjenta (zgodnie z art. 137 ust. 2 rozporządzenia 1303/2013);</w:t>
      </w:r>
    </w:p>
    <w:p w14:paraId="19BDE125" w14:textId="77777777" w:rsidR="004E3242" w:rsidRPr="004E3242" w:rsidRDefault="004E3242" w:rsidP="00D20217">
      <w:pPr>
        <w:numPr>
          <w:ilvl w:val="0"/>
          <w:numId w:val="79"/>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uproszczenia opisów faktur poprzez redukcję ilości danych;</w:t>
      </w:r>
    </w:p>
    <w:p w14:paraId="247310C0" w14:textId="77777777" w:rsidR="004E3242" w:rsidRPr="004E3242" w:rsidRDefault="004E3242" w:rsidP="00D20217">
      <w:pPr>
        <w:numPr>
          <w:ilvl w:val="0"/>
          <w:numId w:val="79"/>
        </w:num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uproszczenia części sprawozdawczej we wniosku o płatność.</w:t>
      </w:r>
    </w:p>
    <w:p w14:paraId="6D56541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Zakłada się większą efektywność w obszarze </w:t>
      </w:r>
      <w:r w:rsidRPr="004E3242">
        <w:rPr>
          <w:rFonts w:ascii="Arial" w:eastAsia="Times New Roman" w:hAnsi="Arial" w:cs="Arial"/>
          <w:i/>
          <w:iCs/>
          <w:sz w:val="20"/>
          <w:szCs w:val="20"/>
          <w:lang w:eastAsia="pl-PL"/>
        </w:rPr>
        <w:t>kontroli</w:t>
      </w:r>
      <w:r w:rsidRPr="004E3242">
        <w:rPr>
          <w:rFonts w:ascii="Arial" w:eastAsia="Times New Roman" w:hAnsi="Arial" w:cs="Arial"/>
          <w:b/>
          <w:bCs/>
          <w:sz w:val="20"/>
          <w:szCs w:val="20"/>
          <w:lang w:eastAsia="pl-PL"/>
        </w:rPr>
        <w:t>,</w:t>
      </w:r>
      <w:r w:rsidRPr="004E3242">
        <w:rPr>
          <w:rFonts w:ascii="Arial" w:eastAsia="Times New Roman" w:hAnsi="Arial" w:cs="Arial"/>
          <w:sz w:val="20"/>
          <w:szCs w:val="20"/>
          <w:lang w:eastAsia="pl-PL"/>
        </w:rPr>
        <w:t xml:space="preserve"> przy jednoczesnej redukcji obciążeń beneficjentów w tym procesie. Podczas kontroli na miejscu nie będą dublowane czynności, które zostały przeprowadzone w tym samym zakresie na innych etapach weryfikacji projektu. Planuje się większe wykorzystanie dokumentów w formie elektronicznej.</w:t>
      </w:r>
    </w:p>
    <w:p w14:paraId="23E4D4FE"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Przebudowa krajowego systemu informatycznego, w ramach</w:t>
      </w:r>
      <w:r w:rsidRPr="004E3242">
        <w:rPr>
          <w:rFonts w:ascii="Arial" w:eastAsia="Times New Roman" w:hAnsi="Arial" w:cs="Arial"/>
          <w:i/>
          <w:iCs/>
          <w:sz w:val="20"/>
          <w:szCs w:val="20"/>
          <w:lang w:eastAsia="pl-PL"/>
        </w:rPr>
        <w:t xml:space="preserve"> e-</w:t>
      </w:r>
      <w:proofErr w:type="spellStart"/>
      <w:r w:rsidRPr="004E3242">
        <w:rPr>
          <w:rFonts w:ascii="Arial" w:eastAsia="Times New Roman" w:hAnsi="Arial" w:cs="Arial"/>
          <w:i/>
          <w:iCs/>
          <w:sz w:val="20"/>
          <w:szCs w:val="20"/>
          <w:lang w:eastAsia="pl-PL"/>
        </w:rPr>
        <w:t>cohesion</w:t>
      </w:r>
      <w:proofErr w:type="spellEnd"/>
      <w:r w:rsidRPr="004E3242">
        <w:rPr>
          <w:rFonts w:ascii="Arial" w:eastAsia="Times New Roman" w:hAnsi="Arial" w:cs="Arial"/>
          <w:sz w:val="20"/>
          <w:szCs w:val="20"/>
          <w:lang w:eastAsia="pl-PL"/>
        </w:rPr>
        <w:t>, zminimalizuje liczbę dokumentów papierowych oraz umożliwi beneficjentom kontakty z instytucjami za pośrednictwem elektronicznych metod wymiany danych.</w:t>
      </w:r>
    </w:p>
    <w:p w14:paraId="1CCBD7A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Działania instytucji będą koncentrowały się również na zapewnieniu beneficjentom dostępu do </w:t>
      </w:r>
      <w:r w:rsidRPr="004E3242">
        <w:rPr>
          <w:rFonts w:ascii="Arial" w:eastAsia="Times New Roman" w:hAnsi="Arial" w:cs="Arial"/>
          <w:i/>
          <w:iCs/>
          <w:sz w:val="20"/>
          <w:szCs w:val="20"/>
          <w:lang w:eastAsia="pl-PL"/>
        </w:rPr>
        <w:t>kompleksowej i aktualnej informacji</w:t>
      </w:r>
      <w:r w:rsidRPr="004E3242">
        <w:rPr>
          <w:rFonts w:ascii="Arial" w:eastAsia="Times New Roman" w:hAnsi="Arial" w:cs="Arial"/>
          <w:sz w:val="20"/>
          <w:szCs w:val="20"/>
          <w:lang w:eastAsia="pl-PL"/>
        </w:rPr>
        <w:t xml:space="preserve"> na temat pozyskania i rozliczenia dofinansowania, m.in. poprzez publikację podręczników oraz wykorzystanie komunikacji elektronicznej (portal internetowy).</w:t>
      </w:r>
    </w:p>
    <w:p w14:paraId="531C470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Część z powyższych wniosków wynika z badań ewaluacyjnych i ekspertyz wykonanych przez IZ, </w:t>
      </w:r>
      <w:r w:rsidRPr="004E3242">
        <w:rPr>
          <w:rFonts w:ascii="Arial" w:eastAsia="Times New Roman" w:hAnsi="Arial" w:cs="Arial"/>
          <w:sz w:val="20"/>
          <w:szCs w:val="20"/>
          <w:lang w:eastAsia="pl-PL"/>
        </w:rPr>
        <w:br/>
        <w:t xml:space="preserve">m.in. </w:t>
      </w:r>
      <w:r w:rsidRPr="004E3242">
        <w:rPr>
          <w:rFonts w:ascii="Arial" w:eastAsia="Times New Roman" w:hAnsi="Arial" w:cs="Arial"/>
          <w:i/>
          <w:iCs/>
          <w:sz w:val="20"/>
          <w:szCs w:val="20"/>
          <w:lang w:eastAsia="pl-PL"/>
        </w:rPr>
        <w:t>Ewaluacji ex-</w:t>
      </w:r>
      <w:proofErr w:type="spellStart"/>
      <w:r w:rsidRPr="004E3242">
        <w:rPr>
          <w:rFonts w:ascii="Arial" w:eastAsia="Times New Roman" w:hAnsi="Arial" w:cs="Arial"/>
          <w:i/>
          <w:iCs/>
          <w:sz w:val="20"/>
          <w:szCs w:val="20"/>
          <w:lang w:eastAsia="pl-PL"/>
        </w:rPr>
        <w:t>ante</w:t>
      </w:r>
      <w:proofErr w:type="spellEnd"/>
      <w:r w:rsidRPr="004E3242">
        <w:rPr>
          <w:rFonts w:ascii="Arial" w:eastAsia="Times New Roman" w:hAnsi="Arial" w:cs="Arial"/>
          <w:i/>
          <w:iCs/>
          <w:sz w:val="20"/>
          <w:szCs w:val="20"/>
          <w:lang w:eastAsia="pl-PL"/>
        </w:rPr>
        <w:t xml:space="preserve"> PO </w:t>
      </w:r>
      <w:proofErr w:type="spellStart"/>
      <w:r w:rsidRPr="004E3242">
        <w:rPr>
          <w:rFonts w:ascii="Arial" w:eastAsia="Times New Roman" w:hAnsi="Arial" w:cs="Arial"/>
          <w:i/>
          <w:iCs/>
          <w:sz w:val="20"/>
          <w:szCs w:val="20"/>
          <w:lang w:eastAsia="pl-PL"/>
        </w:rPr>
        <w:t>IiŚ</w:t>
      </w:r>
      <w:proofErr w:type="spellEnd"/>
      <w:r w:rsidRPr="004E3242">
        <w:rPr>
          <w:rFonts w:ascii="Arial" w:eastAsia="Times New Roman" w:hAnsi="Arial" w:cs="Arial"/>
          <w:i/>
          <w:iCs/>
          <w:sz w:val="20"/>
          <w:szCs w:val="20"/>
          <w:lang w:eastAsia="pl-PL"/>
        </w:rPr>
        <w:t xml:space="preserve"> na lata 2014-2020</w:t>
      </w:r>
      <w:r w:rsidRPr="004E3242">
        <w:rPr>
          <w:rFonts w:ascii="Arial" w:eastAsia="Times New Roman" w:hAnsi="Arial" w:cs="Arial"/>
          <w:sz w:val="20"/>
          <w:szCs w:val="20"/>
          <w:lang w:eastAsia="pl-PL"/>
        </w:rPr>
        <w:t xml:space="preserve"> (2014 r.), </w:t>
      </w:r>
      <w:r w:rsidRPr="004E3242">
        <w:rPr>
          <w:rFonts w:ascii="Arial" w:eastAsia="Times New Roman" w:hAnsi="Arial" w:cs="Arial"/>
          <w:i/>
          <w:iCs/>
          <w:sz w:val="20"/>
          <w:szCs w:val="20"/>
          <w:lang w:eastAsia="pl-PL"/>
        </w:rPr>
        <w:t xml:space="preserve">Ewaluacji systemu oceny i wyboru projektów w ramach PO </w:t>
      </w:r>
      <w:proofErr w:type="spellStart"/>
      <w:r w:rsidRPr="004E3242">
        <w:rPr>
          <w:rFonts w:ascii="Arial" w:eastAsia="Times New Roman" w:hAnsi="Arial" w:cs="Arial"/>
          <w:i/>
          <w:iCs/>
          <w:sz w:val="20"/>
          <w:szCs w:val="20"/>
          <w:lang w:eastAsia="pl-PL"/>
        </w:rPr>
        <w:t>IiŚ</w:t>
      </w:r>
      <w:proofErr w:type="spellEnd"/>
      <w:r w:rsidRPr="004E3242">
        <w:rPr>
          <w:rFonts w:ascii="Arial" w:eastAsia="Times New Roman" w:hAnsi="Arial" w:cs="Arial"/>
          <w:sz w:val="20"/>
          <w:szCs w:val="20"/>
          <w:lang w:eastAsia="pl-PL"/>
        </w:rPr>
        <w:t xml:space="preserve"> (2009 r.) oraz </w:t>
      </w:r>
      <w:r w:rsidRPr="004E3242">
        <w:rPr>
          <w:rFonts w:ascii="Arial" w:eastAsia="Times New Roman" w:hAnsi="Arial" w:cs="Arial"/>
          <w:i/>
          <w:iCs/>
          <w:sz w:val="20"/>
          <w:szCs w:val="20"/>
          <w:lang w:eastAsia="pl-PL"/>
        </w:rPr>
        <w:t xml:space="preserve">Ewaluacji systemu wdrażania priorytetów pomocy technicznej w ramach PO </w:t>
      </w:r>
      <w:proofErr w:type="spellStart"/>
      <w:r w:rsidRPr="004E3242">
        <w:rPr>
          <w:rFonts w:ascii="Arial" w:eastAsia="Times New Roman" w:hAnsi="Arial" w:cs="Arial"/>
          <w:i/>
          <w:iCs/>
          <w:sz w:val="20"/>
          <w:szCs w:val="20"/>
          <w:lang w:eastAsia="pl-PL"/>
        </w:rPr>
        <w:t>IiŚ</w:t>
      </w:r>
      <w:proofErr w:type="spellEnd"/>
      <w:r w:rsidRPr="004E3242">
        <w:rPr>
          <w:rFonts w:ascii="Arial" w:eastAsia="Times New Roman" w:hAnsi="Arial" w:cs="Arial"/>
          <w:i/>
          <w:iCs/>
          <w:sz w:val="20"/>
          <w:szCs w:val="20"/>
          <w:lang w:eastAsia="pl-PL"/>
        </w:rPr>
        <w:t xml:space="preserve"> </w:t>
      </w:r>
      <w:r w:rsidRPr="004E3242">
        <w:rPr>
          <w:rFonts w:ascii="Arial" w:eastAsia="Times New Roman" w:hAnsi="Arial" w:cs="Arial"/>
          <w:sz w:val="20"/>
          <w:szCs w:val="20"/>
          <w:lang w:eastAsia="pl-PL"/>
        </w:rPr>
        <w:t xml:space="preserve">(2009 r.), czy też </w:t>
      </w:r>
      <w:r w:rsidRPr="004E3242">
        <w:rPr>
          <w:rFonts w:ascii="Arial" w:eastAsia="Times New Roman" w:hAnsi="Arial" w:cs="Arial"/>
          <w:i/>
          <w:iCs/>
          <w:sz w:val="20"/>
          <w:szCs w:val="20"/>
          <w:lang w:eastAsia="pl-PL"/>
        </w:rPr>
        <w:t xml:space="preserve">Śródokresowej oceny realizacji celów Planu </w:t>
      </w:r>
      <w:r w:rsidRPr="004E3242">
        <w:rPr>
          <w:rFonts w:ascii="Arial" w:eastAsia="Times New Roman" w:hAnsi="Arial" w:cs="Arial"/>
          <w:i/>
          <w:iCs/>
          <w:sz w:val="20"/>
          <w:szCs w:val="20"/>
          <w:lang w:eastAsia="pl-PL"/>
        </w:rPr>
        <w:lastRenderedPageBreak/>
        <w:t xml:space="preserve">Komunikacji </w:t>
      </w:r>
      <w:proofErr w:type="spellStart"/>
      <w:r w:rsidRPr="004E3242">
        <w:rPr>
          <w:rFonts w:ascii="Arial" w:eastAsia="Times New Roman" w:hAnsi="Arial" w:cs="Arial"/>
          <w:i/>
          <w:iCs/>
          <w:sz w:val="20"/>
          <w:szCs w:val="20"/>
          <w:lang w:eastAsia="pl-PL"/>
        </w:rPr>
        <w:t>POIiŚ</w:t>
      </w:r>
      <w:proofErr w:type="spellEnd"/>
      <w:r w:rsidRPr="004E3242">
        <w:rPr>
          <w:rFonts w:ascii="Arial" w:eastAsia="Times New Roman" w:hAnsi="Arial" w:cs="Arial"/>
          <w:i/>
          <w:iCs/>
          <w:sz w:val="20"/>
          <w:szCs w:val="20"/>
          <w:lang w:eastAsia="pl-PL"/>
        </w:rPr>
        <w:t xml:space="preserve"> </w:t>
      </w:r>
      <w:r w:rsidRPr="004E3242">
        <w:rPr>
          <w:rFonts w:ascii="Arial" w:eastAsia="Times New Roman" w:hAnsi="Arial" w:cs="Arial"/>
          <w:sz w:val="20"/>
          <w:szCs w:val="20"/>
          <w:lang w:eastAsia="pl-PL"/>
        </w:rPr>
        <w:t xml:space="preserve">(2011 r.), a także badań wykonanych przez Instytucje Pośredniczące, w których </w:t>
      </w:r>
      <w:proofErr w:type="spellStart"/>
      <w:r w:rsidRPr="004E3242">
        <w:rPr>
          <w:rFonts w:ascii="Arial" w:eastAsia="Times New Roman" w:hAnsi="Arial" w:cs="Arial"/>
          <w:sz w:val="20"/>
          <w:szCs w:val="20"/>
          <w:lang w:eastAsia="pl-PL"/>
        </w:rPr>
        <w:t>ewaluatorzy</w:t>
      </w:r>
      <w:proofErr w:type="spellEnd"/>
      <w:r w:rsidRPr="004E3242">
        <w:rPr>
          <w:rFonts w:ascii="Arial" w:eastAsia="Times New Roman" w:hAnsi="Arial" w:cs="Arial"/>
          <w:sz w:val="20"/>
          <w:szCs w:val="20"/>
          <w:lang w:eastAsia="pl-PL"/>
        </w:rPr>
        <w:t xml:space="preserve"> rekomendują wykorzystanie </w:t>
      </w:r>
      <w:proofErr w:type="spellStart"/>
      <w:r w:rsidRPr="004E3242">
        <w:rPr>
          <w:rFonts w:ascii="Arial" w:eastAsia="Times New Roman" w:hAnsi="Arial" w:cs="Arial"/>
          <w:i/>
          <w:iCs/>
          <w:sz w:val="20"/>
          <w:szCs w:val="20"/>
          <w:lang w:eastAsia="pl-PL"/>
        </w:rPr>
        <w:t>capacity</w:t>
      </w:r>
      <w:proofErr w:type="spellEnd"/>
      <w:r w:rsidRPr="004E3242">
        <w:rPr>
          <w:rFonts w:ascii="Arial" w:eastAsia="Times New Roman" w:hAnsi="Arial" w:cs="Arial"/>
          <w:sz w:val="20"/>
          <w:szCs w:val="20"/>
          <w:lang w:eastAsia="pl-PL"/>
        </w:rPr>
        <w:t xml:space="preserve"> tych instytucji w okresie 2014-2020.</w:t>
      </w:r>
    </w:p>
    <w:p w14:paraId="7EDCD371"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Powyższe uproszczenia planowane są do wdrożenia wraz z uruchomieniem naborów wniosków </w:t>
      </w:r>
      <w:r w:rsidRPr="004E3242">
        <w:rPr>
          <w:rFonts w:ascii="Arial" w:eastAsia="Times New Roman" w:hAnsi="Arial" w:cs="Arial"/>
          <w:sz w:val="20"/>
          <w:szCs w:val="20"/>
          <w:lang w:eastAsia="pl-PL"/>
        </w:rPr>
        <w:br/>
        <w:t>o dofinansowanie w POIŚ.</w:t>
      </w:r>
    </w:p>
    <w:p w14:paraId="78A88D5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br w:type="page"/>
      </w:r>
    </w:p>
    <w:p w14:paraId="7542FCAC" w14:textId="77777777" w:rsidR="004E3242" w:rsidRPr="004E3242" w:rsidRDefault="004E3242" w:rsidP="004E3242">
      <w:pPr>
        <w:numPr>
          <w:ilvl w:val="0"/>
          <w:numId w:val="3"/>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eastAsia="Times New Roman" w:hAnsi="Arial"/>
          <w:bCs/>
          <w:smallCaps/>
          <w:color w:val="000000"/>
          <w:spacing w:val="15"/>
          <w:sz w:val="28"/>
          <w:lang w:eastAsia="pl-PL"/>
        </w:rPr>
      </w:pPr>
      <w:bookmarkStart w:id="737" w:name="_Toc83810598"/>
      <w:bookmarkEnd w:id="736"/>
      <w:r w:rsidRPr="004E3242">
        <w:rPr>
          <w:rFonts w:ascii="Arial" w:eastAsia="Times New Roman" w:hAnsi="Arial"/>
          <w:bCs/>
          <w:smallCaps/>
          <w:color w:val="000000"/>
          <w:spacing w:val="15"/>
          <w:sz w:val="28"/>
          <w:lang w:eastAsia="pl-PL"/>
        </w:rPr>
        <w:lastRenderedPageBreak/>
        <w:t>Zasady horyzontalne</w:t>
      </w:r>
      <w:bookmarkEnd w:id="737"/>
    </w:p>
    <w:p w14:paraId="25E449FF"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738" w:name="_Toc83810599"/>
      <w:r w:rsidRPr="004E3242">
        <w:rPr>
          <w:rFonts w:ascii="Arial" w:hAnsi="Arial"/>
          <w:smallCaps/>
          <w:spacing w:val="15"/>
          <w:sz w:val="24"/>
          <w:lang w:eastAsia="pl-PL"/>
        </w:rPr>
        <w:t>Zrównoważony rozwój</w:t>
      </w:r>
      <w:bookmarkEnd w:id="738"/>
    </w:p>
    <w:p w14:paraId="41F78AB0"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Zrównoważony rozwój</w:t>
      </w:r>
    </w:p>
    <w:p w14:paraId="50904D9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Zgodnie z art. 8 rozporządzenia ogólnego, cele funduszy są osiągane w ramach zrównoważonego rozwoju oraz unijnego wsparcia celu zachowania, ochrony i poprawy jakości środowiska naturalnego, zgodnie z art. 11 i art. 191 ust. 1 TFUE, z uwzględnieniem zasady „zanieczyszczający płaci”. Problematyka zrównoważonego rozwoju kładzie nacisk na efektywność wykorzystania zasobów, dostosowanie do zmiany klimatu i łagodzenie jej skutków, zwiększenie odporności na klęski żywiołowe, zapobieganie ryzyku i zarządzanie ryzykiem. Jednocześnie, będący komplementarnym do celów środowiskowych, wymiar społeczny zakłada, że istotna jest także poprawa warunków i jakości życia człowieka, jako ostatecznego celu wszystkich zmian, co wiąże się z włączeniem w ramy programu również działań w zakresie strategicznej infrastruktury kultury i ochrony zdrowia.</w:t>
      </w:r>
    </w:p>
    <w:p w14:paraId="4AFE6B68"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Realizację zasady zrównoważonego rozwoju należy rozpatrywać na poziomie strategicznych celów oraz pojedynczych projektów. W odniesieniu do celów, interwencja w ramach programu łączy cele gospodarcze ze środowiskowymi w jednym, spójnym nurcie interwencji publicznej. Zgodnie ze Strategią Europa 2020, rozwój zrównoważony oznacza wspieranie gospodarki efektywniej korzystającej z zasobów, bardziej przyjaznej środowisku i bardziej konkurencyjnej. Przyjmuje się, że interwencja POIŚ przyniesie znaczący wkład w rozwój gospodarki, która będzie bardziej konkurencyjna, jednocześnie zrównoważona w ujęciu ekonomicznym, środowiskowym </w:t>
      </w:r>
      <w:r w:rsidRPr="004E3242">
        <w:rPr>
          <w:rFonts w:ascii="Arial" w:eastAsia="Times New Roman" w:hAnsi="Arial" w:cs="Arial"/>
          <w:sz w:val="20"/>
          <w:szCs w:val="20"/>
          <w:lang w:eastAsia="pl-PL"/>
        </w:rPr>
        <w:br/>
        <w:t>i przestrzennym.</w:t>
      </w:r>
    </w:p>
    <w:p w14:paraId="1D6B59C9"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Dodatkowo, mając na względzie ramowy charakter POIŚ, bezpośrednią podstawę realizacji działań finansowanych w jego ramach będą stanowiły, w głównej mierze, odrębne dokumenty strategiczne. </w:t>
      </w:r>
      <w:r w:rsidRPr="004E3242">
        <w:rPr>
          <w:rFonts w:ascii="Arial" w:eastAsia="Times New Roman" w:hAnsi="Arial" w:cs="Arial"/>
          <w:sz w:val="20"/>
          <w:szCs w:val="20"/>
          <w:lang w:eastAsia="pl-PL"/>
        </w:rPr>
        <w:br/>
        <w:t xml:space="preserve">W przypadku wszystkich wymienionych w POIŚ dokumentów strategicznych zostanie zwrócona uwaga na to, czy przed przyjęciem zostały poddane strategicznej ocenie oddziaływania na środowisko. Ponadto należy pamiętać, że wnikliwa ocena potencjalnych inwestycji na poziomie ponadsektorowym była także przedmiotem kompleksowej oceny (także w ujęciu przestrzennym), umożliwiającym stwierdzenie ewentualnych oddziaływań i kumulacji międzysektorowych, została także wykonana w </w:t>
      </w:r>
      <w:r w:rsidRPr="004E3242">
        <w:rPr>
          <w:rFonts w:ascii="Arial" w:eastAsia="Times New Roman" w:hAnsi="Arial" w:cs="Arial"/>
          <w:i/>
          <w:iCs/>
          <w:sz w:val="20"/>
          <w:szCs w:val="20"/>
          <w:lang w:eastAsia="pl-PL"/>
        </w:rPr>
        <w:t>Koncepcji Przestrzennego Zagospodarowania Kraju</w:t>
      </w:r>
      <w:r w:rsidRPr="004E3242">
        <w:rPr>
          <w:rFonts w:ascii="Arial" w:eastAsia="Times New Roman" w:hAnsi="Arial" w:cs="Arial"/>
          <w:sz w:val="20"/>
          <w:szCs w:val="20"/>
          <w:lang w:eastAsia="pl-PL"/>
        </w:rPr>
        <w:t xml:space="preserve"> oraz </w:t>
      </w:r>
      <w:r w:rsidRPr="004E3242">
        <w:rPr>
          <w:rFonts w:ascii="Arial" w:eastAsia="Times New Roman" w:hAnsi="Arial" w:cs="Arial"/>
          <w:i/>
          <w:iCs/>
          <w:sz w:val="20"/>
          <w:szCs w:val="20"/>
          <w:lang w:eastAsia="pl-PL"/>
        </w:rPr>
        <w:t xml:space="preserve">Krajowej Strategii Rozwoju Regionalnego </w:t>
      </w:r>
      <w:r w:rsidRPr="004E3242">
        <w:rPr>
          <w:rFonts w:ascii="Arial" w:eastAsia="Times New Roman" w:hAnsi="Arial" w:cs="Arial"/>
          <w:sz w:val="20"/>
          <w:szCs w:val="20"/>
          <w:lang w:eastAsia="pl-PL"/>
        </w:rPr>
        <w:t>(które to dokumenty miały przeprowadzoną strategiczną ocenę).</w:t>
      </w:r>
    </w:p>
    <w:p w14:paraId="3A60482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odniesieniu do projektów zasada ta obejmuje finansowanie przedsięwzięć minimalizujących wpływ działalności człowieka na środowisko, w tym nakierowanych na spełnienie </w:t>
      </w:r>
      <w:proofErr w:type="spellStart"/>
      <w:r w:rsidRPr="004E3242">
        <w:rPr>
          <w:rFonts w:ascii="Arial" w:eastAsia="Times New Roman" w:hAnsi="Arial" w:cs="Arial"/>
          <w:i/>
          <w:iCs/>
          <w:sz w:val="20"/>
          <w:szCs w:val="20"/>
          <w:lang w:eastAsia="pl-PL"/>
        </w:rPr>
        <w:t>acquis</w:t>
      </w:r>
      <w:proofErr w:type="spellEnd"/>
      <w:r w:rsidRPr="004E3242">
        <w:rPr>
          <w:rFonts w:ascii="Arial" w:eastAsia="Times New Roman" w:hAnsi="Arial" w:cs="Arial"/>
          <w:sz w:val="20"/>
          <w:szCs w:val="20"/>
          <w:lang w:eastAsia="pl-PL"/>
        </w:rPr>
        <w:t xml:space="preserve"> w obszarze środowiska. Realizowane projekty, tam gdzie ma to uzasadnienie, będą uwzględniać zasadę „zanieczyszczający płaci”, która jest jednym z horyzontalnych wymogów i wskazuje konieczność uwzględnienia kosztów zewnętrznych w całkowitych kosztach inwestycji. Realizacja założeń zrównoważonego rozwoju zgodnie z celami Strategii Europa 2020 oznacza również, że w wymiarze całego programu oraz konkretnych przedsięwzięć będzie uwzględniona problematyka łagodzenia </w:t>
      </w:r>
      <w:r w:rsidRPr="004E3242">
        <w:rPr>
          <w:rFonts w:ascii="Arial" w:eastAsia="Times New Roman" w:hAnsi="Arial" w:cs="Arial"/>
          <w:sz w:val="20"/>
          <w:szCs w:val="20"/>
          <w:lang w:eastAsia="pl-PL"/>
        </w:rPr>
        <w:br/>
        <w:t>i adaptacji do zmian klimatu.</w:t>
      </w:r>
    </w:p>
    <w:p w14:paraId="1ABD4C6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Zasada zrównoważonego rozwoju będzie jedną z wiodących zasad stosowanych przy wyborze projektów do dofinansowania. W myśl tej zasady, realizacja projektów powinna obejmować stosowanie, już na etapie projektowania, odpowiednich rozwiązań zapewniających odporność wspieranej infrastruktury na zjawiska związane ze zmianami klimatu i powiązane z tym zagrożenia klęskami i katastrofami naturalnymi (zwiększone ryzyko powodziowe, susze, upały, ekstremalne zjawiska powodziowe). Ważne w kontekście wspieranej infrastruktury jest również jej powiązanie </w:t>
      </w:r>
      <w:r w:rsidRPr="004E3242">
        <w:rPr>
          <w:rFonts w:ascii="Arial" w:eastAsia="Times New Roman" w:hAnsi="Arial" w:cs="Arial"/>
          <w:sz w:val="20"/>
          <w:szCs w:val="20"/>
          <w:lang w:eastAsia="pl-PL"/>
        </w:rPr>
        <w:br/>
        <w:t xml:space="preserve">z działaniami prowadzonymi na rzecz zapobiegania i zarządzania ryzykiem. W praktyce ocena zasadności realizacji danego przedsięwzięcia powinna brać pod uwagę kwestię występowania określonych zagrożeń na danym obszarze (przede wszystkim o charakterze naturalnym) i długofalowe bezpieczeństwo inwestycji, związane z występowaniem negatywnych skutków takich zjawisk. Na </w:t>
      </w:r>
      <w:r w:rsidRPr="004E3242">
        <w:rPr>
          <w:rFonts w:ascii="Arial" w:eastAsia="Times New Roman" w:hAnsi="Arial" w:cs="Arial"/>
          <w:sz w:val="20"/>
          <w:szCs w:val="20"/>
          <w:lang w:eastAsia="pl-PL"/>
        </w:rPr>
        <w:lastRenderedPageBreak/>
        <w:t>poziomie projektów szczegółowe informacje w ww. zakresie będą zawarte w dokumentacji aplikacyjnej.</w:t>
      </w:r>
    </w:p>
    <w:p w14:paraId="6B29AAEA"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W praktyce polegać to będzie na obowiązku oceny przedsięwzięć z punktu widzenia wpływu na zmiany klimatu, z uwzględnieniem takich aspektów jak: łagodzenie skutków zmian klimatu, adaptacja do nich oraz zwiększenie odporności realizowanych inwestycji infrastrukturalnych na skutki tych zmian i powiązane z tym zagrożenia klęskami żywiołowymi (zwiększone ryzyko powodziowe, susze, upały, ekstremalne zjawiska powodziowe).</w:t>
      </w:r>
    </w:p>
    <w:p w14:paraId="388ED17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Ponadto cele związane z dostosowaniem do zmian klimatu i przeciwdziałaniem zmianom klimatu będą ujęte w systemie monitorowania wydatków z wykorzystaniem metodyki KE (przy wykorzystaniu systemu kategorii interwencji oraz systemu Rio </w:t>
      </w:r>
      <w:proofErr w:type="spellStart"/>
      <w:r w:rsidRPr="004E3242">
        <w:rPr>
          <w:rFonts w:ascii="Arial" w:eastAsia="Times New Roman" w:hAnsi="Arial" w:cs="Arial"/>
          <w:sz w:val="20"/>
          <w:szCs w:val="20"/>
          <w:lang w:eastAsia="pl-PL"/>
        </w:rPr>
        <w:t>markers</w:t>
      </w:r>
      <w:proofErr w:type="spellEnd"/>
      <w:r w:rsidRPr="004E3242">
        <w:rPr>
          <w:rFonts w:ascii="Arial" w:eastAsia="Times New Roman" w:hAnsi="Arial" w:cs="Arial"/>
          <w:sz w:val="20"/>
          <w:szCs w:val="20"/>
          <w:lang w:eastAsia="pl-PL"/>
        </w:rPr>
        <w:t>).</w:t>
      </w:r>
    </w:p>
    <w:p w14:paraId="5A077343"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Praktycznym i wymiernym sposobem realizacji zasady zrównoważonego rozwoju będzie opracowanie szczegółowych kryteriów wyboru projektów, które będą zatwierdzane przez Komitet Monitorujący. </w:t>
      </w:r>
      <w:r w:rsidRPr="004E3242">
        <w:rPr>
          <w:rFonts w:ascii="Arial" w:eastAsia="Times New Roman" w:hAnsi="Arial" w:cs="Arial"/>
          <w:sz w:val="20"/>
          <w:szCs w:val="20"/>
          <w:lang w:eastAsia="pl-PL"/>
        </w:rPr>
        <w:br/>
        <w:t xml:space="preserve">W pracach nad opracowaniem kryteriów wykorzystane zostaną także propozycje przedstawione </w:t>
      </w:r>
      <w:r w:rsidRPr="004E3242">
        <w:rPr>
          <w:rFonts w:ascii="Arial" w:eastAsia="Times New Roman" w:hAnsi="Arial" w:cs="Arial"/>
          <w:sz w:val="20"/>
          <w:szCs w:val="20"/>
          <w:lang w:eastAsia="pl-PL"/>
        </w:rPr>
        <w:br/>
        <w:t xml:space="preserve">w prognozie oddziaływania projektu Programu na środowisko. Przewiduje się, że właściwie dobrane kryteria pozwolą na zapewnienie, w przypadku wszystkich przedsięwzięć infrastrukturalnych </w:t>
      </w:r>
      <w:r w:rsidRPr="004E3242">
        <w:rPr>
          <w:rFonts w:ascii="Arial" w:eastAsia="Times New Roman" w:hAnsi="Arial" w:cs="Arial"/>
          <w:sz w:val="20"/>
          <w:szCs w:val="20"/>
          <w:lang w:eastAsia="pl-PL"/>
        </w:rPr>
        <w:br/>
        <w:t xml:space="preserve">o charakterze kubaturowym, pełnej zgodności ze stosownymi wymogami środowiskowymi </w:t>
      </w:r>
      <w:r w:rsidRPr="004E3242">
        <w:rPr>
          <w:rFonts w:ascii="Arial" w:eastAsia="Times New Roman" w:hAnsi="Arial" w:cs="Arial"/>
          <w:sz w:val="20"/>
          <w:szCs w:val="20"/>
          <w:lang w:eastAsia="pl-PL"/>
        </w:rPr>
        <w:br/>
        <w:t>i efektywności energetycznej. Jednocześnie przewiduje się stosowanie rozwiązań promujących efektywne wykorzystanie zasobów naturalnych i energii oraz pozytywny wpływ na ochronę środowiska również tam, gdzie z uwagi na specyfikę projektów, ich stosowanie nie będzie miało charakteru obligatoryjnego.</w:t>
      </w:r>
    </w:p>
    <w:p w14:paraId="6ADDBCC9"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lang w:eastAsia="pl-PL"/>
        </w:rPr>
      </w:pPr>
      <w:bookmarkStart w:id="739" w:name="_Toc83810600"/>
      <w:r w:rsidRPr="004E3242">
        <w:rPr>
          <w:rFonts w:ascii="Arial" w:hAnsi="Arial"/>
          <w:smallCaps/>
          <w:spacing w:val="15"/>
          <w:sz w:val="24"/>
          <w:lang w:eastAsia="pl-PL"/>
        </w:rPr>
        <w:t>równość szans i niedyskryminacja</w:t>
      </w:r>
      <w:bookmarkEnd w:id="739"/>
    </w:p>
    <w:p w14:paraId="57A056FD"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Równość szans i niedyskryminacja</w:t>
      </w:r>
    </w:p>
    <w:p w14:paraId="3D361E5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Zgodnie z Rozdziałem 1.5 Umowy Partnerstwa.</w:t>
      </w:r>
    </w:p>
    <w:p w14:paraId="60380305"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Pomoc publiczna</w:t>
      </w:r>
    </w:p>
    <w:p w14:paraId="5FD8AEDB"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Instytucja Zarządzająca POIŚ 2014-2020 zapewni, że jakiekolwiek wsparcie przyznawane na podstawie tego programu będzie zgodne z przepisami o pomocy publicznej (materialnymi oraz proceduralnymi), obowiązującymi na dzień udzielenia wsparcia.</w:t>
      </w:r>
    </w:p>
    <w:p w14:paraId="16B8F1CF"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Delokalizacja</w:t>
      </w:r>
    </w:p>
    <w:p w14:paraId="50215B67"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W przypadku pomocy udzielonej ze środków POIŚ 2014-2020 dużemu przedsiębiorcy, Instytucja Zarządzająca PO </w:t>
      </w:r>
      <w:proofErr w:type="spellStart"/>
      <w:r w:rsidRPr="004E3242">
        <w:rPr>
          <w:rFonts w:ascii="Arial" w:eastAsia="Times New Roman" w:hAnsi="Arial" w:cs="Arial"/>
          <w:sz w:val="20"/>
          <w:szCs w:val="20"/>
          <w:lang w:eastAsia="pl-PL"/>
        </w:rPr>
        <w:t>IiŚ</w:t>
      </w:r>
      <w:proofErr w:type="spellEnd"/>
      <w:r w:rsidRPr="004E3242">
        <w:rPr>
          <w:rFonts w:ascii="Arial" w:eastAsia="Times New Roman" w:hAnsi="Arial" w:cs="Arial"/>
          <w:sz w:val="20"/>
          <w:szCs w:val="20"/>
          <w:lang w:eastAsia="pl-PL"/>
        </w:rPr>
        <w:t xml:space="preserve"> 2014-2020 zapewni, że wkład finansowy z funduszy nie spowoduje znacznej utraty miejsc pracy w istniejących lokalizacjach tego przedsiębiorcy na terytorium UE w związku </w:t>
      </w:r>
      <w:r w:rsidRPr="004E3242">
        <w:rPr>
          <w:rFonts w:ascii="Arial" w:eastAsia="Times New Roman" w:hAnsi="Arial" w:cs="Arial"/>
          <w:sz w:val="20"/>
          <w:szCs w:val="20"/>
          <w:lang w:eastAsia="pl-PL"/>
        </w:rPr>
        <w:br/>
        <w:t>z realizacją dofinansowanego projektu.</w:t>
      </w:r>
    </w:p>
    <w:p w14:paraId="2ABC6A04" w14:textId="77777777" w:rsidR="004E3242" w:rsidRP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b/>
          <w:bCs/>
          <w:i/>
          <w:iCs/>
          <w:sz w:val="20"/>
          <w:szCs w:val="20"/>
          <w:lang w:eastAsia="pl-PL"/>
        </w:rPr>
        <w:t>Instrumenty Finansowe</w:t>
      </w:r>
    </w:p>
    <w:p w14:paraId="193BEF00" w14:textId="77777777" w:rsidR="004E3242" w:rsidRDefault="004E3242" w:rsidP="004E3242">
      <w:pPr>
        <w:spacing w:after="120"/>
        <w:jc w:val="both"/>
        <w:rPr>
          <w:rFonts w:ascii="Arial" w:eastAsia="Times New Roman" w:hAnsi="Arial" w:cs="Arial"/>
          <w:sz w:val="20"/>
          <w:szCs w:val="20"/>
          <w:lang w:eastAsia="pl-PL"/>
        </w:rPr>
      </w:pPr>
      <w:r w:rsidRPr="004E3242">
        <w:rPr>
          <w:rFonts w:ascii="Arial" w:eastAsia="Times New Roman" w:hAnsi="Arial" w:cs="Arial"/>
          <w:sz w:val="20"/>
          <w:szCs w:val="20"/>
          <w:lang w:eastAsia="pl-PL"/>
        </w:rPr>
        <w:t xml:space="preserve">Zastosowanie instrumentów finansowych powinno być rozważone w przypadku wsparcia inwestycji, które są potencjalnie finansowo wykonalne. Decyzja o dokonaniu wkładu z programu operacyjnego do instrumentu finansowego będzie poprzedzona oceną </w:t>
      </w:r>
      <w:r w:rsidRPr="004E3242">
        <w:rPr>
          <w:rFonts w:ascii="Arial" w:eastAsia="Times New Roman" w:hAnsi="Arial" w:cs="Arial"/>
          <w:i/>
          <w:iCs/>
          <w:sz w:val="20"/>
          <w:szCs w:val="20"/>
          <w:lang w:eastAsia="pl-PL"/>
        </w:rPr>
        <w:t>ex-</w:t>
      </w:r>
      <w:proofErr w:type="spellStart"/>
      <w:r w:rsidRPr="004E3242">
        <w:rPr>
          <w:rFonts w:ascii="Arial" w:eastAsia="Times New Roman" w:hAnsi="Arial" w:cs="Arial"/>
          <w:i/>
          <w:iCs/>
          <w:sz w:val="20"/>
          <w:szCs w:val="20"/>
          <w:lang w:eastAsia="pl-PL"/>
        </w:rPr>
        <w:t>ante</w:t>
      </w:r>
      <w:proofErr w:type="spellEnd"/>
      <w:r w:rsidRPr="004E3242">
        <w:rPr>
          <w:rFonts w:ascii="Arial" w:eastAsia="Times New Roman" w:hAnsi="Arial" w:cs="Arial"/>
          <w:sz w:val="20"/>
          <w:szCs w:val="20"/>
          <w:lang w:eastAsia="pl-PL"/>
        </w:rPr>
        <w:t xml:space="preserve"> zgodnie z art. 37 rozporządzenia (UE) 1303/2013.</w:t>
      </w:r>
    </w:p>
    <w:p w14:paraId="2B4C9AC8" w14:textId="77777777" w:rsidR="00090B8F" w:rsidRPr="00F02CE5" w:rsidRDefault="00F02CE5" w:rsidP="00090B8F">
      <w:pPr>
        <w:spacing w:after="120"/>
        <w:jc w:val="both"/>
        <w:rPr>
          <w:rFonts w:ascii="Arial" w:eastAsia="Times New Roman" w:hAnsi="Arial" w:cs="Arial"/>
          <w:b/>
          <w:bCs/>
          <w:i/>
          <w:iCs/>
          <w:sz w:val="20"/>
          <w:szCs w:val="20"/>
          <w:lang w:eastAsia="pl-PL"/>
        </w:rPr>
      </w:pPr>
      <w:r w:rsidRPr="00F02CE5">
        <w:rPr>
          <w:rFonts w:ascii="Arial" w:eastAsia="Times New Roman" w:hAnsi="Arial" w:cs="Arial"/>
          <w:sz w:val="20"/>
          <w:szCs w:val="20"/>
          <w:lang w:eastAsia="pl-PL"/>
        </w:rPr>
        <w:t xml:space="preserve"> </w:t>
      </w:r>
      <w:r w:rsidR="00090B8F" w:rsidRPr="00F02CE5">
        <w:rPr>
          <w:rFonts w:ascii="Arial" w:eastAsia="Times New Roman" w:hAnsi="Arial" w:cs="Arial"/>
          <w:b/>
          <w:bCs/>
          <w:i/>
          <w:iCs/>
          <w:sz w:val="20"/>
          <w:szCs w:val="20"/>
          <w:lang w:eastAsia="pl-PL"/>
        </w:rPr>
        <w:t xml:space="preserve">Inicjatywa Jaspers </w:t>
      </w:r>
    </w:p>
    <w:p w14:paraId="34DAC4F2" w14:textId="77777777" w:rsidR="00090B8F" w:rsidRPr="00F02CE5" w:rsidRDefault="00090B8F" w:rsidP="00090B8F">
      <w:pPr>
        <w:spacing w:after="0" w:line="240" w:lineRule="auto"/>
        <w:jc w:val="both"/>
        <w:rPr>
          <w:rFonts w:ascii="Arial" w:eastAsia="Times New Roman" w:hAnsi="Arial" w:cs="Arial"/>
          <w:sz w:val="20"/>
          <w:szCs w:val="20"/>
          <w:lang w:eastAsia="pl-PL"/>
        </w:rPr>
      </w:pPr>
      <w:r w:rsidRPr="00F02CE5">
        <w:rPr>
          <w:rFonts w:ascii="Arial" w:eastAsia="Times New Roman" w:hAnsi="Arial" w:cs="Arial"/>
          <w:b/>
          <w:bCs/>
          <w:sz w:val="20"/>
          <w:szCs w:val="20"/>
          <w:lang w:eastAsia="pl-PL"/>
        </w:rPr>
        <w:t>JASPERS</w:t>
      </w:r>
      <w:r w:rsidRPr="00F02CE5">
        <w:rPr>
          <w:rFonts w:ascii="Arial" w:eastAsia="Times New Roman" w:hAnsi="Arial" w:cs="Arial"/>
          <w:sz w:val="20"/>
          <w:szCs w:val="20"/>
          <w:lang w:eastAsia="pl-PL"/>
        </w:rPr>
        <w:t xml:space="preserve"> (Joint Assistance to </w:t>
      </w:r>
      <w:proofErr w:type="spellStart"/>
      <w:r w:rsidRPr="00F02CE5">
        <w:rPr>
          <w:rFonts w:ascii="Arial" w:eastAsia="Times New Roman" w:hAnsi="Arial" w:cs="Arial"/>
          <w:sz w:val="20"/>
          <w:szCs w:val="20"/>
          <w:lang w:eastAsia="pl-PL"/>
        </w:rPr>
        <w:t>Support</w:t>
      </w:r>
      <w:proofErr w:type="spellEnd"/>
      <w:r w:rsidRPr="00F02CE5">
        <w:rPr>
          <w:rFonts w:ascii="Arial" w:eastAsia="Times New Roman" w:hAnsi="Arial" w:cs="Arial"/>
          <w:sz w:val="20"/>
          <w:szCs w:val="20"/>
          <w:lang w:eastAsia="pl-PL"/>
        </w:rPr>
        <w:t xml:space="preserve"> </w:t>
      </w:r>
      <w:proofErr w:type="spellStart"/>
      <w:r w:rsidRPr="00F02CE5">
        <w:rPr>
          <w:rFonts w:ascii="Arial" w:eastAsia="Times New Roman" w:hAnsi="Arial" w:cs="Arial"/>
          <w:sz w:val="20"/>
          <w:szCs w:val="20"/>
          <w:lang w:eastAsia="pl-PL"/>
        </w:rPr>
        <w:t>Projects</w:t>
      </w:r>
      <w:proofErr w:type="spellEnd"/>
      <w:r w:rsidRPr="00F02CE5">
        <w:rPr>
          <w:rFonts w:ascii="Arial" w:eastAsia="Times New Roman" w:hAnsi="Arial" w:cs="Arial"/>
          <w:sz w:val="20"/>
          <w:szCs w:val="20"/>
          <w:lang w:eastAsia="pl-PL"/>
        </w:rPr>
        <w:t xml:space="preserve"> in </w:t>
      </w:r>
      <w:proofErr w:type="spellStart"/>
      <w:r w:rsidRPr="00F02CE5">
        <w:rPr>
          <w:rFonts w:ascii="Arial" w:eastAsia="Times New Roman" w:hAnsi="Arial" w:cs="Arial"/>
          <w:sz w:val="20"/>
          <w:szCs w:val="20"/>
          <w:lang w:eastAsia="pl-PL"/>
        </w:rPr>
        <w:t>European</w:t>
      </w:r>
      <w:proofErr w:type="spellEnd"/>
      <w:r w:rsidRPr="00F02CE5">
        <w:rPr>
          <w:rFonts w:ascii="Arial" w:eastAsia="Times New Roman" w:hAnsi="Arial" w:cs="Arial"/>
          <w:sz w:val="20"/>
          <w:szCs w:val="20"/>
          <w:lang w:eastAsia="pl-PL"/>
        </w:rPr>
        <w:t xml:space="preserve"> Regions) stanowi wspólne przedsięwzięcie </w:t>
      </w:r>
      <w:hyperlink r:id="rId17" w:tgtFrame="_blank" w:history="1"/>
      <w:r w:rsidRPr="00F02CE5">
        <w:rPr>
          <w:rFonts w:ascii="Arial" w:eastAsia="Times New Roman" w:hAnsi="Arial" w:cs="Arial"/>
          <w:sz w:val="20"/>
          <w:szCs w:val="20"/>
          <w:lang w:eastAsia="pl-PL"/>
        </w:rPr>
        <w:t xml:space="preserve"> Europejskiego Banku Inwestycyjnego, Komisji Europejskiej oraz </w:t>
      </w:r>
      <w:hyperlink r:id="rId18" w:tgtFrame="_blank" w:history="1">
        <w:r w:rsidRPr="00F02CE5">
          <w:rPr>
            <w:rFonts w:ascii="Arial" w:eastAsia="Times New Roman" w:hAnsi="Arial" w:cs="Arial"/>
            <w:sz w:val="20"/>
            <w:szCs w:val="20"/>
            <w:lang w:eastAsia="pl-PL"/>
          </w:rPr>
          <w:t>Europejskiego Banku Odbudowy i Rozwoju</w:t>
        </w:r>
      </w:hyperlink>
      <w:r w:rsidRPr="00F02CE5">
        <w:rPr>
          <w:rFonts w:ascii="Arial" w:eastAsia="Times New Roman" w:hAnsi="Arial" w:cs="Arial"/>
          <w:sz w:val="20"/>
          <w:szCs w:val="20"/>
          <w:lang w:eastAsia="pl-PL"/>
        </w:rPr>
        <w:t xml:space="preserve"> w zakresie wparcia projektów współfinansowanych ze środków unijnych. </w:t>
      </w:r>
      <w:r w:rsidRPr="00F02CE5">
        <w:rPr>
          <w:rFonts w:ascii="Arial" w:eastAsia="Times New Roman" w:hAnsi="Arial" w:cs="Arial"/>
          <w:sz w:val="20"/>
          <w:szCs w:val="20"/>
          <w:lang w:eastAsia="pl-PL"/>
        </w:rPr>
        <w:br/>
        <w:t xml:space="preserve">Wsparcie ekspertów Inicjatywy Jaspers stanowiło istotny element sprzyjający skutecznemu przygotowaniu projektów inwestycyjnych w Polsce w latach 2007-2013. Polska otrzymała pomoc techniczną w przygotowaniu projektów inwestycyjnych m.in. w sektorach transportu (drogi, koleje, lotniska, transport publiczny), środowiska, energetyki, kultury, nauki oraz zdrowia. </w:t>
      </w:r>
    </w:p>
    <w:p w14:paraId="47C24D08" w14:textId="77777777" w:rsidR="00090B8F" w:rsidRPr="00F02CE5" w:rsidRDefault="00090B8F" w:rsidP="00090B8F">
      <w:pPr>
        <w:spacing w:after="0" w:line="240" w:lineRule="auto"/>
        <w:jc w:val="both"/>
        <w:rPr>
          <w:rFonts w:ascii="Arial" w:eastAsia="Times New Roman" w:hAnsi="Arial" w:cs="Arial"/>
          <w:sz w:val="20"/>
          <w:szCs w:val="20"/>
          <w:lang w:eastAsia="pl-PL"/>
        </w:rPr>
      </w:pPr>
    </w:p>
    <w:p w14:paraId="041212F0" w14:textId="77777777" w:rsidR="00090B8F" w:rsidRPr="00F02CE5" w:rsidRDefault="00090B8F" w:rsidP="00090B8F">
      <w:pPr>
        <w:spacing w:after="0" w:line="240" w:lineRule="auto"/>
        <w:jc w:val="both"/>
        <w:rPr>
          <w:rFonts w:ascii="Arial" w:eastAsia="Times New Roman" w:hAnsi="Arial" w:cs="Arial"/>
          <w:sz w:val="20"/>
          <w:szCs w:val="20"/>
          <w:lang w:eastAsia="pl-PL"/>
        </w:rPr>
      </w:pPr>
      <w:r w:rsidRPr="00F02CE5">
        <w:rPr>
          <w:rFonts w:ascii="Arial" w:eastAsia="Times New Roman" w:hAnsi="Arial" w:cs="Arial"/>
          <w:sz w:val="20"/>
          <w:szCs w:val="20"/>
          <w:lang w:eastAsia="pl-PL"/>
        </w:rPr>
        <w:lastRenderedPageBreak/>
        <w:t xml:space="preserve">Pomoc techniczna Inicjatywy Jaspers jest dostępna dla polskich Beneficjentów również                                  w perspektywie finansowej 2014-2020 m.in. w zakresie weryfikacji dokumentacji projektowej  (wniosku o dofinansowanie, studium wykonalności, dokumentacji środowiskowej, sposobu wyliczenia poziomu dofinansowania), przy określaniu warunków dla konsultantów przygotowujących specyfikację istotnych warunków zamówienia. Inicjatywa Jaspers oferuje również dla Beneficjentów i zainteresowanych instytucji wsparcie o charakterze horyzontalnym związanym m.in z wypracowaniem dokumentów strategicznych, kwestiami pomocy publicznej, zmian klimatycznych jak również organizację seminariów i warsztatów dotyczących wszelkich zagadnień w zakresie funduszy unijnych realizowaną przez centrum kompetencyjne Jaspers w Brukseli (Jaspers Networking Platform). </w:t>
      </w:r>
    </w:p>
    <w:p w14:paraId="446D2B4C" w14:textId="77777777" w:rsidR="00090B8F" w:rsidRPr="00F02CE5" w:rsidRDefault="00090B8F" w:rsidP="00090B8F">
      <w:pPr>
        <w:spacing w:after="0" w:line="240" w:lineRule="auto"/>
        <w:jc w:val="both"/>
        <w:rPr>
          <w:rFonts w:ascii="Arial" w:eastAsia="Times New Roman" w:hAnsi="Arial" w:cs="Arial"/>
          <w:sz w:val="20"/>
          <w:szCs w:val="20"/>
          <w:lang w:eastAsia="pl-PL"/>
        </w:rPr>
      </w:pPr>
    </w:p>
    <w:p w14:paraId="2B22DF99" w14:textId="77777777" w:rsidR="00F02CE5" w:rsidRPr="00F02CE5" w:rsidRDefault="00090B8F" w:rsidP="00090B8F">
      <w:pPr>
        <w:spacing w:after="0" w:line="240" w:lineRule="auto"/>
        <w:jc w:val="both"/>
        <w:rPr>
          <w:rFonts w:ascii="Arial" w:eastAsia="Times New Roman" w:hAnsi="Arial" w:cs="Arial"/>
          <w:sz w:val="20"/>
          <w:szCs w:val="20"/>
          <w:lang w:eastAsia="pl-PL"/>
        </w:rPr>
      </w:pPr>
      <w:r w:rsidRPr="00F02CE5">
        <w:rPr>
          <w:rFonts w:ascii="Arial" w:eastAsia="Times New Roman" w:hAnsi="Arial" w:cs="Arial"/>
          <w:sz w:val="20"/>
          <w:szCs w:val="20"/>
          <w:lang w:eastAsia="pl-PL"/>
        </w:rPr>
        <w:t xml:space="preserve">W obecnym okresie programowania 2014-2020 polskie instytucje zarządzające mają również możliwość przesyłania dużych projektów do niezależnej oceny jakości przez ekspertów IQR (Independent </w:t>
      </w:r>
      <w:proofErr w:type="spellStart"/>
      <w:r w:rsidRPr="00F02CE5">
        <w:rPr>
          <w:rFonts w:ascii="Arial" w:eastAsia="Times New Roman" w:hAnsi="Arial" w:cs="Arial"/>
          <w:sz w:val="20"/>
          <w:szCs w:val="20"/>
          <w:lang w:eastAsia="pl-PL"/>
        </w:rPr>
        <w:t>Quality</w:t>
      </w:r>
      <w:proofErr w:type="spellEnd"/>
      <w:r w:rsidRPr="00F02CE5">
        <w:rPr>
          <w:rFonts w:ascii="Arial" w:eastAsia="Times New Roman" w:hAnsi="Arial" w:cs="Arial"/>
          <w:sz w:val="20"/>
          <w:szCs w:val="20"/>
          <w:lang w:eastAsia="pl-PL"/>
        </w:rPr>
        <w:t xml:space="preserve"> </w:t>
      </w:r>
      <w:proofErr w:type="spellStart"/>
      <w:r w:rsidRPr="00F02CE5">
        <w:rPr>
          <w:rFonts w:ascii="Arial" w:eastAsia="Times New Roman" w:hAnsi="Arial" w:cs="Arial"/>
          <w:sz w:val="20"/>
          <w:szCs w:val="20"/>
          <w:lang w:eastAsia="pl-PL"/>
        </w:rPr>
        <w:t>Review</w:t>
      </w:r>
      <w:proofErr w:type="spellEnd"/>
      <w:r w:rsidRPr="00F02CE5">
        <w:rPr>
          <w:rFonts w:ascii="Arial" w:eastAsia="Times New Roman" w:hAnsi="Arial" w:cs="Arial"/>
          <w:sz w:val="20"/>
          <w:szCs w:val="20"/>
          <w:lang w:eastAsia="pl-PL"/>
        </w:rPr>
        <w:t>) w ramach Inicjatywy Jaspers.</w:t>
      </w:r>
    </w:p>
    <w:p w14:paraId="73E8B404" w14:textId="77777777" w:rsidR="00F02CE5" w:rsidRPr="004E3242" w:rsidRDefault="00F02CE5" w:rsidP="004E3242">
      <w:pPr>
        <w:spacing w:after="120"/>
        <w:jc w:val="both"/>
        <w:rPr>
          <w:rFonts w:ascii="Arial" w:eastAsia="Times New Roman" w:hAnsi="Arial" w:cs="Arial"/>
          <w:sz w:val="20"/>
          <w:szCs w:val="20"/>
          <w:lang w:eastAsia="pl-PL"/>
        </w:rPr>
      </w:pPr>
    </w:p>
    <w:p w14:paraId="414EE993" w14:textId="77777777" w:rsidR="004E3242" w:rsidRPr="004E3242" w:rsidRDefault="004E3242" w:rsidP="004E3242">
      <w:pPr>
        <w:numPr>
          <w:ilvl w:val="1"/>
          <w:numId w:val="3"/>
        </w:numPr>
        <w:shd w:val="clear" w:color="auto" w:fill="BFBFBF"/>
        <w:spacing w:before="360" w:after="240"/>
        <w:outlineLvl w:val="1"/>
        <w:rPr>
          <w:rFonts w:ascii="Arial" w:hAnsi="Arial"/>
          <w:smallCaps/>
          <w:spacing w:val="15"/>
          <w:sz w:val="24"/>
          <w:szCs w:val="24"/>
          <w:lang w:eastAsia="pl-PL"/>
        </w:rPr>
      </w:pPr>
      <w:bookmarkStart w:id="740" w:name="_Toc83810601"/>
      <w:r w:rsidRPr="004E3242">
        <w:rPr>
          <w:rFonts w:ascii="Arial" w:hAnsi="Arial" w:cs="Arial"/>
          <w:smallCaps/>
          <w:color w:val="000000"/>
          <w:spacing w:val="4"/>
          <w:sz w:val="24"/>
          <w:szCs w:val="24"/>
          <w:lang w:eastAsia="pl-PL"/>
        </w:rPr>
        <w:t>Równość mę</w:t>
      </w:r>
      <w:r w:rsidR="00F02CE5">
        <w:rPr>
          <w:rFonts w:ascii="Arial" w:hAnsi="Arial" w:cs="Arial"/>
          <w:smallCaps/>
          <w:color w:val="000000"/>
          <w:spacing w:val="4"/>
          <w:sz w:val="24"/>
          <w:szCs w:val="24"/>
          <w:lang w:eastAsia="pl-PL"/>
        </w:rPr>
        <w:t>ż</w:t>
      </w:r>
      <w:r w:rsidRPr="004E3242">
        <w:rPr>
          <w:rFonts w:ascii="Arial" w:hAnsi="Arial" w:cs="Arial"/>
          <w:smallCaps/>
          <w:color w:val="000000"/>
          <w:spacing w:val="4"/>
          <w:sz w:val="24"/>
          <w:szCs w:val="24"/>
          <w:lang w:eastAsia="pl-PL"/>
        </w:rPr>
        <w:t>czyzn i kobiet</w:t>
      </w:r>
      <w:bookmarkEnd w:id="740"/>
    </w:p>
    <w:p w14:paraId="0B638A71" w14:textId="77777777" w:rsidR="004E3242" w:rsidRPr="004E3242" w:rsidRDefault="004E3242" w:rsidP="004E3242">
      <w:pPr>
        <w:autoSpaceDE w:val="0"/>
        <w:autoSpaceDN w:val="0"/>
        <w:adjustRightInd w:val="0"/>
        <w:spacing w:after="120"/>
        <w:jc w:val="both"/>
        <w:rPr>
          <w:rFonts w:ascii="Arial" w:hAnsi="Arial" w:cs="Arial"/>
          <w:spacing w:val="4"/>
          <w:sz w:val="20"/>
          <w:szCs w:val="20"/>
        </w:rPr>
      </w:pPr>
      <w:r w:rsidRPr="004E3242">
        <w:rPr>
          <w:rFonts w:ascii="Arial" w:hAnsi="Arial" w:cs="Arial"/>
          <w:spacing w:val="4"/>
          <w:sz w:val="20"/>
          <w:szCs w:val="20"/>
        </w:rPr>
        <w:t xml:space="preserve">Zgodnie z Rozdziałem 1.5 Umowy Partnerstwa. </w:t>
      </w:r>
    </w:p>
    <w:p w14:paraId="04C2C2F5" w14:textId="77777777" w:rsidR="004E3242" w:rsidRPr="004E3242" w:rsidRDefault="004E3242" w:rsidP="004E3242">
      <w:pPr>
        <w:autoSpaceDE w:val="0"/>
        <w:autoSpaceDN w:val="0"/>
        <w:adjustRightInd w:val="0"/>
        <w:spacing w:after="120" w:line="280" w:lineRule="atLeast"/>
        <w:jc w:val="both"/>
        <w:rPr>
          <w:rFonts w:ascii="Arial" w:hAnsi="Arial" w:cs="Arial"/>
          <w:spacing w:val="4"/>
          <w:sz w:val="20"/>
          <w:szCs w:val="20"/>
        </w:rPr>
      </w:pPr>
      <w:r w:rsidRPr="004E3242">
        <w:rPr>
          <w:rFonts w:ascii="Arial" w:hAnsi="Arial" w:cs="Arial"/>
          <w:spacing w:val="4"/>
          <w:sz w:val="20"/>
          <w:szCs w:val="20"/>
        </w:rPr>
        <w:br w:type="page"/>
      </w:r>
    </w:p>
    <w:p w14:paraId="3EBDE36E" w14:textId="77777777" w:rsidR="004E3242" w:rsidRPr="004E3242" w:rsidRDefault="004E3242" w:rsidP="00D20217">
      <w:pPr>
        <w:numPr>
          <w:ilvl w:val="0"/>
          <w:numId w:val="98"/>
        </w:num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rPr>
          <w:rFonts w:ascii="Arial" w:hAnsi="Arial" w:cs="Arial"/>
          <w:bCs/>
          <w:smallCaps/>
          <w:color w:val="000000"/>
          <w:spacing w:val="4"/>
          <w:sz w:val="32"/>
          <w:szCs w:val="32"/>
          <w:lang w:eastAsia="pl-PL"/>
        </w:rPr>
      </w:pPr>
      <w:bookmarkStart w:id="741" w:name="_Toc394317249"/>
      <w:bookmarkStart w:id="742" w:name="_Toc394317401"/>
      <w:bookmarkStart w:id="743" w:name="_Toc394317469"/>
      <w:bookmarkStart w:id="744" w:name="_Toc394317536"/>
      <w:bookmarkStart w:id="745" w:name="_Toc394318106"/>
      <w:bookmarkStart w:id="746" w:name="_Toc394318185"/>
      <w:bookmarkStart w:id="747" w:name="_Toc394318500"/>
      <w:bookmarkStart w:id="748" w:name="_Toc394318602"/>
      <w:bookmarkStart w:id="749" w:name="_Toc394318667"/>
      <w:bookmarkStart w:id="750" w:name="_Toc394318734"/>
      <w:bookmarkStart w:id="751" w:name="_Toc394318799"/>
      <w:bookmarkStart w:id="752" w:name="_Toc394318891"/>
      <w:bookmarkStart w:id="753" w:name="_Toc394319460"/>
      <w:bookmarkStart w:id="754" w:name="_Toc394319531"/>
      <w:bookmarkStart w:id="755" w:name="_Toc394319602"/>
      <w:bookmarkStart w:id="756" w:name="_Toc394319694"/>
      <w:bookmarkStart w:id="757" w:name="_Toc394319795"/>
      <w:bookmarkStart w:id="758" w:name="_Toc402942128"/>
      <w:bookmarkStart w:id="759" w:name="_Toc402942437"/>
      <w:bookmarkStart w:id="760" w:name="_Toc404585202"/>
      <w:bookmarkStart w:id="761" w:name="_Toc83810602"/>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4E3242">
        <w:rPr>
          <w:rFonts w:ascii="Arial" w:hAnsi="Arial"/>
          <w:bCs/>
          <w:smallCaps/>
          <w:color w:val="000000"/>
          <w:spacing w:val="15"/>
          <w:sz w:val="32"/>
          <w:szCs w:val="32"/>
          <w:lang w:eastAsia="pl-PL"/>
        </w:rPr>
        <w:lastRenderedPageBreak/>
        <w:t>Załączniki</w:t>
      </w:r>
      <w:bookmarkEnd w:id="761"/>
    </w:p>
    <w:p w14:paraId="15CAD62B" w14:textId="77777777" w:rsidR="004E3242" w:rsidRPr="004E3242" w:rsidRDefault="004E3242" w:rsidP="00D20217">
      <w:pPr>
        <w:numPr>
          <w:ilvl w:val="1"/>
          <w:numId w:val="98"/>
        </w:numPr>
        <w:shd w:val="clear" w:color="auto" w:fill="BFBFBF"/>
        <w:spacing w:before="360" w:after="240"/>
        <w:outlineLvl w:val="1"/>
        <w:rPr>
          <w:rFonts w:ascii="Arial" w:hAnsi="Arial"/>
          <w:smallCaps/>
          <w:spacing w:val="15"/>
          <w:sz w:val="24"/>
          <w:lang w:eastAsia="pl-PL"/>
        </w:rPr>
      </w:pPr>
      <w:bookmarkStart w:id="762" w:name="_Toc394314825"/>
      <w:bookmarkStart w:id="763" w:name="_Toc83810603"/>
      <w:r w:rsidRPr="004E3242">
        <w:rPr>
          <w:rFonts w:ascii="Arial" w:hAnsi="Arial"/>
          <w:smallCaps/>
          <w:spacing w:val="15"/>
          <w:sz w:val="24"/>
          <w:lang w:eastAsia="pl-PL"/>
        </w:rPr>
        <w:t>Ramy wykonania</w:t>
      </w:r>
      <w:bookmarkEnd w:id="762"/>
      <w:bookmarkEnd w:id="763"/>
    </w:p>
    <w:p w14:paraId="2186F5FB" w14:textId="77777777" w:rsidR="004E3242" w:rsidRPr="004E3242" w:rsidRDefault="004E3242" w:rsidP="004E3242">
      <w:pPr>
        <w:spacing w:after="120" w:line="280" w:lineRule="atLeast"/>
        <w:jc w:val="both"/>
        <w:rPr>
          <w:rFonts w:ascii="Arial" w:hAnsi="Arial" w:cs="Arial"/>
          <w:spacing w:val="4"/>
          <w:sz w:val="20"/>
          <w:szCs w:val="20"/>
        </w:rPr>
      </w:pPr>
      <w:r w:rsidRPr="004E3242">
        <w:rPr>
          <w:rFonts w:ascii="Arial" w:hAnsi="Arial" w:cs="Arial"/>
          <w:spacing w:val="4"/>
          <w:sz w:val="20"/>
          <w:szCs w:val="20"/>
        </w:rPr>
        <w:t>Zgodnie z informacjami, które są zawarte w opisach osi priorytetowych.</w:t>
      </w:r>
    </w:p>
    <w:p w14:paraId="5197672A" w14:textId="77777777" w:rsidR="00541F5B" w:rsidRPr="00541F5B" w:rsidRDefault="00541F5B" w:rsidP="00541F5B">
      <w:pPr>
        <w:numPr>
          <w:ilvl w:val="1"/>
          <w:numId w:val="98"/>
        </w:numPr>
        <w:shd w:val="clear" w:color="auto" w:fill="BFBFBF"/>
        <w:spacing w:before="360" w:after="240"/>
        <w:contextualSpacing/>
        <w:outlineLvl w:val="1"/>
        <w:rPr>
          <w:rFonts w:ascii="Arial" w:hAnsi="Arial"/>
          <w:smallCaps/>
          <w:spacing w:val="15"/>
          <w:sz w:val="24"/>
          <w:lang w:val="x-none" w:eastAsia="pl-PL"/>
        </w:rPr>
      </w:pPr>
      <w:bookmarkStart w:id="764" w:name="_Toc394314826"/>
      <w:bookmarkStart w:id="765" w:name="_Toc83810604"/>
      <w:r w:rsidRPr="00541F5B">
        <w:rPr>
          <w:rFonts w:ascii="Arial" w:hAnsi="Arial"/>
          <w:smallCaps/>
          <w:spacing w:val="15"/>
          <w:sz w:val="24"/>
          <w:lang w:val="x-none" w:eastAsia="pl-PL"/>
        </w:rPr>
        <w:t>Wykaz dużych projektów</w:t>
      </w:r>
      <w:r w:rsidRPr="00541F5B">
        <w:rPr>
          <w:vertAlign w:val="superscript"/>
          <w:lang w:val="x-none" w:eastAsia="pl-PL"/>
        </w:rPr>
        <w:footnoteReference w:id="115"/>
      </w:r>
      <w:bookmarkEnd w:id="764"/>
      <w:bookmarkEnd w:id="765"/>
    </w:p>
    <w:p w14:paraId="385D8CF3" w14:textId="0E7DD22F" w:rsidR="00541F5B" w:rsidRDefault="00541F5B" w:rsidP="00541F5B">
      <w:pPr>
        <w:spacing w:after="120" w:line="280" w:lineRule="atLeast"/>
        <w:jc w:val="both"/>
        <w:rPr>
          <w:rFonts w:ascii="Arial" w:hAnsi="Arial" w:cs="Arial"/>
          <w:spacing w:val="4"/>
          <w:sz w:val="20"/>
          <w:szCs w:val="20"/>
        </w:rPr>
      </w:pPr>
      <w:r w:rsidRPr="00541F5B">
        <w:rPr>
          <w:rFonts w:ascii="Arial" w:hAnsi="Arial" w:cs="Arial"/>
          <w:spacing w:val="4"/>
          <w:sz w:val="20"/>
          <w:szCs w:val="20"/>
        </w:rPr>
        <w:t>Realizacja poszczególnych projektów będzie uzależniona od spełnienia kryteriów wyboru projektów oraz od dostępności alokacji UE.</w:t>
      </w:r>
    </w:p>
    <w:p w14:paraId="0BF51ECF" w14:textId="77777777" w:rsidR="00FD723C" w:rsidRPr="00541F5B" w:rsidRDefault="00FD723C" w:rsidP="00541F5B">
      <w:pPr>
        <w:spacing w:after="120" w:line="280" w:lineRule="atLeast"/>
        <w:jc w:val="both"/>
        <w:rPr>
          <w:rFonts w:ascii="Arial" w:hAnsi="Arial" w:cs="Arial"/>
          <w:spacing w:val="4"/>
          <w:sz w:val="20"/>
          <w:szCs w:val="20"/>
        </w:rPr>
      </w:pPr>
    </w:p>
    <w:p w14:paraId="017C3F50" w14:textId="77777777" w:rsidR="00FD723C" w:rsidRPr="00D5430D" w:rsidRDefault="00FD723C" w:rsidP="00FD723C">
      <w:pPr>
        <w:keepLines/>
        <w:numPr>
          <w:ilvl w:val="0"/>
          <w:numId w:val="118"/>
        </w:numPr>
        <w:pBdr>
          <w:bottom w:val="single" w:sz="4" w:space="1" w:color="669900"/>
        </w:pBdr>
        <w:spacing w:before="360" w:after="240" w:line="240" w:lineRule="auto"/>
        <w:contextualSpacing/>
        <w:jc w:val="both"/>
        <w:rPr>
          <w:rFonts w:ascii="Arial" w:eastAsia="Times New Roman" w:hAnsi="Arial"/>
          <w:smallCaps/>
          <w:color w:val="92D050"/>
          <w:spacing w:val="10"/>
          <w:sz w:val="24"/>
          <w:szCs w:val="24"/>
          <w:lang w:val="x-none" w:eastAsia="pl-PL"/>
        </w:rPr>
      </w:pPr>
      <w:r w:rsidRPr="00D5430D">
        <w:rPr>
          <w:rFonts w:ascii="Arial" w:eastAsia="Times New Roman" w:hAnsi="Arial"/>
          <w:smallCaps/>
          <w:color w:val="92D050"/>
          <w:spacing w:val="10"/>
          <w:sz w:val="24"/>
          <w:szCs w:val="24"/>
          <w:lang w:val="x-none" w:eastAsia="pl-PL"/>
        </w:rPr>
        <w:t xml:space="preserve">Sektor </w:t>
      </w:r>
      <w:r w:rsidRPr="00D5430D">
        <w:rPr>
          <w:rFonts w:ascii="Arial" w:eastAsia="Times New Roman" w:hAnsi="Arial"/>
          <w:smallCaps/>
          <w:color w:val="92D050"/>
          <w:spacing w:val="10"/>
          <w:sz w:val="24"/>
          <w:szCs w:val="24"/>
          <w:lang w:eastAsia="pl-PL"/>
        </w:rPr>
        <w:t>T</w:t>
      </w:r>
      <w:proofErr w:type="spellStart"/>
      <w:r w:rsidRPr="00D5430D">
        <w:rPr>
          <w:rFonts w:ascii="Arial" w:eastAsia="Times New Roman" w:hAnsi="Arial"/>
          <w:smallCaps/>
          <w:color w:val="92D050"/>
          <w:spacing w:val="10"/>
          <w:sz w:val="24"/>
          <w:szCs w:val="24"/>
          <w:lang w:val="x-none" w:eastAsia="pl-PL"/>
        </w:rPr>
        <w:t>ransportu</w:t>
      </w:r>
      <w:proofErr w:type="spellEnd"/>
      <w:r w:rsidRPr="00D5430D">
        <w:rPr>
          <w:color w:val="92D050"/>
          <w:vertAlign w:val="superscript"/>
          <w:lang w:val="x-none" w:eastAsia="pl-PL"/>
        </w:rPr>
        <w:footnoteReference w:id="116"/>
      </w:r>
    </w:p>
    <w:tbl>
      <w:tblPr>
        <w:tblW w:w="9781"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0A0" w:firstRow="1" w:lastRow="0" w:firstColumn="1" w:lastColumn="0" w:noHBand="0" w:noVBand="0"/>
      </w:tblPr>
      <w:tblGrid>
        <w:gridCol w:w="709"/>
        <w:gridCol w:w="2802"/>
        <w:gridCol w:w="25"/>
        <w:gridCol w:w="8"/>
        <w:gridCol w:w="13"/>
        <w:gridCol w:w="1399"/>
        <w:gridCol w:w="6"/>
        <w:gridCol w:w="1417"/>
        <w:gridCol w:w="1418"/>
        <w:gridCol w:w="992"/>
        <w:gridCol w:w="992"/>
      </w:tblGrid>
      <w:tr w:rsidR="00FD723C" w:rsidRPr="00FD723C" w14:paraId="7F8C08B0" w14:textId="77777777" w:rsidTr="001B2C4E">
        <w:trPr>
          <w:trHeight w:val="1974"/>
        </w:trPr>
        <w:tc>
          <w:tcPr>
            <w:tcW w:w="709" w:type="dxa"/>
            <w:shd w:val="clear" w:color="auto" w:fill="D6E3BC"/>
            <w:vAlign w:val="center"/>
          </w:tcPr>
          <w:p w14:paraId="1695987D"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Lp.</w:t>
            </w:r>
          </w:p>
        </w:tc>
        <w:tc>
          <w:tcPr>
            <w:tcW w:w="2827" w:type="dxa"/>
            <w:gridSpan w:val="2"/>
            <w:shd w:val="clear" w:color="auto" w:fill="D6E3BC"/>
            <w:vAlign w:val="center"/>
          </w:tcPr>
          <w:p w14:paraId="04079E46"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Nazwa projektu</w:t>
            </w:r>
          </w:p>
        </w:tc>
        <w:tc>
          <w:tcPr>
            <w:tcW w:w="1426" w:type="dxa"/>
            <w:gridSpan w:val="4"/>
            <w:shd w:val="clear" w:color="auto" w:fill="D6E3BC"/>
            <w:vAlign w:val="center"/>
          </w:tcPr>
          <w:p w14:paraId="334F9E83"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 xml:space="preserve">Planowany termin notyfikacji/ przedłożenia w KE wniosku </w:t>
            </w:r>
            <w:proofErr w:type="spellStart"/>
            <w:r w:rsidRPr="00FD723C">
              <w:rPr>
                <w:rFonts w:ascii="Arial" w:hAnsi="Arial" w:cs="Arial"/>
                <w:b/>
                <w:sz w:val="16"/>
                <w:szCs w:val="16"/>
              </w:rPr>
              <w:t>ws</w:t>
            </w:r>
            <w:proofErr w:type="spellEnd"/>
            <w:r w:rsidRPr="00FD723C">
              <w:rPr>
                <w:rFonts w:ascii="Arial" w:hAnsi="Arial" w:cs="Arial"/>
                <w:b/>
                <w:sz w:val="16"/>
                <w:szCs w:val="16"/>
              </w:rPr>
              <w:t>. dużego projektu</w:t>
            </w:r>
          </w:p>
          <w:p w14:paraId="1080D6D4"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(rok, kwartał)</w:t>
            </w:r>
          </w:p>
        </w:tc>
        <w:tc>
          <w:tcPr>
            <w:tcW w:w="1417" w:type="dxa"/>
            <w:shd w:val="clear" w:color="auto" w:fill="D6E3BC"/>
            <w:vAlign w:val="center"/>
          </w:tcPr>
          <w:p w14:paraId="39BE4CEF"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Planowany termin rozpoczęcia wdrażania</w:t>
            </w:r>
          </w:p>
          <w:p w14:paraId="549A3AB6"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(rok, kwartał)</w:t>
            </w:r>
            <w:r w:rsidRPr="00FD723C">
              <w:rPr>
                <w:rFonts w:ascii="Arial" w:hAnsi="Arial" w:cs="Arial"/>
                <w:b/>
                <w:sz w:val="16"/>
                <w:szCs w:val="16"/>
                <w:vertAlign w:val="superscript"/>
              </w:rPr>
              <w:footnoteReference w:id="117"/>
            </w:r>
          </w:p>
        </w:tc>
        <w:tc>
          <w:tcPr>
            <w:tcW w:w="1418" w:type="dxa"/>
            <w:shd w:val="clear" w:color="auto" w:fill="D6E3BC"/>
            <w:vAlign w:val="center"/>
          </w:tcPr>
          <w:p w14:paraId="3BCB3E05"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Planowany termin zakończenia wdrażania dużego projektu</w:t>
            </w:r>
          </w:p>
          <w:p w14:paraId="7F1720DA"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(rok, kwartał)</w:t>
            </w:r>
            <w:r w:rsidRPr="00FD723C">
              <w:rPr>
                <w:rFonts w:ascii="Arial" w:hAnsi="Arial" w:cs="Arial"/>
                <w:b/>
                <w:sz w:val="16"/>
                <w:szCs w:val="16"/>
                <w:vertAlign w:val="superscript"/>
              </w:rPr>
              <w:footnoteReference w:id="118"/>
            </w:r>
          </w:p>
        </w:tc>
        <w:tc>
          <w:tcPr>
            <w:tcW w:w="992" w:type="dxa"/>
            <w:shd w:val="clear" w:color="auto" w:fill="D6E3BC"/>
            <w:vAlign w:val="center"/>
          </w:tcPr>
          <w:p w14:paraId="35543FA3"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Priorytet</w:t>
            </w:r>
          </w:p>
          <w:p w14:paraId="7C1A0E2D" w14:textId="77777777" w:rsidR="00FD723C" w:rsidRPr="00FD723C" w:rsidRDefault="00FD723C" w:rsidP="00FD723C">
            <w:pPr>
              <w:spacing w:after="0" w:line="240" w:lineRule="auto"/>
              <w:jc w:val="center"/>
              <w:rPr>
                <w:rFonts w:ascii="Arial" w:hAnsi="Arial" w:cs="Arial"/>
                <w:b/>
                <w:sz w:val="16"/>
                <w:szCs w:val="16"/>
              </w:rPr>
            </w:pPr>
            <w:proofErr w:type="spellStart"/>
            <w:r w:rsidRPr="00FD723C">
              <w:rPr>
                <w:rFonts w:ascii="Arial" w:hAnsi="Arial" w:cs="Arial"/>
                <w:b/>
                <w:sz w:val="16"/>
                <w:szCs w:val="16"/>
              </w:rPr>
              <w:t>Inwesty-cyjny</w:t>
            </w:r>
            <w:proofErr w:type="spellEnd"/>
          </w:p>
        </w:tc>
        <w:tc>
          <w:tcPr>
            <w:tcW w:w="992" w:type="dxa"/>
            <w:shd w:val="clear" w:color="auto" w:fill="D6E3BC"/>
            <w:vAlign w:val="center"/>
          </w:tcPr>
          <w:p w14:paraId="0E9EDCDF" w14:textId="77777777" w:rsidR="00FD723C" w:rsidRPr="00FD723C" w:rsidRDefault="00FD723C" w:rsidP="00FD723C">
            <w:pPr>
              <w:spacing w:after="0" w:line="240" w:lineRule="auto"/>
              <w:jc w:val="center"/>
              <w:rPr>
                <w:rFonts w:ascii="Arial" w:hAnsi="Arial" w:cs="Arial"/>
                <w:b/>
                <w:sz w:val="16"/>
                <w:szCs w:val="16"/>
              </w:rPr>
            </w:pPr>
            <w:r w:rsidRPr="00FD723C">
              <w:rPr>
                <w:rFonts w:ascii="Arial" w:hAnsi="Arial" w:cs="Arial"/>
                <w:b/>
                <w:sz w:val="16"/>
                <w:szCs w:val="16"/>
              </w:rPr>
              <w:t xml:space="preserve">Oś </w:t>
            </w:r>
            <w:proofErr w:type="spellStart"/>
            <w:r w:rsidRPr="00FD723C">
              <w:rPr>
                <w:rFonts w:ascii="Arial" w:hAnsi="Arial" w:cs="Arial"/>
                <w:b/>
                <w:sz w:val="16"/>
                <w:szCs w:val="16"/>
              </w:rPr>
              <w:t>priory-tetowa</w:t>
            </w:r>
            <w:proofErr w:type="spellEnd"/>
          </w:p>
        </w:tc>
      </w:tr>
      <w:tr w:rsidR="00FD723C" w:rsidRPr="00FD723C" w14:paraId="4C3024CB" w14:textId="77777777" w:rsidTr="001B2C4E">
        <w:trPr>
          <w:trHeight w:val="275"/>
        </w:trPr>
        <w:tc>
          <w:tcPr>
            <w:tcW w:w="9781" w:type="dxa"/>
            <w:gridSpan w:val="11"/>
            <w:shd w:val="clear" w:color="auto" w:fill="99CC00"/>
            <w:vAlign w:val="center"/>
          </w:tcPr>
          <w:p w14:paraId="3A363230" w14:textId="77777777" w:rsidR="00FD723C" w:rsidRPr="00FD723C" w:rsidRDefault="00FD723C" w:rsidP="00FD723C">
            <w:pPr>
              <w:spacing w:after="0" w:line="240" w:lineRule="auto"/>
              <w:jc w:val="center"/>
              <w:rPr>
                <w:rFonts w:ascii="Arial" w:hAnsi="Arial" w:cs="Arial"/>
                <w:b/>
                <w:bCs/>
                <w:sz w:val="16"/>
                <w:szCs w:val="16"/>
              </w:rPr>
            </w:pPr>
            <w:r w:rsidRPr="00FD723C">
              <w:rPr>
                <w:rFonts w:ascii="Arial" w:hAnsi="Arial" w:cs="Arial"/>
                <w:b/>
                <w:bCs/>
                <w:sz w:val="16"/>
                <w:szCs w:val="16"/>
              </w:rPr>
              <w:t>PROJEKTY DROGOWE</w:t>
            </w:r>
          </w:p>
        </w:tc>
      </w:tr>
      <w:tr w:rsidR="00FD723C" w:rsidRPr="00FD723C" w14:paraId="3D14D81D" w14:textId="77777777" w:rsidTr="001B2C4E">
        <w:trPr>
          <w:trHeight w:val="300"/>
        </w:trPr>
        <w:tc>
          <w:tcPr>
            <w:tcW w:w="709" w:type="dxa"/>
            <w:shd w:val="clear" w:color="auto" w:fill="F2F2F2"/>
            <w:vAlign w:val="center"/>
          </w:tcPr>
          <w:p w14:paraId="6E0052EA" w14:textId="77777777" w:rsidR="00FD723C" w:rsidRPr="00FD723C" w:rsidRDefault="00FD723C" w:rsidP="00FD723C">
            <w:pPr>
              <w:spacing w:before="60" w:after="60"/>
              <w:ind w:left="360"/>
              <w:rPr>
                <w:rFonts w:ascii="Arial" w:hAnsi="Arial" w:cs="Arial"/>
                <w:sz w:val="16"/>
                <w:szCs w:val="16"/>
              </w:rPr>
            </w:pPr>
          </w:p>
        </w:tc>
        <w:tc>
          <w:tcPr>
            <w:tcW w:w="2848" w:type="dxa"/>
            <w:gridSpan w:val="4"/>
            <w:shd w:val="clear" w:color="auto" w:fill="F2F2F2"/>
            <w:vAlign w:val="center"/>
          </w:tcPr>
          <w:p w14:paraId="1D79CCA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A1</w:t>
            </w:r>
          </w:p>
          <w:p w14:paraId="64ADD17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odcinek Pyrzowice – Tuszyn</w:t>
            </w:r>
          </w:p>
        </w:tc>
        <w:tc>
          <w:tcPr>
            <w:tcW w:w="1405" w:type="dxa"/>
            <w:gridSpan w:val="2"/>
            <w:shd w:val="clear" w:color="auto" w:fill="F2F2F2"/>
            <w:vAlign w:val="center"/>
          </w:tcPr>
          <w:p w14:paraId="7B49295A"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40C45636"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472C1A7A"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02009164"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AD65F59" w14:textId="77777777" w:rsidR="00FD723C" w:rsidRPr="00FD723C" w:rsidRDefault="00FD723C" w:rsidP="00FD723C">
            <w:pPr>
              <w:spacing w:before="60" w:after="60"/>
              <w:jc w:val="center"/>
              <w:rPr>
                <w:rFonts w:ascii="Arial" w:hAnsi="Arial" w:cs="Arial"/>
                <w:sz w:val="16"/>
                <w:szCs w:val="16"/>
              </w:rPr>
            </w:pPr>
          </w:p>
        </w:tc>
      </w:tr>
      <w:tr w:rsidR="00FD723C" w:rsidRPr="00FD723C" w14:paraId="31385151" w14:textId="77777777" w:rsidTr="001B2C4E">
        <w:trPr>
          <w:trHeight w:val="300"/>
        </w:trPr>
        <w:tc>
          <w:tcPr>
            <w:tcW w:w="709" w:type="dxa"/>
            <w:shd w:val="clear" w:color="auto" w:fill="F2F2F2"/>
            <w:vAlign w:val="center"/>
          </w:tcPr>
          <w:p w14:paraId="63B3A7FA"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35" w:type="dxa"/>
            <w:gridSpan w:val="3"/>
            <w:shd w:val="clear" w:color="auto" w:fill="F2F2F2"/>
            <w:vAlign w:val="bottom"/>
          </w:tcPr>
          <w:p w14:paraId="7E3FFAA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autostrady A1, odc. Pyrzowice – Częstochowa </w:t>
            </w:r>
          </w:p>
        </w:tc>
        <w:tc>
          <w:tcPr>
            <w:tcW w:w="1412" w:type="dxa"/>
            <w:gridSpan w:val="2"/>
            <w:shd w:val="clear" w:color="auto" w:fill="F2F2F2"/>
            <w:vAlign w:val="center"/>
          </w:tcPr>
          <w:p w14:paraId="7780F5BF" w14:textId="77777777" w:rsidR="00FD723C" w:rsidRPr="00FD723C" w:rsidDel="003C5A9A"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23" w:type="dxa"/>
            <w:gridSpan w:val="2"/>
            <w:shd w:val="clear" w:color="auto" w:fill="F2F2F2"/>
            <w:vAlign w:val="center"/>
          </w:tcPr>
          <w:p w14:paraId="29608910" w14:textId="77777777" w:rsidR="00FD723C" w:rsidRPr="00FD723C" w:rsidDel="003C5A9A"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7776FB35" w14:textId="77777777" w:rsidR="00FD723C" w:rsidRPr="00FD723C" w:rsidDel="003C5A9A"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2A901CA3" w14:textId="77777777" w:rsidR="00FD723C" w:rsidRPr="00FD723C" w:rsidDel="003C5A9A"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5A760C5" w14:textId="77777777" w:rsidR="00FD723C" w:rsidRPr="00FD723C" w:rsidDel="003C5A9A"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4FEC486F" w14:textId="77777777" w:rsidTr="001B2C4E">
        <w:trPr>
          <w:trHeight w:val="300"/>
        </w:trPr>
        <w:tc>
          <w:tcPr>
            <w:tcW w:w="709" w:type="dxa"/>
            <w:shd w:val="clear" w:color="auto" w:fill="F2F2F2"/>
            <w:vAlign w:val="center"/>
          </w:tcPr>
          <w:p w14:paraId="58944BB1"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35" w:type="dxa"/>
            <w:gridSpan w:val="3"/>
            <w:shd w:val="clear" w:color="auto" w:fill="F2F2F2"/>
            <w:vAlign w:val="bottom"/>
          </w:tcPr>
          <w:p w14:paraId="4C28B92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autostrady A1, odc. koniec obwodnicy Częstochowy - Tuszyn</w:t>
            </w:r>
          </w:p>
        </w:tc>
        <w:tc>
          <w:tcPr>
            <w:tcW w:w="1412" w:type="dxa"/>
            <w:gridSpan w:val="2"/>
            <w:shd w:val="clear" w:color="auto" w:fill="F2F2F2"/>
            <w:vAlign w:val="center"/>
          </w:tcPr>
          <w:p w14:paraId="51536CE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23" w:type="dxa"/>
            <w:gridSpan w:val="2"/>
            <w:shd w:val="clear" w:color="auto" w:fill="F2F2F2"/>
            <w:vAlign w:val="center"/>
          </w:tcPr>
          <w:p w14:paraId="08849C3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62692DA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7809A42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4EA69D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457382A" w14:textId="77777777" w:rsidTr="001B2C4E">
        <w:trPr>
          <w:trHeight w:val="300"/>
        </w:trPr>
        <w:tc>
          <w:tcPr>
            <w:tcW w:w="709" w:type="dxa"/>
            <w:shd w:val="clear" w:color="auto" w:fill="F2F2F2"/>
            <w:vAlign w:val="center"/>
          </w:tcPr>
          <w:p w14:paraId="36A39B8C" w14:textId="77777777" w:rsidR="00FD723C" w:rsidRPr="00FD723C" w:rsidRDefault="00FD723C" w:rsidP="00FD723C">
            <w:pPr>
              <w:spacing w:before="60" w:after="60"/>
              <w:ind w:left="360"/>
              <w:rPr>
                <w:rFonts w:ascii="Arial" w:hAnsi="Arial" w:cs="Arial"/>
                <w:sz w:val="16"/>
                <w:szCs w:val="16"/>
              </w:rPr>
            </w:pPr>
          </w:p>
        </w:tc>
        <w:tc>
          <w:tcPr>
            <w:tcW w:w="2835" w:type="dxa"/>
            <w:gridSpan w:val="3"/>
            <w:shd w:val="clear" w:color="auto" w:fill="F2F2F2"/>
            <w:vAlign w:val="center"/>
          </w:tcPr>
          <w:p w14:paraId="3D931FC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S7</w:t>
            </w:r>
          </w:p>
          <w:p w14:paraId="5037E26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Gdańsk – Warszawa</w:t>
            </w:r>
          </w:p>
        </w:tc>
        <w:tc>
          <w:tcPr>
            <w:tcW w:w="1412" w:type="dxa"/>
            <w:gridSpan w:val="2"/>
            <w:shd w:val="clear" w:color="auto" w:fill="F2F2F2"/>
            <w:vAlign w:val="center"/>
          </w:tcPr>
          <w:p w14:paraId="0AF6391B" w14:textId="77777777" w:rsidR="00FD723C" w:rsidRPr="00FD723C" w:rsidRDefault="00FD723C" w:rsidP="00FD723C">
            <w:pPr>
              <w:spacing w:before="60" w:after="60"/>
              <w:jc w:val="center"/>
              <w:rPr>
                <w:rFonts w:ascii="Arial" w:hAnsi="Arial" w:cs="Arial"/>
                <w:sz w:val="16"/>
                <w:szCs w:val="16"/>
              </w:rPr>
            </w:pPr>
          </w:p>
        </w:tc>
        <w:tc>
          <w:tcPr>
            <w:tcW w:w="1423" w:type="dxa"/>
            <w:gridSpan w:val="2"/>
            <w:shd w:val="clear" w:color="auto" w:fill="F2F2F2"/>
            <w:vAlign w:val="center"/>
          </w:tcPr>
          <w:p w14:paraId="22F97B8E"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5805B9A5"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EAFDE95"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BFAECB1" w14:textId="77777777" w:rsidR="00FD723C" w:rsidRPr="00FD723C" w:rsidRDefault="00FD723C" w:rsidP="00FD723C">
            <w:pPr>
              <w:spacing w:before="60" w:after="60"/>
              <w:jc w:val="center"/>
              <w:rPr>
                <w:rFonts w:ascii="Arial" w:hAnsi="Arial" w:cs="Arial"/>
                <w:sz w:val="16"/>
                <w:szCs w:val="16"/>
              </w:rPr>
            </w:pPr>
          </w:p>
        </w:tc>
      </w:tr>
      <w:tr w:rsidR="00FD723C" w:rsidRPr="00FD723C" w14:paraId="3810CDD7" w14:textId="77777777" w:rsidTr="001B2C4E">
        <w:trPr>
          <w:trHeight w:val="300"/>
        </w:trPr>
        <w:tc>
          <w:tcPr>
            <w:tcW w:w="709" w:type="dxa"/>
            <w:shd w:val="clear" w:color="auto" w:fill="F2F2F2"/>
            <w:vAlign w:val="center"/>
          </w:tcPr>
          <w:p w14:paraId="71127274"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35" w:type="dxa"/>
            <w:gridSpan w:val="3"/>
            <w:shd w:val="clear" w:color="auto" w:fill="F2F2F2"/>
            <w:vAlign w:val="center"/>
          </w:tcPr>
          <w:p w14:paraId="6BBDCC1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Gdańsk - Elbląg, odc. Koszwały - Elbląg</w:t>
            </w:r>
          </w:p>
        </w:tc>
        <w:tc>
          <w:tcPr>
            <w:tcW w:w="1412" w:type="dxa"/>
            <w:gridSpan w:val="2"/>
            <w:shd w:val="clear" w:color="auto" w:fill="F2F2F2"/>
            <w:vAlign w:val="center"/>
          </w:tcPr>
          <w:p w14:paraId="6B4C7E0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23" w:type="dxa"/>
            <w:gridSpan w:val="2"/>
            <w:shd w:val="clear" w:color="auto" w:fill="F2F2F2"/>
            <w:vAlign w:val="center"/>
          </w:tcPr>
          <w:p w14:paraId="708BB85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3B2CE8A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  II kw.)</w:t>
            </w:r>
          </w:p>
        </w:tc>
        <w:tc>
          <w:tcPr>
            <w:tcW w:w="992" w:type="dxa"/>
            <w:shd w:val="clear" w:color="auto" w:fill="F2F2F2"/>
            <w:vAlign w:val="center"/>
          </w:tcPr>
          <w:p w14:paraId="44E64E4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25593B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082ACC2A" w14:textId="77777777" w:rsidTr="001B2C4E">
        <w:trPr>
          <w:trHeight w:val="300"/>
        </w:trPr>
        <w:tc>
          <w:tcPr>
            <w:tcW w:w="709" w:type="dxa"/>
            <w:shd w:val="clear" w:color="auto" w:fill="F2F2F2"/>
            <w:vAlign w:val="center"/>
          </w:tcPr>
          <w:p w14:paraId="77B57C55"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35" w:type="dxa"/>
            <w:gridSpan w:val="3"/>
            <w:shd w:val="clear" w:color="auto" w:fill="F2F2F2"/>
            <w:vAlign w:val="bottom"/>
          </w:tcPr>
          <w:p w14:paraId="086FB0C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odc. Miłomłyn - Olsztynek</w:t>
            </w:r>
          </w:p>
        </w:tc>
        <w:tc>
          <w:tcPr>
            <w:tcW w:w="1412" w:type="dxa"/>
            <w:gridSpan w:val="2"/>
            <w:shd w:val="clear" w:color="auto" w:fill="F2F2F2"/>
            <w:vAlign w:val="center"/>
          </w:tcPr>
          <w:p w14:paraId="3FDEA64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23" w:type="dxa"/>
            <w:gridSpan w:val="2"/>
            <w:shd w:val="clear" w:color="auto" w:fill="F2F2F2"/>
            <w:vAlign w:val="center"/>
          </w:tcPr>
          <w:p w14:paraId="5B9DCAA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4F74793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992" w:type="dxa"/>
            <w:shd w:val="clear" w:color="auto" w:fill="F2F2F2"/>
            <w:vAlign w:val="center"/>
          </w:tcPr>
          <w:p w14:paraId="425AA87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AFEB32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7562B8C" w14:textId="77777777" w:rsidTr="001B2C4E">
        <w:trPr>
          <w:trHeight w:val="300"/>
        </w:trPr>
        <w:tc>
          <w:tcPr>
            <w:tcW w:w="709" w:type="dxa"/>
            <w:shd w:val="clear" w:color="auto" w:fill="F2F2F2"/>
            <w:vAlign w:val="center"/>
          </w:tcPr>
          <w:p w14:paraId="6CE70C32"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35" w:type="dxa"/>
            <w:gridSpan w:val="3"/>
            <w:shd w:val="clear" w:color="auto" w:fill="F2F2F2"/>
            <w:vAlign w:val="bottom"/>
          </w:tcPr>
          <w:p w14:paraId="76CBC90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Olsztynek – Płońsk, odc. Nidzica - Napierki</w:t>
            </w:r>
          </w:p>
        </w:tc>
        <w:tc>
          <w:tcPr>
            <w:tcW w:w="1412" w:type="dxa"/>
            <w:gridSpan w:val="2"/>
            <w:shd w:val="clear" w:color="auto" w:fill="F2F2F2"/>
            <w:vAlign w:val="center"/>
          </w:tcPr>
          <w:p w14:paraId="02ED17B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23" w:type="dxa"/>
            <w:gridSpan w:val="2"/>
            <w:shd w:val="clear" w:color="auto" w:fill="F2F2F2"/>
            <w:vAlign w:val="center"/>
          </w:tcPr>
          <w:p w14:paraId="5CB2DA0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 kw.)</w:t>
            </w:r>
          </w:p>
        </w:tc>
        <w:tc>
          <w:tcPr>
            <w:tcW w:w="1418" w:type="dxa"/>
            <w:shd w:val="clear" w:color="auto" w:fill="F2F2F2"/>
            <w:vAlign w:val="center"/>
          </w:tcPr>
          <w:p w14:paraId="5462707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992" w:type="dxa"/>
            <w:shd w:val="clear" w:color="auto" w:fill="F2F2F2"/>
            <w:vAlign w:val="center"/>
          </w:tcPr>
          <w:p w14:paraId="5F81921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8CE8F2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694DE48E" w14:textId="77777777" w:rsidTr="001B2C4E">
        <w:trPr>
          <w:trHeight w:val="300"/>
        </w:trPr>
        <w:tc>
          <w:tcPr>
            <w:tcW w:w="709" w:type="dxa"/>
            <w:shd w:val="clear" w:color="auto" w:fill="F2F2F2"/>
            <w:vAlign w:val="center"/>
          </w:tcPr>
          <w:p w14:paraId="3FD18109"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35" w:type="dxa"/>
            <w:gridSpan w:val="3"/>
            <w:shd w:val="clear" w:color="auto" w:fill="F2F2F2"/>
            <w:vAlign w:val="bottom"/>
          </w:tcPr>
          <w:p w14:paraId="635014C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Olsztynek – Płońsk, odc. Napierki – Płońsk</w:t>
            </w:r>
          </w:p>
        </w:tc>
        <w:tc>
          <w:tcPr>
            <w:tcW w:w="1412" w:type="dxa"/>
            <w:gridSpan w:val="2"/>
            <w:shd w:val="clear" w:color="auto" w:fill="F2F2F2"/>
            <w:vAlign w:val="center"/>
          </w:tcPr>
          <w:p w14:paraId="12390BD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23" w:type="dxa"/>
            <w:gridSpan w:val="2"/>
            <w:shd w:val="clear" w:color="auto" w:fill="F2F2F2"/>
            <w:vAlign w:val="center"/>
          </w:tcPr>
          <w:p w14:paraId="3187841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36E2D8B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992" w:type="dxa"/>
            <w:shd w:val="clear" w:color="auto" w:fill="F2F2F2"/>
            <w:vAlign w:val="center"/>
          </w:tcPr>
          <w:p w14:paraId="37A0E27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321BA32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7FD0855" w14:textId="77777777" w:rsidTr="001B2C4E">
        <w:trPr>
          <w:trHeight w:val="300"/>
        </w:trPr>
        <w:tc>
          <w:tcPr>
            <w:tcW w:w="709" w:type="dxa"/>
            <w:shd w:val="clear" w:color="auto" w:fill="F2F2F2"/>
            <w:vAlign w:val="center"/>
          </w:tcPr>
          <w:p w14:paraId="6C4604EF"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35" w:type="dxa"/>
            <w:gridSpan w:val="3"/>
            <w:shd w:val="clear" w:color="auto" w:fill="F2F2F2"/>
            <w:vAlign w:val="bottom"/>
          </w:tcPr>
          <w:p w14:paraId="55382D8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S7, odc. Płońsk (S10) - Czosnów</w:t>
            </w:r>
          </w:p>
        </w:tc>
        <w:tc>
          <w:tcPr>
            <w:tcW w:w="1412" w:type="dxa"/>
            <w:gridSpan w:val="2"/>
            <w:shd w:val="clear" w:color="auto" w:fill="F2F2F2"/>
            <w:vAlign w:val="center"/>
          </w:tcPr>
          <w:p w14:paraId="673657E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1423" w:type="dxa"/>
            <w:gridSpan w:val="2"/>
            <w:shd w:val="clear" w:color="auto" w:fill="F2F2F2"/>
            <w:vAlign w:val="center"/>
          </w:tcPr>
          <w:p w14:paraId="2AD6E8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 kw.)</w:t>
            </w:r>
          </w:p>
        </w:tc>
        <w:tc>
          <w:tcPr>
            <w:tcW w:w="1418" w:type="dxa"/>
            <w:shd w:val="clear" w:color="auto" w:fill="F2F2F2"/>
            <w:vAlign w:val="center"/>
          </w:tcPr>
          <w:p w14:paraId="11A516F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056EA0C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019C73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51614853" w14:textId="77777777" w:rsidTr="001B2C4E">
        <w:trPr>
          <w:trHeight w:val="300"/>
        </w:trPr>
        <w:tc>
          <w:tcPr>
            <w:tcW w:w="709" w:type="dxa"/>
            <w:shd w:val="clear" w:color="auto" w:fill="F2F2F2"/>
            <w:vAlign w:val="center"/>
          </w:tcPr>
          <w:p w14:paraId="4135A648"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4238F3F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S8</w:t>
            </w:r>
          </w:p>
          <w:p w14:paraId="1DF351F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Radziejowice – Białystok</w:t>
            </w:r>
          </w:p>
        </w:tc>
        <w:tc>
          <w:tcPr>
            <w:tcW w:w="1405" w:type="dxa"/>
            <w:gridSpan w:val="2"/>
            <w:shd w:val="clear" w:color="auto" w:fill="F2F2F2"/>
            <w:vAlign w:val="center"/>
          </w:tcPr>
          <w:p w14:paraId="1A9B9240"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5D4652DA"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6DE55879"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12800DA6"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55985E2A" w14:textId="77777777" w:rsidR="00FD723C" w:rsidRPr="00FD723C" w:rsidRDefault="00FD723C" w:rsidP="00FD723C">
            <w:pPr>
              <w:spacing w:before="60" w:after="60"/>
              <w:jc w:val="center"/>
              <w:rPr>
                <w:rFonts w:ascii="Arial" w:hAnsi="Arial" w:cs="Arial"/>
                <w:sz w:val="16"/>
                <w:szCs w:val="16"/>
              </w:rPr>
            </w:pPr>
          </w:p>
        </w:tc>
      </w:tr>
      <w:tr w:rsidR="00FD723C" w:rsidRPr="00FD723C" w14:paraId="50DBE0A0" w14:textId="77777777" w:rsidTr="001B2C4E">
        <w:trPr>
          <w:trHeight w:val="300"/>
        </w:trPr>
        <w:tc>
          <w:tcPr>
            <w:tcW w:w="709" w:type="dxa"/>
            <w:shd w:val="clear" w:color="auto" w:fill="F2F2F2"/>
            <w:vAlign w:val="center"/>
          </w:tcPr>
          <w:p w14:paraId="1C20748B"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2423AA8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Przebudowa drogi ekspresowej S8 </w:t>
            </w:r>
            <w:r w:rsidRPr="00FD723C">
              <w:rPr>
                <w:rFonts w:ascii="Arial" w:hAnsi="Arial" w:cs="Arial"/>
                <w:sz w:val="16"/>
                <w:szCs w:val="16"/>
              </w:rPr>
              <w:lastRenderedPageBreak/>
              <w:t>Piotrków Trybunalski - Warszawa, odc. Radziejowice - w. Paszków</w:t>
            </w:r>
          </w:p>
        </w:tc>
        <w:tc>
          <w:tcPr>
            <w:tcW w:w="1405" w:type="dxa"/>
            <w:gridSpan w:val="2"/>
            <w:shd w:val="clear" w:color="auto" w:fill="F2F2F2"/>
            <w:vAlign w:val="center"/>
          </w:tcPr>
          <w:p w14:paraId="0752A39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lastRenderedPageBreak/>
              <w:t>2017 (I kw.)</w:t>
            </w:r>
          </w:p>
        </w:tc>
        <w:tc>
          <w:tcPr>
            <w:tcW w:w="1417" w:type="dxa"/>
            <w:shd w:val="clear" w:color="auto" w:fill="F2F2F2"/>
            <w:vAlign w:val="center"/>
          </w:tcPr>
          <w:p w14:paraId="085A8C7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2013 (I kw.)</w:t>
            </w:r>
          </w:p>
        </w:tc>
        <w:tc>
          <w:tcPr>
            <w:tcW w:w="1418" w:type="dxa"/>
            <w:shd w:val="clear" w:color="auto" w:fill="F2F2F2"/>
            <w:vAlign w:val="center"/>
          </w:tcPr>
          <w:p w14:paraId="14CB2B9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992" w:type="dxa"/>
            <w:shd w:val="clear" w:color="auto" w:fill="F2F2F2"/>
            <w:vAlign w:val="center"/>
          </w:tcPr>
          <w:p w14:paraId="5154E7F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41540F4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B65F4C1" w14:textId="77777777" w:rsidTr="001B2C4E">
        <w:trPr>
          <w:trHeight w:val="300"/>
        </w:trPr>
        <w:tc>
          <w:tcPr>
            <w:tcW w:w="709" w:type="dxa"/>
            <w:shd w:val="clear" w:color="auto" w:fill="F2F2F2"/>
            <w:vAlign w:val="center"/>
          </w:tcPr>
          <w:p w14:paraId="1E454A4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633FF5D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S8, odc. w. Marki – w. Radzymin Płd.</w:t>
            </w:r>
          </w:p>
        </w:tc>
        <w:tc>
          <w:tcPr>
            <w:tcW w:w="1405" w:type="dxa"/>
            <w:gridSpan w:val="2"/>
            <w:shd w:val="clear" w:color="auto" w:fill="F2F2F2"/>
            <w:vAlign w:val="center"/>
          </w:tcPr>
          <w:p w14:paraId="27C7F83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3D8A93D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0856D05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2021 (II kw.)</w:t>
            </w:r>
          </w:p>
        </w:tc>
        <w:tc>
          <w:tcPr>
            <w:tcW w:w="992" w:type="dxa"/>
            <w:shd w:val="clear" w:color="auto" w:fill="F2F2F2"/>
            <w:vAlign w:val="center"/>
          </w:tcPr>
          <w:p w14:paraId="058256C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448796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519540FA" w14:textId="77777777" w:rsidTr="001B2C4E">
        <w:trPr>
          <w:trHeight w:val="300"/>
        </w:trPr>
        <w:tc>
          <w:tcPr>
            <w:tcW w:w="709" w:type="dxa"/>
            <w:shd w:val="clear" w:color="auto" w:fill="F2F2F2"/>
            <w:vAlign w:val="center"/>
          </w:tcPr>
          <w:p w14:paraId="316B5AAB"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7E8221B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S8 Wyszków - Białystok, odc. Wyszków – granica woj. mazowieckiego /podlaskiego</w:t>
            </w:r>
          </w:p>
        </w:tc>
        <w:tc>
          <w:tcPr>
            <w:tcW w:w="1405" w:type="dxa"/>
            <w:gridSpan w:val="2"/>
            <w:shd w:val="clear" w:color="auto" w:fill="F2F2F2"/>
            <w:vAlign w:val="center"/>
          </w:tcPr>
          <w:p w14:paraId="61537FC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7" w:type="dxa"/>
            <w:shd w:val="clear" w:color="auto" w:fill="F2F2F2"/>
            <w:vAlign w:val="center"/>
          </w:tcPr>
          <w:p w14:paraId="5B59041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2014 (IV kw.)</w:t>
            </w:r>
          </w:p>
        </w:tc>
        <w:tc>
          <w:tcPr>
            <w:tcW w:w="1418" w:type="dxa"/>
            <w:shd w:val="clear" w:color="auto" w:fill="F2F2F2"/>
            <w:vAlign w:val="center"/>
          </w:tcPr>
          <w:p w14:paraId="00FE3B8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992" w:type="dxa"/>
            <w:shd w:val="clear" w:color="auto" w:fill="F2F2F2"/>
            <w:vAlign w:val="center"/>
          </w:tcPr>
          <w:p w14:paraId="343D54E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FEDD1C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235204D4" w14:textId="77777777" w:rsidTr="001B2C4E">
        <w:trPr>
          <w:trHeight w:val="300"/>
        </w:trPr>
        <w:tc>
          <w:tcPr>
            <w:tcW w:w="709" w:type="dxa"/>
            <w:shd w:val="clear" w:color="auto" w:fill="F2F2F2"/>
            <w:vAlign w:val="center"/>
          </w:tcPr>
          <w:p w14:paraId="65EAA72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761C3E2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S8 Wyszków - Białystok, odc. granica woj. mazowieckiego/podlaskiego - Zambrów</w:t>
            </w:r>
          </w:p>
        </w:tc>
        <w:tc>
          <w:tcPr>
            <w:tcW w:w="1405" w:type="dxa"/>
            <w:gridSpan w:val="2"/>
            <w:shd w:val="clear" w:color="auto" w:fill="F2F2F2"/>
            <w:vAlign w:val="center"/>
          </w:tcPr>
          <w:p w14:paraId="3489C2C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7" w:type="dxa"/>
            <w:shd w:val="clear" w:color="auto" w:fill="F2F2F2"/>
            <w:vAlign w:val="center"/>
          </w:tcPr>
          <w:p w14:paraId="240206F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 kw.)</w:t>
            </w:r>
          </w:p>
        </w:tc>
        <w:tc>
          <w:tcPr>
            <w:tcW w:w="1418" w:type="dxa"/>
            <w:shd w:val="clear" w:color="auto" w:fill="F2F2F2"/>
            <w:vAlign w:val="center"/>
          </w:tcPr>
          <w:p w14:paraId="7CD1EDD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992" w:type="dxa"/>
            <w:shd w:val="clear" w:color="auto" w:fill="F2F2F2"/>
            <w:vAlign w:val="center"/>
          </w:tcPr>
          <w:p w14:paraId="1C9D850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20635F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460510DD" w14:textId="77777777" w:rsidTr="001B2C4E">
        <w:trPr>
          <w:trHeight w:val="300"/>
        </w:trPr>
        <w:tc>
          <w:tcPr>
            <w:tcW w:w="709" w:type="dxa"/>
            <w:shd w:val="clear" w:color="auto" w:fill="F2F2F2"/>
            <w:vAlign w:val="center"/>
          </w:tcPr>
          <w:p w14:paraId="1C8FEB4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842718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Przebudowa drogi ekspresowej S8 Wyszków – Białystok, odc. Wiśniewo – Jeżewo </w:t>
            </w:r>
          </w:p>
        </w:tc>
        <w:tc>
          <w:tcPr>
            <w:tcW w:w="1405" w:type="dxa"/>
            <w:gridSpan w:val="2"/>
            <w:shd w:val="clear" w:color="auto" w:fill="F2F2F2"/>
            <w:vAlign w:val="center"/>
          </w:tcPr>
          <w:p w14:paraId="0809A38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74D446D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(III kw.)</w:t>
            </w:r>
          </w:p>
        </w:tc>
        <w:tc>
          <w:tcPr>
            <w:tcW w:w="1418" w:type="dxa"/>
            <w:shd w:val="clear" w:color="auto" w:fill="F2F2F2"/>
            <w:vAlign w:val="center"/>
          </w:tcPr>
          <w:p w14:paraId="0EAD9DA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2019 (IV kw.)</w:t>
            </w:r>
          </w:p>
        </w:tc>
        <w:tc>
          <w:tcPr>
            <w:tcW w:w="992" w:type="dxa"/>
            <w:shd w:val="clear" w:color="auto" w:fill="F2F2F2"/>
            <w:vAlign w:val="center"/>
          </w:tcPr>
          <w:p w14:paraId="35863F3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A345DF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5B7B7C2B" w14:textId="77777777" w:rsidTr="001B2C4E">
        <w:trPr>
          <w:trHeight w:val="300"/>
        </w:trPr>
        <w:tc>
          <w:tcPr>
            <w:tcW w:w="709" w:type="dxa"/>
            <w:shd w:val="clear" w:color="auto" w:fill="F2F2F2"/>
            <w:vAlign w:val="center"/>
          </w:tcPr>
          <w:p w14:paraId="4B64C32E"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73A08DD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S7</w:t>
            </w:r>
          </w:p>
          <w:p w14:paraId="716E013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Warszawa – Kraków</w:t>
            </w:r>
          </w:p>
        </w:tc>
        <w:tc>
          <w:tcPr>
            <w:tcW w:w="1405" w:type="dxa"/>
            <w:gridSpan w:val="2"/>
            <w:shd w:val="clear" w:color="auto" w:fill="F2F2F2"/>
            <w:vAlign w:val="center"/>
          </w:tcPr>
          <w:p w14:paraId="243176EB"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18ABEA6B"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164CC492"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1A1DC346"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02D90AAF" w14:textId="77777777" w:rsidR="00FD723C" w:rsidRPr="00FD723C" w:rsidRDefault="00FD723C" w:rsidP="00FD723C">
            <w:pPr>
              <w:spacing w:before="60" w:after="60"/>
              <w:jc w:val="center"/>
              <w:rPr>
                <w:rFonts w:ascii="Arial" w:hAnsi="Arial" w:cs="Arial"/>
                <w:sz w:val="16"/>
                <w:szCs w:val="16"/>
              </w:rPr>
            </w:pPr>
          </w:p>
        </w:tc>
      </w:tr>
      <w:tr w:rsidR="00FD723C" w:rsidRPr="00FD723C" w14:paraId="2B008E73" w14:textId="77777777" w:rsidTr="001B2C4E">
        <w:trPr>
          <w:trHeight w:val="300"/>
        </w:trPr>
        <w:tc>
          <w:tcPr>
            <w:tcW w:w="709" w:type="dxa"/>
            <w:shd w:val="clear" w:color="auto" w:fill="F2F2F2"/>
            <w:vAlign w:val="center"/>
          </w:tcPr>
          <w:p w14:paraId="2B5757FD"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0D751A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odc. Warszawa – Grójec</w:t>
            </w:r>
          </w:p>
        </w:tc>
        <w:tc>
          <w:tcPr>
            <w:tcW w:w="1405" w:type="dxa"/>
            <w:gridSpan w:val="2"/>
            <w:shd w:val="clear" w:color="auto" w:fill="F2F2F2"/>
            <w:vAlign w:val="center"/>
          </w:tcPr>
          <w:p w14:paraId="6F63B40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2019 (I kw.)</w:t>
            </w:r>
          </w:p>
        </w:tc>
        <w:tc>
          <w:tcPr>
            <w:tcW w:w="1417" w:type="dxa"/>
            <w:shd w:val="clear" w:color="auto" w:fill="F2F2F2"/>
            <w:vAlign w:val="center"/>
          </w:tcPr>
          <w:p w14:paraId="5EFF4EC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8" w:type="dxa"/>
            <w:shd w:val="clear" w:color="auto" w:fill="F2F2F2"/>
            <w:vAlign w:val="center"/>
          </w:tcPr>
          <w:p w14:paraId="037D420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775A6F9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378C3E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F94FC95" w14:textId="77777777" w:rsidTr="001B2C4E">
        <w:trPr>
          <w:trHeight w:val="300"/>
        </w:trPr>
        <w:tc>
          <w:tcPr>
            <w:tcW w:w="709" w:type="dxa"/>
            <w:shd w:val="clear" w:color="auto" w:fill="F2F2F2"/>
            <w:vAlign w:val="center"/>
          </w:tcPr>
          <w:p w14:paraId="4F658C3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05C1344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Radom (Jedlińsk) - Jędrzejów, odc. obwodnica Radomia</w:t>
            </w:r>
          </w:p>
        </w:tc>
        <w:tc>
          <w:tcPr>
            <w:tcW w:w="1405" w:type="dxa"/>
            <w:gridSpan w:val="2"/>
            <w:shd w:val="clear" w:color="auto" w:fill="F2F2F2"/>
            <w:vAlign w:val="center"/>
          </w:tcPr>
          <w:p w14:paraId="5FFEA1B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7" w:type="dxa"/>
            <w:shd w:val="clear" w:color="auto" w:fill="F2F2F2"/>
            <w:vAlign w:val="center"/>
          </w:tcPr>
          <w:p w14:paraId="468FC0B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13E17D1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 kw.)</w:t>
            </w:r>
          </w:p>
        </w:tc>
        <w:tc>
          <w:tcPr>
            <w:tcW w:w="992" w:type="dxa"/>
            <w:shd w:val="clear" w:color="auto" w:fill="F2F2F2"/>
            <w:vAlign w:val="center"/>
          </w:tcPr>
          <w:p w14:paraId="4C885C7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650A9F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0AE86B14" w14:textId="77777777" w:rsidTr="001B2C4E">
        <w:trPr>
          <w:trHeight w:val="300"/>
        </w:trPr>
        <w:tc>
          <w:tcPr>
            <w:tcW w:w="709" w:type="dxa"/>
            <w:shd w:val="clear" w:color="auto" w:fill="F2F2F2"/>
            <w:vAlign w:val="center"/>
          </w:tcPr>
          <w:p w14:paraId="11AAE58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643345A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Radom (Jedlińsk) – Jędrzejów, odc. Radom – Skarżysko-Kamienna</w:t>
            </w:r>
          </w:p>
        </w:tc>
        <w:tc>
          <w:tcPr>
            <w:tcW w:w="1405" w:type="dxa"/>
            <w:gridSpan w:val="2"/>
            <w:shd w:val="clear" w:color="auto" w:fill="F2F2F2"/>
            <w:vAlign w:val="center"/>
          </w:tcPr>
          <w:p w14:paraId="1E02FB1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 kw.)</w:t>
            </w:r>
          </w:p>
        </w:tc>
        <w:tc>
          <w:tcPr>
            <w:tcW w:w="1417" w:type="dxa"/>
            <w:shd w:val="clear" w:color="auto" w:fill="F2F2F2"/>
            <w:vAlign w:val="center"/>
          </w:tcPr>
          <w:p w14:paraId="7366A34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(III kw.)</w:t>
            </w:r>
          </w:p>
        </w:tc>
        <w:tc>
          <w:tcPr>
            <w:tcW w:w="1418" w:type="dxa"/>
            <w:shd w:val="clear" w:color="auto" w:fill="F2F2F2"/>
            <w:vAlign w:val="center"/>
          </w:tcPr>
          <w:p w14:paraId="4391B38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(II kw.)</w:t>
            </w:r>
          </w:p>
        </w:tc>
        <w:tc>
          <w:tcPr>
            <w:tcW w:w="992" w:type="dxa"/>
            <w:shd w:val="clear" w:color="auto" w:fill="F2F2F2"/>
            <w:vAlign w:val="center"/>
          </w:tcPr>
          <w:p w14:paraId="47A2183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3088CB3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02EA3D5F" w14:textId="77777777" w:rsidTr="001B2C4E">
        <w:trPr>
          <w:trHeight w:val="300"/>
        </w:trPr>
        <w:tc>
          <w:tcPr>
            <w:tcW w:w="709" w:type="dxa"/>
            <w:shd w:val="clear" w:color="auto" w:fill="F2F2F2"/>
            <w:vAlign w:val="center"/>
          </w:tcPr>
          <w:p w14:paraId="116081EF"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E6572F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S7 Radom (Jedlińsk) - Jędrzejów, odc. w. Chęciny- Jędrzejów </w:t>
            </w:r>
          </w:p>
        </w:tc>
        <w:tc>
          <w:tcPr>
            <w:tcW w:w="1405" w:type="dxa"/>
            <w:gridSpan w:val="2"/>
            <w:shd w:val="clear" w:color="auto" w:fill="F2F2F2"/>
            <w:vAlign w:val="center"/>
          </w:tcPr>
          <w:p w14:paraId="54F8FA1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6EA0698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1AFD39F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992" w:type="dxa"/>
            <w:shd w:val="clear" w:color="auto" w:fill="F2F2F2"/>
            <w:vAlign w:val="center"/>
          </w:tcPr>
          <w:p w14:paraId="7FA544A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247433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3BE7B09B" w14:textId="77777777" w:rsidTr="001B2C4E">
        <w:trPr>
          <w:trHeight w:val="300"/>
        </w:trPr>
        <w:tc>
          <w:tcPr>
            <w:tcW w:w="709" w:type="dxa"/>
            <w:shd w:val="clear" w:color="auto" w:fill="F2F2F2"/>
            <w:vAlign w:val="center"/>
          </w:tcPr>
          <w:p w14:paraId="6F41155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2EDBB0EB" w14:textId="77777777" w:rsidR="00FD723C" w:rsidRPr="00FD723C" w:rsidRDefault="00FD723C" w:rsidP="00FD723C">
            <w:pPr>
              <w:spacing w:before="60" w:after="60"/>
              <w:jc w:val="center"/>
              <w:rPr>
                <w:rFonts w:ascii="Arial" w:hAnsi="Arial" w:cs="Arial"/>
                <w:strike/>
                <w:sz w:val="16"/>
                <w:szCs w:val="16"/>
              </w:rPr>
            </w:pPr>
            <w:r w:rsidRPr="00FD723C">
              <w:rPr>
                <w:rFonts w:ascii="Arial" w:hAnsi="Arial" w:cs="Arial"/>
                <w:sz w:val="16"/>
                <w:szCs w:val="16"/>
              </w:rPr>
              <w:t>Budowa drogi ekspresowej S7, odc. Moczydło (granica województwa świętokrzyskiego) – w. Miechów</w:t>
            </w:r>
          </w:p>
        </w:tc>
        <w:tc>
          <w:tcPr>
            <w:tcW w:w="1405" w:type="dxa"/>
            <w:gridSpan w:val="2"/>
            <w:shd w:val="clear" w:color="auto" w:fill="F2F2F2"/>
            <w:vAlign w:val="center"/>
          </w:tcPr>
          <w:p w14:paraId="3D1EFA51" w14:textId="77777777" w:rsidR="00FD723C" w:rsidRPr="00FD723C" w:rsidRDefault="00FD723C" w:rsidP="00FD723C">
            <w:pPr>
              <w:spacing w:before="60" w:after="60"/>
              <w:jc w:val="center"/>
              <w:rPr>
                <w:rFonts w:ascii="Arial" w:hAnsi="Arial" w:cs="Arial"/>
                <w:strike/>
                <w:sz w:val="16"/>
                <w:szCs w:val="16"/>
              </w:rPr>
            </w:pPr>
            <w:r w:rsidRPr="00FD723C">
              <w:rPr>
                <w:rFonts w:ascii="Arial" w:hAnsi="Arial" w:cs="Arial"/>
                <w:sz w:val="16"/>
                <w:szCs w:val="16"/>
              </w:rPr>
              <w:t xml:space="preserve">2023 (I kw.) </w:t>
            </w:r>
          </w:p>
        </w:tc>
        <w:tc>
          <w:tcPr>
            <w:tcW w:w="1417" w:type="dxa"/>
            <w:shd w:val="clear" w:color="auto" w:fill="F2F2F2"/>
            <w:vAlign w:val="center"/>
          </w:tcPr>
          <w:p w14:paraId="6875D22F" w14:textId="77777777" w:rsidR="00FD723C" w:rsidRPr="00FD723C" w:rsidRDefault="00FD723C" w:rsidP="00FD723C">
            <w:pPr>
              <w:spacing w:before="60" w:after="60"/>
              <w:jc w:val="center"/>
              <w:rPr>
                <w:rFonts w:ascii="Arial" w:hAnsi="Arial" w:cs="Arial"/>
                <w:strike/>
                <w:sz w:val="16"/>
                <w:szCs w:val="16"/>
              </w:rPr>
            </w:pPr>
            <w:r w:rsidRPr="00FD723C">
              <w:rPr>
                <w:rFonts w:ascii="Arial" w:hAnsi="Arial" w:cs="Arial"/>
                <w:sz w:val="16"/>
                <w:szCs w:val="16"/>
              </w:rPr>
              <w:t xml:space="preserve">2019 (III kw.) </w:t>
            </w:r>
          </w:p>
        </w:tc>
        <w:tc>
          <w:tcPr>
            <w:tcW w:w="1418" w:type="dxa"/>
            <w:shd w:val="clear" w:color="auto" w:fill="F2F2F2"/>
            <w:vAlign w:val="center"/>
          </w:tcPr>
          <w:p w14:paraId="0B0D5056" w14:textId="77777777" w:rsidR="00FD723C" w:rsidRPr="00FD723C" w:rsidRDefault="00FD723C" w:rsidP="00FD723C">
            <w:pPr>
              <w:spacing w:before="60" w:after="60"/>
              <w:jc w:val="center"/>
              <w:rPr>
                <w:rFonts w:ascii="Arial" w:hAnsi="Arial" w:cs="Arial"/>
                <w:strike/>
                <w:sz w:val="16"/>
                <w:szCs w:val="16"/>
              </w:rPr>
            </w:pPr>
            <w:r w:rsidRPr="00FD723C">
              <w:rPr>
                <w:rFonts w:ascii="Arial" w:hAnsi="Arial" w:cs="Arial"/>
                <w:sz w:val="16"/>
                <w:szCs w:val="16"/>
              </w:rPr>
              <w:t xml:space="preserve">2023 (II kw.) </w:t>
            </w:r>
          </w:p>
        </w:tc>
        <w:tc>
          <w:tcPr>
            <w:tcW w:w="992" w:type="dxa"/>
            <w:shd w:val="clear" w:color="auto" w:fill="F2F2F2"/>
            <w:vAlign w:val="center"/>
          </w:tcPr>
          <w:p w14:paraId="18CF9F0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0139FD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AC5DE84" w14:textId="77777777" w:rsidTr="001B2C4E">
        <w:trPr>
          <w:trHeight w:val="300"/>
        </w:trPr>
        <w:tc>
          <w:tcPr>
            <w:tcW w:w="709" w:type="dxa"/>
            <w:shd w:val="clear" w:color="auto" w:fill="F2F2F2"/>
            <w:vAlign w:val="center"/>
          </w:tcPr>
          <w:p w14:paraId="426EF875"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63E8BA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odc. Widoma – Kraków (w. Kraków Nowa Huta)</w:t>
            </w:r>
          </w:p>
        </w:tc>
        <w:tc>
          <w:tcPr>
            <w:tcW w:w="1405" w:type="dxa"/>
            <w:gridSpan w:val="2"/>
            <w:shd w:val="clear" w:color="auto" w:fill="F2F2F2"/>
            <w:vAlign w:val="center"/>
          </w:tcPr>
          <w:p w14:paraId="188055C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 kw.)</w:t>
            </w:r>
          </w:p>
        </w:tc>
        <w:tc>
          <w:tcPr>
            <w:tcW w:w="1417" w:type="dxa"/>
            <w:shd w:val="clear" w:color="auto" w:fill="F2F2F2"/>
            <w:vAlign w:val="center"/>
          </w:tcPr>
          <w:p w14:paraId="0E6720B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8" w:type="dxa"/>
            <w:shd w:val="clear" w:color="auto" w:fill="F2F2F2"/>
            <w:vAlign w:val="center"/>
          </w:tcPr>
          <w:p w14:paraId="255EBE2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3EB1EEC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4B2237D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6C57571D" w14:textId="77777777" w:rsidTr="001B2C4E">
        <w:trPr>
          <w:trHeight w:val="300"/>
        </w:trPr>
        <w:tc>
          <w:tcPr>
            <w:tcW w:w="709" w:type="dxa"/>
            <w:shd w:val="clear" w:color="auto" w:fill="F2F2F2"/>
            <w:vAlign w:val="center"/>
          </w:tcPr>
          <w:p w14:paraId="13F667DD"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6EFB512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S7 odc. Kraków w. Igołomska - w. Christo </w:t>
            </w:r>
            <w:proofErr w:type="spellStart"/>
            <w:r w:rsidRPr="00FD723C">
              <w:rPr>
                <w:rFonts w:ascii="Arial" w:hAnsi="Arial" w:cs="Arial"/>
                <w:sz w:val="16"/>
                <w:szCs w:val="16"/>
              </w:rPr>
              <w:t>Botewa</w:t>
            </w:r>
            <w:proofErr w:type="spellEnd"/>
            <w:r w:rsidRPr="00FD723C">
              <w:rPr>
                <w:rFonts w:ascii="Arial" w:hAnsi="Arial" w:cs="Arial"/>
                <w:sz w:val="16"/>
                <w:szCs w:val="16"/>
              </w:rPr>
              <w:t xml:space="preserve"> </w:t>
            </w:r>
          </w:p>
        </w:tc>
        <w:tc>
          <w:tcPr>
            <w:tcW w:w="1405" w:type="dxa"/>
            <w:gridSpan w:val="2"/>
            <w:shd w:val="clear" w:color="auto" w:fill="F2F2F2"/>
            <w:vAlign w:val="center"/>
          </w:tcPr>
          <w:p w14:paraId="3A64B35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2015(IV kw.)</w:t>
            </w:r>
          </w:p>
        </w:tc>
        <w:tc>
          <w:tcPr>
            <w:tcW w:w="1417" w:type="dxa"/>
            <w:shd w:val="clear" w:color="auto" w:fill="F2F2F2"/>
            <w:vAlign w:val="center"/>
          </w:tcPr>
          <w:p w14:paraId="4440BB6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(III kw.)</w:t>
            </w:r>
          </w:p>
        </w:tc>
        <w:tc>
          <w:tcPr>
            <w:tcW w:w="1418" w:type="dxa"/>
            <w:shd w:val="clear" w:color="auto" w:fill="F2F2F2"/>
            <w:vAlign w:val="center"/>
          </w:tcPr>
          <w:p w14:paraId="0261BA4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992" w:type="dxa"/>
            <w:shd w:val="clear" w:color="auto" w:fill="F2F2F2"/>
            <w:vAlign w:val="center"/>
          </w:tcPr>
          <w:p w14:paraId="7A35070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F5C207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3E31B527" w14:textId="77777777" w:rsidTr="001B2C4E">
        <w:trPr>
          <w:trHeight w:val="300"/>
        </w:trPr>
        <w:tc>
          <w:tcPr>
            <w:tcW w:w="709" w:type="dxa"/>
            <w:shd w:val="clear" w:color="auto" w:fill="F2F2F2"/>
            <w:vAlign w:val="center"/>
          </w:tcPr>
          <w:p w14:paraId="6DB5EF77"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77B092D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S5</w:t>
            </w:r>
          </w:p>
          <w:p w14:paraId="4BFEA15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Poznań – Wrocław</w:t>
            </w:r>
          </w:p>
        </w:tc>
        <w:tc>
          <w:tcPr>
            <w:tcW w:w="1405" w:type="dxa"/>
            <w:gridSpan w:val="2"/>
            <w:shd w:val="clear" w:color="auto" w:fill="F2F2F2"/>
            <w:vAlign w:val="center"/>
          </w:tcPr>
          <w:p w14:paraId="027F7E77"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70234D21"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1552EA26"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28ED614A"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35BA112D" w14:textId="77777777" w:rsidR="00FD723C" w:rsidRPr="00FD723C" w:rsidRDefault="00FD723C" w:rsidP="00FD723C">
            <w:pPr>
              <w:spacing w:before="60" w:after="60"/>
              <w:jc w:val="center"/>
              <w:rPr>
                <w:rFonts w:ascii="Arial" w:hAnsi="Arial" w:cs="Arial"/>
                <w:sz w:val="16"/>
                <w:szCs w:val="16"/>
              </w:rPr>
            </w:pPr>
          </w:p>
        </w:tc>
      </w:tr>
      <w:tr w:rsidR="00FD723C" w:rsidRPr="00FD723C" w14:paraId="0D0C7F28" w14:textId="77777777" w:rsidTr="001B2C4E">
        <w:trPr>
          <w:trHeight w:val="300"/>
        </w:trPr>
        <w:tc>
          <w:tcPr>
            <w:tcW w:w="709" w:type="dxa"/>
            <w:shd w:val="clear" w:color="auto" w:fill="F2F2F2"/>
            <w:vAlign w:val="center"/>
          </w:tcPr>
          <w:p w14:paraId="13FF6FCA" w14:textId="77777777" w:rsidR="00FD723C" w:rsidRPr="00FD723C" w:rsidDel="00493C16"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9704AF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S5 Poznań - Wrocław, odc. Poznań - Kaczkowo</w:t>
            </w:r>
          </w:p>
        </w:tc>
        <w:tc>
          <w:tcPr>
            <w:tcW w:w="1405" w:type="dxa"/>
            <w:gridSpan w:val="2"/>
            <w:shd w:val="clear" w:color="auto" w:fill="F2F2F2"/>
            <w:vAlign w:val="center"/>
          </w:tcPr>
          <w:p w14:paraId="73F88A2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7" w:type="dxa"/>
            <w:shd w:val="clear" w:color="auto" w:fill="F2F2F2"/>
            <w:vAlign w:val="center"/>
          </w:tcPr>
          <w:p w14:paraId="20D891E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2015 (III kw.)</w:t>
            </w:r>
          </w:p>
        </w:tc>
        <w:tc>
          <w:tcPr>
            <w:tcW w:w="1418" w:type="dxa"/>
            <w:shd w:val="clear" w:color="auto" w:fill="F2F2F2"/>
            <w:vAlign w:val="center"/>
          </w:tcPr>
          <w:p w14:paraId="2F62D48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(III kw.)</w:t>
            </w:r>
          </w:p>
        </w:tc>
        <w:tc>
          <w:tcPr>
            <w:tcW w:w="992" w:type="dxa"/>
            <w:shd w:val="clear" w:color="auto" w:fill="F2F2F2"/>
            <w:vAlign w:val="center"/>
          </w:tcPr>
          <w:p w14:paraId="7D8088B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470B06B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8CF017F" w14:textId="77777777" w:rsidTr="001B2C4E">
        <w:trPr>
          <w:trHeight w:val="300"/>
        </w:trPr>
        <w:tc>
          <w:tcPr>
            <w:tcW w:w="709" w:type="dxa"/>
            <w:shd w:val="clear" w:color="auto" w:fill="F2F2F2"/>
            <w:vAlign w:val="center"/>
          </w:tcPr>
          <w:p w14:paraId="3376E69E" w14:textId="77777777" w:rsidR="00FD723C" w:rsidRPr="00FD723C" w:rsidDel="00493C16"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737A010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S5 odc. Korzeńsko – Wrocław (w. Widawa)</w:t>
            </w:r>
          </w:p>
        </w:tc>
        <w:tc>
          <w:tcPr>
            <w:tcW w:w="1405" w:type="dxa"/>
            <w:gridSpan w:val="2"/>
            <w:shd w:val="clear" w:color="auto" w:fill="F2F2F2"/>
            <w:vAlign w:val="center"/>
          </w:tcPr>
          <w:p w14:paraId="2A8579C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5D9C944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(III kw.)</w:t>
            </w:r>
          </w:p>
        </w:tc>
        <w:tc>
          <w:tcPr>
            <w:tcW w:w="1418" w:type="dxa"/>
            <w:shd w:val="clear" w:color="auto" w:fill="F2F2F2"/>
            <w:vAlign w:val="center"/>
          </w:tcPr>
          <w:p w14:paraId="5AF1B70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992" w:type="dxa"/>
            <w:shd w:val="clear" w:color="auto" w:fill="F2F2F2"/>
            <w:vAlign w:val="center"/>
          </w:tcPr>
          <w:p w14:paraId="06080AE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D95D9B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2802A2E6" w14:textId="77777777" w:rsidTr="001B2C4E">
        <w:trPr>
          <w:trHeight w:val="300"/>
        </w:trPr>
        <w:tc>
          <w:tcPr>
            <w:tcW w:w="709" w:type="dxa"/>
            <w:shd w:val="clear" w:color="auto" w:fill="F2F2F2"/>
            <w:vAlign w:val="center"/>
          </w:tcPr>
          <w:p w14:paraId="38795D3F" w14:textId="77777777" w:rsidR="00FD723C" w:rsidRPr="00FD723C" w:rsidDel="00493C16"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22FB1A5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S6</w:t>
            </w:r>
          </w:p>
          <w:p w14:paraId="162D8CD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Słupsk – Gdańsk</w:t>
            </w:r>
          </w:p>
        </w:tc>
        <w:tc>
          <w:tcPr>
            <w:tcW w:w="1405" w:type="dxa"/>
            <w:gridSpan w:val="2"/>
            <w:shd w:val="clear" w:color="auto" w:fill="F2F2F2"/>
            <w:vAlign w:val="center"/>
          </w:tcPr>
          <w:p w14:paraId="6C81C24A"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49078013"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3FC94805"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27DCCFF8"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5D232300" w14:textId="77777777" w:rsidR="00FD723C" w:rsidRPr="00FD723C" w:rsidRDefault="00FD723C" w:rsidP="00FD723C">
            <w:pPr>
              <w:spacing w:before="60" w:after="60"/>
              <w:jc w:val="center"/>
              <w:rPr>
                <w:rFonts w:ascii="Arial" w:hAnsi="Arial" w:cs="Arial"/>
                <w:sz w:val="16"/>
                <w:szCs w:val="16"/>
              </w:rPr>
            </w:pPr>
          </w:p>
        </w:tc>
      </w:tr>
      <w:tr w:rsidR="00FD723C" w:rsidRPr="00FD723C" w14:paraId="151658A9" w14:textId="77777777" w:rsidTr="001B2C4E">
        <w:trPr>
          <w:trHeight w:val="300"/>
        </w:trPr>
        <w:tc>
          <w:tcPr>
            <w:tcW w:w="709" w:type="dxa"/>
            <w:shd w:val="clear" w:color="auto" w:fill="F2F2F2"/>
            <w:vAlign w:val="center"/>
          </w:tcPr>
          <w:p w14:paraId="08301A9D"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879B05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S6 Słupsk – Gdańsk, odc. </w:t>
            </w:r>
            <w:proofErr w:type="spellStart"/>
            <w:r w:rsidRPr="00FD723C">
              <w:rPr>
                <w:rFonts w:ascii="Arial" w:hAnsi="Arial" w:cs="Arial"/>
                <w:sz w:val="16"/>
                <w:szCs w:val="16"/>
              </w:rPr>
              <w:t>Bożepole</w:t>
            </w:r>
            <w:proofErr w:type="spellEnd"/>
            <w:r w:rsidRPr="00FD723C">
              <w:rPr>
                <w:rFonts w:ascii="Arial" w:hAnsi="Arial" w:cs="Arial"/>
                <w:sz w:val="16"/>
                <w:szCs w:val="16"/>
              </w:rPr>
              <w:t xml:space="preserve"> Wielkie – początek obwodnicy Trójmiasta</w:t>
            </w:r>
          </w:p>
        </w:tc>
        <w:tc>
          <w:tcPr>
            <w:tcW w:w="1405" w:type="dxa"/>
            <w:gridSpan w:val="2"/>
            <w:shd w:val="clear" w:color="auto" w:fill="F2F2F2"/>
            <w:vAlign w:val="center"/>
          </w:tcPr>
          <w:p w14:paraId="2F6E88A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2019 (I kw.)</w:t>
            </w:r>
          </w:p>
        </w:tc>
        <w:tc>
          <w:tcPr>
            <w:tcW w:w="1417" w:type="dxa"/>
            <w:shd w:val="clear" w:color="auto" w:fill="F2F2F2"/>
            <w:vAlign w:val="center"/>
          </w:tcPr>
          <w:p w14:paraId="3E7DCF2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8" w:type="dxa"/>
            <w:shd w:val="clear" w:color="auto" w:fill="F2F2F2"/>
            <w:vAlign w:val="center"/>
          </w:tcPr>
          <w:p w14:paraId="7B80EC7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1BFDC27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11A32A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23BCD5CE" w14:textId="77777777" w:rsidTr="001B2C4E">
        <w:trPr>
          <w:trHeight w:val="300"/>
        </w:trPr>
        <w:tc>
          <w:tcPr>
            <w:tcW w:w="709" w:type="dxa"/>
            <w:shd w:val="clear" w:color="auto" w:fill="F2F2F2"/>
            <w:vAlign w:val="center"/>
          </w:tcPr>
          <w:p w14:paraId="1554082A"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53C9F2A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S3</w:t>
            </w:r>
          </w:p>
          <w:p w14:paraId="056E976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Sulechów – Legnica</w:t>
            </w:r>
          </w:p>
        </w:tc>
        <w:tc>
          <w:tcPr>
            <w:tcW w:w="1405" w:type="dxa"/>
            <w:gridSpan w:val="2"/>
            <w:shd w:val="clear" w:color="auto" w:fill="F2F2F2"/>
            <w:vAlign w:val="center"/>
          </w:tcPr>
          <w:p w14:paraId="7EB34718"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3EBB6D83"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376515EE"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3C070F0C"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75D9130D" w14:textId="77777777" w:rsidR="00FD723C" w:rsidRPr="00FD723C" w:rsidRDefault="00FD723C" w:rsidP="00FD723C">
            <w:pPr>
              <w:spacing w:before="60" w:after="60"/>
              <w:jc w:val="center"/>
              <w:rPr>
                <w:rFonts w:ascii="Arial" w:hAnsi="Arial" w:cs="Arial"/>
                <w:sz w:val="16"/>
                <w:szCs w:val="16"/>
              </w:rPr>
            </w:pPr>
          </w:p>
        </w:tc>
      </w:tr>
      <w:tr w:rsidR="00FD723C" w:rsidRPr="00FD723C" w14:paraId="7A1F6B97" w14:textId="77777777" w:rsidTr="001B2C4E">
        <w:trPr>
          <w:trHeight w:val="300"/>
        </w:trPr>
        <w:tc>
          <w:tcPr>
            <w:tcW w:w="709" w:type="dxa"/>
            <w:shd w:val="clear" w:color="auto" w:fill="F2F2F2"/>
            <w:vAlign w:val="center"/>
          </w:tcPr>
          <w:p w14:paraId="1E6311E3"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9B1E0F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S3 </w:t>
            </w:r>
            <w:r w:rsidRPr="00FD723C">
              <w:rPr>
                <w:rFonts w:ascii="Arial" w:hAnsi="Arial" w:cs="Arial"/>
                <w:sz w:val="16"/>
                <w:szCs w:val="16"/>
              </w:rPr>
              <w:lastRenderedPageBreak/>
              <w:t>Gorzów Wielkopolski - Nowa Sól, odc. Sulechów (w. Kruszyna) - Nowa Sól</w:t>
            </w:r>
          </w:p>
        </w:tc>
        <w:tc>
          <w:tcPr>
            <w:tcW w:w="1405" w:type="dxa"/>
            <w:gridSpan w:val="2"/>
            <w:shd w:val="clear" w:color="auto" w:fill="F2F2F2"/>
            <w:vAlign w:val="center"/>
          </w:tcPr>
          <w:p w14:paraId="18106A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lastRenderedPageBreak/>
              <w:t>2015 (IV kw.)</w:t>
            </w:r>
          </w:p>
        </w:tc>
        <w:tc>
          <w:tcPr>
            <w:tcW w:w="1417" w:type="dxa"/>
            <w:shd w:val="clear" w:color="auto" w:fill="F2F2F2"/>
            <w:vAlign w:val="center"/>
          </w:tcPr>
          <w:p w14:paraId="48C24EE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(III kw.)</w:t>
            </w:r>
          </w:p>
        </w:tc>
        <w:tc>
          <w:tcPr>
            <w:tcW w:w="1418" w:type="dxa"/>
            <w:shd w:val="clear" w:color="auto" w:fill="F2F2F2"/>
            <w:vAlign w:val="center"/>
          </w:tcPr>
          <w:p w14:paraId="6159618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2020 (IV kw.)</w:t>
            </w:r>
          </w:p>
        </w:tc>
        <w:tc>
          <w:tcPr>
            <w:tcW w:w="992" w:type="dxa"/>
            <w:shd w:val="clear" w:color="auto" w:fill="F2F2F2"/>
            <w:vAlign w:val="center"/>
          </w:tcPr>
          <w:p w14:paraId="3D0097E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AD00A1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250FE869" w14:textId="77777777" w:rsidTr="001B2C4E">
        <w:trPr>
          <w:trHeight w:val="300"/>
        </w:trPr>
        <w:tc>
          <w:tcPr>
            <w:tcW w:w="709" w:type="dxa"/>
            <w:shd w:val="clear" w:color="auto" w:fill="F2F2F2"/>
            <w:vAlign w:val="center"/>
          </w:tcPr>
          <w:p w14:paraId="226F874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2BA484C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S3 Nowa Sól – Legnica, odc. w. Nowa Sól Płd. – w. Kaźmierzów (bez węzła) </w:t>
            </w:r>
          </w:p>
        </w:tc>
        <w:tc>
          <w:tcPr>
            <w:tcW w:w="1405" w:type="dxa"/>
            <w:gridSpan w:val="2"/>
            <w:shd w:val="clear" w:color="auto" w:fill="F2F2F2"/>
            <w:vAlign w:val="center"/>
          </w:tcPr>
          <w:p w14:paraId="6186C1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09A7F14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0ADEF7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992" w:type="dxa"/>
            <w:shd w:val="clear" w:color="auto" w:fill="F2F2F2"/>
            <w:vAlign w:val="center"/>
          </w:tcPr>
          <w:p w14:paraId="26CC754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CBC0B7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44605262" w14:textId="77777777" w:rsidTr="001B2C4E">
        <w:trPr>
          <w:trHeight w:val="300"/>
        </w:trPr>
        <w:tc>
          <w:tcPr>
            <w:tcW w:w="709" w:type="dxa"/>
            <w:shd w:val="clear" w:color="auto" w:fill="F2F2F2"/>
            <w:vAlign w:val="center"/>
          </w:tcPr>
          <w:p w14:paraId="6E53CF5F"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2047577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S3 Nowa Sól – Legnica, odc. Kaźmierzów – Legnica</w:t>
            </w:r>
          </w:p>
        </w:tc>
        <w:tc>
          <w:tcPr>
            <w:tcW w:w="1405" w:type="dxa"/>
            <w:gridSpan w:val="2"/>
            <w:shd w:val="clear" w:color="auto" w:fill="F2F2F2"/>
            <w:vAlign w:val="center"/>
          </w:tcPr>
          <w:p w14:paraId="6BF23B2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46D339D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 kw.)</w:t>
            </w:r>
          </w:p>
        </w:tc>
        <w:tc>
          <w:tcPr>
            <w:tcW w:w="1418" w:type="dxa"/>
            <w:shd w:val="clear" w:color="auto" w:fill="F2F2F2"/>
            <w:vAlign w:val="center"/>
          </w:tcPr>
          <w:p w14:paraId="305F4A8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992" w:type="dxa"/>
            <w:shd w:val="clear" w:color="auto" w:fill="F2F2F2"/>
            <w:vAlign w:val="center"/>
          </w:tcPr>
          <w:p w14:paraId="52BAA07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CABC2E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89DA935" w14:textId="77777777" w:rsidTr="001B2C4E">
        <w:trPr>
          <w:trHeight w:val="300"/>
        </w:trPr>
        <w:tc>
          <w:tcPr>
            <w:tcW w:w="709" w:type="dxa"/>
            <w:shd w:val="clear" w:color="auto" w:fill="F2F2F2"/>
            <w:vAlign w:val="center"/>
          </w:tcPr>
          <w:p w14:paraId="3E45643A"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0722CAC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S17</w:t>
            </w:r>
          </w:p>
          <w:p w14:paraId="5CC9251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Warszawa – Lublin</w:t>
            </w:r>
          </w:p>
        </w:tc>
        <w:tc>
          <w:tcPr>
            <w:tcW w:w="1405" w:type="dxa"/>
            <w:gridSpan w:val="2"/>
            <w:shd w:val="clear" w:color="auto" w:fill="F2F2F2"/>
            <w:vAlign w:val="center"/>
          </w:tcPr>
          <w:p w14:paraId="2BA1523A"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66DC579B"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2E19BBA9"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2C4120E1"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59973373" w14:textId="77777777" w:rsidR="00FD723C" w:rsidRPr="00FD723C" w:rsidRDefault="00FD723C" w:rsidP="00FD723C">
            <w:pPr>
              <w:spacing w:before="60" w:after="60"/>
              <w:jc w:val="center"/>
              <w:rPr>
                <w:rFonts w:ascii="Arial" w:hAnsi="Arial" w:cs="Arial"/>
                <w:sz w:val="16"/>
                <w:szCs w:val="16"/>
              </w:rPr>
            </w:pPr>
          </w:p>
        </w:tc>
      </w:tr>
      <w:tr w:rsidR="00FD723C" w:rsidRPr="00FD723C" w14:paraId="3F9AA4BC" w14:textId="77777777" w:rsidTr="001B2C4E">
        <w:trPr>
          <w:trHeight w:val="300"/>
        </w:trPr>
        <w:tc>
          <w:tcPr>
            <w:tcW w:w="709" w:type="dxa"/>
            <w:shd w:val="clear" w:color="auto" w:fill="F2F2F2"/>
            <w:vAlign w:val="center"/>
          </w:tcPr>
          <w:p w14:paraId="73711557"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44CA88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S17 Warszawa - Garwolin, odc. w. Zakręt - w. Lubelska</w:t>
            </w:r>
          </w:p>
        </w:tc>
        <w:tc>
          <w:tcPr>
            <w:tcW w:w="1405" w:type="dxa"/>
            <w:gridSpan w:val="2"/>
            <w:shd w:val="clear" w:color="auto" w:fill="F2F2F2"/>
            <w:vAlign w:val="center"/>
          </w:tcPr>
          <w:p w14:paraId="1BEB5CD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7" w:type="dxa"/>
            <w:shd w:val="clear" w:color="auto" w:fill="F2F2F2"/>
            <w:vAlign w:val="center"/>
          </w:tcPr>
          <w:p w14:paraId="2F54F38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2017 (IV kw.)</w:t>
            </w:r>
          </w:p>
        </w:tc>
        <w:tc>
          <w:tcPr>
            <w:tcW w:w="1418" w:type="dxa"/>
            <w:shd w:val="clear" w:color="auto" w:fill="F2F2F2"/>
            <w:vAlign w:val="center"/>
          </w:tcPr>
          <w:p w14:paraId="69104D7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2022 (IV kw.) </w:t>
            </w:r>
          </w:p>
        </w:tc>
        <w:tc>
          <w:tcPr>
            <w:tcW w:w="992" w:type="dxa"/>
            <w:shd w:val="clear" w:color="auto" w:fill="F2F2F2"/>
            <w:vAlign w:val="center"/>
          </w:tcPr>
          <w:p w14:paraId="31781DD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81D1AD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5248D7E3" w14:textId="77777777" w:rsidTr="001B2C4E">
        <w:trPr>
          <w:trHeight w:val="300"/>
        </w:trPr>
        <w:tc>
          <w:tcPr>
            <w:tcW w:w="709" w:type="dxa"/>
            <w:shd w:val="clear" w:color="auto" w:fill="F2F2F2"/>
            <w:vAlign w:val="center"/>
          </w:tcPr>
          <w:p w14:paraId="2AAE8DD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0584979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S17 Warszawa – Garwolin, odc. w. Lubelska - Garwolin</w:t>
            </w:r>
          </w:p>
        </w:tc>
        <w:tc>
          <w:tcPr>
            <w:tcW w:w="1405" w:type="dxa"/>
            <w:gridSpan w:val="2"/>
            <w:shd w:val="clear" w:color="auto" w:fill="F2F2F2"/>
            <w:vAlign w:val="center"/>
          </w:tcPr>
          <w:p w14:paraId="4AB8934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 kw.)</w:t>
            </w:r>
          </w:p>
        </w:tc>
        <w:tc>
          <w:tcPr>
            <w:tcW w:w="1417" w:type="dxa"/>
            <w:shd w:val="clear" w:color="auto" w:fill="F2F2F2"/>
            <w:vAlign w:val="center"/>
          </w:tcPr>
          <w:p w14:paraId="25F7350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8" w:type="dxa"/>
            <w:shd w:val="clear" w:color="auto" w:fill="F2F2F2"/>
            <w:vAlign w:val="center"/>
          </w:tcPr>
          <w:p w14:paraId="17BA41C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(II kw.)</w:t>
            </w:r>
          </w:p>
        </w:tc>
        <w:tc>
          <w:tcPr>
            <w:tcW w:w="992" w:type="dxa"/>
            <w:shd w:val="clear" w:color="auto" w:fill="F2F2F2"/>
            <w:vAlign w:val="center"/>
          </w:tcPr>
          <w:p w14:paraId="5F797EC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3006C5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3AAA39EF" w14:textId="77777777" w:rsidTr="001B2C4E">
        <w:trPr>
          <w:trHeight w:val="300"/>
        </w:trPr>
        <w:tc>
          <w:tcPr>
            <w:tcW w:w="709" w:type="dxa"/>
            <w:shd w:val="clear" w:color="auto" w:fill="F2F2F2"/>
            <w:vAlign w:val="center"/>
          </w:tcPr>
          <w:p w14:paraId="4F8F0597"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CD661C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S17 Garwolin - Kurów </w:t>
            </w:r>
          </w:p>
        </w:tc>
        <w:tc>
          <w:tcPr>
            <w:tcW w:w="1405" w:type="dxa"/>
            <w:gridSpan w:val="2"/>
            <w:shd w:val="clear" w:color="auto" w:fill="F2F2F2"/>
            <w:vAlign w:val="center"/>
          </w:tcPr>
          <w:p w14:paraId="0772B73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56EA6B6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2014 (IV kw.)</w:t>
            </w:r>
          </w:p>
        </w:tc>
        <w:tc>
          <w:tcPr>
            <w:tcW w:w="1418" w:type="dxa"/>
            <w:shd w:val="clear" w:color="auto" w:fill="F2F2F2"/>
            <w:vAlign w:val="center"/>
          </w:tcPr>
          <w:p w14:paraId="7A2631E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992" w:type="dxa"/>
            <w:shd w:val="clear" w:color="auto" w:fill="F2F2F2"/>
            <w:vAlign w:val="center"/>
          </w:tcPr>
          <w:p w14:paraId="2654E6E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229DA5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32D4BBD9" w14:textId="77777777" w:rsidTr="001B2C4E">
        <w:trPr>
          <w:trHeight w:val="300"/>
        </w:trPr>
        <w:tc>
          <w:tcPr>
            <w:tcW w:w="709" w:type="dxa"/>
            <w:shd w:val="clear" w:color="auto" w:fill="F2F2F2"/>
            <w:vAlign w:val="center"/>
          </w:tcPr>
          <w:p w14:paraId="2F7D691B"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7935FE2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S5</w:t>
            </w:r>
          </w:p>
          <w:p w14:paraId="276349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Nowe Marzy – Bydgoszcz</w:t>
            </w:r>
          </w:p>
        </w:tc>
        <w:tc>
          <w:tcPr>
            <w:tcW w:w="1405" w:type="dxa"/>
            <w:gridSpan w:val="2"/>
            <w:shd w:val="clear" w:color="auto" w:fill="F2F2F2"/>
            <w:vAlign w:val="bottom"/>
          </w:tcPr>
          <w:p w14:paraId="270A638C"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5499AEDA"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26D5B57E"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FA06382"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77167007" w14:textId="77777777" w:rsidR="00FD723C" w:rsidRPr="00FD723C" w:rsidRDefault="00FD723C" w:rsidP="00FD723C">
            <w:pPr>
              <w:spacing w:before="60" w:after="60"/>
              <w:jc w:val="center"/>
              <w:rPr>
                <w:rFonts w:ascii="Arial" w:hAnsi="Arial" w:cs="Arial"/>
                <w:sz w:val="16"/>
                <w:szCs w:val="16"/>
              </w:rPr>
            </w:pPr>
          </w:p>
        </w:tc>
      </w:tr>
      <w:tr w:rsidR="00FD723C" w:rsidRPr="00FD723C" w14:paraId="4B3287E5" w14:textId="77777777" w:rsidTr="001B2C4E">
        <w:trPr>
          <w:trHeight w:val="300"/>
        </w:trPr>
        <w:tc>
          <w:tcPr>
            <w:tcW w:w="709" w:type="dxa"/>
            <w:shd w:val="clear" w:color="auto" w:fill="F2F2F2"/>
            <w:vAlign w:val="center"/>
          </w:tcPr>
          <w:p w14:paraId="26373EB0"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06CAB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S5 Nowe Marzy - Bydgoszcz</w:t>
            </w:r>
          </w:p>
        </w:tc>
        <w:tc>
          <w:tcPr>
            <w:tcW w:w="1405" w:type="dxa"/>
            <w:gridSpan w:val="2"/>
            <w:shd w:val="clear" w:color="auto" w:fill="F2F2F2"/>
            <w:vAlign w:val="center"/>
          </w:tcPr>
          <w:p w14:paraId="53E9CAC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7" w:type="dxa"/>
            <w:shd w:val="clear" w:color="auto" w:fill="F2F2F2"/>
            <w:vAlign w:val="center"/>
          </w:tcPr>
          <w:p w14:paraId="4B15776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1192AA5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(III kw.)</w:t>
            </w:r>
          </w:p>
        </w:tc>
        <w:tc>
          <w:tcPr>
            <w:tcW w:w="992" w:type="dxa"/>
            <w:shd w:val="clear" w:color="auto" w:fill="F2F2F2"/>
            <w:vAlign w:val="center"/>
          </w:tcPr>
          <w:p w14:paraId="429CE7F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7.a. </w:t>
            </w:r>
          </w:p>
        </w:tc>
        <w:tc>
          <w:tcPr>
            <w:tcW w:w="992" w:type="dxa"/>
            <w:shd w:val="clear" w:color="auto" w:fill="F2F2F2"/>
            <w:vAlign w:val="center"/>
          </w:tcPr>
          <w:p w14:paraId="187B3F2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090AC582" w14:textId="77777777" w:rsidTr="001B2C4E">
        <w:trPr>
          <w:trHeight w:val="300"/>
        </w:trPr>
        <w:tc>
          <w:tcPr>
            <w:tcW w:w="709" w:type="dxa"/>
            <w:shd w:val="clear" w:color="auto" w:fill="F2F2F2"/>
            <w:vAlign w:val="center"/>
          </w:tcPr>
          <w:p w14:paraId="6C943607"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0CE9A29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S19</w:t>
            </w:r>
          </w:p>
          <w:p w14:paraId="7A0EE14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Lublin – Rzeszów</w:t>
            </w:r>
          </w:p>
        </w:tc>
        <w:tc>
          <w:tcPr>
            <w:tcW w:w="1405" w:type="dxa"/>
            <w:gridSpan w:val="2"/>
            <w:shd w:val="clear" w:color="auto" w:fill="F2F2F2"/>
            <w:vAlign w:val="center"/>
          </w:tcPr>
          <w:p w14:paraId="27E64980"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489E7729"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024E3A90"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0E29518D"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22A3A48" w14:textId="77777777" w:rsidR="00FD723C" w:rsidRPr="00FD723C" w:rsidRDefault="00FD723C" w:rsidP="00FD723C">
            <w:pPr>
              <w:spacing w:before="60" w:after="60"/>
              <w:jc w:val="center"/>
              <w:rPr>
                <w:rFonts w:ascii="Arial" w:hAnsi="Arial" w:cs="Arial"/>
                <w:sz w:val="16"/>
                <w:szCs w:val="16"/>
              </w:rPr>
            </w:pPr>
          </w:p>
        </w:tc>
      </w:tr>
      <w:tr w:rsidR="00FD723C" w:rsidRPr="00FD723C" w14:paraId="69307B37" w14:textId="77777777" w:rsidTr="001B2C4E">
        <w:trPr>
          <w:trHeight w:val="300"/>
        </w:trPr>
        <w:tc>
          <w:tcPr>
            <w:tcW w:w="709" w:type="dxa"/>
            <w:shd w:val="clear" w:color="auto" w:fill="F2F2F2"/>
            <w:vAlign w:val="center"/>
          </w:tcPr>
          <w:p w14:paraId="7D47CE8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6CB547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S19 Lublin - Rzeszów, odc. w. Lublin Sławinek - w. Lublin Węglin</w:t>
            </w:r>
          </w:p>
        </w:tc>
        <w:tc>
          <w:tcPr>
            <w:tcW w:w="1405" w:type="dxa"/>
            <w:gridSpan w:val="2"/>
            <w:shd w:val="clear" w:color="auto" w:fill="F2F2F2"/>
            <w:vAlign w:val="center"/>
          </w:tcPr>
          <w:p w14:paraId="0173DB8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54BAA24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16EFCFB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992" w:type="dxa"/>
            <w:shd w:val="clear" w:color="auto" w:fill="F2F2F2"/>
            <w:vAlign w:val="center"/>
          </w:tcPr>
          <w:p w14:paraId="0900699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FDF6B9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4AA44CD8" w14:textId="77777777" w:rsidTr="001B2C4E">
        <w:trPr>
          <w:trHeight w:val="300"/>
        </w:trPr>
        <w:tc>
          <w:tcPr>
            <w:tcW w:w="709" w:type="dxa"/>
            <w:shd w:val="clear" w:color="auto" w:fill="F2F2F2"/>
            <w:vAlign w:val="center"/>
          </w:tcPr>
          <w:p w14:paraId="03F3DFB3"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DD98D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S19 Lublin - Rzeszów, odc. w. Lublin Węglin - w. Kraśnik Południe</w:t>
            </w:r>
          </w:p>
        </w:tc>
        <w:tc>
          <w:tcPr>
            <w:tcW w:w="1405" w:type="dxa"/>
            <w:gridSpan w:val="2"/>
            <w:shd w:val="clear" w:color="auto" w:fill="F2F2F2"/>
            <w:vAlign w:val="center"/>
          </w:tcPr>
          <w:p w14:paraId="5E04057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1417" w:type="dxa"/>
            <w:shd w:val="clear" w:color="auto" w:fill="F2F2F2"/>
            <w:vAlign w:val="center"/>
          </w:tcPr>
          <w:p w14:paraId="5B52310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7B2F6CA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992" w:type="dxa"/>
            <w:shd w:val="clear" w:color="auto" w:fill="F2F2F2"/>
            <w:vAlign w:val="center"/>
          </w:tcPr>
          <w:p w14:paraId="6568025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22F462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FE64FDE" w14:textId="77777777" w:rsidTr="001B2C4E">
        <w:trPr>
          <w:trHeight w:val="300"/>
        </w:trPr>
        <w:tc>
          <w:tcPr>
            <w:tcW w:w="709" w:type="dxa"/>
            <w:shd w:val="clear" w:color="auto" w:fill="F2F2F2"/>
            <w:vAlign w:val="center"/>
          </w:tcPr>
          <w:p w14:paraId="1C24D728"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C5EE77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S19 Lublin - Rzeszów, odc. w. Kraśnik Południe (bez węzła) - w. Lasy Janowskie</w:t>
            </w:r>
          </w:p>
        </w:tc>
        <w:tc>
          <w:tcPr>
            <w:tcW w:w="1405" w:type="dxa"/>
            <w:gridSpan w:val="2"/>
            <w:shd w:val="clear" w:color="auto" w:fill="F2F2F2"/>
            <w:vAlign w:val="center"/>
          </w:tcPr>
          <w:p w14:paraId="6FE249B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1417" w:type="dxa"/>
            <w:shd w:val="clear" w:color="auto" w:fill="F2F2F2"/>
            <w:vAlign w:val="center"/>
          </w:tcPr>
          <w:p w14:paraId="573400D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 kw.)</w:t>
            </w:r>
          </w:p>
        </w:tc>
        <w:tc>
          <w:tcPr>
            <w:tcW w:w="1418" w:type="dxa"/>
            <w:shd w:val="clear" w:color="auto" w:fill="F2F2F2"/>
            <w:vAlign w:val="center"/>
          </w:tcPr>
          <w:p w14:paraId="0111645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2023 (IV kw.) </w:t>
            </w:r>
          </w:p>
        </w:tc>
        <w:tc>
          <w:tcPr>
            <w:tcW w:w="992" w:type="dxa"/>
            <w:shd w:val="clear" w:color="auto" w:fill="F2F2F2"/>
            <w:vAlign w:val="center"/>
          </w:tcPr>
          <w:p w14:paraId="1344345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3A984D9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4CE1E22" w14:textId="77777777" w:rsidTr="001B2C4E">
        <w:trPr>
          <w:trHeight w:val="300"/>
        </w:trPr>
        <w:tc>
          <w:tcPr>
            <w:tcW w:w="709" w:type="dxa"/>
            <w:shd w:val="clear" w:color="auto" w:fill="F2F2F2"/>
            <w:vAlign w:val="center"/>
          </w:tcPr>
          <w:p w14:paraId="4192F946"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E71D58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S19 Lublin - Rzeszów, odc. w. Lasy Janowskie (bez węzła) - w. Nisko Południe (z węzłem)</w:t>
            </w:r>
          </w:p>
        </w:tc>
        <w:tc>
          <w:tcPr>
            <w:tcW w:w="1405" w:type="dxa"/>
            <w:gridSpan w:val="2"/>
            <w:shd w:val="clear" w:color="auto" w:fill="F2F2F2"/>
            <w:vAlign w:val="center"/>
          </w:tcPr>
          <w:p w14:paraId="301AB4B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1417" w:type="dxa"/>
            <w:shd w:val="clear" w:color="auto" w:fill="F2F2F2"/>
            <w:vAlign w:val="center"/>
          </w:tcPr>
          <w:p w14:paraId="0B932A7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27D1FA1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3D7427C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C27254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295F456" w14:textId="77777777" w:rsidTr="001B2C4E">
        <w:trPr>
          <w:trHeight w:val="300"/>
        </w:trPr>
        <w:tc>
          <w:tcPr>
            <w:tcW w:w="709" w:type="dxa"/>
            <w:shd w:val="clear" w:color="auto" w:fill="F2F2F2"/>
            <w:vAlign w:val="center"/>
          </w:tcPr>
          <w:p w14:paraId="2266FC88"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63F2C2B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S19 Lublin - Rzeszów, odc. w. Nisko Południe (bez węzła) - w. Sokołów Małopolski Północ (z węzłem)</w:t>
            </w:r>
          </w:p>
        </w:tc>
        <w:tc>
          <w:tcPr>
            <w:tcW w:w="1405" w:type="dxa"/>
            <w:gridSpan w:val="2"/>
            <w:shd w:val="clear" w:color="auto" w:fill="F2F2F2"/>
            <w:vAlign w:val="center"/>
          </w:tcPr>
          <w:p w14:paraId="7326155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 IV kw.)</w:t>
            </w:r>
          </w:p>
        </w:tc>
        <w:tc>
          <w:tcPr>
            <w:tcW w:w="1417" w:type="dxa"/>
            <w:shd w:val="clear" w:color="auto" w:fill="F2F2F2"/>
            <w:vAlign w:val="center"/>
          </w:tcPr>
          <w:p w14:paraId="170CAEE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5C9E8BB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992" w:type="dxa"/>
            <w:shd w:val="clear" w:color="auto" w:fill="F2F2F2"/>
            <w:vAlign w:val="center"/>
          </w:tcPr>
          <w:p w14:paraId="4963B7D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119169D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2A67805B" w14:textId="77777777" w:rsidTr="001B2C4E">
        <w:trPr>
          <w:trHeight w:val="300"/>
        </w:trPr>
        <w:tc>
          <w:tcPr>
            <w:tcW w:w="709" w:type="dxa"/>
            <w:shd w:val="clear" w:color="auto" w:fill="F2F2F2"/>
            <w:vAlign w:val="center"/>
          </w:tcPr>
          <w:p w14:paraId="1DCB468F"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1A5EA21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S19 Lublin - Rzeszów, odc. w. Sokołów </w:t>
            </w:r>
            <w:proofErr w:type="spellStart"/>
            <w:r w:rsidRPr="00FD723C">
              <w:rPr>
                <w:rFonts w:ascii="Arial" w:hAnsi="Arial" w:cs="Arial"/>
                <w:sz w:val="16"/>
                <w:szCs w:val="16"/>
              </w:rPr>
              <w:t>Młp</w:t>
            </w:r>
            <w:proofErr w:type="spellEnd"/>
            <w:r w:rsidRPr="00FD723C">
              <w:rPr>
                <w:rFonts w:ascii="Arial" w:hAnsi="Arial" w:cs="Arial"/>
                <w:sz w:val="16"/>
                <w:szCs w:val="16"/>
              </w:rPr>
              <w:t>. Północ - Stobierna oraz w. Świlcza - w. Rzeszów Południe</w:t>
            </w:r>
          </w:p>
        </w:tc>
        <w:tc>
          <w:tcPr>
            <w:tcW w:w="1405" w:type="dxa"/>
            <w:gridSpan w:val="2"/>
            <w:shd w:val="clear" w:color="auto" w:fill="F2F2F2"/>
            <w:vAlign w:val="center"/>
          </w:tcPr>
          <w:p w14:paraId="3B7CDA1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7" w:type="dxa"/>
            <w:shd w:val="clear" w:color="auto" w:fill="F2F2F2"/>
            <w:vAlign w:val="center"/>
          </w:tcPr>
          <w:p w14:paraId="3FC6A13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 kw.)</w:t>
            </w:r>
          </w:p>
        </w:tc>
        <w:tc>
          <w:tcPr>
            <w:tcW w:w="1418" w:type="dxa"/>
            <w:shd w:val="clear" w:color="auto" w:fill="F2F2F2"/>
            <w:vAlign w:val="center"/>
          </w:tcPr>
          <w:p w14:paraId="4224333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992" w:type="dxa"/>
            <w:shd w:val="clear" w:color="auto" w:fill="F2F2F2"/>
            <w:vAlign w:val="center"/>
          </w:tcPr>
          <w:p w14:paraId="01CDBC9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4CC7DC9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00152C98" w14:textId="77777777" w:rsidTr="001B2C4E">
        <w:trPr>
          <w:trHeight w:val="300"/>
        </w:trPr>
        <w:tc>
          <w:tcPr>
            <w:tcW w:w="709" w:type="dxa"/>
            <w:shd w:val="clear" w:color="auto" w:fill="F2F2F2"/>
            <w:vAlign w:val="center"/>
          </w:tcPr>
          <w:p w14:paraId="5FB3DD34"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1239EBE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S2/A2</w:t>
            </w:r>
          </w:p>
          <w:p w14:paraId="531CF3B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Warszawa - Siedlce</w:t>
            </w:r>
          </w:p>
        </w:tc>
        <w:tc>
          <w:tcPr>
            <w:tcW w:w="1405" w:type="dxa"/>
            <w:gridSpan w:val="2"/>
            <w:shd w:val="clear" w:color="auto" w:fill="F2F2F2"/>
            <w:vAlign w:val="center"/>
          </w:tcPr>
          <w:p w14:paraId="18BE5653"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59027363"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4E117082"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0E161960"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00D82BCE" w14:textId="77777777" w:rsidR="00FD723C" w:rsidRPr="00FD723C" w:rsidRDefault="00FD723C" w:rsidP="00FD723C">
            <w:pPr>
              <w:spacing w:before="60" w:after="60"/>
              <w:jc w:val="center"/>
              <w:rPr>
                <w:rFonts w:ascii="Arial" w:hAnsi="Arial" w:cs="Arial"/>
                <w:sz w:val="16"/>
                <w:szCs w:val="16"/>
              </w:rPr>
            </w:pPr>
          </w:p>
        </w:tc>
      </w:tr>
      <w:tr w:rsidR="00FD723C" w:rsidRPr="00FD723C" w14:paraId="3FEB78F1" w14:textId="77777777" w:rsidTr="001B2C4E">
        <w:trPr>
          <w:trHeight w:val="300"/>
        </w:trPr>
        <w:tc>
          <w:tcPr>
            <w:tcW w:w="709" w:type="dxa"/>
            <w:shd w:val="clear" w:color="auto" w:fill="F2F2F2"/>
            <w:vAlign w:val="center"/>
          </w:tcPr>
          <w:p w14:paraId="475C83E2"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33C511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S2 odc. w. Puławska – w. Lubelska (bez węzła)</w:t>
            </w:r>
          </w:p>
        </w:tc>
        <w:tc>
          <w:tcPr>
            <w:tcW w:w="1405" w:type="dxa"/>
            <w:gridSpan w:val="2"/>
            <w:shd w:val="clear" w:color="auto" w:fill="F2F2F2"/>
            <w:vAlign w:val="center"/>
          </w:tcPr>
          <w:p w14:paraId="7BFF1CA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04FBB30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470EC99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(IV kw.)</w:t>
            </w:r>
          </w:p>
        </w:tc>
        <w:tc>
          <w:tcPr>
            <w:tcW w:w="992" w:type="dxa"/>
            <w:shd w:val="clear" w:color="auto" w:fill="F2F2F2"/>
            <w:vAlign w:val="center"/>
          </w:tcPr>
          <w:p w14:paraId="1D5951D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6A6969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C73DF25" w14:textId="77777777" w:rsidTr="001B2C4E">
        <w:trPr>
          <w:trHeight w:val="300"/>
        </w:trPr>
        <w:tc>
          <w:tcPr>
            <w:tcW w:w="709" w:type="dxa"/>
            <w:shd w:val="clear" w:color="auto" w:fill="F2F2F2"/>
            <w:vAlign w:val="center"/>
          </w:tcPr>
          <w:p w14:paraId="478B92D6"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08CFB0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autostrady A2, odc. </w:t>
            </w:r>
            <w:r w:rsidRPr="00FD723C">
              <w:rPr>
                <w:rFonts w:ascii="Arial" w:hAnsi="Arial" w:cs="Arial"/>
                <w:sz w:val="16"/>
                <w:szCs w:val="16"/>
              </w:rPr>
              <w:lastRenderedPageBreak/>
              <w:t>Warszawa (w. Lubelska) – Mińsk Mazowiecki</w:t>
            </w:r>
          </w:p>
        </w:tc>
        <w:tc>
          <w:tcPr>
            <w:tcW w:w="1405" w:type="dxa"/>
            <w:gridSpan w:val="2"/>
            <w:shd w:val="clear" w:color="auto" w:fill="F2F2F2"/>
            <w:vAlign w:val="center"/>
          </w:tcPr>
          <w:p w14:paraId="4B87FD5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lastRenderedPageBreak/>
              <w:t>2018 (IV kw.)</w:t>
            </w:r>
          </w:p>
        </w:tc>
        <w:tc>
          <w:tcPr>
            <w:tcW w:w="1417" w:type="dxa"/>
            <w:shd w:val="clear" w:color="auto" w:fill="F2F2F2"/>
            <w:vAlign w:val="center"/>
          </w:tcPr>
          <w:p w14:paraId="3B0F91E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8" w:type="dxa"/>
            <w:shd w:val="clear" w:color="auto" w:fill="F2F2F2"/>
            <w:vAlign w:val="center"/>
          </w:tcPr>
          <w:p w14:paraId="5F5C4E50" w14:textId="54C504DF"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(IV kw.)</w:t>
            </w:r>
          </w:p>
        </w:tc>
        <w:tc>
          <w:tcPr>
            <w:tcW w:w="992" w:type="dxa"/>
            <w:shd w:val="clear" w:color="auto" w:fill="F2F2F2"/>
            <w:vAlign w:val="center"/>
          </w:tcPr>
          <w:p w14:paraId="73352A4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9A3D01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3BB357A" w14:textId="77777777" w:rsidTr="001B2C4E">
        <w:trPr>
          <w:trHeight w:val="300"/>
        </w:trPr>
        <w:tc>
          <w:tcPr>
            <w:tcW w:w="709" w:type="dxa"/>
            <w:shd w:val="clear" w:color="auto" w:fill="F2F2F2"/>
            <w:vAlign w:val="center"/>
          </w:tcPr>
          <w:p w14:paraId="04447CE4"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277E06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autostrady A2, odc. Mińsk Mazowiecki - Siedlce</w:t>
            </w:r>
          </w:p>
        </w:tc>
        <w:tc>
          <w:tcPr>
            <w:tcW w:w="1405" w:type="dxa"/>
            <w:gridSpan w:val="2"/>
            <w:shd w:val="clear" w:color="auto" w:fill="F2F2F2"/>
            <w:vAlign w:val="center"/>
          </w:tcPr>
          <w:p w14:paraId="5BE915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1417" w:type="dxa"/>
            <w:shd w:val="clear" w:color="auto" w:fill="F2F2F2"/>
            <w:vAlign w:val="center"/>
          </w:tcPr>
          <w:p w14:paraId="17DA808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(II kw.)</w:t>
            </w:r>
          </w:p>
        </w:tc>
        <w:tc>
          <w:tcPr>
            <w:tcW w:w="1418" w:type="dxa"/>
            <w:shd w:val="clear" w:color="auto" w:fill="F2F2F2"/>
            <w:vAlign w:val="center"/>
          </w:tcPr>
          <w:p w14:paraId="3482645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0950EDA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0BAA79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894BEAB" w14:textId="77777777" w:rsidTr="001B2C4E">
        <w:trPr>
          <w:trHeight w:val="300"/>
        </w:trPr>
        <w:tc>
          <w:tcPr>
            <w:tcW w:w="709" w:type="dxa"/>
            <w:shd w:val="clear" w:color="auto" w:fill="F2F2F2"/>
            <w:vAlign w:val="center"/>
          </w:tcPr>
          <w:p w14:paraId="0FFF4DF6" w14:textId="77777777" w:rsidR="00FD723C" w:rsidRPr="00FD723C" w:rsidRDefault="00FD723C" w:rsidP="00FD723C">
            <w:pPr>
              <w:spacing w:before="60" w:after="60"/>
              <w:jc w:val="center"/>
              <w:rPr>
                <w:rFonts w:ascii="Arial" w:hAnsi="Arial" w:cs="Arial"/>
                <w:sz w:val="16"/>
                <w:szCs w:val="16"/>
                <w:highlight w:val="yellow"/>
              </w:rPr>
            </w:pPr>
          </w:p>
        </w:tc>
        <w:tc>
          <w:tcPr>
            <w:tcW w:w="2848" w:type="dxa"/>
            <w:gridSpan w:val="4"/>
            <w:shd w:val="clear" w:color="auto" w:fill="F2F2F2"/>
            <w:vAlign w:val="center"/>
          </w:tcPr>
          <w:p w14:paraId="505E7DA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S61</w:t>
            </w:r>
          </w:p>
          <w:p w14:paraId="5407DA28" w14:textId="77777777" w:rsidR="00FD723C" w:rsidRPr="00FD723C" w:rsidRDefault="00FD723C" w:rsidP="00FD723C">
            <w:pPr>
              <w:spacing w:before="60" w:after="60"/>
              <w:jc w:val="center"/>
              <w:rPr>
                <w:rFonts w:ascii="Arial" w:hAnsi="Arial" w:cs="Arial"/>
                <w:sz w:val="16"/>
                <w:szCs w:val="16"/>
                <w:highlight w:val="yellow"/>
              </w:rPr>
            </w:pPr>
            <w:r w:rsidRPr="00FD723C">
              <w:rPr>
                <w:rFonts w:ascii="Arial" w:hAnsi="Arial" w:cs="Arial"/>
                <w:sz w:val="16"/>
                <w:szCs w:val="16"/>
              </w:rPr>
              <w:t>Ostrów Mazowiecka – obwodnica Augustowa</w:t>
            </w:r>
            <w:r w:rsidRPr="00FD723C">
              <w:rPr>
                <w:rFonts w:ascii="Arial" w:hAnsi="Arial" w:cs="Arial"/>
                <w:sz w:val="16"/>
                <w:szCs w:val="16"/>
                <w:vertAlign w:val="superscript"/>
              </w:rPr>
              <w:footnoteReference w:id="119"/>
            </w:r>
          </w:p>
        </w:tc>
        <w:tc>
          <w:tcPr>
            <w:tcW w:w="1405" w:type="dxa"/>
            <w:gridSpan w:val="2"/>
            <w:shd w:val="clear" w:color="auto" w:fill="F2F2F2"/>
            <w:vAlign w:val="center"/>
          </w:tcPr>
          <w:p w14:paraId="4C490832" w14:textId="77777777" w:rsidR="00FD723C" w:rsidRPr="00FD723C" w:rsidRDefault="00FD723C" w:rsidP="00FD723C">
            <w:pPr>
              <w:spacing w:before="60" w:after="60"/>
              <w:jc w:val="center"/>
              <w:rPr>
                <w:rFonts w:ascii="Arial" w:hAnsi="Arial" w:cs="Arial"/>
                <w:sz w:val="16"/>
                <w:szCs w:val="16"/>
                <w:highlight w:val="yellow"/>
              </w:rPr>
            </w:pPr>
          </w:p>
        </w:tc>
        <w:tc>
          <w:tcPr>
            <w:tcW w:w="1417" w:type="dxa"/>
            <w:shd w:val="clear" w:color="auto" w:fill="F2F2F2"/>
            <w:vAlign w:val="center"/>
          </w:tcPr>
          <w:p w14:paraId="28CC53F0" w14:textId="77777777" w:rsidR="00FD723C" w:rsidRPr="00FD723C" w:rsidRDefault="00FD723C" w:rsidP="00FD723C">
            <w:pPr>
              <w:spacing w:before="60" w:after="60"/>
              <w:jc w:val="center"/>
              <w:rPr>
                <w:rFonts w:ascii="Arial" w:hAnsi="Arial" w:cs="Arial"/>
                <w:sz w:val="16"/>
                <w:szCs w:val="16"/>
                <w:highlight w:val="yellow"/>
              </w:rPr>
            </w:pPr>
          </w:p>
        </w:tc>
        <w:tc>
          <w:tcPr>
            <w:tcW w:w="1418" w:type="dxa"/>
            <w:shd w:val="clear" w:color="auto" w:fill="F2F2F2"/>
            <w:vAlign w:val="center"/>
          </w:tcPr>
          <w:p w14:paraId="41BCD5A2" w14:textId="77777777" w:rsidR="00FD723C" w:rsidRPr="00FD723C" w:rsidRDefault="00FD723C" w:rsidP="00FD723C">
            <w:pPr>
              <w:spacing w:before="60" w:after="60"/>
              <w:jc w:val="center"/>
              <w:rPr>
                <w:rFonts w:ascii="Arial" w:hAnsi="Arial" w:cs="Arial"/>
                <w:sz w:val="16"/>
                <w:szCs w:val="16"/>
                <w:highlight w:val="yellow"/>
              </w:rPr>
            </w:pPr>
          </w:p>
        </w:tc>
        <w:tc>
          <w:tcPr>
            <w:tcW w:w="992" w:type="dxa"/>
            <w:shd w:val="clear" w:color="auto" w:fill="F2F2F2"/>
            <w:vAlign w:val="center"/>
          </w:tcPr>
          <w:p w14:paraId="045C9194" w14:textId="77777777" w:rsidR="00FD723C" w:rsidRPr="00FD723C" w:rsidRDefault="00FD723C" w:rsidP="00FD723C">
            <w:pPr>
              <w:spacing w:before="60" w:after="60"/>
              <w:jc w:val="center"/>
              <w:rPr>
                <w:rFonts w:ascii="Arial" w:hAnsi="Arial" w:cs="Arial"/>
                <w:sz w:val="16"/>
                <w:szCs w:val="16"/>
                <w:highlight w:val="yellow"/>
              </w:rPr>
            </w:pPr>
          </w:p>
        </w:tc>
        <w:tc>
          <w:tcPr>
            <w:tcW w:w="992" w:type="dxa"/>
            <w:shd w:val="clear" w:color="auto" w:fill="F2F2F2"/>
            <w:vAlign w:val="center"/>
          </w:tcPr>
          <w:p w14:paraId="6E49998E" w14:textId="77777777" w:rsidR="00FD723C" w:rsidRPr="00FD723C" w:rsidRDefault="00FD723C" w:rsidP="00FD723C">
            <w:pPr>
              <w:spacing w:before="60" w:after="60"/>
              <w:jc w:val="center"/>
              <w:rPr>
                <w:rFonts w:ascii="Arial" w:hAnsi="Arial" w:cs="Arial"/>
                <w:sz w:val="16"/>
                <w:szCs w:val="16"/>
                <w:highlight w:val="yellow"/>
              </w:rPr>
            </w:pPr>
          </w:p>
        </w:tc>
      </w:tr>
      <w:tr w:rsidR="00FD723C" w:rsidRPr="00FD723C" w14:paraId="3F5CE1A9" w14:textId="77777777" w:rsidTr="001B2C4E">
        <w:trPr>
          <w:trHeight w:val="300"/>
        </w:trPr>
        <w:tc>
          <w:tcPr>
            <w:tcW w:w="709" w:type="dxa"/>
            <w:shd w:val="clear" w:color="auto" w:fill="F2F2F2"/>
            <w:vAlign w:val="center"/>
          </w:tcPr>
          <w:p w14:paraId="1D63771F"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0BDDA14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S61 odc. </w:t>
            </w:r>
            <w:r w:rsidRPr="00FD723C">
              <w:t xml:space="preserve"> </w:t>
            </w:r>
            <w:r w:rsidRPr="00FD723C">
              <w:rPr>
                <w:rFonts w:ascii="Arial" w:hAnsi="Arial" w:cs="Arial"/>
                <w:sz w:val="16"/>
                <w:szCs w:val="16"/>
              </w:rPr>
              <w:t>Podborze - Śniadowo</w:t>
            </w:r>
          </w:p>
        </w:tc>
        <w:tc>
          <w:tcPr>
            <w:tcW w:w="1405" w:type="dxa"/>
            <w:gridSpan w:val="2"/>
            <w:shd w:val="clear" w:color="auto" w:fill="F2F2F2"/>
            <w:vAlign w:val="center"/>
          </w:tcPr>
          <w:p w14:paraId="5081D3E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w:t>
            </w:r>
            <w:r w:rsidRPr="00FD723C">
              <w:t xml:space="preserve"> </w:t>
            </w:r>
            <w:r w:rsidRPr="00FD723C">
              <w:rPr>
                <w:rFonts w:ascii="Arial" w:hAnsi="Arial" w:cs="Arial"/>
                <w:sz w:val="16"/>
                <w:szCs w:val="16"/>
              </w:rPr>
              <w:t>2021 (II kw.)</w:t>
            </w:r>
          </w:p>
        </w:tc>
        <w:tc>
          <w:tcPr>
            <w:tcW w:w="1417" w:type="dxa"/>
            <w:shd w:val="clear" w:color="auto" w:fill="F2F2F2"/>
            <w:vAlign w:val="center"/>
          </w:tcPr>
          <w:p w14:paraId="1FABF37B" w14:textId="77777777" w:rsidR="00FD723C" w:rsidRPr="00FD723C" w:rsidRDefault="00FD723C" w:rsidP="00FD723C">
            <w:pPr>
              <w:spacing w:before="60" w:after="60"/>
              <w:jc w:val="center"/>
              <w:rPr>
                <w:rFonts w:ascii="Arial" w:hAnsi="Arial" w:cs="Arial"/>
                <w:sz w:val="16"/>
                <w:szCs w:val="16"/>
              </w:rPr>
            </w:pPr>
            <w:r w:rsidRPr="00FD723C">
              <w:t xml:space="preserve"> </w:t>
            </w:r>
            <w:r w:rsidRPr="00FD723C">
              <w:rPr>
                <w:rFonts w:ascii="Arial" w:hAnsi="Arial" w:cs="Arial"/>
                <w:sz w:val="16"/>
                <w:szCs w:val="16"/>
              </w:rPr>
              <w:t>2020 (I kw.)</w:t>
            </w:r>
          </w:p>
        </w:tc>
        <w:tc>
          <w:tcPr>
            <w:tcW w:w="1418" w:type="dxa"/>
            <w:shd w:val="clear" w:color="auto" w:fill="F2F2F2"/>
            <w:vAlign w:val="center"/>
          </w:tcPr>
          <w:p w14:paraId="22A87AF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w:t>
            </w:r>
            <w:r w:rsidRPr="00FD723C">
              <w:t xml:space="preserve"> </w:t>
            </w:r>
            <w:r w:rsidRPr="00FD723C">
              <w:rPr>
                <w:rFonts w:ascii="Arial" w:hAnsi="Arial" w:cs="Arial"/>
                <w:sz w:val="16"/>
                <w:szCs w:val="16"/>
              </w:rPr>
              <w:t>2023 (IV kw.)</w:t>
            </w:r>
          </w:p>
        </w:tc>
        <w:tc>
          <w:tcPr>
            <w:tcW w:w="992" w:type="dxa"/>
            <w:shd w:val="clear" w:color="auto" w:fill="F2F2F2"/>
            <w:vAlign w:val="center"/>
          </w:tcPr>
          <w:p w14:paraId="34833CC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9BFD50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458C9ADC" w14:textId="77777777" w:rsidTr="001B2C4E">
        <w:trPr>
          <w:trHeight w:val="300"/>
        </w:trPr>
        <w:tc>
          <w:tcPr>
            <w:tcW w:w="709" w:type="dxa"/>
            <w:shd w:val="clear" w:color="auto" w:fill="F2F2F2"/>
            <w:vAlign w:val="center"/>
          </w:tcPr>
          <w:p w14:paraId="6949E1FD"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26F9FB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S61 odc. Śniadowo – Łomża Zachód</w:t>
            </w:r>
          </w:p>
        </w:tc>
        <w:tc>
          <w:tcPr>
            <w:tcW w:w="1405" w:type="dxa"/>
            <w:gridSpan w:val="2"/>
            <w:shd w:val="clear" w:color="auto" w:fill="F2F2F2"/>
            <w:vAlign w:val="center"/>
          </w:tcPr>
          <w:p w14:paraId="1F4E420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1417" w:type="dxa"/>
            <w:shd w:val="clear" w:color="auto" w:fill="F2F2F2"/>
            <w:vAlign w:val="center"/>
          </w:tcPr>
          <w:p w14:paraId="1847387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8" w:type="dxa"/>
            <w:shd w:val="clear" w:color="auto" w:fill="F2F2F2"/>
            <w:vAlign w:val="center"/>
          </w:tcPr>
          <w:p w14:paraId="7F4E231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 kw.)</w:t>
            </w:r>
          </w:p>
        </w:tc>
        <w:tc>
          <w:tcPr>
            <w:tcW w:w="992" w:type="dxa"/>
            <w:shd w:val="clear" w:color="auto" w:fill="F2F2F2"/>
            <w:vAlign w:val="center"/>
          </w:tcPr>
          <w:p w14:paraId="73A51ED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7.1</w:t>
            </w:r>
          </w:p>
        </w:tc>
        <w:tc>
          <w:tcPr>
            <w:tcW w:w="992" w:type="dxa"/>
            <w:shd w:val="clear" w:color="auto" w:fill="F2F2F2"/>
            <w:vAlign w:val="center"/>
          </w:tcPr>
          <w:p w14:paraId="209D171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06F71532" w14:textId="77777777" w:rsidTr="001B2C4E">
        <w:trPr>
          <w:trHeight w:val="300"/>
        </w:trPr>
        <w:tc>
          <w:tcPr>
            <w:tcW w:w="709" w:type="dxa"/>
            <w:shd w:val="clear" w:color="auto" w:fill="F2F2F2"/>
            <w:vAlign w:val="center"/>
          </w:tcPr>
          <w:p w14:paraId="3E1DD645"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19B1E19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S61 odc.  Łomża Zachód – Stawiski</w:t>
            </w:r>
          </w:p>
        </w:tc>
        <w:tc>
          <w:tcPr>
            <w:tcW w:w="1405" w:type="dxa"/>
            <w:gridSpan w:val="2"/>
            <w:shd w:val="clear" w:color="auto" w:fill="F2F2F2"/>
            <w:vAlign w:val="center"/>
          </w:tcPr>
          <w:p w14:paraId="582762F9" w14:textId="77777777" w:rsidR="00FD723C" w:rsidRPr="00FD723C" w:rsidRDefault="00FD723C" w:rsidP="00FD723C">
            <w:pPr>
              <w:spacing w:before="60" w:after="60"/>
              <w:jc w:val="center"/>
              <w:rPr>
                <w:rFonts w:ascii="Arial" w:hAnsi="Arial" w:cs="Arial"/>
                <w:strike/>
                <w:sz w:val="16"/>
                <w:szCs w:val="16"/>
              </w:rPr>
            </w:pPr>
            <w:r w:rsidRPr="00FD723C">
              <w:rPr>
                <w:rFonts w:ascii="Arial" w:hAnsi="Arial" w:cs="Arial"/>
                <w:sz w:val="16"/>
                <w:szCs w:val="16"/>
              </w:rPr>
              <w:t>2021 (I kw.)</w:t>
            </w:r>
          </w:p>
        </w:tc>
        <w:tc>
          <w:tcPr>
            <w:tcW w:w="1417" w:type="dxa"/>
            <w:shd w:val="clear" w:color="auto" w:fill="F2F2F2"/>
            <w:vAlign w:val="center"/>
          </w:tcPr>
          <w:p w14:paraId="7A0CC87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8" w:type="dxa"/>
            <w:shd w:val="clear" w:color="auto" w:fill="F2F2F2"/>
            <w:vAlign w:val="center"/>
          </w:tcPr>
          <w:p w14:paraId="5774620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26E1F2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7.1</w:t>
            </w:r>
          </w:p>
        </w:tc>
        <w:tc>
          <w:tcPr>
            <w:tcW w:w="992" w:type="dxa"/>
            <w:shd w:val="clear" w:color="auto" w:fill="F2F2F2"/>
            <w:vAlign w:val="center"/>
          </w:tcPr>
          <w:p w14:paraId="4523BC2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A8924D7" w14:textId="77777777" w:rsidTr="001B2C4E">
        <w:trPr>
          <w:trHeight w:val="300"/>
        </w:trPr>
        <w:tc>
          <w:tcPr>
            <w:tcW w:w="709" w:type="dxa"/>
            <w:shd w:val="clear" w:color="auto" w:fill="F2F2F2"/>
            <w:vAlign w:val="center"/>
          </w:tcPr>
          <w:p w14:paraId="4FF4C288"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7BD7AB0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S7</w:t>
            </w:r>
          </w:p>
          <w:p w14:paraId="1BCA152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Kraków – Rabka</w:t>
            </w:r>
          </w:p>
        </w:tc>
        <w:tc>
          <w:tcPr>
            <w:tcW w:w="1405" w:type="dxa"/>
            <w:gridSpan w:val="2"/>
            <w:shd w:val="clear" w:color="auto" w:fill="F2F2F2"/>
            <w:vAlign w:val="center"/>
          </w:tcPr>
          <w:p w14:paraId="329A1D5C"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5D6521FF"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0BD609BC"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2D401976"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0F1D8522" w14:textId="77777777" w:rsidR="00FD723C" w:rsidRPr="00FD723C" w:rsidRDefault="00FD723C" w:rsidP="00FD723C">
            <w:pPr>
              <w:spacing w:before="60" w:after="60"/>
              <w:jc w:val="center"/>
              <w:rPr>
                <w:rFonts w:ascii="Arial" w:hAnsi="Arial" w:cs="Arial"/>
                <w:sz w:val="16"/>
                <w:szCs w:val="16"/>
              </w:rPr>
            </w:pPr>
          </w:p>
        </w:tc>
      </w:tr>
      <w:tr w:rsidR="00FD723C" w:rsidRPr="00FD723C" w14:paraId="40E23F39" w14:textId="77777777" w:rsidTr="001B2C4E">
        <w:trPr>
          <w:trHeight w:val="300"/>
        </w:trPr>
        <w:tc>
          <w:tcPr>
            <w:tcW w:w="709" w:type="dxa"/>
            <w:shd w:val="clear" w:color="auto" w:fill="F2F2F2"/>
            <w:vAlign w:val="center"/>
          </w:tcPr>
          <w:p w14:paraId="7A5754D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035EF5B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S7, odc. Lubień - Rabka</w:t>
            </w:r>
          </w:p>
        </w:tc>
        <w:tc>
          <w:tcPr>
            <w:tcW w:w="1405" w:type="dxa"/>
            <w:gridSpan w:val="2"/>
            <w:shd w:val="clear" w:color="auto" w:fill="F2F2F2"/>
            <w:vAlign w:val="center"/>
          </w:tcPr>
          <w:p w14:paraId="6D04D16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7" w:type="dxa"/>
            <w:shd w:val="clear" w:color="auto" w:fill="F2F2F2"/>
            <w:vAlign w:val="center"/>
          </w:tcPr>
          <w:p w14:paraId="6CE1720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2014 (IV kw.)</w:t>
            </w:r>
          </w:p>
        </w:tc>
        <w:tc>
          <w:tcPr>
            <w:tcW w:w="1418" w:type="dxa"/>
            <w:shd w:val="clear" w:color="auto" w:fill="F2F2F2"/>
            <w:vAlign w:val="center"/>
          </w:tcPr>
          <w:p w14:paraId="1FE0065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2022 (IV kw.) </w:t>
            </w:r>
          </w:p>
        </w:tc>
        <w:tc>
          <w:tcPr>
            <w:tcW w:w="992" w:type="dxa"/>
            <w:shd w:val="clear" w:color="auto" w:fill="F2F2F2"/>
            <w:vAlign w:val="center"/>
          </w:tcPr>
          <w:p w14:paraId="7060911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43AC37B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5BF52CCF" w14:textId="77777777" w:rsidTr="001B2C4E">
        <w:trPr>
          <w:trHeight w:val="300"/>
        </w:trPr>
        <w:tc>
          <w:tcPr>
            <w:tcW w:w="709" w:type="dxa"/>
            <w:shd w:val="clear" w:color="auto" w:fill="F2F2F2"/>
            <w:vAlign w:val="center"/>
          </w:tcPr>
          <w:p w14:paraId="42A03C15"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182DCB5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S5</w:t>
            </w:r>
          </w:p>
          <w:p w14:paraId="2FDDCC8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Bydgoszcz – Poznań</w:t>
            </w:r>
          </w:p>
        </w:tc>
        <w:tc>
          <w:tcPr>
            <w:tcW w:w="1405" w:type="dxa"/>
            <w:gridSpan w:val="2"/>
            <w:shd w:val="clear" w:color="auto" w:fill="F2F2F2"/>
            <w:vAlign w:val="center"/>
          </w:tcPr>
          <w:p w14:paraId="6AFC124F"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63575489"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28530515"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13F6AD08"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7958BA6F" w14:textId="77777777" w:rsidR="00FD723C" w:rsidRPr="00FD723C" w:rsidRDefault="00FD723C" w:rsidP="00FD723C">
            <w:pPr>
              <w:spacing w:before="60" w:after="60"/>
              <w:jc w:val="center"/>
              <w:rPr>
                <w:rFonts w:ascii="Arial" w:hAnsi="Arial" w:cs="Arial"/>
                <w:sz w:val="16"/>
                <w:szCs w:val="16"/>
              </w:rPr>
            </w:pPr>
          </w:p>
        </w:tc>
      </w:tr>
      <w:tr w:rsidR="00FD723C" w:rsidRPr="00FD723C" w14:paraId="7626FFE3" w14:textId="77777777" w:rsidTr="001B2C4E">
        <w:trPr>
          <w:trHeight w:val="300"/>
        </w:trPr>
        <w:tc>
          <w:tcPr>
            <w:tcW w:w="709" w:type="dxa"/>
            <w:shd w:val="clear" w:color="auto" w:fill="F2F2F2"/>
            <w:vAlign w:val="center"/>
          </w:tcPr>
          <w:p w14:paraId="67C4DE0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0686DB2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S5 Bydgoszcz - Mielno, odc. Białe Błota - Mielno</w:t>
            </w:r>
          </w:p>
        </w:tc>
        <w:tc>
          <w:tcPr>
            <w:tcW w:w="1405" w:type="dxa"/>
            <w:gridSpan w:val="2"/>
            <w:shd w:val="clear" w:color="auto" w:fill="F2F2F2"/>
            <w:vAlign w:val="center"/>
          </w:tcPr>
          <w:p w14:paraId="7E91755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7" w:type="dxa"/>
            <w:shd w:val="clear" w:color="auto" w:fill="F2F2F2"/>
            <w:vAlign w:val="center"/>
          </w:tcPr>
          <w:p w14:paraId="2D4FDAE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6B8DCE9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2022 (II kw.)</w:t>
            </w:r>
          </w:p>
        </w:tc>
        <w:tc>
          <w:tcPr>
            <w:tcW w:w="992" w:type="dxa"/>
            <w:shd w:val="clear" w:color="auto" w:fill="F2F2F2"/>
            <w:vAlign w:val="center"/>
          </w:tcPr>
          <w:p w14:paraId="3A3C898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3F74928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45754397" w14:textId="77777777" w:rsidTr="001B2C4E">
        <w:trPr>
          <w:trHeight w:val="300"/>
        </w:trPr>
        <w:tc>
          <w:tcPr>
            <w:tcW w:w="709" w:type="dxa"/>
            <w:shd w:val="clear" w:color="auto" w:fill="F2F2F2"/>
            <w:vAlign w:val="center"/>
          </w:tcPr>
          <w:p w14:paraId="5133B168"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729CC0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S5 Żnin - Gniezno, odc. Mielno -Gniezno </w:t>
            </w:r>
          </w:p>
        </w:tc>
        <w:tc>
          <w:tcPr>
            <w:tcW w:w="1405" w:type="dxa"/>
            <w:gridSpan w:val="2"/>
            <w:shd w:val="clear" w:color="auto" w:fill="F2F2F2"/>
            <w:vAlign w:val="center"/>
          </w:tcPr>
          <w:p w14:paraId="298616C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 kw.)</w:t>
            </w:r>
          </w:p>
        </w:tc>
        <w:tc>
          <w:tcPr>
            <w:tcW w:w="1417" w:type="dxa"/>
            <w:shd w:val="clear" w:color="auto" w:fill="F2F2F2"/>
            <w:vAlign w:val="center"/>
          </w:tcPr>
          <w:p w14:paraId="18253E3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67CFAC7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992" w:type="dxa"/>
            <w:shd w:val="clear" w:color="auto" w:fill="F2F2F2"/>
            <w:vAlign w:val="center"/>
          </w:tcPr>
          <w:p w14:paraId="2518938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3AE02EE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33A3B4E" w14:textId="77777777" w:rsidTr="001B2C4E">
        <w:trPr>
          <w:trHeight w:val="300"/>
        </w:trPr>
        <w:tc>
          <w:tcPr>
            <w:tcW w:w="709" w:type="dxa"/>
            <w:shd w:val="clear" w:color="auto" w:fill="F2F2F2"/>
            <w:vAlign w:val="center"/>
          </w:tcPr>
          <w:p w14:paraId="3EAEDD9C"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557876C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S51</w:t>
            </w:r>
          </w:p>
          <w:p w14:paraId="0971604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Olsztyn – Olsztynek</w:t>
            </w:r>
          </w:p>
        </w:tc>
        <w:tc>
          <w:tcPr>
            <w:tcW w:w="1405" w:type="dxa"/>
            <w:gridSpan w:val="2"/>
            <w:shd w:val="clear" w:color="auto" w:fill="F2F2F2"/>
            <w:vAlign w:val="center"/>
          </w:tcPr>
          <w:p w14:paraId="5D863451"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0091E2B1"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77B25CEA"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10A37B31"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AB9C151" w14:textId="77777777" w:rsidR="00FD723C" w:rsidRPr="00FD723C" w:rsidRDefault="00FD723C" w:rsidP="00FD723C">
            <w:pPr>
              <w:spacing w:before="60" w:after="60"/>
              <w:jc w:val="center"/>
              <w:rPr>
                <w:rFonts w:ascii="Arial" w:hAnsi="Arial" w:cs="Arial"/>
                <w:sz w:val="16"/>
                <w:szCs w:val="16"/>
              </w:rPr>
            </w:pPr>
          </w:p>
        </w:tc>
      </w:tr>
      <w:tr w:rsidR="00FD723C" w:rsidRPr="00FD723C" w14:paraId="3FCB9664" w14:textId="77777777" w:rsidTr="001B2C4E">
        <w:trPr>
          <w:trHeight w:val="300"/>
        </w:trPr>
        <w:tc>
          <w:tcPr>
            <w:tcW w:w="709" w:type="dxa"/>
            <w:shd w:val="clear" w:color="auto" w:fill="F2F2F2"/>
            <w:vAlign w:val="center"/>
          </w:tcPr>
          <w:p w14:paraId="1C021B58"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17DFCA2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S51 Olsztyn - Olsztynek</w:t>
            </w:r>
          </w:p>
        </w:tc>
        <w:tc>
          <w:tcPr>
            <w:tcW w:w="1405" w:type="dxa"/>
            <w:gridSpan w:val="2"/>
            <w:shd w:val="clear" w:color="auto" w:fill="F2F2F2"/>
            <w:vAlign w:val="center"/>
          </w:tcPr>
          <w:p w14:paraId="7F59E83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7" w:type="dxa"/>
            <w:shd w:val="clear" w:color="auto" w:fill="F2F2F2"/>
            <w:vAlign w:val="center"/>
          </w:tcPr>
          <w:p w14:paraId="372E87D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 kw.)</w:t>
            </w:r>
          </w:p>
        </w:tc>
        <w:tc>
          <w:tcPr>
            <w:tcW w:w="1418" w:type="dxa"/>
            <w:shd w:val="clear" w:color="auto" w:fill="F2F2F2"/>
            <w:vAlign w:val="center"/>
          </w:tcPr>
          <w:p w14:paraId="0F1DC7F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992" w:type="dxa"/>
            <w:shd w:val="clear" w:color="auto" w:fill="F2F2F2"/>
            <w:vAlign w:val="center"/>
          </w:tcPr>
          <w:p w14:paraId="048D943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467CE0D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454A4967" w14:textId="77777777" w:rsidTr="001B2C4E">
        <w:trPr>
          <w:trHeight w:val="300"/>
        </w:trPr>
        <w:tc>
          <w:tcPr>
            <w:tcW w:w="709" w:type="dxa"/>
            <w:shd w:val="clear" w:color="auto" w:fill="F2F2F2"/>
            <w:vAlign w:val="center"/>
          </w:tcPr>
          <w:p w14:paraId="005549D5"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62FE192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w:t>
            </w:r>
          </w:p>
          <w:p w14:paraId="49174CB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Pyrzowice – Bielsko Biała</w:t>
            </w:r>
          </w:p>
        </w:tc>
        <w:tc>
          <w:tcPr>
            <w:tcW w:w="1405" w:type="dxa"/>
            <w:gridSpan w:val="2"/>
            <w:shd w:val="clear" w:color="auto" w:fill="F2F2F2"/>
            <w:vAlign w:val="center"/>
          </w:tcPr>
          <w:p w14:paraId="1DE74AD9"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4D2F210D"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2413CEBC"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26EEC210"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3097A965" w14:textId="77777777" w:rsidR="00FD723C" w:rsidRPr="00FD723C" w:rsidRDefault="00FD723C" w:rsidP="00FD723C">
            <w:pPr>
              <w:spacing w:before="60" w:after="60"/>
              <w:jc w:val="center"/>
              <w:rPr>
                <w:rFonts w:ascii="Arial" w:hAnsi="Arial" w:cs="Arial"/>
                <w:sz w:val="16"/>
                <w:szCs w:val="16"/>
              </w:rPr>
            </w:pPr>
          </w:p>
        </w:tc>
      </w:tr>
      <w:tr w:rsidR="00FD723C" w:rsidRPr="00FD723C" w14:paraId="7F8BD00D" w14:textId="77777777" w:rsidTr="001B2C4E">
        <w:trPr>
          <w:trHeight w:val="375"/>
        </w:trPr>
        <w:tc>
          <w:tcPr>
            <w:tcW w:w="709" w:type="dxa"/>
            <w:shd w:val="clear" w:color="auto" w:fill="F2F2F2"/>
            <w:vAlign w:val="center"/>
          </w:tcPr>
          <w:p w14:paraId="4DEED9B8"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5F2357D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S1 odc. Kosztowy - Bielsko – Biała</w:t>
            </w:r>
          </w:p>
        </w:tc>
        <w:tc>
          <w:tcPr>
            <w:tcW w:w="1405" w:type="dxa"/>
            <w:gridSpan w:val="2"/>
            <w:shd w:val="clear" w:color="auto" w:fill="F2F2F2"/>
            <w:vAlign w:val="center"/>
          </w:tcPr>
          <w:p w14:paraId="69EE81F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1417" w:type="dxa"/>
            <w:shd w:val="clear" w:color="auto" w:fill="F2F2F2"/>
            <w:vAlign w:val="center"/>
          </w:tcPr>
          <w:p w14:paraId="7DFCC1E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18" w:type="dxa"/>
            <w:shd w:val="clear" w:color="auto" w:fill="F2F2F2"/>
            <w:vAlign w:val="center"/>
          </w:tcPr>
          <w:p w14:paraId="64A7F80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1AE35CC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7.i. </w:t>
            </w:r>
          </w:p>
        </w:tc>
        <w:tc>
          <w:tcPr>
            <w:tcW w:w="992" w:type="dxa"/>
            <w:shd w:val="clear" w:color="auto" w:fill="F2F2F2"/>
            <w:vAlign w:val="center"/>
          </w:tcPr>
          <w:p w14:paraId="1F6BA45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64219AA4" w14:textId="77777777" w:rsidTr="001B2C4E">
        <w:trPr>
          <w:trHeight w:val="375"/>
        </w:trPr>
        <w:tc>
          <w:tcPr>
            <w:tcW w:w="709" w:type="dxa"/>
            <w:shd w:val="clear" w:color="auto" w:fill="F2F2F2"/>
            <w:vAlign w:val="center"/>
          </w:tcPr>
          <w:p w14:paraId="31B98300"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4E36FA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obwodnicy Oświęcimia w ciągu </w:t>
            </w:r>
            <w:proofErr w:type="spellStart"/>
            <w:r w:rsidRPr="00FD723C">
              <w:rPr>
                <w:rFonts w:ascii="Arial" w:hAnsi="Arial" w:cs="Arial"/>
                <w:sz w:val="16"/>
                <w:szCs w:val="16"/>
              </w:rPr>
              <w:t>dk</w:t>
            </w:r>
            <w:proofErr w:type="spellEnd"/>
            <w:r w:rsidRPr="00FD723C">
              <w:rPr>
                <w:rFonts w:ascii="Arial" w:hAnsi="Arial" w:cs="Arial"/>
                <w:sz w:val="16"/>
                <w:szCs w:val="16"/>
              </w:rPr>
              <w:t xml:space="preserve"> nr 44</w:t>
            </w:r>
            <w:r w:rsidRPr="00FD723C">
              <w:rPr>
                <w:rFonts w:ascii="Arial" w:hAnsi="Arial" w:cs="Arial"/>
                <w:sz w:val="16"/>
                <w:szCs w:val="16"/>
                <w:vertAlign w:val="superscript"/>
              </w:rPr>
              <w:footnoteReference w:id="120"/>
            </w:r>
          </w:p>
        </w:tc>
        <w:tc>
          <w:tcPr>
            <w:tcW w:w="1405" w:type="dxa"/>
            <w:gridSpan w:val="2"/>
            <w:shd w:val="clear" w:color="auto" w:fill="F2F2F2"/>
            <w:vAlign w:val="center"/>
          </w:tcPr>
          <w:p w14:paraId="143EBBD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1417" w:type="dxa"/>
            <w:shd w:val="clear" w:color="auto" w:fill="F2F2F2"/>
            <w:vAlign w:val="center"/>
          </w:tcPr>
          <w:p w14:paraId="45B9426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(III kw.)</w:t>
            </w:r>
          </w:p>
        </w:tc>
        <w:tc>
          <w:tcPr>
            <w:tcW w:w="1418" w:type="dxa"/>
            <w:shd w:val="clear" w:color="auto" w:fill="F2F2F2"/>
            <w:vAlign w:val="center"/>
          </w:tcPr>
          <w:p w14:paraId="6F36648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14BC795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1D87219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4F6340E3" w14:textId="77777777" w:rsidTr="001B2C4E">
        <w:trPr>
          <w:trHeight w:val="375"/>
        </w:trPr>
        <w:tc>
          <w:tcPr>
            <w:tcW w:w="709" w:type="dxa"/>
            <w:shd w:val="clear" w:color="auto" w:fill="F2F2F2"/>
            <w:vAlign w:val="center"/>
          </w:tcPr>
          <w:p w14:paraId="78366329"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5987171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S6</w:t>
            </w:r>
          </w:p>
          <w:p w14:paraId="2E8D256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Szczecin – Koszalin</w:t>
            </w:r>
          </w:p>
        </w:tc>
        <w:tc>
          <w:tcPr>
            <w:tcW w:w="1405" w:type="dxa"/>
            <w:gridSpan w:val="2"/>
            <w:shd w:val="clear" w:color="auto" w:fill="F2F2F2"/>
            <w:vAlign w:val="center"/>
          </w:tcPr>
          <w:p w14:paraId="77E15AD3"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1B665281"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3F77F076"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7750B149"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DAE363A" w14:textId="77777777" w:rsidR="00FD723C" w:rsidRPr="00FD723C" w:rsidRDefault="00FD723C" w:rsidP="00FD723C">
            <w:pPr>
              <w:spacing w:before="60" w:after="60"/>
              <w:jc w:val="center"/>
              <w:rPr>
                <w:rFonts w:ascii="Arial" w:hAnsi="Arial" w:cs="Arial"/>
                <w:sz w:val="16"/>
                <w:szCs w:val="16"/>
              </w:rPr>
            </w:pPr>
          </w:p>
        </w:tc>
      </w:tr>
      <w:tr w:rsidR="00FD723C" w:rsidRPr="00FD723C" w14:paraId="351C0330" w14:textId="77777777" w:rsidTr="001B2C4E">
        <w:trPr>
          <w:trHeight w:val="345"/>
        </w:trPr>
        <w:tc>
          <w:tcPr>
            <w:tcW w:w="709" w:type="dxa"/>
            <w:shd w:val="clear" w:color="auto" w:fill="F2F2F2"/>
            <w:vAlign w:val="center"/>
          </w:tcPr>
          <w:p w14:paraId="2DBD1B02"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AC1EDB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S6 Szczecin - Koszalin, odc. Goleniów – Kiełpino</w:t>
            </w:r>
          </w:p>
        </w:tc>
        <w:tc>
          <w:tcPr>
            <w:tcW w:w="1405" w:type="dxa"/>
            <w:gridSpan w:val="2"/>
            <w:shd w:val="clear" w:color="auto" w:fill="F2F2F2"/>
            <w:vAlign w:val="center"/>
          </w:tcPr>
          <w:p w14:paraId="0CC8BAE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0BB7FA3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2C066A2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992" w:type="dxa"/>
            <w:shd w:val="clear" w:color="auto" w:fill="F2F2F2"/>
            <w:vAlign w:val="center"/>
          </w:tcPr>
          <w:p w14:paraId="0D22CB5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7.i. </w:t>
            </w:r>
          </w:p>
        </w:tc>
        <w:tc>
          <w:tcPr>
            <w:tcW w:w="992" w:type="dxa"/>
            <w:shd w:val="clear" w:color="auto" w:fill="F2F2F2"/>
            <w:vAlign w:val="center"/>
          </w:tcPr>
          <w:p w14:paraId="0ADF571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1DF0EE8" w14:textId="77777777" w:rsidTr="001B2C4E">
        <w:trPr>
          <w:trHeight w:val="345"/>
        </w:trPr>
        <w:tc>
          <w:tcPr>
            <w:tcW w:w="709" w:type="dxa"/>
            <w:shd w:val="clear" w:color="auto" w:fill="F2F2F2"/>
            <w:vAlign w:val="center"/>
          </w:tcPr>
          <w:p w14:paraId="0EB3246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09874BD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S6 Szczecin - Koszalin, odc. Kiełpino – pocz. obwodnicy Koszalina i Sianowa</w:t>
            </w:r>
          </w:p>
        </w:tc>
        <w:tc>
          <w:tcPr>
            <w:tcW w:w="1405" w:type="dxa"/>
            <w:gridSpan w:val="2"/>
            <w:shd w:val="clear" w:color="auto" w:fill="F2F2F2"/>
            <w:vAlign w:val="center"/>
          </w:tcPr>
          <w:p w14:paraId="2675768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7" w:type="dxa"/>
            <w:shd w:val="clear" w:color="auto" w:fill="F2F2F2"/>
            <w:vAlign w:val="center"/>
          </w:tcPr>
          <w:p w14:paraId="035224A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01556A0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992" w:type="dxa"/>
            <w:shd w:val="clear" w:color="auto" w:fill="F2F2F2"/>
            <w:vAlign w:val="center"/>
          </w:tcPr>
          <w:p w14:paraId="44D0261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7.i. </w:t>
            </w:r>
          </w:p>
        </w:tc>
        <w:tc>
          <w:tcPr>
            <w:tcW w:w="992" w:type="dxa"/>
            <w:shd w:val="clear" w:color="auto" w:fill="F2F2F2"/>
            <w:vAlign w:val="center"/>
          </w:tcPr>
          <w:p w14:paraId="00532C8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5043F6FA" w14:textId="77777777" w:rsidTr="001B2C4E">
        <w:trPr>
          <w:trHeight w:val="345"/>
        </w:trPr>
        <w:tc>
          <w:tcPr>
            <w:tcW w:w="709" w:type="dxa"/>
            <w:shd w:val="clear" w:color="auto" w:fill="F2F2F2"/>
            <w:vAlign w:val="center"/>
          </w:tcPr>
          <w:p w14:paraId="354B9D0B"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30D4912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S6 Szczecin – Koszalin, obwodnica Koszalina i Sianowa (S6/S11)</w:t>
            </w:r>
          </w:p>
        </w:tc>
        <w:tc>
          <w:tcPr>
            <w:tcW w:w="1405" w:type="dxa"/>
            <w:gridSpan w:val="2"/>
            <w:shd w:val="clear" w:color="auto" w:fill="F2F2F2"/>
            <w:vAlign w:val="center"/>
          </w:tcPr>
          <w:p w14:paraId="65D0A51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7" w:type="dxa"/>
            <w:shd w:val="clear" w:color="auto" w:fill="F2F2F2"/>
            <w:vAlign w:val="center"/>
          </w:tcPr>
          <w:p w14:paraId="105B024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8" w:type="dxa"/>
            <w:shd w:val="clear" w:color="auto" w:fill="F2F2F2"/>
            <w:vAlign w:val="center"/>
          </w:tcPr>
          <w:p w14:paraId="0E7264B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shd w:val="clear" w:color="auto" w:fill="F2F2F2"/>
            <w:vAlign w:val="center"/>
          </w:tcPr>
          <w:p w14:paraId="558E5F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7.a. </w:t>
            </w:r>
          </w:p>
        </w:tc>
        <w:tc>
          <w:tcPr>
            <w:tcW w:w="992" w:type="dxa"/>
            <w:shd w:val="clear" w:color="auto" w:fill="F2F2F2"/>
            <w:vAlign w:val="center"/>
          </w:tcPr>
          <w:p w14:paraId="51F572D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1B5D0E8B" w14:textId="77777777" w:rsidTr="001B2C4E">
        <w:trPr>
          <w:trHeight w:val="300"/>
        </w:trPr>
        <w:tc>
          <w:tcPr>
            <w:tcW w:w="709" w:type="dxa"/>
            <w:shd w:val="clear" w:color="auto" w:fill="F2F2F2"/>
            <w:vAlign w:val="center"/>
          </w:tcPr>
          <w:p w14:paraId="5A66B03B" w14:textId="77777777" w:rsidR="00FD723C" w:rsidRPr="00FD723C" w:rsidRDefault="00FD723C" w:rsidP="00FD723C">
            <w:pPr>
              <w:spacing w:before="60" w:after="60"/>
              <w:ind w:left="360"/>
              <w:jc w:val="center"/>
              <w:rPr>
                <w:rFonts w:ascii="Arial" w:hAnsi="Arial" w:cs="Arial"/>
                <w:sz w:val="16"/>
                <w:szCs w:val="16"/>
              </w:rPr>
            </w:pPr>
          </w:p>
        </w:tc>
        <w:tc>
          <w:tcPr>
            <w:tcW w:w="2848" w:type="dxa"/>
            <w:gridSpan w:val="4"/>
            <w:shd w:val="clear" w:color="auto" w:fill="F2F2F2"/>
            <w:vAlign w:val="center"/>
          </w:tcPr>
          <w:p w14:paraId="3083B85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S14</w:t>
            </w:r>
          </w:p>
          <w:p w14:paraId="4844244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Zachodnia Obwodnica Łodzi</w:t>
            </w:r>
          </w:p>
        </w:tc>
        <w:tc>
          <w:tcPr>
            <w:tcW w:w="1405" w:type="dxa"/>
            <w:gridSpan w:val="2"/>
            <w:shd w:val="clear" w:color="auto" w:fill="F2F2F2"/>
            <w:vAlign w:val="center"/>
          </w:tcPr>
          <w:p w14:paraId="79304128"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4B40906B"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06F14080"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704429FE"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020BD7A9" w14:textId="77777777" w:rsidR="00FD723C" w:rsidRPr="00FD723C" w:rsidRDefault="00FD723C" w:rsidP="00FD723C">
            <w:pPr>
              <w:spacing w:before="60" w:after="60"/>
              <w:jc w:val="center"/>
              <w:rPr>
                <w:rFonts w:ascii="Arial" w:hAnsi="Arial" w:cs="Arial"/>
                <w:sz w:val="16"/>
                <w:szCs w:val="16"/>
              </w:rPr>
            </w:pPr>
          </w:p>
        </w:tc>
      </w:tr>
      <w:tr w:rsidR="00FD723C" w:rsidRPr="00FD723C" w14:paraId="0BFB1141" w14:textId="77777777" w:rsidTr="001B2C4E">
        <w:trPr>
          <w:trHeight w:val="300"/>
        </w:trPr>
        <w:tc>
          <w:tcPr>
            <w:tcW w:w="709" w:type="dxa"/>
            <w:shd w:val="clear" w:color="auto" w:fill="F2F2F2"/>
            <w:vAlign w:val="center"/>
          </w:tcPr>
          <w:p w14:paraId="5C039B0D"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1160272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Zachodniej Obwodnicy Łodzi w ciągu S14</w:t>
            </w:r>
          </w:p>
        </w:tc>
        <w:tc>
          <w:tcPr>
            <w:tcW w:w="1405" w:type="dxa"/>
            <w:gridSpan w:val="2"/>
            <w:shd w:val="clear" w:color="auto" w:fill="F2F2F2"/>
            <w:vAlign w:val="center"/>
          </w:tcPr>
          <w:p w14:paraId="30CBC0F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(IV kw.)</w:t>
            </w:r>
          </w:p>
        </w:tc>
        <w:tc>
          <w:tcPr>
            <w:tcW w:w="1417" w:type="dxa"/>
            <w:shd w:val="clear" w:color="auto" w:fill="F2F2F2"/>
            <w:vAlign w:val="center"/>
          </w:tcPr>
          <w:p w14:paraId="13B59DF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397AD4D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 kw.)</w:t>
            </w:r>
          </w:p>
        </w:tc>
        <w:tc>
          <w:tcPr>
            <w:tcW w:w="992" w:type="dxa"/>
            <w:shd w:val="clear" w:color="auto" w:fill="F2F2F2"/>
            <w:vAlign w:val="center"/>
          </w:tcPr>
          <w:p w14:paraId="3844257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295DBBD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33005601" w14:textId="77777777" w:rsidTr="001B2C4E">
        <w:trPr>
          <w:trHeight w:val="300"/>
        </w:trPr>
        <w:tc>
          <w:tcPr>
            <w:tcW w:w="709" w:type="dxa"/>
            <w:shd w:val="clear" w:color="auto" w:fill="F2F2F2"/>
            <w:vAlign w:val="center"/>
          </w:tcPr>
          <w:p w14:paraId="39D1934D" w14:textId="77777777" w:rsidR="00FD723C" w:rsidRPr="00FD723C" w:rsidRDefault="00FD723C" w:rsidP="00FD723C">
            <w:pPr>
              <w:spacing w:before="60" w:after="60"/>
              <w:jc w:val="center"/>
              <w:rPr>
                <w:rFonts w:ascii="Arial" w:hAnsi="Arial" w:cs="Arial"/>
                <w:sz w:val="16"/>
                <w:szCs w:val="16"/>
              </w:rPr>
            </w:pPr>
          </w:p>
        </w:tc>
        <w:tc>
          <w:tcPr>
            <w:tcW w:w="2848" w:type="dxa"/>
            <w:gridSpan w:val="4"/>
            <w:shd w:val="clear" w:color="auto" w:fill="F2F2F2"/>
            <w:vAlign w:val="center"/>
          </w:tcPr>
          <w:p w14:paraId="380CBCA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w:t>
            </w:r>
          </w:p>
          <w:p w14:paraId="5BAE17A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Bielsko - Biała – granica państwa</w:t>
            </w:r>
          </w:p>
        </w:tc>
        <w:tc>
          <w:tcPr>
            <w:tcW w:w="1405" w:type="dxa"/>
            <w:gridSpan w:val="2"/>
            <w:shd w:val="clear" w:color="auto" w:fill="F2F2F2"/>
            <w:vAlign w:val="center"/>
          </w:tcPr>
          <w:p w14:paraId="40CF2CDA"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66F87B56"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65A091C5"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5C051240"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4999F95E" w14:textId="77777777" w:rsidR="00FD723C" w:rsidRPr="00FD723C" w:rsidRDefault="00FD723C" w:rsidP="00FD723C">
            <w:pPr>
              <w:spacing w:before="60" w:after="60"/>
              <w:jc w:val="center"/>
              <w:rPr>
                <w:rFonts w:ascii="Arial" w:hAnsi="Arial" w:cs="Arial"/>
                <w:sz w:val="16"/>
                <w:szCs w:val="16"/>
              </w:rPr>
            </w:pPr>
          </w:p>
        </w:tc>
      </w:tr>
      <w:tr w:rsidR="00FD723C" w:rsidRPr="00FD723C" w14:paraId="0CE137FA" w14:textId="77777777" w:rsidTr="001B2C4E">
        <w:trPr>
          <w:trHeight w:val="300"/>
        </w:trPr>
        <w:tc>
          <w:tcPr>
            <w:tcW w:w="709" w:type="dxa"/>
            <w:shd w:val="clear" w:color="auto" w:fill="F2F2F2"/>
            <w:vAlign w:val="center"/>
          </w:tcPr>
          <w:p w14:paraId="2EF02973"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E72E663" w14:textId="77777777" w:rsidR="00FD723C" w:rsidRPr="00FD723C" w:rsidRDefault="00FD723C" w:rsidP="00FD723C">
            <w:pPr>
              <w:spacing w:before="60" w:after="60"/>
              <w:jc w:val="center"/>
              <w:rPr>
                <w:rFonts w:ascii="Arial" w:hAnsi="Arial" w:cs="Arial"/>
                <w:sz w:val="16"/>
                <w:szCs w:val="16"/>
              </w:rPr>
            </w:pPr>
            <w:r w:rsidRPr="00FD723C">
              <w:t xml:space="preserve"> </w:t>
            </w:r>
            <w:r w:rsidRPr="00FD723C">
              <w:rPr>
                <w:rFonts w:ascii="Arial" w:hAnsi="Arial" w:cs="Arial"/>
                <w:sz w:val="16"/>
                <w:szCs w:val="16"/>
              </w:rPr>
              <w:t>Budowa obwodnicy Węgierskiej Górki w ciągu S1</w:t>
            </w:r>
          </w:p>
        </w:tc>
        <w:tc>
          <w:tcPr>
            <w:tcW w:w="1405" w:type="dxa"/>
            <w:gridSpan w:val="2"/>
            <w:shd w:val="clear" w:color="auto" w:fill="F2F2F2"/>
            <w:vAlign w:val="center"/>
          </w:tcPr>
          <w:p w14:paraId="28FD33F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1417" w:type="dxa"/>
            <w:shd w:val="clear" w:color="auto" w:fill="F2F2F2"/>
            <w:vAlign w:val="center"/>
          </w:tcPr>
          <w:p w14:paraId="14C04A7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2018 (I kw.)</w:t>
            </w:r>
          </w:p>
        </w:tc>
        <w:tc>
          <w:tcPr>
            <w:tcW w:w="1418" w:type="dxa"/>
            <w:shd w:val="clear" w:color="auto" w:fill="F2F2F2"/>
            <w:vAlign w:val="center"/>
          </w:tcPr>
          <w:p w14:paraId="2FF4F9F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shd w:val="clear" w:color="auto" w:fill="F2F2F2"/>
            <w:vAlign w:val="center"/>
          </w:tcPr>
          <w:p w14:paraId="6425560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7.a. </w:t>
            </w:r>
          </w:p>
        </w:tc>
        <w:tc>
          <w:tcPr>
            <w:tcW w:w="992" w:type="dxa"/>
            <w:shd w:val="clear" w:color="auto" w:fill="F2F2F2"/>
            <w:vAlign w:val="center"/>
          </w:tcPr>
          <w:p w14:paraId="0763708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730ECB04" w14:textId="77777777" w:rsidTr="001B2C4E">
        <w:trPr>
          <w:trHeight w:val="300"/>
        </w:trPr>
        <w:tc>
          <w:tcPr>
            <w:tcW w:w="709" w:type="dxa"/>
            <w:shd w:val="clear" w:color="auto" w:fill="F2F2F2"/>
            <w:vAlign w:val="center"/>
          </w:tcPr>
          <w:p w14:paraId="372D1D21" w14:textId="77777777" w:rsidR="00FD723C" w:rsidRPr="00FD723C" w:rsidRDefault="00FD723C" w:rsidP="00FD723C">
            <w:pPr>
              <w:spacing w:before="60" w:after="60"/>
              <w:ind w:left="142"/>
              <w:jc w:val="center"/>
              <w:rPr>
                <w:rFonts w:ascii="Arial" w:hAnsi="Arial" w:cs="Arial"/>
                <w:sz w:val="16"/>
                <w:szCs w:val="16"/>
              </w:rPr>
            </w:pPr>
          </w:p>
        </w:tc>
        <w:tc>
          <w:tcPr>
            <w:tcW w:w="2848" w:type="dxa"/>
            <w:gridSpan w:val="4"/>
            <w:shd w:val="clear" w:color="auto" w:fill="F2F2F2"/>
            <w:vAlign w:val="center"/>
          </w:tcPr>
          <w:p w14:paraId="58C3546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S10</w:t>
            </w:r>
          </w:p>
          <w:p w14:paraId="5888DB7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Piła – Szczecin</w:t>
            </w:r>
          </w:p>
        </w:tc>
        <w:tc>
          <w:tcPr>
            <w:tcW w:w="1405" w:type="dxa"/>
            <w:gridSpan w:val="2"/>
            <w:shd w:val="clear" w:color="auto" w:fill="F2F2F2"/>
            <w:vAlign w:val="center"/>
          </w:tcPr>
          <w:p w14:paraId="15582FFC"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7335A285"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6BA8CF8F"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462F9BE8"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2B7CEFF8" w14:textId="77777777" w:rsidR="00FD723C" w:rsidRPr="00FD723C" w:rsidRDefault="00FD723C" w:rsidP="00FD723C">
            <w:pPr>
              <w:spacing w:before="60" w:after="60"/>
              <w:jc w:val="center"/>
              <w:rPr>
                <w:rFonts w:ascii="Arial" w:hAnsi="Arial" w:cs="Arial"/>
                <w:sz w:val="16"/>
                <w:szCs w:val="16"/>
              </w:rPr>
            </w:pPr>
          </w:p>
        </w:tc>
      </w:tr>
      <w:tr w:rsidR="00FD723C" w:rsidRPr="00FD723C" w14:paraId="567EEF3C" w14:textId="77777777" w:rsidTr="001B2C4E">
        <w:trPr>
          <w:trHeight w:val="300"/>
        </w:trPr>
        <w:tc>
          <w:tcPr>
            <w:tcW w:w="709" w:type="dxa"/>
            <w:shd w:val="clear" w:color="auto" w:fill="F2F2F2"/>
            <w:vAlign w:val="center"/>
          </w:tcPr>
          <w:p w14:paraId="198F5510"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2ABEFCF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obwodnicy Wałcza w ciągu S10</w:t>
            </w:r>
          </w:p>
        </w:tc>
        <w:tc>
          <w:tcPr>
            <w:tcW w:w="1405" w:type="dxa"/>
            <w:gridSpan w:val="2"/>
            <w:shd w:val="clear" w:color="auto" w:fill="F2F2F2"/>
            <w:vAlign w:val="center"/>
          </w:tcPr>
          <w:p w14:paraId="7BFC35E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 kw.)</w:t>
            </w:r>
          </w:p>
        </w:tc>
        <w:tc>
          <w:tcPr>
            <w:tcW w:w="1417" w:type="dxa"/>
            <w:shd w:val="clear" w:color="auto" w:fill="F2F2F2"/>
            <w:vAlign w:val="center"/>
          </w:tcPr>
          <w:p w14:paraId="15AC970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192B366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992" w:type="dxa"/>
            <w:shd w:val="clear" w:color="auto" w:fill="F2F2F2"/>
            <w:vAlign w:val="center"/>
          </w:tcPr>
          <w:p w14:paraId="29D3944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7.a.</w:t>
            </w:r>
          </w:p>
        </w:tc>
        <w:tc>
          <w:tcPr>
            <w:tcW w:w="992" w:type="dxa"/>
            <w:shd w:val="clear" w:color="auto" w:fill="F2F2F2"/>
            <w:vAlign w:val="center"/>
          </w:tcPr>
          <w:p w14:paraId="34EBD60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394C07AA" w14:textId="77777777" w:rsidTr="001B2C4E">
        <w:trPr>
          <w:trHeight w:val="300"/>
        </w:trPr>
        <w:tc>
          <w:tcPr>
            <w:tcW w:w="709" w:type="dxa"/>
            <w:shd w:val="clear" w:color="auto" w:fill="F2F2F2"/>
            <w:vAlign w:val="center"/>
          </w:tcPr>
          <w:p w14:paraId="5EACB413" w14:textId="77777777" w:rsidR="00FD723C" w:rsidRPr="00FD723C" w:rsidRDefault="00FD723C" w:rsidP="00FD723C">
            <w:pPr>
              <w:spacing w:before="60" w:after="60"/>
              <w:ind w:left="142"/>
              <w:jc w:val="center"/>
              <w:rPr>
                <w:rFonts w:ascii="Arial" w:hAnsi="Arial" w:cs="Arial"/>
                <w:sz w:val="16"/>
                <w:szCs w:val="16"/>
              </w:rPr>
            </w:pPr>
          </w:p>
        </w:tc>
        <w:tc>
          <w:tcPr>
            <w:tcW w:w="2848" w:type="dxa"/>
            <w:gridSpan w:val="4"/>
            <w:shd w:val="clear" w:color="auto" w:fill="F2F2F2"/>
            <w:vAlign w:val="center"/>
          </w:tcPr>
          <w:p w14:paraId="2285309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S11</w:t>
            </w:r>
          </w:p>
          <w:p w14:paraId="6AA5FC1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Poznań – Kępno</w:t>
            </w:r>
          </w:p>
        </w:tc>
        <w:tc>
          <w:tcPr>
            <w:tcW w:w="1405" w:type="dxa"/>
            <w:gridSpan w:val="2"/>
            <w:shd w:val="clear" w:color="auto" w:fill="F2F2F2"/>
            <w:vAlign w:val="center"/>
          </w:tcPr>
          <w:p w14:paraId="7CC46254"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14FD3345"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50A49031"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543C957F"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333FFFFB" w14:textId="77777777" w:rsidR="00FD723C" w:rsidRPr="00FD723C" w:rsidRDefault="00FD723C" w:rsidP="00FD723C">
            <w:pPr>
              <w:spacing w:before="60" w:after="60"/>
              <w:jc w:val="center"/>
              <w:rPr>
                <w:rFonts w:ascii="Arial" w:hAnsi="Arial" w:cs="Arial"/>
                <w:sz w:val="16"/>
                <w:szCs w:val="16"/>
              </w:rPr>
            </w:pPr>
          </w:p>
        </w:tc>
      </w:tr>
      <w:tr w:rsidR="00FD723C" w:rsidRPr="00FD723C" w14:paraId="2164FD41" w14:textId="77777777" w:rsidTr="001B2C4E">
        <w:trPr>
          <w:trHeight w:val="300"/>
        </w:trPr>
        <w:tc>
          <w:tcPr>
            <w:tcW w:w="709" w:type="dxa"/>
            <w:shd w:val="clear" w:color="auto" w:fill="F2F2F2"/>
            <w:vAlign w:val="center"/>
          </w:tcPr>
          <w:p w14:paraId="34CEE98A"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00E2126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obwodnicy Ostrowa Wielkopolskiego i Jarocina w ciągu S11</w:t>
            </w:r>
          </w:p>
        </w:tc>
        <w:tc>
          <w:tcPr>
            <w:tcW w:w="1405" w:type="dxa"/>
            <w:gridSpan w:val="2"/>
            <w:shd w:val="clear" w:color="auto" w:fill="F2F2F2"/>
            <w:vAlign w:val="center"/>
          </w:tcPr>
          <w:p w14:paraId="7BE7AC09" w14:textId="77777777" w:rsidR="00FD723C" w:rsidRPr="00FD723C" w:rsidDel="00D12222" w:rsidRDefault="00FD723C" w:rsidP="00FD723C">
            <w:pPr>
              <w:spacing w:before="60" w:after="60"/>
              <w:jc w:val="center"/>
              <w:rPr>
                <w:rFonts w:ascii="Arial" w:hAnsi="Arial" w:cs="Arial"/>
                <w:sz w:val="16"/>
                <w:szCs w:val="16"/>
              </w:rPr>
            </w:pPr>
            <w:r w:rsidRPr="00FD723C">
              <w:rPr>
                <w:rFonts w:ascii="Arial" w:hAnsi="Arial" w:cs="Arial"/>
                <w:sz w:val="16"/>
                <w:szCs w:val="16"/>
              </w:rPr>
              <w:t>2016 (II kw.)</w:t>
            </w:r>
          </w:p>
        </w:tc>
        <w:tc>
          <w:tcPr>
            <w:tcW w:w="1417" w:type="dxa"/>
            <w:shd w:val="clear" w:color="auto" w:fill="F2F2F2"/>
            <w:vAlign w:val="center"/>
          </w:tcPr>
          <w:p w14:paraId="01BFDA33" w14:textId="77777777" w:rsidR="00FD723C" w:rsidRPr="00FD723C" w:rsidDel="00D12222"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38227805" w14:textId="77777777" w:rsidR="00FD723C" w:rsidRPr="00FD723C" w:rsidDel="00D12222"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992" w:type="dxa"/>
            <w:shd w:val="clear" w:color="auto" w:fill="F2F2F2"/>
            <w:vAlign w:val="center"/>
          </w:tcPr>
          <w:p w14:paraId="1D633914" w14:textId="77777777" w:rsidR="00FD723C" w:rsidRPr="00FD723C" w:rsidDel="00D12222" w:rsidRDefault="00FD723C" w:rsidP="00FD723C">
            <w:pPr>
              <w:spacing w:before="60" w:after="60"/>
              <w:jc w:val="center"/>
              <w:rPr>
                <w:rFonts w:ascii="Arial" w:hAnsi="Arial" w:cs="Arial"/>
                <w:sz w:val="16"/>
                <w:szCs w:val="16"/>
              </w:rPr>
            </w:pPr>
            <w:r w:rsidRPr="00FD723C">
              <w:rPr>
                <w:rFonts w:ascii="Arial" w:hAnsi="Arial" w:cs="Arial"/>
                <w:sz w:val="16"/>
                <w:szCs w:val="16"/>
              </w:rPr>
              <w:t>7.a.</w:t>
            </w:r>
          </w:p>
        </w:tc>
        <w:tc>
          <w:tcPr>
            <w:tcW w:w="992" w:type="dxa"/>
            <w:shd w:val="clear" w:color="auto" w:fill="F2F2F2"/>
            <w:vAlign w:val="center"/>
          </w:tcPr>
          <w:p w14:paraId="029175E8" w14:textId="77777777" w:rsidR="00FD723C" w:rsidRPr="00FD723C" w:rsidDel="00D12222"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52919786" w14:textId="77777777" w:rsidTr="001B2C4E">
        <w:trPr>
          <w:trHeight w:val="420"/>
        </w:trPr>
        <w:tc>
          <w:tcPr>
            <w:tcW w:w="709" w:type="dxa"/>
            <w:shd w:val="clear" w:color="auto" w:fill="F2F2F2"/>
            <w:vAlign w:val="center"/>
          </w:tcPr>
          <w:p w14:paraId="3A547464"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5501FFA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S19</w:t>
            </w:r>
          </w:p>
          <w:p w14:paraId="48B8EBD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Białystok – Lublin</w:t>
            </w:r>
          </w:p>
        </w:tc>
        <w:tc>
          <w:tcPr>
            <w:tcW w:w="1405" w:type="dxa"/>
            <w:gridSpan w:val="2"/>
            <w:shd w:val="clear" w:color="auto" w:fill="F2F2F2"/>
            <w:vAlign w:val="center"/>
          </w:tcPr>
          <w:p w14:paraId="793CE9A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1417" w:type="dxa"/>
            <w:shd w:val="clear" w:color="auto" w:fill="F2F2F2"/>
            <w:vAlign w:val="center"/>
          </w:tcPr>
          <w:p w14:paraId="30DC953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8" w:type="dxa"/>
            <w:shd w:val="clear" w:color="auto" w:fill="F2F2F2"/>
            <w:vAlign w:val="center"/>
          </w:tcPr>
          <w:p w14:paraId="195642D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1D4E16D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7CF9B9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50439E8B" w14:textId="77777777" w:rsidTr="001B2C4E">
        <w:trPr>
          <w:trHeight w:val="300"/>
        </w:trPr>
        <w:tc>
          <w:tcPr>
            <w:tcW w:w="709" w:type="dxa"/>
            <w:shd w:val="clear" w:color="auto" w:fill="F2F2F2"/>
            <w:vAlign w:val="center"/>
          </w:tcPr>
          <w:p w14:paraId="366EC014" w14:textId="77777777" w:rsidR="00FD723C" w:rsidRPr="00FD723C" w:rsidRDefault="00FD723C" w:rsidP="00FD723C">
            <w:pPr>
              <w:spacing w:before="60" w:after="60"/>
              <w:ind w:left="360"/>
              <w:rPr>
                <w:rFonts w:ascii="Arial" w:hAnsi="Arial" w:cs="Arial"/>
                <w:sz w:val="16"/>
                <w:szCs w:val="16"/>
              </w:rPr>
            </w:pPr>
          </w:p>
        </w:tc>
        <w:tc>
          <w:tcPr>
            <w:tcW w:w="2848" w:type="dxa"/>
            <w:gridSpan w:val="4"/>
            <w:shd w:val="clear" w:color="auto" w:fill="F2F2F2"/>
            <w:vAlign w:val="center"/>
          </w:tcPr>
          <w:p w14:paraId="51CB954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S3</w:t>
            </w:r>
          </w:p>
          <w:p w14:paraId="0A2AD9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Legnica – Lubawka</w:t>
            </w:r>
          </w:p>
        </w:tc>
        <w:tc>
          <w:tcPr>
            <w:tcW w:w="1405" w:type="dxa"/>
            <w:gridSpan w:val="2"/>
            <w:shd w:val="clear" w:color="auto" w:fill="F2F2F2"/>
            <w:vAlign w:val="center"/>
          </w:tcPr>
          <w:p w14:paraId="28D699A7" w14:textId="77777777" w:rsidR="00FD723C" w:rsidRPr="00FD723C" w:rsidRDefault="00FD723C" w:rsidP="00FD723C">
            <w:pPr>
              <w:spacing w:before="60" w:after="60"/>
              <w:jc w:val="center"/>
              <w:rPr>
                <w:rFonts w:ascii="Arial" w:hAnsi="Arial" w:cs="Arial"/>
                <w:sz w:val="16"/>
                <w:szCs w:val="16"/>
              </w:rPr>
            </w:pPr>
          </w:p>
        </w:tc>
        <w:tc>
          <w:tcPr>
            <w:tcW w:w="1417" w:type="dxa"/>
            <w:shd w:val="clear" w:color="auto" w:fill="F2F2F2"/>
            <w:vAlign w:val="center"/>
          </w:tcPr>
          <w:p w14:paraId="4BD156C9" w14:textId="77777777" w:rsidR="00FD723C" w:rsidRPr="00FD723C" w:rsidRDefault="00FD723C" w:rsidP="00FD723C">
            <w:pPr>
              <w:spacing w:before="60" w:after="60"/>
              <w:jc w:val="center"/>
              <w:rPr>
                <w:rFonts w:ascii="Arial" w:hAnsi="Arial" w:cs="Arial"/>
                <w:sz w:val="16"/>
                <w:szCs w:val="16"/>
              </w:rPr>
            </w:pPr>
          </w:p>
        </w:tc>
        <w:tc>
          <w:tcPr>
            <w:tcW w:w="1418" w:type="dxa"/>
            <w:shd w:val="clear" w:color="auto" w:fill="F2F2F2"/>
            <w:vAlign w:val="center"/>
          </w:tcPr>
          <w:p w14:paraId="38FB42EC"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1A4332C6"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1EFFA402" w14:textId="77777777" w:rsidR="00FD723C" w:rsidRPr="00FD723C" w:rsidRDefault="00FD723C" w:rsidP="00FD723C">
            <w:pPr>
              <w:spacing w:before="60" w:after="60"/>
              <w:jc w:val="center"/>
              <w:rPr>
                <w:rFonts w:ascii="Arial" w:hAnsi="Arial" w:cs="Arial"/>
                <w:sz w:val="16"/>
                <w:szCs w:val="16"/>
              </w:rPr>
            </w:pPr>
          </w:p>
        </w:tc>
      </w:tr>
      <w:tr w:rsidR="00FD723C" w:rsidRPr="00FD723C" w14:paraId="61BEB93A" w14:textId="77777777" w:rsidTr="001B2C4E">
        <w:trPr>
          <w:trHeight w:val="300"/>
        </w:trPr>
        <w:tc>
          <w:tcPr>
            <w:tcW w:w="709" w:type="dxa"/>
            <w:shd w:val="clear" w:color="auto" w:fill="F2F2F2"/>
            <w:vAlign w:val="center"/>
          </w:tcPr>
          <w:p w14:paraId="4D260EB7"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bottom"/>
          </w:tcPr>
          <w:p w14:paraId="480F629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drogi ekspresowej S3 odc. Legnica - Lubawka</w:t>
            </w:r>
          </w:p>
        </w:tc>
        <w:tc>
          <w:tcPr>
            <w:tcW w:w="1405" w:type="dxa"/>
            <w:gridSpan w:val="2"/>
            <w:shd w:val="clear" w:color="auto" w:fill="F2F2F2"/>
            <w:vAlign w:val="center"/>
          </w:tcPr>
          <w:p w14:paraId="1146FC9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6B55521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433A6A3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shd w:val="clear" w:color="auto" w:fill="F2F2F2"/>
            <w:vAlign w:val="center"/>
          </w:tcPr>
          <w:p w14:paraId="330A56A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EAA991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3CD2BC60" w14:textId="77777777" w:rsidTr="001B2C4E">
        <w:trPr>
          <w:trHeight w:val="420"/>
        </w:trPr>
        <w:tc>
          <w:tcPr>
            <w:tcW w:w="709" w:type="dxa"/>
            <w:shd w:val="clear" w:color="auto" w:fill="F2F2F2"/>
            <w:vAlign w:val="center"/>
          </w:tcPr>
          <w:p w14:paraId="6CD4CBA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3A966B0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S19</w:t>
            </w:r>
          </w:p>
          <w:p w14:paraId="379430B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granica państwa – Białystok (S8)</w:t>
            </w:r>
          </w:p>
        </w:tc>
        <w:tc>
          <w:tcPr>
            <w:tcW w:w="1405" w:type="dxa"/>
            <w:gridSpan w:val="2"/>
            <w:shd w:val="clear" w:color="auto" w:fill="F2F2F2"/>
            <w:vAlign w:val="center"/>
          </w:tcPr>
          <w:p w14:paraId="4B1E12D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(II kw.)</w:t>
            </w:r>
          </w:p>
        </w:tc>
        <w:tc>
          <w:tcPr>
            <w:tcW w:w="1417" w:type="dxa"/>
            <w:shd w:val="clear" w:color="auto" w:fill="F2F2F2"/>
            <w:vAlign w:val="center"/>
          </w:tcPr>
          <w:p w14:paraId="5BC639B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8" w:type="dxa"/>
            <w:shd w:val="clear" w:color="auto" w:fill="F2F2F2"/>
            <w:vAlign w:val="center"/>
          </w:tcPr>
          <w:p w14:paraId="5EA2143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0AEEC59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520225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39E2408" w14:textId="77777777" w:rsidTr="001B2C4E">
        <w:trPr>
          <w:trHeight w:val="420"/>
        </w:trPr>
        <w:tc>
          <w:tcPr>
            <w:tcW w:w="7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9BE19AB"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14:paraId="5CEB5BD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S11</w:t>
            </w:r>
          </w:p>
          <w:p w14:paraId="4C2FDD3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Kępno – Katowice</w:t>
            </w:r>
          </w:p>
        </w:tc>
        <w:tc>
          <w:tcPr>
            <w:tcW w:w="140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63475097" w14:textId="77777777" w:rsidR="00FD723C" w:rsidRPr="00FD723C" w:rsidRDefault="00FD723C" w:rsidP="00FD723C">
            <w:pPr>
              <w:spacing w:before="60" w:after="60"/>
              <w:jc w:val="center"/>
              <w:rPr>
                <w:rFonts w:ascii="Arial" w:hAnsi="Arial" w:cs="Arial"/>
                <w:sz w:val="16"/>
                <w:szCs w:val="16"/>
              </w:rPr>
            </w:pPr>
          </w:p>
        </w:tc>
        <w:tc>
          <w:tcPr>
            <w:tcW w:w="141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1EB8C1E" w14:textId="77777777" w:rsidR="00FD723C" w:rsidRPr="00FD723C" w:rsidRDefault="00FD723C" w:rsidP="00FD723C">
            <w:pPr>
              <w:spacing w:before="60" w:after="60"/>
              <w:jc w:val="center"/>
              <w:rPr>
                <w:rFonts w:ascii="Arial" w:hAnsi="Arial" w:cs="Arial"/>
                <w:sz w:val="16"/>
                <w:szCs w:val="16"/>
              </w:rPr>
            </w:pP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46B3DE2" w14:textId="77777777" w:rsidR="00FD723C" w:rsidRPr="00FD723C" w:rsidRDefault="00FD723C" w:rsidP="00FD723C">
            <w:pPr>
              <w:spacing w:before="60" w:after="60"/>
              <w:jc w:val="center"/>
              <w:rPr>
                <w:rFonts w:ascii="Arial" w:hAnsi="Arial" w:cs="Arial"/>
                <w:sz w:val="16"/>
                <w:szCs w:val="16"/>
              </w:rPr>
            </w:pP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2131B88E" w14:textId="77777777" w:rsidR="00FD723C" w:rsidRPr="00FD723C" w:rsidRDefault="00FD723C" w:rsidP="00FD723C">
            <w:pPr>
              <w:spacing w:before="60" w:after="60"/>
              <w:jc w:val="center"/>
              <w:rPr>
                <w:rFonts w:ascii="Arial" w:hAnsi="Arial" w:cs="Arial"/>
                <w:sz w:val="16"/>
                <w:szCs w:val="16"/>
              </w:rPr>
            </w:pP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B81F4EF" w14:textId="77777777" w:rsidR="00FD723C" w:rsidRPr="00FD723C" w:rsidRDefault="00FD723C" w:rsidP="00FD723C">
            <w:pPr>
              <w:spacing w:before="60" w:after="60"/>
              <w:jc w:val="center"/>
              <w:rPr>
                <w:rFonts w:ascii="Arial" w:hAnsi="Arial" w:cs="Arial"/>
                <w:sz w:val="16"/>
                <w:szCs w:val="16"/>
              </w:rPr>
            </w:pPr>
          </w:p>
        </w:tc>
      </w:tr>
      <w:tr w:rsidR="00FD723C" w:rsidRPr="00FD723C" w14:paraId="1F98EA73" w14:textId="77777777" w:rsidTr="001B2C4E">
        <w:trPr>
          <w:trHeight w:val="420"/>
        </w:trPr>
        <w:tc>
          <w:tcPr>
            <w:tcW w:w="7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4D90B04"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tcBorders>
              <w:top w:val="single" w:sz="4" w:space="0" w:color="FFFFFF"/>
              <w:left w:val="single" w:sz="4" w:space="0" w:color="FFFFFF"/>
              <w:bottom w:val="single" w:sz="4" w:space="0" w:color="FFFFFF"/>
              <w:right w:val="single" w:sz="4" w:space="0" w:color="FFFFFF"/>
            </w:tcBorders>
            <w:shd w:val="clear" w:color="auto" w:fill="F2F2F2"/>
            <w:noWrap/>
          </w:tcPr>
          <w:p w14:paraId="0588769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drogi ekspresowej S11 na odc. </w:t>
            </w:r>
            <w:proofErr w:type="spellStart"/>
            <w:r w:rsidRPr="00FD723C">
              <w:rPr>
                <w:rFonts w:ascii="Arial" w:hAnsi="Arial" w:cs="Arial"/>
                <w:sz w:val="16"/>
                <w:szCs w:val="16"/>
              </w:rPr>
              <w:t>obw</w:t>
            </w:r>
            <w:proofErr w:type="spellEnd"/>
            <w:r w:rsidRPr="00FD723C">
              <w:rPr>
                <w:rFonts w:ascii="Arial" w:hAnsi="Arial" w:cs="Arial"/>
                <w:sz w:val="16"/>
                <w:szCs w:val="16"/>
              </w:rPr>
              <w:t>. Olesna</w:t>
            </w:r>
          </w:p>
        </w:tc>
        <w:tc>
          <w:tcPr>
            <w:tcW w:w="1405" w:type="dxa"/>
            <w:gridSpan w:val="2"/>
            <w:tcBorders>
              <w:top w:val="single" w:sz="4" w:space="0" w:color="FFFFFF"/>
              <w:left w:val="single" w:sz="4" w:space="0" w:color="FFFFFF"/>
              <w:bottom w:val="single" w:sz="4" w:space="0" w:color="FFFFFF"/>
              <w:right w:val="single" w:sz="4" w:space="0" w:color="FFFFFF"/>
            </w:tcBorders>
            <w:shd w:val="clear" w:color="auto" w:fill="F2F2F2"/>
          </w:tcPr>
          <w:p w14:paraId="5F39518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1417" w:type="dxa"/>
            <w:tcBorders>
              <w:top w:val="single" w:sz="4" w:space="0" w:color="FFFFFF"/>
              <w:left w:val="single" w:sz="4" w:space="0" w:color="FFFFFF"/>
              <w:bottom w:val="single" w:sz="4" w:space="0" w:color="FFFFFF"/>
              <w:right w:val="single" w:sz="4" w:space="0" w:color="FFFFFF"/>
            </w:tcBorders>
            <w:shd w:val="clear" w:color="auto" w:fill="F2F2F2"/>
          </w:tcPr>
          <w:p w14:paraId="34FA3C8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1418" w:type="dxa"/>
            <w:tcBorders>
              <w:top w:val="single" w:sz="4" w:space="0" w:color="FFFFFF"/>
              <w:left w:val="single" w:sz="4" w:space="0" w:color="FFFFFF"/>
              <w:bottom w:val="single" w:sz="4" w:space="0" w:color="FFFFFF"/>
              <w:right w:val="single" w:sz="4" w:space="0" w:color="FFFFFF"/>
            </w:tcBorders>
            <w:shd w:val="clear" w:color="auto" w:fill="F2F2F2"/>
          </w:tcPr>
          <w:p w14:paraId="7EF0EA9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tcBorders>
              <w:top w:val="single" w:sz="4" w:space="0" w:color="FFFFFF"/>
              <w:left w:val="single" w:sz="4" w:space="0" w:color="FFFFFF"/>
              <w:bottom w:val="single" w:sz="4" w:space="0" w:color="FFFFFF"/>
              <w:right w:val="single" w:sz="4" w:space="0" w:color="FFFFFF"/>
            </w:tcBorders>
            <w:shd w:val="clear" w:color="auto" w:fill="F2F2F2"/>
          </w:tcPr>
          <w:p w14:paraId="7B65BEF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tcBorders>
              <w:top w:val="single" w:sz="4" w:space="0" w:color="FFFFFF"/>
              <w:left w:val="single" w:sz="4" w:space="0" w:color="FFFFFF"/>
              <w:bottom w:val="single" w:sz="4" w:space="0" w:color="FFFFFF"/>
              <w:right w:val="single" w:sz="4" w:space="0" w:color="FFFFFF"/>
            </w:tcBorders>
            <w:shd w:val="clear" w:color="auto" w:fill="F2F2F2"/>
          </w:tcPr>
          <w:p w14:paraId="095BBE1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C992D1F" w14:textId="77777777" w:rsidTr="001B2C4E">
        <w:trPr>
          <w:trHeight w:val="420"/>
        </w:trPr>
        <w:tc>
          <w:tcPr>
            <w:tcW w:w="709"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867130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tcBorders>
              <w:top w:val="single" w:sz="4" w:space="0" w:color="FFFFFF"/>
              <w:left w:val="single" w:sz="4" w:space="0" w:color="FFFFFF"/>
              <w:bottom w:val="single" w:sz="4" w:space="0" w:color="FFFFFF"/>
              <w:right w:val="single" w:sz="4" w:space="0" w:color="FFFFFF"/>
            </w:tcBorders>
            <w:shd w:val="clear" w:color="auto" w:fill="F2F2F2"/>
            <w:noWrap/>
            <w:vAlign w:val="center"/>
          </w:tcPr>
          <w:p w14:paraId="355281F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S11</w:t>
            </w:r>
          </w:p>
          <w:p w14:paraId="3950829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Koszalin – Piła, odc. Koszalin Bobolice</w:t>
            </w:r>
          </w:p>
        </w:tc>
        <w:tc>
          <w:tcPr>
            <w:tcW w:w="1405" w:type="dxa"/>
            <w:gridSpan w:val="2"/>
            <w:tcBorders>
              <w:top w:val="single" w:sz="4" w:space="0" w:color="FFFFFF"/>
              <w:left w:val="single" w:sz="4" w:space="0" w:color="FFFFFF"/>
              <w:bottom w:val="single" w:sz="4" w:space="0" w:color="FFFFFF"/>
              <w:right w:val="single" w:sz="4" w:space="0" w:color="FFFFFF"/>
            </w:tcBorders>
            <w:shd w:val="clear" w:color="auto" w:fill="F2F2F2"/>
            <w:vAlign w:val="center"/>
          </w:tcPr>
          <w:p w14:paraId="60AF055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 kw.)</w:t>
            </w:r>
          </w:p>
        </w:tc>
        <w:tc>
          <w:tcPr>
            <w:tcW w:w="1417"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356BD72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 kw.)</w:t>
            </w:r>
          </w:p>
        </w:tc>
        <w:tc>
          <w:tcPr>
            <w:tcW w:w="1418"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052AE8F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A38ED4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7.a</w:t>
            </w:r>
          </w:p>
        </w:tc>
        <w:tc>
          <w:tcPr>
            <w:tcW w:w="992"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54F2AB0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66A29B3D" w14:textId="77777777" w:rsidTr="001B2C4E">
        <w:trPr>
          <w:trHeight w:val="260"/>
        </w:trPr>
        <w:tc>
          <w:tcPr>
            <w:tcW w:w="709" w:type="dxa"/>
            <w:shd w:val="clear" w:color="auto" w:fill="F2F2F2"/>
            <w:vAlign w:val="center"/>
          </w:tcPr>
          <w:p w14:paraId="1B64F3D4"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0AEABF5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Usprawnienie połączenia komunikacyjnego pomiędzy wyspami Uznam i Wolin w Świnoujściu - budowa tunelu pod Świną (Świnoujście)</w:t>
            </w:r>
            <w:r w:rsidRPr="00FD723C">
              <w:rPr>
                <w:rFonts w:ascii="Arial" w:hAnsi="Arial" w:cs="Arial"/>
                <w:sz w:val="16"/>
                <w:szCs w:val="16"/>
                <w:vertAlign w:val="superscript"/>
              </w:rPr>
              <w:footnoteReference w:id="121"/>
            </w:r>
          </w:p>
        </w:tc>
        <w:tc>
          <w:tcPr>
            <w:tcW w:w="1405" w:type="dxa"/>
            <w:gridSpan w:val="2"/>
            <w:shd w:val="clear" w:color="auto" w:fill="F2F2F2"/>
            <w:vAlign w:val="center"/>
          </w:tcPr>
          <w:p w14:paraId="6ABB56B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7" w:type="dxa"/>
            <w:shd w:val="clear" w:color="auto" w:fill="F2F2F2"/>
            <w:vAlign w:val="center"/>
          </w:tcPr>
          <w:p w14:paraId="2FFA19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289EC8A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(III kw.)</w:t>
            </w:r>
          </w:p>
        </w:tc>
        <w:tc>
          <w:tcPr>
            <w:tcW w:w="992" w:type="dxa"/>
            <w:shd w:val="clear" w:color="auto" w:fill="F2F2F2"/>
            <w:vAlign w:val="center"/>
          </w:tcPr>
          <w:p w14:paraId="6E84A7D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72273ED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4291EEE0" w14:textId="77777777" w:rsidTr="001B2C4E">
        <w:trPr>
          <w:trHeight w:val="450"/>
        </w:trPr>
        <w:tc>
          <w:tcPr>
            <w:tcW w:w="709" w:type="dxa"/>
            <w:shd w:val="clear" w:color="auto" w:fill="F2F2F2"/>
            <w:vAlign w:val="center"/>
          </w:tcPr>
          <w:p w14:paraId="072A6AF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015696F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 Inowrocławia i Brodnicy w ciągu DK 15</w:t>
            </w:r>
          </w:p>
        </w:tc>
        <w:tc>
          <w:tcPr>
            <w:tcW w:w="1405" w:type="dxa"/>
            <w:gridSpan w:val="2"/>
            <w:shd w:val="clear" w:color="auto" w:fill="F2F2F2"/>
            <w:vAlign w:val="center"/>
          </w:tcPr>
          <w:p w14:paraId="71E9762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7" w:type="dxa"/>
            <w:shd w:val="clear" w:color="auto" w:fill="F2F2F2"/>
            <w:vAlign w:val="center"/>
          </w:tcPr>
          <w:p w14:paraId="24660DB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7A28BAD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992" w:type="dxa"/>
            <w:shd w:val="clear" w:color="auto" w:fill="F2F2F2"/>
            <w:vAlign w:val="center"/>
          </w:tcPr>
          <w:p w14:paraId="079474A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654C7E3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504603CA" w14:textId="77777777" w:rsidTr="001B2C4E">
        <w:trPr>
          <w:trHeight w:val="420"/>
        </w:trPr>
        <w:tc>
          <w:tcPr>
            <w:tcW w:w="709" w:type="dxa"/>
            <w:shd w:val="clear" w:color="auto" w:fill="F2F2F2"/>
            <w:vAlign w:val="center"/>
          </w:tcPr>
          <w:p w14:paraId="7385CF6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6F71AB6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obwodnicy Góry Kalwarii w ciągu DK 50 i 79</w:t>
            </w:r>
          </w:p>
        </w:tc>
        <w:tc>
          <w:tcPr>
            <w:tcW w:w="1405" w:type="dxa"/>
            <w:gridSpan w:val="2"/>
            <w:shd w:val="clear" w:color="auto" w:fill="F2F2F2"/>
            <w:vAlign w:val="center"/>
          </w:tcPr>
          <w:p w14:paraId="76CA8A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2017 (IV kw.)</w:t>
            </w:r>
          </w:p>
        </w:tc>
        <w:tc>
          <w:tcPr>
            <w:tcW w:w="1417" w:type="dxa"/>
            <w:shd w:val="clear" w:color="auto" w:fill="F2F2F2"/>
            <w:vAlign w:val="center"/>
          </w:tcPr>
          <w:p w14:paraId="5320097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0F18F3B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(II kw.)</w:t>
            </w:r>
          </w:p>
        </w:tc>
        <w:tc>
          <w:tcPr>
            <w:tcW w:w="992" w:type="dxa"/>
            <w:shd w:val="clear" w:color="auto" w:fill="F2F2F2"/>
            <w:vAlign w:val="center"/>
          </w:tcPr>
          <w:p w14:paraId="4B4AEEF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14BDCBF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0F661E7A" w14:textId="77777777" w:rsidTr="001B2C4E">
        <w:trPr>
          <w:trHeight w:val="470"/>
        </w:trPr>
        <w:tc>
          <w:tcPr>
            <w:tcW w:w="709" w:type="dxa"/>
            <w:shd w:val="clear" w:color="auto" w:fill="F2F2F2"/>
            <w:vAlign w:val="center"/>
          </w:tcPr>
          <w:p w14:paraId="290C4668"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56F5DE7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obwodnicy Olsztyna w ciągu </w:t>
            </w:r>
            <w:proofErr w:type="spellStart"/>
            <w:r w:rsidRPr="00FD723C">
              <w:rPr>
                <w:rFonts w:ascii="Arial" w:hAnsi="Arial" w:cs="Arial"/>
                <w:sz w:val="16"/>
                <w:szCs w:val="16"/>
              </w:rPr>
              <w:t>dk</w:t>
            </w:r>
            <w:proofErr w:type="spellEnd"/>
            <w:r w:rsidRPr="00FD723C">
              <w:rPr>
                <w:rFonts w:ascii="Arial" w:hAnsi="Arial" w:cs="Arial"/>
                <w:sz w:val="16"/>
                <w:szCs w:val="16"/>
              </w:rPr>
              <w:t xml:space="preserve"> nr 16</w:t>
            </w:r>
          </w:p>
        </w:tc>
        <w:tc>
          <w:tcPr>
            <w:tcW w:w="1405" w:type="dxa"/>
            <w:gridSpan w:val="2"/>
            <w:shd w:val="clear" w:color="auto" w:fill="F2F2F2"/>
            <w:vAlign w:val="center"/>
          </w:tcPr>
          <w:p w14:paraId="31638D0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7" w:type="dxa"/>
            <w:shd w:val="clear" w:color="auto" w:fill="F2F2F2"/>
            <w:vAlign w:val="center"/>
          </w:tcPr>
          <w:p w14:paraId="53257E8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607339E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 kw.)</w:t>
            </w:r>
          </w:p>
        </w:tc>
        <w:tc>
          <w:tcPr>
            <w:tcW w:w="992" w:type="dxa"/>
            <w:shd w:val="clear" w:color="auto" w:fill="F2F2F2"/>
            <w:vAlign w:val="center"/>
          </w:tcPr>
          <w:p w14:paraId="3F82779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7.a.</w:t>
            </w:r>
          </w:p>
        </w:tc>
        <w:tc>
          <w:tcPr>
            <w:tcW w:w="992" w:type="dxa"/>
            <w:shd w:val="clear" w:color="auto" w:fill="F2F2F2"/>
            <w:vAlign w:val="center"/>
          </w:tcPr>
          <w:p w14:paraId="0B31C52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5C77A5E4" w14:textId="77777777" w:rsidTr="001B2C4E">
        <w:trPr>
          <w:trHeight w:val="420"/>
        </w:trPr>
        <w:tc>
          <w:tcPr>
            <w:tcW w:w="709" w:type="dxa"/>
            <w:shd w:val="clear" w:color="auto" w:fill="F2F2F2"/>
            <w:vAlign w:val="center"/>
          </w:tcPr>
          <w:p w14:paraId="5BABDA9A"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6AEE2D3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obwodnicy Ostródy</w:t>
            </w:r>
          </w:p>
        </w:tc>
        <w:tc>
          <w:tcPr>
            <w:tcW w:w="1405" w:type="dxa"/>
            <w:gridSpan w:val="2"/>
            <w:shd w:val="clear" w:color="auto" w:fill="F2F2F2"/>
            <w:vAlign w:val="center"/>
          </w:tcPr>
          <w:p w14:paraId="4E48BC8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 kw.)</w:t>
            </w:r>
          </w:p>
        </w:tc>
        <w:tc>
          <w:tcPr>
            <w:tcW w:w="1417" w:type="dxa"/>
            <w:shd w:val="clear" w:color="auto" w:fill="F2F2F2"/>
            <w:vAlign w:val="center"/>
          </w:tcPr>
          <w:p w14:paraId="5775F13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 kw.)</w:t>
            </w:r>
          </w:p>
        </w:tc>
        <w:tc>
          <w:tcPr>
            <w:tcW w:w="1418" w:type="dxa"/>
            <w:shd w:val="clear" w:color="auto" w:fill="F2F2F2"/>
            <w:vAlign w:val="center"/>
          </w:tcPr>
          <w:p w14:paraId="62B2D6B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shd w:val="clear" w:color="auto" w:fill="F2F2F2"/>
            <w:vAlign w:val="center"/>
          </w:tcPr>
          <w:p w14:paraId="01E321B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7.a.</w:t>
            </w:r>
          </w:p>
        </w:tc>
        <w:tc>
          <w:tcPr>
            <w:tcW w:w="992" w:type="dxa"/>
            <w:shd w:val="clear" w:color="auto" w:fill="F2F2F2"/>
            <w:vAlign w:val="center"/>
          </w:tcPr>
          <w:p w14:paraId="0192168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3C6E7E1D" w14:textId="77777777" w:rsidTr="001B2C4E">
        <w:trPr>
          <w:trHeight w:val="420"/>
        </w:trPr>
        <w:tc>
          <w:tcPr>
            <w:tcW w:w="709" w:type="dxa"/>
            <w:shd w:val="clear" w:color="auto" w:fill="F2F2F2"/>
            <w:vAlign w:val="center"/>
          </w:tcPr>
          <w:p w14:paraId="75241308"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03FB06A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Budowa obwodnic Wielunia i Bełchatowa w ciągu </w:t>
            </w:r>
            <w:proofErr w:type="spellStart"/>
            <w:r w:rsidRPr="00FD723C">
              <w:rPr>
                <w:rFonts w:ascii="Arial" w:hAnsi="Arial" w:cs="Arial"/>
                <w:sz w:val="16"/>
                <w:szCs w:val="16"/>
              </w:rPr>
              <w:t>dk</w:t>
            </w:r>
            <w:proofErr w:type="spellEnd"/>
            <w:r w:rsidRPr="00FD723C">
              <w:rPr>
                <w:rFonts w:ascii="Arial" w:hAnsi="Arial" w:cs="Arial"/>
                <w:sz w:val="16"/>
                <w:szCs w:val="16"/>
              </w:rPr>
              <w:t xml:space="preserve"> nr 8</w:t>
            </w:r>
          </w:p>
        </w:tc>
        <w:tc>
          <w:tcPr>
            <w:tcW w:w="1405" w:type="dxa"/>
            <w:gridSpan w:val="2"/>
            <w:shd w:val="clear" w:color="auto" w:fill="F2F2F2"/>
            <w:vAlign w:val="center"/>
          </w:tcPr>
          <w:p w14:paraId="503A178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7" w:type="dxa"/>
            <w:shd w:val="clear" w:color="auto" w:fill="F2F2F2"/>
            <w:vAlign w:val="center"/>
          </w:tcPr>
          <w:p w14:paraId="5FA60D2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(IV kw.)</w:t>
            </w:r>
          </w:p>
        </w:tc>
        <w:tc>
          <w:tcPr>
            <w:tcW w:w="1418" w:type="dxa"/>
            <w:shd w:val="clear" w:color="auto" w:fill="F2F2F2"/>
            <w:vAlign w:val="center"/>
          </w:tcPr>
          <w:p w14:paraId="0053935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 kw.)</w:t>
            </w:r>
          </w:p>
        </w:tc>
        <w:tc>
          <w:tcPr>
            <w:tcW w:w="992" w:type="dxa"/>
            <w:shd w:val="clear" w:color="auto" w:fill="F2F2F2"/>
            <w:vAlign w:val="center"/>
          </w:tcPr>
          <w:p w14:paraId="214777D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4DCC949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287E0E84" w14:textId="77777777" w:rsidTr="001B2C4E">
        <w:trPr>
          <w:trHeight w:val="802"/>
        </w:trPr>
        <w:tc>
          <w:tcPr>
            <w:tcW w:w="709" w:type="dxa"/>
            <w:shd w:val="clear" w:color="auto" w:fill="F2F2F2"/>
            <w:vAlign w:val="center"/>
          </w:tcPr>
          <w:p w14:paraId="75E8FD04"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063F848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obwodnicy Nowego Miasta Lubawskiego w ciągu drogi krajowej nr 15</w:t>
            </w:r>
          </w:p>
        </w:tc>
        <w:tc>
          <w:tcPr>
            <w:tcW w:w="1405" w:type="dxa"/>
            <w:gridSpan w:val="2"/>
            <w:shd w:val="clear" w:color="auto" w:fill="F2F2F2"/>
            <w:vAlign w:val="center"/>
          </w:tcPr>
          <w:p w14:paraId="4DCC157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1417" w:type="dxa"/>
            <w:shd w:val="clear" w:color="auto" w:fill="F2F2F2"/>
            <w:vAlign w:val="center"/>
          </w:tcPr>
          <w:p w14:paraId="2960820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7669DDF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56749A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5247D33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34862C5A" w14:textId="77777777" w:rsidTr="001B2C4E">
        <w:trPr>
          <w:trHeight w:val="802"/>
        </w:trPr>
        <w:tc>
          <w:tcPr>
            <w:tcW w:w="709" w:type="dxa"/>
            <w:shd w:val="clear" w:color="auto" w:fill="F2F2F2"/>
            <w:vAlign w:val="center"/>
          </w:tcPr>
          <w:p w14:paraId="06FFA045"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17B4210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obwodnicy Poręby i Zawiercia w ciągu dk78</w:t>
            </w:r>
          </w:p>
        </w:tc>
        <w:tc>
          <w:tcPr>
            <w:tcW w:w="1405" w:type="dxa"/>
            <w:gridSpan w:val="2"/>
            <w:shd w:val="clear" w:color="auto" w:fill="F2F2F2"/>
            <w:vAlign w:val="center"/>
          </w:tcPr>
          <w:p w14:paraId="7463D89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1417" w:type="dxa"/>
            <w:shd w:val="clear" w:color="auto" w:fill="F2F2F2"/>
            <w:vAlign w:val="center"/>
          </w:tcPr>
          <w:p w14:paraId="35790AE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8" w:type="dxa"/>
            <w:shd w:val="clear" w:color="auto" w:fill="F2F2F2"/>
            <w:vAlign w:val="center"/>
          </w:tcPr>
          <w:p w14:paraId="7FA3DEB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4CA3DF0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45B10E8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6445C87B" w14:textId="77777777" w:rsidTr="001B2C4E">
        <w:trPr>
          <w:trHeight w:val="802"/>
        </w:trPr>
        <w:tc>
          <w:tcPr>
            <w:tcW w:w="709" w:type="dxa"/>
            <w:shd w:val="clear" w:color="auto" w:fill="F2F2F2"/>
            <w:vAlign w:val="center"/>
          </w:tcPr>
          <w:p w14:paraId="1A60491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7AE0F3B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północnej obwodnicy Krakowa w ciągu S52</w:t>
            </w:r>
          </w:p>
        </w:tc>
        <w:tc>
          <w:tcPr>
            <w:tcW w:w="1405" w:type="dxa"/>
            <w:gridSpan w:val="2"/>
            <w:shd w:val="clear" w:color="auto" w:fill="F2F2F2"/>
            <w:vAlign w:val="center"/>
          </w:tcPr>
          <w:p w14:paraId="22F3613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 kw.)</w:t>
            </w:r>
          </w:p>
        </w:tc>
        <w:tc>
          <w:tcPr>
            <w:tcW w:w="1417" w:type="dxa"/>
            <w:shd w:val="clear" w:color="auto" w:fill="F2F2F2"/>
            <w:vAlign w:val="center"/>
          </w:tcPr>
          <w:p w14:paraId="6DE566C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8" w:type="dxa"/>
            <w:shd w:val="clear" w:color="auto" w:fill="F2F2F2"/>
            <w:vAlign w:val="center"/>
          </w:tcPr>
          <w:p w14:paraId="14A5AEE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shd w:val="clear" w:color="auto" w:fill="F2F2F2"/>
            <w:vAlign w:val="center"/>
          </w:tcPr>
          <w:p w14:paraId="333475A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7E92E41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1A27FEB8" w14:textId="77777777" w:rsidTr="001B2C4E">
        <w:trPr>
          <w:trHeight w:val="420"/>
        </w:trPr>
        <w:tc>
          <w:tcPr>
            <w:tcW w:w="709" w:type="dxa"/>
            <w:shd w:val="clear" w:color="auto" w:fill="F2F2F2"/>
            <w:vAlign w:val="center"/>
          </w:tcPr>
          <w:p w14:paraId="64290D7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noWrap/>
            <w:vAlign w:val="center"/>
          </w:tcPr>
          <w:p w14:paraId="15F5A46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obwodnicy Wałbrzycha w ciągu drogi krajowej nr 35 (Wałbrzych)</w:t>
            </w:r>
            <w:r w:rsidRPr="00FD723C">
              <w:rPr>
                <w:rFonts w:ascii="Arial" w:hAnsi="Arial" w:cs="Arial"/>
                <w:sz w:val="16"/>
                <w:szCs w:val="16"/>
                <w:vertAlign w:val="superscript"/>
              </w:rPr>
              <w:footnoteReference w:id="122"/>
            </w:r>
          </w:p>
        </w:tc>
        <w:tc>
          <w:tcPr>
            <w:tcW w:w="1405" w:type="dxa"/>
            <w:gridSpan w:val="2"/>
            <w:shd w:val="clear" w:color="auto" w:fill="F2F2F2"/>
            <w:vAlign w:val="center"/>
          </w:tcPr>
          <w:p w14:paraId="0BB1FDE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7" w:type="dxa"/>
            <w:shd w:val="clear" w:color="auto" w:fill="F2F2F2"/>
            <w:vAlign w:val="center"/>
          </w:tcPr>
          <w:p w14:paraId="46658C7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2017 (IV kw.)</w:t>
            </w:r>
          </w:p>
        </w:tc>
        <w:tc>
          <w:tcPr>
            <w:tcW w:w="1418" w:type="dxa"/>
            <w:shd w:val="clear" w:color="auto" w:fill="F2F2F2"/>
            <w:vAlign w:val="center"/>
          </w:tcPr>
          <w:p w14:paraId="40CB5287" w14:textId="0CBB5C6F"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w:t>
            </w:r>
            <w:r w:rsidR="00215751">
              <w:rPr>
                <w:rFonts w:ascii="Arial" w:hAnsi="Arial" w:cs="Arial"/>
                <w:sz w:val="16"/>
                <w:szCs w:val="16"/>
              </w:rPr>
              <w:t xml:space="preserve"> </w:t>
            </w:r>
            <w:r w:rsidRPr="00FD723C">
              <w:rPr>
                <w:rFonts w:ascii="Arial" w:hAnsi="Arial" w:cs="Arial"/>
                <w:sz w:val="16"/>
                <w:szCs w:val="16"/>
              </w:rPr>
              <w:t xml:space="preserve">(IV kw.) </w:t>
            </w:r>
          </w:p>
        </w:tc>
        <w:tc>
          <w:tcPr>
            <w:tcW w:w="992" w:type="dxa"/>
            <w:shd w:val="clear" w:color="auto" w:fill="F2F2F2"/>
            <w:vAlign w:val="center"/>
          </w:tcPr>
          <w:p w14:paraId="5329EAF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7.b.</w:t>
            </w:r>
          </w:p>
        </w:tc>
        <w:tc>
          <w:tcPr>
            <w:tcW w:w="992" w:type="dxa"/>
            <w:shd w:val="clear" w:color="auto" w:fill="F2F2F2"/>
            <w:vAlign w:val="center"/>
          </w:tcPr>
          <w:p w14:paraId="0A2720F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IV</w:t>
            </w:r>
          </w:p>
        </w:tc>
      </w:tr>
      <w:tr w:rsidR="00FD723C" w:rsidRPr="00FD723C" w14:paraId="0697A59E" w14:textId="77777777" w:rsidTr="001B2C4E">
        <w:trPr>
          <w:trHeight w:val="231"/>
        </w:trPr>
        <w:tc>
          <w:tcPr>
            <w:tcW w:w="9781" w:type="dxa"/>
            <w:gridSpan w:val="11"/>
            <w:shd w:val="clear" w:color="auto" w:fill="99CC00"/>
            <w:vAlign w:val="center"/>
          </w:tcPr>
          <w:p w14:paraId="0B6396AA" w14:textId="77777777" w:rsidR="00FD723C" w:rsidRPr="00FD723C" w:rsidRDefault="00FD723C" w:rsidP="00FD723C">
            <w:pPr>
              <w:spacing w:before="60" w:after="60"/>
              <w:jc w:val="center"/>
              <w:rPr>
                <w:rFonts w:ascii="Arial" w:hAnsi="Arial" w:cs="Arial"/>
                <w:b/>
                <w:sz w:val="16"/>
                <w:szCs w:val="16"/>
              </w:rPr>
            </w:pPr>
            <w:r w:rsidRPr="00FD723C">
              <w:rPr>
                <w:rFonts w:ascii="Arial" w:hAnsi="Arial" w:cs="Arial"/>
                <w:b/>
                <w:sz w:val="16"/>
                <w:szCs w:val="16"/>
              </w:rPr>
              <w:t>PROJEKTY KOLEJOWE-FAZOWANE</w:t>
            </w:r>
          </w:p>
        </w:tc>
      </w:tr>
      <w:tr w:rsidR="00FD723C" w:rsidRPr="00FD723C" w14:paraId="2ABB58CF" w14:textId="77777777" w:rsidTr="001B2C4E">
        <w:trPr>
          <w:trHeight w:val="510"/>
        </w:trPr>
        <w:tc>
          <w:tcPr>
            <w:tcW w:w="709" w:type="dxa"/>
            <w:shd w:val="clear" w:color="auto" w:fill="F2F2F2"/>
            <w:vAlign w:val="center"/>
          </w:tcPr>
          <w:p w14:paraId="02B9582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1B78453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linii kolejowej E 65/C-E 65 na odcinku Warszawa - Gdynia - w zakresie warstwy nadrzędnej LCS, ERTMS/ETCS/GSM-R, DSAT oraz zasilania układu trakcyjnego</w:t>
            </w:r>
            <w:r w:rsidRPr="00FD723C">
              <w:rPr>
                <w:rFonts w:ascii="Arial" w:hAnsi="Arial" w:cs="Arial"/>
                <w:sz w:val="16"/>
                <w:szCs w:val="16"/>
                <w:vertAlign w:val="superscript"/>
              </w:rPr>
              <w:footnoteReference w:id="123"/>
            </w:r>
          </w:p>
        </w:tc>
        <w:tc>
          <w:tcPr>
            <w:tcW w:w="1405" w:type="dxa"/>
            <w:gridSpan w:val="2"/>
            <w:shd w:val="clear" w:color="auto" w:fill="F2F2F2"/>
            <w:vAlign w:val="center"/>
          </w:tcPr>
          <w:p w14:paraId="7002F49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3C6D3D0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2011 (IV kw.)</w:t>
            </w:r>
          </w:p>
        </w:tc>
        <w:tc>
          <w:tcPr>
            <w:tcW w:w="1418" w:type="dxa"/>
            <w:shd w:val="clear" w:color="auto" w:fill="F2F2F2"/>
            <w:vAlign w:val="center"/>
          </w:tcPr>
          <w:p w14:paraId="45CA69F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2020 (III kw.)</w:t>
            </w:r>
          </w:p>
        </w:tc>
        <w:tc>
          <w:tcPr>
            <w:tcW w:w="992" w:type="dxa"/>
            <w:shd w:val="clear" w:color="auto" w:fill="F2F2F2"/>
            <w:vAlign w:val="center"/>
          </w:tcPr>
          <w:p w14:paraId="014F11D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16BAC3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6986497F" w14:textId="77777777" w:rsidTr="001B2C4E">
        <w:trPr>
          <w:trHeight w:val="510"/>
        </w:trPr>
        <w:tc>
          <w:tcPr>
            <w:tcW w:w="709" w:type="dxa"/>
            <w:shd w:val="clear" w:color="auto" w:fill="F2F2F2"/>
            <w:vAlign w:val="center"/>
          </w:tcPr>
          <w:p w14:paraId="704AC86D"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7FF7E58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linii kolejowej E 59 na odcinku Wrocław - Poznań, etap III, odcinek Czempiń - Poznań</w:t>
            </w:r>
            <w:r w:rsidRPr="00FD723C">
              <w:rPr>
                <w:rFonts w:ascii="Arial" w:hAnsi="Arial" w:cs="Arial"/>
                <w:sz w:val="16"/>
                <w:szCs w:val="16"/>
                <w:vertAlign w:val="superscript"/>
              </w:rPr>
              <w:footnoteReference w:id="124"/>
            </w:r>
          </w:p>
        </w:tc>
        <w:tc>
          <w:tcPr>
            <w:tcW w:w="1405" w:type="dxa"/>
            <w:gridSpan w:val="2"/>
            <w:shd w:val="clear" w:color="auto" w:fill="F2F2F2"/>
            <w:vAlign w:val="center"/>
          </w:tcPr>
          <w:p w14:paraId="642D1D1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31C3073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2011 (III kw.)</w:t>
            </w:r>
          </w:p>
        </w:tc>
        <w:tc>
          <w:tcPr>
            <w:tcW w:w="1418" w:type="dxa"/>
            <w:shd w:val="clear" w:color="auto" w:fill="F2F2F2"/>
            <w:vAlign w:val="center"/>
          </w:tcPr>
          <w:p w14:paraId="21F820A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992" w:type="dxa"/>
            <w:shd w:val="clear" w:color="auto" w:fill="F2F2F2"/>
            <w:vAlign w:val="center"/>
          </w:tcPr>
          <w:p w14:paraId="470A249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B2AF1A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774031A9" w14:textId="77777777" w:rsidTr="001B2C4E">
        <w:trPr>
          <w:trHeight w:val="510"/>
        </w:trPr>
        <w:tc>
          <w:tcPr>
            <w:tcW w:w="709" w:type="dxa"/>
            <w:shd w:val="clear" w:color="auto" w:fill="F2F2F2"/>
            <w:vAlign w:val="center"/>
          </w:tcPr>
          <w:p w14:paraId="5FBE6A45"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26FFD0C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linii kolejowej nr 8, odcinek Warszawa Okęcie - Radom (LOT A, B, F)</w:t>
            </w:r>
            <w:r w:rsidRPr="00FD723C">
              <w:rPr>
                <w:rFonts w:ascii="Arial" w:hAnsi="Arial" w:cs="Arial"/>
                <w:sz w:val="16"/>
                <w:szCs w:val="16"/>
                <w:vertAlign w:val="superscript"/>
              </w:rPr>
              <w:t xml:space="preserve"> </w:t>
            </w:r>
            <w:r w:rsidRPr="00FD723C">
              <w:rPr>
                <w:rFonts w:ascii="Arial" w:hAnsi="Arial" w:cs="Arial"/>
                <w:sz w:val="16"/>
                <w:szCs w:val="16"/>
                <w:vertAlign w:val="superscript"/>
              </w:rPr>
              <w:footnoteReference w:id="125"/>
            </w:r>
          </w:p>
        </w:tc>
        <w:tc>
          <w:tcPr>
            <w:tcW w:w="1405" w:type="dxa"/>
            <w:gridSpan w:val="2"/>
            <w:shd w:val="clear" w:color="auto" w:fill="F2F2F2"/>
            <w:vAlign w:val="center"/>
          </w:tcPr>
          <w:p w14:paraId="3EFA2C5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1E84576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2013 (I kw.)</w:t>
            </w:r>
          </w:p>
        </w:tc>
        <w:tc>
          <w:tcPr>
            <w:tcW w:w="1418" w:type="dxa"/>
            <w:shd w:val="clear" w:color="auto" w:fill="F2F2F2"/>
            <w:vAlign w:val="center"/>
          </w:tcPr>
          <w:p w14:paraId="5619FB09" w14:textId="77777777" w:rsidR="00FD723C" w:rsidRPr="00FD723C" w:rsidRDefault="00FD723C" w:rsidP="00FD723C">
            <w:pPr>
              <w:spacing w:before="60" w:after="60"/>
              <w:jc w:val="center"/>
              <w:rPr>
                <w:rFonts w:ascii="Arial" w:hAnsi="Arial" w:cs="Arial"/>
                <w:sz w:val="16"/>
                <w:szCs w:val="16"/>
              </w:rPr>
            </w:pPr>
          </w:p>
          <w:p w14:paraId="3DC0625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 kw.)</w:t>
            </w:r>
          </w:p>
          <w:p w14:paraId="18893D75" w14:textId="77777777" w:rsidR="00FD723C" w:rsidRPr="00FD723C" w:rsidRDefault="00FD723C" w:rsidP="00FD723C">
            <w:pPr>
              <w:spacing w:before="60" w:after="60"/>
              <w:jc w:val="center"/>
              <w:rPr>
                <w:rFonts w:ascii="Arial" w:hAnsi="Arial" w:cs="Arial"/>
                <w:sz w:val="16"/>
                <w:szCs w:val="16"/>
              </w:rPr>
            </w:pPr>
          </w:p>
        </w:tc>
        <w:tc>
          <w:tcPr>
            <w:tcW w:w="992" w:type="dxa"/>
            <w:shd w:val="clear" w:color="auto" w:fill="F2F2F2"/>
            <w:vAlign w:val="center"/>
          </w:tcPr>
          <w:p w14:paraId="64077E8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E8DF6C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457448AF" w14:textId="77777777" w:rsidTr="001B2C4E">
        <w:trPr>
          <w:trHeight w:val="425"/>
        </w:trPr>
        <w:tc>
          <w:tcPr>
            <w:tcW w:w="709" w:type="dxa"/>
            <w:shd w:val="clear" w:color="auto" w:fill="F2F2F2"/>
            <w:vAlign w:val="center"/>
          </w:tcPr>
          <w:p w14:paraId="74BE21A5"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3D1D9D8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Modernizacja linii kolejowej E 75 </w:t>
            </w:r>
            <w:proofErr w:type="spellStart"/>
            <w:r w:rsidRPr="00FD723C">
              <w:rPr>
                <w:rFonts w:ascii="Arial" w:hAnsi="Arial" w:cs="Arial"/>
                <w:sz w:val="16"/>
                <w:szCs w:val="16"/>
              </w:rPr>
              <w:t>Rail</w:t>
            </w:r>
            <w:proofErr w:type="spellEnd"/>
            <w:r w:rsidRPr="00FD723C">
              <w:rPr>
                <w:rFonts w:ascii="Arial" w:hAnsi="Arial" w:cs="Arial"/>
                <w:sz w:val="16"/>
                <w:szCs w:val="16"/>
              </w:rPr>
              <w:t xml:space="preserve"> </w:t>
            </w:r>
            <w:proofErr w:type="spellStart"/>
            <w:r w:rsidRPr="00FD723C">
              <w:rPr>
                <w:rFonts w:ascii="Arial" w:hAnsi="Arial" w:cs="Arial"/>
                <w:sz w:val="16"/>
                <w:szCs w:val="16"/>
              </w:rPr>
              <w:t>Baltica</w:t>
            </w:r>
            <w:proofErr w:type="spellEnd"/>
            <w:r w:rsidRPr="00FD723C">
              <w:rPr>
                <w:rFonts w:ascii="Arial" w:hAnsi="Arial" w:cs="Arial"/>
                <w:sz w:val="16"/>
                <w:szCs w:val="16"/>
              </w:rPr>
              <w:t xml:space="preserve"> Warszawa-Białystok-granica z Litwą, etap I, odcinek Warszawa Rembertów-Zielonka-Tłuszcz (Sadowne)</w:t>
            </w:r>
            <w:r w:rsidRPr="00FD723C">
              <w:rPr>
                <w:rFonts w:ascii="Arial" w:hAnsi="Arial" w:cs="Arial"/>
                <w:sz w:val="16"/>
                <w:szCs w:val="16"/>
                <w:vertAlign w:val="superscript"/>
              </w:rPr>
              <w:t xml:space="preserve"> </w:t>
            </w:r>
            <w:r w:rsidRPr="00FD723C">
              <w:rPr>
                <w:rFonts w:ascii="Arial" w:hAnsi="Arial" w:cs="Arial"/>
                <w:sz w:val="16"/>
                <w:szCs w:val="16"/>
                <w:vertAlign w:val="superscript"/>
              </w:rPr>
              <w:footnoteReference w:id="126"/>
            </w:r>
          </w:p>
        </w:tc>
        <w:tc>
          <w:tcPr>
            <w:tcW w:w="1405" w:type="dxa"/>
            <w:gridSpan w:val="2"/>
            <w:shd w:val="clear" w:color="auto" w:fill="F2F2F2"/>
            <w:vAlign w:val="center"/>
          </w:tcPr>
          <w:p w14:paraId="3430C46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4DEC133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2011 (IV kw.)</w:t>
            </w:r>
          </w:p>
        </w:tc>
        <w:tc>
          <w:tcPr>
            <w:tcW w:w="1418" w:type="dxa"/>
            <w:shd w:val="clear" w:color="auto" w:fill="F2F2F2"/>
            <w:vAlign w:val="center"/>
          </w:tcPr>
          <w:p w14:paraId="74A8FBD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(IV kw.)</w:t>
            </w:r>
          </w:p>
        </w:tc>
        <w:tc>
          <w:tcPr>
            <w:tcW w:w="992" w:type="dxa"/>
            <w:shd w:val="clear" w:color="auto" w:fill="F2F2F2"/>
            <w:vAlign w:val="center"/>
          </w:tcPr>
          <w:p w14:paraId="11D34EE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28723C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62BA4818" w14:textId="77777777" w:rsidTr="001B2C4E">
        <w:trPr>
          <w:trHeight w:val="510"/>
        </w:trPr>
        <w:tc>
          <w:tcPr>
            <w:tcW w:w="709" w:type="dxa"/>
            <w:shd w:val="clear" w:color="auto" w:fill="F2F2F2"/>
            <w:vAlign w:val="center"/>
          </w:tcPr>
          <w:p w14:paraId="19152ED4"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5CB238E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linii kolejowej Warszawa - Łódź, etap II, Lot A - odcinek Warszawa Zachodnia Miedniewice (Skierniewice)</w:t>
            </w:r>
            <w:r w:rsidRPr="00FD723C">
              <w:rPr>
                <w:rFonts w:ascii="Arial" w:hAnsi="Arial" w:cs="Arial"/>
                <w:sz w:val="16"/>
                <w:szCs w:val="16"/>
                <w:vertAlign w:val="superscript"/>
              </w:rPr>
              <w:t xml:space="preserve"> </w:t>
            </w:r>
            <w:r w:rsidRPr="00FD723C">
              <w:rPr>
                <w:rFonts w:ascii="Arial" w:hAnsi="Arial" w:cs="Arial"/>
                <w:sz w:val="16"/>
                <w:szCs w:val="16"/>
                <w:vertAlign w:val="superscript"/>
              </w:rPr>
              <w:footnoteReference w:id="127"/>
            </w:r>
          </w:p>
        </w:tc>
        <w:tc>
          <w:tcPr>
            <w:tcW w:w="1405" w:type="dxa"/>
            <w:gridSpan w:val="2"/>
            <w:shd w:val="clear" w:color="auto" w:fill="F2F2F2"/>
            <w:vAlign w:val="center"/>
          </w:tcPr>
          <w:p w14:paraId="3C3DF77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304B929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2009 (IV kw.)</w:t>
            </w:r>
          </w:p>
        </w:tc>
        <w:tc>
          <w:tcPr>
            <w:tcW w:w="1418" w:type="dxa"/>
            <w:shd w:val="clear" w:color="auto" w:fill="F2F2F2"/>
            <w:vAlign w:val="center"/>
          </w:tcPr>
          <w:p w14:paraId="5E44203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(III kw.)</w:t>
            </w:r>
          </w:p>
        </w:tc>
        <w:tc>
          <w:tcPr>
            <w:tcW w:w="992" w:type="dxa"/>
            <w:shd w:val="clear" w:color="auto" w:fill="F2F2F2"/>
            <w:vAlign w:val="center"/>
          </w:tcPr>
          <w:p w14:paraId="7695E5D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F9FDBA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11C21873" w14:textId="77777777" w:rsidTr="001B2C4E">
        <w:trPr>
          <w:trHeight w:val="510"/>
        </w:trPr>
        <w:tc>
          <w:tcPr>
            <w:tcW w:w="709" w:type="dxa"/>
            <w:shd w:val="clear" w:color="auto" w:fill="F2F2F2"/>
            <w:vAlign w:val="center"/>
          </w:tcPr>
          <w:p w14:paraId="1F6CA400"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25DC615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linii kolejowej Warszawa - Łódź, etap II, Lot C - pozostałe roboty</w:t>
            </w:r>
            <w:r w:rsidRPr="00FD723C">
              <w:rPr>
                <w:rFonts w:ascii="Arial" w:hAnsi="Arial" w:cs="Arial"/>
                <w:sz w:val="16"/>
                <w:szCs w:val="16"/>
                <w:vertAlign w:val="superscript"/>
              </w:rPr>
              <w:footnoteReference w:id="128"/>
            </w:r>
          </w:p>
        </w:tc>
        <w:tc>
          <w:tcPr>
            <w:tcW w:w="1405" w:type="dxa"/>
            <w:gridSpan w:val="2"/>
            <w:shd w:val="clear" w:color="auto" w:fill="F2F2F2"/>
            <w:vAlign w:val="center"/>
          </w:tcPr>
          <w:p w14:paraId="128E986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037871F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2010 (II kw.)</w:t>
            </w:r>
          </w:p>
        </w:tc>
        <w:tc>
          <w:tcPr>
            <w:tcW w:w="1418" w:type="dxa"/>
            <w:shd w:val="clear" w:color="auto" w:fill="F2F2F2"/>
            <w:vAlign w:val="center"/>
          </w:tcPr>
          <w:p w14:paraId="3EB806F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(III kw.)</w:t>
            </w:r>
          </w:p>
        </w:tc>
        <w:tc>
          <w:tcPr>
            <w:tcW w:w="992" w:type="dxa"/>
            <w:shd w:val="clear" w:color="auto" w:fill="F2F2F2"/>
            <w:vAlign w:val="center"/>
          </w:tcPr>
          <w:p w14:paraId="34EEFD9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4F83E3A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615C6F7C" w14:textId="77777777" w:rsidTr="001B2C4E">
        <w:trPr>
          <w:trHeight w:val="510"/>
        </w:trPr>
        <w:tc>
          <w:tcPr>
            <w:tcW w:w="709" w:type="dxa"/>
            <w:shd w:val="clear" w:color="auto" w:fill="F2F2F2"/>
            <w:vAlign w:val="center"/>
          </w:tcPr>
          <w:p w14:paraId="5E30BAE2"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0E7E586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linii kolejowej E 30/C-E 30, odcinek Kraków-Rzeszów, etap III</w:t>
            </w:r>
            <w:r w:rsidRPr="00FD723C">
              <w:rPr>
                <w:rFonts w:ascii="Arial" w:hAnsi="Arial" w:cs="Arial"/>
                <w:sz w:val="16"/>
                <w:szCs w:val="16"/>
                <w:vertAlign w:val="superscript"/>
              </w:rPr>
              <w:footnoteReference w:id="129"/>
            </w:r>
          </w:p>
        </w:tc>
        <w:tc>
          <w:tcPr>
            <w:tcW w:w="1405" w:type="dxa"/>
            <w:gridSpan w:val="2"/>
            <w:shd w:val="clear" w:color="auto" w:fill="F2F2F2"/>
            <w:vAlign w:val="center"/>
          </w:tcPr>
          <w:p w14:paraId="20123B4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76785CF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2010 (II kw.)</w:t>
            </w:r>
          </w:p>
        </w:tc>
        <w:tc>
          <w:tcPr>
            <w:tcW w:w="1418" w:type="dxa"/>
            <w:shd w:val="clear" w:color="auto" w:fill="F2F2F2"/>
            <w:vAlign w:val="center"/>
          </w:tcPr>
          <w:p w14:paraId="02946C7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(IV kw.)</w:t>
            </w:r>
          </w:p>
        </w:tc>
        <w:tc>
          <w:tcPr>
            <w:tcW w:w="992" w:type="dxa"/>
            <w:shd w:val="clear" w:color="auto" w:fill="F2F2F2"/>
            <w:vAlign w:val="center"/>
          </w:tcPr>
          <w:p w14:paraId="131101B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E7CB5F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029DB208" w14:textId="77777777" w:rsidTr="001B2C4E">
        <w:trPr>
          <w:trHeight w:val="510"/>
        </w:trPr>
        <w:tc>
          <w:tcPr>
            <w:tcW w:w="709" w:type="dxa"/>
            <w:shd w:val="clear" w:color="auto" w:fill="F2F2F2"/>
            <w:vAlign w:val="center"/>
          </w:tcPr>
          <w:p w14:paraId="322DC3D6"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20BEAFC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Pomorska Kolej Metropolitalna Etap I – rewitalizacja „Kolei Kokoszkowskiej” Faza II – realizacja przedsięwzięcia</w:t>
            </w:r>
            <w:r w:rsidRPr="00FD723C">
              <w:rPr>
                <w:rFonts w:ascii="Arial" w:hAnsi="Arial" w:cs="Arial"/>
                <w:sz w:val="16"/>
                <w:szCs w:val="16"/>
                <w:vertAlign w:val="superscript"/>
              </w:rPr>
              <w:footnoteReference w:id="130"/>
            </w:r>
          </w:p>
        </w:tc>
        <w:tc>
          <w:tcPr>
            <w:tcW w:w="1405" w:type="dxa"/>
            <w:gridSpan w:val="2"/>
            <w:shd w:val="clear" w:color="auto" w:fill="F2F2F2"/>
            <w:vAlign w:val="center"/>
          </w:tcPr>
          <w:p w14:paraId="4E6A204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5864824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2010 (III kw.)</w:t>
            </w:r>
          </w:p>
        </w:tc>
        <w:tc>
          <w:tcPr>
            <w:tcW w:w="1418" w:type="dxa"/>
            <w:shd w:val="clear" w:color="auto" w:fill="F2F2F2"/>
            <w:vAlign w:val="center"/>
          </w:tcPr>
          <w:p w14:paraId="22E7CD9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992" w:type="dxa"/>
            <w:shd w:val="clear" w:color="auto" w:fill="F2F2F2"/>
            <w:vAlign w:val="center"/>
          </w:tcPr>
          <w:p w14:paraId="31C7F3B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7.iii.</w:t>
            </w:r>
          </w:p>
        </w:tc>
        <w:tc>
          <w:tcPr>
            <w:tcW w:w="992" w:type="dxa"/>
            <w:shd w:val="clear" w:color="auto" w:fill="F2F2F2"/>
            <w:vAlign w:val="center"/>
          </w:tcPr>
          <w:p w14:paraId="5EDDEB6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55ED23E7" w14:textId="77777777" w:rsidTr="001B2C4E">
        <w:trPr>
          <w:trHeight w:val="832"/>
        </w:trPr>
        <w:tc>
          <w:tcPr>
            <w:tcW w:w="709" w:type="dxa"/>
            <w:shd w:val="clear" w:color="auto" w:fill="F2F2F2"/>
            <w:vAlign w:val="center"/>
          </w:tcPr>
          <w:p w14:paraId="76C392ED"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48" w:type="dxa"/>
            <w:gridSpan w:val="4"/>
            <w:shd w:val="clear" w:color="auto" w:fill="F2F2F2"/>
            <w:vAlign w:val="center"/>
          </w:tcPr>
          <w:p w14:paraId="47E88CE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Projekt poprawy dostępu kolejowego do Portu Gdańsk (most + dwutorowa linia kolejowa)</w:t>
            </w:r>
            <w:r w:rsidRPr="00FD723C">
              <w:rPr>
                <w:rFonts w:ascii="Arial" w:hAnsi="Arial" w:cs="Arial"/>
                <w:sz w:val="16"/>
                <w:szCs w:val="16"/>
                <w:vertAlign w:val="superscript"/>
              </w:rPr>
              <w:t xml:space="preserve"> </w:t>
            </w:r>
            <w:r w:rsidRPr="00FD723C">
              <w:rPr>
                <w:rFonts w:ascii="Arial" w:hAnsi="Arial" w:cs="Arial"/>
                <w:sz w:val="16"/>
                <w:szCs w:val="16"/>
                <w:vertAlign w:val="superscript"/>
              </w:rPr>
              <w:footnoteReference w:id="131"/>
            </w:r>
          </w:p>
        </w:tc>
        <w:tc>
          <w:tcPr>
            <w:tcW w:w="1405" w:type="dxa"/>
            <w:gridSpan w:val="2"/>
            <w:shd w:val="clear" w:color="auto" w:fill="F2F2F2"/>
            <w:vAlign w:val="center"/>
          </w:tcPr>
          <w:p w14:paraId="3F716B2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7" w:type="dxa"/>
            <w:shd w:val="clear" w:color="auto" w:fill="F2F2F2"/>
            <w:vAlign w:val="center"/>
          </w:tcPr>
          <w:p w14:paraId="7D299C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2013 (I kw.)</w:t>
            </w:r>
          </w:p>
        </w:tc>
        <w:tc>
          <w:tcPr>
            <w:tcW w:w="1418" w:type="dxa"/>
            <w:shd w:val="clear" w:color="auto" w:fill="F2F2F2"/>
            <w:vAlign w:val="center"/>
          </w:tcPr>
          <w:p w14:paraId="40689D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2023 (III kw.)</w:t>
            </w:r>
          </w:p>
        </w:tc>
        <w:tc>
          <w:tcPr>
            <w:tcW w:w="992" w:type="dxa"/>
            <w:shd w:val="clear" w:color="auto" w:fill="F2F2F2"/>
            <w:vAlign w:val="center"/>
          </w:tcPr>
          <w:p w14:paraId="0871F91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176D449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31BA1061" w14:textId="77777777" w:rsidTr="001B2C4E">
        <w:trPr>
          <w:trHeight w:val="231"/>
        </w:trPr>
        <w:tc>
          <w:tcPr>
            <w:tcW w:w="9781" w:type="dxa"/>
            <w:gridSpan w:val="11"/>
            <w:shd w:val="clear" w:color="auto" w:fill="99CC00"/>
            <w:vAlign w:val="center"/>
          </w:tcPr>
          <w:p w14:paraId="058746F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b/>
                <w:sz w:val="16"/>
                <w:szCs w:val="16"/>
              </w:rPr>
              <w:t>PROJEKTY KOLEJOWE-POZOSTAŁE</w:t>
            </w:r>
          </w:p>
        </w:tc>
      </w:tr>
      <w:tr w:rsidR="00FD723C" w:rsidRPr="00FD723C" w14:paraId="290C56F6" w14:textId="77777777" w:rsidTr="001B2C4E">
        <w:trPr>
          <w:trHeight w:val="346"/>
        </w:trPr>
        <w:tc>
          <w:tcPr>
            <w:tcW w:w="709" w:type="dxa"/>
            <w:shd w:val="clear" w:color="auto" w:fill="F2F2F2"/>
            <w:vAlign w:val="center"/>
          </w:tcPr>
          <w:p w14:paraId="4A1317E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5987E6E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Prace na linii kolejowej nr 8, odcinek </w:t>
            </w:r>
            <w:r w:rsidRPr="00FD723C">
              <w:rPr>
                <w:rFonts w:ascii="Arial" w:hAnsi="Arial" w:cs="Arial"/>
                <w:sz w:val="16"/>
                <w:szCs w:val="16"/>
              </w:rPr>
              <w:lastRenderedPageBreak/>
              <w:t>Warka - Radom (Lot: C, D, E)</w:t>
            </w:r>
          </w:p>
        </w:tc>
        <w:tc>
          <w:tcPr>
            <w:tcW w:w="1451" w:type="dxa"/>
            <w:gridSpan w:val="5"/>
            <w:shd w:val="clear" w:color="auto" w:fill="F2F2F2"/>
            <w:vAlign w:val="center"/>
          </w:tcPr>
          <w:p w14:paraId="4DB1454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lastRenderedPageBreak/>
              <w:t>2018 (II kw.)</w:t>
            </w:r>
          </w:p>
        </w:tc>
        <w:tc>
          <w:tcPr>
            <w:tcW w:w="1417" w:type="dxa"/>
            <w:shd w:val="clear" w:color="auto" w:fill="F2F2F2"/>
            <w:vAlign w:val="center"/>
          </w:tcPr>
          <w:p w14:paraId="24BB216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2015 (IV kw.)</w:t>
            </w:r>
          </w:p>
        </w:tc>
        <w:tc>
          <w:tcPr>
            <w:tcW w:w="1418" w:type="dxa"/>
            <w:shd w:val="clear" w:color="auto" w:fill="F2F2F2"/>
            <w:vAlign w:val="center"/>
          </w:tcPr>
          <w:p w14:paraId="39FCAB1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2D3C0F7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42ACD2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0C0835FA" w14:textId="77777777" w:rsidTr="001B2C4E">
        <w:trPr>
          <w:trHeight w:val="560"/>
        </w:trPr>
        <w:tc>
          <w:tcPr>
            <w:tcW w:w="709" w:type="dxa"/>
            <w:shd w:val="clear" w:color="auto" w:fill="F2F2F2"/>
            <w:vAlign w:val="center"/>
          </w:tcPr>
          <w:p w14:paraId="5970EB77"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5C0614B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linii kolejowej nr 7 Warszawa Wschodnia Osobowa - Dorohusk na odcinku Warszawa -Otwock - Dęblin – Lublin – Etap I</w:t>
            </w:r>
          </w:p>
        </w:tc>
        <w:tc>
          <w:tcPr>
            <w:tcW w:w="1451" w:type="dxa"/>
            <w:gridSpan w:val="5"/>
            <w:shd w:val="clear" w:color="auto" w:fill="F2F2F2"/>
            <w:vAlign w:val="center"/>
          </w:tcPr>
          <w:p w14:paraId="70566EB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7" w:type="dxa"/>
            <w:shd w:val="clear" w:color="auto" w:fill="F2F2F2"/>
            <w:vAlign w:val="center"/>
          </w:tcPr>
          <w:p w14:paraId="3EE1B34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73A7742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(III kw.)</w:t>
            </w:r>
          </w:p>
        </w:tc>
        <w:tc>
          <w:tcPr>
            <w:tcW w:w="992" w:type="dxa"/>
            <w:shd w:val="clear" w:color="auto" w:fill="F2F2F2"/>
            <w:vAlign w:val="center"/>
          </w:tcPr>
          <w:p w14:paraId="7A1FA8F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BA24A4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038E81B8" w14:textId="77777777" w:rsidTr="001B2C4E">
        <w:trPr>
          <w:trHeight w:val="560"/>
        </w:trPr>
        <w:tc>
          <w:tcPr>
            <w:tcW w:w="709" w:type="dxa"/>
            <w:shd w:val="clear" w:color="auto" w:fill="F2F2F2"/>
            <w:vAlign w:val="center"/>
          </w:tcPr>
          <w:p w14:paraId="320B636E"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79F241D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linii kolejowej nr 7 Warszawa Wschodnia Osobowa - Dorohusk na odcinku Warszawa -Otwock - Dęblin – Lublin – Etap II</w:t>
            </w:r>
            <w:r w:rsidRPr="00FD723C">
              <w:rPr>
                <w:rFonts w:ascii="Arial" w:hAnsi="Arial" w:cs="Arial"/>
                <w:sz w:val="16"/>
                <w:szCs w:val="16"/>
                <w:vertAlign w:val="superscript"/>
              </w:rPr>
              <w:footnoteReference w:id="132"/>
            </w:r>
          </w:p>
        </w:tc>
        <w:tc>
          <w:tcPr>
            <w:tcW w:w="1451" w:type="dxa"/>
            <w:gridSpan w:val="5"/>
            <w:shd w:val="clear" w:color="auto" w:fill="F2F2F2"/>
            <w:vAlign w:val="center"/>
          </w:tcPr>
          <w:p w14:paraId="5DD579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7" w:type="dxa"/>
            <w:shd w:val="clear" w:color="auto" w:fill="F2F2F2"/>
            <w:vAlign w:val="center"/>
          </w:tcPr>
          <w:p w14:paraId="6190CEC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2019 (II kw.)</w:t>
            </w:r>
          </w:p>
        </w:tc>
        <w:tc>
          <w:tcPr>
            <w:tcW w:w="1418" w:type="dxa"/>
            <w:shd w:val="clear" w:color="auto" w:fill="F2F2F2"/>
            <w:vAlign w:val="center"/>
          </w:tcPr>
          <w:p w14:paraId="0B5A260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 kw.)</w:t>
            </w:r>
          </w:p>
        </w:tc>
        <w:tc>
          <w:tcPr>
            <w:tcW w:w="992" w:type="dxa"/>
            <w:shd w:val="clear" w:color="auto" w:fill="F2F2F2"/>
            <w:vAlign w:val="center"/>
          </w:tcPr>
          <w:p w14:paraId="1C70A93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2917727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106D7922" w14:textId="77777777" w:rsidTr="001B2C4E">
        <w:trPr>
          <w:trHeight w:val="573"/>
        </w:trPr>
        <w:tc>
          <w:tcPr>
            <w:tcW w:w="709" w:type="dxa"/>
            <w:shd w:val="clear" w:color="auto" w:fill="F2F2F2"/>
            <w:vAlign w:val="center"/>
          </w:tcPr>
          <w:p w14:paraId="0D131E74"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3183FAD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linii kolejowej nr 93 na odcinku Trzebinia - Oświęcim - Czechowice Dziedzice</w:t>
            </w:r>
          </w:p>
        </w:tc>
        <w:tc>
          <w:tcPr>
            <w:tcW w:w="1451" w:type="dxa"/>
            <w:gridSpan w:val="5"/>
            <w:shd w:val="clear" w:color="auto" w:fill="F2F2F2"/>
            <w:vAlign w:val="center"/>
          </w:tcPr>
          <w:p w14:paraId="2F3BEF5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 kw.)</w:t>
            </w:r>
          </w:p>
        </w:tc>
        <w:tc>
          <w:tcPr>
            <w:tcW w:w="1417" w:type="dxa"/>
            <w:shd w:val="clear" w:color="auto" w:fill="F2F2F2"/>
            <w:vAlign w:val="center"/>
          </w:tcPr>
          <w:p w14:paraId="295A9F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 kw.)</w:t>
            </w:r>
          </w:p>
        </w:tc>
        <w:tc>
          <w:tcPr>
            <w:tcW w:w="1418" w:type="dxa"/>
            <w:shd w:val="clear" w:color="auto" w:fill="F2F2F2"/>
            <w:vAlign w:val="center"/>
          </w:tcPr>
          <w:p w14:paraId="149373A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(III kw.)</w:t>
            </w:r>
          </w:p>
        </w:tc>
        <w:tc>
          <w:tcPr>
            <w:tcW w:w="992" w:type="dxa"/>
            <w:shd w:val="clear" w:color="auto" w:fill="F2F2F2"/>
            <w:vAlign w:val="center"/>
          </w:tcPr>
          <w:p w14:paraId="77C8E2F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0B9513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38722C6C" w14:textId="77777777" w:rsidTr="001B2C4E">
        <w:trPr>
          <w:trHeight w:val="573"/>
        </w:trPr>
        <w:tc>
          <w:tcPr>
            <w:tcW w:w="709" w:type="dxa"/>
            <w:shd w:val="clear" w:color="auto" w:fill="F2F2F2"/>
            <w:vAlign w:val="center"/>
          </w:tcPr>
          <w:p w14:paraId="52CCD236" w14:textId="77777777" w:rsidR="00FD723C" w:rsidRPr="00FD723C" w:rsidDel="00CB417E"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16A938B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linii średnicowej w Warszawie na odcinku Warszawa Wschodnia - Warszawa Zachodnia</w:t>
            </w:r>
            <w:r w:rsidRPr="00FD723C">
              <w:rPr>
                <w:rFonts w:ascii="Arial" w:hAnsi="Arial" w:cs="Arial"/>
                <w:sz w:val="16"/>
                <w:szCs w:val="16"/>
                <w:vertAlign w:val="superscript"/>
              </w:rPr>
              <w:footnoteReference w:id="133"/>
            </w:r>
          </w:p>
        </w:tc>
        <w:tc>
          <w:tcPr>
            <w:tcW w:w="1451" w:type="dxa"/>
            <w:gridSpan w:val="5"/>
            <w:shd w:val="clear" w:color="auto" w:fill="F2F2F2"/>
            <w:vAlign w:val="center"/>
          </w:tcPr>
          <w:p w14:paraId="74F06DF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1417" w:type="dxa"/>
            <w:shd w:val="clear" w:color="auto" w:fill="F2F2F2"/>
            <w:vAlign w:val="center"/>
          </w:tcPr>
          <w:p w14:paraId="46B74EC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 kw.)</w:t>
            </w:r>
          </w:p>
        </w:tc>
        <w:tc>
          <w:tcPr>
            <w:tcW w:w="1418" w:type="dxa"/>
            <w:shd w:val="clear" w:color="auto" w:fill="F2F2F2"/>
            <w:vAlign w:val="center"/>
          </w:tcPr>
          <w:p w14:paraId="0156356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634ACB9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477040C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6A192458" w14:textId="77777777" w:rsidTr="001B2C4E">
        <w:trPr>
          <w:trHeight w:val="573"/>
        </w:trPr>
        <w:tc>
          <w:tcPr>
            <w:tcW w:w="709" w:type="dxa"/>
            <w:shd w:val="clear" w:color="auto" w:fill="F2F2F2"/>
            <w:vAlign w:val="center"/>
          </w:tcPr>
          <w:p w14:paraId="0F1EF71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31F8F3C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linii kolejowej C-E 65 na odc. Chorzów Batory – Tarnowskie Góry – Karsznice – Inowrocław – Bydgoszcz – Maksymilianowo</w:t>
            </w:r>
            <w:r w:rsidRPr="00FD723C">
              <w:rPr>
                <w:rFonts w:ascii="Arial" w:hAnsi="Arial" w:cs="Arial"/>
                <w:sz w:val="16"/>
                <w:szCs w:val="16"/>
                <w:vertAlign w:val="superscript"/>
              </w:rPr>
              <w:footnoteReference w:id="134"/>
            </w:r>
          </w:p>
        </w:tc>
        <w:tc>
          <w:tcPr>
            <w:tcW w:w="1451" w:type="dxa"/>
            <w:gridSpan w:val="5"/>
            <w:shd w:val="clear" w:color="auto" w:fill="F2F2F2"/>
            <w:vAlign w:val="center"/>
          </w:tcPr>
          <w:p w14:paraId="36AC363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07A9970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8" w:type="dxa"/>
            <w:shd w:val="clear" w:color="auto" w:fill="F2F2F2"/>
            <w:vAlign w:val="center"/>
          </w:tcPr>
          <w:p w14:paraId="1014C63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0804BC1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38B09A3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53D73621" w14:textId="77777777" w:rsidTr="001B2C4E">
        <w:trPr>
          <w:trHeight w:val="573"/>
        </w:trPr>
        <w:tc>
          <w:tcPr>
            <w:tcW w:w="709" w:type="dxa"/>
            <w:shd w:val="clear" w:color="auto" w:fill="F2F2F2"/>
            <w:vAlign w:val="center"/>
          </w:tcPr>
          <w:p w14:paraId="6194212E" w14:textId="77777777" w:rsidR="00FD723C" w:rsidRPr="00FD723C" w:rsidDel="00CB417E"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0AC9BA0E" w14:textId="77777777" w:rsidR="00FD723C" w:rsidRPr="00FD723C" w:rsidDel="00CB417E" w:rsidRDefault="00FD723C" w:rsidP="00FD723C">
            <w:pPr>
              <w:spacing w:before="60" w:after="60"/>
              <w:jc w:val="center"/>
              <w:rPr>
                <w:rFonts w:ascii="Arial" w:hAnsi="Arial" w:cs="Arial"/>
                <w:sz w:val="16"/>
                <w:szCs w:val="16"/>
              </w:rPr>
            </w:pPr>
            <w:r w:rsidRPr="00FD723C">
              <w:rPr>
                <w:rFonts w:ascii="Arial" w:hAnsi="Arial" w:cs="Arial"/>
                <w:sz w:val="16"/>
                <w:szCs w:val="16"/>
              </w:rPr>
              <w:t>Udrożnienie Łódzkiego Węzła Kolejowego (TEN-T), etap II, odcinek Łódź Fabryczna - Łódź Kaliska/Łódź Żabieniec</w:t>
            </w:r>
            <w:r w:rsidRPr="00FD723C">
              <w:rPr>
                <w:rFonts w:ascii="Arial" w:hAnsi="Arial" w:cs="Arial"/>
                <w:sz w:val="16"/>
                <w:szCs w:val="16"/>
                <w:vertAlign w:val="superscript"/>
              </w:rPr>
              <w:footnoteReference w:id="135"/>
            </w:r>
          </w:p>
        </w:tc>
        <w:tc>
          <w:tcPr>
            <w:tcW w:w="1451" w:type="dxa"/>
            <w:gridSpan w:val="5"/>
            <w:shd w:val="clear" w:color="auto" w:fill="F2F2F2"/>
            <w:vAlign w:val="center"/>
          </w:tcPr>
          <w:p w14:paraId="77F3647A" w14:textId="77777777" w:rsidR="00FD723C" w:rsidRPr="00FD723C" w:rsidDel="00CB417E"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4F62A1C4" w14:textId="77777777" w:rsidR="00FD723C" w:rsidRPr="00FD723C" w:rsidDel="00CB417E"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8" w:type="dxa"/>
            <w:shd w:val="clear" w:color="auto" w:fill="F2F2F2"/>
            <w:vAlign w:val="center"/>
          </w:tcPr>
          <w:p w14:paraId="15E4C960" w14:textId="77777777" w:rsidR="00FD723C" w:rsidRPr="00FD723C" w:rsidDel="006202C3" w:rsidRDefault="00FD723C" w:rsidP="00FD723C">
            <w:pPr>
              <w:spacing w:before="60" w:after="60"/>
              <w:jc w:val="center"/>
              <w:rPr>
                <w:rFonts w:ascii="Arial" w:hAnsi="Arial" w:cs="Arial"/>
                <w:sz w:val="16"/>
                <w:szCs w:val="16"/>
              </w:rPr>
            </w:pPr>
            <w:r w:rsidRPr="00FD723C">
              <w:rPr>
                <w:rFonts w:ascii="Arial" w:hAnsi="Arial" w:cs="Arial"/>
                <w:sz w:val="16"/>
                <w:szCs w:val="16"/>
              </w:rPr>
              <w:t>2023 (I kw.)</w:t>
            </w:r>
          </w:p>
        </w:tc>
        <w:tc>
          <w:tcPr>
            <w:tcW w:w="992" w:type="dxa"/>
            <w:shd w:val="clear" w:color="auto" w:fill="F2F2F2"/>
            <w:vAlign w:val="center"/>
          </w:tcPr>
          <w:p w14:paraId="050E344E" w14:textId="77777777" w:rsidR="00FD723C" w:rsidRPr="00FD723C" w:rsidDel="00CB417E"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CF9524E" w14:textId="77777777" w:rsidR="00FD723C" w:rsidRPr="00FD723C" w:rsidDel="00CB417E"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577FFE14" w14:textId="77777777" w:rsidTr="001B2C4E">
        <w:trPr>
          <w:trHeight w:val="510"/>
        </w:trPr>
        <w:tc>
          <w:tcPr>
            <w:tcW w:w="709" w:type="dxa"/>
            <w:shd w:val="clear" w:color="auto" w:fill="F2F2F2"/>
            <w:vAlign w:val="center"/>
          </w:tcPr>
          <w:p w14:paraId="024467E2"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1551FF0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liniach kolejowych nr 140, 148, 157, 159, 173, 689, 691 na odcinku Chybie - Żory - Rybnik - Nędza / Turze</w:t>
            </w:r>
          </w:p>
        </w:tc>
        <w:tc>
          <w:tcPr>
            <w:tcW w:w="1451" w:type="dxa"/>
            <w:gridSpan w:val="5"/>
            <w:shd w:val="clear" w:color="auto" w:fill="F2F2F2"/>
            <w:vAlign w:val="center"/>
          </w:tcPr>
          <w:p w14:paraId="05B2672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r w:rsidRPr="00FD723C">
              <w:rPr>
                <w:rFonts w:ascii="Arial" w:hAnsi="Arial" w:cs="Arial"/>
                <w:sz w:val="16"/>
                <w:szCs w:val="16"/>
                <w:vertAlign w:val="superscript"/>
              </w:rPr>
              <w:t xml:space="preserve"> </w:t>
            </w:r>
          </w:p>
        </w:tc>
        <w:tc>
          <w:tcPr>
            <w:tcW w:w="1417" w:type="dxa"/>
            <w:shd w:val="clear" w:color="auto" w:fill="F2F2F2"/>
            <w:vAlign w:val="center"/>
          </w:tcPr>
          <w:p w14:paraId="282CDE7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5C5F997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5A8FCF2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7.iii.</w:t>
            </w:r>
          </w:p>
        </w:tc>
        <w:tc>
          <w:tcPr>
            <w:tcW w:w="992" w:type="dxa"/>
            <w:shd w:val="clear" w:color="auto" w:fill="F2F2F2"/>
            <w:vAlign w:val="center"/>
          </w:tcPr>
          <w:p w14:paraId="5A0A482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65C71A23" w14:textId="77777777" w:rsidTr="001B2C4E">
        <w:trPr>
          <w:trHeight w:val="400"/>
        </w:trPr>
        <w:tc>
          <w:tcPr>
            <w:tcW w:w="709" w:type="dxa"/>
            <w:shd w:val="clear" w:color="auto" w:fill="F2F2F2"/>
            <w:vAlign w:val="center"/>
          </w:tcPr>
          <w:p w14:paraId="64431849"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7D078C3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linii kolejowej nr 202 na odcinku Gdynia Chylonia - Słupsk</w:t>
            </w:r>
            <w:r w:rsidRPr="00FD723C">
              <w:rPr>
                <w:rFonts w:ascii="Arial" w:hAnsi="Arial" w:cs="Arial"/>
                <w:sz w:val="16"/>
                <w:szCs w:val="16"/>
                <w:vertAlign w:val="superscript"/>
              </w:rPr>
              <w:footnoteReference w:id="136"/>
            </w:r>
          </w:p>
        </w:tc>
        <w:tc>
          <w:tcPr>
            <w:tcW w:w="1451" w:type="dxa"/>
            <w:gridSpan w:val="5"/>
            <w:shd w:val="clear" w:color="auto" w:fill="F2F2F2"/>
            <w:vAlign w:val="center"/>
          </w:tcPr>
          <w:p w14:paraId="259C44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2022 (IV kw.) </w:t>
            </w:r>
          </w:p>
        </w:tc>
        <w:tc>
          <w:tcPr>
            <w:tcW w:w="1417" w:type="dxa"/>
            <w:shd w:val="clear" w:color="auto" w:fill="F2F2F2"/>
            <w:vAlign w:val="center"/>
          </w:tcPr>
          <w:p w14:paraId="76EA6CD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18" w:type="dxa"/>
            <w:shd w:val="clear" w:color="auto" w:fill="F2F2F2"/>
            <w:vAlign w:val="center"/>
          </w:tcPr>
          <w:p w14:paraId="1A5DC1E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19E4A07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72EC13F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2AC335A9" w14:textId="77777777" w:rsidTr="001B2C4E">
        <w:trPr>
          <w:trHeight w:val="513"/>
        </w:trPr>
        <w:tc>
          <w:tcPr>
            <w:tcW w:w="709" w:type="dxa"/>
            <w:shd w:val="clear" w:color="auto" w:fill="F2F2F2"/>
            <w:vAlign w:val="center"/>
          </w:tcPr>
          <w:p w14:paraId="22429319" w14:textId="77777777" w:rsidR="00FD723C" w:rsidRPr="00FD723C" w:rsidDel="00512033"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6F11EC83" w14:textId="77777777" w:rsidR="00FD723C" w:rsidRPr="00FD723C" w:rsidDel="00512033" w:rsidRDefault="00FD723C" w:rsidP="00FD723C">
            <w:pPr>
              <w:spacing w:before="60" w:after="60"/>
              <w:jc w:val="center"/>
              <w:rPr>
                <w:rFonts w:ascii="Arial" w:hAnsi="Arial" w:cs="Arial"/>
                <w:sz w:val="16"/>
                <w:szCs w:val="16"/>
              </w:rPr>
            </w:pPr>
            <w:r w:rsidRPr="00FD723C">
              <w:rPr>
                <w:rFonts w:ascii="Arial" w:hAnsi="Arial" w:cs="Arial"/>
                <w:sz w:val="16"/>
                <w:szCs w:val="16"/>
              </w:rPr>
              <w:t>Prace na linii kolejowej nr 38 na odcinku Ełk – Giżycko wraz z elektryfikacją</w:t>
            </w:r>
            <w:r w:rsidRPr="00FD723C">
              <w:rPr>
                <w:rFonts w:ascii="Arial" w:hAnsi="Arial" w:cs="Arial"/>
                <w:sz w:val="16"/>
                <w:szCs w:val="16"/>
                <w:vertAlign w:val="superscript"/>
              </w:rPr>
              <w:footnoteReference w:id="137"/>
            </w:r>
          </w:p>
        </w:tc>
        <w:tc>
          <w:tcPr>
            <w:tcW w:w="1451" w:type="dxa"/>
            <w:gridSpan w:val="5"/>
            <w:shd w:val="clear" w:color="auto" w:fill="F2F2F2"/>
            <w:vAlign w:val="center"/>
          </w:tcPr>
          <w:p w14:paraId="1DAB53E7" w14:textId="77777777" w:rsidR="00FD723C" w:rsidRPr="00FD723C" w:rsidDel="00512033" w:rsidRDefault="00FD723C" w:rsidP="00FD723C">
            <w:pPr>
              <w:spacing w:before="60" w:after="60"/>
              <w:jc w:val="center"/>
              <w:rPr>
                <w:rFonts w:ascii="Arial" w:hAnsi="Arial" w:cs="Arial"/>
                <w:sz w:val="16"/>
                <w:szCs w:val="16"/>
              </w:rPr>
            </w:pPr>
            <w:r w:rsidRPr="00FD723C">
              <w:rPr>
                <w:rFonts w:ascii="Arial" w:hAnsi="Arial" w:cs="Arial"/>
                <w:sz w:val="16"/>
                <w:szCs w:val="16"/>
              </w:rPr>
              <w:t>2022 (I kw.)</w:t>
            </w:r>
          </w:p>
        </w:tc>
        <w:tc>
          <w:tcPr>
            <w:tcW w:w="1417" w:type="dxa"/>
            <w:shd w:val="clear" w:color="auto" w:fill="F2F2F2"/>
            <w:vAlign w:val="center"/>
          </w:tcPr>
          <w:p w14:paraId="50BE9790" w14:textId="77777777" w:rsidR="00FD723C" w:rsidRPr="00FD723C" w:rsidDel="00512033"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2020 (II kw.) </w:t>
            </w:r>
          </w:p>
        </w:tc>
        <w:tc>
          <w:tcPr>
            <w:tcW w:w="1418" w:type="dxa"/>
            <w:shd w:val="clear" w:color="auto" w:fill="F2F2F2"/>
            <w:vAlign w:val="center"/>
          </w:tcPr>
          <w:p w14:paraId="3AC95690" w14:textId="77777777" w:rsidR="00FD723C" w:rsidRPr="00FD723C" w:rsidDel="00512033"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590AB7B0" w14:textId="77777777" w:rsidR="00FD723C" w:rsidRPr="00FD723C" w:rsidDel="00512033"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B35D1ED" w14:textId="77777777" w:rsidR="00FD723C" w:rsidRPr="00FD723C" w:rsidDel="00512033"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307B56A7" w14:textId="77777777" w:rsidTr="001B2C4E">
        <w:trPr>
          <w:trHeight w:val="510"/>
        </w:trPr>
        <w:tc>
          <w:tcPr>
            <w:tcW w:w="709" w:type="dxa"/>
            <w:shd w:val="clear" w:color="auto" w:fill="F2F2F2"/>
            <w:vAlign w:val="center"/>
          </w:tcPr>
          <w:p w14:paraId="1DEE4F97" w14:textId="77777777" w:rsidR="00FD723C" w:rsidRPr="00FD723C" w:rsidDel="00777852"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5A701A5D" w14:textId="77777777" w:rsidR="00FD723C" w:rsidRPr="00FD723C" w:rsidDel="00777852" w:rsidRDefault="00FD723C" w:rsidP="00FD723C">
            <w:pPr>
              <w:spacing w:before="60" w:after="60"/>
              <w:jc w:val="center"/>
              <w:rPr>
                <w:rFonts w:ascii="Arial" w:hAnsi="Arial" w:cs="Arial"/>
                <w:sz w:val="16"/>
                <w:szCs w:val="16"/>
              </w:rPr>
            </w:pPr>
            <w:r w:rsidRPr="00FD723C">
              <w:rPr>
                <w:rFonts w:ascii="Arial" w:hAnsi="Arial" w:cs="Arial"/>
                <w:sz w:val="16"/>
                <w:szCs w:val="16"/>
              </w:rPr>
              <w:t>Prace na liniach kolejowych nr 97, 98, 99 na odcinku Skawina - Sucha Beskidzka - Chabówka - Zakopane</w:t>
            </w:r>
          </w:p>
        </w:tc>
        <w:tc>
          <w:tcPr>
            <w:tcW w:w="1451" w:type="dxa"/>
            <w:gridSpan w:val="5"/>
            <w:shd w:val="clear" w:color="auto" w:fill="F2F2F2"/>
            <w:vAlign w:val="center"/>
          </w:tcPr>
          <w:p w14:paraId="19B038B4" w14:textId="77777777" w:rsidR="00FD723C" w:rsidRPr="00FD723C" w:rsidDel="00777852"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17" w:type="dxa"/>
            <w:shd w:val="clear" w:color="auto" w:fill="F2F2F2"/>
            <w:vAlign w:val="center"/>
          </w:tcPr>
          <w:p w14:paraId="187C1FD8" w14:textId="77777777" w:rsidR="00FD723C" w:rsidRPr="00FD723C" w:rsidDel="00777852"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8" w:type="dxa"/>
            <w:shd w:val="clear" w:color="auto" w:fill="F2F2F2"/>
            <w:vAlign w:val="center"/>
          </w:tcPr>
          <w:p w14:paraId="6CDE5BC3" w14:textId="77777777" w:rsidR="00FD723C" w:rsidRPr="00FD723C" w:rsidDel="00777852"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29732DD2" w14:textId="77777777" w:rsidR="00FD723C" w:rsidRPr="00FD723C" w:rsidDel="00777852" w:rsidRDefault="00FD723C" w:rsidP="00FD723C">
            <w:pPr>
              <w:spacing w:before="60" w:after="60"/>
              <w:jc w:val="center"/>
              <w:rPr>
                <w:rFonts w:ascii="Arial" w:hAnsi="Arial" w:cs="Arial"/>
                <w:sz w:val="16"/>
                <w:szCs w:val="16"/>
              </w:rPr>
            </w:pPr>
            <w:r w:rsidRPr="00FD723C">
              <w:rPr>
                <w:rFonts w:ascii="Arial" w:hAnsi="Arial" w:cs="Arial"/>
                <w:sz w:val="16"/>
                <w:szCs w:val="16"/>
              </w:rPr>
              <w:t>7.iii.</w:t>
            </w:r>
          </w:p>
        </w:tc>
        <w:tc>
          <w:tcPr>
            <w:tcW w:w="992" w:type="dxa"/>
            <w:shd w:val="clear" w:color="auto" w:fill="F2F2F2"/>
            <w:vAlign w:val="center"/>
          </w:tcPr>
          <w:p w14:paraId="42B18D02" w14:textId="77777777" w:rsidR="00FD723C" w:rsidRPr="00FD723C" w:rsidDel="00777852"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7984246A" w14:textId="77777777" w:rsidTr="001B2C4E">
        <w:trPr>
          <w:trHeight w:val="567"/>
        </w:trPr>
        <w:tc>
          <w:tcPr>
            <w:tcW w:w="709" w:type="dxa"/>
            <w:shd w:val="clear" w:color="auto" w:fill="F2F2F2"/>
            <w:vAlign w:val="center"/>
          </w:tcPr>
          <w:p w14:paraId="06B7FEBE"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5BB469B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Prace na alternatywnym ciągu transportowym Bydgoszcz - Trójmiasto</w:t>
            </w:r>
            <w:r w:rsidRPr="00FD723C">
              <w:rPr>
                <w:rFonts w:ascii="Arial" w:hAnsi="Arial" w:cs="Arial"/>
                <w:sz w:val="16"/>
                <w:szCs w:val="16"/>
                <w:vertAlign w:val="superscript"/>
              </w:rPr>
              <w:footnoteReference w:id="138"/>
            </w:r>
          </w:p>
        </w:tc>
        <w:tc>
          <w:tcPr>
            <w:tcW w:w="1451" w:type="dxa"/>
            <w:gridSpan w:val="5"/>
            <w:shd w:val="clear" w:color="auto" w:fill="F2F2F2"/>
            <w:vAlign w:val="center"/>
          </w:tcPr>
          <w:p w14:paraId="3349194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1417" w:type="dxa"/>
            <w:shd w:val="clear" w:color="auto" w:fill="F2F2F2"/>
            <w:vAlign w:val="center"/>
          </w:tcPr>
          <w:p w14:paraId="165C8E2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(II kw.)</w:t>
            </w:r>
          </w:p>
        </w:tc>
        <w:tc>
          <w:tcPr>
            <w:tcW w:w="1418" w:type="dxa"/>
            <w:shd w:val="clear" w:color="auto" w:fill="F2F2F2"/>
            <w:vAlign w:val="center"/>
          </w:tcPr>
          <w:p w14:paraId="77C6D06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2134DB0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03C3619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7960CF40" w14:textId="77777777" w:rsidTr="001B2C4E">
        <w:trPr>
          <w:trHeight w:val="567"/>
        </w:trPr>
        <w:tc>
          <w:tcPr>
            <w:tcW w:w="709" w:type="dxa"/>
            <w:shd w:val="clear" w:color="auto" w:fill="F2F2F2"/>
            <w:vAlign w:val="center"/>
          </w:tcPr>
          <w:p w14:paraId="5D75DDAF"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0DC6611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Zakup 16 sztuk nowych pięcioczłonowych Elektrycznych Zespołów Trakcyjnych</w:t>
            </w:r>
            <w:r w:rsidRPr="00FD723C">
              <w:rPr>
                <w:rFonts w:ascii="Arial" w:hAnsi="Arial" w:cs="Arial"/>
                <w:sz w:val="16"/>
                <w:szCs w:val="16"/>
                <w:vertAlign w:val="superscript"/>
              </w:rPr>
              <w:footnoteReference w:id="139"/>
            </w:r>
          </w:p>
        </w:tc>
        <w:tc>
          <w:tcPr>
            <w:tcW w:w="1451" w:type="dxa"/>
            <w:gridSpan w:val="5"/>
            <w:shd w:val="clear" w:color="auto" w:fill="F2F2F2"/>
            <w:vAlign w:val="center"/>
          </w:tcPr>
          <w:p w14:paraId="0E86582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7" w:type="dxa"/>
            <w:shd w:val="clear" w:color="auto" w:fill="F2F2F2"/>
            <w:vAlign w:val="center"/>
          </w:tcPr>
          <w:p w14:paraId="52F1035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0319463F" w14:textId="77777777" w:rsidR="00FD723C" w:rsidRPr="00FD723C" w:rsidRDefault="00FD723C" w:rsidP="00FD723C">
            <w:pPr>
              <w:spacing w:before="60" w:after="60"/>
              <w:jc w:val="center"/>
              <w:rPr>
                <w:rFonts w:cs="Arial"/>
                <w:sz w:val="16"/>
                <w:szCs w:val="16"/>
              </w:rPr>
            </w:pPr>
            <w:r w:rsidRPr="00FD723C">
              <w:rPr>
                <w:rFonts w:ascii="Arial" w:hAnsi="Arial" w:cs="Arial"/>
                <w:sz w:val="16"/>
                <w:szCs w:val="16"/>
              </w:rPr>
              <w:t>2023 (III kw.)</w:t>
            </w:r>
          </w:p>
        </w:tc>
        <w:tc>
          <w:tcPr>
            <w:tcW w:w="992" w:type="dxa"/>
            <w:shd w:val="clear" w:color="auto" w:fill="F2F2F2"/>
            <w:vAlign w:val="center"/>
          </w:tcPr>
          <w:p w14:paraId="7BA8901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7.iii.</w:t>
            </w:r>
          </w:p>
        </w:tc>
        <w:tc>
          <w:tcPr>
            <w:tcW w:w="992" w:type="dxa"/>
            <w:shd w:val="clear" w:color="auto" w:fill="F2F2F2"/>
            <w:vAlign w:val="center"/>
          </w:tcPr>
          <w:p w14:paraId="0CAD8F5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351BB472" w14:textId="77777777" w:rsidTr="001B2C4E">
        <w:trPr>
          <w:trHeight w:val="567"/>
        </w:trPr>
        <w:tc>
          <w:tcPr>
            <w:tcW w:w="709" w:type="dxa"/>
            <w:shd w:val="clear" w:color="auto" w:fill="F2F2F2"/>
            <w:vAlign w:val="center"/>
          </w:tcPr>
          <w:p w14:paraId="11FBB18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7FD561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Rozszerzenie potencjału przewozowego kolei metropolitarnej na terenie Warszawskiego Obszaru Funkcjonalnego - etap I</w:t>
            </w:r>
            <w:r w:rsidRPr="00FD723C">
              <w:rPr>
                <w:rFonts w:ascii="Arial" w:hAnsi="Arial" w:cs="Arial"/>
                <w:sz w:val="16"/>
                <w:szCs w:val="16"/>
                <w:vertAlign w:val="superscript"/>
              </w:rPr>
              <w:footnoteReference w:id="140"/>
            </w:r>
          </w:p>
        </w:tc>
        <w:tc>
          <w:tcPr>
            <w:tcW w:w="1451" w:type="dxa"/>
            <w:gridSpan w:val="5"/>
            <w:shd w:val="clear" w:color="auto" w:fill="F2F2F2"/>
            <w:vAlign w:val="center"/>
          </w:tcPr>
          <w:p w14:paraId="37F8281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7" w:type="dxa"/>
            <w:shd w:val="clear" w:color="auto" w:fill="F2F2F2"/>
            <w:vAlign w:val="center"/>
          </w:tcPr>
          <w:p w14:paraId="4627504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 kw.)</w:t>
            </w:r>
          </w:p>
        </w:tc>
        <w:tc>
          <w:tcPr>
            <w:tcW w:w="1418" w:type="dxa"/>
            <w:shd w:val="clear" w:color="auto" w:fill="F2F2F2"/>
            <w:vAlign w:val="center"/>
          </w:tcPr>
          <w:p w14:paraId="6D3F7DA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37C50D1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7.iii.</w:t>
            </w:r>
          </w:p>
        </w:tc>
        <w:tc>
          <w:tcPr>
            <w:tcW w:w="992" w:type="dxa"/>
            <w:shd w:val="clear" w:color="auto" w:fill="F2F2F2"/>
            <w:vAlign w:val="center"/>
          </w:tcPr>
          <w:p w14:paraId="1D93406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615B5BF1" w14:textId="77777777" w:rsidTr="001B2C4E">
        <w:trPr>
          <w:trHeight w:val="567"/>
        </w:trPr>
        <w:tc>
          <w:tcPr>
            <w:tcW w:w="709" w:type="dxa"/>
            <w:shd w:val="clear" w:color="auto" w:fill="F2F2F2"/>
            <w:vAlign w:val="center"/>
          </w:tcPr>
          <w:p w14:paraId="02E65641"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5987B11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Kolej na dobre połączenia – unowocześnienie wagonów i lokomotyw dla PKP Intercity S.A.</w:t>
            </w:r>
            <w:r w:rsidRPr="00FD723C">
              <w:rPr>
                <w:rFonts w:ascii="Arial" w:hAnsi="Arial" w:cs="Arial"/>
                <w:sz w:val="16"/>
                <w:szCs w:val="16"/>
                <w:vertAlign w:val="superscript"/>
              </w:rPr>
              <w:footnoteReference w:id="141"/>
            </w:r>
          </w:p>
        </w:tc>
        <w:tc>
          <w:tcPr>
            <w:tcW w:w="1451" w:type="dxa"/>
            <w:gridSpan w:val="5"/>
            <w:shd w:val="clear" w:color="auto" w:fill="F2F2F2"/>
            <w:vAlign w:val="center"/>
          </w:tcPr>
          <w:p w14:paraId="45A2738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7" w:type="dxa"/>
            <w:shd w:val="clear" w:color="auto" w:fill="F2F2F2"/>
            <w:vAlign w:val="center"/>
          </w:tcPr>
          <w:p w14:paraId="043742F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 kw.)</w:t>
            </w:r>
          </w:p>
        </w:tc>
        <w:tc>
          <w:tcPr>
            <w:tcW w:w="1418" w:type="dxa"/>
            <w:shd w:val="clear" w:color="auto" w:fill="F2F2F2"/>
            <w:vAlign w:val="center"/>
          </w:tcPr>
          <w:p w14:paraId="57118CD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575434D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47D2E0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5898D3EC" w14:textId="77777777" w:rsidTr="001B2C4E">
        <w:trPr>
          <w:trHeight w:val="567"/>
        </w:trPr>
        <w:tc>
          <w:tcPr>
            <w:tcW w:w="709" w:type="dxa"/>
            <w:shd w:val="clear" w:color="auto" w:fill="F2F2F2"/>
            <w:vAlign w:val="center"/>
          </w:tcPr>
          <w:p w14:paraId="08E31C7F"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0BC8F5D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Przyspieszamy komfortowo – unowocześnienie wagonów i zakup lokomotyw dla PKP Intercity S.A.</w:t>
            </w:r>
            <w:r w:rsidRPr="00FD723C">
              <w:rPr>
                <w:rFonts w:ascii="Arial" w:hAnsi="Arial" w:cs="Arial"/>
                <w:sz w:val="16"/>
                <w:szCs w:val="16"/>
                <w:vertAlign w:val="superscript"/>
              </w:rPr>
              <w:footnoteReference w:id="142"/>
            </w:r>
          </w:p>
        </w:tc>
        <w:tc>
          <w:tcPr>
            <w:tcW w:w="1451" w:type="dxa"/>
            <w:gridSpan w:val="5"/>
            <w:shd w:val="clear" w:color="auto" w:fill="F2F2F2"/>
            <w:vAlign w:val="center"/>
          </w:tcPr>
          <w:p w14:paraId="378C6B2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7" w:type="dxa"/>
            <w:shd w:val="clear" w:color="auto" w:fill="F2F2F2"/>
            <w:vAlign w:val="center"/>
          </w:tcPr>
          <w:p w14:paraId="20F6E75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 kw.)</w:t>
            </w:r>
          </w:p>
        </w:tc>
        <w:tc>
          <w:tcPr>
            <w:tcW w:w="1418" w:type="dxa"/>
            <w:shd w:val="clear" w:color="auto" w:fill="F2F2F2"/>
            <w:vAlign w:val="center"/>
          </w:tcPr>
          <w:p w14:paraId="3B16F03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7A0968F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560D559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5B86972F" w14:textId="77777777" w:rsidTr="001B2C4E">
        <w:trPr>
          <w:trHeight w:val="567"/>
        </w:trPr>
        <w:tc>
          <w:tcPr>
            <w:tcW w:w="709" w:type="dxa"/>
            <w:shd w:val="clear" w:color="auto" w:fill="F2F2F2"/>
            <w:vAlign w:val="center"/>
          </w:tcPr>
          <w:p w14:paraId="7A06F7A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785873B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Szczecińskiej Kolei Metropolitalnej z wykorzystaniem istniejących odcinków linii kolejowych Nr 406, 273, 351</w:t>
            </w:r>
            <w:r w:rsidRPr="00FD723C">
              <w:rPr>
                <w:rFonts w:ascii="Arial" w:hAnsi="Arial" w:cs="Arial"/>
                <w:sz w:val="16"/>
                <w:szCs w:val="16"/>
                <w:vertAlign w:val="superscript"/>
              </w:rPr>
              <w:footnoteReference w:id="143"/>
            </w:r>
          </w:p>
        </w:tc>
        <w:tc>
          <w:tcPr>
            <w:tcW w:w="1451" w:type="dxa"/>
            <w:gridSpan w:val="5"/>
            <w:shd w:val="clear" w:color="auto" w:fill="F2F2F2"/>
            <w:vAlign w:val="center"/>
          </w:tcPr>
          <w:p w14:paraId="745D66B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7" w:type="dxa"/>
            <w:shd w:val="clear" w:color="auto" w:fill="F2F2F2"/>
            <w:vAlign w:val="center"/>
          </w:tcPr>
          <w:p w14:paraId="3E3B405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8" w:type="dxa"/>
            <w:shd w:val="clear" w:color="auto" w:fill="F2F2F2"/>
            <w:vAlign w:val="center"/>
          </w:tcPr>
          <w:p w14:paraId="0220482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shd w:val="clear" w:color="auto" w:fill="F2F2F2"/>
            <w:vAlign w:val="center"/>
          </w:tcPr>
          <w:p w14:paraId="2B7D1EB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7.iii.</w:t>
            </w:r>
          </w:p>
        </w:tc>
        <w:tc>
          <w:tcPr>
            <w:tcW w:w="992" w:type="dxa"/>
            <w:shd w:val="clear" w:color="auto" w:fill="F2F2F2"/>
            <w:vAlign w:val="center"/>
          </w:tcPr>
          <w:p w14:paraId="7A1039C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025DAF26" w14:textId="77777777" w:rsidTr="001B2C4E">
        <w:trPr>
          <w:trHeight w:val="567"/>
        </w:trPr>
        <w:tc>
          <w:tcPr>
            <w:tcW w:w="709" w:type="dxa"/>
            <w:shd w:val="clear" w:color="auto" w:fill="F2F2F2"/>
            <w:vAlign w:val="center"/>
          </w:tcPr>
          <w:p w14:paraId="5562CFF2"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02" w:type="dxa"/>
            <w:shd w:val="clear" w:color="auto" w:fill="F2F2F2"/>
            <w:vAlign w:val="center"/>
          </w:tcPr>
          <w:p w14:paraId="4AD06A0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Rewitalizacja i odbudowa częściowo nieczynnej linii kolejowej nr 182 Tarnowskie Góry - Zawiercie</w:t>
            </w:r>
            <w:r w:rsidRPr="00FD723C">
              <w:rPr>
                <w:rFonts w:ascii="Arial" w:hAnsi="Arial" w:cs="Arial"/>
                <w:sz w:val="16"/>
                <w:szCs w:val="16"/>
                <w:vertAlign w:val="superscript"/>
              </w:rPr>
              <w:footnoteReference w:id="144"/>
            </w:r>
          </w:p>
        </w:tc>
        <w:tc>
          <w:tcPr>
            <w:tcW w:w="1451" w:type="dxa"/>
            <w:gridSpan w:val="5"/>
            <w:shd w:val="clear" w:color="auto" w:fill="F2F2F2"/>
            <w:vAlign w:val="center"/>
          </w:tcPr>
          <w:p w14:paraId="387F823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0EB2D69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18" w:type="dxa"/>
            <w:shd w:val="clear" w:color="auto" w:fill="F2F2F2"/>
            <w:vAlign w:val="center"/>
          </w:tcPr>
          <w:p w14:paraId="7DDE2BB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(III kw.)</w:t>
            </w:r>
          </w:p>
        </w:tc>
        <w:tc>
          <w:tcPr>
            <w:tcW w:w="992" w:type="dxa"/>
            <w:shd w:val="clear" w:color="auto" w:fill="F2F2F2"/>
            <w:vAlign w:val="center"/>
          </w:tcPr>
          <w:p w14:paraId="4F3F669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7.iii.</w:t>
            </w:r>
          </w:p>
        </w:tc>
        <w:tc>
          <w:tcPr>
            <w:tcW w:w="992" w:type="dxa"/>
            <w:shd w:val="clear" w:color="auto" w:fill="F2F2F2"/>
            <w:vAlign w:val="center"/>
          </w:tcPr>
          <w:p w14:paraId="4E50872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4393E7AD" w14:textId="77777777" w:rsidTr="001B2C4E">
        <w:trPr>
          <w:trHeight w:val="217"/>
        </w:trPr>
        <w:tc>
          <w:tcPr>
            <w:tcW w:w="9781" w:type="dxa"/>
            <w:gridSpan w:val="11"/>
            <w:shd w:val="clear" w:color="auto" w:fill="99CC00"/>
            <w:vAlign w:val="center"/>
          </w:tcPr>
          <w:p w14:paraId="5F14FF5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b/>
                <w:sz w:val="16"/>
                <w:szCs w:val="16"/>
              </w:rPr>
              <w:t>PROJEKTY DOTYCZĄCE TRANSPORTU MORSKIEGO, ŚRÓDLĄDOWEGO I INTERMODALNEGO</w:t>
            </w:r>
          </w:p>
        </w:tc>
      </w:tr>
      <w:tr w:rsidR="00FD723C" w:rsidRPr="00FD723C" w14:paraId="265FCF6B" w14:textId="77777777" w:rsidTr="001B2C4E">
        <w:trPr>
          <w:trHeight w:val="55"/>
        </w:trPr>
        <w:tc>
          <w:tcPr>
            <w:tcW w:w="709" w:type="dxa"/>
            <w:shd w:val="clear" w:color="auto" w:fill="F2F2F2"/>
            <w:vAlign w:val="center"/>
          </w:tcPr>
          <w:p w14:paraId="1C2B9E22"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27" w:type="dxa"/>
            <w:gridSpan w:val="2"/>
            <w:shd w:val="clear" w:color="auto" w:fill="F2F2F2"/>
            <w:vAlign w:val="center"/>
          </w:tcPr>
          <w:p w14:paraId="505E405D" w14:textId="77777777" w:rsidR="00FD723C" w:rsidRPr="00FD723C" w:rsidRDefault="00FD723C" w:rsidP="00FD723C">
            <w:pPr>
              <w:spacing w:before="60" w:after="60"/>
              <w:ind w:left="317" w:hanging="317"/>
              <w:jc w:val="center"/>
              <w:rPr>
                <w:rFonts w:ascii="Arial" w:hAnsi="Arial" w:cs="Arial"/>
                <w:sz w:val="16"/>
                <w:szCs w:val="16"/>
              </w:rPr>
            </w:pPr>
            <w:r w:rsidRPr="00FD723C">
              <w:rPr>
                <w:rFonts w:ascii="Arial" w:hAnsi="Arial" w:cs="Arial"/>
                <w:sz w:val="16"/>
                <w:szCs w:val="16"/>
              </w:rPr>
              <w:t>Modernizacja toru wodnego Świnoujście - Szczecin do głębokości 12,5m</w:t>
            </w:r>
          </w:p>
        </w:tc>
        <w:tc>
          <w:tcPr>
            <w:tcW w:w="1426" w:type="dxa"/>
            <w:gridSpan w:val="4"/>
            <w:shd w:val="clear" w:color="auto" w:fill="F2F2F2"/>
            <w:vAlign w:val="center"/>
          </w:tcPr>
          <w:p w14:paraId="4AD80A9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5D1B6F1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2017 (IV kw.)</w:t>
            </w:r>
          </w:p>
        </w:tc>
        <w:tc>
          <w:tcPr>
            <w:tcW w:w="1418" w:type="dxa"/>
            <w:shd w:val="clear" w:color="auto" w:fill="F2F2F2"/>
            <w:vAlign w:val="center"/>
          </w:tcPr>
          <w:p w14:paraId="00829C1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2DAA7E5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w:t>
            </w:r>
          </w:p>
        </w:tc>
        <w:tc>
          <w:tcPr>
            <w:tcW w:w="992" w:type="dxa"/>
            <w:shd w:val="clear" w:color="auto" w:fill="F2F2F2"/>
            <w:vAlign w:val="center"/>
          </w:tcPr>
          <w:p w14:paraId="00BE7A2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024DB70" w14:textId="77777777" w:rsidTr="001B2C4E">
        <w:trPr>
          <w:trHeight w:val="408"/>
        </w:trPr>
        <w:tc>
          <w:tcPr>
            <w:tcW w:w="709" w:type="dxa"/>
            <w:shd w:val="clear" w:color="auto" w:fill="F2F2F2"/>
            <w:vAlign w:val="center"/>
          </w:tcPr>
          <w:p w14:paraId="44A4F707"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27" w:type="dxa"/>
            <w:gridSpan w:val="2"/>
            <w:shd w:val="clear" w:color="auto" w:fill="F2F2F2"/>
            <w:vAlign w:val="center"/>
          </w:tcPr>
          <w:p w14:paraId="07A5A941" w14:textId="77777777" w:rsidR="00FD723C" w:rsidRPr="00FD723C" w:rsidRDefault="00FD723C" w:rsidP="00FD723C">
            <w:pPr>
              <w:spacing w:before="60" w:after="60"/>
              <w:jc w:val="center"/>
              <w:rPr>
                <w:rFonts w:ascii="Arial" w:hAnsi="Arial" w:cs="Arial"/>
                <w:sz w:val="16"/>
                <w:szCs w:val="16"/>
              </w:rPr>
            </w:pPr>
            <w:r w:rsidRPr="00FD723C">
              <w:t xml:space="preserve"> </w:t>
            </w:r>
            <w:r w:rsidRPr="00FD723C">
              <w:rPr>
                <w:rFonts w:ascii="Arial" w:hAnsi="Arial" w:cs="Arial"/>
                <w:sz w:val="16"/>
                <w:szCs w:val="16"/>
              </w:rPr>
              <w:t>Modernizacja układu falochronów osłonowych w Porcie Północnym w Gdańsku</w:t>
            </w:r>
          </w:p>
        </w:tc>
        <w:tc>
          <w:tcPr>
            <w:tcW w:w="1426" w:type="dxa"/>
            <w:gridSpan w:val="4"/>
            <w:shd w:val="clear" w:color="auto" w:fill="F2F2F2"/>
            <w:vAlign w:val="center"/>
          </w:tcPr>
          <w:p w14:paraId="795AD0B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2C050B5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2017 (III kw.)</w:t>
            </w:r>
          </w:p>
        </w:tc>
        <w:tc>
          <w:tcPr>
            <w:tcW w:w="1418" w:type="dxa"/>
            <w:shd w:val="clear" w:color="auto" w:fill="F2F2F2"/>
            <w:vAlign w:val="center"/>
          </w:tcPr>
          <w:p w14:paraId="5890D7F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2023 (I kw.)</w:t>
            </w:r>
          </w:p>
        </w:tc>
        <w:tc>
          <w:tcPr>
            <w:tcW w:w="992" w:type="dxa"/>
            <w:shd w:val="clear" w:color="auto" w:fill="F2F2F2"/>
            <w:vAlign w:val="center"/>
          </w:tcPr>
          <w:p w14:paraId="47B9933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w:t>
            </w:r>
          </w:p>
        </w:tc>
        <w:tc>
          <w:tcPr>
            <w:tcW w:w="992" w:type="dxa"/>
            <w:shd w:val="clear" w:color="auto" w:fill="F2F2F2"/>
            <w:vAlign w:val="center"/>
          </w:tcPr>
          <w:p w14:paraId="355099B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0402B91" w14:textId="77777777" w:rsidTr="001B2C4E">
        <w:trPr>
          <w:trHeight w:val="375"/>
        </w:trPr>
        <w:tc>
          <w:tcPr>
            <w:tcW w:w="709" w:type="dxa"/>
            <w:shd w:val="clear" w:color="auto" w:fill="F2F2F2"/>
            <w:vAlign w:val="center"/>
          </w:tcPr>
          <w:p w14:paraId="5103441C"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27" w:type="dxa"/>
            <w:gridSpan w:val="2"/>
            <w:shd w:val="clear" w:color="auto" w:fill="F2F2F2"/>
            <w:vAlign w:val="center"/>
          </w:tcPr>
          <w:p w14:paraId="0558B9B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Poprawa dostępu do portu w Szczecinie w rejonie Kanału Dębickiego</w:t>
            </w:r>
          </w:p>
        </w:tc>
        <w:tc>
          <w:tcPr>
            <w:tcW w:w="1426" w:type="dxa"/>
            <w:gridSpan w:val="4"/>
            <w:shd w:val="clear" w:color="auto" w:fill="F2F2F2"/>
            <w:vAlign w:val="center"/>
          </w:tcPr>
          <w:p w14:paraId="37D98FA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17" w:type="dxa"/>
            <w:shd w:val="clear" w:color="auto" w:fill="F2F2F2"/>
            <w:vAlign w:val="center"/>
          </w:tcPr>
          <w:p w14:paraId="3067C76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2019 (II kw.)</w:t>
            </w:r>
          </w:p>
        </w:tc>
        <w:tc>
          <w:tcPr>
            <w:tcW w:w="1418" w:type="dxa"/>
            <w:shd w:val="clear" w:color="auto" w:fill="F2F2F2"/>
            <w:vAlign w:val="center"/>
          </w:tcPr>
          <w:p w14:paraId="185A02A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 kw.)</w:t>
            </w:r>
          </w:p>
        </w:tc>
        <w:tc>
          <w:tcPr>
            <w:tcW w:w="992" w:type="dxa"/>
            <w:shd w:val="clear" w:color="auto" w:fill="F2F2F2"/>
            <w:vAlign w:val="center"/>
          </w:tcPr>
          <w:p w14:paraId="50239B2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w:t>
            </w:r>
          </w:p>
        </w:tc>
        <w:tc>
          <w:tcPr>
            <w:tcW w:w="992" w:type="dxa"/>
            <w:shd w:val="clear" w:color="auto" w:fill="F2F2F2"/>
            <w:vAlign w:val="center"/>
          </w:tcPr>
          <w:p w14:paraId="0103F7A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138FF741" w14:textId="77777777" w:rsidTr="001B2C4E">
        <w:trPr>
          <w:trHeight w:val="375"/>
        </w:trPr>
        <w:tc>
          <w:tcPr>
            <w:tcW w:w="709" w:type="dxa"/>
            <w:shd w:val="clear" w:color="auto" w:fill="F2F2F2"/>
            <w:vAlign w:val="center"/>
          </w:tcPr>
          <w:p w14:paraId="08D41D1E"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27" w:type="dxa"/>
            <w:gridSpan w:val="2"/>
            <w:shd w:val="clear" w:color="auto" w:fill="F2F2F2"/>
            <w:vAlign w:val="center"/>
          </w:tcPr>
          <w:p w14:paraId="4C6DB2C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Pogłębianie toru </w:t>
            </w:r>
            <w:proofErr w:type="spellStart"/>
            <w:r w:rsidRPr="00FD723C">
              <w:rPr>
                <w:rFonts w:ascii="Arial" w:hAnsi="Arial" w:cs="Arial"/>
                <w:sz w:val="16"/>
                <w:szCs w:val="16"/>
              </w:rPr>
              <w:t>podejściowego</w:t>
            </w:r>
            <w:proofErr w:type="spellEnd"/>
            <w:r w:rsidRPr="00FD723C">
              <w:rPr>
                <w:rFonts w:ascii="Arial" w:hAnsi="Arial" w:cs="Arial"/>
                <w:sz w:val="16"/>
                <w:szCs w:val="16"/>
              </w:rPr>
              <w:t xml:space="preserve"> i akwenów wewnętrznych Portu Gdynia - etapy I </w:t>
            </w:r>
            <w:proofErr w:type="spellStart"/>
            <w:r w:rsidRPr="00FD723C">
              <w:rPr>
                <w:rFonts w:ascii="Arial" w:hAnsi="Arial" w:cs="Arial"/>
                <w:sz w:val="16"/>
                <w:szCs w:val="16"/>
              </w:rPr>
              <w:t>i</w:t>
            </w:r>
            <w:proofErr w:type="spellEnd"/>
            <w:r w:rsidRPr="00FD723C">
              <w:rPr>
                <w:rFonts w:ascii="Arial" w:hAnsi="Arial" w:cs="Arial"/>
                <w:sz w:val="16"/>
                <w:szCs w:val="16"/>
              </w:rPr>
              <w:t xml:space="preserve"> III oraz przebudowa nabrzeży w Porcie Gdynia - etapy II i III.</w:t>
            </w:r>
          </w:p>
        </w:tc>
        <w:tc>
          <w:tcPr>
            <w:tcW w:w="1426" w:type="dxa"/>
            <w:gridSpan w:val="4"/>
            <w:shd w:val="clear" w:color="auto" w:fill="F2F2F2"/>
            <w:vAlign w:val="center"/>
          </w:tcPr>
          <w:p w14:paraId="2771025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 kw.)</w:t>
            </w:r>
          </w:p>
        </w:tc>
        <w:tc>
          <w:tcPr>
            <w:tcW w:w="1417" w:type="dxa"/>
            <w:shd w:val="clear" w:color="auto" w:fill="F2F2F2"/>
            <w:vAlign w:val="center"/>
          </w:tcPr>
          <w:p w14:paraId="35742EB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8" w:type="dxa"/>
            <w:shd w:val="clear" w:color="auto" w:fill="F2F2F2"/>
            <w:vAlign w:val="center"/>
          </w:tcPr>
          <w:p w14:paraId="4531955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1A3A5F6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w:t>
            </w:r>
          </w:p>
        </w:tc>
        <w:tc>
          <w:tcPr>
            <w:tcW w:w="992" w:type="dxa"/>
            <w:shd w:val="clear" w:color="auto" w:fill="F2F2F2"/>
            <w:vAlign w:val="center"/>
          </w:tcPr>
          <w:p w14:paraId="4C69D7F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57A038B" w14:textId="77777777" w:rsidTr="001B2C4E">
        <w:trPr>
          <w:trHeight w:val="375"/>
        </w:trPr>
        <w:tc>
          <w:tcPr>
            <w:tcW w:w="709" w:type="dxa"/>
            <w:shd w:val="clear" w:color="auto" w:fill="F2F2F2"/>
            <w:vAlign w:val="center"/>
          </w:tcPr>
          <w:p w14:paraId="150D3323" w14:textId="77777777" w:rsidR="00FD723C" w:rsidRPr="00FD723C" w:rsidRDefault="00FD723C" w:rsidP="00FD723C">
            <w:pPr>
              <w:numPr>
                <w:ilvl w:val="0"/>
                <w:numId w:val="100"/>
              </w:numPr>
              <w:spacing w:before="60" w:after="60" w:line="240" w:lineRule="auto"/>
              <w:ind w:left="360"/>
              <w:jc w:val="center"/>
              <w:rPr>
                <w:rFonts w:ascii="Arial" w:hAnsi="Arial" w:cs="Arial"/>
                <w:sz w:val="16"/>
                <w:szCs w:val="16"/>
              </w:rPr>
            </w:pPr>
          </w:p>
        </w:tc>
        <w:tc>
          <w:tcPr>
            <w:tcW w:w="2827" w:type="dxa"/>
            <w:gridSpan w:val="2"/>
            <w:shd w:val="clear" w:color="auto" w:fill="F2F2F2"/>
            <w:vAlign w:val="center"/>
          </w:tcPr>
          <w:p w14:paraId="366F73DF" w14:textId="77777777" w:rsidR="00FD723C" w:rsidRPr="00FD723C" w:rsidRDefault="00FD723C" w:rsidP="00FD723C">
            <w:pPr>
              <w:spacing w:after="0" w:line="240" w:lineRule="auto"/>
              <w:jc w:val="center"/>
              <w:rPr>
                <w:rFonts w:ascii="Arial" w:eastAsia="Times New Roman" w:hAnsi="Arial" w:cs="Arial"/>
                <w:sz w:val="16"/>
                <w:szCs w:val="16"/>
                <w:lang w:eastAsia="pl-PL"/>
              </w:rPr>
            </w:pPr>
            <w:r w:rsidRPr="00FD723C">
              <w:rPr>
                <w:rFonts w:ascii="Arial" w:eastAsia="Times New Roman" w:hAnsi="Arial" w:cs="Arial"/>
                <w:sz w:val="16"/>
                <w:szCs w:val="16"/>
                <w:lang w:eastAsia="pl-PL"/>
              </w:rPr>
              <w:t>Zakup wagonów platform do przewozów intermodalnych przez PKP CARGO S.A.</w:t>
            </w:r>
          </w:p>
        </w:tc>
        <w:tc>
          <w:tcPr>
            <w:tcW w:w="1426" w:type="dxa"/>
            <w:gridSpan w:val="4"/>
            <w:shd w:val="clear" w:color="auto" w:fill="F2F2F2"/>
            <w:vAlign w:val="center"/>
          </w:tcPr>
          <w:p w14:paraId="6CBD07A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2ADB831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8" w:type="dxa"/>
            <w:shd w:val="clear" w:color="auto" w:fill="F2F2F2"/>
            <w:vAlign w:val="center"/>
          </w:tcPr>
          <w:p w14:paraId="4241A35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6B22FB3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7.ii.</w:t>
            </w:r>
          </w:p>
        </w:tc>
        <w:tc>
          <w:tcPr>
            <w:tcW w:w="992" w:type="dxa"/>
            <w:shd w:val="clear" w:color="auto" w:fill="F2F2F2"/>
            <w:vAlign w:val="center"/>
          </w:tcPr>
          <w:p w14:paraId="380D68C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III</w:t>
            </w:r>
          </w:p>
        </w:tc>
      </w:tr>
      <w:tr w:rsidR="00FD723C" w:rsidRPr="00FD723C" w14:paraId="7CDCB45B" w14:textId="77777777" w:rsidTr="001B2C4E">
        <w:trPr>
          <w:trHeight w:val="237"/>
        </w:trPr>
        <w:tc>
          <w:tcPr>
            <w:tcW w:w="9781" w:type="dxa"/>
            <w:gridSpan w:val="11"/>
            <w:shd w:val="clear" w:color="auto" w:fill="99CC00"/>
            <w:vAlign w:val="center"/>
          </w:tcPr>
          <w:p w14:paraId="64E6D67E" w14:textId="77777777" w:rsidR="00FD723C" w:rsidRPr="00FD723C" w:rsidRDefault="00FD723C" w:rsidP="00FD723C">
            <w:pPr>
              <w:spacing w:before="60" w:after="60"/>
              <w:jc w:val="center"/>
              <w:rPr>
                <w:rFonts w:ascii="Arial" w:hAnsi="Arial" w:cs="Arial"/>
                <w:b/>
                <w:sz w:val="16"/>
                <w:szCs w:val="16"/>
              </w:rPr>
            </w:pPr>
          </w:p>
          <w:p w14:paraId="06BF884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b/>
                <w:sz w:val="16"/>
                <w:szCs w:val="16"/>
              </w:rPr>
              <w:t>PROJEKTY HORYZONTALNE I MULTILOKALIZACYJNE</w:t>
            </w:r>
          </w:p>
        </w:tc>
      </w:tr>
      <w:tr w:rsidR="00FD723C" w:rsidRPr="00FD723C" w14:paraId="01004BB2" w14:textId="77777777" w:rsidTr="001B2C4E">
        <w:trPr>
          <w:trHeight w:val="428"/>
        </w:trPr>
        <w:tc>
          <w:tcPr>
            <w:tcW w:w="709" w:type="dxa"/>
            <w:shd w:val="clear" w:color="auto" w:fill="F2F2F2"/>
            <w:vAlign w:val="center"/>
          </w:tcPr>
          <w:p w14:paraId="3A0004B7"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vAlign w:val="center"/>
          </w:tcPr>
          <w:p w14:paraId="2DC1AB7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infrastruktury systemu ERTMS/GSM-R na liniach kolejowych PKP Polskie Linie Kolejowe S.A. w ramach NPW ERTMS</w:t>
            </w:r>
          </w:p>
        </w:tc>
        <w:tc>
          <w:tcPr>
            <w:tcW w:w="1426" w:type="dxa"/>
            <w:gridSpan w:val="4"/>
            <w:shd w:val="clear" w:color="auto" w:fill="F2F2F2"/>
            <w:vAlign w:val="center"/>
          </w:tcPr>
          <w:p w14:paraId="79DC871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1C367AE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(III kw.)</w:t>
            </w:r>
          </w:p>
        </w:tc>
        <w:tc>
          <w:tcPr>
            <w:tcW w:w="1418" w:type="dxa"/>
            <w:shd w:val="clear" w:color="auto" w:fill="F2F2F2"/>
            <w:vAlign w:val="center"/>
          </w:tcPr>
          <w:p w14:paraId="7115E72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7050B67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7.i.</w:t>
            </w:r>
          </w:p>
        </w:tc>
        <w:tc>
          <w:tcPr>
            <w:tcW w:w="992" w:type="dxa"/>
            <w:shd w:val="clear" w:color="auto" w:fill="F2F2F2"/>
            <w:vAlign w:val="center"/>
          </w:tcPr>
          <w:p w14:paraId="6374557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w:t>
            </w:r>
          </w:p>
        </w:tc>
      </w:tr>
      <w:tr w:rsidR="00FD723C" w:rsidRPr="00FD723C" w14:paraId="4403B33A" w14:textId="77777777" w:rsidTr="001B2C4E">
        <w:trPr>
          <w:trHeight w:val="145"/>
        </w:trPr>
        <w:tc>
          <w:tcPr>
            <w:tcW w:w="9781" w:type="dxa"/>
            <w:gridSpan w:val="11"/>
            <w:shd w:val="clear" w:color="auto" w:fill="99CC00"/>
            <w:vAlign w:val="center"/>
          </w:tcPr>
          <w:p w14:paraId="03649062"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
                <w:bCs/>
                <w:sz w:val="16"/>
                <w:szCs w:val="16"/>
              </w:rPr>
              <w:t>POZOSTAŁE</w:t>
            </w:r>
          </w:p>
        </w:tc>
      </w:tr>
      <w:tr w:rsidR="00FD723C" w:rsidRPr="00FD723C" w14:paraId="5A5D9451" w14:textId="77777777" w:rsidTr="001B2C4E">
        <w:trPr>
          <w:trHeight w:val="402"/>
        </w:trPr>
        <w:tc>
          <w:tcPr>
            <w:tcW w:w="709" w:type="dxa"/>
            <w:shd w:val="clear" w:color="auto" w:fill="F2F2F2"/>
            <w:vAlign w:val="center"/>
          </w:tcPr>
          <w:p w14:paraId="5CFFA32D"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5623CD8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II linii metra, wraz z infrastrukturą towarzyszącą i zakupem taboru – etap II</w:t>
            </w:r>
          </w:p>
        </w:tc>
        <w:tc>
          <w:tcPr>
            <w:tcW w:w="1426" w:type="dxa"/>
            <w:gridSpan w:val="4"/>
            <w:shd w:val="clear" w:color="auto" w:fill="F2F2F2"/>
            <w:vAlign w:val="center"/>
          </w:tcPr>
          <w:p w14:paraId="3690F8F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7" w:type="dxa"/>
            <w:shd w:val="clear" w:color="auto" w:fill="F2F2F2"/>
            <w:vAlign w:val="center"/>
          </w:tcPr>
          <w:p w14:paraId="72AB8FF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(IV kw.)</w:t>
            </w:r>
          </w:p>
        </w:tc>
        <w:tc>
          <w:tcPr>
            <w:tcW w:w="1418" w:type="dxa"/>
            <w:shd w:val="clear" w:color="auto" w:fill="F2F2F2"/>
            <w:vAlign w:val="center"/>
          </w:tcPr>
          <w:p w14:paraId="3ABEE3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 kw.)</w:t>
            </w:r>
          </w:p>
        </w:tc>
        <w:tc>
          <w:tcPr>
            <w:tcW w:w="992" w:type="dxa"/>
            <w:shd w:val="clear" w:color="auto" w:fill="F2F2F2"/>
            <w:vAlign w:val="center"/>
          </w:tcPr>
          <w:p w14:paraId="481A42E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3286043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567EE608" w14:textId="77777777" w:rsidTr="001B2C4E">
        <w:trPr>
          <w:trHeight w:val="402"/>
        </w:trPr>
        <w:tc>
          <w:tcPr>
            <w:tcW w:w="709" w:type="dxa"/>
            <w:tcBorders>
              <w:bottom w:val="single" w:sz="4" w:space="0" w:color="FFFFFF"/>
            </w:tcBorders>
            <w:shd w:val="clear" w:color="auto" w:fill="F2F2F2"/>
            <w:vAlign w:val="center"/>
          </w:tcPr>
          <w:p w14:paraId="530FC071"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tcBorders>
              <w:bottom w:val="single" w:sz="4" w:space="0" w:color="FFFFFF"/>
            </w:tcBorders>
            <w:shd w:val="clear" w:color="auto" w:fill="F2F2F2"/>
            <w:noWrap/>
            <w:vAlign w:val="center"/>
          </w:tcPr>
          <w:p w14:paraId="1E5680C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II linii metra wraz z zakupem taboru – etap III</w:t>
            </w:r>
          </w:p>
        </w:tc>
        <w:tc>
          <w:tcPr>
            <w:tcW w:w="1426" w:type="dxa"/>
            <w:gridSpan w:val="4"/>
            <w:tcBorders>
              <w:bottom w:val="single" w:sz="4" w:space="0" w:color="FFFFFF"/>
            </w:tcBorders>
            <w:shd w:val="clear" w:color="auto" w:fill="F2F2F2"/>
            <w:vAlign w:val="center"/>
          </w:tcPr>
          <w:p w14:paraId="7797F27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tcBorders>
              <w:bottom w:val="single" w:sz="4" w:space="0" w:color="FFFFFF"/>
            </w:tcBorders>
            <w:shd w:val="clear" w:color="auto" w:fill="F2F2F2"/>
            <w:vAlign w:val="center"/>
          </w:tcPr>
          <w:p w14:paraId="1B3DAFB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8" w:type="dxa"/>
            <w:tcBorders>
              <w:bottom w:val="single" w:sz="4" w:space="0" w:color="FFFFFF"/>
            </w:tcBorders>
            <w:shd w:val="clear" w:color="auto" w:fill="F2F2F2"/>
            <w:vAlign w:val="center"/>
          </w:tcPr>
          <w:p w14:paraId="288A323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tcBorders>
              <w:bottom w:val="single" w:sz="4" w:space="0" w:color="FFFFFF"/>
            </w:tcBorders>
            <w:shd w:val="clear" w:color="auto" w:fill="F2F2F2"/>
            <w:vAlign w:val="center"/>
          </w:tcPr>
          <w:p w14:paraId="58B5D0D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tcBorders>
              <w:bottom w:val="single" w:sz="4" w:space="0" w:color="FFFFFF"/>
            </w:tcBorders>
            <w:shd w:val="clear" w:color="auto" w:fill="F2F2F2"/>
            <w:vAlign w:val="center"/>
          </w:tcPr>
          <w:p w14:paraId="521A50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3A708C8E" w14:textId="77777777" w:rsidTr="001B2C4E">
        <w:trPr>
          <w:trHeight w:val="145"/>
        </w:trPr>
        <w:tc>
          <w:tcPr>
            <w:tcW w:w="9781" w:type="dxa"/>
            <w:gridSpan w:val="11"/>
            <w:shd w:val="clear" w:color="auto" w:fill="99CC00"/>
            <w:vAlign w:val="center"/>
          </w:tcPr>
          <w:p w14:paraId="5D4BA7C8"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
                <w:bCs/>
                <w:sz w:val="16"/>
                <w:szCs w:val="16"/>
              </w:rPr>
              <w:t>PROJEKTY DOTYCZĄCE TRANSPORTU PUBLICZNEGO W MIASTACH ZIDENTYFIKOWANE W RAMACH ZIT</w:t>
            </w:r>
          </w:p>
        </w:tc>
      </w:tr>
      <w:tr w:rsidR="00FD723C" w:rsidRPr="00FD723C" w14:paraId="4267FDE6" w14:textId="77777777" w:rsidTr="001B2C4E">
        <w:trPr>
          <w:trHeight w:val="402"/>
        </w:trPr>
        <w:tc>
          <w:tcPr>
            <w:tcW w:w="709" w:type="dxa"/>
            <w:shd w:val="clear" w:color="auto" w:fill="F2F2F2"/>
            <w:vAlign w:val="center"/>
          </w:tcPr>
          <w:p w14:paraId="0ACD08D1"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76D7FC9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Zintegrowany projekt modernizacji i rozwoju infrastruktury tramwajowej w Aglomeracji Śląsko-Zagłębiowskiej wraz z zakupem taboru tramwajowego - etap I</w:t>
            </w:r>
          </w:p>
        </w:tc>
        <w:tc>
          <w:tcPr>
            <w:tcW w:w="1426" w:type="dxa"/>
            <w:gridSpan w:val="4"/>
            <w:shd w:val="clear" w:color="auto" w:fill="F2F2F2"/>
            <w:vAlign w:val="center"/>
          </w:tcPr>
          <w:p w14:paraId="5702DFD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2451F5A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8" w:type="dxa"/>
            <w:shd w:val="clear" w:color="auto" w:fill="F2F2F2"/>
            <w:vAlign w:val="center"/>
          </w:tcPr>
          <w:p w14:paraId="7748CFA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w:t>
            </w:r>
            <w:r w:rsidRPr="00FD723C">
              <w:t xml:space="preserve"> </w:t>
            </w:r>
            <w:r w:rsidRPr="00FD723C">
              <w:rPr>
                <w:rFonts w:ascii="Arial" w:hAnsi="Arial" w:cs="Arial"/>
                <w:sz w:val="16"/>
                <w:szCs w:val="16"/>
              </w:rPr>
              <w:t>2023 (II kw.)</w:t>
            </w:r>
          </w:p>
        </w:tc>
        <w:tc>
          <w:tcPr>
            <w:tcW w:w="992" w:type="dxa"/>
            <w:shd w:val="clear" w:color="auto" w:fill="F2F2F2"/>
            <w:vAlign w:val="center"/>
          </w:tcPr>
          <w:p w14:paraId="3F52C29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64FFBFA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77A6FEFF" w14:textId="77777777" w:rsidTr="001B2C4E">
        <w:trPr>
          <w:trHeight w:val="402"/>
        </w:trPr>
        <w:tc>
          <w:tcPr>
            <w:tcW w:w="709" w:type="dxa"/>
            <w:shd w:val="clear" w:color="auto" w:fill="F2F2F2"/>
            <w:vAlign w:val="center"/>
          </w:tcPr>
          <w:p w14:paraId="2A843C0B"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2E00438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Zakup niskopodłogowego taboru tramwajowego w celu usprawnienia i poprawy jakości miejskiej komunikacji zbiorowej w Krakowie – część I </w:t>
            </w:r>
            <w:proofErr w:type="spellStart"/>
            <w:r w:rsidRPr="00FD723C">
              <w:rPr>
                <w:rFonts w:ascii="Arial" w:hAnsi="Arial" w:cs="Arial"/>
                <w:sz w:val="16"/>
                <w:szCs w:val="16"/>
              </w:rPr>
              <w:t>i</w:t>
            </w:r>
            <w:proofErr w:type="spellEnd"/>
            <w:r w:rsidRPr="00FD723C">
              <w:rPr>
                <w:rFonts w:ascii="Arial" w:hAnsi="Arial" w:cs="Arial"/>
                <w:sz w:val="16"/>
                <w:szCs w:val="16"/>
              </w:rPr>
              <w:t xml:space="preserve"> II</w:t>
            </w:r>
          </w:p>
        </w:tc>
        <w:tc>
          <w:tcPr>
            <w:tcW w:w="1426" w:type="dxa"/>
            <w:gridSpan w:val="4"/>
            <w:shd w:val="clear" w:color="auto" w:fill="F2F2F2"/>
            <w:vAlign w:val="center"/>
          </w:tcPr>
          <w:p w14:paraId="5B2B10C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7" w:type="dxa"/>
            <w:shd w:val="clear" w:color="auto" w:fill="F2F2F2"/>
            <w:vAlign w:val="center"/>
          </w:tcPr>
          <w:p w14:paraId="1E2F2C0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8" w:type="dxa"/>
            <w:shd w:val="clear" w:color="auto" w:fill="F2F2F2"/>
            <w:vAlign w:val="center"/>
          </w:tcPr>
          <w:p w14:paraId="12B9204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(III kw.)</w:t>
            </w:r>
          </w:p>
        </w:tc>
        <w:tc>
          <w:tcPr>
            <w:tcW w:w="992" w:type="dxa"/>
            <w:shd w:val="clear" w:color="auto" w:fill="F2F2F2"/>
            <w:vAlign w:val="center"/>
          </w:tcPr>
          <w:p w14:paraId="6317F07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28704F8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4D872584" w14:textId="77777777" w:rsidTr="001B2C4E">
        <w:trPr>
          <w:trHeight w:val="402"/>
        </w:trPr>
        <w:tc>
          <w:tcPr>
            <w:tcW w:w="709" w:type="dxa"/>
            <w:shd w:val="clear" w:color="auto" w:fill="F2F2F2"/>
            <w:vAlign w:val="center"/>
          </w:tcPr>
          <w:p w14:paraId="5C91757F"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5355628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floty taboru tramwajowego we Wrocławiu pod względem polepszenia efektywności energetycznej oraz zapewnienia dostępności dla osób o ograniczonej sprawności poruszania się – Etap IA</w:t>
            </w:r>
          </w:p>
        </w:tc>
        <w:tc>
          <w:tcPr>
            <w:tcW w:w="1426" w:type="dxa"/>
            <w:gridSpan w:val="4"/>
            <w:shd w:val="clear" w:color="auto" w:fill="F2F2F2"/>
            <w:vAlign w:val="center"/>
          </w:tcPr>
          <w:p w14:paraId="0DB1A34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7" w:type="dxa"/>
            <w:shd w:val="clear" w:color="auto" w:fill="F2F2F2"/>
            <w:vAlign w:val="center"/>
          </w:tcPr>
          <w:p w14:paraId="72D159D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 kw.)</w:t>
            </w:r>
          </w:p>
        </w:tc>
        <w:tc>
          <w:tcPr>
            <w:tcW w:w="1418" w:type="dxa"/>
            <w:shd w:val="clear" w:color="auto" w:fill="F2F2F2"/>
            <w:vAlign w:val="center"/>
          </w:tcPr>
          <w:p w14:paraId="646F994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992" w:type="dxa"/>
            <w:shd w:val="clear" w:color="auto" w:fill="F2F2F2"/>
            <w:vAlign w:val="center"/>
          </w:tcPr>
          <w:p w14:paraId="2857A6B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45A45CC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631A5CA4" w14:textId="77777777" w:rsidTr="001B2C4E">
        <w:trPr>
          <w:trHeight w:val="402"/>
        </w:trPr>
        <w:tc>
          <w:tcPr>
            <w:tcW w:w="709" w:type="dxa"/>
            <w:shd w:val="clear" w:color="auto" w:fill="F2F2F2"/>
            <w:vAlign w:val="center"/>
          </w:tcPr>
          <w:p w14:paraId="54B704C8"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0C3F3F9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trasy tramwajowej do Wilanowa wraz z zakupem taboru oraz infrastrukturą towarzyszącą</w:t>
            </w:r>
          </w:p>
        </w:tc>
        <w:tc>
          <w:tcPr>
            <w:tcW w:w="1426" w:type="dxa"/>
            <w:gridSpan w:val="4"/>
            <w:shd w:val="clear" w:color="auto" w:fill="F2F2F2"/>
            <w:vAlign w:val="center"/>
          </w:tcPr>
          <w:p w14:paraId="7177D3B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1D019BA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2018 (II kw.)</w:t>
            </w:r>
          </w:p>
        </w:tc>
        <w:tc>
          <w:tcPr>
            <w:tcW w:w="1418" w:type="dxa"/>
            <w:shd w:val="clear" w:color="auto" w:fill="F2F2F2"/>
            <w:vAlign w:val="center"/>
          </w:tcPr>
          <w:p w14:paraId="61BD018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2023 (II kw.)</w:t>
            </w:r>
          </w:p>
        </w:tc>
        <w:tc>
          <w:tcPr>
            <w:tcW w:w="992" w:type="dxa"/>
            <w:shd w:val="clear" w:color="auto" w:fill="F2F2F2"/>
            <w:vAlign w:val="center"/>
          </w:tcPr>
          <w:p w14:paraId="2AEF6F4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3E8DDB1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5F10CEFA" w14:textId="77777777" w:rsidTr="001B2C4E">
        <w:trPr>
          <w:trHeight w:val="402"/>
        </w:trPr>
        <w:tc>
          <w:tcPr>
            <w:tcW w:w="709" w:type="dxa"/>
            <w:shd w:val="clear" w:color="auto" w:fill="F2F2F2"/>
            <w:vAlign w:val="center"/>
          </w:tcPr>
          <w:p w14:paraId="0560D945"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6F7BEFC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Zakup taboru autobusowego (130 niskopodłogowych autobusów niskoemisyjnych) wraz z infrastrukturą towarzyszącą</w:t>
            </w:r>
          </w:p>
        </w:tc>
        <w:tc>
          <w:tcPr>
            <w:tcW w:w="1426" w:type="dxa"/>
            <w:gridSpan w:val="4"/>
            <w:shd w:val="clear" w:color="auto" w:fill="F2F2F2"/>
            <w:vAlign w:val="center"/>
          </w:tcPr>
          <w:p w14:paraId="00AB6D1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4B85725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8" w:type="dxa"/>
            <w:shd w:val="clear" w:color="auto" w:fill="F2F2F2"/>
            <w:vAlign w:val="center"/>
          </w:tcPr>
          <w:p w14:paraId="59810D3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992" w:type="dxa"/>
            <w:shd w:val="clear" w:color="auto" w:fill="F2F2F2"/>
            <w:vAlign w:val="center"/>
          </w:tcPr>
          <w:p w14:paraId="46E3C09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2A60CFC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6DB227A7" w14:textId="77777777" w:rsidTr="001B2C4E">
        <w:trPr>
          <w:trHeight w:val="402"/>
        </w:trPr>
        <w:tc>
          <w:tcPr>
            <w:tcW w:w="709" w:type="dxa"/>
            <w:shd w:val="clear" w:color="auto" w:fill="F2F2F2"/>
            <w:vAlign w:val="center"/>
          </w:tcPr>
          <w:p w14:paraId="22E12F0E"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33D6E495" w14:textId="77777777" w:rsidR="00FD723C" w:rsidRPr="00FD723C" w:rsidDel="00CD4379"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Zakup nowoczesnego niskopodłogowego taboru tramwajowego </w:t>
            </w:r>
          </w:p>
        </w:tc>
        <w:tc>
          <w:tcPr>
            <w:tcW w:w="1426" w:type="dxa"/>
            <w:gridSpan w:val="4"/>
            <w:shd w:val="clear" w:color="auto" w:fill="F2F2F2"/>
            <w:vAlign w:val="center"/>
          </w:tcPr>
          <w:p w14:paraId="560C0052" w14:textId="77777777" w:rsidR="00FD723C" w:rsidRPr="00FD723C" w:rsidDel="00CD4379"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7" w:type="dxa"/>
            <w:shd w:val="clear" w:color="auto" w:fill="F2F2F2"/>
            <w:vAlign w:val="center"/>
          </w:tcPr>
          <w:p w14:paraId="25751B9D" w14:textId="77777777" w:rsidR="00FD723C" w:rsidRPr="00FD723C" w:rsidDel="00CD4379"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2015 (IV kw.)</w:t>
            </w:r>
          </w:p>
        </w:tc>
        <w:tc>
          <w:tcPr>
            <w:tcW w:w="1418" w:type="dxa"/>
            <w:shd w:val="clear" w:color="auto" w:fill="F2F2F2"/>
            <w:vAlign w:val="center"/>
          </w:tcPr>
          <w:p w14:paraId="18B11700" w14:textId="77777777" w:rsidR="00FD723C" w:rsidRPr="00FD723C" w:rsidDel="00CD4379"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2019 (IV kw.)</w:t>
            </w:r>
          </w:p>
        </w:tc>
        <w:tc>
          <w:tcPr>
            <w:tcW w:w="992" w:type="dxa"/>
            <w:shd w:val="clear" w:color="auto" w:fill="F2F2F2"/>
            <w:vAlign w:val="center"/>
          </w:tcPr>
          <w:p w14:paraId="5CCC20FB" w14:textId="77777777" w:rsidR="00FD723C" w:rsidRPr="00FD723C" w:rsidDel="00CD4379"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1E1A300D" w14:textId="77777777" w:rsidR="00FD723C" w:rsidRPr="00FD723C" w:rsidDel="00CD4379"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3A22A98C" w14:textId="77777777" w:rsidTr="001B2C4E">
        <w:trPr>
          <w:trHeight w:val="402"/>
        </w:trPr>
        <w:tc>
          <w:tcPr>
            <w:tcW w:w="709" w:type="dxa"/>
            <w:shd w:val="clear" w:color="auto" w:fill="F2F2F2"/>
            <w:vAlign w:val="center"/>
          </w:tcPr>
          <w:p w14:paraId="66A83610"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5E2F028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Gdański Projekt Komunikacji Miejskiej IVA</w:t>
            </w:r>
          </w:p>
        </w:tc>
        <w:tc>
          <w:tcPr>
            <w:tcW w:w="1426" w:type="dxa"/>
            <w:gridSpan w:val="4"/>
            <w:shd w:val="clear" w:color="auto" w:fill="F2F2F2"/>
            <w:vAlign w:val="center"/>
          </w:tcPr>
          <w:p w14:paraId="4C8061B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7431623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8" w:type="dxa"/>
            <w:shd w:val="clear" w:color="auto" w:fill="F2F2F2"/>
            <w:vAlign w:val="center"/>
          </w:tcPr>
          <w:p w14:paraId="25912BA0" w14:textId="77777777" w:rsidR="00FD723C" w:rsidRPr="00FD723C" w:rsidRDefault="00FD723C" w:rsidP="00FD723C">
            <w:pPr>
              <w:spacing w:before="60" w:after="60"/>
              <w:jc w:val="center"/>
              <w:rPr>
                <w:rFonts w:ascii="Arial" w:hAnsi="Arial" w:cs="Arial"/>
                <w:sz w:val="16"/>
                <w:szCs w:val="16"/>
              </w:rPr>
            </w:pPr>
            <w:r w:rsidRPr="00FD723C">
              <w:t xml:space="preserve"> </w:t>
            </w:r>
            <w:r w:rsidRPr="00FD723C">
              <w:rPr>
                <w:rFonts w:ascii="Arial" w:hAnsi="Arial" w:cs="Arial"/>
                <w:sz w:val="16"/>
                <w:szCs w:val="16"/>
              </w:rPr>
              <w:t>2022 (I kw.)</w:t>
            </w:r>
          </w:p>
        </w:tc>
        <w:tc>
          <w:tcPr>
            <w:tcW w:w="992" w:type="dxa"/>
            <w:shd w:val="clear" w:color="auto" w:fill="F2F2F2"/>
            <w:vAlign w:val="center"/>
          </w:tcPr>
          <w:p w14:paraId="4D435E9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2C90629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408755A0" w14:textId="77777777" w:rsidTr="001B2C4E">
        <w:trPr>
          <w:trHeight w:val="402"/>
        </w:trPr>
        <w:tc>
          <w:tcPr>
            <w:tcW w:w="709" w:type="dxa"/>
            <w:shd w:val="clear" w:color="auto" w:fill="F2F2F2"/>
            <w:vAlign w:val="center"/>
          </w:tcPr>
          <w:p w14:paraId="5ECF3B45"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4F21B6F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Kompleksowy program integracji sieci niskoemisyjnego transportu publicznego w metropolii łódzkiej wraz z zakupem taboru do obsługi trasy W-Z oraz innych linii komunikacyjnych i modernizacją zajezdni tramwajowych w Łodzi</w:t>
            </w:r>
          </w:p>
        </w:tc>
        <w:tc>
          <w:tcPr>
            <w:tcW w:w="1426" w:type="dxa"/>
            <w:gridSpan w:val="4"/>
            <w:shd w:val="clear" w:color="auto" w:fill="F2F2F2"/>
            <w:vAlign w:val="center"/>
          </w:tcPr>
          <w:p w14:paraId="5B75B11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4D18C85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 kw.)</w:t>
            </w:r>
          </w:p>
        </w:tc>
        <w:tc>
          <w:tcPr>
            <w:tcW w:w="1418" w:type="dxa"/>
            <w:shd w:val="clear" w:color="auto" w:fill="F2F2F2"/>
            <w:vAlign w:val="center"/>
          </w:tcPr>
          <w:p w14:paraId="4ACB1995" w14:textId="77777777" w:rsidR="00FD723C" w:rsidRPr="00FD723C" w:rsidRDefault="00FD723C" w:rsidP="00FD723C">
            <w:pPr>
              <w:spacing w:before="60" w:after="60"/>
              <w:jc w:val="center"/>
              <w:rPr>
                <w:rFonts w:ascii="Arial" w:hAnsi="Arial" w:cs="Arial"/>
                <w:sz w:val="16"/>
                <w:szCs w:val="16"/>
              </w:rPr>
            </w:pPr>
            <w:r w:rsidRPr="00FD723C">
              <w:t xml:space="preserve"> </w:t>
            </w:r>
            <w:r w:rsidRPr="00FD723C">
              <w:rPr>
                <w:rFonts w:ascii="Arial" w:hAnsi="Arial" w:cs="Arial"/>
                <w:sz w:val="16"/>
                <w:szCs w:val="16"/>
              </w:rPr>
              <w:t>2023 (II kw.)</w:t>
            </w:r>
          </w:p>
        </w:tc>
        <w:tc>
          <w:tcPr>
            <w:tcW w:w="992" w:type="dxa"/>
            <w:shd w:val="clear" w:color="auto" w:fill="F2F2F2"/>
            <w:vAlign w:val="center"/>
          </w:tcPr>
          <w:p w14:paraId="6CA150C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03A3DDF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663AEF47" w14:textId="77777777" w:rsidTr="001B2C4E">
        <w:trPr>
          <w:trHeight w:val="402"/>
        </w:trPr>
        <w:tc>
          <w:tcPr>
            <w:tcW w:w="709" w:type="dxa"/>
            <w:shd w:val="clear" w:color="auto" w:fill="F2F2F2"/>
            <w:vAlign w:val="center"/>
          </w:tcPr>
          <w:p w14:paraId="22ECAF7F"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6D1562D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Poprawa funkcjonowania komunikacji miejskiej w Toruniu - </w:t>
            </w:r>
            <w:proofErr w:type="spellStart"/>
            <w:r w:rsidRPr="00FD723C">
              <w:rPr>
                <w:rFonts w:ascii="Arial" w:hAnsi="Arial" w:cs="Arial"/>
                <w:sz w:val="16"/>
                <w:szCs w:val="16"/>
              </w:rPr>
              <w:t>BiT</w:t>
            </w:r>
            <w:proofErr w:type="spellEnd"/>
            <w:r w:rsidRPr="00FD723C">
              <w:rPr>
                <w:rFonts w:ascii="Arial" w:hAnsi="Arial" w:cs="Arial"/>
                <w:sz w:val="16"/>
                <w:szCs w:val="16"/>
              </w:rPr>
              <w:t>-City II</w:t>
            </w:r>
          </w:p>
        </w:tc>
        <w:tc>
          <w:tcPr>
            <w:tcW w:w="1426" w:type="dxa"/>
            <w:gridSpan w:val="4"/>
            <w:shd w:val="clear" w:color="auto" w:fill="F2F2F2"/>
            <w:vAlign w:val="center"/>
          </w:tcPr>
          <w:p w14:paraId="687DCBC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(III kw.)</w:t>
            </w:r>
          </w:p>
        </w:tc>
        <w:tc>
          <w:tcPr>
            <w:tcW w:w="1417" w:type="dxa"/>
            <w:shd w:val="clear" w:color="auto" w:fill="F2F2F2"/>
            <w:vAlign w:val="center"/>
          </w:tcPr>
          <w:p w14:paraId="3CFFDD9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 kw.)</w:t>
            </w:r>
          </w:p>
        </w:tc>
        <w:tc>
          <w:tcPr>
            <w:tcW w:w="1418" w:type="dxa"/>
            <w:shd w:val="clear" w:color="auto" w:fill="F2F2F2"/>
            <w:vAlign w:val="center"/>
          </w:tcPr>
          <w:p w14:paraId="3EE6036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2023 (II kw.)</w:t>
            </w:r>
          </w:p>
        </w:tc>
        <w:tc>
          <w:tcPr>
            <w:tcW w:w="992" w:type="dxa"/>
            <w:shd w:val="clear" w:color="auto" w:fill="F2F2F2"/>
            <w:vAlign w:val="center"/>
          </w:tcPr>
          <w:p w14:paraId="191DCD8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2761991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6C1599C4" w14:textId="77777777" w:rsidTr="001B2C4E">
        <w:trPr>
          <w:trHeight w:val="402"/>
        </w:trPr>
        <w:tc>
          <w:tcPr>
            <w:tcW w:w="709" w:type="dxa"/>
            <w:shd w:val="clear" w:color="auto" w:fill="F2F2F2"/>
            <w:vAlign w:val="center"/>
          </w:tcPr>
          <w:p w14:paraId="7DFA7485"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0C550A9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Przebudowa torowisk tramwajowych w Szczecinie – etap II</w:t>
            </w:r>
          </w:p>
        </w:tc>
        <w:tc>
          <w:tcPr>
            <w:tcW w:w="1426" w:type="dxa"/>
            <w:gridSpan w:val="4"/>
            <w:shd w:val="clear" w:color="auto" w:fill="F2F2F2"/>
            <w:vAlign w:val="center"/>
          </w:tcPr>
          <w:p w14:paraId="358397C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 kw.)</w:t>
            </w:r>
          </w:p>
        </w:tc>
        <w:tc>
          <w:tcPr>
            <w:tcW w:w="1417" w:type="dxa"/>
            <w:shd w:val="clear" w:color="auto" w:fill="F2F2F2"/>
            <w:vAlign w:val="center"/>
          </w:tcPr>
          <w:p w14:paraId="14624FC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2017 (III kw.)</w:t>
            </w:r>
          </w:p>
        </w:tc>
        <w:tc>
          <w:tcPr>
            <w:tcW w:w="1418" w:type="dxa"/>
            <w:shd w:val="clear" w:color="auto" w:fill="F2F2F2"/>
            <w:vAlign w:val="center"/>
          </w:tcPr>
          <w:p w14:paraId="1A9AB499" w14:textId="77777777" w:rsidR="00FD723C" w:rsidRPr="00FD723C" w:rsidRDefault="00FD723C" w:rsidP="00FD723C">
            <w:pPr>
              <w:spacing w:before="60" w:after="60"/>
              <w:jc w:val="center"/>
              <w:rPr>
                <w:rFonts w:ascii="Arial" w:hAnsi="Arial" w:cs="Arial"/>
                <w:sz w:val="16"/>
                <w:szCs w:val="16"/>
              </w:rPr>
            </w:pPr>
            <w:r w:rsidRPr="00FD723C">
              <w:t xml:space="preserve"> </w:t>
            </w:r>
            <w:r w:rsidRPr="00FD723C">
              <w:rPr>
                <w:rFonts w:ascii="Arial" w:hAnsi="Arial" w:cs="Arial"/>
                <w:sz w:val="16"/>
                <w:szCs w:val="16"/>
              </w:rPr>
              <w:t>2023 (III kw.)</w:t>
            </w:r>
          </w:p>
        </w:tc>
        <w:tc>
          <w:tcPr>
            <w:tcW w:w="992" w:type="dxa"/>
            <w:shd w:val="clear" w:color="auto" w:fill="F2F2F2"/>
            <w:vAlign w:val="center"/>
          </w:tcPr>
          <w:p w14:paraId="3C0F135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2966E96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r w:rsidR="00FD723C" w:rsidRPr="00FD723C" w14:paraId="34E5C351" w14:textId="77777777" w:rsidTr="001B2C4E">
        <w:trPr>
          <w:trHeight w:val="402"/>
        </w:trPr>
        <w:tc>
          <w:tcPr>
            <w:tcW w:w="709" w:type="dxa"/>
            <w:shd w:val="clear" w:color="auto" w:fill="F2F2F2"/>
            <w:vAlign w:val="center"/>
          </w:tcPr>
          <w:p w14:paraId="13B8E3A0" w14:textId="77777777" w:rsidR="00FD723C" w:rsidRPr="00FD723C" w:rsidRDefault="00FD723C" w:rsidP="00FD723C">
            <w:pPr>
              <w:numPr>
                <w:ilvl w:val="0"/>
                <w:numId w:val="100"/>
              </w:numPr>
              <w:spacing w:before="60" w:after="60" w:line="240" w:lineRule="auto"/>
              <w:ind w:left="360"/>
              <w:rPr>
                <w:rFonts w:ascii="Arial" w:hAnsi="Arial" w:cs="Arial"/>
                <w:sz w:val="16"/>
                <w:szCs w:val="16"/>
              </w:rPr>
            </w:pPr>
          </w:p>
        </w:tc>
        <w:tc>
          <w:tcPr>
            <w:tcW w:w="2827" w:type="dxa"/>
            <w:gridSpan w:val="2"/>
            <w:shd w:val="clear" w:color="auto" w:fill="F2F2F2"/>
            <w:noWrap/>
            <w:vAlign w:val="center"/>
          </w:tcPr>
          <w:p w14:paraId="3701287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trasy tramwajowej wzdłuż ul Kujawskiej na odcinku od ronda Kujawskiego do ronda Bernardyńskiego wraz z rozbudową układu drogowego, przebudową infrastruktury transportu szynowego oraz zakupem taboru w Bydgoszczy</w:t>
            </w:r>
          </w:p>
        </w:tc>
        <w:tc>
          <w:tcPr>
            <w:tcW w:w="1426" w:type="dxa"/>
            <w:gridSpan w:val="4"/>
            <w:shd w:val="clear" w:color="auto" w:fill="F2F2F2"/>
            <w:vAlign w:val="center"/>
          </w:tcPr>
          <w:p w14:paraId="427B72E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1417" w:type="dxa"/>
            <w:shd w:val="clear" w:color="auto" w:fill="F2F2F2"/>
            <w:vAlign w:val="center"/>
          </w:tcPr>
          <w:p w14:paraId="14F37E1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8" w:type="dxa"/>
            <w:shd w:val="clear" w:color="auto" w:fill="F2F2F2"/>
            <w:vAlign w:val="center"/>
          </w:tcPr>
          <w:p w14:paraId="5C398D27" w14:textId="77777777" w:rsidR="00FD723C" w:rsidRPr="00FD723C" w:rsidRDefault="00FD723C" w:rsidP="00FD723C">
            <w:pPr>
              <w:spacing w:before="60" w:after="60"/>
              <w:jc w:val="center"/>
              <w:rPr>
                <w:rFonts w:ascii="Arial" w:hAnsi="Arial" w:cs="Arial"/>
                <w:sz w:val="16"/>
                <w:szCs w:val="16"/>
              </w:rPr>
            </w:pPr>
            <w:r w:rsidRPr="00FD723C">
              <w:t xml:space="preserve"> </w:t>
            </w:r>
            <w:r w:rsidRPr="00FD723C">
              <w:rPr>
                <w:rFonts w:ascii="Arial" w:hAnsi="Arial" w:cs="Arial"/>
                <w:sz w:val="16"/>
                <w:szCs w:val="16"/>
              </w:rPr>
              <w:t>2021 (IV kw.)</w:t>
            </w:r>
          </w:p>
        </w:tc>
        <w:tc>
          <w:tcPr>
            <w:tcW w:w="992" w:type="dxa"/>
            <w:shd w:val="clear" w:color="auto" w:fill="F2F2F2"/>
            <w:vAlign w:val="center"/>
          </w:tcPr>
          <w:p w14:paraId="26E8E59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4.v.</w:t>
            </w:r>
          </w:p>
        </w:tc>
        <w:tc>
          <w:tcPr>
            <w:tcW w:w="992" w:type="dxa"/>
            <w:shd w:val="clear" w:color="auto" w:fill="F2F2F2"/>
            <w:vAlign w:val="center"/>
          </w:tcPr>
          <w:p w14:paraId="4FBD86B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w:t>
            </w:r>
          </w:p>
        </w:tc>
      </w:tr>
    </w:tbl>
    <w:p w14:paraId="6D82D40A" w14:textId="77777777" w:rsidR="00FD723C" w:rsidRPr="00FD723C" w:rsidRDefault="00FD723C" w:rsidP="00FD723C">
      <w:pPr>
        <w:rPr>
          <w:rFonts w:ascii="Arial" w:eastAsia="Times New Roman" w:hAnsi="Arial"/>
          <w:smallCaps/>
          <w:spacing w:val="10"/>
          <w:sz w:val="24"/>
          <w:szCs w:val="24"/>
          <w:lang w:eastAsia="pl-PL"/>
        </w:rPr>
      </w:pPr>
    </w:p>
    <w:p w14:paraId="4F0D66C3" w14:textId="77777777" w:rsidR="00FD723C" w:rsidRPr="00FD723C" w:rsidRDefault="00FD723C" w:rsidP="00FD723C">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FD723C">
        <w:rPr>
          <w:rFonts w:ascii="Arial" w:eastAsia="Times New Roman" w:hAnsi="Arial"/>
          <w:smallCaps/>
          <w:color w:val="669900"/>
          <w:spacing w:val="10"/>
          <w:sz w:val="24"/>
          <w:szCs w:val="24"/>
          <w:lang w:eastAsia="pl-PL"/>
        </w:rPr>
        <w:t>2. Sektor energetyki</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0A0" w:firstRow="1" w:lastRow="0" w:firstColumn="1" w:lastColumn="0" w:noHBand="0" w:noVBand="0"/>
      </w:tblPr>
      <w:tblGrid>
        <w:gridCol w:w="534"/>
        <w:gridCol w:w="2976"/>
        <w:gridCol w:w="1418"/>
        <w:gridCol w:w="1417"/>
        <w:gridCol w:w="1418"/>
        <w:gridCol w:w="992"/>
        <w:gridCol w:w="992"/>
      </w:tblGrid>
      <w:tr w:rsidR="00FD723C" w:rsidRPr="00FD723C" w14:paraId="186B65B5" w14:textId="77777777" w:rsidTr="001B2C4E">
        <w:trPr>
          <w:trHeight w:val="1272"/>
        </w:trPr>
        <w:tc>
          <w:tcPr>
            <w:tcW w:w="534" w:type="dxa"/>
            <w:shd w:val="clear" w:color="auto" w:fill="99CC00"/>
            <w:vAlign w:val="center"/>
          </w:tcPr>
          <w:p w14:paraId="502C2CAB" w14:textId="77777777" w:rsidR="00FD723C" w:rsidRPr="00FD723C" w:rsidRDefault="00FD723C" w:rsidP="00FD723C">
            <w:pPr>
              <w:spacing w:before="60" w:after="60"/>
              <w:jc w:val="center"/>
              <w:rPr>
                <w:rFonts w:ascii="Arial" w:hAnsi="Arial" w:cs="Arial"/>
                <w:bCs/>
                <w:color w:val="FFFFFF"/>
                <w:sz w:val="16"/>
                <w:szCs w:val="16"/>
              </w:rPr>
            </w:pPr>
            <w:r w:rsidRPr="00FD723C">
              <w:rPr>
                <w:rFonts w:ascii="Arial" w:hAnsi="Arial" w:cs="Arial"/>
                <w:bCs/>
                <w:color w:val="FFFFFF"/>
                <w:sz w:val="16"/>
                <w:szCs w:val="16"/>
              </w:rPr>
              <w:t>L.p.</w:t>
            </w:r>
          </w:p>
        </w:tc>
        <w:tc>
          <w:tcPr>
            <w:tcW w:w="2976" w:type="dxa"/>
            <w:shd w:val="clear" w:color="auto" w:fill="99CC00"/>
            <w:vAlign w:val="center"/>
          </w:tcPr>
          <w:p w14:paraId="49BA7031" w14:textId="77777777" w:rsidR="00FD723C" w:rsidRPr="00FD723C" w:rsidRDefault="00FD723C" w:rsidP="00FD723C">
            <w:pPr>
              <w:spacing w:before="60" w:after="60"/>
              <w:jc w:val="center"/>
              <w:rPr>
                <w:rFonts w:ascii="Arial" w:hAnsi="Arial" w:cs="Arial"/>
                <w:bCs/>
                <w:color w:val="FFFFFF"/>
                <w:sz w:val="16"/>
                <w:szCs w:val="16"/>
              </w:rPr>
            </w:pPr>
            <w:r w:rsidRPr="00FD723C">
              <w:rPr>
                <w:rFonts w:ascii="Arial" w:hAnsi="Arial" w:cs="Arial"/>
                <w:bCs/>
                <w:color w:val="FFFFFF"/>
                <w:sz w:val="16"/>
                <w:szCs w:val="16"/>
              </w:rPr>
              <w:t>Nazwa projektu</w:t>
            </w:r>
          </w:p>
        </w:tc>
        <w:tc>
          <w:tcPr>
            <w:tcW w:w="1418" w:type="dxa"/>
            <w:shd w:val="clear" w:color="auto" w:fill="99CC00"/>
            <w:vAlign w:val="center"/>
          </w:tcPr>
          <w:p w14:paraId="106EDA00" w14:textId="77777777" w:rsidR="00FD723C" w:rsidRPr="00FD723C" w:rsidRDefault="00FD723C" w:rsidP="00FD723C">
            <w:pPr>
              <w:spacing w:before="60" w:after="60"/>
              <w:jc w:val="center"/>
              <w:rPr>
                <w:rFonts w:ascii="Arial" w:hAnsi="Arial" w:cs="Arial"/>
                <w:color w:val="FFFFFF"/>
                <w:sz w:val="16"/>
                <w:szCs w:val="16"/>
              </w:rPr>
            </w:pPr>
            <w:r w:rsidRPr="00FD723C">
              <w:rPr>
                <w:rFonts w:ascii="Arial" w:hAnsi="Arial" w:cs="Arial"/>
                <w:color w:val="FFFFFF"/>
                <w:sz w:val="16"/>
                <w:szCs w:val="16"/>
              </w:rPr>
              <w:t xml:space="preserve">Planowany termin notyfikacji/ przedłożenia w KE wniosku </w:t>
            </w:r>
            <w:proofErr w:type="spellStart"/>
            <w:r w:rsidRPr="00FD723C">
              <w:rPr>
                <w:rFonts w:ascii="Arial" w:hAnsi="Arial" w:cs="Arial"/>
                <w:color w:val="FFFFFF"/>
                <w:sz w:val="16"/>
                <w:szCs w:val="16"/>
              </w:rPr>
              <w:t>ws</w:t>
            </w:r>
            <w:proofErr w:type="spellEnd"/>
            <w:r w:rsidRPr="00FD723C">
              <w:rPr>
                <w:rFonts w:ascii="Arial" w:hAnsi="Arial" w:cs="Arial"/>
                <w:color w:val="FFFFFF"/>
                <w:sz w:val="16"/>
                <w:szCs w:val="16"/>
              </w:rPr>
              <w:t>. dużego projektu</w:t>
            </w:r>
          </w:p>
          <w:p w14:paraId="07ADEF72" w14:textId="77777777" w:rsidR="00FD723C" w:rsidRPr="00FD723C" w:rsidRDefault="00FD723C" w:rsidP="00FD723C">
            <w:pPr>
              <w:spacing w:before="60" w:after="60"/>
              <w:jc w:val="center"/>
              <w:rPr>
                <w:rFonts w:ascii="Arial" w:hAnsi="Arial" w:cs="Arial"/>
                <w:bCs/>
                <w:color w:val="FFFFFF"/>
                <w:sz w:val="16"/>
                <w:szCs w:val="16"/>
              </w:rPr>
            </w:pPr>
            <w:r w:rsidRPr="00FD723C">
              <w:rPr>
                <w:rFonts w:ascii="Arial" w:hAnsi="Arial" w:cs="Arial"/>
                <w:color w:val="FFFFFF"/>
                <w:sz w:val="16"/>
                <w:szCs w:val="16"/>
              </w:rPr>
              <w:t>(rok, kwartał)</w:t>
            </w:r>
          </w:p>
        </w:tc>
        <w:tc>
          <w:tcPr>
            <w:tcW w:w="1417" w:type="dxa"/>
            <w:shd w:val="clear" w:color="auto" w:fill="99CC00"/>
            <w:vAlign w:val="center"/>
          </w:tcPr>
          <w:p w14:paraId="36C799CB" w14:textId="77777777" w:rsidR="00FD723C" w:rsidRPr="00FD723C" w:rsidRDefault="00FD723C" w:rsidP="00FD723C">
            <w:pPr>
              <w:spacing w:before="60" w:after="60"/>
              <w:jc w:val="center"/>
              <w:rPr>
                <w:rFonts w:ascii="Arial" w:hAnsi="Arial" w:cs="Arial"/>
                <w:bCs/>
                <w:color w:val="FFFFFF"/>
                <w:sz w:val="16"/>
                <w:szCs w:val="16"/>
              </w:rPr>
            </w:pPr>
            <w:r w:rsidRPr="00FD723C">
              <w:rPr>
                <w:rFonts w:ascii="Arial" w:hAnsi="Arial" w:cs="Arial"/>
                <w:color w:val="FFFFFF"/>
                <w:sz w:val="16"/>
                <w:szCs w:val="16"/>
              </w:rPr>
              <w:t>Planowany termin rozpoczęcia wdrażania (rok, kwartał)</w:t>
            </w:r>
          </w:p>
        </w:tc>
        <w:tc>
          <w:tcPr>
            <w:tcW w:w="1418" w:type="dxa"/>
            <w:shd w:val="clear" w:color="auto" w:fill="99CC00"/>
            <w:vAlign w:val="center"/>
          </w:tcPr>
          <w:p w14:paraId="2263CF20" w14:textId="77777777" w:rsidR="00FD723C" w:rsidRPr="00FD723C" w:rsidRDefault="00FD723C" w:rsidP="00FD723C">
            <w:pPr>
              <w:spacing w:before="60" w:after="60"/>
              <w:jc w:val="center"/>
              <w:rPr>
                <w:rFonts w:ascii="Arial" w:hAnsi="Arial" w:cs="Arial"/>
                <w:color w:val="FFFFFF"/>
                <w:sz w:val="16"/>
                <w:szCs w:val="16"/>
              </w:rPr>
            </w:pPr>
            <w:r w:rsidRPr="00FD723C">
              <w:rPr>
                <w:rFonts w:ascii="Arial" w:hAnsi="Arial" w:cs="Arial"/>
                <w:color w:val="FFFFFF"/>
                <w:sz w:val="16"/>
                <w:szCs w:val="16"/>
              </w:rPr>
              <w:t>Planowany termin zakończenia wdrażania dużego projektu</w:t>
            </w:r>
          </w:p>
          <w:p w14:paraId="6A0DB1F3" w14:textId="77777777" w:rsidR="00FD723C" w:rsidRPr="00FD723C" w:rsidRDefault="00FD723C" w:rsidP="00FD723C">
            <w:pPr>
              <w:spacing w:before="60" w:after="60"/>
              <w:jc w:val="center"/>
              <w:rPr>
                <w:rFonts w:ascii="Arial" w:hAnsi="Arial" w:cs="Arial"/>
                <w:bCs/>
                <w:color w:val="FFFFFF"/>
                <w:sz w:val="16"/>
                <w:szCs w:val="16"/>
              </w:rPr>
            </w:pPr>
            <w:r w:rsidRPr="00FD723C">
              <w:rPr>
                <w:rFonts w:ascii="Arial" w:hAnsi="Arial" w:cs="Arial"/>
                <w:color w:val="FFFFFF"/>
                <w:sz w:val="16"/>
                <w:szCs w:val="16"/>
              </w:rPr>
              <w:t>(rok, kwartał)</w:t>
            </w:r>
          </w:p>
        </w:tc>
        <w:tc>
          <w:tcPr>
            <w:tcW w:w="992" w:type="dxa"/>
            <w:shd w:val="clear" w:color="auto" w:fill="99CC00"/>
            <w:vAlign w:val="center"/>
          </w:tcPr>
          <w:p w14:paraId="2A70A161" w14:textId="77777777" w:rsidR="00FD723C" w:rsidRPr="00FD723C" w:rsidRDefault="00FD723C" w:rsidP="00FD723C">
            <w:pPr>
              <w:spacing w:before="60" w:after="60"/>
              <w:jc w:val="center"/>
              <w:rPr>
                <w:rFonts w:ascii="Arial" w:hAnsi="Arial" w:cs="Arial"/>
                <w:bCs/>
                <w:color w:val="FFFFFF"/>
                <w:sz w:val="16"/>
                <w:szCs w:val="16"/>
              </w:rPr>
            </w:pPr>
            <w:r w:rsidRPr="00FD723C">
              <w:rPr>
                <w:rFonts w:ascii="Arial" w:hAnsi="Arial" w:cs="Arial"/>
                <w:bCs/>
                <w:color w:val="FFFFFF"/>
                <w:sz w:val="16"/>
                <w:szCs w:val="16"/>
              </w:rPr>
              <w:t xml:space="preserve">Priorytet </w:t>
            </w:r>
            <w:proofErr w:type="spellStart"/>
            <w:r w:rsidRPr="00FD723C">
              <w:rPr>
                <w:rFonts w:ascii="Arial" w:hAnsi="Arial" w:cs="Arial"/>
                <w:bCs/>
                <w:color w:val="FFFFFF"/>
                <w:sz w:val="16"/>
                <w:szCs w:val="16"/>
              </w:rPr>
              <w:t>inwesty-cyjny</w:t>
            </w:r>
            <w:proofErr w:type="spellEnd"/>
          </w:p>
        </w:tc>
        <w:tc>
          <w:tcPr>
            <w:tcW w:w="992" w:type="dxa"/>
            <w:shd w:val="clear" w:color="auto" w:fill="99CC00"/>
            <w:vAlign w:val="center"/>
          </w:tcPr>
          <w:p w14:paraId="3DEBC182" w14:textId="77777777" w:rsidR="00FD723C" w:rsidRPr="00FD723C" w:rsidRDefault="00FD723C" w:rsidP="00FD723C">
            <w:pPr>
              <w:spacing w:before="60" w:after="60"/>
              <w:jc w:val="center"/>
              <w:rPr>
                <w:rFonts w:ascii="Arial" w:hAnsi="Arial" w:cs="Arial"/>
                <w:bCs/>
                <w:color w:val="FFFFFF"/>
                <w:sz w:val="16"/>
                <w:szCs w:val="16"/>
              </w:rPr>
            </w:pPr>
            <w:r w:rsidRPr="00FD723C">
              <w:rPr>
                <w:rFonts w:ascii="Arial" w:hAnsi="Arial" w:cs="Arial"/>
                <w:bCs/>
                <w:color w:val="FFFFFF"/>
                <w:sz w:val="16"/>
                <w:szCs w:val="16"/>
              </w:rPr>
              <w:t xml:space="preserve">Oś </w:t>
            </w:r>
            <w:proofErr w:type="spellStart"/>
            <w:r w:rsidRPr="00FD723C">
              <w:rPr>
                <w:rFonts w:ascii="Arial" w:hAnsi="Arial" w:cs="Arial"/>
                <w:bCs/>
                <w:color w:val="FFFFFF"/>
                <w:sz w:val="16"/>
                <w:szCs w:val="16"/>
              </w:rPr>
              <w:t>priory-tetowa</w:t>
            </w:r>
            <w:proofErr w:type="spellEnd"/>
          </w:p>
        </w:tc>
      </w:tr>
      <w:tr w:rsidR="00FD723C" w:rsidRPr="00FD723C" w14:paraId="7B7D5CE0" w14:textId="77777777" w:rsidTr="001B2C4E">
        <w:trPr>
          <w:trHeight w:val="780"/>
        </w:trPr>
        <w:tc>
          <w:tcPr>
            <w:tcW w:w="534" w:type="dxa"/>
            <w:shd w:val="clear" w:color="auto" w:fill="F2F2F2"/>
            <w:vAlign w:val="center"/>
          </w:tcPr>
          <w:p w14:paraId="6B297D2F" w14:textId="77777777" w:rsidR="00FD723C" w:rsidRPr="00FD723C" w:rsidRDefault="00FD723C" w:rsidP="00FD723C">
            <w:pPr>
              <w:numPr>
                <w:ilvl w:val="0"/>
                <w:numId w:val="101"/>
              </w:numPr>
              <w:spacing w:before="60" w:after="60" w:line="240" w:lineRule="auto"/>
              <w:contextualSpacing/>
              <w:jc w:val="center"/>
              <w:rPr>
                <w:rFonts w:ascii="Arial" w:hAnsi="Arial" w:cs="Arial"/>
                <w:bCs/>
                <w:sz w:val="16"/>
                <w:szCs w:val="16"/>
              </w:rPr>
            </w:pPr>
            <w:r w:rsidRPr="00FD723C">
              <w:rPr>
                <w:rFonts w:ascii="Arial" w:hAnsi="Arial" w:cs="Arial"/>
                <w:bCs/>
                <w:sz w:val="16"/>
                <w:szCs w:val="16"/>
              </w:rPr>
              <w:t>1.</w:t>
            </w:r>
          </w:p>
        </w:tc>
        <w:tc>
          <w:tcPr>
            <w:tcW w:w="2976" w:type="dxa"/>
            <w:shd w:val="clear" w:color="auto" w:fill="F2F2F2"/>
            <w:vAlign w:val="center"/>
          </w:tcPr>
          <w:p w14:paraId="31B4694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Kompleksowa modernizacja energetyczna wybranych państwowych placówek szkolnictwa </w:t>
            </w:r>
            <w:r w:rsidRPr="00FD723C">
              <w:rPr>
                <w:rFonts w:ascii="Arial" w:hAnsi="Arial" w:cs="Arial"/>
                <w:sz w:val="16"/>
                <w:szCs w:val="16"/>
              </w:rPr>
              <w:lastRenderedPageBreak/>
              <w:t>artystycznego w Polsce</w:t>
            </w:r>
          </w:p>
        </w:tc>
        <w:tc>
          <w:tcPr>
            <w:tcW w:w="1418" w:type="dxa"/>
            <w:shd w:val="clear" w:color="auto" w:fill="F2F2F2"/>
            <w:vAlign w:val="center"/>
          </w:tcPr>
          <w:p w14:paraId="71370C7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lastRenderedPageBreak/>
              <w:t>2016 (IV kw.)</w:t>
            </w:r>
          </w:p>
        </w:tc>
        <w:tc>
          <w:tcPr>
            <w:tcW w:w="1417" w:type="dxa"/>
            <w:shd w:val="clear" w:color="auto" w:fill="F2F2F2"/>
            <w:vAlign w:val="center"/>
          </w:tcPr>
          <w:p w14:paraId="67E675B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8" w:type="dxa"/>
            <w:shd w:val="clear" w:color="auto" w:fill="F2F2F2"/>
            <w:vAlign w:val="center"/>
          </w:tcPr>
          <w:p w14:paraId="0F3DEB5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5579E22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4.iii.</w:t>
            </w:r>
          </w:p>
        </w:tc>
        <w:tc>
          <w:tcPr>
            <w:tcW w:w="992" w:type="dxa"/>
            <w:shd w:val="clear" w:color="auto" w:fill="F2F2F2"/>
            <w:vAlign w:val="center"/>
          </w:tcPr>
          <w:p w14:paraId="3FE6274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w:t>
            </w:r>
          </w:p>
        </w:tc>
      </w:tr>
      <w:tr w:rsidR="00FD723C" w:rsidRPr="00FD723C" w14:paraId="242E0D23" w14:textId="77777777" w:rsidTr="001B2C4E">
        <w:trPr>
          <w:trHeight w:val="454"/>
        </w:trPr>
        <w:tc>
          <w:tcPr>
            <w:tcW w:w="534" w:type="dxa"/>
            <w:shd w:val="clear" w:color="auto" w:fill="F2F2F2"/>
            <w:vAlign w:val="center"/>
          </w:tcPr>
          <w:p w14:paraId="13610346"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2.</w:t>
            </w:r>
          </w:p>
        </w:tc>
        <w:tc>
          <w:tcPr>
            <w:tcW w:w="2976" w:type="dxa"/>
            <w:shd w:val="clear" w:color="auto" w:fill="F2F2F2"/>
            <w:vAlign w:val="center"/>
          </w:tcPr>
          <w:p w14:paraId="0BC75EB0" w14:textId="77777777" w:rsidR="00FD723C" w:rsidRPr="00FD723C" w:rsidRDefault="00FD723C" w:rsidP="00FD723C">
            <w:pPr>
              <w:spacing w:before="60" w:after="60"/>
              <w:jc w:val="center"/>
              <w:rPr>
                <w:rFonts w:ascii="Arial" w:hAnsi="Arial" w:cs="Arial"/>
                <w:color w:val="000000"/>
                <w:sz w:val="16"/>
                <w:szCs w:val="16"/>
              </w:rPr>
            </w:pPr>
            <w:r w:rsidRPr="00FD723C">
              <w:rPr>
                <w:rFonts w:ascii="Arial" w:hAnsi="Arial" w:cs="Arial"/>
                <w:color w:val="000000"/>
                <w:sz w:val="16"/>
                <w:szCs w:val="16"/>
              </w:rPr>
              <w:t xml:space="preserve">Budowa linii </w:t>
            </w:r>
            <w:proofErr w:type="spellStart"/>
            <w:r w:rsidRPr="00FD723C">
              <w:rPr>
                <w:rFonts w:ascii="Arial" w:hAnsi="Arial" w:cs="Arial"/>
                <w:color w:val="000000"/>
                <w:sz w:val="16"/>
                <w:szCs w:val="16"/>
              </w:rPr>
              <w:t>Mikułowa-Czarna</w:t>
            </w:r>
            <w:proofErr w:type="spellEnd"/>
            <w:r w:rsidRPr="00FD723C">
              <w:rPr>
                <w:rFonts w:ascii="Arial" w:hAnsi="Arial" w:cs="Arial"/>
                <w:color w:val="000000"/>
                <w:sz w:val="16"/>
                <w:szCs w:val="16"/>
              </w:rPr>
              <w:t xml:space="preserve"> wraz </w:t>
            </w:r>
            <w:r w:rsidRPr="00FD723C">
              <w:rPr>
                <w:rFonts w:ascii="Arial" w:hAnsi="Arial" w:cs="Arial"/>
                <w:color w:val="000000"/>
                <w:sz w:val="16"/>
                <w:szCs w:val="16"/>
              </w:rPr>
              <w:br/>
              <w:t>z budową/modernizacją stacji w tym ciągu liniowym (PSE  S.A.)</w:t>
            </w:r>
          </w:p>
        </w:tc>
        <w:tc>
          <w:tcPr>
            <w:tcW w:w="1418" w:type="dxa"/>
            <w:shd w:val="clear" w:color="auto" w:fill="F2F2F2"/>
            <w:vAlign w:val="center"/>
          </w:tcPr>
          <w:p w14:paraId="7A8839A3" w14:textId="77777777" w:rsidR="00FD723C" w:rsidRPr="00FD723C" w:rsidRDefault="00FD723C" w:rsidP="00FD723C">
            <w:pPr>
              <w:spacing w:before="60" w:after="60"/>
              <w:jc w:val="center"/>
              <w:rPr>
                <w:rFonts w:ascii="Arial" w:hAnsi="Arial" w:cs="Arial"/>
                <w:color w:val="000000"/>
                <w:sz w:val="16"/>
                <w:szCs w:val="16"/>
              </w:rPr>
            </w:pPr>
            <w:r w:rsidRPr="00FD723C">
              <w:rPr>
                <w:rFonts w:ascii="Arial" w:hAnsi="Arial" w:cs="Arial"/>
                <w:color w:val="000000"/>
                <w:sz w:val="16"/>
                <w:szCs w:val="16"/>
              </w:rPr>
              <w:t>2019 (IV kw.)</w:t>
            </w:r>
          </w:p>
        </w:tc>
        <w:tc>
          <w:tcPr>
            <w:tcW w:w="1417" w:type="dxa"/>
            <w:shd w:val="clear" w:color="auto" w:fill="F2F2F2"/>
            <w:vAlign w:val="center"/>
          </w:tcPr>
          <w:p w14:paraId="571808CA" w14:textId="77777777" w:rsidR="00FD723C" w:rsidRPr="00FD723C" w:rsidRDefault="00FD723C" w:rsidP="00FD723C">
            <w:pPr>
              <w:spacing w:before="60" w:after="60"/>
              <w:jc w:val="center"/>
              <w:rPr>
                <w:rFonts w:ascii="Arial" w:hAnsi="Arial" w:cs="Arial"/>
                <w:color w:val="000000"/>
                <w:sz w:val="16"/>
                <w:szCs w:val="16"/>
              </w:rPr>
            </w:pPr>
            <w:r w:rsidRPr="00FD723C">
              <w:rPr>
                <w:rFonts w:ascii="Arial" w:hAnsi="Arial" w:cs="Arial"/>
                <w:color w:val="000000"/>
                <w:sz w:val="16"/>
                <w:szCs w:val="16"/>
              </w:rPr>
              <w:t>2014 (I kw.)</w:t>
            </w:r>
          </w:p>
        </w:tc>
        <w:tc>
          <w:tcPr>
            <w:tcW w:w="1418" w:type="dxa"/>
            <w:shd w:val="clear" w:color="auto" w:fill="F2F2F2"/>
            <w:vAlign w:val="center"/>
          </w:tcPr>
          <w:p w14:paraId="501620D9" w14:textId="77777777" w:rsidR="00FD723C" w:rsidRPr="00FD723C" w:rsidRDefault="00FD723C" w:rsidP="00FD723C">
            <w:pPr>
              <w:spacing w:before="60" w:after="60"/>
              <w:jc w:val="center"/>
              <w:rPr>
                <w:rFonts w:ascii="Arial" w:hAnsi="Arial" w:cs="Arial"/>
                <w:color w:val="000000"/>
                <w:sz w:val="16"/>
                <w:szCs w:val="16"/>
              </w:rPr>
            </w:pPr>
            <w:r w:rsidRPr="00FD723C">
              <w:rPr>
                <w:rFonts w:ascii="Arial" w:hAnsi="Arial" w:cs="Arial"/>
                <w:color w:val="000000"/>
                <w:sz w:val="16"/>
                <w:szCs w:val="16"/>
              </w:rPr>
              <w:t>2023 (I kw.)</w:t>
            </w:r>
          </w:p>
        </w:tc>
        <w:tc>
          <w:tcPr>
            <w:tcW w:w="992" w:type="dxa"/>
            <w:shd w:val="clear" w:color="auto" w:fill="F2F2F2"/>
            <w:vAlign w:val="center"/>
          </w:tcPr>
          <w:p w14:paraId="7BF6FB25" w14:textId="77777777" w:rsidR="00FD723C" w:rsidRPr="00FD723C" w:rsidRDefault="00FD723C" w:rsidP="00FD723C">
            <w:pPr>
              <w:spacing w:before="60" w:after="60"/>
              <w:jc w:val="center"/>
              <w:rPr>
                <w:rFonts w:ascii="Arial" w:hAnsi="Arial" w:cs="Arial"/>
                <w:color w:val="000000"/>
                <w:sz w:val="16"/>
                <w:szCs w:val="16"/>
              </w:rPr>
            </w:pPr>
            <w:r w:rsidRPr="00FD723C">
              <w:rPr>
                <w:rFonts w:ascii="Arial" w:hAnsi="Arial" w:cs="Arial"/>
                <w:color w:val="000000"/>
                <w:sz w:val="16"/>
                <w:szCs w:val="16"/>
              </w:rPr>
              <w:t>4.i</w:t>
            </w:r>
          </w:p>
        </w:tc>
        <w:tc>
          <w:tcPr>
            <w:tcW w:w="992" w:type="dxa"/>
            <w:shd w:val="clear" w:color="auto" w:fill="F2F2F2"/>
            <w:vAlign w:val="center"/>
          </w:tcPr>
          <w:p w14:paraId="4D0DC43C" w14:textId="77777777" w:rsidR="00FD723C" w:rsidRPr="00FD723C" w:rsidRDefault="00FD723C" w:rsidP="00FD723C">
            <w:pPr>
              <w:spacing w:before="60" w:after="60"/>
              <w:jc w:val="center"/>
              <w:rPr>
                <w:rFonts w:ascii="Arial" w:hAnsi="Arial" w:cs="Arial"/>
                <w:color w:val="000000"/>
                <w:sz w:val="16"/>
                <w:szCs w:val="16"/>
              </w:rPr>
            </w:pPr>
            <w:r w:rsidRPr="00FD723C">
              <w:rPr>
                <w:rFonts w:ascii="Arial" w:hAnsi="Arial" w:cs="Arial"/>
                <w:color w:val="000000"/>
                <w:sz w:val="16"/>
                <w:szCs w:val="16"/>
              </w:rPr>
              <w:t>I</w:t>
            </w:r>
          </w:p>
        </w:tc>
      </w:tr>
      <w:tr w:rsidR="00FD723C" w:rsidRPr="00FD723C" w14:paraId="20D3DB2B" w14:textId="77777777" w:rsidTr="001B2C4E">
        <w:trPr>
          <w:trHeight w:val="424"/>
        </w:trPr>
        <w:tc>
          <w:tcPr>
            <w:tcW w:w="534" w:type="dxa"/>
            <w:shd w:val="clear" w:color="auto" w:fill="F2F2F2"/>
            <w:vAlign w:val="center"/>
          </w:tcPr>
          <w:p w14:paraId="15BABB4E"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3.</w:t>
            </w:r>
          </w:p>
        </w:tc>
        <w:tc>
          <w:tcPr>
            <w:tcW w:w="2976" w:type="dxa"/>
            <w:shd w:val="clear" w:color="auto" w:fill="F2F2F2"/>
            <w:vAlign w:val="center"/>
          </w:tcPr>
          <w:p w14:paraId="37B04CA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Gazociąg Zdzieszowice -Wrocław (GAZ-SYSTEM)</w:t>
            </w:r>
          </w:p>
        </w:tc>
        <w:tc>
          <w:tcPr>
            <w:tcW w:w="1418" w:type="dxa"/>
            <w:shd w:val="clear" w:color="auto" w:fill="F2F2F2"/>
            <w:vAlign w:val="center"/>
          </w:tcPr>
          <w:p w14:paraId="017A11D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(II kw.)</w:t>
            </w:r>
          </w:p>
        </w:tc>
        <w:tc>
          <w:tcPr>
            <w:tcW w:w="1417" w:type="dxa"/>
            <w:shd w:val="clear" w:color="auto" w:fill="F2F2F2"/>
            <w:vAlign w:val="center"/>
          </w:tcPr>
          <w:p w14:paraId="430B372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204FA90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2020 (IV kw.)</w:t>
            </w:r>
          </w:p>
        </w:tc>
        <w:tc>
          <w:tcPr>
            <w:tcW w:w="992" w:type="dxa"/>
            <w:shd w:val="clear" w:color="auto" w:fill="F2F2F2"/>
            <w:vAlign w:val="center"/>
          </w:tcPr>
          <w:p w14:paraId="2B14A9B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52BFBD7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p>
        </w:tc>
      </w:tr>
      <w:tr w:rsidR="00FD723C" w:rsidRPr="00FD723C" w14:paraId="644DE677" w14:textId="77777777" w:rsidTr="001B2C4E">
        <w:trPr>
          <w:trHeight w:val="300"/>
        </w:trPr>
        <w:tc>
          <w:tcPr>
            <w:tcW w:w="534" w:type="dxa"/>
            <w:shd w:val="clear" w:color="auto" w:fill="F2F2F2"/>
            <w:vAlign w:val="center"/>
          </w:tcPr>
          <w:p w14:paraId="7A8BB3CB"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4.</w:t>
            </w:r>
          </w:p>
        </w:tc>
        <w:tc>
          <w:tcPr>
            <w:tcW w:w="2976" w:type="dxa"/>
            <w:shd w:val="clear" w:color="auto" w:fill="F2F2F2"/>
            <w:vAlign w:val="center"/>
          </w:tcPr>
          <w:p w14:paraId="5C7D754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Gazociąg Tworóg – Tworzeń (GAZ-SYSTEM)</w:t>
            </w:r>
          </w:p>
        </w:tc>
        <w:tc>
          <w:tcPr>
            <w:tcW w:w="1418" w:type="dxa"/>
            <w:shd w:val="clear" w:color="auto" w:fill="F2F2F2"/>
            <w:vAlign w:val="center"/>
          </w:tcPr>
          <w:p w14:paraId="5408C21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(III kw.)</w:t>
            </w:r>
          </w:p>
        </w:tc>
        <w:tc>
          <w:tcPr>
            <w:tcW w:w="1417" w:type="dxa"/>
            <w:shd w:val="clear" w:color="auto" w:fill="F2F2F2"/>
            <w:vAlign w:val="center"/>
          </w:tcPr>
          <w:p w14:paraId="6F0AC70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0B81DC6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 kw.)</w:t>
            </w:r>
          </w:p>
        </w:tc>
        <w:tc>
          <w:tcPr>
            <w:tcW w:w="992" w:type="dxa"/>
            <w:shd w:val="clear" w:color="auto" w:fill="F2F2F2"/>
            <w:vAlign w:val="center"/>
          </w:tcPr>
          <w:p w14:paraId="0FF1A10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43BA7CA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p>
        </w:tc>
      </w:tr>
      <w:tr w:rsidR="00FD723C" w:rsidRPr="00FD723C" w14:paraId="5BC09F9C" w14:textId="77777777" w:rsidTr="001B2C4E">
        <w:trPr>
          <w:trHeight w:val="300"/>
        </w:trPr>
        <w:tc>
          <w:tcPr>
            <w:tcW w:w="534" w:type="dxa"/>
            <w:shd w:val="clear" w:color="auto" w:fill="F2F2F2"/>
            <w:vAlign w:val="center"/>
          </w:tcPr>
          <w:p w14:paraId="1B8F5978"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5.</w:t>
            </w:r>
          </w:p>
        </w:tc>
        <w:tc>
          <w:tcPr>
            <w:tcW w:w="2976" w:type="dxa"/>
            <w:shd w:val="clear" w:color="auto" w:fill="F2F2F2"/>
            <w:vAlign w:val="center"/>
          </w:tcPr>
          <w:p w14:paraId="65681C3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Gazociąg Lwówek-Odolanów (GAZ-SYSTEM)</w:t>
            </w:r>
          </w:p>
        </w:tc>
        <w:tc>
          <w:tcPr>
            <w:tcW w:w="1418" w:type="dxa"/>
            <w:shd w:val="clear" w:color="auto" w:fill="F2F2F2"/>
            <w:vAlign w:val="center"/>
          </w:tcPr>
          <w:p w14:paraId="660E8E9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7" w:type="dxa"/>
            <w:shd w:val="clear" w:color="auto" w:fill="F2F2F2"/>
            <w:vAlign w:val="center"/>
          </w:tcPr>
          <w:p w14:paraId="578039C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6D36413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992" w:type="dxa"/>
            <w:shd w:val="clear" w:color="auto" w:fill="F2F2F2"/>
            <w:vAlign w:val="center"/>
          </w:tcPr>
          <w:p w14:paraId="5571C43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0881199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p>
        </w:tc>
      </w:tr>
      <w:tr w:rsidR="00FD723C" w:rsidRPr="00FD723C" w14:paraId="2289E3B1" w14:textId="77777777" w:rsidTr="001B2C4E">
        <w:trPr>
          <w:trHeight w:val="55"/>
        </w:trPr>
        <w:tc>
          <w:tcPr>
            <w:tcW w:w="534" w:type="dxa"/>
            <w:shd w:val="clear" w:color="auto" w:fill="F2F2F2"/>
            <w:vAlign w:val="center"/>
          </w:tcPr>
          <w:p w14:paraId="07B7FC04"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6.</w:t>
            </w:r>
          </w:p>
        </w:tc>
        <w:tc>
          <w:tcPr>
            <w:tcW w:w="2976" w:type="dxa"/>
            <w:shd w:val="clear" w:color="auto" w:fill="F2F2F2"/>
            <w:vAlign w:val="center"/>
          </w:tcPr>
          <w:p w14:paraId="384BDED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Gazociąg Strachocina-Pogórska Wola (GAZ-SYSTEM)</w:t>
            </w:r>
          </w:p>
        </w:tc>
        <w:tc>
          <w:tcPr>
            <w:tcW w:w="1418" w:type="dxa"/>
            <w:shd w:val="clear" w:color="auto" w:fill="F2F2F2"/>
            <w:vAlign w:val="center"/>
          </w:tcPr>
          <w:p w14:paraId="51B109E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0FD6431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2015 (I kw.)</w:t>
            </w:r>
          </w:p>
        </w:tc>
        <w:tc>
          <w:tcPr>
            <w:tcW w:w="1418" w:type="dxa"/>
            <w:shd w:val="clear" w:color="auto" w:fill="F2F2F2"/>
            <w:vAlign w:val="center"/>
          </w:tcPr>
          <w:p w14:paraId="29D9284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(IV kw.)</w:t>
            </w:r>
          </w:p>
        </w:tc>
        <w:tc>
          <w:tcPr>
            <w:tcW w:w="992" w:type="dxa"/>
            <w:shd w:val="clear" w:color="auto" w:fill="F2F2F2"/>
            <w:vAlign w:val="center"/>
          </w:tcPr>
          <w:p w14:paraId="0AEAA128"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663536F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p>
        </w:tc>
      </w:tr>
      <w:tr w:rsidR="00FD723C" w:rsidRPr="00FD723C" w14:paraId="29DE8CF0" w14:textId="77777777" w:rsidTr="001B2C4E">
        <w:trPr>
          <w:trHeight w:val="300"/>
        </w:trPr>
        <w:tc>
          <w:tcPr>
            <w:tcW w:w="534" w:type="dxa"/>
            <w:shd w:val="clear" w:color="auto" w:fill="F2F2F2"/>
            <w:vAlign w:val="center"/>
          </w:tcPr>
          <w:p w14:paraId="1EF0C7DB"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7.</w:t>
            </w:r>
          </w:p>
        </w:tc>
        <w:tc>
          <w:tcPr>
            <w:tcW w:w="2976" w:type="dxa"/>
            <w:shd w:val="clear" w:color="auto" w:fill="F2F2F2"/>
            <w:vAlign w:val="center"/>
          </w:tcPr>
          <w:p w14:paraId="162FEC2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Gazociąg Pogórska Wola-Tworzeń (GAZ-SYSTEM)</w:t>
            </w:r>
          </w:p>
        </w:tc>
        <w:tc>
          <w:tcPr>
            <w:tcW w:w="1418" w:type="dxa"/>
            <w:shd w:val="clear" w:color="auto" w:fill="F2F2F2"/>
            <w:vAlign w:val="center"/>
          </w:tcPr>
          <w:p w14:paraId="4782AA7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7" w:type="dxa"/>
            <w:shd w:val="clear" w:color="auto" w:fill="F2F2F2"/>
            <w:vAlign w:val="center"/>
          </w:tcPr>
          <w:p w14:paraId="7AD1A5F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57D7CFD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0D4C407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41530B1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p>
        </w:tc>
      </w:tr>
      <w:tr w:rsidR="00FD723C" w:rsidRPr="00FD723C" w14:paraId="5241BEE5" w14:textId="77777777" w:rsidTr="001B2C4E">
        <w:trPr>
          <w:trHeight w:val="274"/>
        </w:trPr>
        <w:tc>
          <w:tcPr>
            <w:tcW w:w="534" w:type="dxa"/>
            <w:shd w:val="clear" w:color="auto" w:fill="F2F2F2"/>
            <w:vAlign w:val="center"/>
          </w:tcPr>
          <w:p w14:paraId="59D1A382"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8.</w:t>
            </w:r>
          </w:p>
        </w:tc>
        <w:tc>
          <w:tcPr>
            <w:tcW w:w="2976" w:type="dxa"/>
            <w:shd w:val="clear" w:color="auto" w:fill="F2F2F2"/>
            <w:vAlign w:val="center"/>
          </w:tcPr>
          <w:p w14:paraId="5A7AA7A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Rozszerzenie funkcjonalności terminala LNG w Świnoujściu (Polskie LNG S.A.)</w:t>
            </w:r>
          </w:p>
        </w:tc>
        <w:tc>
          <w:tcPr>
            <w:tcW w:w="1418" w:type="dxa"/>
            <w:shd w:val="clear" w:color="auto" w:fill="F2F2F2"/>
            <w:vAlign w:val="center"/>
          </w:tcPr>
          <w:p w14:paraId="2E7E0A4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1417" w:type="dxa"/>
            <w:shd w:val="clear" w:color="auto" w:fill="F2F2F2"/>
            <w:vAlign w:val="center"/>
          </w:tcPr>
          <w:p w14:paraId="345C4AF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(II kw.)</w:t>
            </w:r>
          </w:p>
        </w:tc>
        <w:tc>
          <w:tcPr>
            <w:tcW w:w="1418" w:type="dxa"/>
            <w:shd w:val="clear" w:color="auto" w:fill="F2F2F2"/>
            <w:vAlign w:val="center"/>
          </w:tcPr>
          <w:p w14:paraId="53B58A8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7691175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373A4A5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p>
        </w:tc>
      </w:tr>
      <w:tr w:rsidR="00FD723C" w:rsidRPr="00FD723C" w14:paraId="7BB9C586" w14:textId="77777777" w:rsidTr="001B2C4E">
        <w:trPr>
          <w:trHeight w:val="495"/>
        </w:trPr>
        <w:tc>
          <w:tcPr>
            <w:tcW w:w="534" w:type="dxa"/>
            <w:shd w:val="clear" w:color="auto" w:fill="F2F2F2"/>
            <w:vAlign w:val="center"/>
          </w:tcPr>
          <w:p w14:paraId="3F453D3E"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9.</w:t>
            </w:r>
          </w:p>
        </w:tc>
        <w:tc>
          <w:tcPr>
            <w:tcW w:w="2976" w:type="dxa"/>
            <w:shd w:val="clear" w:color="auto" w:fill="F2F2F2"/>
            <w:vAlign w:val="center"/>
          </w:tcPr>
          <w:p w14:paraId="5E4B5C7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Modernizacja systemu przesyłowego na Dolnym Śląsku w celu poprawy jego funkcjonalności oraz optymalnego wykorzystania połączenia Polska – Niemcy – faza II</w:t>
            </w:r>
            <w:r w:rsidRPr="00FD723C">
              <w:rPr>
                <w:rFonts w:ascii="Arial" w:hAnsi="Arial" w:cs="Arial"/>
                <w:sz w:val="16"/>
                <w:szCs w:val="16"/>
                <w:vertAlign w:val="superscript"/>
              </w:rPr>
              <w:footnoteReference w:id="145"/>
            </w:r>
          </w:p>
        </w:tc>
        <w:tc>
          <w:tcPr>
            <w:tcW w:w="1418" w:type="dxa"/>
            <w:shd w:val="clear" w:color="auto" w:fill="F2F2F2"/>
            <w:vAlign w:val="center"/>
          </w:tcPr>
          <w:p w14:paraId="0C28605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(III kw.)</w:t>
            </w:r>
          </w:p>
        </w:tc>
        <w:tc>
          <w:tcPr>
            <w:tcW w:w="1417" w:type="dxa"/>
            <w:shd w:val="clear" w:color="auto" w:fill="F2F2F2"/>
            <w:vAlign w:val="center"/>
          </w:tcPr>
          <w:p w14:paraId="040481D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 kw.)</w:t>
            </w:r>
          </w:p>
        </w:tc>
        <w:tc>
          <w:tcPr>
            <w:tcW w:w="1418" w:type="dxa"/>
            <w:shd w:val="clear" w:color="auto" w:fill="F2F2F2"/>
            <w:vAlign w:val="center"/>
          </w:tcPr>
          <w:p w14:paraId="3BF4AF6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992" w:type="dxa"/>
            <w:shd w:val="clear" w:color="auto" w:fill="F2F2F2"/>
            <w:vAlign w:val="center"/>
          </w:tcPr>
          <w:p w14:paraId="34F8D32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48C9AB3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p>
        </w:tc>
      </w:tr>
      <w:tr w:rsidR="00FD723C" w:rsidRPr="00FD723C" w14:paraId="6AE6B0A2" w14:textId="77777777" w:rsidTr="001B2C4E">
        <w:trPr>
          <w:trHeight w:val="495"/>
        </w:trPr>
        <w:tc>
          <w:tcPr>
            <w:tcW w:w="534" w:type="dxa"/>
            <w:shd w:val="clear" w:color="auto" w:fill="F2F2F2"/>
            <w:vAlign w:val="center"/>
          </w:tcPr>
          <w:p w14:paraId="20DBAB81"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10.</w:t>
            </w:r>
          </w:p>
        </w:tc>
        <w:tc>
          <w:tcPr>
            <w:tcW w:w="2976" w:type="dxa"/>
            <w:shd w:val="clear" w:color="auto" w:fill="F2F2F2"/>
            <w:vAlign w:val="center"/>
          </w:tcPr>
          <w:p w14:paraId="264F373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Budowa linii Gdańsk Przyjaźń - Żydowo Kierzkowo – Słupsk wraz z budową stacji w tym ciągu liniowym (PSE S.A.)</w:t>
            </w:r>
          </w:p>
        </w:tc>
        <w:tc>
          <w:tcPr>
            <w:tcW w:w="1418" w:type="dxa"/>
            <w:shd w:val="clear" w:color="auto" w:fill="F2F2F2"/>
            <w:vAlign w:val="center"/>
          </w:tcPr>
          <w:p w14:paraId="48066AD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(IV kw.)</w:t>
            </w:r>
          </w:p>
        </w:tc>
        <w:tc>
          <w:tcPr>
            <w:tcW w:w="1417" w:type="dxa"/>
            <w:shd w:val="clear" w:color="auto" w:fill="F2F2F2"/>
            <w:vAlign w:val="center"/>
          </w:tcPr>
          <w:p w14:paraId="393E5C0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285C634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 kw.)</w:t>
            </w:r>
          </w:p>
        </w:tc>
        <w:tc>
          <w:tcPr>
            <w:tcW w:w="992" w:type="dxa"/>
            <w:shd w:val="clear" w:color="auto" w:fill="F2F2F2"/>
            <w:vAlign w:val="center"/>
          </w:tcPr>
          <w:p w14:paraId="7B59C7F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4.i</w:t>
            </w:r>
          </w:p>
        </w:tc>
        <w:tc>
          <w:tcPr>
            <w:tcW w:w="992" w:type="dxa"/>
            <w:shd w:val="clear" w:color="auto" w:fill="F2F2F2"/>
            <w:vAlign w:val="center"/>
          </w:tcPr>
          <w:p w14:paraId="3E58ACB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w:t>
            </w:r>
          </w:p>
        </w:tc>
      </w:tr>
      <w:tr w:rsidR="00FD723C" w:rsidRPr="00FD723C" w14:paraId="01865E7E" w14:textId="77777777" w:rsidTr="001B2C4E">
        <w:trPr>
          <w:trHeight w:val="495"/>
        </w:trPr>
        <w:tc>
          <w:tcPr>
            <w:tcW w:w="534" w:type="dxa"/>
            <w:shd w:val="clear" w:color="auto" w:fill="F2F2F2"/>
            <w:vAlign w:val="center"/>
          </w:tcPr>
          <w:p w14:paraId="2F1333FC"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11.</w:t>
            </w:r>
          </w:p>
        </w:tc>
        <w:tc>
          <w:tcPr>
            <w:tcW w:w="2976" w:type="dxa"/>
            <w:shd w:val="clear" w:color="auto" w:fill="F2F2F2"/>
            <w:vAlign w:val="center"/>
          </w:tcPr>
          <w:p w14:paraId="0EBE0B37" w14:textId="77777777" w:rsidR="00FD723C" w:rsidRPr="00FD723C" w:rsidRDefault="00FD723C" w:rsidP="00FD723C">
            <w:pPr>
              <w:spacing w:after="0" w:line="240" w:lineRule="auto"/>
              <w:jc w:val="center"/>
              <w:rPr>
                <w:rFonts w:ascii="Arial" w:hAnsi="Arial" w:cs="Arial"/>
                <w:sz w:val="16"/>
                <w:szCs w:val="16"/>
              </w:rPr>
            </w:pPr>
            <w:r w:rsidRPr="00FD723C">
              <w:rPr>
                <w:rFonts w:ascii="Arial" w:hAnsi="Arial" w:cs="Arial"/>
                <w:sz w:val="16"/>
                <w:szCs w:val="16"/>
              </w:rPr>
              <w:t xml:space="preserve">Gazociąg Gustorzyn – Wronów </w:t>
            </w:r>
          </w:p>
          <w:p w14:paraId="2BC0E717" w14:textId="77777777" w:rsidR="00FD723C" w:rsidRPr="00FD723C" w:rsidRDefault="00FD723C" w:rsidP="00FD723C">
            <w:pPr>
              <w:spacing w:after="0" w:line="240" w:lineRule="auto"/>
              <w:jc w:val="center"/>
              <w:rPr>
                <w:rFonts w:ascii="Arial" w:hAnsi="Arial" w:cs="Arial"/>
                <w:sz w:val="16"/>
                <w:szCs w:val="16"/>
              </w:rPr>
            </w:pPr>
            <w:r w:rsidRPr="00FD723C">
              <w:rPr>
                <w:rFonts w:ascii="Arial" w:hAnsi="Arial" w:cs="Arial"/>
                <w:sz w:val="16"/>
                <w:szCs w:val="16"/>
              </w:rPr>
              <w:t>(w tym:</w:t>
            </w:r>
          </w:p>
          <w:p w14:paraId="226E3A58" w14:textId="77777777" w:rsidR="00FD723C" w:rsidRPr="00FD723C" w:rsidRDefault="00FD723C" w:rsidP="00FD723C">
            <w:pPr>
              <w:spacing w:after="0" w:line="240" w:lineRule="auto"/>
              <w:jc w:val="center"/>
              <w:rPr>
                <w:rFonts w:ascii="Arial" w:hAnsi="Arial" w:cs="Arial"/>
                <w:sz w:val="16"/>
                <w:szCs w:val="16"/>
              </w:rPr>
            </w:pPr>
            <w:r w:rsidRPr="00FD723C">
              <w:rPr>
                <w:rFonts w:ascii="Arial" w:hAnsi="Arial" w:cs="Arial"/>
                <w:sz w:val="16"/>
                <w:szCs w:val="16"/>
              </w:rPr>
              <w:t>- Budowa gazociągu Gustorzyn-Wronów etap I, gazociąg Gustorzyn-Leśniewice</w:t>
            </w:r>
          </w:p>
          <w:p w14:paraId="79C10567" w14:textId="77777777" w:rsidR="00FD723C" w:rsidRPr="00FD723C" w:rsidRDefault="00FD723C" w:rsidP="00FD723C">
            <w:pPr>
              <w:spacing w:after="0" w:line="240" w:lineRule="auto"/>
              <w:jc w:val="center"/>
              <w:rPr>
                <w:rFonts w:ascii="Arial" w:hAnsi="Arial" w:cs="Arial"/>
                <w:sz w:val="16"/>
                <w:szCs w:val="16"/>
              </w:rPr>
            </w:pPr>
            <w:r w:rsidRPr="00FD723C">
              <w:rPr>
                <w:rFonts w:ascii="Arial" w:hAnsi="Arial" w:cs="Arial"/>
                <w:sz w:val="16"/>
                <w:szCs w:val="16"/>
              </w:rPr>
              <w:t xml:space="preserve">- Gazociąg Gustorzyn-Wronów – budowa odcinka Leśniewice-Wronów) </w:t>
            </w:r>
          </w:p>
          <w:p w14:paraId="7CF92C89" w14:textId="77777777" w:rsidR="00FD723C" w:rsidRPr="00FD723C" w:rsidRDefault="00FD723C" w:rsidP="00FD723C">
            <w:pPr>
              <w:spacing w:after="0" w:line="240" w:lineRule="auto"/>
              <w:jc w:val="center"/>
              <w:rPr>
                <w:rFonts w:ascii="Arial" w:hAnsi="Arial" w:cs="Arial"/>
                <w:sz w:val="16"/>
                <w:szCs w:val="16"/>
              </w:rPr>
            </w:pPr>
            <w:r w:rsidRPr="00FD723C">
              <w:rPr>
                <w:rFonts w:ascii="Arial" w:hAnsi="Arial" w:cs="Arial"/>
                <w:sz w:val="16"/>
                <w:szCs w:val="16"/>
              </w:rPr>
              <w:t>(GAZ-SYSTEM)</w:t>
            </w:r>
          </w:p>
          <w:p w14:paraId="7E2E882A" w14:textId="77777777" w:rsidR="00FD723C" w:rsidRPr="00FD723C" w:rsidRDefault="00FD723C" w:rsidP="00FD723C">
            <w:pPr>
              <w:spacing w:after="0" w:line="240" w:lineRule="auto"/>
              <w:jc w:val="center"/>
              <w:rPr>
                <w:rFonts w:ascii="Arial" w:hAnsi="Arial" w:cs="Arial"/>
                <w:sz w:val="16"/>
                <w:szCs w:val="16"/>
              </w:rPr>
            </w:pPr>
          </w:p>
        </w:tc>
        <w:tc>
          <w:tcPr>
            <w:tcW w:w="1418" w:type="dxa"/>
            <w:shd w:val="clear" w:color="auto" w:fill="F2F2F2"/>
            <w:vAlign w:val="center"/>
          </w:tcPr>
          <w:p w14:paraId="5A2AB1F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(II/III kw.)</w:t>
            </w:r>
            <w:r w:rsidRPr="00FD723C" w:rsidDel="00233C2E">
              <w:rPr>
                <w:rFonts w:ascii="Arial" w:hAnsi="Arial" w:cs="Arial"/>
                <w:sz w:val="16"/>
                <w:szCs w:val="16"/>
              </w:rPr>
              <w:t xml:space="preserve"> </w:t>
            </w:r>
          </w:p>
        </w:tc>
        <w:tc>
          <w:tcPr>
            <w:tcW w:w="1417" w:type="dxa"/>
            <w:shd w:val="clear" w:color="auto" w:fill="F2F2F2"/>
            <w:vAlign w:val="center"/>
          </w:tcPr>
          <w:p w14:paraId="32FA0A3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2021 (II kw.)</w:t>
            </w:r>
            <w:r w:rsidRPr="00FD723C" w:rsidDel="00233C2E">
              <w:rPr>
                <w:rFonts w:ascii="Arial" w:hAnsi="Arial" w:cs="Arial"/>
                <w:sz w:val="16"/>
                <w:szCs w:val="16"/>
              </w:rPr>
              <w:t xml:space="preserve"> </w:t>
            </w:r>
          </w:p>
        </w:tc>
        <w:tc>
          <w:tcPr>
            <w:tcW w:w="1418" w:type="dxa"/>
            <w:shd w:val="clear" w:color="auto" w:fill="F2F2F2"/>
            <w:vAlign w:val="center"/>
          </w:tcPr>
          <w:p w14:paraId="3D662C9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13C912B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7.e</w:t>
            </w:r>
          </w:p>
        </w:tc>
        <w:tc>
          <w:tcPr>
            <w:tcW w:w="992" w:type="dxa"/>
            <w:shd w:val="clear" w:color="auto" w:fill="F2F2F2"/>
            <w:vAlign w:val="center"/>
          </w:tcPr>
          <w:p w14:paraId="23E0C8D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VII</w:t>
            </w:r>
            <w:r w:rsidRPr="00FD723C">
              <w:rPr>
                <w:rFonts w:ascii="Arial" w:hAnsi="Arial" w:cs="Arial"/>
                <w:sz w:val="16"/>
                <w:szCs w:val="16"/>
                <w:vertAlign w:val="superscript"/>
              </w:rPr>
              <w:footnoteReference w:id="146"/>
            </w:r>
            <w:r w:rsidRPr="00FD723C">
              <w:rPr>
                <w:rFonts w:ascii="Arial" w:hAnsi="Arial" w:cs="Arial"/>
                <w:sz w:val="16"/>
                <w:szCs w:val="16"/>
              </w:rPr>
              <w:t xml:space="preserve"> / XI</w:t>
            </w:r>
            <w:r w:rsidRPr="00FD723C">
              <w:rPr>
                <w:rFonts w:ascii="Arial" w:hAnsi="Arial" w:cs="Arial"/>
                <w:sz w:val="16"/>
                <w:szCs w:val="16"/>
                <w:vertAlign w:val="superscript"/>
              </w:rPr>
              <w:footnoteReference w:id="147"/>
            </w:r>
          </w:p>
        </w:tc>
      </w:tr>
    </w:tbl>
    <w:p w14:paraId="2BAD8DC8" w14:textId="77777777" w:rsidR="00FD723C" w:rsidRPr="00FD723C" w:rsidRDefault="00FD723C" w:rsidP="00FD723C">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3C24F61B" w14:textId="77777777" w:rsidR="00FD723C" w:rsidRPr="00FD723C" w:rsidRDefault="00FD723C" w:rsidP="00FD723C">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r w:rsidRPr="00FD723C">
        <w:rPr>
          <w:rFonts w:ascii="Arial" w:eastAsia="Times New Roman" w:hAnsi="Arial"/>
          <w:smallCaps/>
          <w:color w:val="669900"/>
          <w:spacing w:val="10"/>
          <w:sz w:val="24"/>
          <w:szCs w:val="24"/>
          <w:lang w:eastAsia="pl-PL"/>
        </w:rPr>
        <w:t>3. Sektor Środowiska</w:t>
      </w: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ayout w:type="fixed"/>
        <w:tblLook w:val="00A0" w:firstRow="1" w:lastRow="0" w:firstColumn="1" w:lastColumn="0" w:noHBand="0" w:noVBand="0"/>
      </w:tblPr>
      <w:tblGrid>
        <w:gridCol w:w="534"/>
        <w:gridCol w:w="2976"/>
        <w:gridCol w:w="1418"/>
        <w:gridCol w:w="1417"/>
        <w:gridCol w:w="1418"/>
        <w:gridCol w:w="992"/>
        <w:gridCol w:w="992"/>
      </w:tblGrid>
      <w:tr w:rsidR="00FD723C" w:rsidRPr="00FD723C" w14:paraId="54558B78" w14:textId="77777777" w:rsidTr="001B2C4E">
        <w:trPr>
          <w:trHeight w:val="274"/>
        </w:trPr>
        <w:tc>
          <w:tcPr>
            <w:tcW w:w="534" w:type="dxa"/>
            <w:shd w:val="clear" w:color="auto" w:fill="99CC00"/>
            <w:vAlign w:val="center"/>
          </w:tcPr>
          <w:p w14:paraId="71022DBA" w14:textId="77777777" w:rsidR="00FD723C" w:rsidRPr="00FD723C" w:rsidRDefault="00FD723C" w:rsidP="00FD723C">
            <w:pPr>
              <w:spacing w:after="120"/>
              <w:rPr>
                <w:rFonts w:ascii="Arial" w:hAnsi="Arial" w:cs="Arial"/>
                <w:bCs/>
                <w:color w:val="FFFFFF"/>
                <w:sz w:val="16"/>
                <w:szCs w:val="16"/>
              </w:rPr>
            </w:pPr>
            <w:r w:rsidRPr="00FD723C">
              <w:rPr>
                <w:rFonts w:ascii="Arial" w:hAnsi="Arial" w:cs="Arial"/>
                <w:bCs/>
                <w:color w:val="FFFFFF"/>
                <w:sz w:val="16"/>
                <w:szCs w:val="16"/>
              </w:rPr>
              <w:t>L.p.</w:t>
            </w:r>
          </w:p>
        </w:tc>
        <w:tc>
          <w:tcPr>
            <w:tcW w:w="2976" w:type="dxa"/>
            <w:shd w:val="clear" w:color="auto" w:fill="99CC00"/>
            <w:vAlign w:val="center"/>
          </w:tcPr>
          <w:p w14:paraId="7BA13ED7" w14:textId="77777777" w:rsidR="00FD723C" w:rsidRPr="00FD723C" w:rsidRDefault="00FD723C" w:rsidP="00FD723C">
            <w:pPr>
              <w:spacing w:after="120"/>
              <w:rPr>
                <w:rFonts w:ascii="Arial" w:hAnsi="Arial" w:cs="Arial"/>
                <w:bCs/>
                <w:color w:val="FFFFFF"/>
                <w:sz w:val="16"/>
                <w:szCs w:val="16"/>
              </w:rPr>
            </w:pPr>
            <w:r w:rsidRPr="00FD723C">
              <w:rPr>
                <w:rFonts w:ascii="Arial" w:hAnsi="Arial" w:cs="Arial"/>
                <w:bCs/>
                <w:color w:val="FFFFFF"/>
                <w:sz w:val="16"/>
                <w:szCs w:val="16"/>
              </w:rPr>
              <w:t>Nazwa projektu</w:t>
            </w:r>
          </w:p>
        </w:tc>
        <w:tc>
          <w:tcPr>
            <w:tcW w:w="1418" w:type="dxa"/>
            <w:shd w:val="clear" w:color="auto" w:fill="99CC00"/>
            <w:vAlign w:val="center"/>
          </w:tcPr>
          <w:p w14:paraId="73F4AB20" w14:textId="77777777" w:rsidR="00FD723C" w:rsidRPr="00FD723C" w:rsidRDefault="00FD723C" w:rsidP="00FD723C">
            <w:pPr>
              <w:spacing w:after="120"/>
              <w:jc w:val="center"/>
              <w:rPr>
                <w:rFonts w:ascii="Arial" w:hAnsi="Arial" w:cs="Arial"/>
                <w:color w:val="FFFFFF"/>
                <w:sz w:val="16"/>
                <w:szCs w:val="16"/>
              </w:rPr>
            </w:pPr>
            <w:r w:rsidRPr="00FD723C">
              <w:rPr>
                <w:rFonts w:ascii="Arial" w:hAnsi="Arial" w:cs="Arial"/>
                <w:color w:val="FFFFFF"/>
                <w:sz w:val="16"/>
                <w:szCs w:val="16"/>
              </w:rPr>
              <w:t xml:space="preserve">Planowany termin notyfikacji/ przedłożenia w KE wniosku </w:t>
            </w:r>
            <w:proofErr w:type="spellStart"/>
            <w:r w:rsidRPr="00FD723C">
              <w:rPr>
                <w:rFonts w:ascii="Arial" w:hAnsi="Arial" w:cs="Arial"/>
                <w:color w:val="FFFFFF"/>
                <w:sz w:val="16"/>
                <w:szCs w:val="16"/>
              </w:rPr>
              <w:t>ws</w:t>
            </w:r>
            <w:proofErr w:type="spellEnd"/>
            <w:r w:rsidRPr="00FD723C">
              <w:rPr>
                <w:rFonts w:ascii="Arial" w:hAnsi="Arial" w:cs="Arial"/>
                <w:color w:val="FFFFFF"/>
                <w:sz w:val="16"/>
                <w:szCs w:val="16"/>
              </w:rPr>
              <w:t>. dużego projektu</w:t>
            </w:r>
          </w:p>
          <w:p w14:paraId="0C55CF8F" w14:textId="77777777" w:rsidR="00FD723C" w:rsidRPr="00FD723C" w:rsidRDefault="00FD723C" w:rsidP="00FD723C">
            <w:pPr>
              <w:spacing w:after="120"/>
              <w:jc w:val="center"/>
              <w:rPr>
                <w:rFonts w:ascii="Arial" w:hAnsi="Arial" w:cs="Arial"/>
                <w:bCs/>
                <w:color w:val="FFFFFF"/>
                <w:sz w:val="16"/>
                <w:szCs w:val="16"/>
              </w:rPr>
            </w:pPr>
            <w:r w:rsidRPr="00FD723C">
              <w:rPr>
                <w:rFonts w:ascii="Arial" w:hAnsi="Arial" w:cs="Arial"/>
                <w:color w:val="FFFFFF"/>
                <w:sz w:val="16"/>
                <w:szCs w:val="16"/>
              </w:rPr>
              <w:t>(rok, kwartał)</w:t>
            </w:r>
          </w:p>
        </w:tc>
        <w:tc>
          <w:tcPr>
            <w:tcW w:w="1417" w:type="dxa"/>
            <w:shd w:val="clear" w:color="auto" w:fill="99CC00"/>
            <w:vAlign w:val="center"/>
          </w:tcPr>
          <w:p w14:paraId="530847D6" w14:textId="77777777" w:rsidR="00FD723C" w:rsidRPr="00FD723C" w:rsidRDefault="00FD723C" w:rsidP="00FD723C">
            <w:pPr>
              <w:spacing w:after="120"/>
              <w:jc w:val="center"/>
              <w:rPr>
                <w:rFonts w:ascii="Arial" w:hAnsi="Arial" w:cs="Arial"/>
                <w:bCs/>
                <w:color w:val="FFFFFF"/>
                <w:sz w:val="16"/>
                <w:szCs w:val="16"/>
              </w:rPr>
            </w:pPr>
            <w:r w:rsidRPr="00FD723C">
              <w:rPr>
                <w:rFonts w:ascii="Arial" w:hAnsi="Arial" w:cs="Arial"/>
                <w:color w:val="FFFFFF"/>
                <w:sz w:val="16"/>
                <w:szCs w:val="16"/>
              </w:rPr>
              <w:t>Planowany termin rozpoczęcia wdrażania (rok, kwartał)</w:t>
            </w:r>
          </w:p>
        </w:tc>
        <w:tc>
          <w:tcPr>
            <w:tcW w:w="1418" w:type="dxa"/>
            <w:shd w:val="clear" w:color="auto" w:fill="99CC00"/>
            <w:vAlign w:val="center"/>
          </w:tcPr>
          <w:p w14:paraId="7FB8C0FE" w14:textId="77777777" w:rsidR="00FD723C" w:rsidRPr="00FD723C" w:rsidRDefault="00FD723C" w:rsidP="00FD723C">
            <w:pPr>
              <w:spacing w:after="120"/>
              <w:jc w:val="center"/>
              <w:rPr>
                <w:rFonts w:ascii="Arial" w:hAnsi="Arial" w:cs="Arial"/>
                <w:color w:val="FFFFFF"/>
                <w:sz w:val="16"/>
                <w:szCs w:val="16"/>
              </w:rPr>
            </w:pPr>
            <w:r w:rsidRPr="00FD723C">
              <w:rPr>
                <w:rFonts w:ascii="Arial" w:hAnsi="Arial" w:cs="Arial"/>
                <w:color w:val="FFFFFF"/>
                <w:sz w:val="16"/>
                <w:szCs w:val="16"/>
              </w:rPr>
              <w:t>Planowany termin zakończenia wdrażania dużego projektu</w:t>
            </w:r>
          </w:p>
          <w:p w14:paraId="6DD0D1D2" w14:textId="77777777" w:rsidR="00FD723C" w:rsidRPr="00FD723C" w:rsidRDefault="00FD723C" w:rsidP="00FD723C">
            <w:pPr>
              <w:spacing w:after="120"/>
              <w:jc w:val="center"/>
              <w:rPr>
                <w:rFonts w:ascii="Arial" w:hAnsi="Arial" w:cs="Arial"/>
                <w:bCs/>
                <w:color w:val="FFFFFF"/>
                <w:sz w:val="16"/>
                <w:szCs w:val="16"/>
              </w:rPr>
            </w:pPr>
            <w:r w:rsidRPr="00FD723C">
              <w:rPr>
                <w:rFonts w:ascii="Arial" w:hAnsi="Arial" w:cs="Arial"/>
                <w:color w:val="FFFFFF"/>
                <w:sz w:val="16"/>
                <w:szCs w:val="16"/>
              </w:rPr>
              <w:t>(rok, kwartał)</w:t>
            </w:r>
          </w:p>
        </w:tc>
        <w:tc>
          <w:tcPr>
            <w:tcW w:w="992" w:type="dxa"/>
            <w:shd w:val="clear" w:color="auto" w:fill="99CC00"/>
            <w:vAlign w:val="center"/>
          </w:tcPr>
          <w:p w14:paraId="7F0E67BC" w14:textId="77777777" w:rsidR="00FD723C" w:rsidRPr="00FD723C" w:rsidRDefault="00FD723C" w:rsidP="00FD723C">
            <w:pPr>
              <w:spacing w:after="120"/>
              <w:jc w:val="center"/>
              <w:rPr>
                <w:rFonts w:ascii="Arial" w:hAnsi="Arial" w:cs="Arial"/>
                <w:bCs/>
                <w:color w:val="FFFFFF"/>
                <w:sz w:val="16"/>
                <w:szCs w:val="16"/>
              </w:rPr>
            </w:pPr>
            <w:r w:rsidRPr="00FD723C">
              <w:rPr>
                <w:rFonts w:ascii="Arial" w:hAnsi="Arial" w:cs="Arial"/>
                <w:bCs/>
                <w:color w:val="FFFFFF"/>
                <w:sz w:val="16"/>
                <w:szCs w:val="16"/>
              </w:rPr>
              <w:t xml:space="preserve">Priorytet </w:t>
            </w:r>
            <w:proofErr w:type="spellStart"/>
            <w:r w:rsidRPr="00FD723C">
              <w:rPr>
                <w:rFonts w:ascii="Arial" w:hAnsi="Arial" w:cs="Arial"/>
                <w:bCs/>
                <w:color w:val="FFFFFF"/>
                <w:sz w:val="16"/>
                <w:szCs w:val="16"/>
              </w:rPr>
              <w:t>inwesty-cyjny</w:t>
            </w:r>
            <w:proofErr w:type="spellEnd"/>
          </w:p>
        </w:tc>
        <w:tc>
          <w:tcPr>
            <w:tcW w:w="992" w:type="dxa"/>
            <w:shd w:val="clear" w:color="auto" w:fill="99CC00"/>
            <w:vAlign w:val="center"/>
          </w:tcPr>
          <w:p w14:paraId="66AEA0A3" w14:textId="77777777" w:rsidR="00FD723C" w:rsidRPr="00FD723C" w:rsidRDefault="00FD723C" w:rsidP="00FD723C">
            <w:pPr>
              <w:spacing w:after="120"/>
              <w:jc w:val="center"/>
              <w:rPr>
                <w:rFonts w:ascii="Arial" w:hAnsi="Arial" w:cs="Arial"/>
                <w:bCs/>
                <w:color w:val="FFFFFF"/>
                <w:sz w:val="16"/>
                <w:szCs w:val="16"/>
              </w:rPr>
            </w:pPr>
            <w:r w:rsidRPr="00FD723C">
              <w:rPr>
                <w:rFonts w:ascii="Arial" w:hAnsi="Arial" w:cs="Arial"/>
                <w:bCs/>
                <w:color w:val="FFFFFF"/>
                <w:sz w:val="16"/>
                <w:szCs w:val="16"/>
              </w:rPr>
              <w:t xml:space="preserve">Oś </w:t>
            </w:r>
            <w:proofErr w:type="spellStart"/>
            <w:r w:rsidRPr="00FD723C">
              <w:rPr>
                <w:rFonts w:ascii="Arial" w:hAnsi="Arial" w:cs="Arial"/>
                <w:bCs/>
                <w:color w:val="FFFFFF"/>
                <w:sz w:val="16"/>
                <w:szCs w:val="16"/>
              </w:rPr>
              <w:t>priory-tetowa</w:t>
            </w:r>
            <w:proofErr w:type="spellEnd"/>
          </w:p>
        </w:tc>
      </w:tr>
      <w:tr w:rsidR="00FD723C" w:rsidRPr="00FD723C" w14:paraId="1554E8E2" w14:textId="77777777" w:rsidTr="001B2C4E">
        <w:trPr>
          <w:trHeight w:val="753"/>
        </w:trPr>
        <w:tc>
          <w:tcPr>
            <w:tcW w:w="534" w:type="dxa"/>
            <w:shd w:val="clear" w:color="auto" w:fill="F2F2F2"/>
            <w:vAlign w:val="center"/>
          </w:tcPr>
          <w:p w14:paraId="70D456E7" w14:textId="77777777" w:rsidR="00FD723C" w:rsidRPr="00FD723C" w:rsidRDefault="00FD723C" w:rsidP="00FD723C">
            <w:pPr>
              <w:rPr>
                <w:rFonts w:ascii="Arial" w:hAnsi="Arial" w:cs="Arial"/>
                <w:bCs/>
                <w:sz w:val="16"/>
                <w:szCs w:val="16"/>
              </w:rPr>
            </w:pPr>
            <w:r w:rsidRPr="00FD723C">
              <w:rPr>
                <w:rFonts w:ascii="Arial" w:hAnsi="Arial" w:cs="Arial"/>
                <w:bCs/>
                <w:sz w:val="16"/>
                <w:szCs w:val="16"/>
              </w:rPr>
              <w:t>1.</w:t>
            </w:r>
          </w:p>
        </w:tc>
        <w:tc>
          <w:tcPr>
            <w:tcW w:w="2976" w:type="dxa"/>
            <w:shd w:val="clear" w:color="auto" w:fill="F2F2F2"/>
            <w:vAlign w:val="center"/>
          </w:tcPr>
          <w:p w14:paraId="1D16D3BB" w14:textId="77777777" w:rsidR="00FD723C" w:rsidRPr="00FD723C" w:rsidRDefault="00FD723C" w:rsidP="00FD723C">
            <w:pPr>
              <w:spacing w:before="60" w:after="60"/>
              <w:rPr>
                <w:rFonts w:ascii="Arial" w:hAnsi="Arial" w:cs="Arial"/>
                <w:bCs/>
                <w:sz w:val="16"/>
                <w:szCs w:val="16"/>
              </w:rPr>
            </w:pPr>
            <w:r w:rsidRPr="00FD723C">
              <w:rPr>
                <w:rFonts w:ascii="Arial" w:hAnsi="Arial" w:cs="Arial"/>
                <w:bCs/>
                <w:sz w:val="16"/>
                <w:szCs w:val="16"/>
              </w:rPr>
              <w:t>Zbiornik przeciwpowodziowy Racibórz Dolny na rzece Odrze w województwie śląskim (polder)</w:t>
            </w:r>
          </w:p>
        </w:tc>
        <w:tc>
          <w:tcPr>
            <w:tcW w:w="1418" w:type="dxa"/>
            <w:shd w:val="clear" w:color="auto" w:fill="F2F2F2"/>
            <w:vAlign w:val="center"/>
          </w:tcPr>
          <w:p w14:paraId="0FC5717F"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2016 (IV kw.)</w:t>
            </w:r>
          </w:p>
        </w:tc>
        <w:tc>
          <w:tcPr>
            <w:tcW w:w="1417" w:type="dxa"/>
            <w:shd w:val="clear" w:color="auto" w:fill="F2F2F2"/>
            <w:vAlign w:val="center"/>
          </w:tcPr>
          <w:p w14:paraId="249FD055"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2013 (II kw.)</w:t>
            </w:r>
          </w:p>
        </w:tc>
        <w:tc>
          <w:tcPr>
            <w:tcW w:w="1418" w:type="dxa"/>
            <w:shd w:val="clear" w:color="auto" w:fill="F2F2F2"/>
            <w:vAlign w:val="center"/>
          </w:tcPr>
          <w:p w14:paraId="22081363"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2020 (IV kw.)</w:t>
            </w:r>
          </w:p>
        </w:tc>
        <w:tc>
          <w:tcPr>
            <w:tcW w:w="992" w:type="dxa"/>
            <w:shd w:val="clear" w:color="auto" w:fill="F2F2F2"/>
            <w:vAlign w:val="center"/>
          </w:tcPr>
          <w:p w14:paraId="2ADC93E2"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5.ii.</w:t>
            </w:r>
          </w:p>
        </w:tc>
        <w:tc>
          <w:tcPr>
            <w:tcW w:w="992" w:type="dxa"/>
            <w:shd w:val="clear" w:color="auto" w:fill="F2F2F2"/>
            <w:vAlign w:val="center"/>
          </w:tcPr>
          <w:p w14:paraId="6B22138D" w14:textId="77777777" w:rsidR="00FD723C" w:rsidRPr="00FD723C" w:rsidRDefault="00FD723C" w:rsidP="00FD723C">
            <w:pPr>
              <w:spacing w:before="60" w:after="60"/>
              <w:jc w:val="center"/>
              <w:rPr>
                <w:rFonts w:ascii="Arial" w:hAnsi="Arial" w:cs="Arial"/>
                <w:bCs/>
                <w:sz w:val="16"/>
                <w:szCs w:val="16"/>
              </w:rPr>
            </w:pPr>
            <w:r w:rsidRPr="00FD723C">
              <w:rPr>
                <w:rFonts w:ascii="Arial" w:hAnsi="Arial" w:cs="Arial"/>
                <w:bCs/>
                <w:sz w:val="16"/>
                <w:szCs w:val="16"/>
              </w:rPr>
              <w:t>II</w:t>
            </w:r>
          </w:p>
        </w:tc>
      </w:tr>
      <w:tr w:rsidR="00FD723C" w:rsidRPr="00FD723C" w14:paraId="554CD71E" w14:textId="77777777" w:rsidTr="001B2C4E">
        <w:trPr>
          <w:trHeight w:val="852"/>
        </w:trPr>
        <w:tc>
          <w:tcPr>
            <w:tcW w:w="534" w:type="dxa"/>
            <w:shd w:val="clear" w:color="auto" w:fill="F2F2F2"/>
            <w:vAlign w:val="center"/>
          </w:tcPr>
          <w:p w14:paraId="7576E5DD" w14:textId="77777777" w:rsidR="00FD723C" w:rsidRPr="00FD723C" w:rsidRDefault="00FD723C" w:rsidP="00FD723C">
            <w:pPr>
              <w:rPr>
                <w:rFonts w:ascii="Arial" w:hAnsi="Arial" w:cs="Arial"/>
                <w:bCs/>
                <w:sz w:val="16"/>
                <w:szCs w:val="16"/>
              </w:rPr>
            </w:pPr>
            <w:r w:rsidRPr="00FD723C">
              <w:rPr>
                <w:rFonts w:ascii="Arial" w:hAnsi="Arial" w:cs="Arial"/>
                <w:bCs/>
                <w:sz w:val="16"/>
                <w:szCs w:val="16"/>
              </w:rPr>
              <w:lastRenderedPageBreak/>
              <w:t>2.</w:t>
            </w:r>
          </w:p>
        </w:tc>
        <w:tc>
          <w:tcPr>
            <w:tcW w:w="2976" w:type="dxa"/>
            <w:shd w:val="clear" w:color="auto" w:fill="F2F2F2"/>
            <w:vAlign w:val="center"/>
          </w:tcPr>
          <w:p w14:paraId="6D5D3F3A" w14:textId="77777777" w:rsidR="00FD723C" w:rsidRPr="00FD723C" w:rsidRDefault="00FD723C" w:rsidP="00FD723C">
            <w:pPr>
              <w:spacing w:before="60" w:after="60"/>
              <w:rPr>
                <w:rFonts w:ascii="Arial" w:hAnsi="Arial" w:cs="Arial"/>
                <w:sz w:val="16"/>
                <w:szCs w:val="16"/>
              </w:rPr>
            </w:pPr>
            <w:r w:rsidRPr="00FD723C">
              <w:rPr>
                <w:rFonts w:ascii="Arial" w:hAnsi="Arial" w:cs="Arial"/>
                <w:bCs/>
                <w:sz w:val="16"/>
                <w:szCs w:val="16"/>
              </w:rPr>
              <w:t>Ochrona przed powodzią Kotliny Kłodzkiej ze szczególnym uwzględnieniem ochrony Miasta Kłodzka</w:t>
            </w:r>
          </w:p>
        </w:tc>
        <w:tc>
          <w:tcPr>
            <w:tcW w:w="1418" w:type="dxa"/>
            <w:shd w:val="clear" w:color="auto" w:fill="F2F2F2"/>
            <w:vAlign w:val="center"/>
          </w:tcPr>
          <w:p w14:paraId="2D4F7C4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5D603C8F"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8" w:type="dxa"/>
            <w:shd w:val="clear" w:color="auto" w:fill="F2F2F2"/>
            <w:vAlign w:val="center"/>
          </w:tcPr>
          <w:p w14:paraId="500028B1"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 xml:space="preserve"> 2023 (III kw.)</w:t>
            </w:r>
          </w:p>
        </w:tc>
        <w:tc>
          <w:tcPr>
            <w:tcW w:w="992" w:type="dxa"/>
            <w:shd w:val="clear" w:color="auto" w:fill="F2F2F2"/>
            <w:vAlign w:val="center"/>
          </w:tcPr>
          <w:p w14:paraId="3125F9F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5.ii.</w:t>
            </w:r>
          </w:p>
        </w:tc>
        <w:tc>
          <w:tcPr>
            <w:tcW w:w="992" w:type="dxa"/>
            <w:shd w:val="clear" w:color="auto" w:fill="F2F2F2"/>
            <w:vAlign w:val="center"/>
          </w:tcPr>
          <w:p w14:paraId="18F39FF9"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w:t>
            </w:r>
          </w:p>
        </w:tc>
      </w:tr>
      <w:tr w:rsidR="00FD723C" w:rsidRPr="00FD723C" w14:paraId="3A5319DD" w14:textId="77777777" w:rsidTr="001B2C4E">
        <w:trPr>
          <w:trHeight w:val="892"/>
        </w:trPr>
        <w:tc>
          <w:tcPr>
            <w:tcW w:w="534" w:type="dxa"/>
            <w:shd w:val="clear" w:color="auto" w:fill="F2F2F2"/>
            <w:vAlign w:val="center"/>
          </w:tcPr>
          <w:p w14:paraId="7FE5748F" w14:textId="77777777" w:rsidR="00FD723C" w:rsidRPr="00FD723C" w:rsidRDefault="00FD723C" w:rsidP="00FD723C">
            <w:pPr>
              <w:spacing w:before="60" w:after="60"/>
              <w:rPr>
                <w:rFonts w:ascii="Arial" w:hAnsi="Arial" w:cs="Arial"/>
                <w:bCs/>
                <w:sz w:val="16"/>
                <w:szCs w:val="16"/>
              </w:rPr>
            </w:pPr>
            <w:r w:rsidRPr="00FD723C">
              <w:rPr>
                <w:rFonts w:ascii="Arial" w:hAnsi="Arial" w:cs="Arial"/>
                <w:bCs/>
                <w:sz w:val="16"/>
                <w:szCs w:val="16"/>
              </w:rPr>
              <w:t xml:space="preserve">3. </w:t>
            </w:r>
          </w:p>
        </w:tc>
        <w:tc>
          <w:tcPr>
            <w:tcW w:w="2976" w:type="dxa"/>
            <w:shd w:val="clear" w:color="auto" w:fill="F2F2F2"/>
            <w:vAlign w:val="center"/>
          </w:tcPr>
          <w:p w14:paraId="20B589E9" w14:textId="77777777" w:rsidR="00FD723C" w:rsidRPr="00FD723C" w:rsidRDefault="00FD723C" w:rsidP="00FD723C">
            <w:pPr>
              <w:spacing w:before="60" w:after="60"/>
              <w:rPr>
                <w:rFonts w:ascii="Arial" w:hAnsi="Arial" w:cs="Arial"/>
                <w:bCs/>
                <w:sz w:val="16"/>
                <w:szCs w:val="16"/>
              </w:rPr>
            </w:pPr>
            <w:r w:rsidRPr="00FD723C">
              <w:rPr>
                <w:rFonts w:ascii="Arial" w:hAnsi="Arial" w:cs="Arial"/>
                <w:bCs/>
                <w:sz w:val="16"/>
                <w:szCs w:val="16"/>
              </w:rPr>
              <w:t>Zaopatrzenie w wodę i oczyszczanie ścieków w Warszawie – Faza V</w:t>
            </w:r>
          </w:p>
        </w:tc>
        <w:tc>
          <w:tcPr>
            <w:tcW w:w="1418" w:type="dxa"/>
            <w:shd w:val="clear" w:color="auto" w:fill="F2F2F2"/>
            <w:vAlign w:val="center"/>
          </w:tcPr>
          <w:p w14:paraId="6F78822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2016 (IV kw.)</w:t>
            </w:r>
          </w:p>
        </w:tc>
        <w:tc>
          <w:tcPr>
            <w:tcW w:w="1417" w:type="dxa"/>
            <w:shd w:val="clear" w:color="auto" w:fill="F2F2F2"/>
            <w:vAlign w:val="center"/>
          </w:tcPr>
          <w:p w14:paraId="7D25786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218881F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 kw.)</w:t>
            </w:r>
          </w:p>
        </w:tc>
        <w:tc>
          <w:tcPr>
            <w:tcW w:w="992" w:type="dxa"/>
            <w:shd w:val="clear" w:color="auto" w:fill="F2F2F2"/>
            <w:vAlign w:val="center"/>
          </w:tcPr>
          <w:p w14:paraId="0CEE173B"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6.ii.</w:t>
            </w:r>
          </w:p>
        </w:tc>
        <w:tc>
          <w:tcPr>
            <w:tcW w:w="992" w:type="dxa"/>
            <w:shd w:val="clear" w:color="auto" w:fill="F2F2F2"/>
            <w:vAlign w:val="center"/>
          </w:tcPr>
          <w:p w14:paraId="24FDDEA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w:t>
            </w:r>
          </w:p>
        </w:tc>
      </w:tr>
      <w:tr w:rsidR="00FD723C" w:rsidRPr="00FD723C" w14:paraId="578571C3" w14:textId="77777777" w:rsidTr="001B2C4E">
        <w:trPr>
          <w:trHeight w:val="892"/>
        </w:trPr>
        <w:tc>
          <w:tcPr>
            <w:tcW w:w="534" w:type="dxa"/>
            <w:shd w:val="clear" w:color="auto" w:fill="F2F2F2"/>
            <w:vAlign w:val="center"/>
          </w:tcPr>
          <w:p w14:paraId="2113F66C" w14:textId="77777777" w:rsidR="00FD723C" w:rsidRPr="00FD723C" w:rsidDel="005570B2" w:rsidRDefault="00FD723C" w:rsidP="00FD723C">
            <w:pPr>
              <w:spacing w:before="60" w:after="60"/>
              <w:rPr>
                <w:rFonts w:ascii="Arial" w:hAnsi="Arial" w:cs="Arial"/>
                <w:bCs/>
                <w:sz w:val="16"/>
                <w:szCs w:val="16"/>
              </w:rPr>
            </w:pPr>
            <w:r w:rsidRPr="00FD723C">
              <w:rPr>
                <w:rFonts w:ascii="Arial" w:hAnsi="Arial" w:cs="Arial"/>
                <w:bCs/>
                <w:sz w:val="16"/>
                <w:szCs w:val="16"/>
              </w:rPr>
              <w:t xml:space="preserve">4. </w:t>
            </w:r>
          </w:p>
        </w:tc>
        <w:tc>
          <w:tcPr>
            <w:tcW w:w="2976" w:type="dxa"/>
            <w:shd w:val="clear" w:color="auto" w:fill="F2F2F2"/>
            <w:vAlign w:val="center"/>
          </w:tcPr>
          <w:p w14:paraId="15E15D7C" w14:textId="77777777" w:rsidR="00FD723C" w:rsidRPr="00FD723C" w:rsidRDefault="00FD723C" w:rsidP="00FD723C">
            <w:pPr>
              <w:spacing w:before="60" w:after="60"/>
              <w:rPr>
                <w:rFonts w:ascii="Arial" w:hAnsi="Arial" w:cs="Arial"/>
                <w:color w:val="000000"/>
                <w:sz w:val="16"/>
                <w:szCs w:val="16"/>
              </w:rPr>
            </w:pPr>
            <w:r w:rsidRPr="00FD723C">
              <w:rPr>
                <w:rFonts w:ascii="Arial" w:hAnsi="Arial" w:cs="Arial"/>
                <w:color w:val="000000"/>
                <w:sz w:val="16"/>
                <w:szCs w:val="16"/>
              </w:rPr>
              <w:t>Zaopatrzenie w wodę i oczyszczanie ścieków w Warszawie – Faza VI</w:t>
            </w:r>
          </w:p>
        </w:tc>
        <w:tc>
          <w:tcPr>
            <w:tcW w:w="1418" w:type="dxa"/>
            <w:shd w:val="clear" w:color="auto" w:fill="F2F2F2"/>
            <w:vAlign w:val="center"/>
          </w:tcPr>
          <w:p w14:paraId="01CC262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0FDF8FC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0E9BFD0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114681F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6.ii.</w:t>
            </w:r>
          </w:p>
        </w:tc>
        <w:tc>
          <w:tcPr>
            <w:tcW w:w="992" w:type="dxa"/>
            <w:shd w:val="clear" w:color="auto" w:fill="F2F2F2"/>
            <w:vAlign w:val="center"/>
          </w:tcPr>
          <w:p w14:paraId="58F559D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w:t>
            </w:r>
          </w:p>
        </w:tc>
      </w:tr>
      <w:tr w:rsidR="00FD723C" w:rsidRPr="00FD723C" w14:paraId="2B8638B0" w14:textId="77777777" w:rsidTr="001B2C4E">
        <w:trPr>
          <w:trHeight w:val="892"/>
        </w:trPr>
        <w:tc>
          <w:tcPr>
            <w:tcW w:w="534" w:type="dxa"/>
            <w:shd w:val="clear" w:color="auto" w:fill="F2F2F2"/>
            <w:vAlign w:val="center"/>
          </w:tcPr>
          <w:p w14:paraId="356A370F" w14:textId="77777777" w:rsidR="00FD723C" w:rsidRPr="00FD723C" w:rsidDel="005570B2" w:rsidRDefault="00FD723C" w:rsidP="00FD723C">
            <w:pPr>
              <w:spacing w:before="60" w:after="60"/>
              <w:rPr>
                <w:rFonts w:ascii="Arial" w:hAnsi="Arial" w:cs="Arial"/>
                <w:bCs/>
                <w:sz w:val="16"/>
                <w:szCs w:val="16"/>
              </w:rPr>
            </w:pPr>
            <w:r w:rsidRPr="00FD723C">
              <w:rPr>
                <w:rFonts w:ascii="Arial" w:hAnsi="Arial" w:cs="Arial"/>
                <w:bCs/>
                <w:sz w:val="16"/>
                <w:szCs w:val="16"/>
              </w:rPr>
              <w:t>5.</w:t>
            </w:r>
          </w:p>
        </w:tc>
        <w:tc>
          <w:tcPr>
            <w:tcW w:w="2976" w:type="dxa"/>
            <w:shd w:val="clear" w:color="auto" w:fill="F2F2F2"/>
            <w:vAlign w:val="center"/>
          </w:tcPr>
          <w:p w14:paraId="46CEFF88" w14:textId="77777777" w:rsidR="00FD723C" w:rsidRPr="00FD723C" w:rsidRDefault="00FD723C" w:rsidP="00FD723C">
            <w:pPr>
              <w:spacing w:before="60" w:after="60"/>
              <w:rPr>
                <w:rFonts w:ascii="Arial" w:hAnsi="Arial" w:cs="Arial"/>
                <w:bCs/>
                <w:sz w:val="16"/>
                <w:szCs w:val="16"/>
              </w:rPr>
            </w:pPr>
            <w:r w:rsidRPr="00FD723C">
              <w:rPr>
                <w:rFonts w:ascii="Arial" w:hAnsi="Arial" w:cs="Arial"/>
                <w:color w:val="000000"/>
                <w:sz w:val="16"/>
                <w:szCs w:val="16"/>
              </w:rPr>
              <w:t>Uporządkowanie gospodarki wodno-ściekowej dla ochrony zasobów wodnych w Poznaniu i okolicach - Etap VI</w:t>
            </w:r>
          </w:p>
        </w:tc>
        <w:tc>
          <w:tcPr>
            <w:tcW w:w="1418" w:type="dxa"/>
            <w:shd w:val="clear" w:color="auto" w:fill="F2F2F2"/>
            <w:vAlign w:val="center"/>
          </w:tcPr>
          <w:p w14:paraId="0E2DF06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2017 (IV kw.)</w:t>
            </w:r>
          </w:p>
        </w:tc>
        <w:tc>
          <w:tcPr>
            <w:tcW w:w="1417" w:type="dxa"/>
            <w:shd w:val="clear" w:color="auto" w:fill="F2F2F2"/>
            <w:vAlign w:val="center"/>
          </w:tcPr>
          <w:p w14:paraId="136B8944"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1F7DA8E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32C49BE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6.ii.</w:t>
            </w:r>
          </w:p>
        </w:tc>
        <w:tc>
          <w:tcPr>
            <w:tcW w:w="992" w:type="dxa"/>
            <w:shd w:val="clear" w:color="auto" w:fill="F2F2F2"/>
            <w:vAlign w:val="center"/>
          </w:tcPr>
          <w:p w14:paraId="3B9DB06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w:t>
            </w:r>
          </w:p>
        </w:tc>
      </w:tr>
      <w:tr w:rsidR="00FD723C" w:rsidRPr="00FD723C" w14:paraId="766BF59E" w14:textId="77777777" w:rsidTr="001B2C4E">
        <w:trPr>
          <w:trHeight w:val="892"/>
        </w:trPr>
        <w:tc>
          <w:tcPr>
            <w:tcW w:w="534" w:type="dxa"/>
            <w:shd w:val="clear" w:color="auto" w:fill="F2F2F2"/>
            <w:vAlign w:val="center"/>
          </w:tcPr>
          <w:p w14:paraId="573991C7" w14:textId="77777777" w:rsidR="00FD723C" w:rsidRPr="00FD723C" w:rsidDel="005570B2" w:rsidRDefault="00FD723C" w:rsidP="00FD723C">
            <w:pPr>
              <w:spacing w:before="60" w:after="60"/>
              <w:rPr>
                <w:rFonts w:ascii="Arial" w:hAnsi="Arial" w:cs="Arial"/>
                <w:bCs/>
                <w:sz w:val="16"/>
                <w:szCs w:val="16"/>
              </w:rPr>
            </w:pPr>
            <w:r w:rsidRPr="00FD723C">
              <w:rPr>
                <w:rFonts w:ascii="Arial" w:hAnsi="Arial" w:cs="Arial"/>
                <w:bCs/>
                <w:sz w:val="16"/>
                <w:szCs w:val="16"/>
              </w:rPr>
              <w:t>6</w:t>
            </w:r>
          </w:p>
        </w:tc>
        <w:tc>
          <w:tcPr>
            <w:tcW w:w="2976" w:type="dxa"/>
            <w:shd w:val="clear" w:color="auto" w:fill="F2F2F2"/>
            <w:vAlign w:val="center"/>
          </w:tcPr>
          <w:p w14:paraId="569A50F7" w14:textId="77777777" w:rsidR="00FD723C" w:rsidRPr="00FD723C" w:rsidRDefault="00FD723C" w:rsidP="00FD723C">
            <w:pPr>
              <w:spacing w:before="60" w:after="60"/>
              <w:rPr>
                <w:rFonts w:ascii="Arial" w:hAnsi="Arial" w:cs="Arial"/>
                <w:bCs/>
                <w:sz w:val="16"/>
                <w:szCs w:val="16"/>
              </w:rPr>
            </w:pPr>
            <w:r w:rsidRPr="00FD723C">
              <w:rPr>
                <w:rFonts w:ascii="Arial" w:hAnsi="Arial" w:cs="Arial"/>
                <w:color w:val="000000"/>
                <w:sz w:val="16"/>
                <w:szCs w:val="16"/>
              </w:rPr>
              <w:t>Modernizacja i rozbudowa gospodarki wodno-ściekowej na terenie aglomeracji Radom – III etap</w:t>
            </w:r>
          </w:p>
        </w:tc>
        <w:tc>
          <w:tcPr>
            <w:tcW w:w="1418" w:type="dxa"/>
            <w:shd w:val="clear" w:color="auto" w:fill="F2F2F2"/>
            <w:vAlign w:val="center"/>
          </w:tcPr>
          <w:p w14:paraId="7920ED1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 III kw.)</w:t>
            </w:r>
          </w:p>
        </w:tc>
        <w:tc>
          <w:tcPr>
            <w:tcW w:w="1417" w:type="dxa"/>
            <w:shd w:val="clear" w:color="auto" w:fill="F2F2F2"/>
            <w:vAlign w:val="center"/>
          </w:tcPr>
          <w:p w14:paraId="7F358C7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 kw.)</w:t>
            </w:r>
          </w:p>
        </w:tc>
        <w:tc>
          <w:tcPr>
            <w:tcW w:w="1418" w:type="dxa"/>
            <w:shd w:val="clear" w:color="auto" w:fill="F2F2F2"/>
            <w:vAlign w:val="center"/>
          </w:tcPr>
          <w:p w14:paraId="445B632A"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2022 (IV kw.)</w:t>
            </w:r>
          </w:p>
        </w:tc>
        <w:tc>
          <w:tcPr>
            <w:tcW w:w="992" w:type="dxa"/>
            <w:shd w:val="clear" w:color="auto" w:fill="F2F2F2"/>
            <w:vAlign w:val="center"/>
          </w:tcPr>
          <w:p w14:paraId="00F80E5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6.ii.</w:t>
            </w:r>
          </w:p>
        </w:tc>
        <w:tc>
          <w:tcPr>
            <w:tcW w:w="992" w:type="dxa"/>
            <w:shd w:val="clear" w:color="auto" w:fill="F2F2F2"/>
            <w:vAlign w:val="center"/>
          </w:tcPr>
          <w:p w14:paraId="4749D48D"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w:t>
            </w:r>
          </w:p>
        </w:tc>
      </w:tr>
      <w:tr w:rsidR="00FD723C" w:rsidRPr="00FD723C" w14:paraId="7D75AC59" w14:textId="77777777" w:rsidTr="001B2C4E">
        <w:trPr>
          <w:trHeight w:val="558"/>
        </w:trPr>
        <w:tc>
          <w:tcPr>
            <w:tcW w:w="534" w:type="dxa"/>
            <w:shd w:val="clear" w:color="auto" w:fill="F2F2F2"/>
            <w:vAlign w:val="center"/>
          </w:tcPr>
          <w:p w14:paraId="26BAB63F" w14:textId="77777777" w:rsidR="00FD723C" w:rsidRPr="00FD723C" w:rsidDel="005570B2" w:rsidRDefault="00FD723C" w:rsidP="00FD723C">
            <w:pPr>
              <w:spacing w:before="60" w:after="60"/>
              <w:rPr>
                <w:rFonts w:ascii="Arial" w:hAnsi="Arial" w:cs="Arial"/>
                <w:bCs/>
                <w:sz w:val="16"/>
                <w:szCs w:val="16"/>
              </w:rPr>
            </w:pPr>
            <w:r w:rsidRPr="00FD723C">
              <w:rPr>
                <w:rFonts w:ascii="Arial" w:hAnsi="Arial" w:cs="Arial"/>
                <w:bCs/>
                <w:sz w:val="16"/>
                <w:szCs w:val="16"/>
              </w:rPr>
              <w:t>7.</w:t>
            </w:r>
          </w:p>
        </w:tc>
        <w:tc>
          <w:tcPr>
            <w:tcW w:w="2976" w:type="dxa"/>
            <w:shd w:val="clear" w:color="auto" w:fill="F2F2F2"/>
            <w:vAlign w:val="center"/>
          </w:tcPr>
          <w:p w14:paraId="63EE4E80" w14:textId="77777777" w:rsidR="00FD723C" w:rsidRPr="00FD723C" w:rsidRDefault="00FD723C" w:rsidP="00FD723C">
            <w:pPr>
              <w:spacing w:before="60" w:after="60"/>
              <w:rPr>
                <w:rFonts w:ascii="Arial" w:hAnsi="Arial" w:cs="Arial"/>
                <w:bCs/>
                <w:sz w:val="16"/>
                <w:szCs w:val="16"/>
              </w:rPr>
            </w:pPr>
            <w:r w:rsidRPr="00FD723C">
              <w:rPr>
                <w:rFonts w:ascii="Arial" w:hAnsi="Arial" w:cs="Arial"/>
                <w:color w:val="000000"/>
                <w:sz w:val="16"/>
                <w:szCs w:val="16"/>
              </w:rPr>
              <w:t>Budowa instalacji termicznego przekształcania frakcji energetycznej z odpadów pochodzących z odpadów komunalnych, z odzyskiem energii elektrycznej i cieplnej wraz z infrastrukturą towarzyszącą</w:t>
            </w:r>
            <w:r w:rsidRPr="00FD723C">
              <w:rPr>
                <w:rFonts w:ascii="Arial" w:hAnsi="Arial" w:cs="Arial"/>
                <w:color w:val="000000"/>
                <w:sz w:val="16"/>
                <w:szCs w:val="16"/>
                <w:vertAlign w:val="superscript"/>
              </w:rPr>
              <w:footnoteReference w:id="148"/>
            </w:r>
          </w:p>
        </w:tc>
        <w:tc>
          <w:tcPr>
            <w:tcW w:w="1418" w:type="dxa"/>
            <w:shd w:val="clear" w:color="auto" w:fill="F2F2F2"/>
            <w:vAlign w:val="center"/>
          </w:tcPr>
          <w:p w14:paraId="4846668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2019 (III kw.)</w:t>
            </w:r>
          </w:p>
        </w:tc>
        <w:tc>
          <w:tcPr>
            <w:tcW w:w="1417" w:type="dxa"/>
            <w:shd w:val="clear" w:color="auto" w:fill="F2F2F2"/>
            <w:vAlign w:val="center"/>
          </w:tcPr>
          <w:p w14:paraId="4FD7532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2012 (IV kw.)</w:t>
            </w:r>
          </w:p>
        </w:tc>
        <w:tc>
          <w:tcPr>
            <w:tcW w:w="1418" w:type="dxa"/>
            <w:shd w:val="clear" w:color="auto" w:fill="F2F2F2"/>
            <w:vAlign w:val="center"/>
          </w:tcPr>
          <w:p w14:paraId="129EF045"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(III kw.)</w:t>
            </w:r>
          </w:p>
        </w:tc>
        <w:tc>
          <w:tcPr>
            <w:tcW w:w="992" w:type="dxa"/>
            <w:shd w:val="clear" w:color="auto" w:fill="F2F2F2"/>
            <w:vAlign w:val="center"/>
          </w:tcPr>
          <w:p w14:paraId="76743166"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6.i.</w:t>
            </w:r>
          </w:p>
        </w:tc>
        <w:tc>
          <w:tcPr>
            <w:tcW w:w="992" w:type="dxa"/>
            <w:shd w:val="clear" w:color="auto" w:fill="F2F2F2"/>
            <w:vAlign w:val="center"/>
          </w:tcPr>
          <w:p w14:paraId="629807F2"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w:t>
            </w:r>
          </w:p>
        </w:tc>
      </w:tr>
      <w:tr w:rsidR="00FD723C" w:rsidRPr="00FD723C" w14:paraId="3066A49D" w14:textId="77777777" w:rsidTr="001B2C4E">
        <w:trPr>
          <w:trHeight w:val="892"/>
        </w:trPr>
        <w:tc>
          <w:tcPr>
            <w:tcW w:w="534" w:type="dxa"/>
            <w:shd w:val="clear" w:color="auto" w:fill="F2F2F2"/>
            <w:vAlign w:val="center"/>
          </w:tcPr>
          <w:p w14:paraId="2661BF94" w14:textId="77777777" w:rsidR="00FD723C" w:rsidRPr="00FD723C" w:rsidDel="005570B2" w:rsidRDefault="00FD723C" w:rsidP="00FD723C">
            <w:pPr>
              <w:spacing w:before="60" w:after="60"/>
              <w:rPr>
                <w:rFonts w:ascii="Arial" w:hAnsi="Arial" w:cs="Arial"/>
                <w:bCs/>
                <w:sz w:val="16"/>
                <w:szCs w:val="16"/>
              </w:rPr>
            </w:pPr>
            <w:r w:rsidRPr="00FD723C">
              <w:rPr>
                <w:rFonts w:ascii="Arial" w:hAnsi="Arial" w:cs="Arial"/>
                <w:bCs/>
                <w:sz w:val="16"/>
                <w:szCs w:val="16"/>
              </w:rPr>
              <w:t>8.</w:t>
            </w:r>
          </w:p>
        </w:tc>
        <w:tc>
          <w:tcPr>
            <w:tcW w:w="2976" w:type="dxa"/>
            <w:shd w:val="clear" w:color="auto" w:fill="F2F2F2"/>
            <w:vAlign w:val="center"/>
          </w:tcPr>
          <w:p w14:paraId="0EFF6450" w14:textId="77777777" w:rsidR="00FD723C" w:rsidRPr="00FD723C" w:rsidRDefault="00FD723C" w:rsidP="00FD723C">
            <w:pPr>
              <w:spacing w:before="60" w:after="60"/>
              <w:rPr>
                <w:rFonts w:ascii="Arial" w:hAnsi="Arial" w:cs="Arial"/>
                <w:bCs/>
                <w:sz w:val="16"/>
                <w:szCs w:val="16"/>
              </w:rPr>
            </w:pPr>
            <w:r w:rsidRPr="00FD723C">
              <w:rPr>
                <w:rFonts w:ascii="Arial" w:hAnsi="Arial" w:cs="Arial"/>
                <w:color w:val="000000"/>
                <w:sz w:val="16"/>
                <w:szCs w:val="16"/>
              </w:rPr>
              <w:t>Budowa zakładu termicznego przekształcania odpadów komunalnych w Gdańsku</w:t>
            </w:r>
          </w:p>
        </w:tc>
        <w:tc>
          <w:tcPr>
            <w:tcW w:w="1418" w:type="dxa"/>
            <w:shd w:val="clear" w:color="auto" w:fill="F2F2F2"/>
            <w:vAlign w:val="center"/>
          </w:tcPr>
          <w:p w14:paraId="76B818D7"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2018 (IV kw.)</w:t>
            </w:r>
          </w:p>
        </w:tc>
        <w:tc>
          <w:tcPr>
            <w:tcW w:w="1417" w:type="dxa"/>
            <w:shd w:val="clear" w:color="auto" w:fill="F2F2F2"/>
            <w:vAlign w:val="center"/>
          </w:tcPr>
          <w:p w14:paraId="0F9DF0C3"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2014 (III kw.)</w:t>
            </w:r>
          </w:p>
        </w:tc>
        <w:tc>
          <w:tcPr>
            <w:tcW w:w="1418" w:type="dxa"/>
            <w:shd w:val="clear" w:color="auto" w:fill="F2F2F2"/>
            <w:vAlign w:val="center"/>
          </w:tcPr>
          <w:p w14:paraId="392A17AC"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2023 (IV kw.)</w:t>
            </w:r>
          </w:p>
        </w:tc>
        <w:tc>
          <w:tcPr>
            <w:tcW w:w="992" w:type="dxa"/>
            <w:shd w:val="clear" w:color="auto" w:fill="F2F2F2"/>
            <w:vAlign w:val="center"/>
          </w:tcPr>
          <w:p w14:paraId="1EDAE91E"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6.i.</w:t>
            </w:r>
          </w:p>
        </w:tc>
        <w:tc>
          <w:tcPr>
            <w:tcW w:w="992" w:type="dxa"/>
            <w:shd w:val="clear" w:color="auto" w:fill="F2F2F2"/>
            <w:vAlign w:val="center"/>
          </w:tcPr>
          <w:p w14:paraId="4F2DF040" w14:textId="77777777" w:rsidR="00FD723C" w:rsidRPr="00FD723C" w:rsidRDefault="00FD723C" w:rsidP="00FD723C">
            <w:pPr>
              <w:spacing w:before="60" w:after="60"/>
              <w:jc w:val="center"/>
              <w:rPr>
                <w:rFonts w:ascii="Arial" w:hAnsi="Arial" w:cs="Arial"/>
                <w:sz w:val="16"/>
                <w:szCs w:val="16"/>
              </w:rPr>
            </w:pPr>
            <w:r w:rsidRPr="00FD723C">
              <w:rPr>
                <w:rFonts w:ascii="Arial" w:hAnsi="Arial" w:cs="Arial"/>
                <w:sz w:val="16"/>
                <w:szCs w:val="16"/>
              </w:rPr>
              <w:t>II</w:t>
            </w:r>
          </w:p>
        </w:tc>
      </w:tr>
    </w:tbl>
    <w:p w14:paraId="76E814A2" w14:textId="77777777" w:rsidR="001B5E73" w:rsidRPr="004E3242" w:rsidRDefault="001B5E73" w:rsidP="004E3242">
      <w:pPr>
        <w:keepLines/>
        <w:pBdr>
          <w:bottom w:val="single" w:sz="4" w:space="1" w:color="669900"/>
        </w:pBdr>
        <w:spacing w:before="360" w:after="240" w:line="240" w:lineRule="auto"/>
        <w:jc w:val="both"/>
        <w:rPr>
          <w:rFonts w:ascii="Arial" w:eastAsia="Times New Roman" w:hAnsi="Arial"/>
          <w:smallCaps/>
          <w:color w:val="669900"/>
          <w:spacing w:val="10"/>
          <w:sz w:val="24"/>
          <w:szCs w:val="24"/>
          <w:lang w:eastAsia="pl-PL"/>
        </w:rPr>
      </w:pPr>
    </w:p>
    <w:p w14:paraId="4E41CA55" w14:textId="77777777" w:rsidR="004E3242" w:rsidRPr="004E3242" w:rsidRDefault="004E3242" w:rsidP="00D20217">
      <w:pPr>
        <w:numPr>
          <w:ilvl w:val="1"/>
          <w:numId w:val="98"/>
        </w:numPr>
        <w:shd w:val="clear" w:color="auto" w:fill="BFBFBF"/>
        <w:spacing w:before="360" w:after="240"/>
        <w:outlineLvl w:val="1"/>
        <w:rPr>
          <w:rFonts w:ascii="Arial" w:hAnsi="Arial"/>
          <w:smallCaps/>
          <w:spacing w:val="15"/>
          <w:sz w:val="24"/>
          <w:lang w:eastAsia="pl-PL"/>
        </w:rPr>
      </w:pPr>
      <w:bookmarkStart w:id="766" w:name="_Toc83810605"/>
      <w:r w:rsidRPr="004E3242">
        <w:rPr>
          <w:rFonts w:ascii="Arial" w:hAnsi="Arial" w:cs="Arial"/>
          <w:smallCaps/>
          <w:color w:val="000000"/>
          <w:spacing w:val="15"/>
          <w:sz w:val="20"/>
          <w:szCs w:val="20"/>
          <w:lang w:eastAsia="pl-PL"/>
        </w:rPr>
        <w:t>L</w:t>
      </w:r>
      <w:bookmarkStart w:id="767" w:name="_Toc373767538"/>
      <w:bookmarkStart w:id="768" w:name="_Toc373769090"/>
      <w:bookmarkStart w:id="769" w:name="_Toc373769408"/>
      <w:bookmarkStart w:id="770" w:name="_Toc373767539"/>
      <w:bookmarkStart w:id="771" w:name="_Toc373769091"/>
      <w:bookmarkStart w:id="772" w:name="_Toc373769409"/>
      <w:bookmarkStart w:id="773" w:name="_Toc394314827"/>
      <w:bookmarkEnd w:id="767"/>
      <w:bookmarkEnd w:id="768"/>
      <w:bookmarkEnd w:id="769"/>
      <w:bookmarkEnd w:id="770"/>
      <w:bookmarkEnd w:id="771"/>
      <w:bookmarkEnd w:id="772"/>
      <w:r w:rsidRPr="004E3242">
        <w:rPr>
          <w:rFonts w:ascii="Arial" w:hAnsi="Arial"/>
          <w:smallCaps/>
          <w:spacing w:val="15"/>
          <w:sz w:val="24"/>
          <w:lang w:eastAsia="pl-PL"/>
        </w:rPr>
        <w:t>ista partnerów</w:t>
      </w:r>
      <w:bookmarkEnd w:id="766"/>
      <w:bookmarkEnd w:id="773"/>
    </w:p>
    <w:p w14:paraId="4CFC109F" w14:textId="77777777" w:rsidR="004E3242" w:rsidRPr="004E3242" w:rsidRDefault="004E3242" w:rsidP="004E3242">
      <w:pPr>
        <w:keepNext/>
        <w:spacing w:before="60" w:after="60" w:line="240" w:lineRule="auto"/>
        <w:jc w:val="both"/>
        <w:rPr>
          <w:rFonts w:ascii="Arial" w:hAnsi="Arial" w:cs="Arial"/>
          <w:b/>
          <w:bCs/>
          <w:smallCaps/>
          <w:color w:val="808080"/>
          <w:sz w:val="18"/>
          <w:szCs w:val="18"/>
          <w:lang w:eastAsia="pl-PL"/>
        </w:rPr>
      </w:pPr>
      <w:r w:rsidRPr="004E3242">
        <w:rPr>
          <w:rFonts w:ascii="Arial" w:hAnsi="Arial" w:cs="Arial"/>
          <w:b/>
          <w:bCs/>
          <w:smallCaps/>
          <w:color w:val="808080"/>
          <w:sz w:val="18"/>
          <w:szCs w:val="18"/>
          <w:lang w:eastAsia="pl-PL"/>
        </w:rPr>
        <w:t xml:space="preserve">Tabela </w:t>
      </w:r>
      <w:r w:rsidRPr="004E3242">
        <w:rPr>
          <w:rFonts w:ascii="Arial" w:hAnsi="Arial" w:cs="Arial"/>
          <w:b/>
          <w:bCs/>
          <w:smallCaps/>
          <w:color w:val="808080"/>
          <w:sz w:val="18"/>
          <w:szCs w:val="18"/>
          <w:lang w:eastAsia="pl-PL"/>
        </w:rPr>
        <w:fldChar w:fldCharType="begin"/>
      </w:r>
      <w:r w:rsidRPr="004E3242">
        <w:rPr>
          <w:rFonts w:ascii="Arial" w:hAnsi="Arial" w:cs="Arial"/>
          <w:b/>
          <w:bCs/>
          <w:smallCaps/>
          <w:color w:val="808080"/>
          <w:sz w:val="18"/>
          <w:szCs w:val="18"/>
          <w:lang w:eastAsia="pl-PL"/>
        </w:rPr>
        <w:instrText xml:space="preserve"> SEQ Tabela \* ARABIC </w:instrText>
      </w:r>
      <w:r w:rsidRPr="004E3242">
        <w:rPr>
          <w:rFonts w:ascii="Arial" w:hAnsi="Arial" w:cs="Arial"/>
          <w:b/>
          <w:bCs/>
          <w:smallCaps/>
          <w:color w:val="808080"/>
          <w:sz w:val="18"/>
          <w:szCs w:val="18"/>
          <w:lang w:eastAsia="pl-PL"/>
        </w:rPr>
        <w:fldChar w:fldCharType="separate"/>
      </w:r>
      <w:r w:rsidR="00C04517">
        <w:rPr>
          <w:rFonts w:ascii="Arial" w:hAnsi="Arial" w:cs="Arial"/>
          <w:b/>
          <w:bCs/>
          <w:smallCaps/>
          <w:noProof/>
          <w:color w:val="808080"/>
          <w:sz w:val="18"/>
          <w:szCs w:val="18"/>
          <w:lang w:eastAsia="pl-PL"/>
        </w:rPr>
        <w:t>4</w:t>
      </w:r>
      <w:r w:rsidRPr="004E3242">
        <w:rPr>
          <w:rFonts w:ascii="Arial" w:hAnsi="Arial" w:cs="Arial"/>
          <w:b/>
          <w:bCs/>
          <w:smallCaps/>
          <w:color w:val="808080"/>
          <w:sz w:val="18"/>
          <w:szCs w:val="18"/>
          <w:lang w:eastAsia="pl-PL"/>
        </w:rPr>
        <w:fldChar w:fldCharType="end"/>
      </w:r>
      <w:r w:rsidRPr="004E3242">
        <w:rPr>
          <w:rFonts w:ascii="Arial" w:hAnsi="Arial" w:cs="Arial"/>
          <w:b/>
          <w:bCs/>
          <w:smallCaps/>
          <w:color w:val="808080"/>
          <w:sz w:val="18"/>
          <w:szCs w:val="18"/>
          <w:lang w:eastAsia="pl-PL"/>
        </w:rPr>
        <w:t xml:space="preserve">. Lista Członków Grupy roboczej ds. wsparcia przygotowania programu operacyjnego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0A0" w:firstRow="1" w:lastRow="0" w:firstColumn="1" w:lastColumn="0" w:noHBand="0" w:noVBand="0"/>
      </w:tblPr>
      <w:tblGrid>
        <w:gridCol w:w="534"/>
        <w:gridCol w:w="8678"/>
      </w:tblGrid>
      <w:tr w:rsidR="004E3242" w:rsidRPr="004E3242" w14:paraId="6150A076" w14:textId="77777777" w:rsidTr="00AA7998">
        <w:tc>
          <w:tcPr>
            <w:tcW w:w="9212" w:type="dxa"/>
            <w:gridSpan w:val="2"/>
            <w:shd w:val="clear" w:color="auto" w:fill="D6E3BC"/>
          </w:tcPr>
          <w:p w14:paraId="7D167342" w14:textId="77777777" w:rsidR="004E3242" w:rsidRPr="004E3242" w:rsidRDefault="004E3242" w:rsidP="004E3242">
            <w:pPr>
              <w:spacing w:before="60" w:after="60" w:line="240" w:lineRule="auto"/>
              <w:jc w:val="center"/>
              <w:rPr>
                <w:rFonts w:ascii="Arial" w:hAnsi="Arial" w:cs="Arial"/>
                <w:b/>
                <w:sz w:val="16"/>
                <w:szCs w:val="16"/>
              </w:rPr>
            </w:pPr>
            <w:r w:rsidRPr="004E3242">
              <w:rPr>
                <w:rFonts w:ascii="Arial" w:hAnsi="Arial" w:cs="Arial"/>
                <w:b/>
                <w:sz w:val="16"/>
                <w:szCs w:val="16"/>
              </w:rPr>
              <w:t>Lista Członków Grupy roboczej ds. wsparcia przygotowania programu operacyjnego dotyczącego gospodarki niskoemisyjnej, ochrony środowiska, przeciwdziałania i adaptacji do zmian klimatu, transportu i bezpieczeństwa energetycznego i koordynacji celów tematycznych 4. – 7.</w:t>
            </w:r>
          </w:p>
        </w:tc>
      </w:tr>
      <w:tr w:rsidR="004E3242" w:rsidRPr="004E3242" w14:paraId="5088C3A0" w14:textId="77777777" w:rsidTr="00AA7998">
        <w:trPr>
          <w:trHeight w:val="188"/>
        </w:trPr>
        <w:tc>
          <w:tcPr>
            <w:tcW w:w="9212" w:type="dxa"/>
            <w:gridSpan w:val="2"/>
            <w:shd w:val="clear" w:color="auto" w:fill="99CC00"/>
          </w:tcPr>
          <w:p w14:paraId="6D28C7E0"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b/>
                <w:bCs/>
                <w:color w:val="FFFFFF"/>
                <w:sz w:val="16"/>
                <w:szCs w:val="16"/>
              </w:rPr>
              <w:t>Reprezentanci strony rządowej (ministerstwa i i</w:t>
            </w:r>
            <w:r w:rsidRPr="004E3242">
              <w:rPr>
                <w:rFonts w:ascii="Arial" w:hAnsi="Arial" w:cs="Arial"/>
                <w:b/>
                <w:color w:val="FFFFFF"/>
                <w:sz w:val="16"/>
                <w:szCs w:val="16"/>
              </w:rPr>
              <w:t>nne instytucje publiczne właściwe ze względu na zakres programu) oraz samorządu terytorialnego, w tym zwłaszcza miast</w:t>
            </w:r>
          </w:p>
        </w:tc>
      </w:tr>
      <w:tr w:rsidR="004E3242" w:rsidRPr="004E3242" w14:paraId="2571AAC1" w14:textId="77777777" w:rsidTr="00AA7998">
        <w:tc>
          <w:tcPr>
            <w:tcW w:w="534" w:type="dxa"/>
            <w:shd w:val="clear" w:color="auto" w:fill="F2F2F2"/>
          </w:tcPr>
          <w:p w14:paraId="29C5B6A8"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w:t>
            </w:r>
          </w:p>
        </w:tc>
        <w:tc>
          <w:tcPr>
            <w:tcW w:w="8678" w:type="dxa"/>
            <w:shd w:val="clear" w:color="auto" w:fill="F2F2F2"/>
          </w:tcPr>
          <w:p w14:paraId="20FD033B"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Finansów</w:t>
            </w:r>
          </w:p>
        </w:tc>
      </w:tr>
      <w:tr w:rsidR="004E3242" w:rsidRPr="004E3242" w14:paraId="3C1B6514" w14:textId="77777777" w:rsidTr="00AA7998">
        <w:tc>
          <w:tcPr>
            <w:tcW w:w="534" w:type="dxa"/>
            <w:shd w:val="clear" w:color="auto" w:fill="F2F2F2"/>
          </w:tcPr>
          <w:p w14:paraId="14B06A0F"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w:t>
            </w:r>
          </w:p>
        </w:tc>
        <w:tc>
          <w:tcPr>
            <w:tcW w:w="8678" w:type="dxa"/>
            <w:shd w:val="clear" w:color="auto" w:fill="F2F2F2"/>
          </w:tcPr>
          <w:p w14:paraId="4EE180EA" w14:textId="33963A06" w:rsidR="004E3242" w:rsidRPr="004E3242" w:rsidRDefault="004E3242" w:rsidP="00090B8F">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Gospodarki</w:t>
            </w:r>
            <w:r w:rsidR="005E2820">
              <w:rPr>
                <w:rFonts w:ascii="Arial" w:hAnsi="Arial" w:cs="Arial"/>
                <w:bCs/>
                <w:color w:val="000000"/>
                <w:sz w:val="16"/>
                <w:szCs w:val="16"/>
              </w:rPr>
              <w:t xml:space="preserve"> </w:t>
            </w:r>
            <w:r w:rsidR="00090B8F" w:rsidRPr="00090B8F">
              <w:rPr>
                <w:rFonts w:ascii="Arial" w:hAnsi="Arial" w:cs="Arial"/>
                <w:bCs/>
                <w:color w:val="000000"/>
                <w:sz w:val="16"/>
                <w:szCs w:val="16"/>
              </w:rPr>
              <w:t xml:space="preserve">(obecnie </w:t>
            </w:r>
            <w:r w:rsidR="00477883" w:rsidRPr="00477883">
              <w:rPr>
                <w:rFonts w:ascii="Arial" w:hAnsi="Arial" w:cs="Arial"/>
                <w:bCs/>
                <w:color w:val="000000"/>
                <w:sz w:val="16"/>
                <w:szCs w:val="16"/>
              </w:rPr>
              <w:t>Ministerstwo Rozwoju i Technologii</w:t>
            </w:r>
            <w:r w:rsidR="00090B8F" w:rsidRPr="00090B8F">
              <w:rPr>
                <w:rFonts w:ascii="Arial" w:hAnsi="Arial" w:cs="Arial"/>
                <w:bCs/>
                <w:color w:val="000000"/>
                <w:sz w:val="16"/>
                <w:szCs w:val="16"/>
              </w:rPr>
              <w:t>)</w:t>
            </w:r>
          </w:p>
        </w:tc>
      </w:tr>
      <w:tr w:rsidR="004E3242" w:rsidRPr="004E3242" w14:paraId="2D16BA3B" w14:textId="77777777" w:rsidTr="00AA7998">
        <w:tc>
          <w:tcPr>
            <w:tcW w:w="534" w:type="dxa"/>
            <w:shd w:val="clear" w:color="auto" w:fill="F2F2F2"/>
          </w:tcPr>
          <w:p w14:paraId="02018277"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w:t>
            </w:r>
          </w:p>
        </w:tc>
        <w:tc>
          <w:tcPr>
            <w:tcW w:w="8678" w:type="dxa"/>
            <w:shd w:val="clear" w:color="auto" w:fill="F2F2F2"/>
          </w:tcPr>
          <w:p w14:paraId="0EF6CCAD" w14:textId="457090BE"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Środowiska</w:t>
            </w:r>
            <w:r w:rsidR="001702B1">
              <w:rPr>
                <w:rFonts w:ascii="Arial" w:hAnsi="Arial" w:cs="Arial"/>
                <w:bCs/>
                <w:color w:val="000000"/>
                <w:sz w:val="16"/>
                <w:szCs w:val="16"/>
              </w:rPr>
              <w:t xml:space="preserve"> (obecnie Ministerstwo Klimatu i Środowiska)</w:t>
            </w:r>
          </w:p>
        </w:tc>
      </w:tr>
      <w:tr w:rsidR="004E3242" w:rsidRPr="004E3242" w14:paraId="7940F7F9" w14:textId="77777777" w:rsidTr="00AA7998">
        <w:tc>
          <w:tcPr>
            <w:tcW w:w="534" w:type="dxa"/>
            <w:shd w:val="clear" w:color="auto" w:fill="F2F2F2"/>
          </w:tcPr>
          <w:p w14:paraId="5BF32872"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w:t>
            </w:r>
          </w:p>
        </w:tc>
        <w:tc>
          <w:tcPr>
            <w:tcW w:w="8678" w:type="dxa"/>
            <w:shd w:val="clear" w:color="auto" w:fill="F2F2F2"/>
          </w:tcPr>
          <w:p w14:paraId="1A639467" w14:textId="253CC2F6" w:rsidR="004E3242" w:rsidRPr="004E3242" w:rsidRDefault="004E3242" w:rsidP="002E5281">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 xml:space="preserve">Ministerstwo Transportu, Budownictwa i Gospodarki Morskiej </w:t>
            </w:r>
            <w:r w:rsidR="00090B8F" w:rsidRPr="00090B8F">
              <w:rPr>
                <w:rFonts w:ascii="Arial" w:hAnsi="Arial" w:cs="Arial"/>
                <w:bCs/>
                <w:color w:val="000000"/>
                <w:sz w:val="16"/>
                <w:szCs w:val="16"/>
              </w:rPr>
              <w:t>(obecnie Ministerstwo Infrastruktury)</w:t>
            </w:r>
          </w:p>
        </w:tc>
      </w:tr>
      <w:tr w:rsidR="004E3242" w:rsidRPr="004E3242" w14:paraId="6390D40B" w14:textId="77777777" w:rsidTr="00AA7998">
        <w:tc>
          <w:tcPr>
            <w:tcW w:w="534" w:type="dxa"/>
            <w:shd w:val="clear" w:color="auto" w:fill="F2F2F2"/>
          </w:tcPr>
          <w:p w14:paraId="4C761360"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w:t>
            </w:r>
          </w:p>
        </w:tc>
        <w:tc>
          <w:tcPr>
            <w:tcW w:w="8678" w:type="dxa"/>
            <w:shd w:val="clear" w:color="auto" w:fill="F2F2F2"/>
          </w:tcPr>
          <w:p w14:paraId="68D236E5"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Rolnictwa i Rozwoju Wsi</w:t>
            </w:r>
          </w:p>
        </w:tc>
      </w:tr>
      <w:tr w:rsidR="004E3242" w:rsidRPr="004E3242" w14:paraId="5B797690" w14:textId="77777777" w:rsidTr="00AA7998">
        <w:tc>
          <w:tcPr>
            <w:tcW w:w="534" w:type="dxa"/>
            <w:shd w:val="clear" w:color="auto" w:fill="F2F2F2"/>
          </w:tcPr>
          <w:p w14:paraId="46239691"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6.</w:t>
            </w:r>
          </w:p>
        </w:tc>
        <w:tc>
          <w:tcPr>
            <w:tcW w:w="8678" w:type="dxa"/>
            <w:shd w:val="clear" w:color="auto" w:fill="F2F2F2"/>
          </w:tcPr>
          <w:p w14:paraId="5E541A15"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Zdrowia</w:t>
            </w:r>
          </w:p>
        </w:tc>
      </w:tr>
      <w:tr w:rsidR="004E3242" w:rsidRPr="004E3242" w14:paraId="065F80BC" w14:textId="77777777" w:rsidTr="00AA7998">
        <w:tc>
          <w:tcPr>
            <w:tcW w:w="534" w:type="dxa"/>
            <w:shd w:val="clear" w:color="auto" w:fill="F2F2F2"/>
          </w:tcPr>
          <w:p w14:paraId="5DC65178"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7.</w:t>
            </w:r>
          </w:p>
        </w:tc>
        <w:tc>
          <w:tcPr>
            <w:tcW w:w="8678" w:type="dxa"/>
            <w:shd w:val="clear" w:color="auto" w:fill="F2F2F2"/>
          </w:tcPr>
          <w:p w14:paraId="1C305CA9"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Kultury i Dziedzictwa Narodowego</w:t>
            </w:r>
          </w:p>
        </w:tc>
      </w:tr>
      <w:tr w:rsidR="004E3242" w:rsidRPr="004E3242" w14:paraId="0BBBA779" w14:textId="77777777" w:rsidTr="00AA7998">
        <w:tc>
          <w:tcPr>
            <w:tcW w:w="534" w:type="dxa"/>
            <w:shd w:val="clear" w:color="auto" w:fill="F2F2F2"/>
          </w:tcPr>
          <w:p w14:paraId="18DA6EC3"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8.</w:t>
            </w:r>
          </w:p>
        </w:tc>
        <w:tc>
          <w:tcPr>
            <w:tcW w:w="8678" w:type="dxa"/>
            <w:shd w:val="clear" w:color="auto" w:fill="F2F2F2"/>
          </w:tcPr>
          <w:p w14:paraId="0ED7E6BD" w14:textId="4426159B"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Nauki i Szkolnictwa Wyższego</w:t>
            </w:r>
            <w:r w:rsidR="00477883">
              <w:rPr>
                <w:rFonts w:ascii="Arial" w:hAnsi="Arial" w:cs="Arial"/>
                <w:bCs/>
                <w:color w:val="000000"/>
                <w:sz w:val="16"/>
                <w:szCs w:val="16"/>
              </w:rPr>
              <w:t xml:space="preserve"> </w:t>
            </w:r>
            <w:r w:rsidR="00477883" w:rsidRPr="00477883">
              <w:rPr>
                <w:rFonts w:ascii="Arial" w:hAnsi="Arial" w:cs="Arial"/>
                <w:bCs/>
                <w:color w:val="000000"/>
                <w:sz w:val="16"/>
                <w:szCs w:val="16"/>
              </w:rPr>
              <w:t>(obecnie Ministerstwo Edukacji i Nauki)</w:t>
            </w:r>
          </w:p>
        </w:tc>
      </w:tr>
      <w:tr w:rsidR="004E3242" w:rsidRPr="004E3242" w14:paraId="2C544C99" w14:textId="77777777" w:rsidTr="00AA7998">
        <w:tc>
          <w:tcPr>
            <w:tcW w:w="534" w:type="dxa"/>
            <w:shd w:val="clear" w:color="auto" w:fill="F2F2F2"/>
          </w:tcPr>
          <w:p w14:paraId="3914730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9.</w:t>
            </w:r>
          </w:p>
        </w:tc>
        <w:tc>
          <w:tcPr>
            <w:tcW w:w="8678" w:type="dxa"/>
            <w:shd w:val="clear" w:color="auto" w:fill="F2F2F2"/>
          </w:tcPr>
          <w:p w14:paraId="608D6B25"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Sportu i Turystyki</w:t>
            </w:r>
          </w:p>
        </w:tc>
      </w:tr>
      <w:tr w:rsidR="004E3242" w:rsidRPr="004E3242" w14:paraId="1E999784" w14:textId="77777777" w:rsidTr="00AA7998">
        <w:tc>
          <w:tcPr>
            <w:tcW w:w="534" w:type="dxa"/>
            <w:shd w:val="clear" w:color="auto" w:fill="F2F2F2"/>
          </w:tcPr>
          <w:p w14:paraId="390B6179"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10.</w:t>
            </w:r>
          </w:p>
        </w:tc>
        <w:tc>
          <w:tcPr>
            <w:tcW w:w="8678" w:type="dxa"/>
            <w:shd w:val="clear" w:color="auto" w:fill="F2F2F2"/>
          </w:tcPr>
          <w:p w14:paraId="04A73B46" w14:textId="6172875D"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Ministerstwo Spraw Wewnętrznych</w:t>
            </w:r>
            <w:r w:rsidR="00477883">
              <w:rPr>
                <w:rFonts w:ascii="Arial" w:hAnsi="Arial" w:cs="Arial"/>
                <w:bCs/>
                <w:color w:val="000000"/>
                <w:sz w:val="16"/>
                <w:szCs w:val="16"/>
              </w:rPr>
              <w:t xml:space="preserve"> </w:t>
            </w:r>
            <w:r w:rsidR="00477883" w:rsidRPr="00477883">
              <w:rPr>
                <w:rFonts w:ascii="Arial" w:hAnsi="Arial" w:cs="Arial"/>
                <w:bCs/>
                <w:color w:val="000000"/>
                <w:sz w:val="16"/>
                <w:szCs w:val="16"/>
              </w:rPr>
              <w:t>(obecnie Ministerstwo Spraw Wewnętrznych i Administracji)</w:t>
            </w:r>
          </w:p>
        </w:tc>
      </w:tr>
      <w:tr w:rsidR="004E3242" w:rsidRPr="004E3242" w14:paraId="2EEF846C" w14:textId="77777777" w:rsidTr="00AA7998">
        <w:tc>
          <w:tcPr>
            <w:tcW w:w="534" w:type="dxa"/>
            <w:shd w:val="clear" w:color="auto" w:fill="F2F2F2"/>
          </w:tcPr>
          <w:p w14:paraId="05566771"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11.</w:t>
            </w:r>
          </w:p>
        </w:tc>
        <w:tc>
          <w:tcPr>
            <w:tcW w:w="8678" w:type="dxa"/>
            <w:shd w:val="clear" w:color="auto" w:fill="F2F2F2"/>
          </w:tcPr>
          <w:p w14:paraId="5ECB0E46"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Urząd Ochrony Konkurencji i Konsumentów</w:t>
            </w:r>
          </w:p>
        </w:tc>
      </w:tr>
      <w:tr w:rsidR="004E3242" w:rsidRPr="004E3242" w14:paraId="1534149B" w14:textId="77777777" w:rsidTr="00AA7998">
        <w:tc>
          <w:tcPr>
            <w:tcW w:w="534" w:type="dxa"/>
            <w:shd w:val="clear" w:color="auto" w:fill="F2F2F2"/>
          </w:tcPr>
          <w:p w14:paraId="35B7F9C7"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lastRenderedPageBreak/>
              <w:t>12.</w:t>
            </w:r>
          </w:p>
        </w:tc>
        <w:tc>
          <w:tcPr>
            <w:tcW w:w="8678" w:type="dxa"/>
            <w:shd w:val="clear" w:color="auto" w:fill="F2F2F2"/>
          </w:tcPr>
          <w:p w14:paraId="6DF61943"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Pełnomocnik Rządu do Spraw Równego Traktowania</w:t>
            </w:r>
          </w:p>
        </w:tc>
      </w:tr>
      <w:tr w:rsidR="004E3242" w:rsidRPr="004E3242" w14:paraId="09281D9B" w14:textId="77777777" w:rsidTr="00AA7998">
        <w:tc>
          <w:tcPr>
            <w:tcW w:w="534" w:type="dxa"/>
            <w:shd w:val="clear" w:color="auto" w:fill="F2F2F2"/>
          </w:tcPr>
          <w:p w14:paraId="0A073C21"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13.</w:t>
            </w:r>
          </w:p>
        </w:tc>
        <w:tc>
          <w:tcPr>
            <w:tcW w:w="8678" w:type="dxa"/>
            <w:shd w:val="clear" w:color="auto" w:fill="F2F2F2"/>
          </w:tcPr>
          <w:p w14:paraId="529A6BD8"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Generalny Dyrektor Ochrony Środowiska</w:t>
            </w:r>
          </w:p>
        </w:tc>
      </w:tr>
      <w:tr w:rsidR="004E3242" w:rsidRPr="004E3242" w14:paraId="5552B92D" w14:textId="77777777" w:rsidTr="00AA7998">
        <w:tc>
          <w:tcPr>
            <w:tcW w:w="534" w:type="dxa"/>
            <w:shd w:val="clear" w:color="auto" w:fill="F2F2F2"/>
          </w:tcPr>
          <w:p w14:paraId="63047882"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14.</w:t>
            </w:r>
          </w:p>
        </w:tc>
        <w:tc>
          <w:tcPr>
            <w:tcW w:w="8678" w:type="dxa"/>
            <w:shd w:val="clear" w:color="auto" w:fill="F2F2F2"/>
          </w:tcPr>
          <w:p w14:paraId="3D8FEBB8"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Narodowy Fundusz Ochrony Środowiska i Gospodarki Wodnej</w:t>
            </w:r>
          </w:p>
        </w:tc>
      </w:tr>
      <w:tr w:rsidR="004E3242" w:rsidRPr="004E3242" w14:paraId="16878BF0" w14:textId="77777777" w:rsidTr="00AA7998">
        <w:tc>
          <w:tcPr>
            <w:tcW w:w="534" w:type="dxa"/>
            <w:shd w:val="clear" w:color="auto" w:fill="F2F2F2"/>
          </w:tcPr>
          <w:p w14:paraId="6196CA30"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15.</w:t>
            </w:r>
          </w:p>
        </w:tc>
        <w:tc>
          <w:tcPr>
            <w:tcW w:w="8678" w:type="dxa"/>
            <w:shd w:val="clear" w:color="auto" w:fill="F2F2F2"/>
          </w:tcPr>
          <w:p w14:paraId="70D78148"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Generalna Dyrekcja Dróg Krajowych i Autostrad, GDDKiA</w:t>
            </w:r>
          </w:p>
        </w:tc>
      </w:tr>
      <w:tr w:rsidR="004E3242" w:rsidRPr="004E3242" w14:paraId="39932013" w14:textId="77777777" w:rsidTr="00AA7998">
        <w:tc>
          <w:tcPr>
            <w:tcW w:w="534" w:type="dxa"/>
            <w:shd w:val="clear" w:color="auto" w:fill="F2F2F2"/>
          </w:tcPr>
          <w:p w14:paraId="69103580"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16.</w:t>
            </w:r>
          </w:p>
        </w:tc>
        <w:tc>
          <w:tcPr>
            <w:tcW w:w="8678" w:type="dxa"/>
            <w:shd w:val="clear" w:color="auto" w:fill="F2F2F2"/>
          </w:tcPr>
          <w:p w14:paraId="2DE15BFF"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PKP Polskie Linie Kolejowe S.A.</w:t>
            </w:r>
          </w:p>
        </w:tc>
      </w:tr>
      <w:tr w:rsidR="004E3242" w:rsidRPr="004E3242" w14:paraId="2A94AA9B" w14:textId="77777777" w:rsidTr="00AA7998">
        <w:tc>
          <w:tcPr>
            <w:tcW w:w="534" w:type="dxa"/>
            <w:shd w:val="clear" w:color="auto" w:fill="F2F2F2"/>
          </w:tcPr>
          <w:p w14:paraId="5C425BF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17.</w:t>
            </w:r>
          </w:p>
        </w:tc>
        <w:tc>
          <w:tcPr>
            <w:tcW w:w="8678" w:type="dxa"/>
            <w:shd w:val="clear" w:color="auto" w:fill="F2F2F2"/>
          </w:tcPr>
          <w:p w14:paraId="78CEA4C9"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Centrum Unijnych Projektów Transportowych</w:t>
            </w:r>
          </w:p>
        </w:tc>
      </w:tr>
      <w:tr w:rsidR="004E3242" w:rsidRPr="004E3242" w14:paraId="3FCC3C65" w14:textId="77777777" w:rsidTr="00AA7998">
        <w:tc>
          <w:tcPr>
            <w:tcW w:w="534" w:type="dxa"/>
            <w:shd w:val="clear" w:color="auto" w:fill="F2F2F2"/>
          </w:tcPr>
          <w:p w14:paraId="2461D241"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18.</w:t>
            </w:r>
          </w:p>
        </w:tc>
        <w:tc>
          <w:tcPr>
            <w:tcW w:w="8678" w:type="dxa"/>
            <w:shd w:val="clear" w:color="auto" w:fill="F2F2F2"/>
          </w:tcPr>
          <w:p w14:paraId="57CBC833"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Bank Gospodarstwa Krajowego</w:t>
            </w:r>
          </w:p>
        </w:tc>
      </w:tr>
      <w:tr w:rsidR="004E3242" w:rsidRPr="004E3242" w14:paraId="6441870C" w14:textId="77777777" w:rsidTr="00AA7998">
        <w:tc>
          <w:tcPr>
            <w:tcW w:w="534" w:type="dxa"/>
            <w:shd w:val="clear" w:color="auto" w:fill="F2F2F2"/>
          </w:tcPr>
          <w:p w14:paraId="1935CFCD"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19.</w:t>
            </w:r>
          </w:p>
        </w:tc>
        <w:tc>
          <w:tcPr>
            <w:tcW w:w="8678" w:type="dxa"/>
            <w:shd w:val="clear" w:color="auto" w:fill="F2F2F2"/>
          </w:tcPr>
          <w:p w14:paraId="4071AE89"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Urząd Regulacji Energetyki</w:t>
            </w:r>
          </w:p>
        </w:tc>
      </w:tr>
      <w:tr w:rsidR="004E3242" w:rsidRPr="004E3242" w14:paraId="7699D4D5" w14:textId="77777777" w:rsidTr="00AA7998">
        <w:tc>
          <w:tcPr>
            <w:tcW w:w="534" w:type="dxa"/>
            <w:shd w:val="clear" w:color="auto" w:fill="F2F2F2"/>
          </w:tcPr>
          <w:p w14:paraId="40E6C9ED"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20.</w:t>
            </w:r>
          </w:p>
        </w:tc>
        <w:tc>
          <w:tcPr>
            <w:tcW w:w="8678" w:type="dxa"/>
            <w:shd w:val="clear" w:color="auto" w:fill="F2F2F2"/>
          </w:tcPr>
          <w:p w14:paraId="70DD5885"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Konwent Marszałków Województw RP, Marszałek Województwa Podlaskiego</w:t>
            </w:r>
          </w:p>
        </w:tc>
      </w:tr>
      <w:tr w:rsidR="004E3242" w:rsidRPr="004E3242" w14:paraId="02D4FE1C" w14:textId="77777777" w:rsidTr="00AA7998">
        <w:tc>
          <w:tcPr>
            <w:tcW w:w="534" w:type="dxa"/>
            <w:shd w:val="clear" w:color="auto" w:fill="F2F2F2"/>
          </w:tcPr>
          <w:p w14:paraId="0686EC97"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21.</w:t>
            </w:r>
          </w:p>
        </w:tc>
        <w:tc>
          <w:tcPr>
            <w:tcW w:w="8678" w:type="dxa"/>
            <w:shd w:val="clear" w:color="auto" w:fill="F2F2F2"/>
          </w:tcPr>
          <w:p w14:paraId="012EFE0E"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Fundacja Unia Metropolii Polskich</w:t>
            </w:r>
          </w:p>
        </w:tc>
      </w:tr>
      <w:tr w:rsidR="004E3242" w:rsidRPr="004E3242" w14:paraId="64DEB63D" w14:textId="77777777" w:rsidTr="00AA7998">
        <w:tc>
          <w:tcPr>
            <w:tcW w:w="534" w:type="dxa"/>
            <w:shd w:val="clear" w:color="auto" w:fill="F2F2F2"/>
          </w:tcPr>
          <w:p w14:paraId="4025334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22.</w:t>
            </w:r>
          </w:p>
        </w:tc>
        <w:tc>
          <w:tcPr>
            <w:tcW w:w="8678" w:type="dxa"/>
            <w:shd w:val="clear" w:color="auto" w:fill="F2F2F2"/>
          </w:tcPr>
          <w:p w14:paraId="6E2D8F48"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Związek Miast Polskich</w:t>
            </w:r>
          </w:p>
        </w:tc>
      </w:tr>
      <w:tr w:rsidR="004E3242" w:rsidRPr="004E3242" w14:paraId="7BF90B22" w14:textId="77777777" w:rsidTr="00AA7998">
        <w:tc>
          <w:tcPr>
            <w:tcW w:w="534" w:type="dxa"/>
            <w:shd w:val="clear" w:color="auto" w:fill="F2F2F2"/>
          </w:tcPr>
          <w:p w14:paraId="4F023061"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23.</w:t>
            </w:r>
          </w:p>
        </w:tc>
        <w:tc>
          <w:tcPr>
            <w:tcW w:w="8678" w:type="dxa"/>
            <w:shd w:val="clear" w:color="auto" w:fill="F2F2F2"/>
          </w:tcPr>
          <w:p w14:paraId="2206DA7F" w14:textId="77777777" w:rsidR="004E3242" w:rsidRPr="004E3242" w:rsidRDefault="004E3242" w:rsidP="004E3242">
            <w:pPr>
              <w:spacing w:before="60" w:after="60" w:line="240" w:lineRule="auto"/>
              <w:rPr>
                <w:rFonts w:ascii="Arial" w:hAnsi="Arial" w:cs="Arial"/>
                <w:sz w:val="16"/>
                <w:szCs w:val="16"/>
              </w:rPr>
            </w:pPr>
            <w:r w:rsidRPr="004E3242">
              <w:rPr>
                <w:rFonts w:ascii="Arial" w:hAnsi="Arial" w:cs="Arial"/>
                <w:bCs/>
                <w:color w:val="000000"/>
                <w:sz w:val="16"/>
                <w:szCs w:val="16"/>
              </w:rPr>
              <w:t>Związek Powiatów Polskich</w:t>
            </w:r>
          </w:p>
        </w:tc>
      </w:tr>
      <w:tr w:rsidR="004E3242" w:rsidRPr="004E3242" w14:paraId="0535FF12" w14:textId="77777777" w:rsidTr="00AA7998">
        <w:tc>
          <w:tcPr>
            <w:tcW w:w="9212" w:type="dxa"/>
            <w:gridSpan w:val="2"/>
            <w:shd w:val="clear" w:color="auto" w:fill="99CC00"/>
          </w:tcPr>
          <w:p w14:paraId="1C2CFEC1" w14:textId="77777777" w:rsidR="004E3242" w:rsidRPr="004E3242" w:rsidRDefault="004E3242" w:rsidP="004E3242">
            <w:pPr>
              <w:spacing w:before="60" w:after="60" w:line="240" w:lineRule="auto"/>
              <w:jc w:val="center"/>
              <w:rPr>
                <w:rFonts w:ascii="Arial" w:hAnsi="Arial" w:cs="Arial"/>
                <w:b/>
                <w:color w:val="FFFFFF"/>
                <w:sz w:val="16"/>
                <w:szCs w:val="16"/>
              </w:rPr>
            </w:pPr>
            <w:r w:rsidRPr="004E3242">
              <w:rPr>
                <w:rFonts w:ascii="Arial" w:hAnsi="Arial" w:cs="Arial"/>
                <w:b/>
                <w:color w:val="FFFFFF"/>
                <w:sz w:val="16"/>
                <w:szCs w:val="16"/>
              </w:rPr>
              <w:t>Odpowiednie krajowe organizacje partnerów społecznych i gospodarczych, w szczególności główne organizacje przemysłowe i sektorowe – krajowe izby handlu i stowarzyszenia biznesu, związane z obszarami finansowania funduszy</w:t>
            </w:r>
          </w:p>
        </w:tc>
      </w:tr>
      <w:tr w:rsidR="004E3242" w:rsidRPr="004E3242" w14:paraId="3C68347E" w14:textId="77777777" w:rsidTr="00AA7998">
        <w:tc>
          <w:tcPr>
            <w:tcW w:w="534" w:type="dxa"/>
            <w:shd w:val="clear" w:color="auto" w:fill="F2F2F2"/>
          </w:tcPr>
          <w:p w14:paraId="0386F78F"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24.</w:t>
            </w:r>
          </w:p>
        </w:tc>
        <w:tc>
          <w:tcPr>
            <w:tcW w:w="8678" w:type="dxa"/>
            <w:shd w:val="clear" w:color="auto" w:fill="F2F2F2"/>
          </w:tcPr>
          <w:p w14:paraId="6BD3EE41"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Konferencja Rektorów Akademickich Szkół Polskich</w:t>
            </w:r>
          </w:p>
        </w:tc>
      </w:tr>
      <w:tr w:rsidR="004E3242" w:rsidRPr="004E3242" w14:paraId="0BA35883" w14:textId="77777777" w:rsidTr="00AA7998">
        <w:tc>
          <w:tcPr>
            <w:tcW w:w="534" w:type="dxa"/>
            <w:shd w:val="clear" w:color="auto" w:fill="F2F2F2"/>
          </w:tcPr>
          <w:p w14:paraId="04B28970"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25.</w:t>
            </w:r>
          </w:p>
        </w:tc>
        <w:tc>
          <w:tcPr>
            <w:tcW w:w="8678" w:type="dxa"/>
            <w:shd w:val="clear" w:color="auto" w:fill="F2F2F2"/>
          </w:tcPr>
          <w:p w14:paraId="504F41FD"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Polska Izba Inżynierów Budownictwa</w:t>
            </w:r>
          </w:p>
        </w:tc>
      </w:tr>
      <w:tr w:rsidR="004E3242" w:rsidRPr="004E3242" w14:paraId="0769A90D" w14:textId="77777777" w:rsidTr="00AA7998">
        <w:tc>
          <w:tcPr>
            <w:tcW w:w="534" w:type="dxa"/>
            <w:shd w:val="clear" w:color="auto" w:fill="F2F2F2"/>
          </w:tcPr>
          <w:p w14:paraId="148745A7"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26.</w:t>
            </w:r>
          </w:p>
        </w:tc>
        <w:tc>
          <w:tcPr>
            <w:tcW w:w="8678" w:type="dxa"/>
            <w:shd w:val="clear" w:color="auto" w:fill="F2F2F2"/>
          </w:tcPr>
          <w:p w14:paraId="2487C3A7"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Izba Gospodarcza Komunikacji Miejskiej</w:t>
            </w:r>
          </w:p>
        </w:tc>
      </w:tr>
      <w:tr w:rsidR="004E3242" w:rsidRPr="004E3242" w14:paraId="6E38EA01" w14:textId="77777777" w:rsidTr="00AA7998">
        <w:tc>
          <w:tcPr>
            <w:tcW w:w="534" w:type="dxa"/>
            <w:shd w:val="clear" w:color="auto" w:fill="F2F2F2"/>
          </w:tcPr>
          <w:p w14:paraId="7B8700D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27.</w:t>
            </w:r>
          </w:p>
        </w:tc>
        <w:tc>
          <w:tcPr>
            <w:tcW w:w="8678" w:type="dxa"/>
            <w:shd w:val="clear" w:color="auto" w:fill="F2F2F2"/>
          </w:tcPr>
          <w:p w14:paraId="0538C70D"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color w:val="000000"/>
                <w:sz w:val="16"/>
                <w:szCs w:val="16"/>
              </w:rPr>
              <w:t>Stowarzyszenie Energii Odnawialnej</w:t>
            </w:r>
          </w:p>
        </w:tc>
      </w:tr>
      <w:tr w:rsidR="004E3242" w:rsidRPr="004E3242" w14:paraId="6E2A75DF" w14:textId="77777777" w:rsidTr="00AA7998">
        <w:tc>
          <w:tcPr>
            <w:tcW w:w="534" w:type="dxa"/>
            <w:shd w:val="clear" w:color="auto" w:fill="F2F2F2"/>
          </w:tcPr>
          <w:p w14:paraId="18760F9E"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28.</w:t>
            </w:r>
          </w:p>
        </w:tc>
        <w:tc>
          <w:tcPr>
            <w:tcW w:w="8678" w:type="dxa"/>
            <w:shd w:val="clear" w:color="auto" w:fill="F2F2F2"/>
          </w:tcPr>
          <w:p w14:paraId="0441DF91"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color w:val="000000"/>
                <w:sz w:val="16"/>
                <w:szCs w:val="16"/>
              </w:rPr>
              <w:t>Stowarzyszenie Polska Grupa Agencji Energetycznych</w:t>
            </w:r>
          </w:p>
        </w:tc>
      </w:tr>
      <w:tr w:rsidR="004E3242" w:rsidRPr="004E3242" w14:paraId="0C578616" w14:textId="77777777" w:rsidTr="00AA7998">
        <w:tc>
          <w:tcPr>
            <w:tcW w:w="534" w:type="dxa"/>
            <w:shd w:val="clear" w:color="auto" w:fill="F2F2F2"/>
          </w:tcPr>
          <w:p w14:paraId="6DF8CEB1"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29.</w:t>
            </w:r>
          </w:p>
        </w:tc>
        <w:tc>
          <w:tcPr>
            <w:tcW w:w="8678" w:type="dxa"/>
            <w:shd w:val="clear" w:color="auto" w:fill="F2F2F2"/>
          </w:tcPr>
          <w:p w14:paraId="7D1E3EAE"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 xml:space="preserve">Polskie Towarzystwo </w:t>
            </w:r>
            <w:proofErr w:type="spellStart"/>
            <w:r w:rsidRPr="004E3242">
              <w:rPr>
                <w:rFonts w:ascii="Arial" w:hAnsi="Arial" w:cs="Arial"/>
                <w:bCs/>
                <w:color w:val="000000"/>
                <w:sz w:val="16"/>
                <w:szCs w:val="16"/>
              </w:rPr>
              <w:t>Przesyłu</w:t>
            </w:r>
            <w:proofErr w:type="spellEnd"/>
            <w:r w:rsidRPr="004E3242">
              <w:rPr>
                <w:rFonts w:ascii="Arial" w:hAnsi="Arial" w:cs="Arial"/>
                <w:bCs/>
                <w:color w:val="000000"/>
                <w:sz w:val="16"/>
                <w:szCs w:val="16"/>
              </w:rPr>
              <w:t xml:space="preserve"> i Rozdziału Energii Elektrycznej</w:t>
            </w:r>
          </w:p>
        </w:tc>
      </w:tr>
      <w:tr w:rsidR="004E3242" w:rsidRPr="004E3242" w14:paraId="0979A040" w14:textId="77777777" w:rsidTr="00AA7998">
        <w:tc>
          <w:tcPr>
            <w:tcW w:w="534" w:type="dxa"/>
            <w:shd w:val="clear" w:color="auto" w:fill="F2F2F2"/>
          </w:tcPr>
          <w:p w14:paraId="14BFAAA0"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30.</w:t>
            </w:r>
          </w:p>
        </w:tc>
        <w:tc>
          <w:tcPr>
            <w:tcW w:w="8678" w:type="dxa"/>
            <w:shd w:val="clear" w:color="auto" w:fill="F2F2F2"/>
          </w:tcPr>
          <w:p w14:paraId="18016B2F"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color w:val="000000"/>
                <w:sz w:val="16"/>
                <w:szCs w:val="16"/>
              </w:rPr>
              <w:t>Izba Gospodarcza Ciepłownictwo Polskie</w:t>
            </w:r>
          </w:p>
        </w:tc>
      </w:tr>
      <w:tr w:rsidR="004E3242" w:rsidRPr="004E3242" w14:paraId="7695BEA7" w14:textId="77777777" w:rsidTr="00AA7998">
        <w:tc>
          <w:tcPr>
            <w:tcW w:w="534" w:type="dxa"/>
            <w:shd w:val="clear" w:color="auto" w:fill="F2F2F2"/>
          </w:tcPr>
          <w:p w14:paraId="1A05773E"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31.</w:t>
            </w:r>
          </w:p>
        </w:tc>
        <w:tc>
          <w:tcPr>
            <w:tcW w:w="8678" w:type="dxa"/>
            <w:shd w:val="clear" w:color="auto" w:fill="F2F2F2"/>
          </w:tcPr>
          <w:p w14:paraId="5EBC3DA5"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Izba Gospodarcza Gazownictwa</w:t>
            </w:r>
          </w:p>
        </w:tc>
      </w:tr>
      <w:tr w:rsidR="004E3242" w:rsidRPr="004E3242" w14:paraId="6DE4E072" w14:textId="77777777" w:rsidTr="00AA7998">
        <w:tc>
          <w:tcPr>
            <w:tcW w:w="534" w:type="dxa"/>
            <w:shd w:val="clear" w:color="auto" w:fill="F2F2F2"/>
          </w:tcPr>
          <w:p w14:paraId="69BFF318"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32.</w:t>
            </w:r>
          </w:p>
        </w:tc>
        <w:tc>
          <w:tcPr>
            <w:tcW w:w="8678" w:type="dxa"/>
            <w:shd w:val="clear" w:color="auto" w:fill="F2F2F2"/>
          </w:tcPr>
          <w:p w14:paraId="03DDC540"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bCs/>
                <w:color w:val="000000"/>
                <w:sz w:val="16"/>
                <w:szCs w:val="16"/>
              </w:rPr>
              <w:t>Izba Gospodarcza Energetyki i Ochrony Środowiska</w:t>
            </w:r>
          </w:p>
        </w:tc>
      </w:tr>
      <w:tr w:rsidR="004E3242" w:rsidRPr="004E3242" w14:paraId="696772E0" w14:textId="77777777" w:rsidTr="00AA7998">
        <w:tc>
          <w:tcPr>
            <w:tcW w:w="534" w:type="dxa"/>
            <w:shd w:val="clear" w:color="auto" w:fill="F2F2F2"/>
          </w:tcPr>
          <w:p w14:paraId="00835819"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33.</w:t>
            </w:r>
          </w:p>
        </w:tc>
        <w:tc>
          <w:tcPr>
            <w:tcW w:w="8678" w:type="dxa"/>
            <w:shd w:val="clear" w:color="auto" w:fill="F2F2F2"/>
          </w:tcPr>
          <w:p w14:paraId="49D77319"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sz w:val="16"/>
                <w:szCs w:val="16"/>
              </w:rPr>
              <w:t>Krajowa Agencja Poszanowania Energii S.A.</w:t>
            </w:r>
          </w:p>
        </w:tc>
      </w:tr>
      <w:tr w:rsidR="004E3242" w:rsidRPr="004E3242" w14:paraId="722707C7" w14:textId="77777777" w:rsidTr="00AA7998">
        <w:tc>
          <w:tcPr>
            <w:tcW w:w="534" w:type="dxa"/>
            <w:shd w:val="clear" w:color="auto" w:fill="F2F2F2"/>
          </w:tcPr>
          <w:p w14:paraId="40AEFD27"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34.</w:t>
            </w:r>
          </w:p>
        </w:tc>
        <w:tc>
          <w:tcPr>
            <w:tcW w:w="8678" w:type="dxa"/>
            <w:shd w:val="clear" w:color="auto" w:fill="F2F2F2"/>
          </w:tcPr>
          <w:p w14:paraId="14328BBA"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sz w:val="16"/>
                <w:szCs w:val="16"/>
              </w:rPr>
              <w:t>Krajowa Rada Gospodarki Wodnej</w:t>
            </w:r>
          </w:p>
        </w:tc>
      </w:tr>
      <w:tr w:rsidR="004E3242" w:rsidRPr="004E3242" w14:paraId="4319E9ED" w14:textId="77777777" w:rsidTr="00AA7998">
        <w:tc>
          <w:tcPr>
            <w:tcW w:w="534" w:type="dxa"/>
            <w:shd w:val="clear" w:color="auto" w:fill="F2F2F2"/>
          </w:tcPr>
          <w:p w14:paraId="5E6259BF"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35.</w:t>
            </w:r>
          </w:p>
        </w:tc>
        <w:tc>
          <w:tcPr>
            <w:tcW w:w="8678" w:type="dxa"/>
            <w:shd w:val="clear" w:color="auto" w:fill="F2F2F2"/>
          </w:tcPr>
          <w:p w14:paraId="7E19E959"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sz w:val="16"/>
                <w:szCs w:val="16"/>
              </w:rPr>
              <w:t>Krajowy Zarząd Gospodarki Wodnej</w:t>
            </w:r>
          </w:p>
        </w:tc>
      </w:tr>
      <w:tr w:rsidR="004E3242" w:rsidRPr="004E3242" w14:paraId="290F8DA1" w14:textId="77777777" w:rsidTr="00AA7998">
        <w:tc>
          <w:tcPr>
            <w:tcW w:w="534" w:type="dxa"/>
            <w:shd w:val="clear" w:color="auto" w:fill="F2F2F2"/>
          </w:tcPr>
          <w:p w14:paraId="543006D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36.</w:t>
            </w:r>
          </w:p>
        </w:tc>
        <w:tc>
          <w:tcPr>
            <w:tcW w:w="8678" w:type="dxa"/>
            <w:shd w:val="clear" w:color="auto" w:fill="F2F2F2"/>
          </w:tcPr>
          <w:p w14:paraId="5182FC22"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color w:val="000000"/>
                <w:sz w:val="16"/>
                <w:szCs w:val="16"/>
              </w:rPr>
              <w:t>Związek Banków Polskich</w:t>
            </w:r>
          </w:p>
        </w:tc>
      </w:tr>
      <w:tr w:rsidR="004E3242" w:rsidRPr="004E3242" w14:paraId="33DC8454" w14:textId="77777777" w:rsidTr="00AA7998">
        <w:tc>
          <w:tcPr>
            <w:tcW w:w="534" w:type="dxa"/>
            <w:shd w:val="clear" w:color="auto" w:fill="F2F2F2"/>
          </w:tcPr>
          <w:p w14:paraId="54B914D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37.</w:t>
            </w:r>
          </w:p>
        </w:tc>
        <w:tc>
          <w:tcPr>
            <w:tcW w:w="8678" w:type="dxa"/>
            <w:shd w:val="clear" w:color="auto" w:fill="F2F2F2"/>
          </w:tcPr>
          <w:p w14:paraId="5B6103D2"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color w:val="000000"/>
                <w:sz w:val="16"/>
                <w:szCs w:val="16"/>
              </w:rPr>
              <w:t>Polska Konfederacja Pracodawców Prywatnych Lewiatan</w:t>
            </w:r>
          </w:p>
        </w:tc>
      </w:tr>
      <w:tr w:rsidR="004E3242" w:rsidRPr="004E3242" w14:paraId="6B05CAD9" w14:textId="77777777" w:rsidTr="00AA7998">
        <w:tc>
          <w:tcPr>
            <w:tcW w:w="534" w:type="dxa"/>
            <w:shd w:val="clear" w:color="auto" w:fill="F2F2F2"/>
          </w:tcPr>
          <w:p w14:paraId="2DCD59B7"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38.</w:t>
            </w:r>
          </w:p>
        </w:tc>
        <w:tc>
          <w:tcPr>
            <w:tcW w:w="8678" w:type="dxa"/>
            <w:shd w:val="clear" w:color="auto" w:fill="F2F2F2"/>
          </w:tcPr>
          <w:p w14:paraId="39F79B18"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color w:val="000000"/>
                <w:sz w:val="16"/>
                <w:szCs w:val="16"/>
              </w:rPr>
              <w:t>Business Centre Club</w:t>
            </w:r>
          </w:p>
        </w:tc>
      </w:tr>
      <w:tr w:rsidR="004E3242" w:rsidRPr="004E3242" w14:paraId="425B5447" w14:textId="77777777" w:rsidTr="00AA7998">
        <w:tc>
          <w:tcPr>
            <w:tcW w:w="534" w:type="dxa"/>
            <w:shd w:val="clear" w:color="auto" w:fill="F2F2F2"/>
          </w:tcPr>
          <w:p w14:paraId="5843CC9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39.</w:t>
            </w:r>
          </w:p>
        </w:tc>
        <w:tc>
          <w:tcPr>
            <w:tcW w:w="8678" w:type="dxa"/>
            <w:shd w:val="clear" w:color="auto" w:fill="F2F2F2"/>
          </w:tcPr>
          <w:p w14:paraId="3C0C63BE" w14:textId="77777777" w:rsidR="004E3242" w:rsidRPr="004E3242" w:rsidRDefault="004E3242" w:rsidP="004E3242">
            <w:pPr>
              <w:autoSpaceDE w:val="0"/>
              <w:autoSpaceDN w:val="0"/>
              <w:adjustRightInd w:val="0"/>
              <w:spacing w:before="60" w:after="60" w:line="240" w:lineRule="auto"/>
              <w:rPr>
                <w:rFonts w:ascii="Arial" w:hAnsi="Arial" w:cs="Arial"/>
                <w:bCs/>
                <w:color w:val="000000"/>
                <w:sz w:val="16"/>
                <w:szCs w:val="16"/>
              </w:rPr>
            </w:pPr>
            <w:r w:rsidRPr="004E3242">
              <w:rPr>
                <w:rFonts w:ascii="Arial" w:hAnsi="Arial" w:cs="Arial"/>
                <w:color w:val="000000"/>
                <w:sz w:val="16"/>
                <w:szCs w:val="16"/>
              </w:rPr>
              <w:t>Komisja Krajowa NSZZ “SOLIDARNOŚĆ”</w:t>
            </w:r>
          </w:p>
        </w:tc>
      </w:tr>
      <w:tr w:rsidR="004E3242" w:rsidRPr="004E3242" w14:paraId="7B40E119" w14:textId="77777777" w:rsidTr="00AA7998">
        <w:tc>
          <w:tcPr>
            <w:tcW w:w="534" w:type="dxa"/>
            <w:shd w:val="clear" w:color="auto" w:fill="F2F2F2"/>
          </w:tcPr>
          <w:p w14:paraId="44BD02F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40.</w:t>
            </w:r>
          </w:p>
        </w:tc>
        <w:tc>
          <w:tcPr>
            <w:tcW w:w="8678" w:type="dxa"/>
            <w:shd w:val="clear" w:color="auto" w:fill="F2F2F2"/>
          </w:tcPr>
          <w:p w14:paraId="22283333" w14:textId="77777777" w:rsidR="004E3242" w:rsidRPr="004E3242" w:rsidRDefault="004E3242" w:rsidP="004E3242">
            <w:pPr>
              <w:spacing w:before="60" w:after="60" w:line="240" w:lineRule="auto"/>
              <w:rPr>
                <w:rFonts w:ascii="Arial" w:hAnsi="Arial" w:cs="Arial"/>
                <w:sz w:val="16"/>
                <w:szCs w:val="16"/>
              </w:rPr>
            </w:pPr>
            <w:r w:rsidRPr="004E3242">
              <w:rPr>
                <w:rFonts w:ascii="Arial" w:hAnsi="Arial" w:cs="Arial"/>
                <w:color w:val="000000"/>
                <w:sz w:val="16"/>
                <w:szCs w:val="16"/>
              </w:rPr>
              <w:t>Ogólnopolskie Porozumienie Związków Zawodowych</w:t>
            </w:r>
          </w:p>
        </w:tc>
      </w:tr>
      <w:tr w:rsidR="004E3242" w:rsidRPr="004E3242" w14:paraId="76D9F6BF" w14:textId="77777777" w:rsidTr="00AA7998">
        <w:tc>
          <w:tcPr>
            <w:tcW w:w="9212" w:type="dxa"/>
            <w:gridSpan w:val="2"/>
            <w:shd w:val="clear" w:color="auto" w:fill="99CC00"/>
          </w:tcPr>
          <w:p w14:paraId="0308776B" w14:textId="77777777" w:rsidR="004E3242" w:rsidRPr="004E3242" w:rsidRDefault="004E3242" w:rsidP="004E3242">
            <w:pPr>
              <w:spacing w:before="60" w:after="60" w:line="240" w:lineRule="auto"/>
              <w:jc w:val="center"/>
              <w:rPr>
                <w:rFonts w:ascii="Arial" w:hAnsi="Arial" w:cs="Arial"/>
                <w:color w:val="FFFFFF"/>
                <w:sz w:val="16"/>
                <w:szCs w:val="16"/>
              </w:rPr>
            </w:pPr>
            <w:r w:rsidRPr="004E3242">
              <w:rPr>
                <w:rFonts w:ascii="Arial" w:hAnsi="Arial" w:cs="Arial"/>
                <w:b/>
                <w:color w:val="FFFFFF"/>
                <w:sz w:val="16"/>
                <w:szCs w:val="16"/>
              </w:rPr>
              <w:t>Instytucje społeczeństwa obywatelskiego działające w obszarach związanych z planowaną interwencją funduszy oraz odpowiadające za promocję zasad horyzontalnych</w:t>
            </w:r>
          </w:p>
        </w:tc>
      </w:tr>
      <w:tr w:rsidR="004E3242" w:rsidRPr="004E3242" w14:paraId="651A6EE2" w14:textId="77777777" w:rsidTr="00AA7998">
        <w:tc>
          <w:tcPr>
            <w:tcW w:w="534" w:type="dxa"/>
            <w:shd w:val="clear" w:color="auto" w:fill="F2F2F2"/>
          </w:tcPr>
          <w:p w14:paraId="22DBE40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41.</w:t>
            </w:r>
          </w:p>
        </w:tc>
        <w:tc>
          <w:tcPr>
            <w:tcW w:w="8678" w:type="dxa"/>
            <w:shd w:val="clear" w:color="auto" w:fill="F2F2F2"/>
          </w:tcPr>
          <w:p w14:paraId="68C83EB4"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Ogólnopolska Federacja Organizacji Pozarządowych</w:t>
            </w:r>
          </w:p>
        </w:tc>
      </w:tr>
      <w:tr w:rsidR="004E3242" w:rsidRPr="004E3242" w14:paraId="6E2E9C59" w14:textId="77777777" w:rsidTr="00AA7998">
        <w:tc>
          <w:tcPr>
            <w:tcW w:w="534" w:type="dxa"/>
            <w:shd w:val="clear" w:color="auto" w:fill="F2F2F2"/>
          </w:tcPr>
          <w:p w14:paraId="421CB8B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42.</w:t>
            </w:r>
          </w:p>
        </w:tc>
        <w:tc>
          <w:tcPr>
            <w:tcW w:w="8678" w:type="dxa"/>
            <w:shd w:val="clear" w:color="auto" w:fill="F2F2F2"/>
          </w:tcPr>
          <w:p w14:paraId="62E7B599"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Forum Aktywizacji Obszarów Wiejskich</w:t>
            </w:r>
          </w:p>
        </w:tc>
      </w:tr>
      <w:tr w:rsidR="004E3242" w:rsidRPr="004E3242" w14:paraId="45F99BA5" w14:textId="77777777" w:rsidTr="00AA7998">
        <w:tc>
          <w:tcPr>
            <w:tcW w:w="534" w:type="dxa"/>
            <w:shd w:val="clear" w:color="auto" w:fill="F2F2F2"/>
          </w:tcPr>
          <w:p w14:paraId="0D310682"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43.</w:t>
            </w:r>
          </w:p>
        </w:tc>
        <w:tc>
          <w:tcPr>
            <w:tcW w:w="8678" w:type="dxa"/>
            <w:shd w:val="clear" w:color="auto" w:fill="F2F2F2"/>
          </w:tcPr>
          <w:p w14:paraId="2CD36C97"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Stowarzyszenie Ekologicznego Eko – Unia</w:t>
            </w:r>
          </w:p>
        </w:tc>
      </w:tr>
      <w:tr w:rsidR="004E3242" w:rsidRPr="004E3242" w14:paraId="10E1C3E2" w14:textId="77777777" w:rsidTr="00AA7998">
        <w:tc>
          <w:tcPr>
            <w:tcW w:w="534" w:type="dxa"/>
            <w:shd w:val="clear" w:color="auto" w:fill="F2F2F2"/>
          </w:tcPr>
          <w:p w14:paraId="13D4EB07"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44.</w:t>
            </w:r>
          </w:p>
        </w:tc>
        <w:tc>
          <w:tcPr>
            <w:tcW w:w="8678" w:type="dxa"/>
            <w:shd w:val="clear" w:color="auto" w:fill="F2F2F2"/>
          </w:tcPr>
          <w:p w14:paraId="6A49161A"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 xml:space="preserve">Stowarzyszenie Gmin Polska Sieć „Energie </w:t>
            </w:r>
            <w:proofErr w:type="spellStart"/>
            <w:r w:rsidRPr="004E3242">
              <w:rPr>
                <w:rFonts w:ascii="Arial" w:hAnsi="Arial" w:cs="Arial"/>
                <w:color w:val="000000"/>
                <w:sz w:val="16"/>
                <w:szCs w:val="16"/>
              </w:rPr>
              <w:t>Cités</w:t>
            </w:r>
            <w:proofErr w:type="spellEnd"/>
            <w:r w:rsidRPr="004E3242">
              <w:rPr>
                <w:rFonts w:ascii="Arial" w:hAnsi="Arial" w:cs="Arial"/>
                <w:color w:val="000000"/>
                <w:sz w:val="16"/>
                <w:szCs w:val="16"/>
              </w:rPr>
              <w:t>” (PNEC)</w:t>
            </w:r>
          </w:p>
        </w:tc>
      </w:tr>
      <w:tr w:rsidR="004E3242" w:rsidRPr="004E3242" w14:paraId="17DD87DF" w14:textId="77777777" w:rsidTr="00AA7998">
        <w:tc>
          <w:tcPr>
            <w:tcW w:w="534" w:type="dxa"/>
            <w:shd w:val="clear" w:color="auto" w:fill="F2F2F2"/>
          </w:tcPr>
          <w:p w14:paraId="40245FD0"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45.</w:t>
            </w:r>
          </w:p>
        </w:tc>
        <w:tc>
          <w:tcPr>
            <w:tcW w:w="8678" w:type="dxa"/>
            <w:shd w:val="clear" w:color="auto" w:fill="F2F2F2"/>
          </w:tcPr>
          <w:p w14:paraId="4E7C7691"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Polski Klub Ekologiczny Okręg Mazowiecki – pełniącego funkcję koordynatora Koalicji Klimatycznej</w:t>
            </w:r>
          </w:p>
        </w:tc>
      </w:tr>
      <w:tr w:rsidR="004E3242" w:rsidRPr="004E3242" w14:paraId="0DB8E1F8" w14:textId="77777777" w:rsidTr="00AA7998">
        <w:tc>
          <w:tcPr>
            <w:tcW w:w="534" w:type="dxa"/>
            <w:shd w:val="clear" w:color="auto" w:fill="F2F2F2"/>
          </w:tcPr>
          <w:p w14:paraId="28B23EC5"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46.</w:t>
            </w:r>
          </w:p>
        </w:tc>
        <w:tc>
          <w:tcPr>
            <w:tcW w:w="8678" w:type="dxa"/>
            <w:shd w:val="clear" w:color="auto" w:fill="F2F2F2"/>
          </w:tcPr>
          <w:p w14:paraId="591ECD5A"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Stowarzyszenie Integracji Stołecznej Komunikacji SISKOM</w:t>
            </w:r>
          </w:p>
        </w:tc>
      </w:tr>
      <w:tr w:rsidR="004E3242" w:rsidRPr="004E3242" w14:paraId="222C6329" w14:textId="77777777" w:rsidTr="00AA7998">
        <w:tc>
          <w:tcPr>
            <w:tcW w:w="534" w:type="dxa"/>
            <w:shd w:val="clear" w:color="auto" w:fill="F2F2F2"/>
          </w:tcPr>
          <w:p w14:paraId="08C1ACA2"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47.</w:t>
            </w:r>
          </w:p>
        </w:tc>
        <w:tc>
          <w:tcPr>
            <w:tcW w:w="8678" w:type="dxa"/>
            <w:shd w:val="clear" w:color="auto" w:fill="F2F2F2"/>
          </w:tcPr>
          <w:p w14:paraId="0908658C"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Społeczna Rada ds. Rozwoju Gospodarki Niskoemisyjnej</w:t>
            </w:r>
          </w:p>
        </w:tc>
      </w:tr>
      <w:tr w:rsidR="004E3242" w:rsidRPr="004E3242" w14:paraId="6F9C429E" w14:textId="77777777" w:rsidTr="00AA7998">
        <w:tc>
          <w:tcPr>
            <w:tcW w:w="534" w:type="dxa"/>
            <w:shd w:val="clear" w:color="auto" w:fill="F2F2F2"/>
          </w:tcPr>
          <w:p w14:paraId="1BE4D152"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48.</w:t>
            </w:r>
          </w:p>
        </w:tc>
        <w:tc>
          <w:tcPr>
            <w:tcW w:w="8678" w:type="dxa"/>
            <w:shd w:val="clear" w:color="auto" w:fill="F2F2F2"/>
          </w:tcPr>
          <w:p w14:paraId="343EFDD2"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Railway Business Forum</w:t>
            </w:r>
          </w:p>
        </w:tc>
      </w:tr>
      <w:tr w:rsidR="004E3242" w:rsidRPr="004E3242" w14:paraId="24743F44" w14:textId="77777777" w:rsidTr="00AA7998">
        <w:tc>
          <w:tcPr>
            <w:tcW w:w="534" w:type="dxa"/>
            <w:shd w:val="clear" w:color="auto" w:fill="F2F2F2"/>
          </w:tcPr>
          <w:p w14:paraId="58B4A5BA"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49.</w:t>
            </w:r>
          </w:p>
        </w:tc>
        <w:tc>
          <w:tcPr>
            <w:tcW w:w="8678" w:type="dxa"/>
            <w:shd w:val="clear" w:color="auto" w:fill="F2F2F2"/>
          </w:tcPr>
          <w:p w14:paraId="2546B401"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Stowarzyszenie Inteligentne Systemy Transportowe - ITS POLSKA</w:t>
            </w:r>
          </w:p>
        </w:tc>
      </w:tr>
      <w:tr w:rsidR="004E3242" w:rsidRPr="004E3242" w14:paraId="27A15CA7" w14:textId="77777777" w:rsidTr="00AA7998">
        <w:tc>
          <w:tcPr>
            <w:tcW w:w="534" w:type="dxa"/>
            <w:shd w:val="clear" w:color="auto" w:fill="F2F2F2"/>
          </w:tcPr>
          <w:p w14:paraId="1AABD053"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50.</w:t>
            </w:r>
          </w:p>
        </w:tc>
        <w:tc>
          <w:tcPr>
            <w:tcW w:w="8678" w:type="dxa"/>
            <w:shd w:val="clear" w:color="auto" w:fill="F2F2F2"/>
          </w:tcPr>
          <w:p w14:paraId="4C63B19B" w14:textId="77777777" w:rsidR="004E3242" w:rsidRPr="004E3242" w:rsidRDefault="004E3242" w:rsidP="004E3242">
            <w:pPr>
              <w:spacing w:before="60" w:after="60" w:line="240" w:lineRule="auto"/>
              <w:rPr>
                <w:rFonts w:ascii="Arial" w:hAnsi="Arial" w:cs="Arial"/>
                <w:sz w:val="16"/>
                <w:szCs w:val="16"/>
              </w:rPr>
            </w:pPr>
            <w:r w:rsidRPr="004E3242">
              <w:rPr>
                <w:rFonts w:ascii="Arial" w:hAnsi="Arial" w:cs="Arial"/>
                <w:color w:val="000000"/>
                <w:sz w:val="16"/>
                <w:szCs w:val="16"/>
              </w:rPr>
              <w:t>Towarzystwa Edukacji Antydyskryminacyjnej (TEA)</w:t>
            </w:r>
          </w:p>
        </w:tc>
      </w:tr>
      <w:tr w:rsidR="004E3242" w:rsidRPr="004E3242" w14:paraId="791C1044" w14:textId="77777777" w:rsidTr="00AA7998">
        <w:tc>
          <w:tcPr>
            <w:tcW w:w="9212" w:type="dxa"/>
            <w:gridSpan w:val="2"/>
            <w:shd w:val="clear" w:color="auto" w:fill="99CC00"/>
          </w:tcPr>
          <w:p w14:paraId="746C483C" w14:textId="77777777" w:rsidR="004E3242" w:rsidRPr="004E3242" w:rsidRDefault="004E3242" w:rsidP="004E3242">
            <w:pPr>
              <w:spacing w:before="60" w:after="60" w:line="240" w:lineRule="auto"/>
              <w:jc w:val="center"/>
              <w:rPr>
                <w:rFonts w:ascii="Arial" w:hAnsi="Arial" w:cs="Arial"/>
                <w:b/>
                <w:color w:val="FFFFFF"/>
                <w:sz w:val="16"/>
                <w:szCs w:val="16"/>
              </w:rPr>
            </w:pPr>
            <w:r w:rsidRPr="004E3242">
              <w:rPr>
                <w:rFonts w:ascii="Arial" w:hAnsi="Arial" w:cs="Arial"/>
                <w:b/>
                <w:color w:val="FFFFFF"/>
                <w:sz w:val="16"/>
                <w:szCs w:val="16"/>
              </w:rPr>
              <w:t>Organizacje naukowe i eksperckie istotne z punktu widzenia tematyki wsparcia programu</w:t>
            </w:r>
          </w:p>
        </w:tc>
      </w:tr>
      <w:tr w:rsidR="004E3242" w:rsidRPr="004E3242" w14:paraId="3540688F" w14:textId="77777777" w:rsidTr="00AA7998">
        <w:tc>
          <w:tcPr>
            <w:tcW w:w="534" w:type="dxa"/>
            <w:shd w:val="clear" w:color="auto" w:fill="F2F2F2"/>
          </w:tcPr>
          <w:p w14:paraId="44A90540"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lastRenderedPageBreak/>
              <w:t>51.</w:t>
            </w:r>
          </w:p>
        </w:tc>
        <w:tc>
          <w:tcPr>
            <w:tcW w:w="8678" w:type="dxa"/>
            <w:shd w:val="clear" w:color="auto" w:fill="F2F2F2"/>
          </w:tcPr>
          <w:p w14:paraId="233B4E87"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Instytut Chemicznej Przeróbki Węgla</w:t>
            </w:r>
          </w:p>
        </w:tc>
      </w:tr>
      <w:tr w:rsidR="004E3242" w:rsidRPr="004E3242" w14:paraId="7DF82BBA" w14:textId="77777777" w:rsidTr="00AA7998">
        <w:tc>
          <w:tcPr>
            <w:tcW w:w="534" w:type="dxa"/>
            <w:shd w:val="clear" w:color="auto" w:fill="F2F2F2"/>
          </w:tcPr>
          <w:p w14:paraId="02F815C9"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52.</w:t>
            </w:r>
          </w:p>
        </w:tc>
        <w:tc>
          <w:tcPr>
            <w:tcW w:w="8678" w:type="dxa"/>
            <w:shd w:val="clear" w:color="auto" w:fill="F2F2F2"/>
          </w:tcPr>
          <w:p w14:paraId="02687FB6"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Instytut Badawczy Dróg i Mostów</w:t>
            </w:r>
          </w:p>
        </w:tc>
      </w:tr>
      <w:tr w:rsidR="004E3242" w:rsidRPr="004E3242" w14:paraId="256ABF3D" w14:textId="77777777" w:rsidTr="00AA7998">
        <w:tc>
          <w:tcPr>
            <w:tcW w:w="534" w:type="dxa"/>
            <w:shd w:val="clear" w:color="auto" w:fill="F2F2F2"/>
          </w:tcPr>
          <w:p w14:paraId="34B281C4"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53.</w:t>
            </w:r>
          </w:p>
        </w:tc>
        <w:tc>
          <w:tcPr>
            <w:tcW w:w="8678" w:type="dxa"/>
            <w:shd w:val="clear" w:color="auto" w:fill="F2F2F2"/>
          </w:tcPr>
          <w:p w14:paraId="3F29107F"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Instytut Ekologii Terenów Uprzemysłowionych – Państwowy Instytut Badawczy</w:t>
            </w:r>
          </w:p>
        </w:tc>
      </w:tr>
      <w:tr w:rsidR="004E3242" w:rsidRPr="004E3242" w14:paraId="1D1F7960" w14:textId="77777777" w:rsidTr="00AA7998">
        <w:tc>
          <w:tcPr>
            <w:tcW w:w="534" w:type="dxa"/>
            <w:shd w:val="clear" w:color="auto" w:fill="F2F2F2"/>
          </w:tcPr>
          <w:p w14:paraId="0B375E9B"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54.</w:t>
            </w:r>
          </w:p>
        </w:tc>
        <w:tc>
          <w:tcPr>
            <w:tcW w:w="8678" w:type="dxa"/>
            <w:shd w:val="clear" w:color="auto" w:fill="F2F2F2"/>
          </w:tcPr>
          <w:p w14:paraId="663512CF"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Instytut Ochrony Środowiska – Państwowy Instytut Badawczy</w:t>
            </w:r>
          </w:p>
        </w:tc>
      </w:tr>
      <w:tr w:rsidR="004E3242" w:rsidRPr="004E3242" w14:paraId="4C146500" w14:textId="77777777" w:rsidTr="00AA7998">
        <w:tc>
          <w:tcPr>
            <w:tcW w:w="534" w:type="dxa"/>
            <w:shd w:val="clear" w:color="auto" w:fill="F2F2F2"/>
          </w:tcPr>
          <w:p w14:paraId="5B801A1C"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55.</w:t>
            </w:r>
          </w:p>
        </w:tc>
        <w:tc>
          <w:tcPr>
            <w:tcW w:w="8678" w:type="dxa"/>
            <w:shd w:val="clear" w:color="auto" w:fill="F2F2F2"/>
          </w:tcPr>
          <w:p w14:paraId="5C7693E3"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Instytut Meteorologii i Gospodarki Wodnej – Państwowy Instytut Badawczy</w:t>
            </w:r>
          </w:p>
        </w:tc>
      </w:tr>
      <w:tr w:rsidR="004E3242" w:rsidRPr="004E3242" w14:paraId="631A0BE4" w14:textId="77777777" w:rsidTr="00AA7998">
        <w:tc>
          <w:tcPr>
            <w:tcW w:w="534" w:type="dxa"/>
            <w:shd w:val="clear" w:color="auto" w:fill="F2F2F2"/>
          </w:tcPr>
          <w:p w14:paraId="45737C4E"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56.</w:t>
            </w:r>
          </w:p>
        </w:tc>
        <w:tc>
          <w:tcPr>
            <w:tcW w:w="8678" w:type="dxa"/>
            <w:shd w:val="clear" w:color="auto" w:fill="F2F2F2"/>
          </w:tcPr>
          <w:p w14:paraId="7A7484DD" w14:textId="77777777"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Instytut Nafty i Gazu</w:t>
            </w:r>
          </w:p>
        </w:tc>
      </w:tr>
      <w:tr w:rsidR="004E3242" w:rsidRPr="004E3242" w14:paraId="0933183E" w14:textId="77777777" w:rsidTr="00AA7998">
        <w:tc>
          <w:tcPr>
            <w:tcW w:w="534" w:type="dxa"/>
            <w:shd w:val="clear" w:color="auto" w:fill="F2F2F2"/>
          </w:tcPr>
          <w:p w14:paraId="79472289"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57.</w:t>
            </w:r>
          </w:p>
        </w:tc>
        <w:tc>
          <w:tcPr>
            <w:tcW w:w="8678" w:type="dxa"/>
            <w:shd w:val="clear" w:color="auto" w:fill="F2F2F2"/>
          </w:tcPr>
          <w:p w14:paraId="3904D383" w14:textId="5F8AD385" w:rsidR="004E3242" w:rsidRPr="004E3242" w:rsidRDefault="004E3242" w:rsidP="004E3242">
            <w:pPr>
              <w:spacing w:before="60" w:after="60" w:line="240" w:lineRule="auto"/>
              <w:rPr>
                <w:rFonts w:ascii="Arial" w:hAnsi="Arial" w:cs="Arial"/>
                <w:color w:val="000000"/>
                <w:sz w:val="16"/>
                <w:szCs w:val="16"/>
              </w:rPr>
            </w:pPr>
            <w:r w:rsidRPr="004E3242">
              <w:rPr>
                <w:rFonts w:ascii="Arial" w:hAnsi="Arial" w:cs="Arial"/>
                <w:color w:val="000000"/>
                <w:sz w:val="16"/>
                <w:szCs w:val="16"/>
              </w:rPr>
              <w:t>Narodowe Centrum Kultur</w:t>
            </w:r>
            <w:r w:rsidR="001702B1">
              <w:rPr>
                <w:rFonts w:ascii="Arial" w:hAnsi="Arial" w:cs="Arial"/>
                <w:color w:val="000000"/>
                <w:sz w:val="16"/>
                <w:szCs w:val="16"/>
              </w:rPr>
              <w:t>y</w:t>
            </w:r>
          </w:p>
        </w:tc>
      </w:tr>
      <w:tr w:rsidR="004E3242" w:rsidRPr="004E3242" w14:paraId="3F323C2C" w14:textId="77777777" w:rsidTr="00AA7998">
        <w:tc>
          <w:tcPr>
            <w:tcW w:w="534" w:type="dxa"/>
            <w:shd w:val="clear" w:color="auto" w:fill="F2F2F2"/>
          </w:tcPr>
          <w:p w14:paraId="0835B93A" w14:textId="77777777" w:rsidR="004E3242" w:rsidRPr="004E3242" w:rsidRDefault="004E3242" w:rsidP="004E3242">
            <w:pPr>
              <w:spacing w:before="60" w:after="60" w:line="240" w:lineRule="auto"/>
              <w:jc w:val="center"/>
              <w:rPr>
                <w:rFonts w:ascii="Arial" w:hAnsi="Arial" w:cs="Arial"/>
                <w:sz w:val="16"/>
                <w:szCs w:val="16"/>
              </w:rPr>
            </w:pPr>
            <w:r w:rsidRPr="004E3242">
              <w:rPr>
                <w:rFonts w:ascii="Arial" w:hAnsi="Arial" w:cs="Arial"/>
                <w:sz w:val="16"/>
                <w:szCs w:val="16"/>
              </w:rPr>
              <w:t>58.</w:t>
            </w:r>
          </w:p>
        </w:tc>
        <w:tc>
          <w:tcPr>
            <w:tcW w:w="8678" w:type="dxa"/>
            <w:shd w:val="clear" w:color="auto" w:fill="F2F2F2"/>
          </w:tcPr>
          <w:p w14:paraId="100F8A1D" w14:textId="77777777" w:rsidR="004E3242" w:rsidRPr="004E3242" w:rsidRDefault="004E3242" w:rsidP="004E3242">
            <w:pPr>
              <w:spacing w:before="60" w:after="60" w:line="240" w:lineRule="auto"/>
              <w:rPr>
                <w:rFonts w:ascii="Arial" w:hAnsi="Arial" w:cs="Arial"/>
                <w:sz w:val="16"/>
                <w:szCs w:val="16"/>
              </w:rPr>
            </w:pPr>
            <w:r w:rsidRPr="004E3242">
              <w:rPr>
                <w:rFonts w:ascii="Arial" w:hAnsi="Arial" w:cs="Arial"/>
                <w:color w:val="000000"/>
                <w:sz w:val="16"/>
                <w:szCs w:val="16"/>
              </w:rPr>
              <w:t>Narodowy Instytut Zdrowia Publicznego - Państwowy Zakład Higieny</w:t>
            </w:r>
          </w:p>
        </w:tc>
      </w:tr>
    </w:tbl>
    <w:p w14:paraId="053B4253" w14:textId="77777777" w:rsidR="004E3242" w:rsidRPr="004E3242" w:rsidRDefault="004E3242" w:rsidP="00D20217">
      <w:pPr>
        <w:numPr>
          <w:ilvl w:val="1"/>
          <w:numId w:val="98"/>
        </w:numPr>
        <w:shd w:val="clear" w:color="auto" w:fill="BFBFBF"/>
        <w:spacing w:before="360" w:after="240"/>
        <w:outlineLvl w:val="1"/>
        <w:rPr>
          <w:rFonts w:ascii="Arial" w:hAnsi="Arial" w:cs="Arial"/>
          <w:smallCaps/>
          <w:color w:val="000000"/>
          <w:spacing w:val="15"/>
          <w:sz w:val="20"/>
          <w:szCs w:val="20"/>
          <w:lang w:eastAsia="pl-PL"/>
        </w:rPr>
      </w:pPr>
      <w:bookmarkStart w:id="774" w:name="_Toc83810606"/>
      <w:r w:rsidRPr="004E3242">
        <w:rPr>
          <w:rFonts w:ascii="Arial" w:hAnsi="Arial" w:cs="Arial"/>
          <w:smallCaps/>
          <w:color w:val="000000"/>
          <w:spacing w:val="15"/>
          <w:sz w:val="20"/>
          <w:szCs w:val="20"/>
          <w:lang w:eastAsia="pl-PL"/>
        </w:rPr>
        <w:t>S</w:t>
      </w:r>
      <w:bookmarkStart w:id="775" w:name="_Toc394314828"/>
      <w:r w:rsidRPr="004E3242">
        <w:rPr>
          <w:rFonts w:ascii="Arial" w:hAnsi="Arial" w:cs="Arial"/>
          <w:smallCaps/>
          <w:color w:val="000000"/>
          <w:spacing w:val="15"/>
          <w:sz w:val="20"/>
          <w:szCs w:val="20"/>
          <w:lang w:eastAsia="pl-PL"/>
        </w:rPr>
        <w:t>łowniczek skrótów</w:t>
      </w:r>
      <w:bookmarkEnd w:id="774"/>
      <w:bookmarkEnd w:id="775"/>
    </w:p>
    <w:p w14:paraId="4D6C1190" w14:textId="77777777" w:rsidR="004E3242" w:rsidRPr="004E3242" w:rsidRDefault="004E3242" w:rsidP="004E3242">
      <w:pPr>
        <w:keepNext/>
        <w:spacing w:before="60" w:after="60" w:line="240" w:lineRule="auto"/>
        <w:jc w:val="both"/>
        <w:rPr>
          <w:rFonts w:ascii="Arial" w:hAnsi="Arial" w:cs="Arial"/>
          <w:b/>
          <w:bCs/>
          <w:smallCaps/>
          <w:color w:val="808080"/>
          <w:sz w:val="18"/>
          <w:szCs w:val="18"/>
          <w:lang w:eastAsia="pl-PL"/>
        </w:rPr>
      </w:pPr>
      <w:r w:rsidRPr="004E3242">
        <w:rPr>
          <w:rFonts w:ascii="Arial" w:hAnsi="Arial" w:cs="Arial"/>
          <w:b/>
          <w:bCs/>
          <w:smallCaps/>
          <w:color w:val="808080"/>
          <w:sz w:val="18"/>
          <w:szCs w:val="18"/>
          <w:lang w:eastAsia="pl-PL"/>
        </w:rPr>
        <w:t xml:space="preserve">Tabela </w:t>
      </w:r>
      <w:r w:rsidRPr="004E3242">
        <w:rPr>
          <w:rFonts w:ascii="Arial" w:hAnsi="Arial" w:cs="Arial"/>
          <w:b/>
          <w:bCs/>
          <w:smallCaps/>
          <w:color w:val="808080"/>
          <w:sz w:val="18"/>
          <w:szCs w:val="18"/>
          <w:lang w:eastAsia="pl-PL"/>
        </w:rPr>
        <w:fldChar w:fldCharType="begin"/>
      </w:r>
      <w:r w:rsidRPr="004E3242">
        <w:rPr>
          <w:rFonts w:ascii="Arial" w:hAnsi="Arial" w:cs="Arial"/>
          <w:b/>
          <w:bCs/>
          <w:smallCaps/>
          <w:color w:val="808080"/>
          <w:sz w:val="18"/>
          <w:szCs w:val="18"/>
          <w:lang w:eastAsia="pl-PL"/>
        </w:rPr>
        <w:instrText xml:space="preserve"> SEQ Tabela \* ARABIC </w:instrText>
      </w:r>
      <w:r w:rsidRPr="004E3242">
        <w:rPr>
          <w:rFonts w:ascii="Arial" w:hAnsi="Arial" w:cs="Arial"/>
          <w:b/>
          <w:bCs/>
          <w:smallCaps/>
          <w:color w:val="808080"/>
          <w:sz w:val="18"/>
          <w:szCs w:val="18"/>
          <w:lang w:eastAsia="pl-PL"/>
        </w:rPr>
        <w:fldChar w:fldCharType="separate"/>
      </w:r>
      <w:r w:rsidR="00C04517">
        <w:rPr>
          <w:rFonts w:ascii="Arial" w:hAnsi="Arial" w:cs="Arial"/>
          <w:b/>
          <w:bCs/>
          <w:smallCaps/>
          <w:noProof/>
          <w:color w:val="808080"/>
          <w:sz w:val="18"/>
          <w:szCs w:val="18"/>
          <w:lang w:eastAsia="pl-PL"/>
        </w:rPr>
        <w:t>5</w:t>
      </w:r>
      <w:r w:rsidRPr="004E3242">
        <w:rPr>
          <w:rFonts w:ascii="Arial" w:hAnsi="Arial" w:cs="Arial"/>
          <w:b/>
          <w:bCs/>
          <w:smallCaps/>
          <w:color w:val="808080"/>
          <w:sz w:val="18"/>
          <w:szCs w:val="18"/>
          <w:lang w:eastAsia="pl-PL"/>
        </w:rPr>
        <w:fldChar w:fldCharType="end"/>
      </w:r>
      <w:r w:rsidRPr="004E3242">
        <w:rPr>
          <w:rFonts w:ascii="Arial" w:hAnsi="Arial" w:cs="Arial"/>
          <w:b/>
          <w:bCs/>
          <w:smallCaps/>
          <w:color w:val="808080"/>
          <w:sz w:val="18"/>
          <w:szCs w:val="18"/>
          <w:lang w:eastAsia="pl-PL"/>
        </w:rPr>
        <w:t>. Słowniczek skrótów</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Look w:val="01E0" w:firstRow="1" w:lastRow="1" w:firstColumn="1" w:lastColumn="1" w:noHBand="0" w:noVBand="0"/>
      </w:tblPr>
      <w:tblGrid>
        <w:gridCol w:w="1680"/>
        <w:gridCol w:w="7500"/>
      </w:tblGrid>
      <w:tr w:rsidR="004E3242" w:rsidRPr="004E3242" w14:paraId="3524271A" w14:textId="77777777" w:rsidTr="0067533A">
        <w:tc>
          <w:tcPr>
            <w:tcW w:w="1680" w:type="dxa"/>
            <w:shd w:val="clear" w:color="auto" w:fill="D6E3BC"/>
          </w:tcPr>
          <w:p w14:paraId="45EAAFFB"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AGC</w:t>
            </w:r>
          </w:p>
        </w:tc>
        <w:tc>
          <w:tcPr>
            <w:tcW w:w="7500" w:type="dxa"/>
            <w:shd w:val="clear" w:color="auto" w:fill="F2F2F2"/>
          </w:tcPr>
          <w:p w14:paraId="576E14E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 xml:space="preserve">Umowa europejska o głównych międzynarodowych połączeniach sieci kolejowych </w:t>
            </w:r>
          </w:p>
        </w:tc>
      </w:tr>
      <w:tr w:rsidR="004E3242" w:rsidRPr="004E3242" w14:paraId="5C0CE419" w14:textId="77777777" w:rsidTr="0067533A">
        <w:tc>
          <w:tcPr>
            <w:tcW w:w="1680" w:type="dxa"/>
            <w:shd w:val="clear" w:color="auto" w:fill="D6E3BC"/>
          </w:tcPr>
          <w:p w14:paraId="46FCD3BB"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AGTC</w:t>
            </w:r>
          </w:p>
        </w:tc>
        <w:tc>
          <w:tcPr>
            <w:tcW w:w="7500" w:type="dxa"/>
            <w:shd w:val="clear" w:color="auto" w:fill="F2F2F2"/>
          </w:tcPr>
          <w:p w14:paraId="6C538B1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Umowa europejska o ważniejszych liniach transportu kombinowanego i obiektach towarzyszących</w:t>
            </w:r>
          </w:p>
        </w:tc>
      </w:tr>
      <w:tr w:rsidR="004E3242" w:rsidRPr="004E3242" w14:paraId="77EFCBE5" w14:textId="77777777" w:rsidTr="0067533A">
        <w:tc>
          <w:tcPr>
            <w:tcW w:w="1680" w:type="dxa"/>
            <w:shd w:val="clear" w:color="auto" w:fill="D6E3BC"/>
          </w:tcPr>
          <w:p w14:paraId="759789FE"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ARE S.A</w:t>
            </w:r>
            <w:r w:rsidRPr="004E3242">
              <w:rPr>
                <w:rFonts w:ascii="Arial" w:hAnsi="Arial" w:cs="Arial"/>
                <w:sz w:val="16"/>
                <w:szCs w:val="20"/>
              </w:rPr>
              <w:t>.</w:t>
            </w:r>
          </w:p>
        </w:tc>
        <w:tc>
          <w:tcPr>
            <w:tcW w:w="7500" w:type="dxa"/>
            <w:shd w:val="clear" w:color="auto" w:fill="F2F2F2"/>
          </w:tcPr>
          <w:p w14:paraId="5195B93A"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Agencja Rynku Energii S.A.</w:t>
            </w:r>
          </w:p>
        </w:tc>
      </w:tr>
      <w:tr w:rsidR="004E3242" w:rsidRPr="004E3242" w14:paraId="248CE356" w14:textId="77777777" w:rsidTr="0067533A">
        <w:tc>
          <w:tcPr>
            <w:tcW w:w="1680" w:type="dxa"/>
            <w:shd w:val="clear" w:color="auto" w:fill="D6E3BC"/>
          </w:tcPr>
          <w:p w14:paraId="456E0AA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BAT</w:t>
            </w:r>
          </w:p>
        </w:tc>
        <w:tc>
          <w:tcPr>
            <w:tcW w:w="7500" w:type="dxa"/>
            <w:shd w:val="clear" w:color="auto" w:fill="F2F2F2"/>
          </w:tcPr>
          <w:p w14:paraId="299A6E79"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Najlepsze dostępne techniki [</w:t>
            </w:r>
            <w:proofErr w:type="spellStart"/>
            <w:r w:rsidRPr="004E3242">
              <w:rPr>
                <w:rFonts w:ascii="Arial" w:hAnsi="Arial" w:cs="Arial"/>
                <w:sz w:val="16"/>
                <w:szCs w:val="20"/>
              </w:rPr>
              <w:t>best</w:t>
            </w:r>
            <w:proofErr w:type="spellEnd"/>
            <w:r w:rsidRPr="004E3242">
              <w:rPr>
                <w:rFonts w:ascii="Arial" w:hAnsi="Arial" w:cs="Arial"/>
                <w:sz w:val="16"/>
                <w:szCs w:val="20"/>
              </w:rPr>
              <w:t xml:space="preserve"> </w:t>
            </w:r>
            <w:proofErr w:type="spellStart"/>
            <w:r w:rsidRPr="004E3242">
              <w:rPr>
                <w:rFonts w:ascii="Arial" w:hAnsi="Arial" w:cs="Arial"/>
                <w:sz w:val="16"/>
                <w:szCs w:val="20"/>
              </w:rPr>
              <w:t>available</w:t>
            </w:r>
            <w:proofErr w:type="spellEnd"/>
            <w:r w:rsidRPr="004E3242">
              <w:rPr>
                <w:rFonts w:ascii="Arial" w:hAnsi="Arial" w:cs="Arial"/>
                <w:sz w:val="16"/>
                <w:szCs w:val="20"/>
              </w:rPr>
              <w:t xml:space="preserve"> </w:t>
            </w:r>
            <w:proofErr w:type="spellStart"/>
            <w:r w:rsidRPr="004E3242">
              <w:rPr>
                <w:rFonts w:ascii="Arial" w:hAnsi="Arial" w:cs="Arial"/>
                <w:sz w:val="16"/>
                <w:szCs w:val="20"/>
              </w:rPr>
              <w:t>techniques</w:t>
            </w:r>
            <w:proofErr w:type="spellEnd"/>
            <w:r w:rsidRPr="004E3242">
              <w:rPr>
                <w:rFonts w:ascii="Arial" w:hAnsi="Arial" w:cs="Arial"/>
                <w:sz w:val="16"/>
                <w:szCs w:val="20"/>
              </w:rPr>
              <w:t>]</w:t>
            </w:r>
          </w:p>
        </w:tc>
      </w:tr>
      <w:tr w:rsidR="004E3242" w:rsidRPr="004E3242" w14:paraId="0870DD74" w14:textId="77777777" w:rsidTr="0067533A">
        <w:tc>
          <w:tcPr>
            <w:tcW w:w="1680" w:type="dxa"/>
            <w:shd w:val="clear" w:color="auto" w:fill="D6E3BC"/>
          </w:tcPr>
          <w:p w14:paraId="4BFA29BE"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BGK</w:t>
            </w:r>
          </w:p>
        </w:tc>
        <w:tc>
          <w:tcPr>
            <w:tcW w:w="7500" w:type="dxa"/>
            <w:shd w:val="clear" w:color="auto" w:fill="F2F2F2"/>
          </w:tcPr>
          <w:p w14:paraId="57202D26"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Bank Gospodarstwa Krajowego</w:t>
            </w:r>
          </w:p>
        </w:tc>
      </w:tr>
      <w:tr w:rsidR="004E3242" w:rsidRPr="004E3242" w14:paraId="2663876F" w14:textId="77777777" w:rsidTr="0067533A">
        <w:tc>
          <w:tcPr>
            <w:tcW w:w="1680" w:type="dxa"/>
            <w:shd w:val="clear" w:color="auto" w:fill="D6E3BC"/>
          </w:tcPr>
          <w:p w14:paraId="6CEC6C07"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BRD</w:t>
            </w:r>
          </w:p>
        </w:tc>
        <w:tc>
          <w:tcPr>
            <w:tcW w:w="7500" w:type="dxa"/>
            <w:shd w:val="clear" w:color="auto" w:fill="F2F2F2"/>
          </w:tcPr>
          <w:p w14:paraId="44F92DEC"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Bezpieczeństwo ruchu drogowego</w:t>
            </w:r>
          </w:p>
        </w:tc>
      </w:tr>
      <w:tr w:rsidR="004E3242" w:rsidRPr="004E3242" w14:paraId="59DCADBC" w14:textId="77777777" w:rsidTr="0067533A">
        <w:tc>
          <w:tcPr>
            <w:tcW w:w="1680" w:type="dxa"/>
            <w:shd w:val="clear" w:color="auto" w:fill="D6E3BC"/>
          </w:tcPr>
          <w:p w14:paraId="534F78DA"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B+R</w:t>
            </w:r>
          </w:p>
        </w:tc>
        <w:tc>
          <w:tcPr>
            <w:tcW w:w="7500" w:type="dxa"/>
            <w:shd w:val="clear" w:color="auto" w:fill="F2F2F2"/>
          </w:tcPr>
          <w:p w14:paraId="2ADC20A2"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bCs/>
                <w:sz w:val="16"/>
                <w:szCs w:val="20"/>
              </w:rPr>
              <w:t>B</w:t>
            </w:r>
            <w:r w:rsidRPr="004E3242">
              <w:rPr>
                <w:rFonts w:ascii="Arial" w:hAnsi="Arial" w:cs="Arial"/>
                <w:sz w:val="16"/>
                <w:szCs w:val="20"/>
              </w:rPr>
              <w:t>adania i rozwój</w:t>
            </w:r>
          </w:p>
        </w:tc>
      </w:tr>
      <w:tr w:rsidR="004E3242" w:rsidRPr="004E3242" w14:paraId="697F03C2" w14:textId="77777777" w:rsidTr="0067533A">
        <w:tc>
          <w:tcPr>
            <w:tcW w:w="1680" w:type="dxa"/>
            <w:shd w:val="clear" w:color="auto" w:fill="D6E3BC"/>
          </w:tcPr>
          <w:p w14:paraId="0201D8B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CI</w:t>
            </w:r>
          </w:p>
        </w:tc>
        <w:tc>
          <w:tcPr>
            <w:tcW w:w="7500" w:type="dxa"/>
            <w:shd w:val="clear" w:color="auto" w:fill="F2F2F2"/>
          </w:tcPr>
          <w:p w14:paraId="1BE2DE8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proofErr w:type="spellStart"/>
            <w:r w:rsidRPr="004E3242">
              <w:rPr>
                <w:rFonts w:ascii="Arial" w:hAnsi="Arial" w:cs="Arial"/>
                <w:sz w:val="16"/>
                <w:szCs w:val="20"/>
              </w:rPr>
              <w:t>Common</w:t>
            </w:r>
            <w:proofErr w:type="spellEnd"/>
            <w:r w:rsidRPr="004E3242">
              <w:rPr>
                <w:rFonts w:ascii="Arial" w:hAnsi="Arial" w:cs="Arial"/>
                <w:sz w:val="16"/>
                <w:szCs w:val="20"/>
              </w:rPr>
              <w:t xml:space="preserve"> </w:t>
            </w:r>
            <w:proofErr w:type="spellStart"/>
            <w:r w:rsidRPr="004E3242">
              <w:rPr>
                <w:rFonts w:ascii="Arial" w:hAnsi="Arial" w:cs="Arial"/>
                <w:sz w:val="16"/>
                <w:szCs w:val="20"/>
              </w:rPr>
              <w:t>Indicators</w:t>
            </w:r>
            <w:proofErr w:type="spellEnd"/>
            <w:r w:rsidRPr="004E3242">
              <w:rPr>
                <w:rFonts w:ascii="Arial" w:hAnsi="Arial" w:cs="Arial"/>
                <w:sz w:val="16"/>
                <w:szCs w:val="20"/>
              </w:rPr>
              <w:t xml:space="preserve"> – wspólne wskaźniki dotyczące wsparcia z EFRR zgodnie </w:t>
            </w:r>
            <w:r w:rsidRPr="004E3242">
              <w:rPr>
                <w:rFonts w:ascii="Arial" w:hAnsi="Arial" w:cs="Arial"/>
                <w:sz w:val="16"/>
                <w:szCs w:val="20"/>
              </w:rPr>
              <w:br/>
              <w:t>z listą stanowiącą załącznik do rozporządzenia Parlamentu Europejskiego i Rady w sprawie przepisów szczegółowych dotyczących Europejskiego Funduszu Rozwoju Regionalnego i celu „Inwestycje na rzecz wzrostu gospodarczego i zatrudnienia” oraz w sprawie uchylenia rozporządzenia (WE) nr 1080/2006</w:t>
            </w:r>
          </w:p>
        </w:tc>
      </w:tr>
      <w:tr w:rsidR="004E3242" w:rsidRPr="004E3242" w14:paraId="11D5BEE4" w14:textId="77777777" w:rsidTr="0067533A">
        <w:tc>
          <w:tcPr>
            <w:tcW w:w="1680" w:type="dxa"/>
            <w:shd w:val="clear" w:color="auto" w:fill="D6E3BC"/>
          </w:tcPr>
          <w:p w14:paraId="48C014D9"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CITES</w:t>
            </w:r>
          </w:p>
        </w:tc>
        <w:tc>
          <w:tcPr>
            <w:tcW w:w="7500" w:type="dxa"/>
            <w:shd w:val="clear" w:color="auto" w:fill="F2F2F2"/>
          </w:tcPr>
          <w:p w14:paraId="0BECADD7"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sz w:val="16"/>
                <w:szCs w:val="20"/>
              </w:rPr>
              <w:t xml:space="preserve">Konwencja </w:t>
            </w:r>
            <w:r w:rsidRPr="004E3242">
              <w:rPr>
                <w:rFonts w:ascii="Arial" w:hAnsi="Arial" w:cs="Arial"/>
                <w:color w:val="000000"/>
                <w:sz w:val="16"/>
                <w:szCs w:val="20"/>
              </w:rPr>
              <w:t>o międzynarodowym handlu dzikimi zwierzętami i roślinami gatunków zagrożonych wyginięciem, konwencja waszyngtońska [</w:t>
            </w:r>
            <w:proofErr w:type="spellStart"/>
            <w:r w:rsidRPr="004E3242">
              <w:rPr>
                <w:rFonts w:ascii="Arial" w:hAnsi="Arial" w:cs="Arial"/>
                <w:color w:val="000000"/>
                <w:sz w:val="16"/>
                <w:szCs w:val="20"/>
              </w:rPr>
              <w:t>Convention</w:t>
            </w:r>
            <w:proofErr w:type="spellEnd"/>
            <w:r w:rsidRPr="004E3242">
              <w:rPr>
                <w:rFonts w:ascii="Arial" w:hAnsi="Arial" w:cs="Arial"/>
                <w:color w:val="000000"/>
                <w:sz w:val="16"/>
                <w:szCs w:val="20"/>
              </w:rPr>
              <w:t xml:space="preserve"> on International Trade in </w:t>
            </w:r>
            <w:proofErr w:type="spellStart"/>
            <w:r w:rsidRPr="004E3242">
              <w:rPr>
                <w:rFonts w:ascii="Arial" w:hAnsi="Arial" w:cs="Arial"/>
                <w:color w:val="000000"/>
                <w:sz w:val="16"/>
                <w:szCs w:val="20"/>
              </w:rPr>
              <w:t>Endangered</w:t>
            </w:r>
            <w:proofErr w:type="spellEnd"/>
            <w:r w:rsidRPr="004E3242">
              <w:rPr>
                <w:rFonts w:ascii="Arial" w:hAnsi="Arial" w:cs="Arial"/>
                <w:color w:val="000000"/>
                <w:sz w:val="16"/>
                <w:szCs w:val="20"/>
              </w:rPr>
              <w:t xml:space="preserve"> </w:t>
            </w:r>
            <w:proofErr w:type="spellStart"/>
            <w:r w:rsidRPr="004E3242">
              <w:rPr>
                <w:rFonts w:ascii="Arial" w:hAnsi="Arial" w:cs="Arial"/>
                <w:color w:val="000000"/>
                <w:sz w:val="16"/>
                <w:szCs w:val="20"/>
              </w:rPr>
              <w:t>Species</w:t>
            </w:r>
            <w:proofErr w:type="spellEnd"/>
            <w:r w:rsidRPr="004E3242">
              <w:rPr>
                <w:rFonts w:ascii="Arial" w:hAnsi="Arial" w:cs="Arial"/>
                <w:color w:val="000000"/>
                <w:sz w:val="16"/>
                <w:szCs w:val="20"/>
              </w:rPr>
              <w:t xml:space="preserve"> of Wild Fauna and Flora]</w:t>
            </w:r>
          </w:p>
        </w:tc>
      </w:tr>
      <w:tr w:rsidR="004E3242" w:rsidRPr="004E3242" w14:paraId="3915AB1A" w14:textId="77777777" w:rsidTr="0067533A">
        <w:tc>
          <w:tcPr>
            <w:tcW w:w="1680" w:type="dxa"/>
            <w:shd w:val="clear" w:color="auto" w:fill="D6E3BC"/>
          </w:tcPr>
          <w:p w14:paraId="5008E3A1"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CPR</w:t>
            </w:r>
          </w:p>
        </w:tc>
        <w:tc>
          <w:tcPr>
            <w:tcW w:w="7500" w:type="dxa"/>
            <w:shd w:val="clear" w:color="auto" w:fill="F2F2F2"/>
          </w:tcPr>
          <w:p w14:paraId="0011772D"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color w:val="000000"/>
                <w:sz w:val="16"/>
                <w:szCs w:val="20"/>
              </w:rPr>
              <w:t>Rozporządzenie PE i Rady ustanawiające wspólne przepisy dotyczące EFRR, EFS, FS, EFRROW oraz EFMR objętych zakresem WRS (rozporządzenie ogólne)</w:t>
            </w:r>
          </w:p>
        </w:tc>
      </w:tr>
      <w:tr w:rsidR="004E3242" w:rsidRPr="004E3242" w14:paraId="6EB76785" w14:textId="77777777" w:rsidTr="0067533A">
        <w:tc>
          <w:tcPr>
            <w:tcW w:w="1680" w:type="dxa"/>
            <w:shd w:val="clear" w:color="auto" w:fill="D6E3BC"/>
          </w:tcPr>
          <w:p w14:paraId="0F51CF4E"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CSR</w:t>
            </w:r>
          </w:p>
        </w:tc>
        <w:tc>
          <w:tcPr>
            <w:tcW w:w="7500" w:type="dxa"/>
            <w:shd w:val="clear" w:color="auto" w:fill="F2F2F2"/>
          </w:tcPr>
          <w:p w14:paraId="508A8FB1"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 xml:space="preserve">Country </w:t>
            </w:r>
            <w:proofErr w:type="spellStart"/>
            <w:r w:rsidRPr="004E3242">
              <w:rPr>
                <w:rFonts w:ascii="Arial" w:hAnsi="Arial" w:cs="Arial"/>
                <w:color w:val="000000"/>
                <w:sz w:val="16"/>
                <w:szCs w:val="20"/>
              </w:rPr>
              <w:t>Specific</w:t>
            </w:r>
            <w:proofErr w:type="spellEnd"/>
            <w:r w:rsidRPr="004E3242">
              <w:rPr>
                <w:rFonts w:ascii="Arial" w:hAnsi="Arial" w:cs="Arial"/>
                <w:color w:val="000000"/>
                <w:sz w:val="16"/>
                <w:szCs w:val="20"/>
              </w:rPr>
              <w:t xml:space="preserve"> </w:t>
            </w:r>
            <w:proofErr w:type="spellStart"/>
            <w:r w:rsidRPr="004E3242">
              <w:rPr>
                <w:rFonts w:ascii="Arial" w:hAnsi="Arial" w:cs="Arial"/>
                <w:color w:val="000000"/>
                <w:sz w:val="16"/>
                <w:szCs w:val="20"/>
              </w:rPr>
              <w:t>Recommendations</w:t>
            </w:r>
            <w:proofErr w:type="spellEnd"/>
            <w:r w:rsidRPr="004E3242">
              <w:rPr>
                <w:rFonts w:ascii="Arial" w:hAnsi="Arial" w:cs="Arial"/>
                <w:color w:val="000000"/>
                <w:sz w:val="16"/>
                <w:szCs w:val="20"/>
              </w:rPr>
              <w:t xml:space="preserve"> – Zalecenie Rady w sprawie krajowego programu reform Polski z 2013 r.</w:t>
            </w:r>
          </w:p>
        </w:tc>
      </w:tr>
      <w:tr w:rsidR="004E3242" w:rsidRPr="004E3242" w14:paraId="707CF232" w14:textId="77777777" w:rsidTr="0067533A">
        <w:tc>
          <w:tcPr>
            <w:tcW w:w="1680" w:type="dxa"/>
            <w:shd w:val="clear" w:color="auto" w:fill="D6E3BC"/>
          </w:tcPr>
          <w:p w14:paraId="0D0B3A94"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CT</w:t>
            </w:r>
          </w:p>
        </w:tc>
        <w:tc>
          <w:tcPr>
            <w:tcW w:w="7500" w:type="dxa"/>
            <w:shd w:val="clear" w:color="auto" w:fill="F2F2F2"/>
          </w:tcPr>
          <w:p w14:paraId="02D2EA8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Cel tematyczny</w:t>
            </w:r>
          </w:p>
        </w:tc>
      </w:tr>
      <w:tr w:rsidR="004E3242" w:rsidRPr="004E3242" w14:paraId="27BBB7CF" w14:textId="77777777" w:rsidTr="0067533A">
        <w:tc>
          <w:tcPr>
            <w:tcW w:w="1680" w:type="dxa"/>
            <w:shd w:val="clear" w:color="auto" w:fill="D6E3BC"/>
          </w:tcPr>
          <w:p w14:paraId="0464533E"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DG TREN</w:t>
            </w:r>
          </w:p>
        </w:tc>
        <w:tc>
          <w:tcPr>
            <w:tcW w:w="7500" w:type="dxa"/>
            <w:shd w:val="clear" w:color="auto" w:fill="F2F2F2"/>
          </w:tcPr>
          <w:p w14:paraId="17DA2B4C"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Dyrekcja Generalna ds. Transportu i Energii</w:t>
            </w:r>
          </w:p>
        </w:tc>
      </w:tr>
      <w:tr w:rsidR="004E3242" w:rsidRPr="004E3242" w14:paraId="2B162EB2" w14:textId="77777777" w:rsidTr="0067533A">
        <w:tc>
          <w:tcPr>
            <w:tcW w:w="1680" w:type="dxa"/>
            <w:shd w:val="clear" w:color="auto" w:fill="D6E3BC"/>
          </w:tcPr>
          <w:p w14:paraId="678758B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EBI</w:t>
            </w:r>
          </w:p>
        </w:tc>
        <w:tc>
          <w:tcPr>
            <w:tcW w:w="7500" w:type="dxa"/>
            <w:shd w:val="clear" w:color="auto" w:fill="F2F2F2"/>
          </w:tcPr>
          <w:p w14:paraId="4E6245A2"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Europejski Bank Inwestycyjny</w:t>
            </w:r>
          </w:p>
        </w:tc>
      </w:tr>
      <w:tr w:rsidR="004E3242" w:rsidRPr="004E3242" w14:paraId="4164F3F2" w14:textId="77777777" w:rsidTr="0067533A">
        <w:tc>
          <w:tcPr>
            <w:tcW w:w="1680" w:type="dxa"/>
            <w:shd w:val="clear" w:color="auto" w:fill="D6E3BC"/>
          </w:tcPr>
          <w:p w14:paraId="0D0A2A26"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EBOR</w:t>
            </w:r>
          </w:p>
        </w:tc>
        <w:tc>
          <w:tcPr>
            <w:tcW w:w="7500" w:type="dxa"/>
            <w:shd w:val="clear" w:color="auto" w:fill="F2F2F2"/>
          </w:tcPr>
          <w:p w14:paraId="59FFB238"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Europejski Bank Odbudowy i Rozwoju</w:t>
            </w:r>
          </w:p>
        </w:tc>
      </w:tr>
      <w:tr w:rsidR="004E3242" w:rsidRPr="004E3242" w14:paraId="0B14AC5B" w14:textId="77777777" w:rsidTr="0067533A">
        <w:tc>
          <w:tcPr>
            <w:tcW w:w="1680" w:type="dxa"/>
            <w:shd w:val="clear" w:color="auto" w:fill="D6E3BC"/>
          </w:tcPr>
          <w:p w14:paraId="58EF7071"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EFI</w:t>
            </w:r>
          </w:p>
        </w:tc>
        <w:tc>
          <w:tcPr>
            <w:tcW w:w="7500" w:type="dxa"/>
            <w:shd w:val="clear" w:color="auto" w:fill="F2F2F2"/>
          </w:tcPr>
          <w:p w14:paraId="74B97D9B"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Europejski Fundusz Inwestycyjny</w:t>
            </w:r>
          </w:p>
        </w:tc>
      </w:tr>
      <w:tr w:rsidR="004E3242" w:rsidRPr="004E3242" w14:paraId="09BF26FB" w14:textId="77777777" w:rsidTr="0067533A">
        <w:tc>
          <w:tcPr>
            <w:tcW w:w="1680" w:type="dxa"/>
            <w:shd w:val="clear" w:color="auto" w:fill="D6E3BC"/>
          </w:tcPr>
          <w:p w14:paraId="3324DB14"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EFR</w:t>
            </w:r>
          </w:p>
        </w:tc>
        <w:tc>
          <w:tcPr>
            <w:tcW w:w="7500" w:type="dxa"/>
            <w:shd w:val="clear" w:color="auto" w:fill="F2F2F2"/>
          </w:tcPr>
          <w:p w14:paraId="27F554B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Europejski Fundusz Rybacki</w:t>
            </w:r>
          </w:p>
        </w:tc>
      </w:tr>
      <w:tr w:rsidR="004E3242" w:rsidRPr="004E3242" w14:paraId="60B7452B" w14:textId="77777777" w:rsidTr="0067533A">
        <w:tc>
          <w:tcPr>
            <w:tcW w:w="1680" w:type="dxa"/>
            <w:shd w:val="clear" w:color="auto" w:fill="D6E3BC"/>
          </w:tcPr>
          <w:p w14:paraId="05471765"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EFRR</w:t>
            </w:r>
          </w:p>
        </w:tc>
        <w:tc>
          <w:tcPr>
            <w:tcW w:w="7500" w:type="dxa"/>
            <w:shd w:val="clear" w:color="auto" w:fill="F2F2F2"/>
          </w:tcPr>
          <w:p w14:paraId="1359379D"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Europejski Fundusz Rozwoju Regionalnego</w:t>
            </w:r>
          </w:p>
        </w:tc>
      </w:tr>
      <w:tr w:rsidR="004E3242" w:rsidRPr="004E3242" w14:paraId="4BD619B0" w14:textId="77777777" w:rsidTr="0067533A">
        <w:tc>
          <w:tcPr>
            <w:tcW w:w="1680" w:type="dxa"/>
            <w:shd w:val="clear" w:color="auto" w:fill="D6E3BC"/>
          </w:tcPr>
          <w:p w14:paraId="71E5793B"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EFRROW</w:t>
            </w:r>
          </w:p>
        </w:tc>
        <w:tc>
          <w:tcPr>
            <w:tcW w:w="7500" w:type="dxa"/>
            <w:shd w:val="clear" w:color="auto" w:fill="F2F2F2"/>
          </w:tcPr>
          <w:p w14:paraId="0B68BAE2"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color w:val="000000"/>
                <w:sz w:val="16"/>
                <w:szCs w:val="20"/>
              </w:rPr>
              <w:t>Europejski Fundusz Rolny Rozwoju Obszarów Wiejskich</w:t>
            </w:r>
          </w:p>
        </w:tc>
      </w:tr>
      <w:tr w:rsidR="004E3242" w:rsidRPr="004E3242" w14:paraId="2CCA32CD" w14:textId="77777777" w:rsidTr="0067533A">
        <w:tc>
          <w:tcPr>
            <w:tcW w:w="1680" w:type="dxa"/>
            <w:shd w:val="clear" w:color="auto" w:fill="D6E3BC"/>
          </w:tcPr>
          <w:p w14:paraId="6FA4478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EFS</w:t>
            </w:r>
          </w:p>
        </w:tc>
        <w:tc>
          <w:tcPr>
            <w:tcW w:w="7500" w:type="dxa"/>
            <w:shd w:val="clear" w:color="auto" w:fill="F2F2F2"/>
          </w:tcPr>
          <w:p w14:paraId="0C58268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Europejski Fundusz Społeczny</w:t>
            </w:r>
          </w:p>
        </w:tc>
      </w:tr>
      <w:tr w:rsidR="004E3242" w:rsidRPr="004E3242" w14:paraId="0921FD84" w14:textId="77777777" w:rsidTr="0067533A">
        <w:tc>
          <w:tcPr>
            <w:tcW w:w="1680" w:type="dxa"/>
            <w:shd w:val="clear" w:color="auto" w:fill="D6E3BC"/>
          </w:tcPr>
          <w:p w14:paraId="640BB9B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ERTMS</w:t>
            </w:r>
          </w:p>
        </w:tc>
        <w:tc>
          <w:tcPr>
            <w:tcW w:w="7500" w:type="dxa"/>
            <w:shd w:val="clear" w:color="auto" w:fill="F2F2F2"/>
          </w:tcPr>
          <w:p w14:paraId="30DF7F4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Europejski System Zarządzania Ruchem Kolejowym</w:t>
            </w:r>
          </w:p>
        </w:tc>
      </w:tr>
      <w:tr w:rsidR="004E3242" w:rsidRPr="004E3242" w14:paraId="02E8E559" w14:textId="77777777" w:rsidTr="0067533A">
        <w:tc>
          <w:tcPr>
            <w:tcW w:w="1680" w:type="dxa"/>
            <w:shd w:val="clear" w:color="auto" w:fill="D6E3BC"/>
          </w:tcPr>
          <w:p w14:paraId="7807721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FS</w:t>
            </w:r>
          </w:p>
        </w:tc>
        <w:tc>
          <w:tcPr>
            <w:tcW w:w="7500" w:type="dxa"/>
            <w:shd w:val="clear" w:color="auto" w:fill="F2F2F2"/>
          </w:tcPr>
          <w:p w14:paraId="50AFCA18"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Fundusz Spójności</w:t>
            </w:r>
          </w:p>
        </w:tc>
      </w:tr>
      <w:tr w:rsidR="004E3242" w:rsidRPr="004E3242" w14:paraId="136C5ED2" w14:textId="77777777" w:rsidTr="0067533A">
        <w:tc>
          <w:tcPr>
            <w:tcW w:w="1680" w:type="dxa"/>
            <w:shd w:val="clear" w:color="auto" w:fill="D6E3BC"/>
          </w:tcPr>
          <w:p w14:paraId="3BB326A7"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GDDKiA</w:t>
            </w:r>
          </w:p>
        </w:tc>
        <w:tc>
          <w:tcPr>
            <w:tcW w:w="7500" w:type="dxa"/>
            <w:shd w:val="clear" w:color="auto" w:fill="F2F2F2"/>
          </w:tcPr>
          <w:p w14:paraId="62DEABA9"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Generalna Dyrekcja Dróg Krajowych i Autostrad</w:t>
            </w:r>
          </w:p>
        </w:tc>
      </w:tr>
      <w:tr w:rsidR="004E3242" w:rsidRPr="004E3242" w14:paraId="2A3B4B0F" w14:textId="77777777" w:rsidTr="0067533A">
        <w:tc>
          <w:tcPr>
            <w:tcW w:w="1680" w:type="dxa"/>
            <w:shd w:val="clear" w:color="auto" w:fill="D6E3BC"/>
          </w:tcPr>
          <w:p w14:paraId="3F7E4B65"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GIOŚ</w:t>
            </w:r>
          </w:p>
        </w:tc>
        <w:tc>
          <w:tcPr>
            <w:tcW w:w="7500" w:type="dxa"/>
            <w:shd w:val="clear" w:color="auto" w:fill="F2F2F2"/>
          </w:tcPr>
          <w:p w14:paraId="6B1F48D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Główny Inspektorat Ochrony Środowiska</w:t>
            </w:r>
          </w:p>
        </w:tc>
      </w:tr>
      <w:tr w:rsidR="004E3242" w:rsidRPr="004E3242" w14:paraId="369D6069" w14:textId="77777777" w:rsidTr="0067533A">
        <w:tc>
          <w:tcPr>
            <w:tcW w:w="1680" w:type="dxa"/>
            <w:shd w:val="clear" w:color="auto" w:fill="D6E3BC"/>
          </w:tcPr>
          <w:p w14:paraId="3FBB533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GUS</w:t>
            </w:r>
          </w:p>
        </w:tc>
        <w:tc>
          <w:tcPr>
            <w:tcW w:w="7500" w:type="dxa"/>
            <w:shd w:val="clear" w:color="auto" w:fill="F2F2F2"/>
          </w:tcPr>
          <w:p w14:paraId="1073695A"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Główny Urząd Statystyczny</w:t>
            </w:r>
          </w:p>
        </w:tc>
      </w:tr>
      <w:tr w:rsidR="004E3242" w:rsidRPr="004E3242" w14:paraId="03C543E1" w14:textId="77777777" w:rsidTr="0067533A">
        <w:tc>
          <w:tcPr>
            <w:tcW w:w="1680" w:type="dxa"/>
            <w:shd w:val="clear" w:color="auto" w:fill="D6E3BC"/>
          </w:tcPr>
          <w:p w14:paraId="4E887742"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IA</w:t>
            </w:r>
          </w:p>
        </w:tc>
        <w:tc>
          <w:tcPr>
            <w:tcW w:w="7500" w:type="dxa"/>
            <w:shd w:val="clear" w:color="auto" w:fill="F2F2F2"/>
          </w:tcPr>
          <w:p w14:paraId="6453F405"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Instytucja Audytowa</w:t>
            </w:r>
          </w:p>
        </w:tc>
      </w:tr>
      <w:tr w:rsidR="004E3242" w:rsidRPr="004E3242" w14:paraId="4468B0B6" w14:textId="77777777" w:rsidTr="0067533A">
        <w:tc>
          <w:tcPr>
            <w:tcW w:w="1680" w:type="dxa"/>
            <w:shd w:val="clear" w:color="auto" w:fill="D6E3BC"/>
          </w:tcPr>
          <w:p w14:paraId="41C9BCF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IC</w:t>
            </w:r>
          </w:p>
        </w:tc>
        <w:tc>
          <w:tcPr>
            <w:tcW w:w="7500" w:type="dxa"/>
            <w:shd w:val="clear" w:color="auto" w:fill="F2F2F2"/>
          </w:tcPr>
          <w:p w14:paraId="736352B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Instytucja certyfikująca</w:t>
            </w:r>
          </w:p>
        </w:tc>
      </w:tr>
      <w:tr w:rsidR="004E3242" w:rsidRPr="004E3242" w14:paraId="0A774484" w14:textId="77777777" w:rsidTr="0067533A">
        <w:tc>
          <w:tcPr>
            <w:tcW w:w="1680" w:type="dxa"/>
            <w:shd w:val="clear" w:color="auto" w:fill="D6E3BC"/>
          </w:tcPr>
          <w:p w14:paraId="7F50108D"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lang w:val="fr-FR"/>
              </w:rPr>
            </w:pPr>
            <w:r w:rsidRPr="004E3242">
              <w:rPr>
                <w:rFonts w:ascii="Arial" w:hAnsi="Arial" w:cs="Arial"/>
                <w:b/>
                <w:bCs/>
                <w:sz w:val="16"/>
                <w:szCs w:val="20"/>
                <w:lang w:val="fr-FR"/>
              </w:rPr>
              <w:t>ICT</w:t>
            </w:r>
          </w:p>
        </w:tc>
        <w:tc>
          <w:tcPr>
            <w:tcW w:w="7500" w:type="dxa"/>
            <w:shd w:val="clear" w:color="auto" w:fill="F2F2F2"/>
          </w:tcPr>
          <w:p w14:paraId="3D97FAA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lang w:val="fr-FR"/>
              </w:rPr>
            </w:pPr>
            <w:r w:rsidRPr="004E3242">
              <w:rPr>
                <w:rFonts w:ascii="Arial" w:hAnsi="Arial" w:cs="Arial"/>
                <w:sz w:val="16"/>
                <w:szCs w:val="20"/>
                <w:lang w:val="fr-FR"/>
              </w:rPr>
              <w:t>Technologie informacyjne i komunikacyjne [information and communication technologies]</w:t>
            </w:r>
          </w:p>
        </w:tc>
      </w:tr>
      <w:tr w:rsidR="004E3242" w:rsidRPr="004E3242" w14:paraId="5D835E7A" w14:textId="77777777" w:rsidTr="0067533A">
        <w:tc>
          <w:tcPr>
            <w:tcW w:w="1680" w:type="dxa"/>
            <w:shd w:val="clear" w:color="auto" w:fill="D6E3BC"/>
          </w:tcPr>
          <w:p w14:paraId="1C8C34C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IP</w:t>
            </w:r>
          </w:p>
        </w:tc>
        <w:tc>
          <w:tcPr>
            <w:tcW w:w="7500" w:type="dxa"/>
            <w:shd w:val="clear" w:color="auto" w:fill="F2F2F2"/>
          </w:tcPr>
          <w:p w14:paraId="49D0777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Instytucja pośrednicząca</w:t>
            </w:r>
          </w:p>
        </w:tc>
      </w:tr>
      <w:tr w:rsidR="004E3242" w:rsidRPr="004E3242" w14:paraId="7D193432" w14:textId="77777777" w:rsidTr="0067533A">
        <w:tc>
          <w:tcPr>
            <w:tcW w:w="1680" w:type="dxa"/>
            <w:shd w:val="clear" w:color="auto" w:fill="D6E3BC"/>
          </w:tcPr>
          <w:p w14:paraId="13CC5726"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ISPA</w:t>
            </w:r>
          </w:p>
        </w:tc>
        <w:tc>
          <w:tcPr>
            <w:tcW w:w="7500" w:type="dxa"/>
            <w:shd w:val="clear" w:color="auto" w:fill="F2F2F2"/>
          </w:tcPr>
          <w:p w14:paraId="213804B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 xml:space="preserve">Instrument Przedakcesyjnej Polityki Strukturalnej [Instrument for </w:t>
            </w:r>
            <w:proofErr w:type="spellStart"/>
            <w:r w:rsidRPr="004E3242">
              <w:rPr>
                <w:rFonts w:ascii="Arial" w:hAnsi="Arial" w:cs="Arial"/>
                <w:color w:val="000000"/>
                <w:sz w:val="16"/>
                <w:szCs w:val="20"/>
              </w:rPr>
              <w:t>Structural</w:t>
            </w:r>
            <w:proofErr w:type="spellEnd"/>
            <w:r w:rsidRPr="004E3242">
              <w:rPr>
                <w:rFonts w:ascii="Arial" w:hAnsi="Arial" w:cs="Arial"/>
                <w:color w:val="000000"/>
                <w:sz w:val="16"/>
                <w:szCs w:val="20"/>
              </w:rPr>
              <w:t xml:space="preserve"> </w:t>
            </w:r>
            <w:proofErr w:type="spellStart"/>
            <w:r w:rsidRPr="004E3242">
              <w:rPr>
                <w:rFonts w:ascii="Arial" w:hAnsi="Arial" w:cs="Arial"/>
                <w:color w:val="000000"/>
                <w:sz w:val="16"/>
                <w:szCs w:val="20"/>
              </w:rPr>
              <w:t>Policies</w:t>
            </w:r>
            <w:proofErr w:type="spellEnd"/>
            <w:r w:rsidRPr="004E3242">
              <w:rPr>
                <w:rFonts w:ascii="Arial" w:hAnsi="Arial" w:cs="Arial"/>
                <w:color w:val="000000"/>
                <w:sz w:val="16"/>
                <w:szCs w:val="20"/>
              </w:rPr>
              <w:t xml:space="preserve"> for </w:t>
            </w:r>
            <w:proofErr w:type="spellStart"/>
            <w:r w:rsidRPr="004E3242">
              <w:rPr>
                <w:rFonts w:ascii="Arial" w:hAnsi="Arial" w:cs="Arial"/>
                <w:color w:val="000000"/>
                <w:sz w:val="16"/>
                <w:szCs w:val="20"/>
              </w:rPr>
              <w:t>Pre-Accession</w:t>
            </w:r>
            <w:proofErr w:type="spellEnd"/>
            <w:r w:rsidRPr="004E3242">
              <w:rPr>
                <w:rFonts w:ascii="Arial" w:hAnsi="Arial" w:cs="Arial"/>
                <w:color w:val="000000"/>
                <w:sz w:val="16"/>
                <w:szCs w:val="20"/>
              </w:rPr>
              <w:t>]</w:t>
            </w:r>
          </w:p>
        </w:tc>
      </w:tr>
      <w:tr w:rsidR="004E3242" w:rsidRPr="004E3242" w14:paraId="3B3B2440" w14:textId="77777777" w:rsidTr="0067533A">
        <w:tc>
          <w:tcPr>
            <w:tcW w:w="1680" w:type="dxa"/>
            <w:shd w:val="clear" w:color="auto" w:fill="D6E3BC"/>
          </w:tcPr>
          <w:p w14:paraId="4AF454F4"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ITS</w:t>
            </w:r>
          </w:p>
        </w:tc>
        <w:tc>
          <w:tcPr>
            <w:tcW w:w="7500" w:type="dxa"/>
            <w:shd w:val="clear" w:color="auto" w:fill="F2F2F2"/>
          </w:tcPr>
          <w:p w14:paraId="1A6BF8F9"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Inteligentne Systemy Transportowe</w:t>
            </w:r>
          </w:p>
        </w:tc>
      </w:tr>
      <w:tr w:rsidR="004E3242" w:rsidRPr="004E3242" w14:paraId="543B45C6" w14:textId="77777777" w:rsidTr="0067533A">
        <w:tc>
          <w:tcPr>
            <w:tcW w:w="1680" w:type="dxa"/>
            <w:shd w:val="clear" w:color="auto" w:fill="D6E3BC"/>
          </w:tcPr>
          <w:p w14:paraId="66EA8324"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IUCN</w:t>
            </w:r>
          </w:p>
        </w:tc>
        <w:tc>
          <w:tcPr>
            <w:tcW w:w="7500" w:type="dxa"/>
            <w:shd w:val="clear" w:color="auto" w:fill="F2F2F2"/>
          </w:tcPr>
          <w:p w14:paraId="4DB5D86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Światowa Unia Ochrony Przyrody [</w:t>
            </w:r>
            <w:r w:rsidRPr="004E3242">
              <w:rPr>
                <w:rFonts w:ascii="Arial" w:hAnsi="Arial" w:cs="Arial"/>
                <w:color w:val="000000"/>
                <w:sz w:val="16"/>
                <w:szCs w:val="20"/>
              </w:rPr>
              <w:t xml:space="preserve">World </w:t>
            </w:r>
            <w:proofErr w:type="spellStart"/>
            <w:r w:rsidRPr="004E3242">
              <w:rPr>
                <w:rFonts w:ascii="Arial" w:hAnsi="Arial" w:cs="Arial"/>
                <w:color w:val="000000"/>
                <w:sz w:val="16"/>
                <w:szCs w:val="20"/>
              </w:rPr>
              <w:t>Conservation</w:t>
            </w:r>
            <w:proofErr w:type="spellEnd"/>
            <w:r w:rsidRPr="004E3242">
              <w:rPr>
                <w:rFonts w:ascii="Arial" w:hAnsi="Arial" w:cs="Arial"/>
                <w:color w:val="000000"/>
                <w:sz w:val="16"/>
                <w:szCs w:val="20"/>
              </w:rPr>
              <w:t xml:space="preserve"> Union]</w:t>
            </w:r>
          </w:p>
        </w:tc>
      </w:tr>
      <w:tr w:rsidR="004E3242" w:rsidRPr="004E3242" w14:paraId="507543BB" w14:textId="77777777" w:rsidTr="0067533A">
        <w:tc>
          <w:tcPr>
            <w:tcW w:w="1680" w:type="dxa"/>
            <w:shd w:val="clear" w:color="auto" w:fill="D6E3BC"/>
          </w:tcPr>
          <w:p w14:paraId="00F0A7C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IZ</w:t>
            </w:r>
          </w:p>
        </w:tc>
        <w:tc>
          <w:tcPr>
            <w:tcW w:w="7500" w:type="dxa"/>
            <w:shd w:val="clear" w:color="auto" w:fill="F2F2F2"/>
          </w:tcPr>
          <w:p w14:paraId="2B6157E2"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Instytucja zarządzająca</w:t>
            </w:r>
          </w:p>
        </w:tc>
      </w:tr>
      <w:tr w:rsidR="004E3242" w:rsidRPr="004E3242" w14:paraId="3B9D774C" w14:textId="77777777" w:rsidTr="0067533A">
        <w:tc>
          <w:tcPr>
            <w:tcW w:w="1680" w:type="dxa"/>
            <w:shd w:val="clear" w:color="auto" w:fill="D6E3BC"/>
          </w:tcPr>
          <w:p w14:paraId="3DB43EFA"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IST</w:t>
            </w:r>
          </w:p>
        </w:tc>
        <w:tc>
          <w:tcPr>
            <w:tcW w:w="7500" w:type="dxa"/>
            <w:shd w:val="clear" w:color="auto" w:fill="F2F2F2"/>
          </w:tcPr>
          <w:p w14:paraId="46E0DD7A"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Inteligentne Systemy Transportowe</w:t>
            </w:r>
          </w:p>
        </w:tc>
      </w:tr>
      <w:tr w:rsidR="004E3242" w:rsidRPr="004E3242" w14:paraId="510E1C40" w14:textId="77777777" w:rsidTr="0067533A">
        <w:tc>
          <w:tcPr>
            <w:tcW w:w="1680" w:type="dxa"/>
            <w:shd w:val="clear" w:color="auto" w:fill="D6E3BC"/>
          </w:tcPr>
          <w:p w14:paraId="22F6809E"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JST</w:t>
            </w:r>
          </w:p>
        </w:tc>
        <w:tc>
          <w:tcPr>
            <w:tcW w:w="7500" w:type="dxa"/>
            <w:shd w:val="clear" w:color="auto" w:fill="F2F2F2"/>
          </w:tcPr>
          <w:p w14:paraId="65B0F75A"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Jednostki samorządu terytorialnego</w:t>
            </w:r>
          </w:p>
        </w:tc>
      </w:tr>
      <w:tr w:rsidR="004E3242" w:rsidRPr="004E3242" w14:paraId="20B26846" w14:textId="77777777" w:rsidTr="0067533A">
        <w:tc>
          <w:tcPr>
            <w:tcW w:w="1680" w:type="dxa"/>
            <w:shd w:val="clear" w:color="auto" w:fill="D6E3BC"/>
          </w:tcPr>
          <w:p w14:paraId="255E93F3"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KE</w:t>
            </w:r>
          </w:p>
        </w:tc>
        <w:tc>
          <w:tcPr>
            <w:tcW w:w="7500" w:type="dxa"/>
            <w:shd w:val="clear" w:color="auto" w:fill="F2F2F2"/>
          </w:tcPr>
          <w:p w14:paraId="385E9CC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Komisja Europejska</w:t>
            </w:r>
          </w:p>
        </w:tc>
      </w:tr>
      <w:tr w:rsidR="004E3242" w:rsidRPr="004E3242" w14:paraId="0D3664CA" w14:textId="77777777" w:rsidTr="0067533A">
        <w:tc>
          <w:tcPr>
            <w:tcW w:w="1680" w:type="dxa"/>
            <w:shd w:val="clear" w:color="auto" w:fill="D6E3BC"/>
          </w:tcPr>
          <w:p w14:paraId="77570C4F"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KGPSP</w:t>
            </w:r>
          </w:p>
        </w:tc>
        <w:tc>
          <w:tcPr>
            <w:tcW w:w="7500" w:type="dxa"/>
            <w:shd w:val="clear" w:color="auto" w:fill="F2F2F2"/>
          </w:tcPr>
          <w:p w14:paraId="61802C75"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Komenda Główna Państwowej Straży Pożarnej</w:t>
            </w:r>
          </w:p>
        </w:tc>
      </w:tr>
      <w:tr w:rsidR="004E3242" w:rsidRPr="004E3242" w14:paraId="101CC4D6" w14:textId="77777777" w:rsidTr="0067533A">
        <w:tc>
          <w:tcPr>
            <w:tcW w:w="1680" w:type="dxa"/>
            <w:shd w:val="clear" w:color="auto" w:fill="D6E3BC"/>
          </w:tcPr>
          <w:p w14:paraId="7AC55C84"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KM</w:t>
            </w:r>
          </w:p>
        </w:tc>
        <w:tc>
          <w:tcPr>
            <w:tcW w:w="7500" w:type="dxa"/>
            <w:shd w:val="clear" w:color="auto" w:fill="F2F2F2"/>
          </w:tcPr>
          <w:p w14:paraId="007B2A92"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Komitet Monitorujący</w:t>
            </w:r>
          </w:p>
        </w:tc>
      </w:tr>
      <w:tr w:rsidR="004E3242" w:rsidRPr="004E3242" w14:paraId="247FD883" w14:textId="77777777" w:rsidTr="0067533A">
        <w:tc>
          <w:tcPr>
            <w:tcW w:w="1680" w:type="dxa"/>
            <w:shd w:val="clear" w:color="auto" w:fill="D6E3BC"/>
          </w:tcPr>
          <w:p w14:paraId="3AB7F626"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KOBiZE</w:t>
            </w:r>
            <w:proofErr w:type="spellEnd"/>
          </w:p>
        </w:tc>
        <w:tc>
          <w:tcPr>
            <w:tcW w:w="7500" w:type="dxa"/>
            <w:shd w:val="clear" w:color="auto" w:fill="F2F2F2"/>
          </w:tcPr>
          <w:p w14:paraId="3E6ADBD2"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Krajowy Ośrodek Bilansowania i Zarządzania Emisjami</w:t>
            </w:r>
          </w:p>
        </w:tc>
      </w:tr>
      <w:tr w:rsidR="004E3242" w:rsidRPr="004E3242" w14:paraId="137961EE" w14:textId="77777777" w:rsidTr="0067533A">
        <w:tc>
          <w:tcPr>
            <w:tcW w:w="1680" w:type="dxa"/>
            <w:shd w:val="clear" w:color="auto" w:fill="D6E3BC"/>
          </w:tcPr>
          <w:p w14:paraId="57A1EF8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Kpgo</w:t>
            </w:r>
            <w:proofErr w:type="spellEnd"/>
          </w:p>
        </w:tc>
        <w:tc>
          <w:tcPr>
            <w:tcW w:w="7500" w:type="dxa"/>
            <w:shd w:val="clear" w:color="auto" w:fill="F2F2F2"/>
          </w:tcPr>
          <w:p w14:paraId="7A6F1B5B"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Krajowy plan gospodarki odpadami</w:t>
            </w:r>
          </w:p>
        </w:tc>
      </w:tr>
      <w:tr w:rsidR="004E3242" w:rsidRPr="004E3242" w14:paraId="0953EC9A" w14:textId="77777777" w:rsidTr="0067533A">
        <w:tc>
          <w:tcPr>
            <w:tcW w:w="1680" w:type="dxa"/>
            <w:shd w:val="clear" w:color="auto" w:fill="D6E3BC"/>
          </w:tcPr>
          <w:p w14:paraId="32AEA24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KPOŚK</w:t>
            </w:r>
          </w:p>
        </w:tc>
        <w:tc>
          <w:tcPr>
            <w:tcW w:w="7500" w:type="dxa"/>
            <w:shd w:val="clear" w:color="auto" w:fill="F2F2F2"/>
          </w:tcPr>
          <w:p w14:paraId="70946E2F"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Krajowy program oczyszczania ścieków komunalnych</w:t>
            </w:r>
          </w:p>
        </w:tc>
      </w:tr>
      <w:tr w:rsidR="004E3242" w:rsidRPr="004E3242" w14:paraId="6755AC10" w14:textId="77777777" w:rsidTr="0067533A">
        <w:tc>
          <w:tcPr>
            <w:tcW w:w="1680" w:type="dxa"/>
            <w:shd w:val="clear" w:color="auto" w:fill="D6E3BC"/>
          </w:tcPr>
          <w:p w14:paraId="73A8763B"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KPR</w:t>
            </w:r>
          </w:p>
        </w:tc>
        <w:tc>
          <w:tcPr>
            <w:tcW w:w="7500" w:type="dxa"/>
            <w:shd w:val="clear" w:color="auto" w:fill="F2F2F2"/>
          </w:tcPr>
          <w:p w14:paraId="20CCAEAB"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Krajowy Program Reform</w:t>
            </w:r>
          </w:p>
        </w:tc>
      </w:tr>
      <w:tr w:rsidR="004E3242" w:rsidRPr="004E3242" w14:paraId="309390DD" w14:textId="77777777" w:rsidTr="0067533A">
        <w:tc>
          <w:tcPr>
            <w:tcW w:w="1680" w:type="dxa"/>
            <w:shd w:val="clear" w:color="auto" w:fill="D6E3BC"/>
          </w:tcPr>
          <w:p w14:paraId="5CB6C8C3"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KPZK</w:t>
            </w:r>
          </w:p>
        </w:tc>
        <w:tc>
          <w:tcPr>
            <w:tcW w:w="7500" w:type="dxa"/>
            <w:shd w:val="clear" w:color="auto" w:fill="F2F2F2"/>
          </w:tcPr>
          <w:p w14:paraId="6B40D0B5"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Koncepcja Przestrzennego Zagospodarowania Kraju 2030</w:t>
            </w:r>
          </w:p>
        </w:tc>
      </w:tr>
      <w:tr w:rsidR="004E3242" w:rsidRPr="004E3242" w14:paraId="54C00F3C" w14:textId="77777777" w:rsidTr="0067533A">
        <w:tc>
          <w:tcPr>
            <w:tcW w:w="1680" w:type="dxa"/>
            <w:shd w:val="clear" w:color="auto" w:fill="D6E3BC"/>
          </w:tcPr>
          <w:p w14:paraId="28293159"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proofErr w:type="spellStart"/>
            <w:r w:rsidRPr="004E3242">
              <w:rPr>
                <w:rFonts w:ascii="Arial" w:hAnsi="Arial" w:cs="Arial"/>
                <w:b/>
                <w:sz w:val="16"/>
                <w:szCs w:val="20"/>
              </w:rPr>
              <w:t>kV</w:t>
            </w:r>
            <w:proofErr w:type="spellEnd"/>
          </w:p>
        </w:tc>
        <w:tc>
          <w:tcPr>
            <w:tcW w:w="7500" w:type="dxa"/>
            <w:shd w:val="clear" w:color="auto" w:fill="F2F2F2"/>
          </w:tcPr>
          <w:p w14:paraId="4F56EC9C"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kilowolt</w:t>
            </w:r>
          </w:p>
        </w:tc>
      </w:tr>
      <w:tr w:rsidR="004E3242" w:rsidRPr="004E3242" w14:paraId="08DBC713" w14:textId="77777777" w:rsidTr="0067533A">
        <w:tc>
          <w:tcPr>
            <w:tcW w:w="1680" w:type="dxa"/>
            <w:shd w:val="clear" w:color="auto" w:fill="D6E3BC"/>
          </w:tcPr>
          <w:p w14:paraId="67156695"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KSE</w:t>
            </w:r>
          </w:p>
        </w:tc>
        <w:tc>
          <w:tcPr>
            <w:tcW w:w="7500" w:type="dxa"/>
            <w:shd w:val="clear" w:color="auto" w:fill="F2F2F2"/>
          </w:tcPr>
          <w:p w14:paraId="3B0D50A6"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Krajowy System Elektroenergetyczny</w:t>
            </w:r>
          </w:p>
        </w:tc>
      </w:tr>
      <w:tr w:rsidR="004E3242" w:rsidRPr="004E3242" w14:paraId="09AB3E03" w14:textId="77777777" w:rsidTr="0067533A">
        <w:tc>
          <w:tcPr>
            <w:tcW w:w="1680" w:type="dxa"/>
            <w:shd w:val="clear" w:color="auto" w:fill="D6E3BC"/>
          </w:tcPr>
          <w:p w14:paraId="7270E46A"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lastRenderedPageBreak/>
              <w:t>KSRR</w:t>
            </w:r>
          </w:p>
        </w:tc>
        <w:tc>
          <w:tcPr>
            <w:tcW w:w="7500" w:type="dxa"/>
            <w:shd w:val="clear" w:color="auto" w:fill="F2F2F2"/>
          </w:tcPr>
          <w:p w14:paraId="6FF79F68"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Krajowa Strategia Rozwoju Regionalnego</w:t>
            </w:r>
          </w:p>
        </w:tc>
      </w:tr>
      <w:tr w:rsidR="004E3242" w:rsidRPr="004E3242" w14:paraId="56B4796A" w14:textId="77777777" w:rsidTr="0067533A">
        <w:tc>
          <w:tcPr>
            <w:tcW w:w="1680" w:type="dxa"/>
            <w:shd w:val="clear" w:color="auto" w:fill="D6E3BC"/>
          </w:tcPr>
          <w:p w14:paraId="0976BBDB"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MEGA</w:t>
            </w:r>
          </w:p>
        </w:tc>
        <w:tc>
          <w:tcPr>
            <w:tcW w:w="7500" w:type="dxa"/>
            <w:shd w:val="clear" w:color="auto" w:fill="F2F2F2"/>
          </w:tcPr>
          <w:p w14:paraId="2B116DF7"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 xml:space="preserve">Metropolitan </w:t>
            </w:r>
            <w:proofErr w:type="spellStart"/>
            <w:r w:rsidRPr="004E3242">
              <w:rPr>
                <w:rFonts w:ascii="Arial" w:hAnsi="Arial" w:cs="Arial"/>
                <w:sz w:val="16"/>
                <w:szCs w:val="20"/>
              </w:rPr>
              <w:t>European</w:t>
            </w:r>
            <w:proofErr w:type="spellEnd"/>
            <w:r w:rsidRPr="004E3242">
              <w:rPr>
                <w:rFonts w:ascii="Arial" w:hAnsi="Arial" w:cs="Arial"/>
                <w:sz w:val="16"/>
                <w:szCs w:val="20"/>
              </w:rPr>
              <w:t xml:space="preserve"> </w:t>
            </w:r>
            <w:proofErr w:type="spellStart"/>
            <w:r w:rsidRPr="004E3242">
              <w:rPr>
                <w:rFonts w:ascii="Arial" w:hAnsi="Arial" w:cs="Arial"/>
                <w:sz w:val="16"/>
                <w:szCs w:val="20"/>
              </w:rPr>
              <w:t>Growth</w:t>
            </w:r>
            <w:proofErr w:type="spellEnd"/>
            <w:r w:rsidRPr="004E3242">
              <w:rPr>
                <w:rFonts w:ascii="Arial" w:hAnsi="Arial" w:cs="Arial"/>
                <w:sz w:val="16"/>
                <w:szCs w:val="20"/>
              </w:rPr>
              <w:t xml:space="preserve"> </w:t>
            </w:r>
            <w:proofErr w:type="spellStart"/>
            <w:r w:rsidRPr="004E3242">
              <w:rPr>
                <w:rFonts w:ascii="Arial" w:hAnsi="Arial" w:cs="Arial"/>
                <w:sz w:val="16"/>
                <w:szCs w:val="20"/>
              </w:rPr>
              <w:t>Areas</w:t>
            </w:r>
            <w:proofErr w:type="spellEnd"/>
          </w:p>
        </w:tc>
      </w:tr>
      <w:tr w:rsidR="004E3242" w:rsidRPr="004E3242" w14:paraId="13FF8429" w14:textId="77777777" w:rsidTr="0067533A">
        <w:tc>
          <w:tcPr>
            <w:tcW w:w="1680" w:type="dxa"/>
            <w:shd w:val="clear" w:color="auto" w:fill="D6E3BC"/>
          </w:tcPr>
          <w:p w14:paraId="64A2CBCB"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LNG</w:t>
            </w:r>
          </w:p>
        </w:tc>
        <w:tc>
          <w:tcPr>
            <w:tcW w:w="7500" w:type="dxa"/>
            <w:shd w:val="clear" w:color="auto" w:fill="F2F2F2"/>
          </w:tcPr>
          <w:p w14:paraId="5471275A"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skroplony gaz ziemny [</w:t>
            </w:r>
            <w:proofErr w:type="spellStart"/>
            <w:r w:rsidRPr="004E3242">
              <w:rPr>
                <w:rFonts w:ascii="Arial" w:hAnsi="Arial" w:cs="Arial"/>
                <w:sz w:val="16"/>
                <w:szCs w:val="20"/>
              </w:rPr>
              <w:t>liquefied</w:t>
            </w:r>
            <w:proofErr w:type="spellEnd"/>
            <w:r w:rsidRPr="004E3242">
              <w:rPr>
                <w:rFonts w:ascii="Arial" w:hAnsi="Arial" w:cs="Arial"/>
                <w:sz w:val="16"/>
                <w:szCs w:val="20"/>
              </w:rPr>
              <w:t xml:space="preserve"> </w:t>
            </w:r>
            <w:proofErr w:type="spellStart"/>
            <w:r w:rsidRPr="004E3242">
              <w:rPr>
                <w:rFonts w:ascii="Arial" w:hAnsi="Arial" w:cs="Arial"/>
                <w:sz w:val="16"/>
                <w:szCs w:val="20"/>
              </w:rPr>
              <w:t>natural</w:t>
            </w:r>
            <w:proofErr w:type="spellEnd"/>
            <w:r w:rsidRPr="004E3242">
              <w:rPr>
                <w:rFonts w:ascii="Arial" w:hAnsi="Arial" w:cs="Arial"/>
                <w:sz w:val="16"/>
                <w:szCs w:val="20"/>
              </w:rPr>
              <w:t xml:space="preserve"> </w:t>
            </w:r>
            <w:proofErr w:type="spellStart"/>
            <w:r w:rsidRPr="004E3242">
              <w:rPr>
                <w:rFonts w:ascii="Arial" w:hAnsi="Arial" w:cs="Arial"/>
                <w:sz w:val="16"/>
                <w:szCs w:val="20"/>
              </w:rPr>
              <w:t>gas</w:t>
            </w:r>
            <w:proofErr w:type="spellEnd"/>
            <w:r w:rsidRPr="004E3242">
              <w:rPr>
                <w:rFonts w:ascii="Arial" w:hAnsi="Arial" w:cs="Arial"/>
                <w:sz w:val="16"/>
                <w:szCs w:val="20"/>
              </w:rPr>
              <w:t>]</w:t>
            </w:r>
          </w:p>
        </w:tc>
      </w:tr>
      <w:tr w:rsidR="004E3242" w:rsidRPr="004E3242" w14:paraId="7AB7C25F" w14:textId="77777777" w:rsidTr="0067533A">
        <w:tc>
          <w:tcPr>
            <w:tcW w:w="1680" w:type="dxa"/>
            <w:shd w:val="clear" w:color="auto" w:fill="D6E3BC"/>
          </w:tcPr>
          <w:p w14:paraId="4C7DD1EA"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MG</w:t>
            </w:r>
          </w:p>
        </w:tc>
        <w:tc>
          <w:tcPr>
            <w:tcW w:w="7500" w:type="dxa"/>
            <w:shd w:val="clear" w:color="auto" w:fill="F2F2F2"/>
          </w:tcPr>
          <w:p w14:paraId="11EAE09E" w14:textId="77777777" w:rsidR="004E3242" w:rsidRPr="004E3242" w:rsidRDefault="004E3242" w:rsidP="0098748F">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Ministerstwo Gospodarki</w:t>
            </w:r>
            <w:r w:rsidR="0098748F" w:rsidRPr="0098748F">
              <w:rPr>
                <w:rFonts w:ascii="Arial" w:hAnsi="Arial" w:cs="Arial"/>
                <w:sz w:val="16"/>
                <w:szCs w:val="20"/>
              </w:rPr>
              <w:t>, obecnie Ministerstwo Energii</w:t>
            </w:r>
          </w:p>
        </w:tc>
      </w:tr>
      <w:tr w:rsidR="004E3242" w:rsidRPr="004E3242" w14:paraId="050F03DA" w14:textId="77777777" w:rsidTr="0067533A">
        <w:tc>
          <w:tcPr>
            <w:tcW w:w="1680" w:type="dxa"/>
            <w:shd w:val="clear" w:color="auto" w:fill="D6E3BC"/>
          </w:tcPr>
          <w:p w14:paraId="76A8A075" w14:textId="77777777" w:rsidR="004E3242" w:rsidRPr="004E3242" w:rsidRDefault="004E3242" w:rsidP="002E5281">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MI</w:t>
            </w:r>
            <w:r w:rsidR="0098748F">
              <w:rPr>
                <w:rFonts w:ascii="Arial" w:hAnsi="Arial" w:cs="Arial"/>
                <w:b/>
                <w:bCs/>
                <w:sz w:val="16"/>
                <w:szCs w:val="20"/>
              </w:rPr>
              <w:t>i</w:t>
            </w:r>
            <w:r w:rsidRPr="004E3242">
              <w:rPr>
                <w:rFonts w:ascii="Arial" w:hAnsi="Arial" w:cs="Arial"/>
                <w:b/>
                <w:bCs/>
                <w:sz w:val="16"/>
                <w:szCs w:val="20"/>
              </w:rPr>
              <w:t>R</w:t>
            </w:r>
            <w:proofErr w:type="spellEnd"/>
          </w:p>
        </w:tc>
        <w:tc>
          <w:tcPr>
            <w:tcW w:w="7500" w:type="dxa"/>
            <w:shd w:val="clear" w:color="auto" w:fill="F2F2F2"/>
          </w:tcPr>
          <w:p w14:paraId="3E20A2B6" w14:textId="0652AE9E"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Ministerstwo obsługujące ministra właściwego ds. rozwoju regionalnego</w:t>
            </w:r>
            <w:r w:rsidR="00B345B6">
              <w:rPr>
                <w:rFonts w:ascii="Arial" w:hAnsi="Arial" w:cs="Arial"/>
                <w:sz w:val="16"/>
                <w:szCs w:val="20"/>
              </w:rPr>
              <w:t xml:space="preserve">, obecnie Ministerstwo </w:t>
            </w:r>
            <w:r w:rsidR="00EA0C5A">
              <w:rPr>
                <w:rFonts w:ascii="Arial" w:hAnsi="Arial" w:cs="Arial"/>
                <w:sz w:val="16"/>
                <w:szCs w:val="20"/>
              </w:rPr>
              <w:t>Funduszy i Polityki Regionalnej</w:t>
            </w:r>
          </w:p>
        </w:tc>
      </w:tr>
      <w:tr w:rsidR="004E3242" w:rsidRPr="004E3242" w14:paraId="5707E026" w14:textId="77777777" w:rsidTr="0067533A">
        <w:tc>
          <w:tcPr>
            <w:tcW w:w="1680" w:type="dxa"/>
            <w:shd w:val="clear" w:color="auto" w:fill="D6E3BC"/>
          </w:tcPr>
          <w:p w14:paraId="2C136C9B"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MSP</w:t>
            </w:r>
          </w:p>
        </w:tc>
        <w:tc>
          <w:tcPr>
            <w:tcW w:w="7500" w:type="dxa"/>
            <w:shd w:val="clear" w:color="auto" w:fill="F2F2F2"/>
          </w:tcPr>
          <w:p w14:paraId="003A48CF"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Małe i średnie przedsiębiorstwa</w:t>
            </w:r>
          </w:p>
        </w:tc>
      </w:tr>
      <w:tr w:rsidR="004E3242" w:rsidRPr="004E3242" w14:paraId="66847CBA" w14:textId="77777777" w:rsidTr="0067533A">
        <w:tc>
          <w:tcPr>
            <w:tcW w:w="1680" w:type="dxa"/>
            <w:shd w:val="clear" w:color="auto" w:fill="D6E3BC"/>
          </w:tcPr>
          <w:p w14:paraId="642EFF6D"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MŚ</w:t>
            </w:r>
          </w:p>
        </w:tc>
        <w:tc>
          <w:tcPr>
            <w:tcW w:w="7500" w:type="dxa"/>
            <w:shd w:val="clear" w:color="auto" w:fill="F2F2F2"/>
          </w:tcPr>
          <w:p w14:paraId="7A09D6DB" w14:textId="56EDC6B2"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Ministerstwo Środowiska</w:t>
            </w:r>
            <w:r w:rsidR="00EA0C5A">
              <w:rPr>
                <w:rFonts w:ascii="Arial" w:hAnsi="Arial" w:cs="Arial"/>
                <w:sz w:val="16"/>
                <w:szCs w:val="20"/>
              </w:rPr>
              <w:t xml:space="preserve"> </w:t>
            </w:r>
            <w:r w:rsidR="00EA0C5A" w:rsidRPr="001B0FE9">
              <w:rPr>
                <w:rFonts w:ascii="Arial" w:hAnsi="Arial" w:cs="Arial"/>
                <w:sz w:val="16"/>
                <w:szCs w:val="20"/>
              </w:rPr>
              <w:t>(</w:t>
            </w:r>
            <w:r w:rsidR="00EA0C5A">
              <w:rPr>
                <w:rFonts w:ascii="Arial" w:hAnsi="Arial" w:cs="Arial"/>
                <w:sz w:val="16"/>
                <w:szCs w:val="20"/>
              </w:rPr>
              <w:t>obecnie Ministerstwo Klimatu i Ś</w:t>
            </w:r>
            <w:r w:rsidR="00EA0C5A" w:rsidRPr="001B0FE9">
              <w:rPr>
                <w:rFonts w:ascii="Arial" w:hAnsi="Arial" w:cs="Arial"/>
                <w:sz w:val="16"/>
                <w:szCs w:val="20"/>
              </w:rPr>
              <w:t>rodowiska)</w:t>
            </w:r>
          </w:p>
        </w:tc>
      </w:tr>
      <w:tr w:rsidR="004E3242" w:rsidRPr="004E3242" w14:paraId="315C38CC" w14:textId="77777777" w:rsidTr="0067533A">
        <w:tc>
          <w:tcPr>
            <w:tcW w:w="1680" w:type="dxa"/>
            <w:shd w:val="clear" w:color="auto" w:fill="D6E3BC"/>
          </w:tcPr>
          <w:p w14:paraId="03B1DE7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MW</w:t>
            </w:r>
          </w:p>
        </w:tc>
        <w:tc>
          <w:tcPr>
            <w:tcW w:w="7500" w:type="dxa"/>
            <w:shd w:val="clear" w:color="auto" w:fill="F2F2F2"/>
          </w:tcPr>
          <w:p w14:paraId="59AF339F"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Megawat</w:t>
            </w:r>
          </w:p>
        </w:tc>
      </w:tr>
      <w:tr w:rsidR="004E3242" w:rsidRPr="004E3242" w14:paraId="21B21DF7" w14:textId="77777777" w:rsidTr="0067533A">
        <w:tc>
          <w:tcPr>
            <w:tcW w:w="1680" w:type="dxa"/>
            <w:shd w:val="clear" w:color="auto" w:fill="D6E3BC"/>
          </w:tcPr>
          <w:p w14:paraId="39FBC26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MWh</w:t>
            </w:r>
          </w:p>
        </w:tc>
        <w:tc>
          <w:tcPr>
            <w:tcW w:w="7500" w:type="dxa"/>
            <w:shd w:val="clear" w:color="auto" w:fill="F2F2F2"/>
          </w:tcPr>
          <w:p w14:paraId="0A5CB5AB"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Megawatogodzina</w:t>
            </w:r>
          </w:p>
        </w:tc>
      </w:tr>
      <w:tr w:rsidR="004E3242" w:rsidRPr="004E3242" w14:paraId="611D53EF" w14:textId="77777777" w:rsidTr="0067533A">
        <w:tc>
          <w:tcPr>
            <w:tcW w:w="1680" w:type="dxa"/>
            <w:shd w:val="clear" w:color="auto" w:fill="D6E3BC"/>
          </w:tcPr>
          <w:p w14:paraId="49345317"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MZ</w:t>
            </w:r>
          </w:p>
        </w:tc>
        <w:tc>
          <w:tcPr>
            <w:tcW w:w="7500" w:type="dxa"/>
            <w:shd w:val="clear" w:color="auto" w:fill="F2F2F2"/>
          </w:tcPr>
          <w:p w14:paraId="77646255"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Ministerstwo Zdrowia</w:t>
            </w:r>
          </w:p>
        </w:tc>
      </w:tr>
      <w:tr w:rsidR="004E3242" w:rsidRPr="004E3242" w14:paraId="4DD89862" w14:textId="77777777" w:rsidTr="0067533A">
        <w:tc>
          <w:tcPr>
            <w:tcW w:w="1680" w:type="dxa"/>
            <w:shd w:val="clear" w:color="auto" w:fill="D6E3BC"/>
          </w:tcPr>
          <w:p w14:paraId="3D29D7CF"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NFOŚiGW</w:t>
            </w:r>
          </w:p>
        </w:tc>
        <w:tc>
          <w:tcPr>
            <w:tcW w:w="7500" w:type="dxa"/>
            <w:shd w:val="clear" w:color="auto" w:fill="F2F2F2"/>
          </w:tcPr>
          <w:p w14:paraId="0948EDD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Narodowy Fundusz Ochrony Środowiska i Gospodarki Wodnej</w:t>
            </w:r>
          </w:p>
        </w:tc>
      </w:tr>
      <w:tr w:rsidR="004E3242" w:rsidRPr="004E3242" w14:paraId="0F5955B8" w14:textId="77777777" w:rsidTr="0067533A">
        <w:tc>
          <w:tcPr>
            <w:tcW w:w="1680" w:type="dxa"/>
            <w:shd w:val="clear" w:color="auto" w:fill="D6E3BC"/>
          </w:tcPr>
          <w:p w14:paraId="095AD48D"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NUTS</w:t>
            </w:r>
          </w:p>
        </w:tc>
        <w:tc>
          <w:tcPr>
            <w:tcW w:w="7500" w:type="dxa"/>
            <w:shd w:val="clear" w:color="auto" w:fill="F2F2F2"/>
          </w:tcPr>
          <w:p w14:paraId="7C98DCB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color w:val="000000"/>
                <w:sz w:val="16"/>
                <w:szCs w:val="20"/>
              </w:rPr>
              <w:t>Nomenklatura Jednostek Terytorialnych do Celów Statystycznych</w:t>
            </w:r>
          </w:p>
        </w:tc>
      </w:tr>
      <w:tr w:rsidR="004E3242" w:rsidRPr="004E3242" w14:paraId="761AABE8" w14:textId="77777777" w:rsidTr="0067533A">
        <w:tc>
          <w:tcPr>
            <w:tcW w:w="1680" w:type="dxa"/>
            <w:shd w:val="clear" w:color="auto" w:fill="D6E3BC"/>
          </w:tcPr>
          <w:p w14:paraId="713A2E83"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ODW</w:t>
            </w:r>
          </w:p>
        </w:tc>
        <w:tc>
          <w:tcPr>
            <w:tcW w:w="7500" w:type="dxa"/>
            <w:shd w:val="clear" w:color="auto" w:fill="F2F2F2"/>
          </w:tcPr>
          <w:p w14:paraId="60173A0B"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Odrzańska Droga Wodna</w:t>
            </w:r>
          </w:p>
        </w:tc>
      </w:tr>
      <w:tr w:rsidR="004E3242" w:rsidRPr="004E3242" w14:paraId="1DC60B29" w14:textId="77777777" w:rsidTr="0067533A">
        <w:tc>
          <w:tcPr>
            <w:tcW w:w="1680" w:type="dxa"/>
            <w:shd w:val="clear" w:color="auto" w:fill="D6E3BC"/>
          </w:tcPr>
          <w:p w14:paraId="7841E36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OECD</w:t>
            </w:r>
          </w:p>
        </w:tc>
        <w:tc>
          <w:tcPr>
            <w:tcW w:w="7500" w:type="dxa"/>
            <w:shd w:val="clear" w:color="auto" w:fill="F2F2F2"/>
          </w:tcPr>
          <w:p w14:paraId="12BDFE00"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sz w:val="16"/>
                <w:szCs w:val="20"/>
              </w:rPr>
              <w:t xml:space="preserve">Organizacja </w:t>
            </w:r>
            <w:r w:rsidRPr="004E3242">
              <w:rPr>
                <w:rFonts w:ascii="Arial" w:hAnsi="Arial" w:cs="Arial"/>
                <w:color w:val="000000"/>
                <w:sz w:val="16"/>
                <w:szCs w:val="20"/>
              </w:rPr>
              <w:t>Współpracy Gospodarczej i Rozwoju</w:t>
            </w:r>
          </w:p>
        </w:tc>
      </w:tr>
      <w:tr w:rsidR="004E3242" w:rsidRPr="004E3242" w14:paraId="77DA5AD5" w14:textId="77777777" w:rsidTr="0067533A">
        <w:tc>
          <w:tcPr>
            <w:tcW w:w="1680" w:type="dxa"/>
            <w:shd w:val="clear" w:color="auto" w:fill="D6E3BC"/>
          </w:tcPr>
          <w:p w14:paraId="51A6F07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OOŚ</w:t>
            </w:r>
          </w:p>
        </w:tc>
        <w:tc>
          <w:tcPr>
            <w:tcW w:w="7500" w:type="dxa"/>
            <w:shd w:val="clear" w:color="auto" w:fill="F2F2F2"/>
          </w:tcPr>
          <w:p w14:paraId="0C641DDD"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Ocena oddziaływania na środowisko</w:t>
            </w:r>
          </w:p>
        </w:tc>
      </w:tr>
      <w:tr w:rsidR="004E3242" w:rsidRPr="004E3242" w14:paraId="3A61897C" w14:textId="77777777" w:rsidTr="0067533A">
        <w:tc>
          <w:tcPr>
            <w:tcW w:w="1680" w:type="dxa"/>
            <w:shd w:val="clear" w:color="auto" w:fill="D6E3BC"/>
          </w:tcPr>
          <w:p w14:paraId="0EDB9C63"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OP</w:t>
            </w:r>
          </w:p>
        </w:tc>
        <w:tc>
          <w:tcPr>
            <w:tcW w:w="7500" w:type="dxa"/>
            <w:shd w:val="clear" w:color="auto" w:fill="F2F2F2"/>
          </w:tcPr>
          <w:p w14:paraId="1A0B30F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Obszar Priorytetowy (dotyczy SUE RMB)</w:t>
            </w:r>
          </w:p>
        </w:tc>
      </w:tr>
      <w:tr w:rsidR="004E3242" w:rsidRPr="004E3242" w14:paraId="56E8ECD0" w14:textId="77777777" w:rsidTr="0067533A">
        <w:tc>
          <w:tcPr>
            <w:tcW w:w="1680" w:type="dxa"/>
            <w:shd w:val="clear" w:color="auto" w:fill="D6E3BC"/>
          </w:tcPr>
          <w:p w14:paraId="4AE41E28"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OSD</w:t>
            </w:r>
          </w:p>
        </w:tc>
        <w:tc>
          <w:tcPr>
            <w:tcW w:w="7500" w:type="dxa"/>
            <w:shd w:val="clear" w:color="auto" w:fill="F2F2F2"/>
          </w:tcPr>
          <w:p w14:paraId="2C65C2A5"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Operator Systemu Dystrybucyjnego</w:t>
            </w:r>
          </w:p>
        </w:tc>
      </w:tr>
      <w:tr w:rsidR="004E3242" w:rsidRPr="004E3242" w14:paraId="2C2CE74A" w14:textId="77777777" w:rsidTr="0067533A">
        <w:tc>
          <w:tcPr>
            <w:tcW w:w="1680" w:type="dxa"/>
            <w:shd w:val="clear" w:color="auto" w:fill="D6E3BC"/>
          </w:tcPr>
          <w:p w14:paraId="40D1BC3B"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OSI</w:t>
            </w:r>
          </w:p>
        </w:tc>
        <w:tc>
          <w:tcPr>
            <w:tcW w:w="7500" w:type="dxa"/>
            <w:shd w:val="clear" w:color="auto" w:fill="F2F2F2"/>
          </w:tcPr>
          <w:p w14:paraId="492F070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Obszar Strategicznej Interwencji Państwa</w:t>
            </w:r>
          </w:p>
        </w:tc>
      </w:tr>
      <w:tr w:rsidR="004E3242" w:rsidRPr="004E3242" w14:paraId="01059CD2" w14:textId="77777777" w:rsidTr="0067533A">
        <w:tc>
          <w:tcPr>
            <w:tcW w:w="1680" w:type="dxa"/>
            <w:shd w:val="clear" w:color="auto" w:fill="D6E3BC"/>
          </w:tcPr>
          <w:p w14:paraId="51B1DC9F"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OSP</w:t>
            </w:r>
          </w:p>
        </w:tc>
        <w:tc>
          <w:tcPr>
            <w:tcW w:w="7500" w:type="dxa"/>
            <w:shd w:val="clear" w:color="auto" w:fill="F2F2F2"/>
          </w:tcPr>
          <w:p w14:paraId="2F69985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Operator Systemu Przesyłowego</w:t>
            </w:r>
          </w:p>
        </w:tc>
      </w:tr>
      <w:tr w:rsidR="004E3242" w:rsidRPr="004E3242" w14:paraId="51E9699D" w14:textId="77777777" w:rsidTr="0067533A">
        <w:tc>
          <w:tcPr>
            <w:tcW w:w="1680" w:type="dxa"/>
            <w:shd w:val="clear" w:color="auto" w:fill="D6E3BC"/>
          </w:tcPr>
          <w:p w14:paraId="4F5DD0A5"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OZE</w:t>
            </w:r>
          </w:p>
        </w:tc>
        <w:tc>
          <w:tcPr>
            <w:tcW w:w="7500" w:type="dxa"/>
            <w:shd w:val="clear" w:color="auto" w:fill="F2F2F2"/>
          </w:tcPr>
          <w:p w14:paraId="5D1A3829"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Odnawialne źródła energii</w:t>
            </w:r>
          </w:p>
        </w:tc>
      </w:tr>
      <w:tr w:rsidR="004E3242" w:rsidRPr="004E3242" w14:paraId="4791C05F" w14:textId="77777777" w:rsidTr="0067533A">
        <w:tc>
          <w:tcPr>
            <w:tcW w:w="1680" w:type="dxa"/>
            <w:shd w:val="clear" w:color="auto" w:fill="D6E3BC"/>
          </w:tcPr>
          <w:p w14:paraId="02859B6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PAN</w:t>
            </w:r>
          </w:p>
        </w:tc>
        <w:tc>
          <w:tcPr>
            <w:tcW w:w="7500" w:type="dxa"/>
            <w:shd w:val="clear" w:color="auto" w:fill="F2F2F2"/>
          </w:tcPr>
          <w:p w14:paraId="5AA6AEE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rPr>
            </w:pPr>
            <w:r w:rsidRPr="004E3242">
              <w:rPr>
                <w:rFonts w:ascii="Arial" w:hAnsi="Arial" w:cs="Arial"/>
                <w:color w:val="000000"/>
                <w:sz w:val="16"/>
                <w:szCs w:val="20"/>
              </w:rPr>
              <w:t>Polska Akademia Nauk</w:t>
            </w:r>
          </w:p>
        </w:tc>
      </w:tr>
      <w:tr w:rsidR="004E3242" w:rsidRPr="004E3242" w14:paraId="089F63F7" w14:textId="77777777" w:rsidTr="0067533A">
        <w:tc>
          <w:tcPr>
            <w:tcW w:w="1680" w:type="dxa"/>
            <w:shd w:val="clear" w:color="auto" w:fill="D6E3BC"/>
          </w:tcPr>
          <w:p w14:paraId="3D8DDA2C"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paskm</w:t>
            </w:r>
            <w:proofErr w:type="spellEnd"/>
          </w:p>
        </w:tc>
        <w:tc>
          <w:tcPr>
            <w:tcW w:w="7500" w:type="dxa"/>
            <w:shd w:val="clear" w:color="auto" w:fill="F2F2F2"/>
          </w:tcPr>
          <w:p w14:paraId="05F7A5C7"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Pasażerokilometr</w:t>
            </w:r>
          </w:p>
        </w:tc>
      </w:tr>
      <w:tr w:rsidR="004E3242" w:rsidRPr="004E3242" w14:paraId="7AA0D28D" w14:textId="77777777" w:rsidTr="0067533A">
        <w:tc>
          <w:tcPr>
            <w:tcW w:w="1680" w:type="dxa"/>
            <w:shd w:val="clear" w:color="auto" w:fill="D6E3BC"/>
          </w:tcPr>
          <w:p w14:paraId="65CAB5B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pax</w:t>
            </w:r>
            <w:proofErr w:type="spellEnd"/>
          </w:p>
        </w:tc>
        <w:tc>
          <w:tcPr>
            <w:tcW w:w="7500" w:type="dxa"/>
            <w:shd w:val="clear" w:color="auto" w:fill="F2F2F2"/>
          </w:tcPr>
          <w:p w14:paraId="2CA96BFF"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Pasażer – osoba znajdująca się na pokładzie statku powietrznego w momencie wykonywania przez ten statek operacji startu lub lądowania, nie będąca członkiem jego załogi</w:t>
            </w:r>
          </w:p>
        </w:tc>
      </w:tr>
      <w:tr w:rsidR="004E3242" w:rsidRPr="004E3242" w14:paraId="16E64AB8" w14:textId="77777777" w:rsidTr="0067533A">
        <w:tc>
          <w:tcPr>
            <w:tcW w:w="1680" w:type="dxa"/>
            <w:shd w:val="clear" w:color="auto" w:fill="D6E3BC"/>
          </w:tcPr>
          <w:p w14:paraId="06BA5EEA"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PGNiG S.A</w:t>
            </w:r>
            <w:r w:rsidRPr="004E3242">
              <w:rPr>
                <w:rFonts w:ascii="Arial" w:hAnsi="Arial" w:cs="Arial"/>
                <w:sz w:val="16"/>
                <w:szCs w:val="20"/>
              </w:rPr>
              <w:t>.</w:t>
            </w:r>
          </w:p>
        </w:tc>
        <w:tc>
          <w:tcPr>
            <w:tcW w:w="7500" w:type="dxa"/>
            <w:shd w:val="clear" w:color="auto" w:fill="F2F2F2"/>
          </w:tcPr>
          <w:p w14:paraId="36D7FBD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Polskie Górnictwo Naftowe i Gazownictwo S.A.</w:t>
            </w:r>
          </w:p>
        </w:tc>
      </w:tr>
      <w:tr w:rsidR="004E3242" w:rsidRPr="002E4271" w14:paraId="7535CF89" w14:textId="77777777" w:rsidTr="0067533A">
        <w:tc>
          <w:tcPr>
            <w:tcW w:w="1680" w:type="dxa"/>
            <w:shd w:val="clear" w:color="auto" w:fill="D6E3BC"/>
          </w:tcPr>
          <w:p w14:paraId="1BCD2ADF"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lang w:val="en-US"/>
              </w:rPr>
            </w:pPr>
            <w:r w:rsidRPr="004E3242">
              <w:rPr>
                <w:rFonts w:ascii="Arial" w:hAnsi="Arial" w:cs="Arial"/>
                <w:b/>
                <w:sz w:val="16"/>
                <w:szCs w:val="20"/>
                <w:lang w:val="en-US"/>
              </w:rPr>
              <w:t>PHARE</w:t>
            </w:r>
          </w:p>
        </w:tc>
        <w:tc>
          <w:tcPr>
            <w:tcW w:w="7500" w:type="dxa"/>
            <w:shd w:val="clear" w:color="auto" w:fill="F2F2F2"/>
          </w:tcPr>
          <w:p w14:paraId="28F25F11"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lang w:val="en-US"/>
              </w:rPr>
            </w:pPr>
            <w:r w:rsidRPr="004E3242">
              <w:rPr>
                <w:rFonts w:ascii="Arial" w:hAnsi="Arial" w:cs="Arial"/>
                <w:sz w:val="16"/>
                <w:szCs w:val="20"/>
                <w:lang w:val="en-US"/>
              </w:rPr>
              <w:t>Poland and Hungary: Assistance for Restructuring their Economies</w:t>
            </w:r>
          </w:p>
        </w:tc>
      </w:tr>
      <w:tr w:rsidR="004E3242" w:rsidRPr="004E3242" w14:paraId="1B3D237B" w14:textId="77777777" w:rsidTr="0067533A">
        <w:tc>
          <w:tcPr>
            <w:tcW w:w="1680" w:type="dxa"/>
            <w:shd w:val="clear" w:color="auto" w:fill="D6E3BC"/>
          </w:tcPr>
          <w:p w14:paraId="2C67BC19"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PI</w:t>
            </w:r>
          </w:p>
        </w:tc>
        <w:tc>
          <w:tcPr>
            <w:tcW w:w="7500" w:type="dxa"/>
            <w:shd w:val="clear" w:color="auto" w:fill="F2F2F2"/>
          </w:tcPr>
          <w:p w14:paraId="22A7D257"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Priorytet Inwestycyjny</w:t>
            </w:r>
          </w:p>
        </w:tc>
      </w:tr>
      <w:tr w:rsidR="004E3242" w:rsidRPr="004E3242" w14:paraId="403083DC" w14:textId="77777777" w:rsidTr="0067533A">
        <w:tc>
          <w:tcPr>
            <w:tcW w:w="1680" w:type="dxa"/>
            <w:shd w:val="clear" w:color="auto" w:fill="D6E3BC"/>
          </w:tcPr>
          <w:p w14:paraId="1386F14A"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PKB</w:t>
            </w:r>
          </w:p>
        </w:tc>
        <w:tc>
          <w:tcPr>
            <w:tcW w:w="7500" w:type="dxa"/>
            <w:shd w:val="clear" w:color="auto" w:fill="F2F2F2"/>
          </w:tcPr>
          <w:p w14:paraId="3AE361ED"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color w:val="000000"/>
                <w:sz w:val="16"/>
                <w:szCs w:val="20"/>
              </w:rPr>
              <w:t>Produkt krajowy brutto</w:t>
            </w:r>
          </w:p>
        </w:tc>
      </w:tr>
      <w:tr w:rsidR="004E3242" w:rsidRPr="004E3242" w14:paraId="0C2B43D7" w14:textId="77777777" w:rsidTr="0067533A">
        <w:tc>
          <w:tcPr>
            <w:tcW w:w="1680" w:type="dxa"/>
            <w:shd w:val="clear" w:color="auto" w:fill="D6E3BC"/>
          </w:tcPr>
          <w:p w14:paraId="203F62B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pacing w:val="-10"/>
                <w:sz w:val="16"/>
                <w:szCs w:val="20"/>
              </w:rPr>
            </w:pPr>
            <w:r w:rsidRPr="004E3242">
              <w:rPr>
                <w:rFonts w:ascii="Arial" w:hAnsi="Arial" w:cs="Arial"/>
                <w:b/>
                <w:bCs/>
                <w:spacing w:val="-10"/>
                <w:sz w:val="16"/>
                <w:szCs w:val="20"/>
              </w:rPr>
              <w:t>PKP PLK.S.A</w:t>
            </w:r>
          </w:p>
        </w:tc>
        <w:tc>
          <w:tcPr>
            <w:tcW w:w="7500" w:type="dxa"/>
            <w:shd w:val="clear" w:color="auto" w:fill="F2F2F2"/>
          </w:tcPr>
          <w:p w14:paraId="3AB9FCFD"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pacing w:val="-10"/>
                <w:sz w:val="16"/>
                <w:szCs w:val="20"/>
              </w:rPr>
              <w:t>PKP Polskie Linie Kolejowe S.A.</w:t>
            </w:r>
          </w:p>
        </w:tc>
      </w:tr>
      <w:tr w:rsidR="004E3242" w:rsidRPr="004E3242" w14:paraId="182DFA43" w14:textId="77777777" w:rsidTr="0067533A">
        <w:tc>
          <w:tcPr>
            <w:tcW w:w="1680" w:type="dxa"/>
            <w:shd w:val="clear" w:color="auto" w:fill="D6E3BC"/>
          </w:tcPr>
          <w:p w14:paraId="72D63EFB"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PMŚ</w:t>
            </w:r>
          </w:p>
        </w:tc>
        <w:tc>
          <w:tcPr>
            <w:tcW w:w="7500" w:type="dxa"/>
            <w:shd w:val="clear" w:color="auto" w:fill="F2F2F2"/>
          </w:tcPr>
          <w:p w14:paraId="203B260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Państwowy Monitoring Środowiska</w:t>
            </w:r>
          </w:p>
        </w:tc>
      </w:tr>
      <w:tr w:rsidR="004E3242" w:rsidRPr="004E3242" w14:paraId="104F19D8" w14:textId="77777777" w:rsidTr="0067533A">
        <w:tc>
          <w:tcPr>
            <w:tcW w:w="1680" w:type="dxa"/>
            <w:shd w:val="clear" w:color="auto" w:fill="D6E3BC"/>
          </w:tcPr>
          <w:p w14:paraId="36E6A685"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PO</w:t>
            </w:r>
          </w:p>
        </w:tc>
        <w:tc>
          <w:tcPr>
            <w:tcW w:w="7500" w:type="dxa"/>
            <w:shd w:val="clear" w:color="auto" w:fill="F2F2F2"/>
          </w:tcPr>
          <w:p w14:paraId="498F0F69"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Program Operacyjny</w:t>
            </w:r>
          </w:p>
        </w:tc>
      </w:tr>
      <w:tr w:rsidR="004E3242" w:rsidRPr="004E3242" w14:paraId="0483C626" w14:textId="77777777" w:rsidTr="0067533A">
        <w:tc>
          <w:tcPr>
            <w:tcW w:w="1680" w:type="dxa"/>
            <w:shd w:val="clear" w:color="auto" w:fill="D6E3BC"/>
          </w:tcPr>
          <w:p w14:paraId="459F401F"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POIiŚ</w:t>
            </w:r>
            <w:proofErr w:type="spellEnd"/>
            <w:r w:rsidRPr="004E3242">
              <w:rPr>
                <w:rFonts w:ascii="Arial" w:hAnsi="Arial" w:cs="Arial"/>
                <w:b/>
                <w:bCs/>
                <w:sz w:val="16"/>
                <w:szCs w:val="20"/>
              </w:rPr>
              <w:t xml:space="preserve"> 2007-2013</w:t>
            </w:r>
          </w:p>
        </w:tc>
        <w:tc>
          <w:tcPr>
            <w:tcW w:w="7500" w:type="dxa"/>
            <w:shd w:val="clear" w:color="auto" w:fill="F2F2F2"/>
          </w:tcPr>
          <w:p w14:paraId="096BB82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Program Operacyjny Infrastruktura i Środowisko 2007-2013</w:t>
            </w:r>
          </w:p>
        </w:tc>
      </w:tr>
      <w:tr w:rsidR="004E3242" w:rsidRPr="004E3242" w14:paraId="23008B9C" w14:textId="77777777" w:rsidTr="0067533A">
        <w:tc>
          <w:tcPr>
            <w:tcW w:w="1680" w:type="dxa"/>
            <w:shd w:val="clear" w:color="auto" w:fill="D6E3BC"/>
          </w:tcPr>
          <w:p w14:paraId="4E555275" w14:textId="77777777" w:rsidR="004E3242" w:rsidRPr="004E3242" w:rsidDel="000C7A4B"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POIiŚ</w:t>
            </w:r>
            <w:proofErr w:type="spellEnd"/>
            <w:r w:rsidRPr="004E3242">
              <w:rPr>
                <w:rFonts w:ascii="Arial" w:hAnsi="Arial" w:cs="Arial"/>
                <w:b/>
                <w:bCs/>
                <w:sz w:val="16"/>
                <w:szCs w:val="20"/>
              </w:rPr>
              <w:t xml:space="preserve"> 2014-2020</w:t>
            </w:r>
          </w:p>
        </w:tc>
        <w:tc>
          <w:tcPr>
            <w:tcW w:w="7500" w:type="dxa"/>
            <w:shd w:val="clear" w:color="auto" w:fill="F2F2F2"/>
          </w:tcPr>
          <w:p w14:paraId="3A492440"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Program Operacyjny Infrastruktura i Środowisko 2014-2020</w:t>
            </w:r>
          </w:p>
        </w:tc>
      </w:tr>
      <w:tr w:rsidR="004E3242" w:rsidRPr="004E3242" w14:paraId="520E0EB0" w14:textId="77777777" w:rsidTr="0067533A">
        <w:tc>
          <w:tcPr>
            <w:tcW w:w="1680" w:type="dxa"/>
            <w:shd w:val="clear" w:color="auto" w:fill="D6E3BC"/>
          </w:tcPr>
          <w:p w14:paraId="66F8A9C6"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PPP</w:t>
            </w:r>
          </w:p>
        </w:tc>
        <w:tc>
          <w:tcPr>
            <w:tcW w:w="7500" w:type="dxa"/>
            <w:shd w:val="clear" w:color="auto" w:fill="F2F2F2"/>
          </w:tcPr>
          <w:p w14:paraId="6C96036B"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 xml:space="preserve">Partnerstwo </w:t>
            </w:r>
            <w:proofErr w:type="spellStart"/>
            <w:r w:rsidRPr="004E3242">
              <w:rPr>
                <w:rFonts w:ascii="Arial" w:hAnsi="Arial" w:cs="Arial"/>
                <w:bCs/>
                <w:sz w:val="16"/>
                <w:szCs w:val="20"/>
              </w:rPr>
              <w:t>Publiczno</w:t>
            </w:r>
            <w:proofErr w:type="spellEnd"/>
            <w:r w:rsidRPr="004E3242">
              <w:rPr>
                <w:rFonts w:ascii="Arial" w:hAnsi="Arial" w:cs="Arial"/>
                <w:bCs/>
                <w:sz w:val="16"/>
                <w:szCs w:val="20"/>
              </w:rPr>
              <w:t xml:space="preserve"> – Prywatne</w:t>
            </w:r>
          </w:p>
        </w:tc>
      </w:tr>
      <w:tr w:rsidR="004E3242" w:rsidRPr="004E3242" w14:paraId="3E496ED2" w14:textId="77777777" w:rsidTr="0067533A">
        <w:tc>
          <w:tcPr>
            <w:tcW w:w="1680" w:type="dxa"/>
            <w:shd w:val="clear" w:color="auto" w:fill="D6E3BC"/>
          </w:tcPr>
          <w:p w14:paraId="005668A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 xml:space="preserve">Project </w:t>
            </w:r>
            <w:proofErr w:type="spellStart"/>
            <w:r w:rsidRPr="004E3242">
              <w:rPr>
                <w:rFonts w:ascii="Arial" w:hAnsi="Arial" w:cs="Arial"/>
                <w:b/>
                <w:bCs/>
                <w:sz w:val="16"/>
                <w:szCs w:val="20"/>
              </w:rPr>
              <w:t>pipeline</w:t>
            </w:r>
            <w:proofErr w:type="spellEnd"/>
          </w:p>
        </w:tc>
        <w:tc>
          <w:tcPr>
            <w:tcW w:w="7500" w:type="dxa"/>
            <w:shd w:val="clear" w:color="auto" w:fill="F2F2F2"/>
          </w:tcPr>
          <w:p w14:paraId="0DF9AC08"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Lista kluczowych inwestycji planowanych do realizacji w perspektywie finansowej 2014-2020</w:t>
            </w:r>
          </w:p>
        </w:tc>
      </w:tr>
      <w:tr w:rsidR="004E3242" w:rsidRPr="004E3242" w14:paraId="4DF941AD" w14:textId="77777777" w:rsidTr="0067533A">
        <w:tc>
          <w:tcPr>
            <w:tcW w:w="1680" w:type="dxa"/>
            <w:shd w:val="clear" w:color="auto" w:fill="D6E3BC"/>
          </w:tcPr>
          <w:p w14:paraId="222D542D"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PROW</w:t>
            </w:r>
          </w:p>
        </w:tc>
        <w:tc>
          <w:tcPr>
            <w:tcW w:w="7500" w:type="dxa"/>
            <w:shd w:val="clear" w:color="auto" w:fill="F2F2F2"/>
          </w:tcPr>
          <w:p w14:paraId="4002FEE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Program Rozwoju Obszarów Wiejskich</w:t>
            </w:r>
          </w:p>
        </w:tc>
      </w:tr>
      <w:tr w:rsidR="004E3242" w:rsidRPr="004E3242" w14:paraId="218CB0AF" w14:textId="77777777" w:rsidTr="0067533A">
        <w:tc>
          <w:tcPr>
            <w:tcW w:w="1680" w:type="dxa"/>
            <w:shd w:val="clear" w:color="auto" w:fill="D6E3BC"/>
          </w:tcPr>
          <w:p w14:paraId="6E59634F"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PSN</w:t>
            </w:r>
          </w:p>
        </w:tc>
        <w:tc>
          <w:tcPr>
            <w:tcW w:w="7500" w:type="dxa"/>
            <w:shd w:val="clear" w:color="auto" w:fill="F2F2F2"/>
          </w:tcPr>
          <w:p w14:paraId="7643C941"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Parytet siły nabywczej</w:t>
            </w:r>
          </w:p>
        </w:tc>
      </w:tr>
      <w:tr w:rsidR="004E3242" w:rsidRPr="004E3242" w14:paraId="2485EA81" w14:textId="77777777" w:rsidTr="0067533A">
        <w:tc>
          <w:tcPr>
            <w:tcW w:w="1680" w:type="dxa"/>
            <w:shd w:val="clear" w:color="auto" w:fill="D6E3BC"/>
          </w:tcPr>
          <w:p w14:paraId="2D62FCF9"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PZH</w:t>
            </w:r>
          </w:p>
        </w:tc>
        <w:tc>
          <w:tcPr>
            <w:tcW w:w="7500" w:type="dxa"/>
            <w:shd w:val="clear" w:color="auto" w:fill="F2F2F2"/>
          </w:tcPr>
          <w:p w14:paraId="498F964D"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Państwowy Zakład Higieny</w:t>
            </w:r>
          </w:p>
        </w:tc>
      </w:tr>
      <w:tr w:rsidR="004E3242" w:rsidRPr="004E3242" w14:paraId="02397C30" w14:textId="77777777" w:rsidTr="0067533A">
        <w:tc>
          <w:tcPr>
            <w:tcW w:w="1680" w:type="dxa"/>
            <w:shd w:val="clear" w:color="auto" w:fill="D6E3BC"/>
          </w:tcPr>
          <w:p w14:paraId="40822B3C"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RDW</w:t>
            </w:r>
          </w:p>
        </w:tc>
        <w:tc>
          <w:tcPr>
            <w:tcW w:w="7500" w:type="dxa"/>
            <w:shd w:val="clear" w:color="auto" w:fill="F2F2F2"/>
          </w:tcPr>
          <w:p w14:paraId="5CC16480"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Ramowa Dyrektywa Wodna</w:t>
            </w:r>
          </w:p>
        </w:tc>
      </w:tr>
      <w:tr w:rsidR="004E3242" w:rsidRPr="004E3242" w14:paraId="5AD63E8D" w14:textId="77777777" w:rsidTr="0067533A">
        <w:tc>
          <w:tcPr>
            <w:tcW w:w="1680" w:type="dxa"/>
            <w:shd w:val="clear" w:color="auto" w:fill="D6E3BC"/>
          </w:tcPr>
          <w:p w14:paraId="725DF050"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RIS</w:t>
            </w:r>
          </w:p>
        </w:tc>
        <w:tc>
          <w:tcPr>
            <w:tcW w:w="7500" w:type="dxa"/>
            <w:shd w:val="clear" w:color="auto" w:fill="F2F2F2"/>
          </w:tcPr>
          <w:p w14:paraId="18D913B8"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System Informacji Rzecznej</w:t>
            </w:r>
          </w:p>
        </w:tc>
      </w:tr>
      <w:tr w:rsidR="004E3242" w:rsidRPr="004E3242" w14:paraId="18EA3CD7" w14:textId="77777777" w:rsidTr="0067533A">
        <w:tc>
          <w:tcPr>
            <w:tcW w:w="1680" w:type="dxa"/>
            <w:shd w:val="clear" w:color="auto" w:fill="D6E3BC"/>
          </w:tcPr>
          <w:p w14:paraId="682A96B7"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RLM</w:t>
            </w:r>
          </w:p>
        </w:tc>
        <w:tc>
          <w:tcPr>
            <w:tcW w:w="7500" w:type="dxa"/>
            <w:shd w:val="clear" w:color="auto" w:fill="F2F2F2"/>
          </w:tcPr>
          <w:p w14:paraId="44E4CF1C"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Równoważna liczba mieszkańców</w:t>
            </w:r>
          </w:p>
        </w:tc>
      </w:tr>
      <w:tr w:rsidR="004E3242" w:rsidRPr="004E3242" w14:paraId="07CEB8C8" w14:textId="77777777" w:rsidTr="0067533A">
        <w:tc>
          <w:tcPr>
            <w:tcW w:w="1680" w:type="dxa"/>
            <w:shd w:val="clear" w:color="auto" w:fill="D6E3BC"/>
          </w:tcPr>
          <w:p w14:paraId="6D2CCB8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RPO</w:t>
            </w:r>
          </w:p>
        </w:tc>
        <w:tc>
          <w:tcPr>
            <w:tcW w:w="7500" w:type="dxa"/>
            <w:shd w:val="clear" w:color="auto" w:fill="F2F2F2"/>
          </w:tcPr>
          <w:p w14:paraId="6A883E66"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Regionalne programy operacyjne</w:t>
            </w:r>
          </w:p>
        </w:tc>
      </w:tr>
      <w:tr w:rsidR="004E3242" w:rsidRPr="004E3242" w14:paraId="1D1ADB10" w14:textId="77777777" w:rsidTr="0067533A">
        <w:tc>
          <w:tcPr>
            <w:tcW w:w="1680" w:type="dxa"/>
            <w:shd w:val="clear" w:color="auto" w:fill="D6E3BC"/>
          </w:tcPr>
          <w:p w14:paraId="20938F73"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RZGW</w:t>
            </w:r>
          </w:p>
        </w:tc>
        <w:tc>
          <w:tcPr>
            <w:tcW w:w="7500" w:type="dxa"/>
            <w:shd w:val="clear" w:color="auto" w:fill="F2F2F2"/>
          </w:tcPr>
          <w:p w14:paraId="57F2EA7E"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Regionalne zarządy gospodarki wodnej</w:t>
            </w:r>
          </w:p>
        </w:tc>
      </w:tr>
      <w:tr w:rsidR="004E3242" w:rsidRPr="004E3242" w14:paraId="0063B75C" w14:textId="77777777" w:rsidTr="0067533A">
        <w:tc>
          <w:tcPr>
            <w:tcW w:w="1680" w:type="dxa"/>
            <w:shd w:val="clear" w:color="auto" w:fill="D6E3BC"/>
          </w:tcPr>
          <w:p w14:paraId="2A52AEE2"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SGT</w:t>
            </w:r>
          </w:p>
        </w:tc>
        <w:tc>
          <w:tcPr>
            <w:tcW w:w="7500" w:type="dxa"/>
            <w:shd w:val="clear" w:color="auto" w:fill="F2F2F2"/>
          </w:tcPr>
          <w:p w14:paraId="410BE52D"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System Gazociągów Tranzytowych</w:t>
            </w:r>
          </w:p>
        </w:tc>
      </w:tr>
      <w:tr w:rsidR="004E3242" w:rsidRPr="004E3242" w14:paraId="4EEB27A8" w14:textId="77777777" w:rsidTr="0067533A">
        <w:tc>
          <w:tcPr>
            <w:tcW w:w="1680" w:type="dxa"/>
            <w:shd w:val="clear" w:color="auto" w:fill="D6E3BC"/>
          </w:tcPr>
          <w:p w14:paraId="0C7DE6E4"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SL 2014-2020 (SL 2014)</w:t>
            </w:r>
          </w:p>
        </w:tc>
        <w:tc>
          <w:tcPr>
            <w:tcW w:w="7500" w:type="dxa"/>
            <w:shd w:val="clear" w:color="auto" w:fill="F2F2F2"/>
          </w:tcPr>
          <w:p w14:paraId="550F8196"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Centralny system informatyczny wspierający wdrażanie funduszy europejskich w latach 2014-2020 oraz inne systemy będące jego elementami</w:t>
            </w:r>
          </w:p>
        </w:tc>
      </w:tr>
      <w:tr w:rsidR="004E3242" w:rsidRPr="004E3242" w14:paraId="21263E5F" w14:textId="77777777" w:rsidTr="0067533A">
        <w:tc>
          <w:tcPr>
            <w:tcW w:w="1680" w:type="dxa"/>
            <w:shd w:val="clear" w:color="auto" w:fill="D6E3BC"/>
          </w:tcPr>
          <w:p w14:paraId="2E5D3039"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SPOT</w:t>
            </w:r>
          </w:p>
        </w:tc>
        <w:tc>
          <w:tcPr>
            <w:tcW w:w="7500" w:type="dxa"/>
            <w:shd w:val="clear" w:color="auto" w:fill="F2F2F2"/>
          </w:tcPr>
          <w:p w14:paraId="480FCC87"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Sektorowy Program Operacyjny Transport</w:t>
            </w:r>
          </w:p>
        </w:tc>
      </w:tr>
      <w:tr w:rsidR="004E3242" w:rsidRPr="004E3242" w14:paraId="060B2484" w14:textId="77777777" w:rsidTr="0067533A">
        <w:tc>
          <w:tcPr>
            <w:tcW w:w="1680" w:type="dxa"/>
            <w:shd w:val="clear" w:color="auto" w:fill="D6E3BC"/>
          </w:tcPr>
          <w:p w14:paraId="5333887E"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SSP</w:t>
            </w:r>
          </w:p>
        </w:tc>
        <w:tc>
          <w:tcPr>
            <w:tcW w:w="7500" w:type="dxa"/>
            <w:shd w:val="clear" w:color="auto" w:fill="F2F2F2"/>
          </w:tcPr>
          <w:p w14:paraId="7B083CA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Spółki specjalnego przeznaczenia</w:t>
            </w:r>
          </w:p>
        </w:tc>
      </w:tr>
      <w:tr w:rsidR="004E3242" w:rsidRPr="004E3242" w14:paraId="78468A44" w14:textId="77777777" w:rsidTr="0067533A">
        <w:tc>
          <w:tcPr>
            <w:tcW w:w="1680" w:type="dxa"/>
            <w:shd w:val="clear" w:color="auto" w:fill="D6E3BC"/>
          </w:tcPr>
          <w:p w14:paraId="7484939F"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SUE RMB</w:t>
            </w:r>
          </w:p>
        </w:tc>
        <w:tc>
          <w:tcPr>
            <w:tcW w:w="7500" w:type="dxa"/>
            <w:shd w:val="clear" w:color="auto" w:fill="F2F2F2"/>
          </w:tcPr>
          <w:p w14:paraId="1D203965"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Strategia UE dla Regionu Morza Bałtyckiego</w:t>
            </w:r>
          </w:p>
        </w:tc>
      </w:tr>
      <w:tr w:rsidR="004E3242" w:rsidRPr="004E3242" w14:paraId="5D2A88BF" w14:textId="77777777" w:rsidTr="0067533A">
        <w:tc>
          <w:tcPr>
            <w:tcW w:w="1680" w:type="dxa"/>
            <w:shd w:val="clear" w:color="auto" w:fill="D6E3BC"/>
          </w:tcPr>
          <w:p w14:paraId="453343D8"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SSRK</w:t>
            </w:r>
          </w:p>
        </w:tc>
        <w:tc>
          <w:tcPr>
            <w:tcW w:w="7500" w:type="dxa"/>
            <w:shd w:val="clear" w:color="auto" w:fill="F2F2F2"/>
          </w:tcPr>
          <w:p w14:paraId="5ABE9A19"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Średniookresowa Strategia Rozwoju Kraju</w:t>
            </w:r>
          </w:p>
        </w:tc>
      </w:tr>
      <w:tr w:rsidR="004E3242" w:rsidRPr="004E3242" w14:paraId="15693C55" w14:textId="77777777" w:rsidTr="0067533A">
        <w:tc>
          <w:tcPr>
            <w:tcW w:w="1680" w:type="dxa"/>
            <w:shd w:val="clear" w:color="auto" w:fill="D6E3BC"/>
          </w:tcPr>
          <w:p w14:paraId="43CCF528"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TEN-E</w:t>
            </w:r>
          </w:p>
        </w:tc>
        <w:tc>
          <w:tcPr>
            <w:tcW w:w="7500" w:type="dxa"/>
            <w:shd w:val="clear" w:color="auto" w:fill="F2F2F2"/>
          </w:tcPr>
          <w:p w14:paraId="28E5DD58"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Transeuropejska sieć energetyczna</w:t>
            </w:r>
          </w:p>
        </w:tc>
      </w:tr>
      <w:tr w:rsidR="004E3242" w:rsidRPr="004E3242" w14:paraId="211C94D1" w14:textId="77777777" w:rsidTr="0067533A">
        <w:tc>
          <w:tcPr>
            <w:tcW w:w="1680" w:type="dxa"/>
            <w:shd w:val="clear" w:color="auto" w:fill="D6E3BC"/>
          </w:tcPr>
          <w:p w14:paraId="013C47AC"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TEN-T</w:t>
            </w:r>
          </w:p>
        </w:tc>
        <w:tc>
          <w:tcPr>
            <w:tcW w:w="7500" w:type="dxa"/>
            <w:shd w:val="clear" w:color="auto" w:fill="F2F2F2"/>
          </w:tcPr>
          <w:p w14:paraId="00964D35"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Transeuropejska sieć transportowa</w:t>
            </w:r>
          </w:p>
        </w:tc>
      </w:tr>
      <w:tr w:rsidR="004E3242" w:rsidRPr="004E3242" w14:paraId="2F642615" w14:textId="77777777" w:rsidTr="0067533A">
        <w:tc>
          <w:tcPr>
            <w:tcW w:w="1680" w:type="dxa"/>
            <w:shd w:val="clear" w:color="auto" w:fill="D6E3BC"/>
          </w:tcPr>
          <w:p w14:paraId="6085DB7E"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tkm</w:t>
            </w:r>
            <w:proofErr w:type="spellEnd"/>
          </w:p>
        </w:tc>
        <w:tc>
          <w:tcPr>
            <w:tcW w:w="7500" w:type="dxa"/>
            <w:shd w:val="clear" w:color="auto" w:fill="F2F2F2"/>
          </w:tcPr>
          <w:p w14:paraId="0A425FDC"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Tonokilometr</w:t>
            </w:r>
            <w:r w:rsidRPr="004E3242">
              <w:rPr>
                <w:rFonts w:ascii="Arial" w:hAnsi="Arial" w:cs="Arial"/>
                <w:sz w:val="16"/>
                <w:szCs w:val="20"/>
              </w:rPr>
              <w:t xml:space="preserve"> </w:t>
            </w:r>
          </w:p>
        </w:tc>
      </w:tr>
      <w:tr w:rsidR="004E3242" w:rsidRPr="002E4271" w14:paraId="1F5D0D16" w14:textId="77777777" w:rsidTr="0067533A">
        <w:tc>
          <w:tcPr>
            <w:tcW w:w="1680" w:type="dxa"/>
            <w:shd w:val="clear" w:color="auto" w:fill="D6E3BC"/>
          </w:tcPr>
          <w:p w14:paraId="3015BF15"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lang w:val="en-US"/>
              </w:rPr>
            </w:pPr>
            <w:r w:rsidRPr="004E3242">
              <w:rPr>
                <w:rFonts w:ascii="Arial" w:hAnsi="Arial" w:cs="Arial"/>
                <w:b/>
                <w:bCs/>
                <w:sz w:val="16"/>
                <w:szCs w:val="20"/>
                <w:lang w:val="en-US"/>
              </w:rPr>
              <w:t>toe</w:t>
            </w:r>
          </w:p>
        </w:tc>
        <w:tc>
          <w:tcPr>
            <w:tcW w:w="7500" w:type="dxa"/>
            <w:shd w:val="clear" w:color="auto" w:fill="F2F2F2"/>
          </w:tcPr>
          <w:p w14:paraId="4D505F18"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lang w:val="en-US"/>
              </w:rPr>
            </w:pPr>
            <w:proofErr w:type="spellStart"/>
            <w:r w:rsidRPr="004E3242">
              <w:rPr>
                <w:rFonts w:ascii="Arial" w:hAnsi="Arial" w:cs="Arial"/>
                <w:sz w:val="16"/>
                <w:szCs w:val="20"/>
                <w:lang w:val="en-US"/>
              </w:rPr>
              <w:t>Tona</w:t>
            </w:r>
            <w:proofErr w:type="spellEnd"/>
            <w:r w:rsidRPr="004E3242">
              <w:rPr>
                <w:rFonts w:ascii="Arial" w:hAnsi="Arial" w:cs="Arial"/>
                <w:sz w:val="16"/>
                <w:szCs w:val="20"/>
                <w:lang w:val="en-US"/>
              </w:rPr>
              <w:t xml:space="preserve"> </w:t>
            </w:r>
            <w:proofErr w:type="spellStart"/>
            <w:r w:rsidRPr="004E3242">
              <w:rPr>
                <w:rFonts w:ascii="Arial" w:hAnsi="Arial" w:cs="Arial"/>
                <w:sz w:val="16"/>
                <w:szCs w:val="20"/>
                <w:lang w:val="en-US"/>
              </w:rPr>
              <w:t>ekwiwalentu</w:t>
            </w:r>
            <w:proofErr w:type="spellEnd"/>
            <w:r w:rsidRPr="004E3242">
              <w:rPr>
                <w:rFonts w:ascii="Arial" w:hAnsi="Arial" w:cs="Arial"/>
                <w:sz w:val="16"/>
                <w:szCs w:val="20"/>
                <w:lang w:val="en-US"/>
              </w:rPr>
              <w:t xml:space="preserve"> ropy [ton of oil equivalent]</w:t>
            </w:r>
          </w:p>
        </w:tc>
      </w:tr>
      <w:tr w:rsidR="004E3242" w:rsidRPr="002E4271" w14:paraId="374D1F10" w14:textId="77777777" w:rsidTr="0067533A">
        <w:tc>
          <w:tcPr>
            <w:tcW w:w="1680" w:type="dxa"/>
            <w:shd w:val="clear" w:color="auto" w:fill="D6E3BC"/>
          </w:tcPr>
          <w:p w14:paraId="4FCBD803"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lang w:val="en-US"/>
              </w:rPr>
            </w:pPr>
            <w:r w:rsidRPr="004E3242">
              <w:rPr>
                <w:rFonts w:ascii="Arial" w:hAnsi="Arial" w:cs="Arial"/>
                <w:b/>
                <w:bCs/>
                <w:sz w:val="16"/>
                <w:szCs w:val="20"/>
                <w:lang w:val="en-US"/>
              </w:rPr>
              <w:t>UCTE</w:t>
            </w:r>
          </w:p>
        </w:tc>
        <w:tc>
          <w:tcPr>
            <w:tcW w:w="7500" w:type="dxa"/>
            <w:shd w:val="clear" w:color="auto" w:fill="F2F2F2"/>
          </w:tcPr>
          <w:p w14:paraId="5A2ACED1"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color w:val="000000"/>
                <w:sz w:val="16"/>
                <w:szCs w:val="20"/>
                <w:lang w:val="en-US"/>
              </w:rPr>
            </w:pPr>
            <w:proofErr w:type="spellStart"/>
            <w:r w:rsidRPr="004E3242">
              <w:rPr>
                <w:rFonts w:ascii="Arial" w:hAnsi="Arial" w:cs="Arial"/>
                <w:color w:val="000000"/>
                <w:sz w:val="16"/>
                <w:szCs w:val="20"/>
                <w:lang w:val="en-US"/>
              </w:rPr>
              <w:t>Unia</w:t>
            </w:r>
            <w:proofErr w:type="spellEnd"/>
            <w:r w:rsidRPr="004E3242">
              <w:rPr>
                <w:rFonts w:ascii="Arial" w:hAnsi="Arial" w:cs="Arial"/>
                <w:color w:val="000000"/>
                <w:sz w:val="16"/>
                <w:szCs w:val="20"/>
                <w:lang w:val="en-US"/>
              </w:rPr>
              <w:t xml:space="preserve"> ds. </w:t>
            </w:r>
            <w:proofErr w:type="spellStart"/>
            <w:r w:rsidRPr="004E3242">
              <w:rPr>
                <w:rFonts w:ascii="Arial" w:hAnsi="Arial" w:cs="Arial"/>
                <w:color w:val="000000"/>
                <w:sz w:val="16"/>
                <w:szCs w:val="20"/>
                <w:lang w:val="en-US"/>
              </w:rPr>
              <w:t>Koordynacji</w:t>
            </w:r>
            <w:proofErr w:type="spellEnd"/>
            <w:r w:rsidRPr="004E3242">
              <w:rPr>
                <w:rFonts w:ascii="Arial" w:hAnsi="Arial" w:cs="Arial"/>
                <w:color w:val="000000"/>
                <w:sz w:val="16"/>
                <w:szCs w:val="20"/>
                <w:lang w:val="en-US"/>
              </w:rPr>
              <w:t xml:space="preserve"> </w:t>
            </w:r>
            <w:proofErr w:type="spellStart"/>
            <w:r w:rsidRPr="004E3242">
              <w:rPr>
                <w:rFonts w:ascii="Arial" w:hAnsi="Arial" w:cs="Arial"/>
                <w:color w:val="000000"/>
                <w:sz w:val="16"/>
                <w:szCs w:val="20"/>
                <w:lang w:val="en-US"/>
              </w:rPr>
              <w:t>Przesyłu</w:t>
            </w:r>
            <w:proofErr w:type="spellEnd"/>
            <w:r w:rsidRPr="004E3242">
              <w:rPr>
                <w:rFonts w:ascii="Arial" w:hAnsi="Arial" w:cs="Arial"/>
                <w:color w:val="000000"/>
                <w:sz w:val="16"/>
                <w:szCs w:val="20"/>
                <w:lang w:val="en-US"/>
              </w:rPr>
              <w:t xml:space="preserve"> </w:t>
            </w:r>
            <w:proofErr w:type="spellStart"/>
            <w:r w:rsidRPr="004E3242">
              <w:rPr>
                <w:rFonts w:ascii="Arial" w:hAnsi="Arial" w:cs="Arial"/>
                <w:color w:val="000000"/>
                <w:sz w:val="16"/>
                <w:szCs w:val="20"/>
                <w:lang w:val="en-US"/>
              </w:rPr>
              <w:t>Elektryczności</w:t>
            </w:r>
            <w:proofErr w:type="spellEnd"/>
            <w:r w:rsidRPr="004E3242">
              <w:rPr>
                <w:rFonts w:ascii="Arial" w:hAnsi="Arial" w:cs="Arial"/>
                <w:color w:val="000000"/>
                <w:sz w:val="16"/>
                <w:szCs w:val="20"/>
                <w:lang w:val="en-US"/>
              </w:rPr>
              <w:t xml:space="preserve"> w </w:t>
            </w:r>
            <w:proofErr w:type="spellStart"/>
            <w:r w:rsidRPr="004E3242">
              <w:rPr>
                <w:rFonts w:ascii="Arial" w:hAnsi="Arial" w:cs="Arial"/>
                <w:color w:val="000000"/>
                <w:sz w:val="16"/>
                <w:szCs w:val="20"/>
                <w:lang w:val="en-US"/>
              </w:rPr>
              <w:t>Europie</w:t>
            </w:r>
            <w:proofErr w:type="spellEnd"/>
            <w:r w:rsidRPr="004E3242">
              <w:rPr>
                <w:rFonts w:ascii="Arial" w:hAnsi="Arial" w:cs="Arial"/>
                <w:color w:val="000000"/>
                <w:sz w:val="16"/>
                <w:szCs w:val="20"/>
                <w:lang w:val="en-US"/>
              </w:rPr>
              <w:t xml:space="preserve"> [Union for the Coordination of Transmission of Electricity]</w:t>
            </w:r>
          </w:p>
        </w:tc>
      </w:tr>
      <w:tr w:rsidR="004E3242" w:rsidRPr="004E3242" w14:paraId="4229E3B6" w14:textId="77777777" w:rsidTr="0067533A">
        <w:tc>
          <w:tcPr>
            <w:tcW w:w="1680" w:type="dxa"/>
            <w:shd w:val="clear" w:color="auto" w:fill="D6E3BC"/>
          </w:tcPr>
          <w:p w14:paraId="24AD7B4F"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UD</w:t>
            </w:r>
          </w:p>
        </w:tc>
        <w:tc>
          <w:tcPr>
            <w:tcW w:w="7500" w:type="dxa"/>
            <w:shd w:val="clear" w:color="auto" w:fill="F2F2F2"/>
          </w:tcPr>
          <w:p w14:paraId="2E605F0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Umowa o dofinansowanie</w:t>
            </w:r>
          </w:p>
        </w:tc>
      </w:tr>
      <w:tr w:rsidR="004E3242" w:rsidRPr="004E3242" w14:paraId="3B4CF0C8" w14:textId="77777777" w:rsidTr="0067533A">
        <w:tc>
          <w:tcPr>
            <w:tcW w:w="1680" w:type="dxa"/>
            <w:shd w:val="clear" w:color="auto" w:fill="D6E3BC"/>
          </w:tcPr>
          <w:p w14:paraId="5C118CFD"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UE-27</w:t>
            </w:r>
          </w:p>
        </w:tc>
        <w:tc>
          <w:tcPr>
            <w:tcW w:w="7500" w:type="dxa"/>
            <w:shd w:val="clear" w:color="auto" w:fill="F2F2F2"/>
          </w:tcPr>
          <w:p w14:paraId="285AB7E1"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 xml:space="preserve">27 państw członkowskich Unii Europejskiej </w:t>
            </w:r>
          </w:p>
        </w:tc>
      </w:tr>
      <w:tr w:rsidR="004E3242" w:rsidRPr="004E3242" w14:paraId="36E5DF44" w14:textId="77777777" w:rsidTr="0067533A">
        <w:tc>
          <w:tcPr>
            <w:tcW w:w="1680" w:type="dxa"/>
            <w:shd w:val="clear" w:color="auto" w:fill="D6E3BC"/>
          </w:tcPr>
          <w:p w14:paraId="11BDEB6C"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UE</w:t>
            </w:r>
          </w:p>
        </w:tc>
        <w:tc>
          <w:tcPr>
            <w:tcW w:w="7500" w:type="dxa"/>
            <w:shd w:val="clear" w:color="auto" w:fill="F2F2F2"/>
          </w:tcPr>
          <w:p w14:paraId="3DFD3BA4"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Unia Europejska</w:t>
            </w:r>
          </w:p>
        </w:tc>
      </w:tr>
      <w:tr w:rsidR="004E3242" w:rsidRPr="004E3242" w14:paraId="2A630966" w14:textId="77777777" w:rsidTr="0067533A">
        <w:tc>
          <w:tcPr>
            <w:tcW w:w="1680" w:type="dxa"/>
            <w:shd w:val="clear" w:color="auto" w:fill="D6E3BC"/>
          </w:tcPr>
          <w:p w14:paraId="2BB301A1"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UOKiK</w:t>
            </w:r>
          </w:p>
        </w:tc>
        <w:tc>
          <w:tcPr>
            <w:tcW w:w="7500" w:type="dxa"/>
            <w:shd w:val="clear" w:color="auto" w:fill="F2F2F2"/>
          </w:tcPr>
          <w:p w14:paraId="0D5253BC"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Urząd Ochrony Konkurencji i Konsumentów</w:t>
            </w:r>
          </w:p>
        </w:tc>
      </w:tr>
      <w:tr w:rsidR="004E3242" w:rsidRPr="004E3242" w14:paraId="58080490" w14:textId="77777777" w:rsidTr="0067533A">
        <w:tc>
          <w:tcPr>
            <w:tcW w:w="1680" w:type="dxa"/>
            <w:shd w:val="clear" w:color="auto" w:fill="D6E3BC"/>
          </w:tcPr>
          <w:p w14:paraId="346C4713"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UTK</w:t>
            </w:r>
          </w:p>
        </w:tc>
        <w:tc>
          <w:tcPr>
            <w:tcW w:w="7500" w:type="dxa"/>
            <w:shd w:val="clear" w:color="auto" w:fill="F2F2F2"/>
          </w:tcPr>
          <w:p w14:paraId="38EF8682"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Urząd Transportu Kolejowego</w:t>
            </w:r>
          </w:p>
        </w:tc>
      </w:tr>
      <w:tr w:rsidR="004E3242" w:rsidRPr="004E3242" w14:paraId="65B3D6FC" w14:textId="77777777" w:rsidTr="0067533A">
        <w:tc>
          <w:tcPr>
            <w:tcW w:w="1680" w:type="dxa"/>
            <w:shd w:val="clear" w:color="auto" w:fill="D6E3BC"/>
          </w:tcPr>
          <w:p w14:paraId="46A3F243"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proofErr w:type="spellStart"/>
            <w:r w:rsidRPr="004E3242">
              <w:rPr>
                <w:rFonts w:ascii="Arial" w:hAnsi="Arial" w:cs="Arial"/>
                <w:b/>
                <w:bCs/>
                <w:sz w:val="16"/>
                <w:szCs w:val="20"/>
              </w:rPr>
              <w:t>WFOŚiGW</w:t>
            </w:r>
            <w:proofErr w:type="spellEnd"/>
          </w:p>
        </w:tc>
        <w:tc>
          <w:tcPr>
            <w:tcW w:w="7500" w:type="dxa"/>
            <w:shd w:val="clear" w:color="auto" w:fill="F2F2F2"/>
          </w:tcPr>
          <w:p w14:paraId="1A91C80A"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Wojewódzki fundusz ochrony środowiska i gospodarki wodnej</w:t>
            </w:r>
          </w:p>
        </w:tc>
      </w:tr>
      <w:tr w:rsidR="004E3242" w:rsidRPr="004E3242" w14:paraId="088D2800" w14:textId="77777777" w:rsidTr="0067533A">
        <w:tc>
          <w:tcPr>
            <w:tcW w:w="1680" w:type="dxa"/>
            <w:shd w:val="clear" w:color="auto" w:fill="D6E3BC"/>
          </w:tcPr>
          <w:p w14:paraId="3F4B79F5"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WHO</w:t>
            </w:r>
          </w:p>
        </w:tc>
        <w:tc>
          <w:tcPr>
            <w:tcW w:w="7500" w:type="dxa"/>
            <w:shd w:val="clear" w:color="auto" w:fill="F2F2F2"/>
          </w:tcPr>
          <w:p w14:paraId="4D9281DF"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Światowa Organizacja Zdrowia</w:t>
            </w:r>
          </w:p>
        </w:tc>
      </w:tr>
      <w:tr w:rsidR="004E3242" w:rsidRPr="004E3242" w14:paraId="7080E57B" w14:textId="77777777" w:rsidTr="0067533A">
        <w:tc>
          <w:tcPr>
            <w:tcW w:w="1680" w:type="dxa"/>
            <w:shd w:val="clear" w:color="auto" w:fill="D6E3BC"/>
          </w:tcPr>
          <w:p w14:paraId="2A442F44"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WMDT</w:t>
            </w:r>
          </w:p>
        </w:tc>
        <w:tc>
          <w:tcPr>
            <w:tcW w:w="7500" w:type="dxa"/>
            <w:shd w:val="clear" w:color="auto" w:fill="F2F2F2"/>
          </w:tcPr>
          <w:p w14:paraId="14D5FE13"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Wskaźnik Międzygałęziowej Dostępności Transportowej</w:t>
            </w:r>
          </w:p>
        </w:tc>
      </w:tr>
      <w:tr w:rsidR="004E3242" w:rsidRPr="004E3242" w14:paraId="6806E312" w14:textId="77777777" w:rsidTr="0067533A">
        <w:tc>
          <w:tcPr>
            <w:tcW w:w="1680" w:type="dxa"/>
            <w:shd w:val="clear" w:color="auto" w:fill="D6E3BC"/>
          </w:tcPr>
          <w:p w14:paraId="1BF0A3EF"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WPGO</w:t>
            </w:r>
          </w:p>
        </w:tc>
        <w:tc>
          <w:tcPr>
            <w:tcW w:w="7500" w:type="dxa"/>
            <w:shd w:val="clear" w:color="auto" w:fill="F2F2F2"/>
          </w:tcPr>
          <w:p w14:paraId="79CDD23A"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bCs/>
                <w:sz w:val="16"/>
                <w:szCs w:val="20"/>
              </w:rPr>
            </w:pPr>
            <w:r w:rsidRPr="004E3242">
              <w:rPr>
                <w:rFonts w:ascii="Arial" w:hAnsi="Arial" w:cs="Arial"/>
                <w:bCs/>
                <w:sz w:val="16"/>
                <w:szCs w:val="20"/>
              </w:rPr>
              <w:t>Wojewódzki plan gospodarki odpadami</w:t>
            </w:r>
          </w:p>
        </w:tc>
      </w:tr>
      <w:tr w:rsidR="004E3242" w:rsidRPr="004E3242" w14:paraId="0C07A2A1" w14:textId="77777777" w:rsidTr="0067533A">
        <w:tc>
          <w:tcPr>
            <w:tcW w:w="1680" w:type="dxa"/>
            <w:shd w:val="clear" w:color="auto" w:fill="D6E3BC"/>
          </w:tcPr>
          <w:p w14:paraId="6B4207DF"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WRS</w:t>
            </w:r>
          </w:p>
        </w:tc>
        <w:tc>
          <w:tcPr>
            <w:tcW w:w="7500" w:type="dxa"/>
            <w:shd w:val="clear" w:color="auto" w:fill="F2F2F2"/>
          </w:tcPr>
          <w:p w14:paraId="5F34EA26"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Wspólne Ramy Strategiczne</w:t>
            </w:r>
          </w:p>
        </w:tc>
      </w:tr>
      <w:tr w:rsidR="004E3242" w:rsidRPr="004E3242" w14:paraId="0F72A09A" w14:textId="77777777" w:rsidTr="0067533A">
        <w:tc>
          <w:tcPr>
            <w:tcW w:w="1680" w:type="dxa"/>
            <w:shd w:val="clear" w:color="auto" w:fill="D6E3BC"/>
          </w:tcPr>
          <w:p w14:paraId="1BF6A068"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Wskaźniki typu „</w:t>
            </w:r>
            <w:proofErr w:type="spellStart"/>
            <w:r w:rsidRPr="004E3242">
              <w:rPr>
                <w:rFonts w:ascii="Arial" w:hAnsi="Arial" w:cs="Arial"/>
                <w:b/>
                <w:sz w:val="16"/>
                <w:szCs w:val="20"/>
              </w:rPr>
              <w:t>output</w:t>
            </w:r>
            <w:proofErr w:type="spellEnd"/>
            <w:r w:rsidRPr="004E3242">
              <w:rPr>
                <w:rFonts w:ascii="Arial" w:hAnsi="Arial" w:cs="Arial"/>
                <w:b/>
                <w:sz w:val="16"/>
                <w:szCs w:val="20"/>
              </w:rPr>
              <w:t>”</w:t>
            </w:r>
          </w:p>
        </w:tc>
        <w:tc>
          <w:tcPr>
            <w:tcW w:w="7500" w:type="dxa"/>
            <w:shd w:val="clear" w:color="auto" w:fill="F2F2F2"/>
          </w:tcPr>
          <w:p w14:paraId="5F7465CF"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Główne wskaźniki produktu i rezultatu bezpośredniego</w:t>
            </w:r>
          </w:p>
        </w:tc>
      </w:tr>
      <w:tr w:rsidR="004E3242" w:rsidRPr="004E3242" w14:paraId="2D11189C" w14:textId="77777777" w:rsidTr="0067533A">
        <w:tc>
          <w:tcPr>
            <w:tcW w:w="1680" w:type="dxa"/>
            <w:shd w:val="clear" w:color="auto" w:fill="D6E3BC"/>
          </w:tcPr>
          <w:p w14:paraId="3B87E4B9" w14:textId="77777777" w:rsidR="004E3242" w:rsidRPr="004E3242" w:rsidRDefault="004E3242" w:rsidP="004E3242">
            <w:pPr>
              <w:autoSpaceDE w:val="0"/>
              <w:autoSpaceDN w:val="0"/>
              <w:adjustRightInd w:val="0"/>
              <w:spacing w:before="60" w:after="60" w:line="240" w:lineRule="auto"/>
              <w:contextualSpacing/>
              <w:rPr>
                <w:rFonts w:ascii="Arial" w:hAnsi="Arial" w:cs="Arial"/>
                <w:b/>
                <w:sz w:val="16"/>
                <w:szCs w:val="20"/>
              </w:rPr>
            </w:pPr>
            <w:r w:rsidRPr="004E3242">
              <w:rPr>
                <w:rFonts w:ascii="Arial" w:hAnsi="Arial" w:cs="Arial"/>
                <w:b/>
                <w:sz w:val="16"/>
                <w:szCs w:val="20"/>
              </w:rPr>
              <w:t>ZIT</w:t>
            </w:r>
          </w:p>
        </w:tc>
        <w:tc>
          <w:tcPr>
            <w:tcW w:w="7500" w:type="dxa"/>
            <w:shd w:val="clear" w:color="auto" w:fill="F2F2F2"/>
          </w:tcPr>
          <w:p w14:paraId="675E708F"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Zintegrowane Inwestycje Terytorialne</w:t>
            </w:r>
          </w:p>
        </w:tc>
      </w:tr>
      <w:tr w:rsidR="004E3242" w:rsidRPr="004E3242" w14:paraId="51271B5B" w14:textId="77777777" w:rsidTr="0067533A">
        <w:tc>
          <w:tcPr>
            <w:tcW w:w="1680" w:type="dxa"/>
            <w:tcBorders>
              <w:bottom w:val="nil"/>
            </w:tcBorders>
            <w:shd w:val="clear" w:color="auto" w:fill="D6E3BC"/>
          </w:tcPr>
          <w:p w14:paraId="03E9D96A" w14:textId="77777777" w:rsidR="004E3242" w:rsidRPr="004E3242" w:rsidRDefault="004E3242" w:rsidP="004E3242">
            <w:pPr>
              <w:autoSpaceDE w:val="0"/>
              <w:autoSpaceDN w:val="0"/>
              <w:adjustRightInd w:val="0"/>
              <w:spacing w:before="60" w:after="60" w:line="240" w:lineRule="auto"/>
              <w:contextualSpacing/>
              <w:rPr>
                <w:rFonts w:ascii="Arial" w:hAnsi="Arial" w:cs="Arial"/>
                <w:b/>
                <w:bCs/>
                <w:sz w:val="16"/>
                <w:szCs w:val="20"/>
              </w:rPr>
            </w:pPr>
            <w:r w:rsidRPr="004E3242">
              <w:rPr>
                <w:rFonts w:ascii="Arial" w:hAnsi="Arial" w:cs="Arial"/>
                <w:b/>
                <w:bCs/>
                <w:sz w:val="16"/>
                <w:szCs w:val="20"/>
              </w:rPr>
              <w:t>ZOZ</w:t>
            </w:r>
          </w:p>
        </w:tc>
        <w:tc>
          <w:tcPr>
            <w:tcW w:w="7500" w:type="dxa"/>
            <w:shd w:val="clear" w:color="auto" w:fill="F2F2F2"/>
          </w:tcPr>
          <w:p w14:paraId="3D466896" w14:textId="77777777" w:rsidR="004E3242" w:rsidRPr="004E3242" w:rsidRDefault="004E3242" w:rsidP="004E3242">
            <w:pPr>
              <w:autoSpaceDE w:val="0"/>
              <w:autoSpaceDN w:val="0"/>
              <w:adjustRightInd w:val="0"/>
              <w:spacing w:before="60" w:after="60" w:line="240" w:lineRule="auto"/>
              <w:contextualSpacing/>
              <w:jc w:val="both"/>
              <w:rPr>
                <w:rFonts w:ascii="Arial" w:hAnsi="Arial" w:cs="Arial"/>
                <w:sz w:val="16"/>
                <w:szCs w:val="20"/>
              </w:rPr>
            </w:pPr>
            <w:r w:rsidRPr="004E3242">
              <w:rPr>
                <w:rFonts w:ascii="Arial" w:hAnsi="Arial" w:cs="Arial"/>
                <w:sz w:val="16"/>
                <w:szCs w:val="20"/>
              </w:rPr>
              <w:t>Zakład opieki zdrowotnej</w:t>
            </w:r>
          </w:p>
        </w:tc>
      </w:tr>
    </w:tbl>
    <w:p w14:paraId="64515C3B" w14:textId="77777777" w:rsidR="004E3242" w:rsidRPr="004E3242" w:rsidRDefault="004E3242" w:rsidP="004E3242"/>
    <w:p w14:paraId="204C2C09" w14:textId="77777777" w:rsidR="0067533A" w:rsidRDefault="0067533A"/>
    <w:sectPr w:rsidR="0067533A" w:rsidSect="00C73A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1514" w14:textId="77777777" w:rsidR="00D56F53" w:rsidRDefault="00D56F53" w:rsidP="004E3242">
      <w:pPr>
        <w:spacing w:after="0" w:line="240" w:lineRule="auto"/>
      </w:pPr>
      <w:r>
        <w:separator/>
      </w:r>
    </w:p>
  </w:endnote>
  <w:endnote w:type="continuationSeparator" w:id="0">
    <w:p w14:paraId="6B2E8663" w14:textId="77777777" w:rsidR="00D56F53" w:rsidRDefault="00D56F53" w:rsidP="004E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TTE221BA68t00">
    <w:altName w:val="Arial Unicode MS"/>
    <w:panose1 w:val="00000000000000000000"/>
    <w:charset w:val="80"/>
    <w:family w:val="auto"/>
    <w:notTrueType/>
    <w:pitch w:val="default"/>
    <w:sig w:usb0="00000001" w:usb1="08070000" w:usb2="00000010" w:usb3="00000000" w:csb0="00020000" w:csb1="00000000"/>
  </w:font>
  <w:font w:name="TTE1CBD360t00">
    <w:altName w:val="Arial Unicode MS"/>
    <w:panose1 w:val="00000000000000000000"/>
    <w:charset w:val="80"/>
    <w:family w:val="auto"/>
    <w:notTrueType/>
    <w:pitch w:val="default"/>
    <w:sig w:usb0="00000001" w:usb1="08070000" w:usb2="00000010" w:usb3="00000000" w:csb0="00020000" w:csb1="00000000"/>
  </w:font>
  <w:font w:name="HelveticaNeueLTPro-Roman">
    <w:altName w:val="Arial Unicode MS"/>
    <w:panose1 w:val="00000000000000000000"/>
    <w:charset w:val="80"/>
    <w:family w:val="auto"/>
    <w:notTrueType/>
    <w:pitch w:val="default"/>
    <w:sig w:usb0="00000001" w:usb1="08070000" w:usb2="00000010" w:usb3="00000000" w:csb0="00020000" w:csb1="00000000"/>
  </w:font>
  <w:font w:name="Dutch801RmPL-Roman">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730D" w14:textId="77777777" w:rsidR="00E741F8" w:rsidRDefault="00E741F8" w:rsidP="00AA79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1AF8BFF" w14:textId="77777777" w:rsidR="00E741F8" w:rsidRPr="009D6743" w:rsidRDefault="00E741F8" w:rsidP="00AA7998">
    <w:pPr>
      <w:pStyle w:val="Stopka"/>
      <w:ind w:right="360"/>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F1FB" w14:textId="77777777" w:rsidR="00E741F8" w:rsidRPr="00823BB3" w:rsidRDefault="00E741F8" w:rsidP="00AA7998">
    <w:pPr>
      <w:pStyle w:val="Stopka"/>
      <w:framePr w:wrap="around" w:vAnchor="text" w:hAnchor="margin" w:xAlign="right" w:y="1"/>
      <w:rPr>
        <w:rStyle w:val="Numerstrony"/>
        <w:rFonts w:ascii="Arial" w:hAnsi="Arial" w:cs="Arial"/>
        <w:sz w:val="18"/>
        <w:szCs w:val="18"/>
      </w:rPr>
    </w:pPr>
    <w:r w:rsidRPr="00823BB3">
      <w:rPr>
        <w:rStyle w:val="Numerstrony"/>
        <w:rFonts w:ascii="Arial" w:hAnsi="Arial" w:cs="Arial"/>
        <w:sz w:val="18"/>
        <w:szCs w:val="18"/>
      </w:rPr>
      <w:fldChar w:fldCharType="begin"/>
    </w:r>
    <w:r w:rsidRPr="00823BB3">
      <w:rPr>
        <w:rStyle w:val="Numerstrony"/>
        <w:rFonts w:ascii="Arial" w:hAnsi="Arial" w:cs="Arial"/>
        <w:sz w:val="18"/>
        <w:szCs w:val="18"/>
      </w:rPr>
      <w:instrText xml:space="preserve">PAGE  </w:instrText>
    </w:r>
    <w:r w:rsidRPr="00823BB3">
      <w:rPr>
        <w:rStyle w:val="Numerstrony"/>
        <w:rFonts w:ascii="Arial" w:hAnsi="Arial" w:cs="Arial"/>
        <w:sz w:val="18"/>
        <w:szCs w:val="18"/>
      </w:rPr>
      <w:fldChar w:fldCharType="separate"/>
    </w:r>
    <w:r w:rsidR="00FE476A">
      <w:rPr>
        <w:rStyle w:val="Numerstrony"/>
        <w:rFonts w:ascii="Arial" w:hAnsi="Arial" w:cs="Arial"/>
        <w:noProof/>
        <w:sz w:val="18"/>
        <w:szCs w:val="18"/>
      </w:rPr>
      <w:t>141</w:t>
    </w:r>
    <w:r w:rsidRPr="00823BB3">
      <w:rPr>
        <w:rStyle w:val="Numerstrony"/>
        <w:rFonts w:ascii="Arial" w:hAnsi="Arial" w:cs="Arial"/>
        <w:sz w:val="18"/>
        <w:szCs w:val="18"/>
      </w:rPr>
      <w:fldChar w:fldCharType="end"/>
    </w:r>
  </w:p>
  <w:p w14:paraId="6C77F8EE" w14:textId="77777777" w:rsidR="00E741F8" w:rsidRDefault="00E741F8" w:rsidP="00AA799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EBEA" w14:textId="77777777" w:rsidR="00E741F8" w:rsidRPr="0035146F" w:rsidRDefault="00E741F8">
    <w:pPr>
      <w:pStyle w:val="Stopka"/>
      <w:jc w:val="right"/>
      <w:rPr>
        <w:rFonts w:ascii="Arial" w:hAnsi="Arial" w:cs="Arial"/>
        <w:sz w:val="20"/>
      </w:rPr>
    </w:pPr>
    <w:r w:rsidRPr="0035146F">
      <w:rPr>
        <w:rFonts w:ascii="Arial" w:hAnsi="Arial" w:cs="Arial"/>
        <w:sz w:val="20"/>
      </w:rPr>
      <w:fldChar w:fldCharType="begin"/>
    </w:r>
    <w:r w:rsidRPr="0035146F">
      <w:rPr>
        <w:rFonts w:ascii="Arial" w:hAnsi="Arial" w:cs="Arial"/>
        <w:sz w:val="20"/>
      </w:rPr>
      <w:instrText>PAGE   \* MERGEFORMAT</w:instrText>
    </w:r>
    <w:r w:rsidRPr="0035146F">
      <w:rPr>
        <w:rFonts w:ascii="Arial" w:hAnsi="Arial" w:cs="Arial"/>
        <w:sz w:val="20"/>
      </w:rPr>
      <w:fldChar w:fldCharType="separate"/>
    </w:r>
    <w:r w:rsidR="00FE476A" w:rsidRPr="00FE476A">
      <w:rPr>
        <w:rFonts w:ascii="Arial" w:hAnsi="Arial" w:cs="Arial"/>
        <w:noProof/>
        <w:sz w:val="20"/>
        <w:lang w:val="pl-PL"/>
      </w:rPr>
      <w:t>153</w:t>
    </w:r>
    <w:r w:rsidRPr="0035146F">
      <w:rPr>
        <w:rFonts w:ascii="Arial" w:hAnsi="Arial" w:cs="Arial"/>
        <w:sz w:val="20"/>
      </w:rPr>
      <w:fldChar w:fldCharType="end"/>
    </w:r>
  </w:p>
  <w:p w14:paraId="68836172" w14:textId="77777777" w:rsidR="00E741F8" w:rsidRDefault="00E741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01D7" w14:textId="77777777" w:rsidR="00D56F53" w:rsidRDefault="00D56F53" w:rsidP="004E3242">
      <w:pPr>
        <w:spacing w:after="0" w:line="240" w:lineRule="auto"/>
      </w:pPr>
      <w:r>
        <w:separator/>
      </w:r>
    </w:p>
  </w:footnote>
  <w:footnote w:type="continuationSeparator" w:id="0">
    <w:p w14:paraId="447EA0CC" w14:textId="77777777" w:rsidR="00D56F53" w:rsidRDefault="00D56F53" w:rsidP="004E3242">
      <w:pPr>
        <w:spacing w:after="0" w:line="240" w:lineRule="auto"/>
      </w:pPr>
      <w:r>
        <w:continuationSeparator/>
      </w:r>
    </w:p>
  </w:footnote>
  <w:footnote w:id="1">
    <w:p w14:paraId="70755A3C" w14:textId="77777777" w:rsidR="00E741F8" w:rsidRPr="00B70CE4" w:rsidRDefault="00E741F8" w:rsidP="004E3242">
      <w:pPr>
        <w:pStyle w:val="Tekstprzypisudolnego"/>
        <w:jc w:val="both"/>
        <w:rPr>
          <w:rFonts w:ascii="Arial" w:hAnsi="Arial" w:cs="Arial"/>
          <w:sz w:val="16"/>
          <w:szCs w:val="16"/>
        </w:rPr>
      </w:pPr>
      <w:r w:rsidRPr="00B70CE4">
        <w:rPr>
          <w:rStyle w:val="Odwoanieprzypisudolnego"/>
          <w:rFonts w:ascii="Arial" w:hAnsi="Arial" w:cs="Arial"/>
          <w:sz w:val="16"/>
          <w:szCs w:val="16"/>
        </w:rPr>
        <w:footnoteRef/>
      </w:r>
      <w:r w:rsidRPr="00B70CE4">
        <w:rPr>
          <w:rFonts w:ascii="Arial" w:hAnsi="Arial" w:cs="Arial"/>
          <w:sz w:val="16"/>
          <w:szCs w:val="16"/>
        </w:rPr>
        <w:t xml:space="preserve"> Europa 2020 – Strategia na rzecz inteligentnego i zrównoważonego rozwoju sprzyjającego włączeniu społecznemu.</w:t>
      </w:r>
    </w:p>
  </w:footnote>
  <w:footnote w:id="2">
    <w:p w14:paraId="6113B3D2" w14:textId="77777777" w:rsidR="00E741F8" w:rsidRPr="002A1A19" w:rsidRDefault="00E741F8" w:rsidP="004E3242">
      <w:pPr>
        <w:pStyle w:val="Tekstprzypisudolnego"/>
        <w:spacing w:before="0" w:after="120"/>
        <w:jc w:val="both"/>
        <w:rPr>
          <w:rFonts w:ascii="Arial" w:hAnsi="Arial" w:cs="Arial"/>
          <w:sz w:val="16"/>
          <w:szCs w:val="16"/>
        </w:rPr>
      </w:pPr>
      <w:r w:rsidRPr="002A1A19">
        <w:rPr>
          <w:rStyle w:val="Odwoanieprzypisudolnego"/>
          <w:rFonts w:ascii="Arial" w:hAnsi="Arial" w:cs="Arial"/>
          <w:sz w:val="16"/>
          <w:szCs w:val="16"/>
        </w:rPr>
        <w:footnoteRef/>
      </w:r>
      <w:r w:rsidRPr="002A1A19">
        <w:rPr>
          <w:rFonts w:ascii="Arial" w:hAnsi="Arial" w:cs="Arial"/>
          <w:sz w:val="16"/>
          <w:szCs w:val="16"/>
        </w:rPr>
        <w:t xml:space="preserve"> </w:t>
      </w:r>
      <w:r w:rsidRPr="002A1A19">
        <w:rPr>
          <w:rFonts w:ascii="Arial" w:hAnsi="Arial" w:cs="Arial"/>
          <w:noProof w:val="0"/>
          <w:sz w:val="16"/>
          <w:szCs w:val="16"/>
          <w:lang w:eastAsia="en-US"/>
        </w:rPr>
        <w:t xml:space="preserve">W 2011 r. energia elektryczna wytworzona z OZE pochodziła z: biomasy stałej (54,4%), energii wiatru (24,4%), energii wody (17,7%) oraz z biogazu (3,4%), przy czym należy zauważyć, że poziom produkcji energetyki wodnej nie zmienia się znacząco od ponad 10 lat . </w:t>
      </w:r>
      <w:r w:rsidRPr="002A1A19">
        <w:rPr>
          <w:rFonts w:ascii="Arial" w:hAnsi="Arial" w:cs="Arial"/>
          <w:i/>
          <w:iCs/>
          <w:noProof w:val="0"/>
          <w:sz w:val="16"/>
          <w:szCs w:val="16"/>
          <w:lang w:eastAsia="en-US"/>
        </w:rPr>
        <w:t>Energia ze źródeł odnawialnych w 2011 r</w:t>
      </w:r>
      <w:r w:rsidRPr="002A1A19">
        <w:rPr>
          <w:rFonts w:ascii="Arial" w:hAnsi="Arial" w:cs="Arial"/>
          <w:noProof w:val="0"/>
          <w:sz w:val="16"/>
          <w:szCs w:val="16"/>
          <w:lang w:eastAsia="en-US"/>
        </w:rPr>
        <w:t>., Główny Urząd Statystyczny, Warszawa 2012.</w:t>
      </w:r>
    </w:p>
  </w:footnote>
  <w:footnote w:id="3">
    <w:p w14:paraId="4BE65B3A" w14:textId="77777777" w:rsidR="00E741F8" w:rsidRPr="009C2A15" w:rsidRDefault="00E741F8" w:rsidP="004E3242">
      <w:pPr>
        <w:pStyle w:val="Tekstprzypisudolnego"/>
        <w:tabs>
          <w:tab w:val="left" w:pos="5529"/>
        </w:tabs>
        <w:spacing w:before="0" w:after="120"/>
        <w:jc w:val="both"/>
        <w:rPr>
          <w:rFonts w:ascii="Arial" w:hAnsi="Arial" w:cs="Arial"/>
          <w:sz w:val="16"/>
          <w:szCs w:val="16"/>
        </w:rPr>
      </w:pPr>
      <w:r w:rsidRPr="009C2A15">
        <w:rPr>
          <w:rStyle w:val="Odwoanieprzypisudolnego"/>
          <w:rFonts w:ascii="Arial" w:hAnsi="Arial" w:cs="Arial"/>
          <w:sz w:val="16"/>
          <w:szCs w:val="16"/>
        </w:rPr>
        <w:footnoteRef/>
      </w:r>
      <w:r w:rsidRPr="009C2A15">
        <w:rPr>
          <w:rFonts w:ascii="Arial" w:hAnsi="Arial" w:cs="Arial"/>
          <w:sz w:val="16"/>
          <w:szCs w:val="16"/>
        </w:rPr>
        <w:t xml:space="preserve"> Średnie straty sieciowe energii elektrycznej dla Polski są szacowane na poziomie 8,2%, jest to wysoki odsetek biorąc pod uwagę średnią UE15 wynoszącą 5.7%.</w:t>
      </w:r>
    </w:p>
  </w:footnote>
  <w:footnote w:id="4">
    <w:p w14:paraId="5F46950A" w14:textId="77777777" w:rsidR="00E741F8" w:rsidRDefault="00E741F8" w:rsidP="004E3242">
      <w:pPr>
        <w:pStyle w:val="Tekstprzypisudolnego"/>
        <w:spacing w:before="0" w:after="120"/>
        <w:jc w:val="both"/>
      </w:pPr>
      <w:r w:rsidRPr="009C2A15">
        <w:rPr>
          <w:rStyle w:val="Odwoanieprzypisudolnego"/>
          <w:rFonts w:ascii="Arial" w:hAnsi="Arial" w:cs="Arial"/>
          <w:sz w:val="16"/>
          <w:szCs w:val="16"/>
        </w:rPr>
        <w:footnoteRef/>
      </w:r>
      <w:r w:rsidRPr="009C2A15">
        <w:rPr>
          <w:rFonts w:ascii="Arial" w:hAnsi="Arial" w:cs="Arial"/>
          <w:sz w:val="16"/>
          <w:szCs w:val="16"/>
        </w:rPr>
        <w:t xml:space="preserve"> Według KPZK, szybkiej modernizacji wymaga ponad 50 tys. km linii średniego napięcia i ponad 150 tys. km linii niskiego napięcia.</w:t>
      </w:r>
    </w:p>
  </w:footnote>
  <w:footnote w:id="5">
    <w:p w14:paraId="31D079B9" w14:textId="77777777" w:rsidR="00E741F8" w:rsidRPr="009C2A15" w:rsidRDefault="00E741F8" w:rsidP="004E3242">
      <w:pPr>
        <w:pStyle w:val="Tekstprzypisudolnego"/>
        <w:spacing w:before="0" w:after="120"/>
        <w:jc w:val="both"/>
        <w:rPr>
          <w:rFonts w:ascii="Arial" w:hAnsi="Arial" w:cs="Arial"/>
          <w:sz w:val="16"/>
          <w:szCs w:val="16"/>
        </w:rPr>
      </w:pPr>
      <w:r w:rsidRPr="009C2A15">
        <w:rPr>
          <w:rStyle w:val="Odwoanieprzypisudolnego"/>
          <w:rFonts w:ascii="Arial" w:hAnsi="Arial" w:cs="Arial"/>
          <w:sz w:val="16"/>
          <w:szCs w:val="16"/>
        </w:rPr>
        <w:footnoteRef/>
      </w:r>
      <w:r w:rsidRPr="009C2A15">
        <w:rPr>
          <w:rFonts w:ascii="Arial" w:hAnsi="Arial" w:cs="Arial"/>
          <w:sz w:val="16"/>
          <w:szCs w:val="16"/>
        </w:rPr>
        <w:t xml:space="preserve"> </w:t>
      </w:r>
      <w:r w:rsidRPr="009C2A15">
        <w:rPr>
          <w:rFonts w:ascii="Arial" w:hAnsi="Arial" w:cs="Arial"/>
          <w:noProof w:val="0"/>
          <w:sz w:val="16"/>
          <w:szCs w:val="16"/>
          <w:lang w:eastAsia="en-US"/>
        </w:rPr>
        <w:t xml:space="preserve">Modernizacja wyposażenia technicznego służb działających w ramach KSRG jest zgodna z celami przyjętymi w 2014 r. </w:t>
      </w:r>
      <w:r>
        <w:rPr>
          <w:rFonts w:ascii="Arial" w:hAnsi="Arial" w:cs="Arial"/>
          <w:noProof w:val="0"/>
          <w:sz w:val="16"/>
          <w:szCs w:val="16"/>
          <w:lang w:eastAsia="en-US"/>
        </w:rPr>
        <w:br/>
      </w:r>
      <w:r w:rsidRPr="009C2A15">
        <w:rPr>
          <w:rFonts w:ascii="Arial" w:hAnsi="Arial" w:cs="Arial"/>
          <w:noProof w:val="0"/>
          <w:sz w:val="16"/>
          <w:szCs w:val="16"/>
          <w:lang w:eastAsia="en-US"/>
        </w:rPr>
        <w:t xml:space="preserve">w </w:t>
      </w:r>
      <w:r w:rsidRPr="009C2A15">
        <w:rPr>
          <w:rFonts w:ascii="Arial" w:hAnsi="Arial" w:cs="Arial"/>
          <w:i/>
          <w:iCs/>
          <w:noProof w:val="0"/>
          <w:sz w:val="16"/>
          <w:szCs w:val="16"/>
          <w:lang w:eastAsia="en-US"/>
        </w:rPr>
        <w:t>Programie ratownictwa i ochrony ludności na lata 2014–2020</w:t>
      </w:r>
      <w:r w:rsidRPr="009C2A15">
        <w:rPr>
          <w:rFonts w:ascii="Arial" w:hAnsi="Arial" w:cs="Arial"/>
          <w:noProof w:val="0"/>
          <w:sz w:val="16"/>
          <w:szCs w:val="16"/>
          <w:lang w:eastAsia="en-US"/>
        </w:rPr>
        <w:t>.</w:t>
      </w:r>
    </w:p>
  </w:footnote>
  <w:footnote w:id="6">
    <w:p w14:paraId="25DA86ED" w14:textId="77777777" w:rsidR="00E741F8" w:rsidRPr="00975FE1" w:rsidRDefault="00E741F8" w:rsidP="004E3242">
      <w:pPr>
        <w:pStyle w:val="Tekstprzypisudolnego"/>
        <w:spacing w:before="0" w:after="120"/>
        <w:jc w:val="both"/>
        <w:rPr>
          <w:rFonts w:ascii="Arial" w:hAnsi="Arial" w:cs="Arial"/>
          <w:sz w:val="16"/>
          <w:szCs w:val="16"/>
        </w:rPr>
      </w:pPr>
      <w:r w:rsidRPr="00975FE1">
        <w:rPr>
          <w:rStyle w:val="Odwoanieprzypisudolnego"/>
          <w:rFonts w:ascii="Arial" w:hAnsi="Arial" w:cs="Arial"/>
          <w:sz w:val="16"/>
          <w:szCs w:val="16"/>
        </w:rPr>
        <w:footnoteRef/>
      </w:r>
      <w:r w:rsidRPr="00975FE1">
        <w:rPr>
          <w:rFonts w:ascii="Arial" w:hAnsi="Arial" w:cs="Arial"/>
          <w:sz w:val="16"/>
          <w:szCs w:val="16"/>
        </w:rPr>
        <w:t xml:space="preserve"> </w:t>
      </w:r>
      <w:r w:rsidRPr="00975FE1">
        <w:rPr>
          <w:rFonts w:ascii="Arial" w:hAnsi="Arial" w:cs="Arial"/>
          <w:noProof w:val="0"/>
          <w:sz w:val="16"/>
          <w:szCs w:val="16"/>
          <w:lang w:eastAsia="en-US"/>
        </w:rPr>
        <w:t xml:space="preserve">Opracowanie pn. „Warunki klimatyczne i oceanograficzne w Polsce i na Bałtyku Południowym wykonane na potrzeby </w:t>
      </w:r>
      <w:r w:rsidRPr="00975FE1">
        <w:rPr>
          <w:rFonts w:ascii="Arial" w:hAnsi="Arial" w:cs="Arial"/>
          <w:i/>
          <w:iCs/>
          <w:noProof w:val="0"/>
          <w:sz w:val="16"/>
          <w:szCs w:val="16"/>
          <w:lang w:eastAsia="en-US"/>
        </w:rPr>
        <w:t>Strategicznego planu adaptacji dla sektorów i obszarów wrażliwych na zmiany klimatu do roku 2020 wskazuje na istotny wpływ niekorzystnych czynników na stan brzegu morskiego”</w:t>
      </w:r>
    </w:p>
  </w:footnote>
  <w:footnote w:id="7">
    <w:p w14:paraId="4B76E7F9" w14:textId="77777777" w:rsidR="00E741F8" w:rsidRPr="001D357F" w:rsidRDefault="00E741F8" w:rsidP="004E3242">
      <w:pPr>
        <w:pStyle w:val="Tekstprzypisudolnego"/>
        <w:spacing w:before="0" w:after="120"/>
        <w:jc w:val="both"/>
        <w:rPr>
          <w:rFonts w:ascii="Arial" w:hAnsi="Arial" w:cs="Arial"/>
          <w:sz w:val="16"/>
          <w:szCs w:val="16"/>
        </w:rPr>
      </w:pPr>
      <w:r w:rsidRPr="001D357F">
        <w:rPr>
          <w:rStyle w:val="Odwoanieprzypisudolnego"/>
          <w:rFonts w:ascii="Arial" w:hAnsi="Arial" w:cs="Arial"/>
          <w:sz w:val="16"/>
          <w:szCs w:val="16"/>
        </w:rPr>
        <w:footnoteRef/>
      </w:r>
      <w:r w:rsidRPr="001D357F">
        <w:rPr>
          <w:rFonts w:ascii="Arial" w:hAnsi="Arial" w:cs="Arial"/>
          <w:sz w:val="16"/>
          <w:szCs w:val="16"/>
        </w:rPr>
        <w:t xml:space="preserve"> Eurostat, marzec 2013.</w:t>
      </w:r>
    </w:p>
  </w:footnote>
  <w:footnote w:id="8">
    <w:p w14:paraId="2BAE05F0" w14:textId="77777777" w:rsidR="00E741F8" w:rsidRPr="00364B11" w:rsidRDefault="00E741F8" w:rsidP="004E3242">
      <w:pPr>
        <w:pStyle w:val="Tekstprzypisudolnego"/>
        <w:spacing w:before="0" w:after="120"/>
        <w:jc w:val="both"/>
        <w:rPr>
          <w:rFonts w:ascii="Arial" w:hAnsi="Arial" w:cs="Arial"/>
          <w:sz w:val="16"/>
          <w:szCs w:val="16"/>
        </w:rPr>
      </w:pPr>
      <w:r w:rsidRPr="00364B11">
        <w:rPr>
          <w:rStyle w:val="Odwoanieprzypisudolnego"/>
          <w:rFonts w:ascii="Arial" w:hAnsi="Arial" w:cs="Arial"/>
          <w:sz w:val="16"/>
          <w:szCs w:val="16"/>
        </w:rPr>
        <w:footnoteRef/>
      </w:r>
      <w:r w:rsidRPr="00364B11">
        <w:rPr>
          <w:rFonts w:ascii="Arial" w:hAnsi="Arial" w:cs="Arial"/>
          <w:sz w:val="16"/>
          <w:szCs w:val="16"/>
        </w:rPr>
        <w:t xml:space="preserve"> </w:t>
      </w:r>
      <w:r w:rsidRPr="00364B11">
        <w:rPr>
          <w:rFonts w:ascii="Arial" w:hAnsi="Arial" w:cs="Arial"/>
          <w:i/>
          <w:iCs/>
          <w:noProof w:val="0"/>
          <w:sz w:val="16"/>
          <w:szCs w:val="16"/>
          <w:lang w:eastAsia="en-US"/>
        </w:rPr>
        <w:t>Raport o występowaniu zdarzeń o znamionach poważnej awarii w 2010,</w:t>
      </w:r>
      <w:r w:rsidRPr="00364B11">
        <w:rPr>
          <w:rFonts w:ascii="Arial" w:hAnsi="Arial" w:cs="Arial"/>
          <w:noProof w:val="0"/>
          <w:sz w:val="16"/>
          <w:szCs w:val="16"/>
          <w:lang w:eastAsia="en-US"/>
        </w:rPr>
        <w:t xml:space="preserve"> Główny Inspektorat Ochrony Środowiska, lipiec 2011, str. 6.</w:t>
      </w:r>
    </w:p>
  </w:footnote>
  <w:footnote w:id="9">
    <w:p w14:paraId="4E2690CB" w14:textId="77777777" w:rsidR="00E741F8" w:rsidRPr="00B45ED2" w:rsidRDefault="00E741F8" w:rsidP="004E3242">
      <w:pPr>
        <w:pStyle w:val="Tekstprzypisudolnego"/>
        <w:spacing w:before="0" w:after="120"/>
        <w:jc w:val="both"/>
        <w:rPr>
          <w:rFonts w:ascii="Arial" w:hAnsi="Arial" w:cs="Arial"/>
          <w:sz w:val="16"/>
          <w:szCs w:val="16"/>
        </w:rPr>
      </w:pPr>
      <w:r w:rsidRPr="00B45ED2">
        <w:rPr>
          <w:rStyle w:val="Odwoanieprzypisudolnego"/>
          <w:rFonts w:ascii="Arial" w:hAnsi="Arial" w:cs="Arial"/>
          <w:sz w:val="16"/>
          <w:szCs w:val="16"/>
        </w:rPr>
        <w:footnoteRef/>
      </w:r>
      <w:r w:rsidRPr="00B45ED2">
        <w:rPr>
          <w:rFonts w:ascii="Arial" w:hAnsi="Arial" w:cs="Arial"/>
          <w:sz w:val="16"/>
          <w:szCs w:val="16"/>
        </w:rPr>
        <w:t xml:space="preserve"> </w:t>
      </w:r>
      <w:r w:rsidRPr="00B45ED2">
        <w:rPr>
          <w:rFonts w:ascii="Arial" w:hAnsi="Arial" w:cs="Arial"/>
          <w:noProof w:val="0"/>
          <w:sz w:val="16"/>
          <w:szCs w:val="16"/>
          <w:lang w:eastAsia="en-US"/>
        </w:rPr>
        <w:t xml:space="preserve">GIOŚ: </w:t>
      </w:r>
      <w:r w:rsidRPr="00B45ED2">
        <w:rPr>
          <w:rFonts w:ascii="Arial" w:hAnsi="Arial" w:cs="Arial"/>
          <w:i/>
          <w:iCs/>
          <w:noProof w:val="0"/>
          <w:sz w:val="16"/>
          <w:szCs w:val="16"/>
          <w:lang w:eastAsia="en-US"/>
        </w:rPr>
        <w:t>Stan Środowiska w Polsce. Sygnały 2011</w:t>
      </w:r>
      <w:r w:rsidRPr="00B45ED2">
        <w:rPr>
          <w:rFonts w:ascii="Arial" w:hAnsi="Arial" w:cs="Arial"/>
          <w:noProof w:val="0"/>
          <w:sz w:val="16"/>
          <w:szCs w:val="16"/>
          <w:lang w:eastAsia="en-US"/>
        </w:rPr>
        <w:t>.</w:t>
      </w:r>
    </w:p>
  </w:footnote>
  <w:footnote w:id="10">
    <w:p w14:paraId="388D95F6" w14:textId="77777777" w:rsidR="00E741F8" w:rsidRDefault="00E741F8" w:rsidP="004E3242">
      <w:pPr>
        <w:pStyle w:val="Tekstprzypisudolnego"/>
        <w:spacing w:before="0" w:after="120"/>
        <w:jc w:val="both"/>
      </w:pPr>
      <w:r>
        <w:rPr>
          <w:rStyle w:val="Odwoanieprzypisudolnego"/>
        </w:rPr>
        <w:footnoteRef/>
      </w:r>
      <w:r>
        <w:t xml:space="preserve"> </w:t>
      </w:r>
      <w:r w:rsidRPr="00AA4BA2">
        <w:rPr>
          <w:rFonts w:ascii="Arial" w:hAnsi="Arial" w:cs="Arial"/>
          <w:noProof w:val="0"/>
          <w:sz w:val="16"/>
          <w:szCs w:val="16"/>
          <w:lang w:eastAsia="en-US"/>
        </w:rPr>
        <w:t xml:space="preserve">GUS: </w:t>
      </w:r>
      <w:r w:rsidRPr="00AA4BA2">
        <w:rPr>
          <w:rFonts w:ascii="Arial" w:hAnsi="Arial" w:cs="Arial"/>
          <w:i/>
          <w:iCs/>
          <w:noProof w:val="0"/>
          <w:sz w:val="16"/>
          <w:szCs w:val="16"/>
          <w:lang w:eastAsia="en-US"/>
        </w:rPr>
        <w:t>Ochrona środowiska 2013</w:t>
      </w:r>
      <w:r w:rsidRPr="00AA4BA2">
        <w:rPr>
          <w:rFonts w:ascii="Arial" w:hAnsi="Arial" w:cs="Arial"/>
          <w:noProof w:val="0"/>
          <w:sz w:val="16"/>
          <w:szCs w:val="16"/>
          <w:lang w:eastAsia="en-US"/>
        </w:rPr>
        <w:t>.</w:t>
      </w:r>
    </w:p>
  </w:footnote>
  <w:footnote w:id="11">
    <w:p w14:paraId="2ABECC85" w14:textId="77777777" w:rsidR="00E741F8" w:rsidRDefault="00E741F8" w:rsidP="004E3242">
      <w:pPr>
        <w:pStyle w:val="Tekstprzypisudolnego"/>
        <w:spacing w:before="0" w:after="120"/>
        <w:jc w:val="both"/>
      </w:pPr>
      <w:r>
        <w:rPr>
          <w:rStyle w:val="Odwoanieprzypisudolnego"/>
        </w:rPr>
        <w:footnoteRef/>
      </w:r>
      <w:r>
        <w:t xml:space="preserve"> </w:t>
      </w:r>
      <w:r w:rsidRPr="00F57146">
        <w:rPr>
          <w:rFonts w:ascii="Arial" w:hAnsi="Arial" w:cs="Arial"/>
          <w:noProof w:val="0"/>
          <w:sz w:val="16"/>
          <w:szCs w:val="16"/>
          <w:lang w:eastAsia="en-US"/>
        </w:rPr>
        <w:t xml:space="preserve">GUS: </w:t>
      </w:r>
      <w:r w:rsidRPr="00F57146">
        <w:rPr>
          <w:rFonts w:ascii="Arial" w:hAnsi="Arial" w:cs="Arial"/>
          <w:i/>
          <w:iCs/>
          <w:noProof w:val="0"/>
          <w:sz w:val="16"/>
          <w:szCs w:val="16"/>
          <w:lang w:eastAsia="en-US"/>
        </w:rPr>
        <w:t>Ochrona środowiska 2012.</w:t>
      </w:r>
    </w:p>
  </w:footnote>
  <w:footnote w:id="12">
    <w:p w14:paraId="74B8CF19" w14:textId="77777777" w:rsidR="00E741F8" w:rsidRPr="00482F6F" w:rsidRDefault="00E741F8" w:rsidP="004E3242">
      <w:pPr>
        <w:pStyle w:val="Tekstprzypisudolnego"/>
        <w:spacing w:before="0" w:after="120"/>
        <w:jc w:val="both"/>
        <w:rPr>
          <w:rFonts w:ascii="Arial" w:hAnsi="Arial" w:cs="Arial"/>
          <w:sz w:val="16"/>
          <w:szCs w:val="16"/>
        </w:rPr>
      </w:pPr>
      <w:r w:rsidRPr="00482F6F">
        <w:rPr>
          <w:rStyle w:val="Odwoanieprzypisudolnego"/>
          <w:rFonts w:ascii="Arial" w:hAnsi="Arial" w:cs="Arial"/>
          <w:sz w:val="16"/>
          <w:szCs w:val="16"/>
        </w:rPr>
        <w:footnoteRef/>
      </w:r>
      <w:r w:rsidRPr="00482F6F">
        <w:rPr>
          <w:rFonts w:ascii="Arial" w:hAnsi="Arial" w:cs="Arial"/>
          <w:sz w:val="16"/>
          <w:szCs w:val="16"/>
        </w:rPr>
        <w:t xml:space="preserve"> </w:t>
      </w:r>
      <w:r w:rsidRPr="00482F6F">
        <w:rPr>
          <w:rFonts w:ascii="Arial" w:hAnsi="Arial" w:cs="Arial"/>
          <w:noProof w:val="0"/>
          <w:sz w:val="16"/>
          <w:szCs w:val="16"/>
          <w:lang w:eastAsia="en-US"/>
        </w:rPr>
        <w:t xml:space="preserve">GIOŚ: </w:t>
      </w:r>
      <w:r w:rsidRPr="00482F6F">
        <w:rPr>
          <w:rFonts w:ascii="Arial" w:hAnsi="Arial" w:cs="Arial"/>
          <w:i/>
          <w:iCs/>
          <w:noProof w:val="0"/>
          <w:sz w:val="16"/>
          <w:szCs w:val="16"/>
          <w:lang w:eastAsia="en-US"/>
        </w:rPr>
        <w:t>Stan Środowiska w Polsce. Sygnały 2011</w:t>
      </w:r>
      <w:r w:rsidRPr="00482F6F">
        <w:rPr>
          <w:rFonts w:ascii="Arial" w:hAnsi="Arial" w:cs="Arial"/>
          <w:noProof w:val="0"/>
          <w:sz w:val="16"/>
          <w:szCs w:val="16"/>
          <w:lang w:eastAsia="en-US"/>
        </w:rPr>
        <w:t>.</w:t>
      </w:r>
    </w:p>
  </w:footnote>
  <w:footnote w:id="13">
    <w:p w14:paraId="70EDE88A" w14:textId="77777777" w:rsidR="00E741F8" w:rsidRPr="00B826AD" w:rsidRDefault="00E741F8" w:rsidP="004E3242">
      <w:pPr>
        <w:pStyle w:val="Tekstprzypisudolnego"/>
        <w:spacing w:before="0" w:after="120"/>
        <w:jc w:val="both"/>
        <w:rPr>
          <w:rFonts w:ascii="Arial" w:hAnsi="Arial" w:cs="Arial"/>
          <w:sz w:val="16"/>
          <w:szCs w:val="16"/>
        </w:rPr>
      </w:pPr>
      <w:r w:rsidRPr="00B826AD">
        <w:rPr>
          <w:rStyle w:val="Odwoanieprzypisudolnego"/>
          <w:rFonts w:ascii="Arial" w:hAnsi="Arial" w:cs="Arial"/>
          <w:sz w:val="16"/>
          <w:szCs w:val="16"/>
        </w:rPr>
        <w:footnoteRef/>
      </w:r>
      <w:r w:rsidRPr="00B826AD">
        <w:rPr>
          <w:rFonts w:ascii="Arial" w:hAnsi="Arial" w:cs="Arial"/>
          <w:sz w:val="16"/>
          <w:szCs w:val="16"/>
        </w:rPr>
        <w:t xml:space="preserve"> </w:t>
      </w:r>
      <w:r w:rsidRPr="00B826AD">
        <w:rPr>
          <w:rFonts w:ascii="Arial" w:hAnsi="Arial" w:cs="Arial"/>
          <w:noProof w:val="0"/>
          <w:sz w:val="16"/>
          <w:szCs w:val="16"/>
          <w:lang w:eastAsia="en-US"/>
        </w:rPr>
        <w:t xml:space="preserve">GUS: </w:t>
      </w:r>
      <w:r w:rsidRPr="00B826AD">
        <w:rPr>
          <w:rFonts w:ascii="Arial" w:hAnsi="Arial" w:cs="Arial"/>
          <w:i/>
          <w:iCs/>
          <w:noProof w:val="0"/>
          <w:sz w:val="16"/>
          <w:szCs w:val="16"/>
          <w:lang w:eastAsia="en-US"/>
        </w:rPr>
        <w:t>Ochrona środowiska 2013</w:t>
      </w:r>
      <w:r w:rsidRPr="00B826AD">
        <w:rPr>
          <w:rFonts w:ascii="Arial" w:hAnsi="Arial" w:cs="Arial"/>
          <w:noProof w:val="0"/>
          <w:sz w:val="16"/>
          <w:szCs w:val="16"/>
          <w:lang w:eastAsia="en-US"/>
        </w:rPr>
        <w:t>.</w:t>
      </w:r>
    </w:p>
  </w:footnote>
  <w:footnote w:id="14">
    <w:p w14:paraId="71FEFD13" w14:textId="77777777" w:rsidR="00E741F8" w:rsidRPr="009458CE" w:rsidRDefault="00E741F8" w:rsidP="004E3242">
      <w:pPr>
        <w:pStyle w:val="Tekstprzypisudolnego"/>
        <w:spacing w:before="0" w:after="120"/>
        <w:jc w:val="both"/>
        <w:rPr>
          <w:rFonts w:ascii="Arial" w:hAnsi="Arial" w:cs="Arial"/>
          <w:sz w:val="16"/>
          <w:szCs w:val="16"/>
        </w:rPr>
      </w:pPr>
      <w:r w:rsidRPr="009458CE">
        <w:rPr>
          <w:rStyle w:val="Odwoanieprzypisudolnego"/>
          <w:rFonts w:ascii="Arial" w:hAnsi="Arial" w:cs="Arial"/>
          <w:sz w:val="16"/>
          <w:szCs w:val="16"/>
        </w:rPr>
        <w:footnoteRef/>
      </w:r>
      <w:r w:rsidRPr="009458CE">
        <w:rPr>
          <w:rFonts w:ascii="Arial" w:hAnsi="Arial" w:cs="Arial"/>
          <w:sz w:val="16"/>
          <w:szCs w:val="16"/>
        </w:rPr>
        <w:t xml:space="preserve"> </w:t>
      </w:r>
      <w:r w:rsidRPr="009458CE">
        <w:rPr>
          <w:rFonts w:ascii="Arial" w:hAnsi="Arial" w:cs="Arial"/>
          <w:noProof w:val="0"/>
          <w:sz w:val="16"/>
          <w:szCs w:val="16"/>
          <w:lang w:eastAsia="en-US"/>
        </w:rPr>
        <w:t xml:space="preserve">Szacuje się, że łączne koszty utraconej produktywności z powodu chorób wyniosły w Polsce w 2010 r. 92,89 mld zł, tj.6,5 % PKB, </w:t>
      </w:r>
      <w:r w:rsidRPr="009458CE">
        <w:rPr>
          <w:rFonts w:ascii="Arial" w:hAnsi="Arial" w:cs="Arial"/>
          <w:i/>
          <w:iCs/>
          <w:noProof w:val="0"/>
          <w:sz w:val="16"/>
          <w:szCs w:val="16"/>
          <w:lang w:eastAsia="en-US"/>
        </w:rPr>
        <w:t>Leśniowska J. Koszty utraconej produktywności z powodu chorób w Polsce z uwzględnieniem wpływu na rynek pracy i na gospodarkę. MZ 2013 r.</w:t>
      </w:r>
    </w:p>
  </w:footnote>
  <w:footnote w:id="15">
    <w:p w14:paraId="5E3FC759" w14:textId="0CEE2D47" w:rsidR="00E741F8" w:rsidRPr="00193BC1" w:rsidRDefault="00E741F8" w:rsidP="00572329">
      <w:pPr>
        <w:pStyle w:val="Tekstprzypisudolnego"/>
        <w:spacing w:before="0" w:after="0"/>
        <w:rPr>
          <w:lang w:val="pl-PL"/>
        </w:rPr>
      </w:pPr>
      <w:r>
        <w:rPr>
          <w:rStyle w:val="Odwoanieprzypisudolnego"/>
        </w:rPr>
        <w:footnoteRef/>
      </w:r>
      <w:r>
        <w:t xml:space="preserve"> </w:t>
      </w:r>
      <w:r w:rsidR="0048471B" w:rsidRPr="0048471B">
        <w:t xml:space="preserve"> </w:t>
      </w:r>
      <w:r w:rsidR="0048471B" w:rsidRPr="0048471B">
        <w:rPr>
          <w:rFonts w:ascii="Arial" w:hAnsi="Arial" w:cs="Arial"/>
          <w:sz w:val="18"/>
          <w:szCs w:val="18"/>
          <w:lang w:val="pl-PL"/>
        </w:rPr>
        <w:t>Zdrowa przyszłość. Ramy strategiczne rozwoju systemu ochrony zdrowia na lata 2021-2027, z perspektywą do 2030 roku.</w:t>
      </w:r>
    </w:p>
  </w:footnote>
  <w:footnote w:id="16">
    <w:p w14:paraId="4FCF8E80" w14:textId="77777777" w:rsidR="00E741F8" w:rsidRPr="00362870" w:rsidRDefault="00E741F8" w:rsidP="00572329">
      <w:pPr>
        <w:pStyle w:val="Tekstprzypisudolnego"/>
        <w:spacing w:before="0" w:after="40"/>
        <w:rPr>
          <w:lang w:val="pl-PL"/>
        </w:rPr>
      </w:pPr>
      <w:r>
        <w:rPr>
          <w:rStyle w:val="Odwoanieprzypisudolnego"/>
        </w:rPr>
        <w:footnoteRef/>
      </w:r>
      <w:r>
        <w:t xml:space="preserve"> </w:t>
      </w:r>
      <w:r w:rsidRPr="00362870">
        <w:rPr>
          <w:rFonts w:ascii="Arial" w:hAnsi="Arial" w:cs="Arial"/>
          <w:sz w:val="18"/>
          <w:szCs w:val="18"/>
          <w:lang w:val="pl-PL"/>
        </w:rPr>
        <w:t>Informacja o zgonach w Polsce w 2020 r., Ministerstwo Zdrowia, luty 2021 r.</w:t>
      </w:r>
    </w:p>
  </w:footnote>
  <w:footnote w:id="17">
    <w:p w14:paraId="689AB74A" w14:textId="77777777" w:rsidR="00E741F8" w:rsidRPr="00D7760A" w:rsidRDefault="00E741F8" w:rsidP="00572329">
      <w:pPr>
        <w:pStyle w:val="Tekstprzypisudolnego"/>
        <w:spacing w:before="0" w:after="0"/>
      </w:pPr>
      <w:r>
        <w:rPr>
          <w:rStyle w:val="Odwoanieprzypisudolnego"/>
        </w:rPr>
        <w:footnoteRef/>
      </w:r>
      <w:r>
        <w:t xml:space="preserve"> </w:t>
      </w:r>
      <w:r w:rsidRPr="003A4F12">
        <w:rPr>
          <w:rFonts w:ascii="Arial" w:hAnsi="Arial" w:cs="Arial"/>
          <w:sz w:val="18"/>
          <w:szCs w:val="18"/>
          <w:lang w:val="pl-PL"/>
        </w:rPr>
        <w:t xml:space="preserve">Strategia walki z pandemią COVID-19. </w:t>
      </w:r>
      <w:hyperlink r:id="rId1" w:history="1">
        <w:r w:rsidRPr="003A4F12">
          <w:rPr>
            <w:rStyle w:val="Hipercze"/>
            <w:rFonts w:ascii="Arial" w:hAnsi="Arial" w:cs="Arial"/>
            <w:sz w:val="18"/>
            <w:szCs w:val="18"/>
            <w:lang w:val="pl-PL"/>
          </w:rPr>
          <w:t>https://www.gov.pl/web/zdrowie/strategia-walki-z-pandemia-covid19</w:t>
        </w:r>
      </w:hyperlink>
      <w:r w:rsidRPr="003A4F12">
        <w:rPr>
          <w:rFonts w:ascii="Arial" w:hAnsi="Arial" w:cs="Arial"/>
          <w:sz w:val="18"/>
          <w:szCs w:val="18"/>
          <w:lang w:val="pl-PL"/>
        </w:rPr>
        <w:t>; dostęp maj 2021 r.</w:t>
      </w:r>
    </w:p>
  </w:footnote>
  <w:footnote w:id="18">
    <w:p w14:paraId="12767637" w14:textId="77777777" w:rsidR="00E741F8" w:rsidRDefault="00E741F8" w:rsidP="00572329">
      <w:pPr>
        <w:pStyle w:val="Tekstprzypisudolnego"/>
      </w:pPr>
      <w:r>
        <w:rPr>
          <w:rStyle w:val="Odwoanieprzypisudolnego"/>
        </w:rPr>
        <w:footnoteRef/>
      </w:r>
      <w:r>
        <w:t xml:space="preserve"> Przeprowadzone przez Centrum e-Zdrowia w czerwcu 2021 r.</w:t>
      </w:r>
    </w:p>
  </w:footnote>
  <w:footnote w:id="19">
    <w:p w14:paraId="0DA9962B" w14:textId="1969BE56" w:rsidR="00FD4560" w:rsidRPr="00FD4560" w:rsidRDefault="00FD4560">
      <w:pPr>
        <w:pStyle w:val="Tekstprzypisudolnego"/>
        <w:rPr>
          <w:lang w:val="pl-PL"/>
        </w:rPr>
      </w:pPr>
      <w:r>
        <w:rPr>
          <w:rStyle w:val="Odwoanieprzypisudolnego"/>
        </w:rPr>
        <w:footnoteRef/>
      </w:r>
      <w:r>
        <w:t xml:space="preserve"> </w:t>
      </w:r>
      <w:r w:rsidRPr="00FD4560">
        <w:t>Polski Instytut Ekonomiczny. Tygodnik Gospodarczy PIE 11 marca 2021 r.</w:t>
      </w:r>
    </w:p>
  </w:footnote>
  <w:footnote w:id="20">
    <w:p w14:paraId="65A1D7C5" w14:textId="77777777" w:rsidR="00E741F8" w:rsidRPr="00EE3BD1" w:rsidRDefault="00E741F8" w:rsidP="004E3242">
      <w:pPr>
        <w:pStyle w:val="Tekstprzypisudolnego"/>
        <w:spacing w:before="0" w:after="120"/>
        <w:jc w:val="both"/>
        <w:rPr>
          <w:rFonts w:ascii="Arial" w:hAnsi="Arial" w:cs="Arial"/>
          <w:sz w:val="16"/>
          <w:szCs w:val="16"/>
        </w:rPr>
      </w:pPr>
      <w:r w:rsidRPr="00EE3BD1">
        <w:rPr>
          <w:rStyle w:val="Odwoanieprzypisudolnego"/>
          <w:rFonts w:ascii="Arial" w:hAnsi="Arial" w:cs="Arial"/>
          <w:sz w:val="16"/>
          <w:szCs w:val="16"/>
        </w:rPr>
        <w:footnoteRef/>
      </w:r>
      <w:r w:rsidRPr="00EE3BD1">
        <w:rPr>
          <w:rFonts w:ascii="Arial" w:hAnsi="Arial" w:cs="Arial"/>
          <w:sz w:val="16"/>
          <w:szCs w:val="16"/>
        </w:rPr>
        <w:t xml:space="preserve"> </w:t>
      </w:r>
      <w:r w:rsidRPr="00EE3BD1">
        <w:rPr>
          <w:rFonts w:ascii="Arial" w:hAnsi="Arial" w:cs="Arial"/>
          <w:noProof w:val="0"/>
          <w:sz w:val="16"/>
          <w:szCs w:val="16"/>
          <w:lang w:eastAsia="en-US"/>
        </w:rPr>
        <w:t xml:space="preserve">Projekty te ubiegać się będą o wsparcie ze środków Instrumentu KE </w:t>
      </w:r>
      <w:r w:rsidRPr="00EE3BD1">
        <w:rPr>
          <w:rFonts w:ascii="Arial" w:hAnsi="Arial" w:cs="Arial"/>
          <w:i/>
          <w:iCs/>
          <w:noProof w:val="0"/>
          <w:sz w:val="16"/>
          <w:szCs w:val="16"/>
          <w:lang w:eastAsia="en-US"/>
        </w:rPr>
        <w:t>Łącząc Europę</w:t>
      </w:r>
      <w:r w:rsidRPr="00EE3BD1">
        <w:rPr>
          <w:rFonts w:ascii="Arial" w:hAnsi="Arial" w:cs="Arial"/>
          <w:noProof w:val="0"/>
          <w:sz w:val="16"/>
          <w:szCs w:val="16"/>
          <w:lang w:eastAsia="en-US"/>
        </w:rPr>
        <w:t xml:space="preserve"> - </w:t>
      </w:r>
      <w:r w:rsidRPr="00EE3BD1">
        <w:rPr>
          <w:rFonts w:ascii="Arial" w:hAnsi="Arial" w:cs="Arial"/>
          <w:i/>
          <w:iCs/>
          <w:noProof w:val="0"/>
          <w:sz w:val="16"/>
          <w:szCs w:val="16"/>
          <w:lang w:eastAsia="en-US"/>
        </w:rPr>
        <w:t>Connecting Europe Facility</w:t>
      </w:r>
      <w:r w:rsidRPr="00EE3BD1">
        <w:rPr>
          <w:rFonts w:ascii="Arial" w:hAnsi="Arial" w:cs="Arial"/>
          <w:noProof w:val="0"/>
          <w:sz w:val="16"/>
          <w:szCs w:val="16"/>
          <w:lang w:eastAsia="en-US"/>
        </w:rPr>
        <w:t xml:space="preserve">. </w:t>
      </w:r>
      <w:r>
        <w:rPr>
          <w:rFonts w:ascii="Arial" w:hAnsi="Arial" w:cs="Arial"/>
          <w:noProof w:val="0"/>
          <w:sz w:val="16"/>
          <w:szCs w:val="16"/>
          <w:lang w:eastAsia="en-US"/>
        </w:rPr>
        <w:br/>
      </w:r>
      <w:r w:rsidRPr="00EE3BD1">
        <w:rPr>
          <w:rFonts w:ascii="Arial" w:hAnsi="Arial" w:cs="Arial"/>
          <w:noProof w:val="0"/>
          <w:sz w:val="16"/>
          <w:szCs w:val="16"/>
          <w:lang w:eastAsia="en-US"/>
        </w:rPr>
        <w:t>W przypadku braku środków z tego instrumentu projekty te będą mogły się ubiegać o wsparcie ze środków POIiŚ 2014-2020.</w:t>
      </w:r>
    </w:p>
  </w:footnote>
  <w:footnote w:id="21">
    <w:p w14:paraId="0CDF9ED3" w14:textId="77777777" w:rsidR="00E741F8" w:rsidRPr="00D927E4" w:rsidRDefault="00E741F8" w:rsidP="004E3242">
      <w:pPr>
        <w:pStyle w:val="Tekstprzypisudolnego"/>
        <w:spacing w:before="0" w:after="120"/>
        <w:jc w:val="both"/>
        <w:rPr>
          <w:rFonts w:ascii="Arial" w:hAnsi="Arial" w:cs="Arial"/>
          <w:sz w:val="16"/>
          <w:szCs w:val="16"/>
        </w:rPr>
      </w:pPr>
      <w:r w:rsidRPr="00D927E4">
        <w:rPr>
          <w:rStyle w:val="Odwoanieprzypisudolnego"/>
          <w:rFonts w:ascii="Arial" w:hAnsi="Arial" w:cs="Arial"/>
          <w:sz w:val="16"/>
          <w:szCs w:val="16"/>
        </w:rPr>
        <w:footnoteRef/>
      </w:r>
      <w:r w:rsidRPr="00D927E4">
        <w:rPr>
          <w:rFonts w:ascii="Arial" w:hAnsi="Arial" w:cs="Arial"/>
          <w:sz w:val="16"/>
          <w:szCs w:val="16"/>
        </w:rPr>
        <w:t xml:space="preserve"> </w:t>
      </w:r>
      <w:r w:rsidRPr="00D927E4">
        <w:rPr>
          <w:rFonts w:ascii="Arial" w:hAnsi="Arial" w:cs="Arial"/>
          <w:i/>
          <w:iCs/>
          <w:noProof w:val="0"/>
          <w:sz w:val="16"/>
          <w:szCs w:val="16"/>
          <w:lang w:eastAsia="en-US"/>
        </w:rPr>
        <w:t>Biała Księga: Adaptacja do zmian klimatu: Europejskie ramy działania, COM(2009) 147.</w:t>
      </w:r>
    </w:p>
  </w:footnote>
  <w:footnote w:id="22">
    <w:p w14:paraId="79DCBA99" w14:textId="77777777" w:rsidR="00E741F8" w:rsidRPr="00B75BA0" w:rsidRDefault="00E741F8" w:rsidP="004E3242">
      <w:pPr>
        <w:pStyle w:val="Tekstprzypisudolnego"/>
        <w:spacing w:before="0" w:after="120"/>
        <w:jc w:val="both"/>
        <w:rPr>
          <w:rFonts w:ascii="Arial" w:hAnsi="Arial" w:cs="Arial"/>
          <w:sz w:val="16"/>
          <w:szCs w:val="16"/>
          <w:lang w:val="en-US"/>
        </w:rPr>
      </w:pPr>
      <w:r w:rsidRPr="00C336A3">
        <w:rPr>
          <w:rStyle w:val="Odwoanieprzypisudolnego"/>
          <w:rFonts w:ascii="Arial" w:hAnsi="Arial" w:cs="Arial"/>
          <w:sz w:val="16"/>
          <w:szCs w:val="16"/>
        </w:rPr>
        <w:footnoteRef/>
      </w:r>
      <w:r w:rsidRPr="00B75BA0">
        <w:rPr>
          <w:rFonts w:ascii="Arial" w:hAnsi="Arial" w:cs="Arial"/>
          <w:sz w:val="16"/>
          <w:szCs w:val="16"/>
          <w:lang w:val="en-US"/>
        </w:rPr>
        <w:t xml:space="preserve"> An the EU Strategy on adaptation to climate change COM(2013)216.</w:t>
      </w:r>
    </w:p>
  </w:footnote>
  <w:footnote w:id="23">
    <w:p w14:paraId="23EF7765" w14:textId="77777777" w:rsidR="00E741F8" w:rsidRPr="00A46DBF" w:rsidRDefault="00E741F8" w:rsidP="004E3242">
      <w:pPr>
        <w:pStyle w:val="Tekstprzypisudolnego"/>
        <w:spacing w:before="0" w:after="120"/>
        <w:jc w:val="both"/>
        <w:rPr>
          <w:rFonts w:ascii="Arial" w:hAnsi="Arial" w:cs="Arial"/>
          <w:sz w:val="16"/>
          <w:szCs w:val="16"/>
        </w:rPr>
      </w:pPr>
      <w:r w:rsidRPr="00A46DBF">
        <w:rPr>
          <w:rStyle w:val="Odwoanieprzypisudolnego"/>
          <w:rFonts w:ascii="Arial" w:hAnsi="Arial" w:cs="Arial"/>
          <w:sz w:val="16"/>
          <w:szCs w:val="16"/>
        </w:rPr>
        <w:footnoteRef/>
      </w:r>
      <w:r w:rsidRPr="00A46DBF">
        <w:rPr>
          <w:rFonts w:ascii="Arial" w:hAnsi="Arial" w:cs="Arial"/>
          <w:sz w:val="16"/>
          <w:szCs w:val="16"/>
        </w:rPr>
        <w:t xml:space="preserve"> </w:t>
      </w:r>
      <w:r w:rsidRPr="00A46DBF">
        <w:rPr>
          <w:rFonts w:ascii="Arial" w:hAnsi="Arial" w:cs="Arial"/>
          <w:i/>
          <w:iCs/>
          <w:noProof w:val="0"/>
          <w:sz w:val="16"/>
          <w:szCs w:val="16"/>
          <w:lang w:eastAsia="en-US"/>
        </w:rPr>
        <w:t>Nasze ubezpieczenie na życie i nasz kapitał naturalny</w:t>
      </w:r>
      <w:r w:rsidRPr="00A46DBF">
        <w:rPr>
          <w:rFonts w:ascii="Arial" w:hAnsi="Arial" w:cs="Arial"/>
          <w:noProof w:val="0"/>
          <w:sz w:val="16"/>
          <w:szCs w:val="16"/>
          <w:lang w:eastAsia="en-US"/>
        </w:rPr>
        <w:t xml:space="preserve"> – unijna strategia ochrony różnorodności biologicznej na okres do roku 2020 r. COM (2011) 244.</w:t>
      </w:r>
    </w:p>
  </w:footnote>
  <w:footnote w:id="24">
    <w:p w14:paraId="34C42240" w14:textId="77777777" w:rsidR="00E741F8" w:rsidRPr="00057F20" w:rsidRDefault="00E741F8" w:rsidP="004E3242">
      <w:pPr>
        <w:pStyle w:val="Tekstprzypisudolnego"/>
        <w:spacing w:before="0" w:after="120"/>
        <w:jc w:val="both"/>
        <w:rPr>
          <w:rFonts w:ascii="Arial" w:hAnsi="Arial" w:cs="Arial"/>
          <w:sz w:val="16"/>
          <w:szCs w:val="16"/>
        </w:rPr>
      </w:pPr>
      <w:r w:rsidRPr="00057F20">
        <w:rPr>
          <w:rStyle w:val="Odwoanieprzypisudolnego"/>
          <w:rFonts w:ascii="Arial" w:hAnsi="Arial" w:cs="Arial"/>
          <w:sz w:val="16"/>
          <w:szCs w:val="16"/>
        </w:rPr>
        <w:footnoteRef/>
      </w:r>
      <w:r w:rsidRPr="00057F20">
        <w:rPr>
          <w:rFonts w:ascii="Arial" w:hAnsi="Arial" w:cs="Arial"/>
          <w:sz w:val="16"/>
          <w:szCs w:val="16"/>
        </w:rPr>
        <w:t xml:space="preserve"> </w:t>
      </w:r>
      <w:r w:rsidRPr="00057F20">
        <w:rPr>
          <w:rFonts w:ascii="Arial" w:hAnsi="Arial" w:cs="Arial"/>
          <w:noProof w:val="0"/>
          <w:sz w:val="16"/>
          <w:szCs w:val="16"/>
          <w:lang w:eastAsia="en-US"/>
        </w:rPr>
        <w:t xml:space="preserve">Zgodnie z inicjatywą przewodnią </w:t>
      </w:r>
      <w:r w:rsidRPr="00057F20">
        <w:rPr>
          <w:rFonts w:ascii="Arial" w:hAnsi="Arial" w:cs="Arial"/>
          <w:i/>
          <w:iCs/>
          <w:noProof w:val="0"/>
          <w:sz w:val="16"/>
          <w:szCs w:val="16"/>
          <w:lang w:eastAsia="en-US"/>
        </w:rPr>
        <w:t>Europa efektywnie korzystająca z zasobów</w:t>
      </w:r>
      <w:r w:rsidRPr="00057F20">
        <w:rPr>
          <w:rFonts w:ascii="Arial" w:hAnsi="Arial" w:cs="Arial"/>
          <w:noProof w:val="0"/>
          <w:sz w:val="16"/>
          <w:szCs w:val="16"/>
          <w:lang w:eastAsia="en-US"/>
        </w:rPr>
        <w:t xml:space="preserve"> ustanowioną w Strategii Europa 2020 oraz nowym planem na rzecz efektywności energetycznej z 2011 r. (COM(2011) 109).</w:t>
      </w:r>
    </w:p>
  </w:footnote>
  <w:footnote w:id="25">
    <w:p w14:paraId="6362D2CE" w14:textId="77777777" w:rsidR="00E741F8" w:rsidRPr="00057F20" w:rsidRDefault="00E741F8" w:rsidP="004E3242">
      <w:pPr>
        <w:pStyle w:val="Tekstprzypisudolnego"/>
        <w:spacing w:before="0" w:after="120"/>
        <w:jc w:val="both"/>
        <w:rPr>
          <w:rFonts w:ascii="Arial" w:hAnsi="Arial" w:cs="Arial"/>
          <w:sz w:val="16"/>
          <w:szCs w:val="16"/>
        </w:rPr>
      </w:pPr>
      <w:r w:rsidRPr="00057F20">
        <w:rPr>
          <w:rStyle w:val="Odwoanieprzypisudolnego"/>
          <w:rFonts w:ascii="Arial" w:hAnsi="Arial" w:cs="Arial"/>
          <w:sz w:val="16"/>
          <w:szCs w:val="16"/>
        </w:rPr>
        <w:footnoteRef/>
      </w:r>
      <w:r w:rsidRPr="00057F20">
        <w:rPr>
          <w:rFonts w:ascii="Arial" w:hAnsi="Arial" w:cs="Arial"/>
          <w:sz w:val="16"/>
          <w:szCs w:val="16"/>
        </w:rPr>
        <w:t xml:space="preserve"> </w:t>
      </w:r>
      <w:r w:rsidRPr="00057F20">
        <w:rPr>
          <w:rFonts w:ascii="Arial" w:hAnsi="Arial" w:cs="Arial"/>
          <w:noProof w:val="0"/>
          <w:sz w:val="16"/>
          <w:szCs w:val="16"/>
          <w:lang w:eastAsia="en-US"/>
        </w:rPr>
        <w:t xml:space="preserve">Komunikat Komisji BIAŁA KSIĘGA </w:t>
      </w:r>
      <w:r w:rsidRPr="00057F20">
        <w:rPr>
          <w:rFonts w:ascii="Arial" w:hAnsi="Arial" w:cs="Arial"/>
          <w:i/>
          <w:iCs/>
          <w:noProof w:val="0"/>
          <w:sz w:val="16"/>
          <w:szCs w:val="16"/>
          <w:lang w:eastAsia="en-US"/>
        </w:rPr>
        <w:t>Plan utworzenia jednolitego europejskiej obszaru transportu</w:t>
      </w:r>
      <w:r w:rsidRPr="00057F20">
        <w:rPr>
          <w:rFonts w:ascii="Arial" w:hAnsi="Arial" w:cs="Arial"/>
          <w:noProof w:val="0"/>
          <w:sz w:val="16"/>
          <w:szCs w:val="16"/>
          <w:lang w:eastAsia="en-US"/>
        </w:rPr>
        <w:t xml:space="preserve"> – dążenie do osiągnięcia konkurencyjnego i zasobooszczędnego systemu transportu; COM(2011)144 z dnia 28 marca 2011 r.</w:t>
      </w:r>
    </w:p>
  </w:footnote>
  <w:footnote w:id="26">
    <w:p w14:paraId="613E15B4" w14:textId="77777777" w:rsidR="00E741F8" w:rsidRPr="00057F20" w:rsidRDefault="00E741F8" w:rsidP="004E3242">
      <w:pPr>
        <w:pStyle w:val="Tekstprzypisudolnego"/>
        <w:spacing w:before="0" w:after="120"/>
        <w:jc w:val="both"/>
        <w:rPr>
          <w:rFonts w:ascii="Arial" w:hAnsi="Arial" w:cs="Arial"/>
          <w:sz w:val="16"/>
          <w:szCs w:val="16"/>
        </w:rPr>
      </w:pPr>
      <w:r w:rsidRPr="00057F20">
        <w:rPr>
          <w:rStyle w:val="Odwoanieprzypisudolnego"/>
          <w:rFonts w:ascii="Arial" w:hAnsi="Arial" w:cs="Arial"/>
          <w:sz w:val="16"/>
          <w:szCs w:val="16"/>
        </w:rPr>
        <w:footnoteRef/>
      </w:r>
      <w:r w:rsidRPr="00057F20">
        <w:rPr>
          <w:rFonts w:ascii="Arial" w:hAnsi="Arial" w:cs="Arial"/>
          <w:sz w:val="16"/>
          <w:szCs w:val="16"/>
        </w:rPr>
        <w:t xml:space="preserve"> Strategia Rozwoju Transportu do 2020 roku (z perspektywą do 2030 roku) - dokument przyjęty przez Radę Ministrów w dniu 22 stycznia 2013 r.</w:t>
      </w:r>
    </w:p>
  </w:footnote>
  <w:footnote w:id="27">
    <w:p w14:paraId="25D397AC" w14:textId="77777777" w:rsidR="00E741F8" w:rsidRPr="00882484" w:rsidRDefault="00E741F8" w:rsidP="004E3242">
      <w:pPr>
        <w:pStyle w:val="Tekstprzypisudolnego"/>
        <w:spacing w:before="0" w:after="120"/>
        <w:jc w:val="both"/>
        <w:rPr>
          <w:rFonts w:ascii="Arial" w:hAnsi="Arial" w:cs="Arial"/>
          <w:sz w:val="16"/>
          <w:szCs w:val="16"/>
        </w:rPr>
      </w:pPr>
      <w:r w:rsidRPr="00882484">
        <w:rPr>
          <w:rStyle w:val="Odwoanieprzypisudolnego"/>
          <w:rFonts w:ascii="Arial" w:hAnsi="Arial" w:cs="Arial"/>
          <w:sz w:val="16"/>
          <w:szCs w:val="16"/>
        </w:rPr>
        <w:footnoteRef/>
      </w:r>
      <w:r w:rsidRPr="00882484">
        <w:rPr>
          <w:rFonts w:ascii="Arial" w:hAnsi="Arial" w:cs="Arial"/>
          <w:sz w:val="16"/>
          <w:szCs w:val="16"/>
        </w:rPr>
        <w:t xml:space="preserve"> </w:t>
      </w:r>
      <w:r w:rsidRPr="00882484">
        <w:rPr>
          <w:rFonts w:ascii="Arial" w:hAnsi="Arial" w:cs="Arial"/>
          <w:i/>
          <w:iCs/>
          <w:noProof w:val="0"/>
          <w:sz w:val="16"/>
          <w:szCs w:val="16"/>
          <w:lang w:eastAsia="en-US"/>
        </w:rPr>
        <w:t>Długookresowa Strategia Rozwoju Kraju. Polska 2030. Trzecia fala nowoczesności</w:t>
      </w:r>
      <w:r w:rsidRPr="00882484">
        <w:rPr>
          <w:rFonts w:ascii="Arial" w:hAnsi="Arial" w:cs="Arial"/>
          <w:noProof w:val="0"/>
          <w:sz w:val="16"/>
          <w:szCs w:val="16"/>
          <w:lang w:eastAsia="en-US"/>
        </w:rPr>
        <w:t>. MAIC, 2012 r. – dokument przyjęty przez Radę Ministrów 11 stycznia 2013 r.</w:t>
      </w:r>
    </w:p>
  </w:footnote>
  <w:footnote w:id="28">
    <w:p w14:paraId="416E6FEF" w14:textId="77777777" w:rsidR="00E741F8" w:rsidRPr="00882484" w:rsidRDefault="00E741F8" w:rsidP="004E3242">
      <w:pPr>
        <w:pStyle w:val="Tekstprzypisudolnego"/>
        <w:spacing w:before="0" w:after="120"/>
        <w:jc w:val="both"/>
        <w:rPr>
          <w:rFonts w:ascii="Arial" w:hAnsi="Arial" w:cs="Arial"/>
          <w:sz w:val="16"/>
          <w:szCs w:val="16"/>
        </w:rPr>
      </w:pPr>
      <w:r w:rsidRPr="00882484">
        <w:rPr>
          <w:rStyle w:val="Odwoanieprzypisudolnego"/>
          <w:rFonts w:ascii="Arial" w:hAnsi="Arial" w:cs="Arial"/>
          <w:sz w:val="16"/>
          <w:szCs w:val="16"/>
        </w:rPr>
        <w:footnoteRef/>
      </w:r>
      <w:r w:rsidRPr="00882484">
        <w:rPr>
          <w:rFonts w:ascii="Arial" w:hAnsi="Arial" w:cs="Arial"/>
          <w:sz w:val="16"/>
          <w:szCs w:val="16"/>
        </w:rPr>
        <w:t xml:space="preserve"> </w:t>
      </w:r>
      <w:r w:rsidRPr="00882484">
        <w:rPr>
          <w:rFonts w:ascii="Arial" w:hAnsi="Arial" w:cs="Arial"/>
          <w:i/>
          <w:iCs/>
          <w:noProof w:val="0"/>
          <w:sz w:val="16"/>
          <w:szCs w:val="16"/>
          <w:lang w:eastAsia="en-US"/>
        </w:rPr>
        <w:t>Strategia Rozwoju Kraju</w:t>
      </w:r>
      <w:r w:rsidRPr="00882484">
        <w:rPr>
          <w:rFonts w:ascii="Arial" w:hAnsi="Arial" w:cs="Arial"/>
          <w:noProof w:val="0"/>
          <w:sz w:val="16"/>
          <w:szCs w:val="16"/>
          <w:lang w:eastAsia="en-US"/>
        </w:rPr>
        <w:t xml:space="preserve"> 2020, dokument przyjęty przez Radę Ministrów 25 września 2012 r.</w:t>
      </w:r>
    </w:p>
  </w:footnote>
  <w:footnote w:id="29">
    <w:p w14:paraId="44C9047B" w14:textId="77777777" w:rsidR="00E741F8" w:rsidRDefault="00E741F8" w:rsidP="004E3242">
      <w:pPr>
        <w:pStyle w:val="Tekstprzypisudolnego"/>
        <w:spacing w:before="0" w:after="120"/>
        <w:jc w:val="both"/>
      </w:pPr>
      <w:r w:rsidRPr="00882484">
        <w:rPr>
          <w:rStyle w:val="Odwoanieprzypisudolnego"/>
          <w:rFonts w:ascii="Arial" w:hAnsi="Arial" w:cs="Arial"/>
          <w:sz w:val="16"/>
          <w:szCs w:val="16"/>
        </w:rPr>
        <w:footnoteRef/>
      </w:r>
      <w:r w:rsidRPr="00882484">
        <w:rPr>
          <w:rFonts w:ascii="Arial" w:hAnsi="Arial" w:cs="Arial"/>
          <w:sz w:val="16"/>
          <w:szCs w:val="16"/>
        </w:rPr>
        <w:t xml:space="preserve"> </w:t>
      </w:r>
      <w:r w:rsidRPr="00882484">
        <w:rPr>
          <w:rFonts w:ascii="Arial" w:hAnsi="Arial" w:cs="Arial"/>
          <w:noProof w:val="0"/>
          <w:sz w:val="16"/>
          <w:szCs w:val="16"/>
          <w:lang w:eastAsia="en-US"/>
        </w:rPr>
        <w:t xml:space="preserve">Należą do nich następujące dokumenty: </w:t>
      </w:r>
      <w:r w:rsidRPr="00882484">
        <w:rPr>
          <w:rFonts w:ascii="Arial" w:hAnsi="Arial" w:cs="Arial"/>
          <w:i/>
          <w:iCs/>
          <w:noProof w:val="0"/>
          <w:sz w:val="16"/>
          <w:szCs w:val="16"/>
          <w:lang w:eastAsia="en-US"/>
        </w:rPr>
        <w:t>Strategia innowacyjności i efektywności gospodarki, Strategia rozwoju kapitału ludzkiego, Strategia rozwoju transportu, Strategia Bezpieczeństwo energetyczne i środowisko, Strategia Sprawne państwo, Strategia rozwoju kapitału społecznego, Krajowa strategia rozwoju regionalnego – Regiony Miasta Obszary wiejskie, Strategia zrównoważonego rozwoju wsi, rolnictwa i rybactwa, Strategia rozwoju systemu bezpieczeństwa narodowego RP</w:t>
      </w:r>
      <w:r w:rsidRPr="00882484">
        <w:rPr>
          <w:rFonts w:ascii="Arial" w:hAnsi="Arial" w:cs="Arial"/>
          <w:noProof w:val="0"/>
          <w:sz w:val="16"/>
          <w:szCs w:val="16"/>
          <w:lang w:eastAsia="en-US"/>
        </w:rPr>
        <w:t>.</w:t>
      </w:r>
    </w:p>
  </w:footnote>
  <w:footnote w:id="30">
    <w:p w14:paraId="6EBDC8A9" w14:textId="77777777" w:rsidR="00E741F8" w:rsidRPr="0035146F" w:rsidRDefault="00E741F8" w:rsidP="004E3242">
      <w:pPr>
        <w:pStyle w:val="Tekstprzypisudolnego"/>
        <w:spacing w:before="0" w:after="0" w:line="240" w:lineRule="auto"/>
        <w:contextualSpacing/>
        <w:jc w:val="both"/>
        <w:rPr>
          <w:rFonts w:ascii="Arial" w:hAnsi="Arial" w:cs="Arial"/>
          <w:sz w:val="16"/>
          <w:szCs w:val="16"/>
        </w:rPr>
      </w:pPr>
      <w:r w:rsidRPr="006E4A00">
        <w:rPr>
          <w:rStyle w:val="Odwoanieprzypisudolnego"/>
          <w:rFonts w:ascii="Arial" w:hAnsi="Arial" w:cs="Arial"/>
          <w:sz w:val="16"/>
          <w:szCs w:val="16"/>
        </w:rPr>
        <w:footnoteRef/>
      </w:r>
      <w:r w:rsidRPr="006E4A00">
        <w:rPr>
          <w:rFonts w:ascii="Arial" w:hAnsi="Arial" w:cs="Arial"/>
          <w:sz w:val="16"/>
          <w:szCs w:val="16"/>
        </w:rPr>
        <w:t xml:space="preserve"> </w:t>
      </w:r>
      <w:r w:rsidRPr="00026FAF">
        <w:rPr>
          <w:rFonts w:ascii="Arial" w:hAnsi="Arial" w:cs="Arial"/>
          <w:sz w:val="16"/>
          <w:szCs w:val="16"/>
        </w:rPr>
        <w:t xml:space="preserve">Za </w:t>
      </w:r>
      <w:r w:rsidRPr="0035146F">
        <w:rPr>
          <w:rFonts w:ascii="Arial" w:hAnsi="Arial" w:cs="Arial"/>
          <w:i/>
          <w:sz w:val="16"/>
          <w:szCs w:val="16"/>
        </w:rPr>
        <w:t>Strategią</w:t>
      </w:r>
      <w:r w:rsidRPr="00026FAF">
        <w:rPr>
          <w:rFonts w:ascii="Arial" w:hAnsi="Arial" w:cs="Arial"/>
          <w:sz w:val="16"/>
          <w:szCs w:val="16"/>
        </w:rPr>
        <w:t xml:space="preserve"> </w:t>
      </w:r>
      <w:r w:rsidRPr="003E7B09">
        <w:rPr>
          <w:rFonts w:ascii="Arial" w:hAnsi="Arial" w:cs="Arial"/>
          <w:i/>
          <w:sz w:val="16"/>
          <w:szCs w:val="16"/>
        </w:rPr>
        <w:t>Bezpieczeństwo Energetyczne i Środowisko</w:t>
      </w:r>
      <w:r w:rsidRPr="00E46C1B">
        <w:rPr>
          <w:rFonts w:ascii="Arial" w:hAnsi="Arial" w:cs="Arial"/>
          <w:sz w:val="16"/>
          <w:szCs w:val="16"/>
        </w:rPr>
        <w:t>.</w:t>
      </w:r>
    </w:p>
  </w:footnote>
  <w:footnote w:id="31">
    <w:p w14:paraId="01C7DD68" w14:textId="77777777" w:rsidR="00E741F8" w:rsidRPr="0035146F" w:rsidRDefault="00E741F8" w:rsidP="004E3242">
      <w:pPr>
        <w:autoSpaceDE w:val="0"/>
        <w:autoSpaceDN w:val="0"/>
        <w:adjustRightInd w:val="0"/>
        <w:spacing w:after="0" w:line="240" w:lineRule="auto"/>
        <w:jc w:val="both"/>
        <w:rPr>
          <w:rFonts w:ascii="Arial" w:hAnsi="Arial" w:cs="Arial"/>
          <w:sz w:val="16"/>
          <w:szCs w:val="16"/>
        </w:rPr>
      </w:pPr>
      <w:r w:rsidRPr="0035146F">
        <w:rPr>
          <w:rStyle w:val="Odwoanieprzypisudolnego"/>
          <w:rFonts w:ascii="Arial" w:hAnsi="Arial" w:cs="Arial"/>
          <w:sz w:val="16"/>
          <w:szCs w:val="16"/>
        </w:rPr>
        <w:footnoteRef/>
      </w:r>
      <w:r w:rsidRPr="0035146F">
        <w:rPr>
          <w:rFonts w:ascii="Arial" w:hAnsi="Arial" w:cs="Arial"/>
          <w:sz w:val="16"/>
          <w:szCs w:val="16"/>
        </w:rPr>
        <w:t xml:space="preserve"> W ramach programu przewiduje się wsparcie instalacji OZE: </w:t>
      </w:r>
    </w:p>
    <w:p w14:paraId="6B85825F" w14:textId="77777777" w:rsidR="00E741F8" w:rsidRPr="0035146F" w:rsidRDefault="00E741F8" w:rsidP="004E3242">
      <w:pPr>
        <w:autoSpaceDE w:val="0"/>
        <w:autoSpaceDN w:val="0"/>
        <w:adjustRightInd w:val="0"/>
        <w:spacing w:after="0" w:line="240" w:lineRule="auto"/>
        <w:jc w:val="both"/>
        <w:rPr>
          <w:rFonts w:ascii="Arial" w:hAnsi="Arial" w:cs="Arial"/>
          <w:sz w:val="16"/>
          <w:szCs w:val="16"/>
        </w:rPr>
      </w:pPr>
      <w:r w:rsidRPr="0035146F">
        <w:rPr>
          <w:rFonts w:ascii="Arial" w:hAnsi="Arial" w:cs="Arial"/>
          <w:sz w:val="16"/>
          <w:szCs w:val="16"/>
        </w:rPr>
        <w:t>- energia wodna: pow. 5 MWe,</w:t>
      </w:r>
    </w:p>
    <w:p w14:paraId="7BE75B11" w14:textId="77777777" w:rsidR="00E741F8" w:rsidRPr="0035146F" w:rsidRDefault="00E741F8" w:rsidP="004E3242">
      <w:pPr>
        <w:autoSpaceDE w:val="0"/>
        <w:autoSpaceDN w:val="0"/>
        <w:adjustRightInd w:val="0"/>
        <w:spacing w:after="0" w:line="240" w:lineRule="auto"/>
        <w:jc w:val="both"/>
        <w:rPr>
          <w:rFonts w:ascii="Arial" w:hAnsi="Arial" w:cs="Arial"/>
          <w:sz w:val="16"/>
          <w:szCs w:val="16"/>
        </w:rPr>
      </w:pPr>
      <w:r w:rsidRPr="0035146F">
        <w:rPr>
          <w:rFonts w:ascii="Arial" w:hAnsi="Arial" w:cs="Arial"/>
          <w:sz w:val="16"/>
          <w:szCs w:val="16"/>
        </w:rPr>
        <w:t xml:space="preserve">- energia wiatru: pow. 5 MWe, </w:t>
      </w:r>
    </w:p>
    <w:p w14:paraId="759D82F3" w14:textId="77777777" w:rsidR="00E741F8" w:rsidRPr="0035146F" w:rsidRDefault="00E741F8" w:rsidP="004E3242">
      <w:pPr>
        <w:autoSpaceDE w:val="0"/>
        <w:autoSpaceDN w:val="0"/>
        <w:adjustRightInd w:val="0"/>
        <w:spacing w:after="0" w:line="240" w:lineRule="auto"/>
        <w:jc w:val="both"/>
        <w:rPr>
          <w:rFonts w:ascii="Arial" w:hAnsi="Arial" w:cs="Arial"/>
          <w:sz w:val="16"/>
          <w:szCs w:val="16"/>
        </w:rPr>
      </w:pPr>
      <w:r w:rsidRPr="0035146F">
        <w:rPr>
          <w:rFonts w:ascii="Arial" w:hAnsi="Arial" w:cs="Arial"/>
          <w:sz w:val="16"/>
          <w:szCs w:val="16"/>
        </w:rPr>
        <w:t>- energia słoneczna: pow. 2 MWe/MWth),</w:t>
      </w:r>
    </w:p>
    <w:p w14:paraId="36B59425" w14:textId="77777777" w:rsidR="00E741F8" w:rsidRPr="0035146F" w:rsidRDefault="00E741F8" w:rsidP="004E3242">
      <w:pPr>
        <w:autoSpaceDE w:val="0"/>
        <w:autoSpaceDN w:val="0"/>
        <w:adjustRightInd w:val="0"/>
        <w:spacing w:after="0" w:line="240" w:lineRule="auto"/>
        <w:jc w:val="both"/>
        <w:rPr>
          <w:rFonts w:ascii="Arial" w:hAnsi="Arial" w:cs="Arial"/>
          <w:sz w:val="16"/>
          <w:szCs w:val="16"/>
        </w:rPr>
      </w:pPr>
      <w:r w:rsidRPr="0035146F">
        <w:rPr>
          <w:rFonts w:ascii="Arial" w:hAnsi="Arial" w:cs="Arial"/>
          <w:sz w:val="16"/>
          <w:szCs w:val="16"/>
        </w:rPr>
        <w:t>- energia geotermalna (pow. 2 MWth),</w:t>
      </w:r>
    </w:p>
    <w:p w14:paraId="6F01309F" w14:textId="77777777" w:rsidR="00E741F8" w:rsidRPr="00800EA1" w:rsidRDefault="00E741F8" w:rsidP="004E3242">
      <w:pPr>
        <w:autoSpaceDE w:val="0"/>
        <w:autoSpaceDN w:val="0"/>
        <w:adjustRightInd w:val="0"/>
        <w:spacing w:after="0" w:line="240" w:lineRule="auto"/>
        <w:jc w:val="both"/>
      </w:pPr>
      <w:r w:rsidRPr="0035146F">
        <w:rPr>
          <w:rFonts w:ascii="Arial" w:hAnsi="Arial" w:cs="Arial"/>
          <w:sz w:val="16"/>
          <w:szCs w:val="16"/>
        </w:rPr>
        <w:t>- energia biogazu (pow. 1 MWe), - en. biomasy (pow. 5 MWth/MWe).</w:t>
      </w:r>
    </w:p>
  </w:footnote>
  <w:footnote w:id="32">
    <w:p w14:paraId="1BB33428" w14:textId="77777777" w:rsidR="00E741F8" w:rsidRPr="00C46C76" w:rsidRDefault="00E741F8" w:rsidP="004E3242">
      <w:pPr>
        <w:pStyle w:val="Tekstprzypisudolnego"/>
        <w:spacing w:before="0" w:after="0" w:line="240" w:lineRule="auto"/>
        <w:contextualSpacing/>
        <w:jc w:val="both"/>
        <w:rPr>
          <w:rFonts w:ascii="Arial" w:hAnsi="Arial" w:cs="Arial"/>
          <w:sz w:val="16"/>
          <w:szCs w:val="16"/>
        </w:rPr>
      </w:pPr>
      <w:r w:rsidRPr="00C46C76">
        <w:rPr>
          <w:rStyle w:val="Odwoanieprzypisudolnego"/>
          <w:rFonts w:ascii="Arial" w:hAnsi="Arial" w:cs="Arial"/>
          <w:sz w:val="16"/>
          <w:szCs w:val="16"/>
        </w:rPr>
        <w:footnoteRef/>
      </w:r>
      <w:r w:rsidRPr="00C46C76">
        <w:rPr>
          <w:rFonts w:ascii="Arial" w:hAnsi="Arial" w:cs="Arial"/>
          <w:sz w:val="16"/>
          <w:szCs w:val="16"/>
        </w:rPr>
        <w:t xml:space="preserve"> Za Średniookresową Strategią Rozwoju Kraju 2020.</w:t>
      </w:r>
    </w:p>
  </w:footnote>
  <w:footnote w:id="33">
    <w:p w14:paraId="44E4A7B1" w14:textId="77777777" w:rsidR="00E741F8" w:rsidRDefault="00E741F8" w:rsidP="004E3242">
      <w:pPr>
        <w:pStyle w:val="Tekstprzypisudolnego"/>
        <w:keepLines/>
        <w:spacing w:before="0" w:after="0" w:line="240" w:lineRule="auto"/>
        <w:contextualSpacing/>
        <w:jc w:val="both"/>
      </w:pPr>
      <w:r w:rsidRPr="00AD4C15">
        <w:rPr>
          <w:rStyle w:val="Odwoanieprzypisudolnego"/>
          <w:rFonts w:ascii="Arial" w:hAnsi="Arial" w:cs="Arial"/>
          <w:sz w:val="16"/>
          <w:szCs w:val="16"/>
        </w:rPr>
        <w:footnoteRef/>
      </w:r>
      <w:r w:rsidRPr="00AD4C15">
        <w:rPr>
          <w:rFonts w:ascii="Arial" w:hAnsi="Arial" w:cs="Arial"/>
          <w:sz w:val="16"/>
          <w:szCs w:val="16"/>
        </w:rPr>
        <w:t xml:space="preserve"> </w:t>
      </w:r>
      <w:r w:rsidRPr="00C46C76">
        <w:rPr>
          <w:rFonts w:ascii="Arial" w:hAnsi="Arial" w:cs="Arial"/>
          <w:sz w:val="16"/>
          <w:szCs w:val="16"/>
        </w:rPr>
        <w:t>Gł</w:t>
      </w:r>
      <w:r w:rsidRPr="00596802">
        <w:rPr>
          <w:rFonts w:ascii="Arial" w:hAnsi="Arial" w:cs="Arial"/>
          <w:sz w:val="16"/>
          <w:szCs w:val="16"/>
        </w:rPr>
        <w:t>ęboka kompleksowa modernizacja energetyczna, rozumiana jako kompleksowa termomodernizacja, oznacza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r>
        <w:rPr>
          <w:rFonts w:ascii="Arial" w:hAnsi="Arial" w:cs="Arial"/>
          <w:sz w:val="16"/>
          <w:szCs w:val="16"/>
        </w:rPr>
        <w:t>.</w:t>
      </w:r>
    </w:p>
  </w:footnote>
  <w:footnote w:id="34">
    <w:p w14:paraId="1301FDE1" w14:textId="77777777" w:rsidR="00E741F8" w:rsidRPr="00AD4C15" w:rsidRDefault="00E741F8" w:rsidP="004E3242">
      <w:pPr>
        <w:keepLines/>
        <w:autoSpaceDE w:val="0"/>
        <w:autoSpaceDN w:val="0"/>
        <w:adjustRightInd w:val="0"/>
        <w:spacing w:after="0" w:line="240" w:lineRule="auto"/>
        <w:contextualSpacing/>
        <w:jc w:val="both"/>
        <w:rPr>
          <w:rFonts w:ascii="Arial" w:hAnsi="Arial" w:cs="Arial"/>
          <w:sz w:val="16"/>
          <w:szCs w:val="16"/>
        </w:rPr>
      </w:pPr>
      <w:r w:rsidRPr="00AD4C15">
        <w:rPr>
          <w:rStyle w:val="Odwoanieprzypisudolnego"/>
          <w:rFonts w:ascii="Arial" w:hAnsi="Arial" w:cs="Arial"/>
          <w:sz w:val="16"/>
          <w:szCs w:val="16"/>
        </w:rPr>
        <w:footnoteRef/>
      </w:r>
      <w:r w:rsidRPr="00AD4C15">
        <w:rPr>
          <w:rFonts w:ascii="Arial" w:hAnsi="Arial" w:cs="Arial"/>
          <w:sz w:val="16"/>
          <w:szCs w:val="16"/>
        </w:rPr>
        <w:t xml:space="preserve"> Inwestycje służące redukcji emisji gazów cieplarnianych, w ramach działań wymienionych w załączniku I do dyrektywy 2003/87/WE (Dyrektywa 2003/87/WE Parlamentu Europejskiego i Rady z dnia 13 października 2003 r. ustanawiająca system handlu przydziałami emisji gazów cieplarnianych we Wspólnocie), nie kwalifikują się do wsparcia ze środków Priorytetu Inwestycyjnego (PI) 4.</w:t>
      </w:r>
      <w:r w:rsidRPr="00C46C76">
        <w:rPr>
          <w:rFonts w:ascii="Arial" w:hAnsi="Arial" w:cs="Arial"/>
          <w:sz w:val="16"/>
          <w:szCs w:val="16"/>
        </w:rPr>
        <w:t>ii</w:t>
      </w:r>
      <w:r w:rsidRPr="00AD4C15">
        <w:rPr>
          <w:rFonts w:ascii="Arial" w:hAnsi="Arial" w:cs="Arial"/>
          <w:sz w:val="16"/>
          <w:szCs w:val="16"/>
        </w:rPr>
        <w:t>. To wykluczenie nie dotyczy możliwości wsparcia w ramach PI 4.</w:t>
      </w:r>
      <w:r w:rsidRPr="00C46C76">
        <w:rPr>
          <w:rFonts w:ascii="Arial" w:hAnsi="Arial" w:cs="Arial"/>
          <w:sz w:val="16"/>
          <w:szCs w:val="16"/>
        </w:rPr>
        <w:t>ii</w:t>
      </w:r>
      <w:r w:rsidRPr="00AD4C15">
        <w:rPr>
          <w:rFonts w:ascii="Arial" w:hAnsi="Arial" w:cs="Arial"/>
          <w:sz w:val="16"/>
          <w:szCs w:val="16"/>
        </w:rPr>
        <w:t>. P</w:t>
      </w:r>
      <w:r>
        <w:rPr>
          <w:rFonts w:ascii="Arial" w:hAnsi="Arial" w:cs="Arial"/>
          <w:sz w:val="16"/>
          <w:szCs w:val="16"/>
        </w:rPr>
        <w:t>OIiŚ</w:t>
      </w:r>
      <w:r w:rsidRPr="00AD4C15">
        <w:rPr>
          <w:rFonts w:ascii="Arial" w:hAnsi="Arial" w:cs="Arial"/>
          <w:sz w:val="16"/>
          <w:szCs w:val="16"/>
        </w:rPr>
        <w:t xml:space="preserve"> </w:t>
      </w:r>
      <w:r w:rsidRPr="0041509C">
        <w:rPr>
          <w:rFonts w:ascii="Arial" w:hAnsi="Arial" w:cs="Arial"/>
          <w:sz w:val="16"/>
          <w:szCs w:val="16"/>
        </w:rPr>
        <w:t xml:space="preserve">2014-2020 </w:t>
      </w:r>
      <w:r w:rsidRPr="00AD4C15">
        <w:rPr>
          <w:rFonts w:ascii="Arial" w:hAnsi="Arial" w:cs="Arial"/>
          <w:sz w:val="16"/>
          <w:szCs w:val="16"/>
        </w:rPr>
        <w:t xml:space="preserve">działań, które nie są wskazane w załączniku I do dyrektywy 2003/87/WE, nawet jeśli są realizowane przez te same podmioty i dotyczą inwestycji w zakresie efektywności energetycznej (w tym OZE) w kogeneracji oraz w sieciach ciepłowniczych, inteligentnej dystrybucji, magazynowaniu i przesyle energii, a także redukcji zanieczyszczenia powietrza, nawet jeśli jednym z pośrednich skutków takich inwestycji jest redukcja emisji gazów cieplarnianych lub są wpisane w krajowy plan wymieniony w dyrektywie 2003/87/WE (tzw. Krajowy Plan Inwestycyjny). </w:t>
      </w:r>
    </w:p>
  </w:footnote>
  <w:footnote w:id="35">
    <w:p w14:paraId="4E756CA4" w14:textId="77777777" w:rsidR="00E741F8" w:rsidRDefault="00E741F8" w:rsidP="004E3242">
      <w:pPr>
        <w:pStyle w:val="Tekstprzypisudolnego"/>
      </w:pPr>
      <w:r>
        <w:rPr>
          <w:rStyle w:val="Odwoanieprzypisudolnego"/>
        </w:rPr>
        <w:footnoteRef/>
      </w:r>
      <w:r>
        <w:t xml:space="preserve"> </w:t>
      </w:r>
      <w:r w:rsidRPr="005C695F">
        <w:rPr>
          <w:rFonts w:ascii="Arial" w:hAnsi="Arial" w:cs="Arial"/>
          <w:sz w:val="16"/>
          <w:szCs w:val="16"/>
        </w:rPr>
        <w:t>Informacje w sprawozdaniach rocznych będą w podziale na energię elektryczną i ciepło</w:t>
      </w:r>
    </w:p>
  </w:footnote>
  <w:footnote w:id="36">
    <w:p w14:paraId="09D5A97F" w14:textId="77777777" w:rsidR="00E741F8" w:rsidRPr="00EC14D5" w:rsidRDefault="00E741F8" w:rsidP="004E3242">
      <w:pPr>
        <w:pStyle w:val="Tekstprzypisudolnego"/>
        <w:spacing w:before="0" w:after="0" w:line="240" w:lineRule="auto"/>
        <w:contextualSpacing/>
        <w:jc w:val="both"/>
        <w:rPr>
          <w:rFonts w:ascii="Arial" w:hAnsi="Arial" w:cs="Arial"/>
          <w:sz w:val="16"/>
          <w:szCs w:val="16"/>
        </w:rPr>
      </w:pPr>
      <w:r w:rsidRPr="00EC14D5">
        <w:rPr>
          <w:rStyle w:val="Odwoanieprzypisudolnego"/>
          <w:rFonts w:ascii="Arial" w:hAnsi="Arial" w:cs="Arial"/>
          <w:sz w:val="16"/>
          <w:szCs w:val="16"/>
        </w:rPr>
        <w:footnoteRef/>
      </w:r>
      <w:r w:rsidRPr="00EC14D5">
        <w:rPr>
          <w:rFonts w:ascii="Arial" w:hAnsi="Arial" w:cs="Arial"/>
          <w:sz w:val="16"/>
          <w:szCs w:val="16"/>
        </w:rPr>
        <w:t xml:space="preserve"> Za Średniookresową Strategią Rozwoju Kraju 2020</w:t>
      </w:r>
    </w:p>
  </w:footnote>
  <w:footnote w:id="37">
    <w:p w14:paraId="64D41F69" w14:textId="77777777" w:rsidR="00E741F8" w:rsidRPr="00014B12" w:rsidRDefault="00E741F8" w:rsidP="004E3242">
      <w:pPr>
        <w:pStyle w:val="Tekstprzypisudolnego"/>
        <w:spacing w:before="0" w:after="0"/>
        <w:rPr>
          <w:rFonts w:ascii="Arial" w:hAnsi="Arial" w:cs="Arial"/>
          <w:sz w:val="16"/>
          <w:szCs w:val="16"/>
        </w:rPr>
      </w:pPr>
      <w:r w:rsidRPr="00014B12">
        <w:rPr>
          <w:rStyle w:val="Odwoanieprzypisudolnego"/>
        </w:rPr>
        <w:footnoteRef/>
      </w:r>
      <w:r w:rsidRPr="00014B12">
        <w:rPr>
          <w:rFonts w:ascii="Arial" w:hAnsi="Arial" w:cs="Arial"/>
          <w:sz w:val="16"/>
          <w:szCs w:val="16"/>
        </w:rPr>
        <w:t xml:space="preserve"> </w:t>
      </w:r>
      <w:r>
        <w:rPr>
          <w:rFonts w:ascii="Arial" w:hAnsi="Arial" w:cs="Arial"/>
          <w:sz w:val="16"/>
          <w:szCs w:val="16"/>
        </w:rPr>
        <w:t>O</w:t>
      </w:r>
      <w:r w:rsidRPr="00014B12">
        <w:rPr>
          <w:rFonts w:ascii="Arial" w:hAnsi="Arial" w:cs="Arial"/>
          <w:sz w:val="16"/>
          <w:szCs w:val="16"/>
        </w:rPr>
        <w:t xml:space="preserve">szacowanie uwzględniające prognozy modelu PRIMES </w:t>
      </w:r>
    </w:p>
  </w:footnote>
  <w:footnote w:id="38">
    <w:p w14:paraId="38C5FAC7" w14:textId="77777777" w:rsidR="00E741F8" w:rsidRPr="00277D1A" w:rsidRDefault="00E741F8" w:rsidP="004E3242">
      <w:pPr>
        <w:pStyle w:val="Tekstprzypisudolnego"/>
        <w:spacing w:before="0" w:after="0" w:line="240" w:lineRule="auto"/>
        <w:contextualSpacing/>
        <w:jc w:val="both"/>
        <w:rPr>
          <w:rFonts w:ascii="Arial" w:hAnsi="Arial" w:cs="Arial"/>
          <w:sz w:val="16"/>
          <w:szCs w:val="16"/>
        </w:rPr>
      </w:pPr>
      <w:r w:rsidRPr="00EC14D5">
        <w:rPr>
          <w:rStyle w:val="Odwoanieprzypisudolnego"/>
          <w:rFonts w:ascii="Arial" w:hAnsi="Arial" w:cs="Arial"/>
          <w:sz w:val="16"/>
          <w:szCs w:val="16"/>
        </w:rPr>
        <w:footnoteRef/>
      </w:r>
      <w:r w:rsidRPr="00EC14D5">
        <w:rPr>
          <w:rFonts w:ascii="Arial" w:hAnsi="Arial" w:cs="Arial"/>
          <w:sz w:val="16"/>
          <w:szCs w:val="16"/>
        </w:rPr>
        <w:t xml:space="preserve"> </w:t>
      </w:r>
      <w:r w:rsidRPr="00F93AB5">
        <w:rPr>
          <w:rFonts w:ascii="Arial" w:hAnsi="Arial" w:cs="Arial"/>
          <w:sz w:val="16"/>
          <w:szCs w:val="16"/>
        </w:rPr>
        <w:t>Głęboka kompleksowa modernizacja energetyczna, rozumiana jako kompleksowa termomodernizacja, oznacza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footnote>
  <w:footnote w:id="39">
    <w:p w14:paraId="1E3272E5" w14:textId="77777777" w:rsidR="00E741F8" w:rsidRPr="00D6041A" w:rsidRDefault="00E741F8" w:rsidP="004E3242">
      <w:pPr>
        <w:pStyle w:val="Tekstprzypisudolnego"/>
        <w:jc w:val="both"/>
        <w:rPr>
          <w:rFonts w:ascii="Arial" w:hAnsi="Arial" w:cs="Arial"/>
          <w:sz w:val="16"/>
          <w:szCs w:val="16"/>
        </w:rPr>
      </w:pPr>
      <w:r w:rsidRPr="00D6041A">
        <w:rPr>
          <w:rFonts w:ascii="Arial" w:hAnsi="Arial" w:cs="Arial"/>
          <w:sz w:val="16"/>
          <w:szCs w:val="16"/>
        </w:rPr>
        <w:footnoteRef/>
      </w:r>
      <w:r w:rsidRPr="00D6041A">
        <w:rPr>
          <w:rFonts w:ascii="Arial" w:hAnsi="Arial" w:cs="Arial"/>
          <w:sz w:val="16"/>
          <w:szCs w:val="16"/>
        </w:rPr>
        <w:t xml:space="preserve"> Wsparcie może zostać udzielone na inwestycje w kotły spalające biomasę lub ewentualnie paliwa gazowe, ale jedynie w szczególnie uzasadnionych przypadkach, gdy osiągnięte zostanie znaczne zwiększenie efektywności energetycznej oraz gdy istnieją szczególnie pilne potrzeby. Inwestycje muszą przyczyniać się do zmniejszenia emisji CO2 i innych zanieczyszczeń powietrza oraz do znacznego zwiększenia oszczędności energii. Wspomniane inwestycje mogą zostać wsparte jedynie w przypadku, gdy podłączenie do sieci ciepłowniczej na danym obszarze nie jest uzasadnione ekonomicznie. Preferowane powinny być instrumenty finansowe w przypadku powyższych inwestycji. Możliwość użycia instrumentów finansowych na tego typu projekty będzie przedmiotem oceny ex-ante zgodnie z wymaganiami artykułu 37 ust. 2 rozporządzenia (UE) nr 1303/2013. Projekty powinny również przeciwdziałać ubóstwu energetycznemu.</w:t>
      </w:r>
    </w:p>
  </w:footnote>
  <w:footnote w:id="40">
    <w:p w14:paraId="106E836D" w14:textId="77777777" w:rsidR="00E741F8" w:rsidRPr="000F0DDC" w:rsidRDefault="00E741F8" w:rsidP="004E3242">
      <w:pPr>
        <w:pStyle w:val="Tekstprzypisudolnego"/>
        <w:spacing w:before="0" w:after="0" w:line="240" w:lineRule="auto"/>
        <w:contextualSpacing/>
        <w:jc w:val="both"/>
        <w:rPr>
          <w:rFonts w:ascii="Arial" w:hAnsi="Arial" w:cs="Arial"/>
          <w:sz w:val="16"/>
          <w:szCs w:val="16"/>
        </w:rPr>
      </w:pPr>
      <w:r w:rsidRPr="000F0DDC">
        <w:rPr>
          <w:rStyle w:val="Odwoanieprzypisudolnego"/>
          <w:rFonts w:ascii="Arial" w:hAnsi="Arial" w:cs="Arial"/>
          <w:sz w:val="16"/>
          <w:szCs w:val="16"/>
        </w:rPr>
        <w:footnoteRef/>
      </w:r>
      <w:r w:rsidRPr="000F0DDC">
        <w:rPr>
          <w:rFonts w:ascii="Arial" w:hAnsi="Arial" w:cs="Arial"/>
          <w:sz w:val="16"/>
          <w:szCs w:val="16"/>
        </w:rPr>
        <w:t xml:space="preserve"> Działania w zakresie efektywności energetycznej dla budynku mieszkalnego wielorodzinnego powinny obejmować wszelkie prace związane z charakterystyką energetyczną budynku tj. ociepleniem przegród, wymianą stolarki, wymianą instalacji c. o. i c. w. u. (wraz z wymianą grzejników i punktów czerpalnych dla c.w.u.), wymianą źródła ciepła, bez względu na to, czy obejmują one część wspólną budynku, czy część prywatną właścicieli mieszkań.</w:t>
      </w:r>
    </w:p>
  </w:footnote>
  <w:footnote w:id="41">
    <w:p w14:paraId="7AB4A3F7" w14:textId="77777777" w:rsidR="00E741F8" w:rsidRPr="00575743" w:rsidRDefault="00E741F8" w:rsidP="004E3242">
      <w:pPr>
        <w:pStyle w:val="Tekstprzypisudolnego"/>
        <w:rPr>
          <w:rFonts w:ascii="Arial" w:hAnsi="Arial" w:cs="Arial"/>
          <w:sz w:val="16"/>
          <w:szCs w:val="16"/>
        </w:rPr>
      </w:pPr>
      <w:r w:rsidRPr="00575743">
        <w:rPr>
          <w:rFonts w:ascii="Arial" w:hAnsi="Arial" w:cs="Arial"/>
          <w:sz w:val="16"/>
          <w:szCs w:val="16"/>
        </w:rPr>
        <w:footnoteRef/>
      </w:r>
      <w:r w:rsidRPr="00575743">
        <w:rPr>
          <w:rFonts w:ascii="Arial" w:hAnsi="Arial" w:cs="Arial"/>
          <w:sz w:val="16"/>
          <w:szCs w:val="16"/>
        </w:rPr>
        <w:t xml:space="preserve"> Inwestycje w tym zakresie mają długotrwały charakter i dlatego powinny być zgodne z właściwymi przepisami unijnymi. Wspierane urządzenia do ogrzewania powinny od początku okresu programowania charakteryzować się obowiązującym od końca 2020r.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footnote>
  <w:footnote w:id="42">
    <w:p w14:paraId="7F0343D9" w14:textId="77777777" w:rsidR="00E741F8" w:rsidRDefault="00E741F8" w:rsidP="00DE510E">
      <w:pPr>
        <w:pStyle w:val="Tekstprzypisudolnego"/>
        <w:jc w:val="both"/>
      </w:pPr>
      <w:r>
        <w:rPr>
          <w:rStyle w:val="Odwoanieprzypisudolnego"/>
        </w:rPr>
        <w:footnoteRef/>
      </w:r>
      <w:r>
        <w:t xml:space="preserve"> </w:t>
      </w:r>
      <w:r w:rsidRPr="00606898">
        <w:rPr>
          <w:rFonts w:ascii="Arial" w:hAnsi="Arial" w:cs="Arial"/>
          <w:sz w:val="16"/>
          <w:szCs w:val="16"/>
        </w:rPr>
        <w:t>Z wyłączeniem instalacji szczytowo-pompowych. Magazynowanie energii nie może odbywać się w elektrowniach szczytowo-pompowych, lecz z wykorzystaniem innych technologii stosowanych w sieciach dystrybucyjnych, w tym w szczególności technologii akumulatorowych.</w:t>
      </w:r>
      <w:r w:rsidRPr="00C72E58">
        <w:t xml:space="preserve"> </w:t>
      </w:r>
    </w:p>
  </w:footnote>
  <w:footnote w:id="43">
    <w:p w14:paraId="3B4EC542" w14:textId="77777777" w:rsidR="00E741F8" w:rsidRPr="0035146F" w:rsidRDefault="00E741F8" w:rsidP="004E3242">
      <w:pPr>
        <w:spacing w:after="0" w:line="240" w:lineRule="auto"/>
        <w:rPr>
          <w:rFonts w:ascii="Arial" w:hAnsi="Arial" w:cs="Arial"/>
          <w:sz w:val="16"/>
          <w:szCs w:val="16"/>
        </w:rPr>
      </w:pPr>
      <w:r w:rsidRPr="00606898">
        <w:rPr>
          <w:rStyle w:val="Odwoanieprzypisudolnego"/>
          <w:noProof/>
          <w:lang w:eastAsia="pl-PL"/>
        </w:rPr>
        <w:footnoteRef/>
      </w:r>
      <w:r w:rsidRPr="00606898">
        <w:rPr>
          <w:rStyle w:val="Odwoanieprzypisudolnego"/>
          <w:noProof/>
          <w:lang w:eastAsia="pl-PL"/>
        </w:rPr>
        <w:t xml:space="preserve"> </w:t>
      </w:r>
      <w:r w:rsidRPr="0035146F">
        <w:rPr>
          <w:rFonts w:ascii="Arial" w:hAnsi="Arial" w:cs="Arial"/>
          <w:sz w:val="16"/>
          <w:szCs w:val="16"/>
        </w:rPr>
        <w:t xml:space="preserve">Funkcjonalności inteligentnej sieci dystrybucyjnej: </w:t>
      </w:r>
    </w:p>
    <w:p w14:paraId="57F23E55"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monitoringu obciążenia sieci w czasie rzeczywistym wraz z wizualizacją </w:t>
      </w:r>
    </w:p>
    <w:p w14:paraId="034E160E"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automatycznej identyfikacja błędów  (wraz z systemem naprawczym) </w:t>
      </w:r>
    </w:p>
    <w:p w14:paraId="65B0BC06"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dynamicznej rekonfiguracji sieci dla zoptymalizowania funkcjonowania sieci </w:t>
      </w:r>
    </w:p>
    <w:p w14:paraId="482A2113"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kontroli przepływu mocy czynnej i biernej (m.in. sterowanie źródłami rozproszonymi i kompensatorami mocy biernej) </w:t>
      </w:r>
    </w:p>
    <w:p w14:paraId="1343C027"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planowania rozwoju sieci dystrybucyjnych z uwzględnieniem źródeł generacji rozproszonych </w:t>
      </w:r>
    </w:p>
    <w:p w14:paraId="292F6160"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bieżącego monitoringu i oceny stanu urządzeń </w:t>
      </w:r>
    </w:p>
    <w:p w14:paraId="19B7651D"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automatycznej kontroli poziomu napięcia i poziomu mocy biernej na magistrali </w:t>
      </w:r>
    </w:p>
    <w:p w14:paraId="2BAEB6B8"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adaptacyjnej ochrony rozproszonych źródeł energii przed pracą wyspową </w:t>
      </w:r>
    </w:p>
    <w:p w14:paraId="68A4789F"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automatycznej dostawy usług systemowych  (m.in. kontrola napięcia, częstotliwości i regulacji mocy biernej) </w:t>
      </w:r>
    </w:p>
    <w:p w14:paraId="08B46C6B"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optymalizacji rozdziału mocy (lokalna lub zdalna) </w:t>
      </w:r>
    </w:p>
    <w:p w14:paraId="0CAFF3A1"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agregacji zarządzania pracą źródłami rozproszonymi </w:t>
      </w:r>
    </w:p>
    <w:p w14:paraId="55222827"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automatycznego (tymczasowego) przechodzenia na system wyspowy rozproszonych źródeł energii </w:t>
      </w:r>
    </w:p>
    <w:p w14:paraId="1A6B30A5"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ładowania pojazdów elektrycznych </w:t>
      </w:r>
    </w:p>
    <w:p w14:paraId="1D35E091" w14:textId="77777777" w:rsidR="00E741F8" w:rsidRPr="0035146F" w:rsidRDefault="00E741F8" w:rsidP="00B345B6">
      <w:pPr>
        <w:numPr>
          <w:ilvl w:val="0"/>
          <w:numId w:val="46"/>
        </w:numPr>
        <w:spacing w:after="0" w:line="240" w:lineRule="auto"/>
        <w:ind w:left="714" w:hanging="357"/>
        <w:rPr>
          <w:rFonts w:ascii="Arial" w:hAnsi="Arial" w:cs="Arial"/>
          <w:sz w:val="16"/>
          <w:szCs w:val="16"/>
        </w:rPr>
      </w:pPr>
      <w:r w:rsidRPr="0035146F">
        <w:rPr>
          <w:rFonts w:ascii="Arial" w:hAnsi="Arial" w:cs="Arial"/>
          <w:sz w:val="16"/>
          <w:szCs w:val="16"/>
        </w:rPr>
        <w:t xml:space="preserve">Funkcja pomiaru obciążenia w czasie rzeczywistym wraz z wizualizacją </w:t>
      </w:r>
    </w:p>
    <w:p w14:paraId="36F4DE1D" w14:textId="77777777" w:rsidR="00E741F8" w:rsidRPr="0035146F" w:rsidRDefault="00E741F8" w:rsidP="00B345B6">
      <w:pPr>
        <w:numPr>
          <w:ilvl w:val="0"/>
          <w:numId w:val="46"/>
        </w:numPr>
        <w:spacing w:after="0" w:line="240" w:lineRule="auto"/>
        <w:ind w:left="714" w:hanging="357"/>
        <w:rPr>
          <w:rFonts w:ascii="Arial" w:hAnsi="Arial" w:cs="Arial"/>
        </w:rPr>
      </w:pPr>
      <w:r w:rsidRPr="0035146F">
        <w:rPr>
          <w:rFonts w:ascii="Arial" w:hAnsi="Arial" w:cs="Arial"/>
          <w:sz w:val="16"/>
          <w:szCs w:val="16"/>
        </w:rPr>
        <w:t>Funkcja zarządzania energią przez odbiorcę</w:t>
      </w:r>
    </w:p>
  </w:footnote>
  <w:footnote w:id="44">
    <w:p w14:paraId="6AF9C44B" w14:textId="77777777" w:rsidR="00E741F8" w:rsidRPr="003E7B09" w:rsidRDefault="00E741F8" w:rsidP="004E3242">
      <w:pPr>
        <w:pStyle w:val="Tekstprzypisudolnego"/>
        <w:spacing w:before="0" w:after="0" w:line="240" w:lineRule="auto"/>
        <w:contextualSpacing/>
        <w:jc w:val="both"/>
        <w:rPr>
          <w:rFonts w:ascii="Arial" w:hAnsi="Arial" w:cs="Arial"/>
          <w:sz w:val="16"/>
          <w:szCs w:val="16"/>
        </w:rPr>
      </w:pPr>
      <w:r w:rsidRPr="00026FAF">
        <w:rPr>
          <w:rStyle w:val="Odwoanieprzypisudolnego"/>
          <w:rFonts w:ascii="Arial" w:hAnsi="Arial" w:cs="Arial"/>
          <w:sz w:val="16"/>
          <w:szCs w:val="16"/>
        </w:rPr>
        <w:footnoteRef/>
      </w:r>
      <w:r w:rsidRPr="003E7B09">
        <w:rPr>
          <w:rFonts w:ascii="Arial" w:hAnsi="Arial" w:cs="Arial"/>
          <w:sz w:val="16"/>
          <w:szCs w:val="16"/>
        </w:rPr>
        <w:t xml:space="preserve"> Za Średniookreso</w:t>
      </w:r>
      <w:r>
        <w:rPr>
          <w:rFonts w:ascii="Arial" w:hAnsi="Arial" w:cs="Arial"/>
          <w:sz w:val="16"/>
          <w:szCs w:val="16"/>
        </w:rPr>
        <w:t>wą Strategią Rozwoju Kraju 2020</w:t>
      </w:r>
    </w:p>
  </w:footnote>
  <w:footnote w:id="45">
    <w:p w14:paraId="0AEC4F36" w14:textId="77777777" w:rsidR="00E741F8" w:rsidRPr="0035146F" w:rsidRDefault="00E741F8" w:rsidP="004E3242">
      <w:pPr>
        <w:pStyle w:val="Tekstprzypisudolnego"/>
        <w:spacing w:before="0" w:after="0" w:line="240" w:lineRule="auto"/>
        <w:contextualSpacing/>
        <w:jc w:val="both"/>
        <w:rPr>
          <w:rFonts w:ascii="Arial" w:hAnsi="Arial" w:cs="Arial"/>
        </w:rPr>
      </w:pPr>
      <w:r w:rsidRPr="00E46C1B">
        <w:rPr>
          <w:rStyle w:val="Odwoanieprzypisudolnego"/>
          <w:rFonts w:ascii="Arial" w:hAnsi="Arial" w:cs="Arial"/>
          <w:sz w:val="16"/>
          <w:szCs w:val="16"/>
        </w:rPr>
        <w:footnoteRef/>
      </w:r>
      <w:r w:rsidRPr="00F85397">
        <w:rPr>
          <w:rFonts w:ascii="Arial" w:hAnsi="Arial" w:cs="Arial"/>
          <w:sz w:val="16"/>
          <w:szCs w:val="16"/>
        </w:rPr>
        <w:t xml:space="preserve"> Oszacowanie uwzględnia szacunki KOBIZE dotyczące limitów emisji ETS oraz utrzymanie liniowego spadku tych limitów </w:t>
      </w:r>
      <w:r w:rsidRPr="00F85397">
        <w:rPr>
          <w:rFonts w:ascii="Arial" w:hAnsi="Arial" w:cs="Arial"/>
          <w:sz w:val="16"/>
          <w:szCs w:val="16"/>
        </w:rPr>
        <w:br/>
        <w:t>po 2020 r.</w:t>
      </w:r>
    </w:p>
  </w:footnote>
  <w:footnote w:id="46">
    <w:p w14:paraId="26A775B4" w14:textId="77777777" w:rsidR="00E741F8" w:rsidRPr="00EC14D5" w:rsidRDefault="00E741F8" w:rsidP="004E3242">
      <w:pPr>
        <w:pStyle w:val="Tekstprzypisudolnego"/>
        <w:spacing w:before="0" w:after="0" w:line="240" w:lineRule="auto"/>
        <w:contextualSpacing/>
        <w:jc w:val="both"/>
        <w:rPr>
          <w:rFonts w:ascii="Arial" w:hAnsi="Arial" w:cs="Arial"/>
          <w:sz w:val="16"/>
          <w:szCs w:val="16"/>
        </w:rPr>
      </w:pPr>
      <w:r w:rsidRPr="00606898">
        <w:rPr>
          <w:rStyle w:val="Odwoanieprzypisudolnego"/>
        </w:rPr>
        <w:footnoteRef/>
      </w:r>
      <w:r w:rsidRPr="00014B12">
        <w:rPr>
          <w:rFonts w:ascii="Arial" w:hAnsi="Arial" w:cs="Arial"/>
          <w:sz w:val="16"/>
          <w:szCs w:val="16"/>
        </w:rPr>
        <w:t xml:space="preserve"> Za Średniookresową Strategią Rozwoju Kraju 2020</w:t>
      </w:r>
    </w:p>
  </w:footnote>
  <w:footnote w:id="47">
    <w:p w14:paraId="015B3EE1" w14:textId="77777777" w:rsidR="00E741F8" w:rsidRDefault="00E741F8" w:rsidP="004E3242">
      <w:pPr>
        <w:pStyle w:val="Tekstprzypisudolnego"/>
      </w:pPr>
      <w:r>
        <w:rPr>
          <w:rStyle w:val="Odwoanieprzypisudolnego"/>
        </w:rPr>
        <w:footnoteRef/>
      </w:r>
      <w:r>
        <w:t xml:space="preserve"> </w:t>
      </w:r>
      <w:r w:rsidRPr="00606898">
        <w:rPr>
          <w:rFonts w:ascii="Arial" w:hAnsi="Arial" w:cs="Arial"/>
          <w:sz w:val="16"/>
          <w:szCs w:val="16"/>
        </w:rPr>
        <w:t>Oszacowanie uwzględniające symulacje z modelu PRIMES 2013)</w:t>
      </w:r>
    </w:p>
  </w:footnote>
  <w:footnote w:id="48">
    <w:p w14:paraId="2487F1F7" w14:textId="77777777" w:rsidR="00E741F8" w:rsidRDefault="00E741F8" w:rsidP="004E3242">
      <w:pPr>
        <w:pStyle w:val="Tekstprzypisudolnego"/>
      </w:pPr>
      <w:r>
        <w:rPr>
          <w:rStyle w:val="Odwoanieprzypisudolnego"/>
        </w:rPr>
        <w:footnoteRef/>
      </w:r>
      <w:r>
        <w:t xml:space="preserve"> </w:t>
      </w:r>
      <w:r w:rsidRPr="00606898">
        <w:rPr>
          <w:rFonts w:ascii="Arial" w:hAnsi="Arial" w:cs="Arial"/>
          <w:sz w:val="16"/>
          <w:szCs w:val="16"/>
        </w:rPr>
        <w:t>Informacje w sprawozdaniach rocznych będą w podziale na energię elektryczną i ciepło</w:t>
      </w:r>
    </w:p>
  </w:footnote>
  <w:footnote w:id="49">
    <w:p w14:paraId="0E5A5B5D" w14:textId="77777777" w:rsidR="00E741F8" w:rsidRPr="004A6DB0" w:rsidRDefault="00E741F8" w:rsidP="004E3242">
      <w:pPr>
        <w:pStyle w:val="Tekstprzypisudolnego"/>
        <w:jc w:val="both"/>
        <w:rPr>
          <w:rFonts w:ascii="Arial" w:hAnsi="Arial" w:cs="Arial"/>
          <w:sz w:val="16"/>
          <w:szCs w:val="16"/>
        </w:rPr>
      </w:pPr>
      <w:r w:rsidRPr="004A6DB0">
        <w:rPr>
          <w:rStyle w:val="Odwoanieprzypisudolnego"/>
          <w:rFonts w:ascii="Arial" w:hAnsi="Arial" w:cs="Arial"/>
          <w:sz w:val="16"/>
          <w:szCs w:val="16"/>
        </w:rPr>
        <w:footnoteRef/>
      </w:r>
      <w:r w:rsidRPr="004A6DB0">
        <w:rPr>
          <w:rFonts w:ascii="Arial" w:hAnsi="Arial" w:cs="Arial"/>
          <w:sz w:val="16"/>
          <w:szCs w:val="16"/>
        </w:rPr>
        <w:t xml:space="preserve"> 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t>
      </w:r>
      <w:r w:rsidRPr="004A6DB0">
        <w:rPr>
          <w:rFonts w:ascii="Arial" w:hAnsi="Arial" w:cs="Arial"/>
          <w:i/>
          <w:sz w:val="16"/>
          <w:szCs w:val="16"/>
        </w:rPr>
        <w:t>Wytycznych do realizacji obiektów małej retencji w Nadleśnictwach</w:t>
      </w:r>
      <w:r w:rsidRPr="004A6DB0">
        <w:rPr>
          <w:rFonts w:ascii="Arial" w:hAnsi="Arial" w:cs="Arial"/>
          <w:sz w:val="16"/>
          <w:szCs w:val="16"/>
        </w:rPr>
        <w:t xml:space="preserve"> oraz </w:t>
      </w:r>
      <w:r w:rsidRPr="004A6DB0">
        <w:rPr>
          <w:rFonts w:ascii="Arial" w:hAnsi="Arial" w:cs="Arial"/>
          <w:i/>
          <w:sz w:val="16"/>
          <w:szCs w:val="16"/>
        </w:rPr>
        <w:t>Wytycznych do realizacji małej retencji w górach</w:t>
      </w:r>
      <w:r w:rsidRPr="004A6DB0">
        <w:rPr>
          <w:rFonts w:ascii="Arial" w:hAnsi="Arial" w:cs="Arial"/>
          <w:sz w:val="16"/>
          <w:szCs w:val="16"/>
        </w:rPr>
        <w:t>.</w:t>
      </w:r>
    </w:p>
  </w:footnote>
  <w:footnote w:id="50">
    <w:p w14:paraId="3B6FBA77" w14:textId="77777777" w:rsidR="00E741F8" w:rsidRPr="00160D42" w:rsidRDefault="00E741F8" w:rsidP="00B345B6">
      <w:pPr>
        <w:pStyle w:val="Tekstprzypisudolnego"/>
        <w:spacing w:before="120" w:after="120" w:line="240" w:lineRule="auto"/>
        <w:jc w:val="both"/>
        <w:rPr>
          <w:rFonts w:ascii="Arial" w:hAnsi="Arial" w:cs="Arial"/>
          <w:sz w:val="16"/>
          <w:szCs w:val="16"/>
        </w:rPr>
      </w:pPr>
      <w:r w:rsidRPr="00160D42">
        <w:rPr>
          <w:rStyle w:val="Odwoanieprzypisudolnego"/>
          <w:rFonts w:ascii="Arial" w:hAnsi="Arial" w:cs="Arial"/>
          <w:sz w:val="16"/>
          <w:szCs w:val="16"/>
        </w:rPr>
        <w:footnoteRef/>
      </w:r>
      <w:r w:rsidRPr="00160D42">
        <w:rPr>
          <w:rFonts w:ascii="Arial" w:hAnsi="Arial" w:cs="Arial"/>
          <w:sz w:val="16"/>
          <w:szCs w:val="16"/>
        </w:rPr>
        <w:t xml:space="preserve"> </w:t>
      </w:r>
      <w:r w:rsidRPr="00160D42">
        <w:rPr>
          <w:rFonts w:ascii="Arial" w:hAnsi="Arial" w:cs="Arial"/>
          <w:spacing w:val="4"/>
          <w:sz w:val="16"/>
          <w:szCs w:val="16"/>
        </w:rPr>
        <w:t>Projekty wskazane na Listach nr 1</w:t>
      </w:r>
      <w:r>
        <w:rPr>
          <w:rFonts w:ascii="Arial" w:hAnsi="Arial" w:cs="Arial"/>
          <w:spacing w:val="4"/>
          <w:sz w:val="16"/>
          <w:szCs w:val="16"/>
        </w:rPr>
        <w:t xml:space="preserve"> </w:t>
      </w:r>
      <w:r w:rsidRPr="00160D42">
        <w:rPr>
          <w:rFonts w:ascii="Arial" w:hAnsi="Arial" w:cs="Arial"/>
          <w:spacing w:val="4"/>
          <w:sz w:val="16"/>
          <w:szCs w:val="16"/>
        </w:rPr>
        <w:t>-</w:t>
      </w:r>
      <w:r>
        <w:rPr>
          <w:rFonts w:ascii="Arial" w:hAnsi="Arial" w:cs="Arial"/>
          <w:spacing w:val="4"/>
          <w:sz w:val="16"/>
          <w:szCs w:val="16"/>
        </w:rPr>
        <w:t xml:space="preserve"> </w:t>
      </w:r>
      <w:r w:rsidRPr="00160D42">
        <w:rPr>
          <w:rFonts w:ascii="Arial" w:hAnsi="Arial" w:cs="Arial"/>
          <w:i/>
          <w:spacing w:val="4"/>
          <w:sz w:val="16"/>
          <w:szCs w:val="16"/>
        </w:rPr>
        <w:t>Inwestycje, które nie wpływają negatywnie na osiągnięcie dobrego stanu wód lub nie pogarszają stanu wód.</w:t>
      </w:r>
    </w:p>
  </w:footnote>
  <w:footnote w:id="51">
    <w:p w14:paraId="485147DA" w14:textId="77777777" w:rsidR="00E741F8" w:rsidRPr="00160D42" w:rsidRDefault="00E741F8" w:rsidP="004E3242">
      <w:pPr>
        <w:pStyle w:val="Tekstprzypisudolnego"/>
        <w:spacing w:before="0" w:after="0" w:line="240" w:lineRule="auto"/>
        <w:jc w:val="both"/>
        <w:rPr>
          <w:rFonts w:ascii="Arial" w:hAnsi="Arial" w:cs="Arial"/>
          <w:sz w:val="16"/>
          <w:szCs w:val="16"/>
        </w:rPr>
      </w:pPr>
      <w:r w:rsidRPr="00160D42">
        <w:rPr>
          <w:rStyle w:val="Odwoanieprzypisudolnego"/>
          <w:rFonts w:ascii="Arial" w:hAnsi="Arial" w:cs="Arial"/>
          <w:sz w:val="16"/>
          <w:szCs w:val="16"/>
        </w:rPr>
        <w:footnoteRef/>
      </w:r>
      <w:r w:rsidRPr="00160D42">
        <w:rPr>
          <w:rFonts w:ascii="Arial" w:hAnsi="Arial" w:cs="Arial"/>
          <w:sz w:val="16"/>
          <w:szCs w:val="16"/>
        </w:rPr>
        <w:t xml:space="preserve"> </w:t>
      </w:r>
      <w:r w:rsidRPr="00160D42">
        <w:rPr>
          <w:rFonts w:ascii="Arial" w:hAnsi="Arial" w:cs="Arial"/>
          <w:spacing w:val="4"/>
          <w:sz w:val="16"/>
          <w:szCs w:val="16"/>
        </w:rPr>
        <w:t>Projekty wskazane na Listach nr 2</w:t>
      </w:r>
      <w:r>
        <w:rPr>
          <w:rFonts w:ascii="Arial" w:hAnsi="Arial" w:cs="Arial"/>
          <w:spacing w:val="4"/>
          <w:sz w:val="16"/>
          <w:szCs w:val="16"/>
        </w:rPr>
        <w:t xml:space="preserve"> </w:t>
      </w:r>
      <w:r w:rsidRPr="00160D42">
        <w:rPr>
          <w:rFonts w:ascii="Arial" w:hAnsi="Arial" w:cs="Arial"/>
          <w:spacing w:val="4"/>
          <w:sz w:val="16"/>
          <w:szCs w:val="16"/>
        </w:rPr>
        <w:t xml:space="preserve">- </w:t>
      </w:r>
      <w:r w:rsidRPr="00160D42">
        <w:rPr>
          <w:rFonts w:ascii="Arial" w:hAnsi="Arial" w:cs="Arial"/>
          <w:i/>
          <w:spacing w:val="4"/>
          <w:sz w:val="16"/>
          <w:szCs w:val="16"/>
        </w:rPr>
        <w:t>Inwestycje, które mogą spowodować nieosiągnięcie dobrego stanu wód lub pogorszenie stanu/potencjału i dla których należy rozważyć zastosowanie odstępstwa.</w:t>
      </w:r>
    </w:p>
  </w:footnote>
  <w:footnote w:id="52">
    <w:p w14:paraId="713E4577" w14:textId="77777777" w:rsidR="00E741F8" w:rsidRPr="00EC14D5" w:rsidRDefault="00E741F8" w:rsidP="004E3242">
      <w:pPr>
        <w:pStyle w:val="Tekstprzypisudolnego"/>
        <w:spacing w:before="0" w:after="0" w:line="240" w:lineRule="auto"/>
        <w:contextualSpacing/>
        <w:jc w:val="both"/>
        <w:rPr>
          <w:rFonts w:ascii="Arial" w:hAnsi="Arial" w:cs="Arial"/>
          <w:sz w:val="16"/>
          <w:szCs w:val="16"/>
        </w:rPr>
      </w:pPr>
      <w:r w:rsidRPr="00EC14D5">
        <w:rPr>
          <w:rStyle w:val="Odwoanieprzypisudolnego"/>
          <w:rFonts w:ascii="Arial" w:hAnsi="Arial" w:cs="Arial"/>
          <w:sz w:val="16"/>
          <w:szCs w:val="16"/>
        </w:rPr>
        <w:footnoteRef/>
      </w:r>
      <w:r w:rsidRPr="00EC14D5">
        <w:rPr>
          <w:rFonts w:ascii="Arial" w:hAnsi="Arial" w:cs="Arial"/>
          <w:sz w:val="16"/>
          <w:szCs w:val="16"/>
        </w:rPr>
        <w:t xml:space="preserve"> </w:t>
      </w:r>
      <w:r w:rsidRPr="00A169C4">
        <w:rPr>
          <w:rFonts w:ascii="Arial" w:hAnsi="Arial" w:cs="Arial"/>
          <w:sz w:val="16"/>
          <w:szCs w:val="16"/>
        </w:rPr>
        <w:t>Wartość wskaźnika szacowana na podstawie następujących zmiennych i według</w:t>
      </w:r>
      <w:r w:rsidRPr="00B47E90">
        <w:rPr>
          <w:rFonts w:ascii="Arial" w:hAnsi="Arial" w:cs="Arial"/>
          <w:sz w:val="16"/>
          <w:szCs w:val="16"/>
        </w:rPr>
        <w:t xml:space="preserve"> następującej formuły: </w:t>
      </w:r>
      <w:r>
        <w:rPr>
          <w:rFonts w:ascii="Arial" w:hAnsi="Arial" w:cs="Arial"/>
          <w:sz w:val="16"/>
          <w:szCs w:val="16"/>
        </w:rPr>
        <w:t>(</w:t>
      </w:r>
      <w:r w:rsidRPr="00B47E90">
        <w:rPr>
          <w:rFonts w:ascii="Arial" w:hAnsi="Arial" w:cs="Arial"/>
          <w:sz w:val="16"/>
          <w:szCs w:val="16"/>
        </w:rPr>
        <w:t>(</w:t>
      </w:r>
      <w:r w:rsidRPr="00B47E90">
        <w:rPr>
          <w:rFonts w:ascii="Arial" w:hAnsi="Arial" w:cs="Arial"/>
          <w:i/>
          <w:sz w:val="16"/>
          <w:szCs w:val="16"/>
        </w:rPr>
        <w:t>Total waste treatment</w:t>
      </w:r>
      <w:r w:rsidRPr="00B47E90">
        <w:rPr>
          <w:rFonts w:ascii="Arial" w:hAnsi="Arial" w:cs="Arial"/>
          <w:sz w:val="16"/>
          <w:szCs w:val="16"/>
        </w:rPr>
        <w:t>)-(</w:t>
      </w:r>
      <w:r w:rsidRPr="00EC14D5">
        <w:rPr>
          <w:rFonts w:ascii="Arial" w:hAnsi="Arial" w:cs="Arial"/>
          <w:i/>
          <w:sz w:val="16"/>
          <w:szCs w:val="16"/>
        </w:rPr>
        <w:t>Deposit onto or into land</w:t>
      </w:r>
      <w:r w:rsidRPr="00EC14D5">
        <w:rPr>
          <w:rFonts w:ascii="Arial" w:hAnsi="Arial" w:cs="Arial"/>
          <w:sz w:val="16"/>
          <w:szCs w:val="16"/>
        </w:rPr>
        <w:t>))/(</w:t>
      </w:r>
      <w:r w:rsidRPr="00EC14D5">
        <w:rPr>
          <w:rFonts w:ascii="Arial" w:hAnsi="Arial" w:cs="Arial"/>
          <w:i/>
          <w:sz w:val="16"/>
          <w:szCs w:val="16"/>
        </w:rPr>
        <w:t>Waste generated</w:t>
      </w:r>
      <w:r w:rsidRPr="00EC14D5">
        <w:rPr>
          <w:rFonts w:ascii="Arial" w:hAnsi="Arial" w:cs="Arial"/>
          <w:sz w:val="16"/>
          <w:szCs w:val="16"/>
        </w:rPr>
        <w:t>)</w:t>
      </w:r>
    </w:p>
  </w:footnote>
  <w:footnote w:id="53">
    <w:p w14:paraId="7CFBED2C" w14:textId="77777777" w:rsidR="00E741F8" w:rsidRDefault="00E741F8" w:rsidP="004E3242">
      <w:pPr>
        <w:pStyle w:val="Tekstprzypisudolnego"/>
        <w:spacing w:before="0" w:after="0" w:line="240" w:lineRule="auto"/>
        <w:contextualSpacing/>
        <w:jc w:val="both"/>
      </w:pPr>
      <w:r w:rsidRPr="00EC14D5">
        <w:rPr>
          <w:rStyle w:val="Odwoanieprzypisudolnego"/>
          <w:rFonts w:ascii="Arial" w:hAnsi="Arial" w:cs="Arial"/>
          <w:sz w:val="16"/>
          <w:szCs w:val="16"/>
        </w:rPr>
        <w:footnoteRef/>
      </w:r>
      <w:r w:rsidRPr="00EC14D5">
        <w:rPr>
          <w:rFonts w:ascii="Arial" w:hAnsi="Arial" w:cs="Arial"/>
          <w:sz w:val="16"/>
          <w:szCs w:val="16"/>
        </w:rPr>
        <w:t xml:space="preserve"> Oszacowanie uwzględniające wymogi Dyrektywy 2008/98/WE</w:t>
      </w:r>
    </w:p>
  </w:footnote>
  <w:footnote w:id="54">
    <w:p w14:paraId="67C6B66E" w14:textId="77777777" w:rsidR="00E741F8" w:rsidRPr="001B5078" w:rsidRDefault="00E741F8" w:rsidP="001B5078">
      <w:pPr>
        <w:pStyle w:val="Tekstprzypisudolnego"/>
        <w:jc w:val="both"/>
        <w:rPr>
          <w:rFonts w:ascii="Arial" w:hAnsi="Arial" w:cs="Arial"/>
          <w:sz w:val="16"/>
          <w:szCs w:val="16"/>
        </w:rPr>
      </w:pPr>
      <w:r w:rsidRPr="001B5078">
        <w:rPr>
          <w:rStyle w:val="Odwoanieprzypisudolnego"/>
          <w:rFonts w:ascii="Arial" w:hAnsi="Arial" w:cs="Arial"/>
          <w:sz w:val="16"/>
          <w:szCs w:val="16"/>
        </w:rPr>
        <w:footnoteRef/>
      </w:r>
      <w:r w:rsidRPr="001B5078">
        <w:rPr>
          <w:rFonts w:ascii="Arial" w:hAnsi="Arial" w:cs="Arial"/>
          <w:sz w:val="16"/>
          <w:szCs w:val="16"/>
        </w:rPr>
        <w:t xml:space="preserve"> Poprzez tryb realizacji inwestycji rozumie się m.in. proces uzgadniania projektów przewidzianych do realizacji w ramach mechanizmów określonych w programach operacyjnych, w tym w ramach zawartych na poziomie regionalnym np. Zintegrowanych Inwestycji Terytorialnych.</w:t>
      </w:r>
    </w:p>
  </w:footnote>
  <w:footnote w:id="55">
    <w:p w14:paraId="4D518722" w14:textId="77777777" w:rsidR="00E741F8" w:rsidRDefault="00E741F8" w:rsidP="00862D4E">
      <w:pPr>
        <w:pStyle w:val="Tekstprzypisudolnego"/>
        <w:jc w:val="both"/>
      </w:pPr>
      <w:r>
        <w:rPr>
          <w:rStyle w:val="Odwoanieprzypisudolnego"/>
        </w:rPr>
        <w:footnoteRef/>
      </w:r>
      <w:r>
        <w:t xml:space="preserve"> </w:t>
      </w:r>
      <w:r w:rsidRPr="00FB5033">
        <w:rPr>
          <w:rFonts w:ascii="Arial" w:hAnsi="Arial" w:cs="Arial"/>
          <w:sz w:val="16"/>
          <w:szCs w:val="16"/>
        </w:rPr>
        <w:t>Przez zakład rozumie się jedną lub kilka instalacji wraz z terenem, do którego prowadzący instalacje posiada tytuł prawny, oraz znajdującymi się na nim urządzeniami. [Art. 3, pkt 48 ustawy z dn. 27 kwietnia 2001 r. Prawo ochrony środowiska (Dz. U. z 2001 r., Nr 62, poz. 627 z późn. zm.)].</w:t>
      </w:r>
    </w:p>
  </w:footnote>
  <w:footnote w:id="56">
    <w:p w14:paraId="4BB9EFC7" w14:textId="77777777" w:rsidR="00E741F8" w:rsidRPr="006E4A00" w:rsidRDefault="00E741F8" w:rsidP="004E3242">
      <w:pPr>
        <w:pStyle w:val="Tekstprzypisudolnego"/>
        <w:spacing w:before="0" w:after="0" w:line="240" w:lineRule="auto"/>
        <w:contextualSpacing/>
        <w:jc w:val="both"/>
        <w:rPr>
          <w:rFonts w:ascii="Arial" w:hAnsi="Arial" w:cs="Arial"/>
          <w:sz w:val="16"/>
          <w:szCs w:val="16"/>
        </w:rPr>
      </w:pPr>
      <w:r w:rsidRPr="006E4A00">
        <w:rPr>
          <w:rStyle w:val="Odwoanieprzypisudolnego"/>
          <w:rFonts w:ascii="Arial" w:hAnsi="Arial" w:cs="Arial"/>
          <w:sz w:val="16"/>
          <w:szCs w:val="16"/>
        </w:rPr>
        <w:footnoteRef/>
      </w:r>
      <w:r w:rsidRPr="006E4A00">
        <w:rPr>
          <w:rFonts w:ascii="Arial" w:hAnsi="Arial" w:cs="Arial"/>
          <w:sz w:val="16"/>
          <w:szCs w:val="16"/>
        </w:rPr>
        <w:t xml:space="preserve"> Oszacowanie dokonane na podstawie założeń sformułowanych na bazie</w:t>
      </w:r>
      <w:r>
        <w:rPr>
          <w:rFonts w:ascii="Arial" w:hAnsi="Arial" w:cs="Arial"/>
          <w:sz w:val="16"/>
          <w:szCs w:val="16"/>
        </w:rPr>
        <w:t xml:space="preserve"> danych z</w:t>
      </w:r>
      <w:r w:rsidRPr="006E4A00">
        <w:rPr>
          <w:rFonts w:ascii="Arial" w:hAnsi="Arial" w:cs="Arial"/>
          <w:sz w:val="16"/>
          <w:szCs w:val="16"/>
        </w:rPr>
        <w:t xml:space="preserve"> projektu </w:t>
      </w:r>
      <w:r>
        <w:rPr>
          <w:rFonts w:ascii="Arial" w:hAnsi="Arial" w:cs="Arial"/>
          <w:sz w:val="16"/>
          <w:szCs w:val="16"/>
        </w:rPr>
        <w:t xml:space="preserve">aktualizacji </w:t>
      </w:r>
      <w:r w:rsidRPr="006E4A00">
        <w:rPr>
          <w:rFonts w:ascii="Arial" w:hAnsi="Arial" w:cs="Arial"/>
          <w:sz w:val="16"/>
          <w:szCs w:val="16"/>
        </w:rPr>
        <w:t>KPOŚK</w:t>
      </w:r>
      <w:r>
        <w:rPr>
          <w:rFonts w:ascii="Arial" w:hAnsi="Arial" w:cs="Arial"/>
          <w:sz w:val="16"/>
          <w:szCs w:val="16"/>
        </w:rPr>
        <w:t xml:space="preserve"> aktualnych na moment przygotowywania niniejszych zapisów (dane udostępnione przez Ministerstwo Środowiska)</w:t>
      </w:r>
    </w:p>
  </w:footnote>
  <w:footnote w:id="57">
    <w:p w14:paraId="3730899F" w14:textId="77777777" w:rsidR="00E741F8" w:rsidRPr="00525C3B" w:rsidRDefault="00E741F8" w:rsidP="00B345B6">
      <w:pPr>
        <w:pStyle w:val="Tekstprzypisudolnego"/>
        <w:spacing w:before="120" w:after="120" w:line="240" w:lineRule="auto"/>
        <w:jc w:val="both"/>
        <w:rPr>
          <w:rFonts w:ascii="Arial" w:hAnsi="Arial" w:cs="Arial"/>
          <w:sz w:val="16"/>
          <w:szCs w:val="16"/>
        </w:rPr>
      </w:pPr>
      <w:r w:rsidRPr="00525C3B">
        <w:rPr>
          <w:rStyle w:val="Odwoanieprzypisudolnego"/>
          <w:rFonts w:ascii="Arial" w:hAnsi="Arial" w:cs="Arial"/>
          <w:sz w:val="16"/>
          <w:szCs w:val="16"/>
        </w:rPr>
        <w:footnoteRef/>
      </w:r>
      <w:r w:rsidRPr="00525C3B">
        <w:rPr>
          <w:rFonts w:ascii="Arial" w:hAnsi="Arial" w:cs="Arial"/>
          <w:sz w:val="16"/>
          <w:szCs w:val="16"/>
        </w:rPr>
        <w:t xml:space="preserve"> W </w:t>
      </w:r>
      <w:r w:rsidRPr="00525C3B">
        <w:rPr>
          <w:rFonts w:ascii="Arial" w:hAnsi="Arial" w:cs="Arial"/>
          <w:i/>
          <w:sz w:val="16"/>
          <w:szCs w:val="16"/>
        </w:rPr>
        <w:t>Priorytetowych Ramach Działań dla sieci Natura 2000 na Wieloletni Program Finansowania UE w latach 2014-2020</w:t>
      </w:r>
      <w:r w:rsidRPr="00525C3B">
        <w:rPr>
          <w:rFonts w:ascii="Arial" w:hAnsi="Arial" w:cs="Arial"/>
          <w:sz w:val="16"/>
          <w:szCs w:val="16"/>
        </w:rPr>
        <w:t xml:space="preserve"> (PAF) oraz w </w:t>
      </w:r>
      <w:r w:rsidRPr="00525C3B">
        <w:rPr>
          <w:rFonts w:ascii="Arial" w:hAnsi="Arial" w:cs="Arial"/>
          <w:i/>
          <w:sz w:val="16"/>
          <w:szCs w:val="16"/>
        </w:rPr>
        <w:t>Programie ochrony i zrównoważonego użytkowania różnorodności biologicznej wraz z planem działań na lata 2014-2020.</w:t>
      </w:r>
    </w:p>
  </w:footnote>
  <w:footnote w:id="58">
    <w:p w14:paraId="5C1C7AEB" w14:textId="77777777" w:rsidR="00E741F8" w:rsidRPr="00F549BE" w:rsidRDefault="00E741F8" w:rsidP="00B345B6">
      <w:pPr>
        <w:pStyle w:val="Tekstprzypisudolnego"/>
        <w:spacing w:before="120" w:after="120" w:line="240" w:lineRule="auto"/>
        <w:rPr>
          <w:rFonts w:ascii="Arial" w:hAnsi="Arial" w:cs="Arial"/>
          <w:sz w:val="16"/>
          <w:szCs w:val="16"/>
        </w:rPr>
      </w:pPr>
      <w:r w:rsidRPr="00F549BE">
        <w:rPr>
          <w:rStyle w:val="Odwoanieprzypisudolnego"/>
          <w:rFonts w:ascii="Arial" w:hAnsi="Arial" w:cs="Arial"/>
          <w:sz w:val="16"/>
          <w:szCs w:val="16"/>
        </w:rPr>
        <w:footnoteRef/>
      </w:r>
      <w:r w:rsidRPr="00F549BE">
        <w:rPr>
          <w:rFonts w:ascii="Arial" w:hAnsi="Arial" w:cs="Arial"/>
          <w:sz w:val="16"/>
          <w:szCs w:val="16"/>
        </w:rPr>
        <w:t xml:space="preserve"> Z wyłączeniem finansowania emisji spotów reklamowych w TV.</w:t>
      </w:r>
    </w:p>
  </w:footnote>
  <w:footnote w:id="59">
    <w:p w14:paraId="4BA46143" w14:textId="77777777" w:rsidR="00E741F8" w:rsidRPr="0032297E" w:rsidRDefault="00E741F8" w:rsidP="004E3242">
      <w:pPr>
        <w:pStyle w:val="Tekstprzypisudolnego"/>
        <w:contextualSpacing/>
        <w:jc w:val="both"/>
        <w:rPr>
          <w:rFonts w:ascii="Arial" w:hAnsi="Arial" w:cs="Arial"/>
          <w:sz w:val="16"/>
          <w:szCs w:val="16"/>
        </w:rPr>
      </w:pPr>
      <w:r w:rsidRPr="0032297E">
        <w:rPr>
          <w:rStyle w:val="Odwoanieprzypisudolnego"/>
          <w:rFonts w:ascii="Arial" w:hAnsi="Arial" w:cs="Arial"/>
          <w:sz w:val="16"/>
          <w:szCs w:val="16"/>
        </w:rPr>
        <w:footnoteRef/>
      </w:r>
      <w:r w:rsidRPr="0032297E">
        <w:rPr>
          <w:rFonts w:ascii="Arial" w:hAnsi="Arial" w:cs="Arial"/>
          <w:sz w:val="16"/>
          <w:szCs w:val="16"/>
        </w:rPr>
        <w:t xml:space="preserve"> </w:t>
      </w:r>
      <w:r w:rsidRPr="00596802">
        <w:rPr>
          <w:rFonts w:ascii="Arial" w:hAnsi="Arial" w:cs="Arial"/>
          <w:sz w:val="16"/>
          <w:szCs w:val="16"/>
        </w:rPr>
        <w:t xml:space="preserve">Za: </w:t>
      </w:r>
      <w:r w:rsidRPr="00596802">
        <w:rPr>
          <w:rFonts w:ascii="Arial" w:hAnsi="Arial" w:cs="Arial"/>
          <w:i/>
          <w:sz w:val="16"/>
          <w:szCs w:val="16"/>
        </w:rPr>
        <w:t>Dokument Implementacyjny</w:t>
      </w:r>
      <w:r w:rsidRPr="00596802">
        <w:rPr>
          <w:rFonts w:ascii="Arial" w:hAnsi="Arial" w:cs="Arial"/>
          <w:sz w:val="16"/>
          <w:szCs w:val="16"/>
        </w:rPr>
        <w:t xml:space="preserve"> do </w:t>
      </w:r>
      <w:r w:rsidRPr="00596802">
        <w:rPr>
          <w:rFonts w:ascii="Arial" w:hAnsi="Arial" w:cs="Arial"/>
          <w:i/>
          <w:sz w:val="16"/>
          <w:szCs w:val="16"/>
        </w:rPr>
        <w:t xml:space="preserve">Strategii Rozwoju Transportu. </w:t>
      </w:r>
    </w:p>
  </w:footnote>
  <w:footnote w:id="60">
    <w:p w14:paraId="7C3423A6" w14:textId="77777777" w:rsidR="00E741F8" w:rsidRPr="0032297E" w:rsidRDefault="00E741F8" w:rsidP="004E3242">
      <w:pPr>
        <w:pStyle w:val="Tekstprzypisudolnego"/>
        <w:contextualSpacing/>
        <w:jc w:val="both"/>
        <w:rPr>
          <w:rFonts w:ascii="Arial" w:hAnsi="Arial" w:cs="Arial"/>
          <w:sz w:val="16"/>
          <w:szCs w:val="16"/>
        </w:rPr>
      </w:pPr>
      <w:r w:rsidRPr="0032297E">
        <w:rPr>
          <w:rStyle w:val="Odwoanieprzypisudolnego"/>
          <w:rFonts w:ascii="Arial" w:hAnsi="Arial" w:cs="Arial"/>
          <w:sz w:val="16"/>
          <w:szCs w:val="16"/>
        </w:rPr>
        <w:footnoteRef/>
      </w:r>
      <w:r w:rsidRPr="0032297E">
        <w:rPr>
          <w:rFonts w:ascii="Arial" w:hAnsi="Arial" w:cs="Arial"/>
          <w:sz w:val="16"/>
          <w:szCs w:val="16"/>
        </w:rPr>
        <w:t xml:space="preserve"> </w:t>
      </w:r>
      <w:r w:rsidRPr="00596802">
        <w:rPr>
          <w:rFonts w:ascii="Arial" w:hAnsi="Arial" w:cs="Arial"/>
          <w:sz w:val="16"/>
          <w:szCs w:val="16"/>
        </w:rPr>
        <w:t xml:space="preserve">Za: </w:t>
      </w:r>
      <w:r w:rsidRPr="00596802">
        <w:rPr>
          <w:rFonts w:ascii="Arial" w:hAnsi="Arial" w:cs="Arial"/>
          <w:i/>
          <w:sz w:val="16"/>
          <w:szCs w:val="16"/>
        </w:rPr>
        <w:t>Dokument Implementacyjny</w:t>
      </w:r>
      <w:r w:rsidRPr="00596802">
        <w:rPr>
          <w:rFonts w:ascii="Arial" w:hAnsi="Arial" w:cs="Arial"/>
          <w:sz w:val="16"/>
          <w:szCs w:val="16"/>
        </w:rPr>
        <w:t xml:space="preserve"> do </w:t>
      </w:r>
      <w:r w:rsidRPr="00596802">
        <w:rPr>
          <w:rFonts w:ascii="Arial" w:hAnsi="Arial" w:cs="Arial"/>
          <w:i/>
          <w:sz w:val="16"/>
          <w:szCs w:val="16"/>
        </w:rPr>
        <w:t>Strategii Rozwoju Transportu</w:t>
      </w:r>
    </w:p>
  </w:footnote>
  <w:footnote w:id="61">
    <w:p w14:paraId="77488F1D" w14:textId="77777777" w:rsidR="00E741F8" w:rsidRPr="007355E2" w:rsidRDefault="00E741F8" w:rsidP="004E3242">
      <w:pPr>
        <w:pStyle w:val="Tekstprzypisudolnego"/>
        <w:rPr>
          <w:rFonts w:ascii="Arial" w:hAnsi="Arial" w:cs="Arial"/>
          <w:sz w:val="16"/>
          <w:szCs w:val="16"/>
        </w:rPr>
      </w:pPr>
      <w:r w:rsidRPr="007355E2">
        <w:rPr>
          <w:rStyle w:val="Odwoanieprzypisudolnego"/>
          <w:rFonts w:ascii="Arial" w:hAnsi="Arial" w:cs="Arial"/>
          <w:sz w:val="16"/>
          <w:szCs w:val="16"/>
        </w:rPr>
        <w:footnoteRef/>
      </w:r>
      <w:r w:rsidRPr="007355E2">
        <w:rPr>
          <w:rFonts w:ascii="Arial" w:hAnsi="Arial" w:cs="Arial"/>
          <w:sz w:val="16"/>
          <w:szCs w:val="16"/>
        </w:rPr>
        <w:t xml:space="preserve"> Dotyczy odcinków dróg możliwych do wsparcia w ramach danego priorytetu inwestycyjnego.</w:t>
      </w:r>
    </w:p>
  </w:footnote>
  <w:footnote w:id="62">
    <w:p w14:paraId="35A73675" w14:textId="77777777" w:rsidR="00E741F8" w:rsidRDefault="00E741F8" w:rsidP="004E3242">
      <w:pPr>
        <w:pStyle w:val="Tekstprzypisudolnego"/>
        <w:spacing w:before="0" w:after="0"/>
        <w:jc w:val="both"/>
      </w:pPr>
      <w:r>
        <w:rPr>
          <w:rStyle w:val="Odwoanieprzypisudolnego"/>
        </w:rPr>
        <w:footnoteRef/>
      </w:r>
      <w:r>
        <w:t xml:space="preserve"> </w:t>
      </w:r>
      <w:r w:rsidRPr="00AC1362">
        <w:t>Projekty wskazane na Listach nr 1</w:t>
      </w:r>
      <w:r>
        <w:t xml:space="preserve"> </w:t>
      </w:r>
      <w:r w:rsidRPr="00AC1362">
        <w:t>-</w:t>
      </w:r>
      <w:r>
        <w:t xml:space="preserve"> </w:t>
      </w:r>
      <w:r w:rsidRPr="00AC1362">
        <w:rPr>
          <w:i/>
        </w:rPr>
        <w:t>Inwestycje, które nie wpływają negatywnie na osiągnięcie dobrego stanu wód lub nie pogarszają stanu wód</w:t>
      </w:r>
      <w:r w:rsidRPr="00AC1362">
        <w:t>.</w:t>
      </w:r>
    </w:p>
  </w:footnote>
  <w:footnote w:id="63">
    <w:p w14:paraId="6AE10822" w14:textId="77777777" w:rsidR="00E741F8" w:rsidRDefault="00E741F8" w:rsidP="004E3242">
      <w:pPr>
        <w:pStyle w:val="Tekstprzypisudolnego"/>
        <w:spacing w:before="0" w:after="0"/>
        <w:jc w:val="both"/>
      </w:pPr>
      <w:r>
        <w:rPr>
          <w:rStyle w:val="Odwoanieprzypisudolnego"/>
        </w:rPr>
        <w:footnoteRef/>
      </w:r>
      <w:r>
        <w:t xml:space="preserve"> </w:t>
      </w:r>
      <w:r w:rsidRPr="00AC1362">
        <w:t>Projekty wskazane na Listach nr 2</w:t>
      </w:r>
      <w:r>
        <w:t xml:space="preserve"> </w:t>
      </w:r>
      <w:r w:rsidRPr="00AC1362">
        <w:t xml:space="preserve">- </w:t>
      </w:r>
      <w:r w:rsidRPr="00AC1362">
        <w:rPr>
          <w:i/>
        </w:rPr>
        <w:t>Inwestycje, które mogą spowodować nieosiągnięcie dobrego stanu wód lub pogorszenie stanu/potencjału i dla których należy rozważyć zastosowanie odstępstwa</w:t>
      </w:r>
      <w:r w:rsidRPr="00AC1362">
        <w:t>.</w:t>
      </w:r>
    </w:p>
  </w:footnote>
  <w:footnote w:id="64">
    <w:p w14:paraId="5601F431" w14:textId="77777777" w:rsidR="00E741F8" w:rsidRDefault="00E741F8" w:rsidP="004E3242">
      <w:pPr>
        <w:pStyle w:val="Tekstprzypisudolnego"/>
        <w:spacing w:before="0" w:after="0"/>
      </w:pPr>
      <w:r>
        <w:rPr>
          <w:rStyle w:val="Odwoanieprzypisudolnego"/>
        </w:rPr>
        <w:footnoteRef/>
      </w:r>
      <w:r>
        <w:t xml:space="preserve"> </w:t>
      </w:r>
      <w:r w:rsidRPr="00F11AD4">
        <w:t>Węzły miejskie sieci bazowej określone w Załączniku II do Rozporządzenia Parlamentu Europejskiego i Rady (UE) Nr 1315/2013.</w:t>
      </w:r>
    </w:p>
  </w:footnote>
  <w:footnote w:id="65">
    <w:p w14:paraId="2401CEC0" w14:textId="77777777" w:rsidR="00E741F8" w:rsidRDefault="00E741F8" w:rsidP="004E3242">
      <w:pPr>
        <w:pStyle w:val="Tekstprzypisudolnego"/>
        <w:spacing w:before="0" w:after="0"/>
      </w:pPr>
      <w:r>
        <w:rPr>
          <w:rStyle w:val="Odwoanieprzypisudolnego"/>
        </w:rPr>
        <w:footnoteRef/>
      </w:r>
      <w:r>
        <w:t xml:space="preserve"> </w:t>
      </w:r>
      <w:r w:rsidRPr="00F11AD4">
        <w:t>Dotyczy odcinków dróg możliwych do wsparcia w ramach danego priorytetu inwestycyjnego.</w:t>
      </w:r>
    </w:p>
  </w:footnote>
  <w:footnote w:id="66">
    <w:p w14:paraId="74655225" w14:textId="77777777" w:rsidR="00E741F8" w:rsidRDefault="00E741F8" w:rsidP="004E3242">
      <w:pPr>
        <w:pStyle w:val="Tekstprzypisudolnego"/>
        <w:spacing w:before="0" w:after="0"/>
      </w:pPr>
      <w:r>
        <w:rPr>
          <w:rStyle w:val="Odwoanieprzypisudolnego"/>
        </w:rPr>
        <w:footnoteRef/>
      </w:r>
      <w:r>
        <w:t xml:space="preserve"> </w:t>
      </w:r>
      <w:r w:rsidRPr="00F11AD4">
        <w:t>Dotyczy odcinków dróg krajowych zaliczonych do ciągów TEN-T w tych miastach.</w:t>
      </w:r>
    </w:p>
  </w:footnote>
  <w:footnote w:id="67">
    <w:p w14:paraId="6E0D50B2" w14:textId="77777777" w:rsidR="00E741F8" w:rsidRDefault="00E741F8" w:rsidP="004E3242">
      <w:pPr>
        <w:pStyle w:val="Tekstprzypisudolnego"/>
        <w:spacing w:before="0" w:after="0"/>
        <w:jc w:val="both"/>
      </w:pPr>
      <w:r>
        <w:rPr>
          <w:rStyle w:val="Odwoanieprzypisudolnego"/>
        </w:rPr>
        <w:footnoteRef/>
      </w:r>
      <w:r>
        <w:t xml:space="preserve"> </w:t>
      </w:r>
      <w:r w:rsidRPr="002C132B">
        <w:t>Węzły miejskie sieci bazowej określone w Załączniku II do Rozporządzenia Parlamentu Europejskiego i Rady (UE) Nr 1315/2013.</w:t>
      </w:r>
    </w:p>
  </w:footnote>
  <w:footnote w:id="68">
    <w:p w14:paraId="0FDDB53A" w14:textId="77777777" w:rsidR="00E741F8" w:rsidRDefault="00E741F8" w:rsidP="004E3242">
      <w:pPr>
        <w:pStyle w:val="Tekstprzypisudolnego"/>
        <w:spacing w:before="0" w:after="0"/>
        <w:jc w:val="both"/>
      </w:pPr>
      <w:r>
        <w:rPr>
          <w:rStyle w:val="Odwoanieprzypisudolnego"/>
        </w:rPr>
        <w:footnoteRef/>
      </w:r>
      <w:r>
        <w:t xml:space="preserve"> </w:t>
      </w:r>
      <w:r w:rsidRPr="002C132B">
        <w:t>Dotyczy odcinków dróg możliwych do wsparcia w ramach danego priorytetu inwestycyjnego.</w:t>
      </w:r>
    </w:p>
  </w:footnote>
  <w:footnote w:id="69">
    <w:p w14:paraId="477E2F96" w14:textId="77777777" w:rsidR="00E741F8" w:rsidRDefault="00E741F8" w:rsidP="004E3242">
      <w:pPr>
        <w:pStyle w:val="Tekstprzypisudolnego"/>
        <w:spacing w:before="0" w:after="0"/>
        <w:jc w:val="both"/>
      </w:pPr>
      <w:r>
        <w:rPr>
          <w:rStyle w:val="Odwoanieprzypisudolnego"/>
        </w:rPr>
        <w:footnoteRef/>
      </w:r>
      <w:r>
        <w:t xml:space="preserve"> </w:t>
      </w:r>
      <w:r w:rsidRPr="002C132B">
        <w:t>Dotyczy odcinków dróg krajowych nie zaliczonych do ciągów TEN-T w tych miastach.</w:t>
      </w:r>
    </w:p>
  </w:footnote>
  <w:footnote w:id="70">
    <w:p w14:paraId="4EF46C33" w14:textId="77777777" w:rsidR="00E741F8" w:rsidRPr="0032297E" w:rsidRDefault="00E741F8" w:rsidP="004E3242">
      <w:pPr>
        <w:pStyle w:val="Tekstprzypisudolnego"/>
        <w:spacing w:before="0" w:after="0" w:line="240" w:lineRule="auto"/>
        <w:contextualSpacing/>
        <w:jc w:val="both"/>
        <w:rPr>
          <w:rFonts w:ascii="Arial" w:hAnsi="Arial" w:cs="Arial"/>
          <w:sz w:val="16"/>
          <w:szCs w:val="16"/>
        </w:rPr>
      </w:pPr>
      <w:r w:rsidRPr="0032297E">
        <w:rPr>
          <w:rStyle w:val="Odwoanieprzypisudolnego"/>
          <w:rFonts w:ascii="Arial" w:hAnsi="Arial" w:cs="Arial"/>
          <w:sz w:val="16"/>
          <w:szCs w:val="16"/>
        </w:rPr>
        <w:footnoteRef/>
      </w:r>
      <w:r w:rsidRPr="0032297E">
        <w:rPr>
          <w:rFonts w:ascii="Arial" w:hAnsi="Arial" w:cs="Arial"/>
          <w:sz w:val="16"/>
          <w:szCs w:val="16"/>
        </w:rPr>
        <w:t xml:space="preserve"> Za: </w:t>
      </w:r>
      <w:r w:rsidRPr="00596802">
        <w:rPr>
          <w:rFonts w:ascii="Arial" w:hAnsi="Arial" w:cs="Arial"/>
          <w:sz w:val="16"/>
          <w:szCs w:val="16"/>
        </w:rPr>
        <w:t xml:space="preserve">(projekt) </w:t>
      </w:r>
      <w:r w:rsidRPr="0032297E">
        <w:rPr>
          <w:rFonts w:ascii="Arial" w:hAnsi="Arial" w:cs="Arial"/>
          <w:i/>
          <w:sz w:val="16"/>
          <w:szCs w:val="16"/>
        </w:rPr>
        <w:t>Dokument Implementacyjny</w:t>
      </w:r>
      <w:r w:rsidRPr="0032297E">
        <w:rPr>
          <w:rFonts w:ascii="Arial" w:hAnsi="Arial" w:cs="Arial"/>
          <w:sz w:val="16"/>
          <w:szCs w:val="16"/>
        </w:rPr>
        <w:t xml:space="preserve"> do </w:t>
      </w:r>
      <w:r w:rsidRPr="0032297E">
        <w:rPr>
          <w:rFonts w:ascii="Arial" w:hAnsi="Arial" w:cs="Arial"/>
          <w:i/>
          <w:sz w:val="16"/>
          <w:szCs w:val="16"/>
        </w:rPr>
        <w:t>Strategii Rozwoju Transportu</w:t>
      </w:r>
    </w:p>
  </w:footnote>
  <w:footnote w:id="71">
    <w:p w14:paraId="11E7D126" w14:textId="77777777" w:rsidR="00E741F8" w:rsidRPr="008D47A2" w:rsidRDefault="00E741F8" w:rsidP="004E3242">
      <w:pPr>
        <w:pStyle w:val="Tekstprzypisudolnego"/>
        <w:spacing w:before="0" w:after="0" w:line="240" w:lineRule="auto"/>
        <w:contextualSpacing/>
        <w:jc w:val="both"/>
        <w:rPr>
          <w:rFonts w:ascii="Arial" w:hAnsi="Arial" w:cs="Arial"/>
          <w:sz w:val="16"/>
          <w:szCs w:val="16"/>
        </w:rPr>
      </w:pPr>
      <w:r w:rsidRPr="0032297E">
        <w:rPr>
          <w:rStyle w:val="Odwoanieprzypisudolnego"/>
          <w:rFonts w:ascii="Arial" w:hAnsi="Arial" w:cs="Arial"/>
          <w:sz w:val="16"/>
          <w:szCs w:val="16"/>
        </w:rPr>
        <w:footnoteRef/>
      </w:r>
      <w:r w:rsidRPr="0032297E">
        <w:rPr>
          <w:rFonts w:ascii="Arial" w:hAnsi="Arial" w:cs="Arial"/>
          <w:sz w:val="16"/>
          <w:szCs w:val="16"/>
        </w:rPr>
        <w:t xml:space="preserve"> </w:t>
      </w:r>
      <w:r w:rsidRPr="00596802">
        <w:rPr>
          <w:rFonts w:ascii="Arial" w:hAnsi="Arial" w:cs="Arial"/>
          <w:sz w:val="16"/>
          <w:szCs w:val="16"/>
        </w:rPr>
        <w:t xml:space="preserve">Za: (projekt) </w:t>
      </w:r>
      <w:r w:rsidRPr="00596802">
        <w:rPr>
          <w:rFonts w:ascii="Arial" w:hAnsi="Arial" w:cs="Arial"/>
          <w:i/>
          <w:sz w:val="16"/>
          <w:szCs w:val="16"/>
        </w:rPr>
        <w:t>Dokument Implementacyjny</w:t>
      </w:r>
      <w:r w:rsidRPr="00596802">
        <w:rPr>
          <w:rFonts w:ascii="Arial" w:hAnsi="Arial" w:cs="Arial"/>
          <w:sz w:val="16"/>
          <w:szCs w:val="16"/>
        </w:rPr>
        <w:t xml:space="preserve"> do </w:t>
      </w:r>
      <w:r w:rsidRPr="00596802">
        <w:rPr>
          <w:rFonts w:ascii="Arial" w:hAnsi="Arial" w:cs="Arial"/>
          <w:i/>
          <w:sz w:val="16"/>
          <w:szCs w:val="16"/>
        </w:rPr>
        <w:t xml:space="preserve">Strategii Rozwoju Transportu </w:t>
      </w:r>
    </w:p>
  </w:footnote>
  <w:footnote w:id="72">
    <w:p w14:paraId="054F5282" w14:textId="77777777" w:rsidR="00E741F8" w:rsidRDefault="00E741F8" w:rsidP="004E3242">
      <w:pPr>
        <w:pStyle w:val="Tekstprzypisudolnego"/>
        <w:spacing w:before="0" w:after="0" w:line="240" w:lineRule="auto"/>
        <w:jc w:val="both"/>
      </w:pPr>
      <w:r>
        <w:rPr>
          <w:rStyle w:val="Odwoanieprzypisudolnego"/>
        </w:rPr>
        <w:footnoteRef/>
      </w:r>
      <w:r>
        <w:t xml:space="preserve"> </w:t>
      </w:r>
      <w:r w:rsidRPr="00CE7E07">
        <w:rPr>
          <w:rFonts w:ascii="Arial" w:hAnsi="Arial" w:cs="Arial"/>
          <w:sz w:val="16"/>
          <w:szCs w:val="16"/>
        </w:rPr>
        <w:t>POIiŚ 2014-2020 i CEF.</w:t>
      </w:r>
    </w:p>
  </w:footnote>
  <w:footnote w:id="73">
    <w:p w14:paraId="4F1D0571" w14:textId="77777777" w:rsidR="00E741F8" w:rsidRDefault="00E741F8" w:rsidP="004E3242">
      <w:pPr>
        <w:pStyle w:val="Tekstprzypisudolnego"/>
        <w:spacing w:before="0" w:after="0" w:line="240" w:lineRule="auto"/>
        <w:jc w:val="both"/>
      </w:pPr>
      <w:r>
        <w:rPr>
          <w:rStyle w:val="Odwoanieprzypisudolnego"/>
        </w:rPr>
        <w:footnoteRef/>
      </w:r>
      <w:r>
        <w:t xml:space="preserve"> </w:t>
      </w:r>
      <w:r w:rsidRPr="00CE7E07">
        <w:rPr>
          <w:rFonts w:ascii="Arial" w:hAnsi="Arial" w:cs="Arial"/>
          <w:sz w:val="16"/>
          <w:szCs w:val="16"/>
        </w:rPr>
        <w:t>Za modernizację uznawany będzie proces, w wyniku którego następuje zmiana warunków użytkowania istniejących obiektów infrastruktury kolejowej poprzez przystosowanie ich do wyższych parametrów techniczno-eksploatacyjnych oraz wzrost wartości obiektów (zgodnie z obowiązującym WPIK przyjętym w dn. 7 listopada 2011 r.). Definicja ta jest spójna z definicją wg dyrektywy 2008/57 z dnia 17 czerwca 2008 r. w sprawie interoperacyjności systemu kolei we Wspólnocie, zgodnie z którą modernizacja oznacza wszelkie większe prace modyfikacyjne prowadzone w podsystemie lub jego części, poprawiające całkowite osiągi podsystemu, zaś odnowienie oznacza wszelkie większe prace wymienne w podsystemie lub jego części, niezmieniające całkowitych osiągów podsystemu.</w:t>
      </w:r>
    </w:p>
  </w:footnote>
  <w:footnote w:id="74">
    <w:p w14:paraId="27668D14" w14:textId="77777777" w:rsidR="00E741F8" w:rsidRDefault="00E741F8" w:rsidP="004E3242">
      <w:pPr>
        <w:pStyle w:val="Tekstprzypisudolnego"/>
        <w:spacing w:before="0" w:after="0" w:line="240" w:lineRule="auto"/>
        <w:jc w:val="both"/>
      </w:pPr>
      <w:r>
        <w:rPr>
          <w:rStyle w:val="Odwoanieprzypisudolnego"/>
        </w:rPr>
        <w:footnoteRef/>
      </w:r>
      <w:r>
        <w:t xml:space="preserve"> </w:t>
      </w:r>
      <w:r w:rsidRPr="00CE7E07">
        <w:rPr>
          <w:rFonts w:ascii="Arial" w:hAnsi="Arial" w:cs="Arial"/>
          <w:sz w:val="16"/>
          <w:szCs w:val="16"/>
        </w:rPr>
        <w:t>Rehabilitacja to proces prowadzący do osiągnięcia przez istniejącą infrastrukturę transportową pierwotnych parametrów konstrukcyjnych połączony z długoterminową poprawą jakości tej infrastruktury w porównaniu ze stanem obecnym, tam gdzie dotyczy (sieć TEN-T) - zgodnie z wymogami i przepisami ustanowionymi Rozporządzeniem Nr 1315/2013.</w:t>
      </w:r>
    </w:p>
  </w:footnote>
  <w:footnote w:id="75">
    <w:p w14:paraId="243F079E" w14:textId="77777777" w:rsidR="00E741F8" w:rsidRPr="00CE7E07" w:rsidRDefault="00E741F8" w:rsidP="004E3242">
      <w:pPr>
        <w:pStyle w:val="Tekstprzypisudolnego"/>
        <w:spacing w:before="0" w:after="0" w:line="240" w:lineRule="auto"/>
        <w:jc w:val="both"/>
        <w:rPr>
          <w:rFonts w:ascii="Arial" w:hAnsi="Arial" w:cs="Arial"/>
          <w:sz w:val="16"/>
          <w:szCs w:val="16"/>
        </w:rPr>
      </w:pPr>
      <w:r>
        <w:rPr>
          <w:rStyle w:val="Odwoanieprzypisudolnego"/>
        </w:rPr>
        <w:footnoteRef/>
      </w:r>
      <w:r>
        <w:t xml:space="preserve"> </w:t>
      </w:r>
      <w:r w:rsidRPr="00CE7E07">
        <w:rPr>
          <w:rFonts w:ascii="Arial" w:hAnsi="Arial" w:cs="Arial"/>
          <w:sz w:val="16"/>
          <w:szCs w:val="16"/>
        </w:rPr>
        <w:t>Inwestycje na rzecz systemu kolei miejskich będą finansowane ze środków priorytetu inwestycyjnego 7.iii.</w:t>
      </w:r>
    </w:p>
  </w:footnote>
  <w:footnote w:id="76">
    <w:p w14:paraId="2113F997" w14:textId="77777777" w:rsidR="00E741F8" w:rsidRPr="0035146F" w:rsidRDefault="00E741F8" w:rsidP="004E3242">
      <w:pPr>
        <w:pStyle w:val="Tekstprzypisudolnego"/>
        <w:spacing w:before="0" w:after="0" w:line="240" w:lineRule="auto"/>
        <w:jc w:val="both"/>
        <w:rPr>
          <w:rFonts w:ascii="Arial" w:hAnsi="Arial" w:cs="Arial"/>
          <w:sz w:val="16"/>
          <w:szCs w:val="16"/>
        </w:rPr>
      </w:pPr>
      <w:r>
        <w:rPr>
          <w:rStyle w:val="Odwoanieprzypisudolnego"/>
        </w:rPr>
        <w:footnoteRef/>
      </w:r>
      <w:r>
        <w:t xml:space="preserve"> (</w:t>
      </w:r>
      <w:r>
        <w:rPr>
          <w:rFonts w:ascii="Arial" w:hAnsi="Arial" w:cs="Arial"/>
          <w:sz w:val="16"/>
          <w:szCs w:val="16"/>
        </w:rPr>
        <w:t>ETCS</w:t>
      </w:r>
      <w:r w:rsidRPr="0035146F">
        <w:rPr>
          <w:rFonts w:ascii="Arial" w:hAnsi="Arial" w:cs="Arial"/>
          <w:sz w:val="16"/>
          <w:szCs w:val="16"/>
        </w:rPr>
        <w:t xml:space="preserve"> lub GSM-R</w:t>
      </w:r>
      <w:r>
        <w:rPr>
          <w:rFonts w:ascii="Arial" w:hAnsi="Arial" w:cs="Arial"/>
          <w:sz w:val="16"/>
          <w:szCs w:val="16"/>
        </w:rPr>
        <w:t>, w tym doposażenie w drugi komponent</w:t>
      </w:r>
      <w:r w:rsidRPr="0035146F">
        <w:rPr>
          <w:rFonts w:ascii="Arial" w:hAnsi="Arial" w:cs="Arial"/>
          <w:sz w:val="16"/>
          <w:szCs w:val="16"/>
        </w:rPr>
        <w:t xml:space="preserve"> ERTMS</w:t>
      </w:r>
      <w:r>
        <w:rPr>
          <w:rFonts w:ascii="Arial" w:hAnsi="Arial" w:cs="Arial"/>
          <w:sz w:val="16"/>
          <w:szCs w:val="16"/>
        </w:rPr>
        <w:t xml:space="preserve"> lub podniesienie poziomu ETCS)</w:t>
      </w:r>
    </w:p>
  </w:footnote>
  <w:footnote w:id="77">
    <w:p w14:paraId="165ACA62" w14:textId="77777777" w:rsidR="00E741F8" w:rsidRPr="00377B11" w:rsidRDefault="00E741F8" w:rsidP="004E3242">
      <w:pPr>
        <w:pStyle w:val="Tekstprzypisudolnego"/>
        <w:spacing w:before="0" w:after="0" w:line="240" w:lineRule="auto"/>
        <w:contextualSpacing/>
        <w:jc w:val="both"/>
        <w:rPr>
          <w:rFonts w:ascii="Arial" w:hAnsi="Arial" w:cs="Arial"/>
          <w:sz w:val="16"/>
          <w:szCs w:val="16"/>
        </w:rPr>
      </w:pPr>
      <w:r w:rsidRPr="00156A22">
        <w:rPr>
          <w:rStyle w:val="Odwoanieprzypisudolnego"/>
          <w:rFonts w:ascii="Arial" w:hAnsi="Arial" w:cs="Arial"/>
          <w:sz w:val="16"/>
          <w:szCs w:val="16"/>
        </w:rPr>
        <w:footnoteRef/>
      </w:r>
      <w:r w:rsidRPr="00156A22">
        <w:rPr>
          <w:rFonts w:ascii="Arial" w:hAnsi="Arial" w:cs="Arial"/>
          <w:sz w:val="16"/>
          <w:szCs w:val="16"/>
        </w:rPr>
        <w:t xml:space="preserve"> Definicja zgodna z</w:t>
      </w:r>
      <w:r>
        <w:rPr>
          <w:rFonts w:ascii="Arial" w:hAnsi="Arial" w:cs="Arial"/>
          <w:sz w:val="16"/>
          <w:szCs w:val="16"/>
        </w:rPr>
        <w:t>e</w:t>
      </w:r>
      <w:r w:rsidRPr="00156A22">
        <w:rPr>
          <w:rFonts w:ascii="Arial" w:hAnsi="Arial" w:cs="Arial"/>
          <w:sz w:val="16"/>
          <w:szCs w:val="16"/>
        </w:rPr>
        <w:t xml:space="preserve"> wskazaną w Dokumencie Implementacyjnym do </w:t>
      </w:r>
      <w:r w:rsidRPr="00D46907">
        <w:rPr>
          <w:rFonts w:ascii="Arial" w:hAnsi="Arial" w:cs="Arial"/>
          <w:i/>
          <w:sz w:val="16"/>
          <w:szCs w:val="16"/>
        </w:rPr>
        <w:t>Strategii Rozwoju Transportu do 2020 r. (z perspektywą do 2030 r.)</w:t>
      </w:r>
      <w:r>
        <w:rPr>
          <w:rFonts w:ascii="Arial" w:hAnsi="Arial" w:cs="Arial"/>
          <w:sz w:val="16"/>
          <w:szCs w:val="16"/>
        </w:rPr>
        <w:t>.</w:t>
      </w:r>
    </w:p>
  </w:footnote>
  <w:footnote w:id="78">
    <w:p w14:paraId="3412D1BE" w14:textId="77777777" w:rsidR="00E741F8" w:rsidRPr="00E12FFD" w:rsidRDefault="00E741F8" w:rsidP="00E12FFD">
      <w:pPr>
        <w:pStyle w:val="Tekstprzypisudolnego"/>
        <w:jc w:val="both"/>
        <w:rPr>
          <w:rFonts w:ascii="Arial" w:hAnsi="Arial" w:cs="Arial"/>
          <w:sz w:val="16"/>
          <w:szCs w:val="16"/>
        </w:rPr>
      </w:pPr>
      <w:r w:rsidRPr="00E12FFD">
        <w:rPr>
          <w:rStyle w:val="Odwoanieprzypisudolnego"/>
          <w:rFonts w:ascii="Arial" w:hAnsi="Arial" w:cs="Arial"/>
          <w:sz w:val="16"/>
          <w:szCs w:val="16"/>
        </w:rPr>
        <w:footnoteRef/>
      </w:r>
      <w:r w:rsidRPr="00E12FFD">
        <w:rPr>
          <w:rFonts w:ascii="Arial" w:hAnsi="Arial" w:cs="Arial"/>
          <w:sz w:val="16"/>
          <w:szCs w:val="16"/>
        </w:rPr>
        <w:t xml:space="preserve"> Od momentu wejścia w życie zmienionej Umowy Partnerstwa oraz zmienionych programów operacyjnych nie jest możliwe ogłaszanie nowych naborów wniosków dopuszczających pojazdy z silnikiem diesla.</w:t>
      </w:r>
    </w:p>
  </w:footnote>
  <w:footnote w:id="79">
    <w:p w14:paraId="51052C15" w14:textId="77777777" w:rsidR="00E741F8" w:rsidRPr="009670B6" w:rsidRDefault="00E741F8" w:rsidP="009670B6">
      <w:pPr>
        <w:pStyle w:val="Tekstprzypisudolnego"/>
        <w:jc w:val="both"/>
        <w:rPr>
          <w:rFonts w:ascii="Arial" w:hAnsi="Arial" w:cs="Arial"/>
          <w:sz w:val="16"/>
          <w:szCs w:val="16"/>
        </w:rPr>
      </w:pPr>
      <w:r w:rsidRPr="009670B6">
        <w:rPr>
          <w:rStyle w:val="Odwoanieprzypisudolnego"/>
          <w:rFonts w:ascii="Arial" w:hAnsi="Arial" w:cs="Arial"/>
          <w:sz w:val="16"/>
          <w:szCs w:val="16"/>
        </w:rPr>
        <w:footnoteRef/>
      </w:r>
      <w:r w:rsidRPr="009670B6">
        <w:rPr>
          <w:rFonts w:ascii="Arial" w:hAnsi="Arial" w:cs="Arial"/>
          <w:sz w:val="16"/>
          <w:szCs w:val="16"/>
        </w:rPr>
        <w:t xml:space="preserve"> W przypadku trybu pozakonkursowego, projekty uprzednio zidentyfikowane w Strategii ZIT.</w:t>
      </w:r>
    </w:p>
  </w:footnote>
  <w:footnote w:id="80">
    <w:p w14:paraId="4E78F519" w14:textId="77777777" w:rsidR="00E741F8" w:rsidRDefault="00E741F8" w:rsidP="004E3242">
      <w:pPr>
        <w:pStyle w:val="Tekstprzypisudolnego"/>
        <w:spacing w:before="0" w:after="0" w:line="240" w:lineRule="auto"/>
        <w:jc w:val="both"/>
      </w:pPr>
      <w:r w:rsidRPr="0039530F">
        <w:rPr>
          <w:rStyle w:val="Odwoanieprzypisudolnego"/>
          <w:rFonts w:ascii="Arial" w:hAnsi="Arial" w:cs="Arial"/>
          <w:sz w:val="16"/>
          <w:szCs w:val="16"/>
        </w:rPr>
        <w:footnoteRef/>
      </w:r>
      <w:r w:rsidRPr="0039530F">
        <w:rPr>
          <w:rFonts w:ascii="Arial" w:hAnsi="Arial" w:cs="Arial"/>
          <w:sz w:val="16"/>
          <w:szCs w:val="16"/>
        </w:rPr>
        <w:t xml:space="preserve"> Identyfikacja projektów w obszarze transportu miejskiego została dokonana w Strategiach ZIT, zawierających inwestycje przewidziane do realizacji w programach regionalnych i komplementarne do nich projekty przeznaczone do dofinansowania ze środków programów krajowych.</w:t>
      </w:r>
    </w:p>
  </w:footnote>
  <w:footnote w:id="81">
    <w:p w14:paraId="115FA743" w14:textId="77777777" w:rsidR="00E741F8" w:rsidRPr="003E7B09" w:rsidRDefault="00E741F8" w:rsidP="004E3242">
      <w:pPr>
        <w:pStyle w:val="Tekstprzypisudolnego"/>
        <w:spacing w:before="0" w:after="0" w:line="240" w:lineRule="auto"/>
        <w:contextualSpacing/>
        <w:jc w:val="both"/>
        <w:rPr>
          <w:rFonts w:ascii="Arial" w:hAnsi="Arial" w:cs="Arial"/>
          <w:sz w:val="16"/>
          <w:szCs w:val="16"/>
        </w:rPr>
      </w:pPr>
      <w:r w:rsidRPr="00894541">
        <w:rPr>
          <w:rStyle w:val="Odwoanieprzypisudolnego"/>
          <w:rFonts w:ascii="Arial" w:hAnsi="Arial" w:cs="Arial"/>
          <w:sz w:val="16"/>
          <w:szCs w:val="16"/>
        </w:rPr>
        <w:footnoteRef/>
      </w:r>
      <w:r w:rsidRPr="00894541">
        <w:rPr>
          <w:rFonts w:ascii="Arial" w:hAnsi="Arial" w:cs="Arial"/>
          <w:sz w:val="16"/>
          <w:szCs w:val="16"/>
        </w:rPr>
        <w:t xml:space="preserve"> </w:t>
      </w:r>
      <w:r w:rsidRPr="00026FAF">
        <w:rPr>
          <w:rFonts w:ascii="Arial" w:hAnsi="Arial" w:cs="Arial"/>
          <w:sz w:val="16"/>
          <w:szCs w:val="16"/>
        </w:rPr>
        <w:t>Wskaźnik odnosi się do zdolności import</w:t>
      </w:r>
      <w:r w:rsidRPr="003E7B09">
        <w:rPr>
          <w:rFonts w:ascii="Arial" w:hAnsi="Arial" w:cs="Arial"/>
          <w:sz w:val="16"/>
          <w:szCs w:val="16"/>
        </w:rPr>
        <w:t>owej z poszczególnych kierunk</w:t>
      </w:r>
      <w:r>
        <w:rPr>
          <w:rFonts w:ascii="Arial" w:hAnsi="Arial" w:cs="Arial"/>
          <w:sz w:val="16"/>
          <w:szCs w:val="16"/>
        </w:rPr>
        <w:t>ów dostaw gazu ziemnego</w:t>
      </w:r>
    </w:p>
  </w:footnote>
  <w:footnote w:id="82">
    <w:p w14:paraId="1DA06D63" w14:textId="77777777" w:rsidR="00E741F8" w:rsidRPr="0035146F" w:rsidRDefault="00E741F8" w:rsidP="004E3242">
      <w:pPr>
        <w:pStyle w:val="Tekstprzypisudolnego"/>
        <w:rPr>
          <w:rFonts w:ascii="Arial" w:hAnsi="Arial" w:cs="Arial"/>
          <w:sz w:val="16"/>
          <w:szCs w:val="16"/>
        </w:rPr>
      </w:pPr>
      <w:r w:rsidRPr="0035146F">
        <w:rPr>
          <w:rStyle w:val="Odwoanieprzypisudolnego"/>
          <w:rFonts w:ascii="Arial" w:hAnsi="Arial" w:cs="Arial"/>
          <w:sz w:val="16"/>
          <w:szCs w:val="16"/>
        </w:rPr>
        <w:footnoteRef/>
      </w:r>
      <w:r w:rsidRPr="0035146F">
        <w:rPr>
          <w:rFonts w:ascii="Arial" w:hAnsi="Arial" w:cs="Arial"/>
          <w:sz w:val="16"/>
          <w:szCs w:val="16"/>
        </w:rPr>
        <w:t xml:space="preserve"> Wartość oszacowano jako średnią przerw awaryjnych dla 6-ciu ostatnich lat (tj. lat 2008-2013)</w:t>
      </w:r>
    </w:p>
  </w:footnote>
  <w:footnote w:id="83">
    <w:p w14:paraId="2E9143B6" w14:textId="77777777" w:rsidR="00E741F8" w:rsidRPr="00C81205" w:rsidRDefault="00E741F8" w:rsidP="004E3242">
      <w:pPr>
        <w:pStyle w:val="Tekstprzypisudolnego"/>
        <w:spacing w:before="0" w:after="0" w:line="240" w:lineRule="auto"/>
        <w:rPr>
          <w:rFonts w:ascii="Arial" w:hAnsi="Arial" w:cs="Arial"/>
          <w:sz w:val="16"/>
          <w:szCs w:val="16"/>
        </w:rPr>
      </w:pPr>
      <w:r w:rsidRPr="0035146F">
        <w:rPr>
          <w:rStyle w:val="Odwoanieprzypisudolnego"/>
          <w:rFonts w:ascii="Arial" w:hAnsi="Arial" w:cs="Arial"/>
        </w:rPr>
        <w:footnoteRef/>
      </w:r>
      <w:r w:rsidRPr="0035146F">
        <w:rPr>
          <w:rFonts w:ascii="Arial" w:hAnsi="Arial" w:cs="Arial"/>
        </w:rPr>
        <w:t xml:space="preserve"> </w:t>
      </w:r>
      <w:r w:rsidRPr="00C81205">
        <w:rPr>
          <w:rFonts w:ascii="Arial" w:hAnsi="Arial" w:cs="Arial"/>
          <w:sz w:val="16"/>
          <w:szCs w:val="16"/>
        </w:rPr>
        <w:t xml:space="preserve">Funkcjonalnosci inteligentnej dystrybucyjnej sieci elektroenergetycznej: </w:t>
      </w:r>
    </w:p>
    <w:p w14:paraId="15DF614E" w14:textId="77777777" w:rsidR="00E741F8" w:rsidRPr="004A0057" w:rsidRDefault="00E741F8" w:rsidP="00B345B6">
      <w:pPr>
        <w:pStyle w:val="Tekstprzypisudolnego"/>
        <w:numPr>
          <w:ilvl w:val="0"/>
          <w:numId w:val="53"/>
        </w:numPr>
        <w:spacing w:before="0" w:after="0" w:line="240" w:lineRule="auto"/>
        <w:rPr>
          <w:rFonts w:ascii="Arial" w:hAnsi="Arial" w:cs="Arial"/>
          <w:sz w:val="16"/>
          <w:szCs w:val="16"/>
        </w:rPr>
      </w:pPr>
      <w:r w:rsidRPr="004A0057">
        <w:rPr>
          <w:rFonts w:ascii="Arial" w:hAnsi="Arial" w:cs="Arial"/>
          <w:sz w:val="16"/>
          <w:szCs w:val="16"/>
        </w:rPr>
        <w:t xml:space="preserve">Funkcja monitoringu obciążenia sieci w czasie rzeczywistym wraz z wizualizacją </w:t>
      </w:r>
    </w:p>
    <w:p w14:paraId="35A4AC0D" w14:textId="77777777" w:rsidR="00E741F8" w:rsidRPr="00BD76FA" w:rsidRDefault="00E741F8" w:rsidP="00B345B6">
      <w:pPr>
        <w:pStyle w:val="Tekstprzypisudolnego"/>
        <w:numPr>
          <w:ilvl w:val="0"/>
          <w:numId w:val="53"/>
        </w:numPr>
        <w:spacing w:before="0" w:after="0" w:line="240" w:lineRule="auto"/>
        <w:rPr>
          <w:rFonts w:ascii="Arial" w:hAnsi="Arial" w:cs="Arial"/>
          <w:sz w:val="16"/>
          <w:szCs w:val="16"/>
        </w:rPr>
      </w:pPr>
      <w:r w:rsidRPr="00BD76FA">
        <w:rPr>
          <w:rFonts w:ascii="Arial" w:hAnsi="Arial" w:cs="Arial"/>
          <w:sz w:val="16"/>
          <w:szCs w:val="16"/>
        </w:rPr>
        <w:t xml:space="preserve">Funkcja automatycznej identyfikacja błędów  (wraz z systemem naprawczym) </w:t>
      </w:r>
    </w:p>
    <w:p w14:paraId="096949D7" w14:textId="77777777" w:rsidR="00E741F8" w:rsidRPr="00BD76FA" w:rsidRDefault="00E741F8" w:rsidP="00B345B6">
      <w:pPr>
        <w:pStyle w:val="Tekstprzypisudolnego"/>
        <w:numPr>
          <w:ilvl w:val="0"/>
          <w:numId w:val="53"/>
        </w:numPr>
        <w:spacing w:before="0" w:after="0" w:line="240" w:lineRule="auto"/>
        <w:rPr>
          <w:rFonts w:ascii="Arial" w:hAnsi="Arial" w:cs="Arial"/>
          <w:sz w:val="16"/>
          <w:szCs w:val="16"/>
        </w:rPr>
      </w:pPr>
      <w:r w:rsidRPr="00BD76FA">
        <w:rPr>
          <w:rFonts w:ascii="Arial" w:hAnsi="Arial" w:cs="Arial"/>
          <w:sz w:val="16"/>
          <w:szCs w:val="16"/>
        </w:rPr>
        <w:t xml:space="preserve">Funkcja dynamicznej rekonfiguracji sieci dla zoptymalizowania funkcjonowania sieci </w:t>
      </w:r>
    </w:p>
    <w:p w14:paraId="27426BCA" w14:textId="77777777" w:rsidR="00E741F8" w:rsidRPr="009D01E4" w:rsidRDefault="00E741F8" w:rsidP="00B345B6">
      <w:pPr>
        <w:pStyle w:val="Tekstprzypisudolnego"/>
        <w:numPr>
          <w:ilvl w:val="0"/>
          <w:numId w:val="53"/>
        </w:numPr>
        <w:spacing w:before="0" w:after="0" w:line="240" w:lineRule="auto"/>
        <w:rPr>
          <w:rFonts w:ascii="Arial" w:hAnsi="Arial" w:cs="Arial"/>
          <w:sz w:val="16"/>
          <w:szCs w:val="16"/>
        </w:rPr>
      </w:pPr>
      <w:r w:rsidRPr="009D01E4">
        <w:rPr>
          <w:rFonts w:ascii="Arial" w:hAnsi="Arial" w:cs="Arial"/>
          <w:sz w:val="16"/>
          <w:szCs w:val="16"/>
        </w:rPr>
        <w:t xml:space="preserve">Funkcja kontroli przepływu mocy czynnej i biernej (m.in. sterowanie źródłami rozproszonymi i kompensatorami mocy biernej) </w:t>
      </w:r>
    </w:p>
    <w:p w14:paraId="3A2DDE14" w14:textId="77777777" w:rsidR="00E741F8" w:rsidRPr="009D01E4" w:rsidRDefault="00E741F8" w:rsidP="00B345B6">
      <w:pPr>
        <w:pStyle w:val="Tekstprzypisudolnego"/>
        <w:numPr>
          <w:ilvl w:val="0"/>
          <w:numId w:val="53"/>
        </w:numPr>
        <w:spacing w:before="0" w:after="0" w:line="240" w:lineRule="auto"/>
        <w:rPr>
          <w:rFonts w:ascii="Arial" w:hAnsi="Arial" w:cs="Arial"/>
          <w:sz w:val="16"/>
          <w:szCs w:val="16"/>
        </w:rPr>
      </w:pPr>
      <w:r w:rsidRPr="009D01E4">
        <w:rPr>
          <w:rFonts w:ascii="Arial" w:hAnsi="Arial" w:cs="Arial"/>
          <w:sz w:val="16"/>
          <w:szCs w:val="16"/>
        </w:rPr>
        <w:t xml:space="preserve">Funkcja planowania rozwoju sieci dystrybucyjnych z uwzględnieniem źródeł generacji rozproszonych </w:t>
      </w:r>
    </w:p>
    <w:p w14:paraId="0CAD79DD" w14:textId="77777777" w:rsidR="00E741F8" w:rsidRPr="005635F3" w:rsidRDefault="00E741F8" w:rsidP="00B345B6">
      <w:pPr>
        <w:pStyle w:val="Tekstprzypisudolnego"/>
        <w:numPr>
          <w:ilvl w:val="0"/>
          <w:numId w:val="53"/>
        </w:numPr>
        <w:spacing w:before="0" w:after="0" w:line="240" w:lineRule="auto"/>
        <w:rPr>
          <w:rFonts w:ascii="Arial" w:hAnsi="Arial" w:cs="Arial"/>
          <w:sz w:val="16"/>
          <w:szCs w:val="16"/>
        </w:rPr>
      </w:pPr>
      <w:r w:rsidRPr="005635F3">
        <w:rPr>
          <w:rFonts w:ascii="Arial" w:hAnsi="Arial" w:cs="Arial"/>
          <w:sz w:val="16"/>
          <w:szCs w:val="16"/>
        </w:rPr>
        <w:t xml:space="preserve">Funkcja bieżącego monitoringu i oceny stanu urządzeń </w:t>
      </w:r>
    </w:p>
    <w:p w14:paraId="7628C988" w14:textId="77777777" w:rsidR="00E741F8" w:rsidRPr="0044204D" w:rsidRDefault="00E741F8" w:rsidP="00B345B6">
      <w:pPr>
        <w:pStyle w:val="Tekstprzypisudolnego"/>
        <w:numPr>
          <w:ilvl w:val="0"/>
          <w:numId w:val="53"/>
        </w:numPr>
        <w:spacing w:before="0" w:after="0" w:line="240" w:lineRule="auto"/>
        <w:rPr>
          <w:rFonts w:ascii="Arial" w:hAnsi="Arial" w:cs="Arial"/>
          <w:sz w:val="16"/>
          <w:szCs w:val="16"/>
        </w:rPr>
      </w:pPr>
      <w:r w:rsidRPr="0044204D">
        <w:rPr>
          <w:rFonts w:ascii="Arial" w:hAnsi="Arial" w:cs="Arial"/>
          <w:sz w:val="16"/>
          <w:szCs w:val="16"/>
        </w:rPr>
        <w:t xml:space="preserve">Funkcja automatycznej kontroli poziomu napięcia i poziomu mocy biernej na magistrali </w:t>
      </w:r>
    </w:p>
    <w:p w14:paraId="15C853BB" w14:textId="77777777" w:rsidR="00E741F8" w:rsidRPr="00327F47" w:rsidRDefault="00E741F8" w:rsidP="00B345B6">
      <w:pPr>
        <w:pStyle w:val="Tekstprzypisudolnego"/>
        <w:numPr>
          <w:ilvl w:val="0"/>
          <w:numId w:val="53"/>
        </w:numPr>
        <w:spacing w:before="0" w:after="0" w:line="240" w:lineRule="auto"/>
        <w:rPr>
          <w:rFonts w:ascii="Arial" w:hAnsi="Arial" w:cs="Arial"/>
          <w:sz w:val="16"/>
          <w:szCs w:val="16"/>
        </w:rPr>
      </w:pPr>
      <w:r w:rsidRPr="008E35C5">
        <w:rPr>
          <w:rFonts w:ascii="Arial" w:hAnsi="Arial" w:cs="Arial"/>
          <w:sz w:val="16"/>
          <w:szCs w:val="16"/>
        </w:rPr>
        <w:t>Funkcj</w:t>
      </w:r>
      <w:r w:rsidRPr="00327F47">
        <w:rPr>
          <w:rFonts w:ascii="Arial" w:hAnsi="Arial" w:cs="Arial"/>
          <w:sz w:val="16"/>
          <w:szCs w:val="16"/>
        </w:rPr>
        <w:t xml:space="preserve">a adaptacyjnej ochrony rozproszonych źródeł energii przed pracą wyspową </w:t>
      </w:r>
    </w:p>
    <w:p w14:paraId="4140E102" w14:textId="77777777" w:rsidR="00E741F8" w:rsidRPr="00F570F2" w:rsidRDefault="00E741F8" w:rsidP="00B345B6">
      <w:pPr>
        <w:pStyle w:val="Tekstprzypisudolnego"/>
        <w:numPr>
          <w:ilvl w:val="0"/>
          <w:numId w:val="53"/>
        </w:numPr>
        <w:spacing w:before="0" w:after="0" w:line="240" w:lineRule="auto"/>
        <w:rPr>
          <w:rFonts w:ascii="Arial" w:hAnsi="Arial" w:cs="Arial"/>
          <w:sz w:val="16"/>
          <w:szCs w:val="16"/>
        </w:rPr>
      </w:pPr>
      <w:r w:rsidRPr="00F570F2">
        <w:rPr>
          <w:rFonts w:ascii="Arial" w:hAnsi="Arial" w:cs="Arial"/>
          <w:sz w:val="16"/>
          <w:szCs w:val="16"/>
        </w:rPr>
        <w:t xml:space="preserve">Funkcja automatycznej dostawy usług systemowych  (m.in. kontrola napięcia, częstotliwości i regulacji mocy biernej) </w:t>
      </w:r>
    </w:p>
    <w:p w14:paraId="7104ECC7" w14:textId="77777777" w:rsidR="00E741F8" w:rsidRPr="00F570F2" w:rsidRDefault="00E741F8" w:rsidP="00B345B6">
      <w:pPr>
        <w:pStyle w:val="Tekstprzypisudolnego"/>
        <w:numPr>
          <w:ilvl w:val="0"/>
          <w:numId w:val="53"/>
        </w:numPr>
        <w:spacing w:before="0" w:after="0" w:line="240" w:lineRule="auto"/>
        <w:rPr>
          <w:rFonts w:ascii="Arial" w:hAnsi="Arial" w:cs="Arial"/>
          <w:sz w:val="16"/>
          <w:szCs w:val="16"/>
        </w:rPr>
      </w:pPr>
      <w:r w:rsidRPr="00F570F2">
        <w:rPr>
          <w:rFonts w:ascii="Arial" w:hAnsi="Arial" w:cs="Arial"/>
          <w:sz w:val="16"/>
          <w:szCs w:val="16"/>
        </w:rPr>
        <w:t xml:space="preserve">Funkcja optymalizacji rozdziału mocy (lokalna lub zdalna) </w:t>
      </w:r>
    </w:p>
    <w:p w14:paraId="64FC9370" w14:textId="77777777" w:rsidR="00E741F8" w:rsidRPr="00F570F2" w:rsidRDefault="00E741F8" w:rsidP="00B345B6">
      <w:pPr>
        <w:pStyle w:val="Tekstprzypisudolnego"/>
        <w:numPr>
          <w:ilvl w:val="0"/>
          <w:numId w:val="53"/>
        </w:numPr>
        <w:spacing w:before="0" w:after="0" w:line="240" w:lineRule="auto"/>
        <w:rPr>
          <w:rFonts w:ascii="Arial" w:hAnsi="Arial" w:cs="Arial"/>
          <w:sz w:val="16"/>
          <w:szCs w:val="16"/>
        </w:rPr>
      </w:pPr>
      <w:r w:rsidRPr="00F570F2">
        <w:rPr>
          <w:rFonts w:ascii="Arial" w:hAnsi="Arial" w:cs="Arial"/>
          <w:sz w:val="16"/>
          <w:szCs w:val="16"/>
        </w:rPr>
        <w:t xml:space="preserve">Funkcja agregacji zarządzania pracą źródłami rozproszonymi </w:t>
      </w:r>
    </w:p>
    <w:p w14:paraId="48B12759" w14:textId="77777777" w:rsidR="00E741F8" w:rsidRPr="00F570F2" w:rsidRDefault="00E741F8" w:rsidP="00B345B6">
      <w:pPr>
        <w:pStyle w:val="Tekstprzypisudolnego"/>
        <w:numPr>
          <w:ilvl w:val="0"/>
          <w:numId w:val="53"/>
        </w:numPr>
        <w:spacing w:before="0" w:after="0" w:line="240" w:lineRule="auto"/>
        <w:rPr>
          <w:rFonts w:ascii="Arial" w:hAnsi="Arial" w:cs="Arial"/>
          <w:sz w:val="16"/>
          <w:szCs w:val="16"/>
        </w:rPr>
      </w:pPr>
      <w:r w:rsidRPr="00F570F2">
        <w:rPr>
          <w:rFonts w:ascii="Arial" w:hAnsi="Arial" w:cs="Arial"/>
          <w:sz w:val="16"/>
          <w:szCs w:val="16"/>
        </w:rPr>
        <w:t xml:space="preserve">Funkcja automatycznego (tymczasowego) przechodzenia na system wyspowy rozproszonych źródeł energii </w:t>
      </w:r>
    </w:p>
    <w:p w14:paraId="4F3F5E3E" w14:textId="77777777" w:rsidR="00E741F8" w:rsidRPr="00F570F2" w:rsidRDefault="00E741F8" w:rsidP="00B345B6">
      <w:pPr>
        <w:pStyle w:val="Tekstprzypisudolnego"/>
        <w:numPr>
          <w:ilvl w:val="0"/>
          <w:numId w:val="53"/>
        </w:numPr>
        <w:spacing w:before="0" w:after="0" w:line="240" w:lineRule="auto"/>
        <w:rPr>
          <w:rFonts w:ascii="Arial" w:hAnsi="Arial" w:cs="Arial"/>
          <w:sz w:val="16"/>
          <w:szCs w:val="16"/>
        </w:rPr>
      </w:pPr>
      <w:r w:rsidRPr="00F570F2">
        <w:rPr>
          <w:rFonts w:ascii="Arial" w:hAnsi="Arial" w:cs="Arial"/>
          <w:sz w:val="16"/>
          <w:szCs w:val="16"/>
        </w:rPr>
        <w:t xml:space="preserve">Funkcja ładowania pojazdów elektrycznych </w:t>
      </w:r>
    </w:p>
    <w:p w14:paraId="4D0F535A" w14:textId="77777777" w:rsidR="00E741F8" w:rsidRPr="00F570F2" w:rsidRDefault="00E741F8" w:rsidP="00B345B6">
      <w:pPr>
        <w:pStyle w:val="Tekstprzypisudolnego"/>
        <w:numPr>
          <w:ilvl w:val="0"/>
          <w:numId w:val="53"/>
        </w:numPr>
        <w:spacing w:before="0" w:after="0" w:line="240" w:lineRule="auto"/>
        <w:rPr>
          <w:rFonts w:ascii="Arial" w:hAnsi="Arial" w:cs="Arial"/>
          <w:sz w:val="16"/>
          <w:szCs w:val="16"/>
        </w:rPr>
      </w:pPr>
      <w:r w:rsidRPr="00F570F2">
        <w:rPr>
          <w:rFonts w:ascii="Arial" w:hAnsi="Arial" w:cs="Arial"/>
          <w:sz w:val="16"/>
          <w:szCs w:val="16"/>
        </w:rPr>
        <w:t xml:space="preserve">Funkcja pomiaru obciążenia w czasie rzeczywistym wraz z wizualizacją </w:t>
      </w:r>
    </w:p>
    <w:p w14:paraId="5FFD93F0" w14:textId="77777777" w:rsidR="00E741F8" w:rsidRPr="00F570F2" w:rsidRDefault="00E741F8" w:rsidP="00B345B6">
      <w:pPr>
        <w:pStyle w:val="Tekstprzypisudolnego"/>
        <w:numPr>
          <w:ilvl w:val="0"/>
          <w:numId w:val="53"/>
        </w:numPr>
        <w:spacing w:before="0" w:after="0" w:line="240" w:lineRule="auto"/>
        <w:rPr>
          <w:rFonts w:ascii="Arial" w:hAnsi="Arial" w:cs="Arial"/>
          <w:sz w:val="16"/>
          <w:szCs w:val="16"/>
        </w:rPr>
      </w:pPr>
      <w:r w:rsidRPr="00F570F2">
        <w:rPr>
          <w:rFonts w:ascii="Arial" w:hAnsi="Arial" w:cs="Arial"/>
          <w:sz w:val="16"/>
          <w:szCs w:val="16"/>
        </w:rPr>
        <w:t>Funkcja zarządzania energią przez odbiorcę</w:t>
      </w:r>
    </w:p>
    <w:p w14:paraId="1E213BC6" w14:textId="77777777" w:rsidR="00E741F8" w:rsidRPr="00F570F2" w:rsidRDefault="00E741F8" w:rsidP="004E3242">
      <w:pPr>
        <w:pStyle w:val="Tekstprzypisudolnego"/>
        <w:spacing w:before="0" w:after="0" w:line="240" w:lineRule="auto"/>
        <w:rPr>
          <w:rFonts w:ascii="Arial" w:hAnsi="Arial" w:cs="Arial"/>
          <w:sz w:val="16"/>
          <w:szCs w:val="16"/>
        </w:rPr>
      </w:pPr>
      <w:r w:rsidRPr="00F570F2">
        <w:rPr>
          <w:rFonts w:ascii="Arial" w:hAnsi="Arial" w:cs="Arial"/>
          <w:sz w:val="16"/>
          <w:szCs w:val="16"/>
        </w:rPr>
        <w:t xml:space="preserve">Funkcjonalności inteligentnej przesyłowej sieci elektroenergetycznej: </w:t>
      </w:r>
    </w:p>
    <w:p w14:paraId="7BFEEFBF" w14:textId="77777777" w:rsidR="00E741F8" w:rsidRPr="0035146F" w:rsidRDefault="00E741F8" w:rsidP="00B345B6">
      <w:pPr>
        <w:pStyle w:val="Zwykytekst"/>
        <w:numPr>
          <w:ilvl w:val="0"/>
          <w:numId w:val="53"/>
        </w:numPr>
        <w:spacing w:after="0" w:line="240" w:lineRule="auto"/>
        <w:ind w:left="714" w:hanging="357"/>
        <w:rPr>
          <w:rFonts w:ascii="Arial" w:hAnsi="Arial" w:cs="Arial"/>
          <w:sz w:val="16"/>
          <w:szCs w:val="16"/>
        </w:rPr>
      </w:pPr>
      <w:r w:rsidRPr="0035146F">
        <w:rPr>
          <w:rFonts w:ascii="Arial" w:hAnsi="Arial" w:cs="Arial"/>
          <w:sz w:val="16"/>
          <w:szCs w:val="16"/>
        </w:rPr>
        <w:t>Funkcja dynamicznej oceny obciążalności linii,</w:t>
      </w:r>
    </w:p>
    <w:p w14:paraId="7E4063E6" w14:textId="77777777" w:rsidR="00E741F8" w:rsidRPr="0035146F" w:rsidRDefault="00E741F8" w:rsidP="00B345B6">
      <w:pPr>
        <w:pStyle w:val="Zwykytekst"/>
        <w:numPr>
          <w:ilvl w:val="0"/>
          <w:numId w:val="53"/>
        </w:numPr>
        <w:spacing w:after="0" w:line="240" w:lineRule="auto"/>
        <w:ind w:left="714" w:hanging="357"/>
        <w:rPr>
          <w:rFonts w:ascii="Arial" w:hAnsi="Arial" w:cs="Arial"/>
          <w:sz w:val="16"/>
          <w:szCs w:val="16"/>
        </w:rPr>
      </w:pPr>
      <w:r w:rsidRPr="0035146F">
        <w:rPr>
          <w:rFonts w:ascii="Arial" w:hAnsi="Arial" w:cs="Arial"/>
          <w:sz w:val="16"/>
          <w:szCs w:val="16"/>
        </w:rPr>
        <w:t>Funkcja zaawansowanej kontroli przepływu mocy czynnej i biernej,</w:t>
      </w:r>
    </w:p>
    <w:p w14:paraId="074575F4" w14:textId="77777777" w:rsidR="00E741F8" w:rsidRPr="0035146F" w:rsidRDefault="00E741F8" w:rsidP="00B345B6">
      <w:pPr>
        <w:pStyle w:val="Zwykytekst"/>
        <w:numPr>
          <w:ilvl w:val="0"/>
          <w:numId w:val="53"/>
        </w:numPr>
        <w:spacing w:after="0" w:line="240" w:lineRule="auto"/>
        <w:ind w:left="714" w:hanging="357"/>
        <w:rPr>
          <w:rFonts w:ascii="Arial" w:hAnsi="Arial" w:cs="Arial"/>
          <w:sz w:val="16"/>
          <w:szCs w:val="16"/>
        </w:rPr>
      </w:pPr>
      <w:r w:rsidRPr="0035146F">
        <w:rPr>
          <w:rFonts w:ascii="Arial" w:hAnsi="Arial" w:cs="Arial"/>
          <w:sz w:val="16"/>
          <w:szCs w:val="16"/>
        </w:rPr>
        <w:t>Funkcja zaawansowanego monitoringu wraz z wizualizacją stanu sieci,</w:t>
      </w:r>
    </w:p>
    <w:p w14:paraId="0ECACDD0" w14:textId="77777777" w:rsidR="00E741F8" w:rsidRPr="0035146F" w:rsidRDefault="00E741F8" w:rsidP="00B345B6">
      <w:pPr>
        <w:pStyle w:val="Zwykytekst"/>
        <w:numPr>
          <w:ilvl w:val="0"/>
          <w:numId w:val="53"/>
        </w:numPr>
        <w:spacing w:after="0" w:line="240" w:lineRule="auto"/>
        <w:ind w:left="714" w:hanging="357"/>
        <w:rPr>
          <w:rFonts w:ascii="Arial" w:hAnsi="Arial" w:cs="Arial"/>
          <w:sz w:val="16"/>
          <w:szCs w:val="16"/>
        </w:rPr>
      </w:pPr>
      <w:r w:rsidRPr="0035146F">
        <w:rPr>
          <w:rFonts w:ascii="Arial" w:hAnsi="Arial" w:cs="Arial"/>
          <w:sz w:val="16"/>
          <w:szCs w:val="16"/>
        </w:rPr>
        <w:t>Funkcja automatycznego (tymczasowego) przechodzenia na system wyspowy rozproszonych źródeł energii,</w:t>
      </w:r>
    </w:p>
    <w:p w14:paraId="15465292" w14:textId="77777777" w:rsidR="00E741F8" w:rsidRPr="0035146F" w:rsidRDefault="00E741F8" w:rsidP="00B345B6">
      <w:pPr>
        <w:pStyle w:val="Zwykytekst"/>
        <w:numPr>
          <w:ilvl w:val="0"/>
          <w:numId w:val="53"/>
        </w:numPr>
        <w:spacing w:after="0" w:line="240" w:lineRule="auto"/>
        <w:ind w:left="714" w:hanging="357"/>
        <w:rPr>
          <w:rFonts w:ascii="Arial" w:hAnsi="Arial" w:cs="Arial"/>
          <w:sz w:val="16"/>
          <w:szCs w:val="16"/>
        </w:rPr>
      </w:pPr>
      <w:r w:rsidRPr="0035146F">
        <w:rPr>
          <w:rFonts w:ascii="Arial" w:hAnsi="Arial" w:cs="Arial"/>
          <w:sz w:val="16"/>
          <w:szCs w:val="16"/>
        </w:rPr>
        <w:t>Funkcja ładowania pojazdów elektrycznych,</w:t>
      </w:r>
    </w:p>
    <w:p w14:paraId="45DA72BF" w14:textId="77777777" w:rsidR="00E741F8" w:rsidRPr="0035146F" w:rsidRDefault="00E741F8" w:rsidP="00B345B6">
      <w:pPr>
        <w:pStyle w:val="Zwykytekst"/>
        <w:numPr>
          <w:ilvl w:val="0"/>
          <w:numId w:val="53"/>
        </w:numPr>
        <w:spacing w:after="0" w:line="240" w:lineRule="auto"/>
        <w:ind w:left="714" w:hanging="357"/>
        <w:rPr>
          <w:rFonts w:ascii="Arial" w:hAnsi="Arial" w:cs="Arial"/>
          <w:sz w:val="16"/>
          <w:szCs w:val="16"/>
        </w:rPr>
      </w:pPr>
      <w:r w:rsidRPr="0035146F">
        <w:rPr>
          <w:rFonts w:ascii="Arial" w:hAnsi="Arial" w:cs="Arial"/>
          <w:sz w:val="16"/>
          <w:szCs w:val="16"/>
        </w:rPr>
        <w:t>Funkcja pomiaru obciążenia w czasie rzeczywistym wraz z wizualizacją,</w:t>
      </w:r>
    </w:p>
    <w:p w14:paraId="6870DCB4" w14:textId="77777777" w:rsidR="00E741F8" w:rsidRPr="0035146F" w:rsidRDefault="00E741F8" w:rsidP="00B345B6">
      <w:pPr>
        <w:pStyle w:val="Zwykytekst"/>
        <w:numPr>
          <w:ilvl w:val="0"/>
          <w:numId w:val="53"/>
        </w:numPr>
        <w:spacing w:after="0" w:line="240" w:lineRule="auto"/>
        <w:ind w:left="714" w:hanging="357"/>
        <w:rPr>
          <w:rFonts w:ascii="Arial" w:hAnsi="Arial" w:cs="Arial"/>
          <w:sz w:val="16"/>
          <w:szCs w:val="16"/>
        </w:rPr>
      </w:pPr>
      <w:r w:rsidRPr="0035146F">
        <w:rPr>
          <w:rFonts w:ascii="Arial" w:hAnsi="Arial" w:cs="Arial"/>
          <w:sz w:val="16"/>
          <w:szCs w:val="16"/>
        </w:rPr>
        <w:t>Funkcja zarządzania energią przez odbiorcę.</w:t>
      </w:r>
    </w:p>
    <w:p w14:paraId="4CCFE4FE" w14:textId="77777777" w:rsidR="00E741F8" w:rsidRPr="009D01E4" w:rsidRDefault="00E741F8" w:rsidP="004E3242">
      <w:pPr>
        <w:pStyle w:val="Tekstprzypisudolnego"/>
        <w:spacing w:before="0" w:after="0" w:line="240" w:lineRule="auto"/>
        <w:ind w:left="720"/>
        <w:rPr>
          <w:rFonts w:ascii="Arial" w:hAnsi="Arial" w:cs="Arial"/>
          <w:sz w:val="16"/>
          <w:szCs w:val="16"/>
        </w:rPr>
      </w:pPr>
    </w:p>
  </w:footnote>
  <w:footnote w:id="84">
    <w:p w14:paraId="5E90CAEC" w14:textId="77777777" w:rsidR="00E741F8" w:rsidRPr="004A0057" w:rsidRDefault="00E741F8" w:rsidP="004E3242">
      <w:pPr>
        <w:pStyle w:val="Tekstprzypisudolnego"/>
        <w:spacing w:before="0" w:after="0" w:line="240" w:lineRule="atLeast"/>
        <w:rPr>
          <w:rFonts w:ascii="Arial" w:hAnsi="Arial" w:cs="Arial"/>
          <w:sz w:val="16"/>
          <w:szCs w:val="16"/>
        </w:rPr>
      </w:pPr>
      <w:r w:rsidRPr="0035146F">
        <w:rPr>
          <w:rStyle w:val="Odwoanieprzypisudolnego"/>
          <w:rFonts w:ascii="Arial" w:hAnsi="Arial" w:cs="Arial"/>
        </w:rPr>
        <w:footnoteRef/>
      </w:r>
      <w:r w:rsidRPr="0035146F">
        <w:rPr>
          <w:rFonts w:ascii="Arial" w:hAnsi="Arial" w:cs="Arial"/>
        </w:rPr>
        <w:t xml:space="preserve"> </w:t>
      </w:r>
      <w:r w:rsidRPr="00C81205">
        <w:rPr>
          <w:rFonts w:ascii="Arial" w:hAnsi="Arial" w:cs="Arial"/>
          <w:sz w:val="16"/>
          <w:szCs w:val="16"/>
        </w:rPr>
        <w:t>Funkcjonalnosci ineligentenej sieci ga</w:t>
      </w:r>
      <w:r w:rsidRPr="004A0057">
        <w:rPr>
          <w:rFonts w:ascii="Arial" w:hAnsi="Arial" w:cs="Arial"/>
          <w:sz w:val="16"/>
          <w:szCs w:val="16"/>
        </w:rPr>
        <w:t xml:space="preserve">zowej: </w:t>
      </w:r>
    </w:p>
    <w:p w14:paraId="73C5BA17" w14:textId="77777777" w:rsidR="00E741F8" w:rsidRPr="00BD76FA" w:rsidRDefault="00E741F8" w:rsidP="006E6004">
      <w:pPr>
        <w:numPr>
          <w:ilvl w:val="0"/>
          <w:numId w:val="47"/>
        </w:numPr>
        <w:spacing w:after="0" w:line="240" w:lineRule="atLeast"/>
        <w:rPr>
          <w:rFonts w:ascii="Arial" w:hAnsi="Arial" w:cs="Arial"/>
          <w:noProof/>
          <w:sz w:val="16"/>
          <w:szCs w:val="16"/>
          <w:lang w:eastAsia="pl-PL"/>
        </w:rPr>
      </w:pPr>
      <w:r w:rsidRPr="00BD76FA">
        <w:rPr>
          <w:rFonts w:ascii="Arial" w:hAnsi="Arial" w:cs="Arial"/>
          <w:noProof/>
          <w:sz w:val="16"/>
          <w:szCs w:val="16"/>
          <w:lang w:eastAsia="pl-PL"/>
        </w:rPr>
        <w:t xml:space="preserve">Elastyczność </w:t>
      </w:r>
    </w:p>
    <w:p w14:paraId="0380F5F3" w14:textId="77777777" w:rsidR="00E741F8" w:rsidRPr="00BD76FA" w:rsidRDefault="00E741F8" w:rsidP="006E6004">
      <w:pPr>
        <w:numPr>
          <w:ilvl w:val="0"/>
          <w:numId w:val="47"/>
        </w:numPr>
        <w:spacing w:after="0" w:line="240" w:lineRule="atLeast"/>
        <w:rPr>
          <w:rFonts w:ascii="Arial" w:hAnsi="Arial" w:cs="Arial"/>
          <w:noProof/>
          <w:sz w:val="16"/>
          <w:szCs w:val="16"/>
          <w:lang w:eastAsia="pl-PL"/>
        </w:rPr>
      </w:pPr>
      <w:r w:rsidRPr="00BD76FA">
        <w:rPr>
          <w:rFonts w:ascii="Arial" w:hAnsi="Arial" w:cs="Arial"/>
          <w:noProof/>
          <w:sz w:val="16"/>
          <w:szCs w:val="16"/>
          <w:lang w:eastAsia="pl-PL"/>
        </w:rPr>
        <w:t xml:space="preserve">Akceptacja innych paliw gazowych </w:t>
      </w:r>
    </w:p>
    <w:p w14:paraId="05682CD8" w14:textId="77777777" w:rsidR="00E741F8" w:rsidRPr="009D01E4" w:rsidRDefault="00E741F8" w:rsidP="006E6004">
      <w:pPr>
        <w:numPr>
          <w:ilvl w:val="0"/>
          <w:numId w:val="47"/>
        </w:numPr>
        <w:spacing w:after="0" w:line="240" w:lineRule="atLeast"/>
        <w:rPr>
          <w:rFonts w:ascii="Arial" w:hAnsi="Arial" w:cs="Arial"/>
          <w:noProof/>
          <w:sz w:val="16"/>
          <w:szCs w:val="16"/>
          <w:lang w:eastAsia="pl-PL"/>
        </w:rPr>
      </w:pPr>
      <w:r w:rsidRPr="009D01E4">
        <w:rPr>
          <w:rFonts w:ascii="Arial" w:hAnsi="Arial" w:cs="Arial"/>
          <w:noProof/>
          <w:sz w:val="16"/>
          <w:szCs w:val="16"/>
          <w:lang w:eastAsia="pl-PL"/>
        </w:rPr>
        <w:t>Inteligentne wykorzystanie gazu</w:t>
      </w:r>
    </w:p>
    <w:p w14:paraId="088D0B7A" w14:textId="77777777" w:rsidR="00E741F8" w:rsidRPr="006E6004" w:rsidRDefault="00E741F8" w:rsidP="006E6004">
      <w:pPr>
        <w:numPr>
          <w:ilvl w:val="0"/>
          <w:numId w:val="47"/>
        </w:numPr>
        <w:spacing w:after="120" w:line="240" w:lineRule="atLeast"/>
        <w:ind w:left="714" w:hanging="357"/>
        <w:rPr>
          <w:rFonts w:ascii="Arial" w:hAnsi="Arial" w:cs="Arial"/>
        </w:rPr>
      </w:pPr>
      <w:r w:rsidRPr="009D01E4">
        <w:rPr>
          <w:rFonts w:ascii="Arial" w:hAnsi="Arial" w:cs="Arial"/>
          <w:noProof/>
          <w:sz w:val="16"/>
          <w:szCs w:val="16"/>
          <w:lang w:eastAsia="pl-PL"/>
        </w:rPr>
        <w:t xml:space="preserve">Kosztowo-efektywna i bezpieczna eksploatacja </w:t>
      </w:r>
    </w:p>
  </w:footnote>
  <w:footnote w:id="85">
    <w:p w14:paraId="25FDF2DB" w14:textId="77777777" w:rsidR="00E741F8" w:rsidRPr="009D01E4" w:rsidRDefault="00E741F8" w:rsidP="004E3242">
      <w:pPr>
        <w:pStyle w:val="Tekstprzypisudolnego"/>
        <w:spacing w:before="0" w:after="0" w:line="240" w:lineRule="auto"/>
        <w:contextualSpacing/>
        <w:jc w:val="both"/>
        <w:rPr>
          <w:rFonts w:ascii="Arial" w:hAnsi="Arial" w:cs="Arial"/>
          <w:sz w:val="16"/>
          <w:szCs w:val="16"/>
        </w:rPr>
      </w:pPr>
      <w:r w:rsidRPr="00C81205">
        <w:rPr>
          <w:rStyle w:val="Odwoanieprzypisudolnego"/>
          <w:rFonts w:ascii="Arial" w:hAnsi="Arial" w:cs="Arial"/>
          <w:sz w:val="16"/>
          <w:szCs w:val="16"/>
        </w:rPr>
        <w:footnoteRef/>
      </w:r>
      <w:r w:rsidRPr="00C81205">
        <w:rPr>
          <w:rFonts w:ascii="Arial" w:hAnsi="Arial" w:cs="Arial"/>
          <w:sz w:val="16"/>
          <w:szCs w:val="16"/>
        </w:rPr>
        <w:t xml:space="preserve"> </w:t>
      </w:r>
      <w:r w:rsidRPr="004A0057">
        <w:rPr>
          <w:rFonts w:ascii="Arial" w:hAnsi="Arial" w:cs="Arial"/>
          <w:sz w:val="16"/>
          <w:szCs w:val="16"/>
        </w:rPr>
        <w:t>W ramach infrastruktury wsparcia kwalifikować się będą urządzenia i obiekty techniczne zapewniające prawidłową pracę sy</w:t>
      </w:r>
      <w:r w:rsidRPr="00BD76FA">
        <w:rPr>
          <w:rFonts w:ascii="Arial" w:hAnsi="Arial" w:cs="Arial"/>
          <w:sz w:val="16"/>
          <w:szCs w:val="16"/>
        </w:rPr>
        <w:t>stemu przesyłowego i dystrybucyjnego gazu ziemnego. W szczególności chodzi tu o stacje gazowe (redukcyjne, redukcyjno-pomiarowe oraz pomiarowe), instalacje sprężania gazu (tłocznie), węzły oraz dodatkowo instalacje regazyfikacji skroplonego gazu ziemnego (LNG) przyłączone do sieci dystrybucyjnej.</w:t>
      </w:r>
      <w:r w:rsidRPr="00604D89">
        <w:rPr>
          <w:rFonts w:ascii="Arial" w:hAnsi="Arial" w:cs="Arial"/>
          <w:sz w:val="16"/>
          <w:szCs w:val="16"/>
        </w:rPr>
        <w:t>.</w:t>
      </w:r>
    </w:p>
  </w:footnote>
  <w:footnote w:id="86">
    <w:p w14:paraId="1A5A837E" w14:textId="77777777" w:rsidR="00E741F8" w:rsidRDefault="00E741F8" w:rsidP="006E6004">
      <w:pPr>
        <w:spacing w:after="0" w:line="240" w:lineRule="auto"/>
        <w:contextualSpacing/>
        <w:jc w:val="both"/>
      </w:pPr>
      <w:r w:rsidRPr="009D01E4">
        <w:rPr>
          <w:rStyle w:val="Odwoanieprzypisudolnego"/>
          <w:rFonts w:ascii="Arial" w:hAnsi="Arial" w:cs="Arial"/>
          <w:sz w:val="16"/>
          <w:szCs w:val="16"/>
        </w:rPr>
        <w:footnoteRef/>
      </w:r>
      <w:r w:rsidRPr="009D01E4">
        <w:rPr>
          <w:rFonts w:ascii="Arial" w:hAnsi="Arial" w:cs="Arial"/>
          <w:sz w:val="16"/>
          <w:szCs w:val="16"/>
        </w:rPr>
        <w:t xml:space="preserve"> </w:t>
      </w:r>
      <w:r w:rsidRPr="009D01E4">
        <w:rPr>
          <w:rFonts w:ascii="Arial" w:hAnsi="Arial" w:cs="Arial"/>
          <w:spacing w:val="4"/>
          <w:sz w:val="16"/>
          <w:szCs w:val="16"/>
        </w:rPr>
        <w:t xml:space="preserve">Dominacja w </w:t>
      </w:r>
      <w:r w:rsidRPr="0044204D">
        <w:rPr>
          <w:rFonts w:ascii="Arial" w:hAnsi="Arial" w:cs="Arial"/>
          <w:spacing w:val="4"/>
          <w:sz w:val="16"/>
          <w:szCs w:val="16"/>
        </w:rPr>
        <w:t>POIiŚ</w:t>
      </w:r>
      <w:r w:rsidRPr="008E35C5">
        <w:rPr>
          <w:rFonts w:ascii="Arial" w:hAnsi="Arial" w:cs="Arial"/>
          <w:spacing w:val="4"/>
          <w:sz w:val="16"/>
          <w:szCs w:val="16"/>
        </w:rPr>
        <w:t xml:space="preserve"> 2014-2020</w:t>
      </w:r>
      <w:r w:rsidRPr="00327F47">
        <w:rPr>
          <w:rFonts w:ascii="Arial" w:hAnsi="Arial" w:cs="Arial"/>
          <w:spacing w:val="4"/>
          <w:sz w:val="16"/>
          <w:szCs w:val="16"/>
        </w:rPr>
        <w:t xml:space="preserve"> środków FS oraz ograniczoność środków EFRR zadecydow</w:t>
      </w:r>
      <w:r w:rsidRPr="00AB758A">
        <w:rPr>
          <w:rFonts w:ascii="Arial" w:hAnsi="Arial" w:cs="Arial"/>
          <w:spacing w:val="4"/>
          <w:sz w:val="16"/>
          <w:szCs w:val="16"/>
        </w:rPr>
        <w:t xml:space="preserve">ały o odstąpieniu od wyodrębniania osi dedykowanych Mazowszu (który obecnie klasyfikowany jest jako region lepiej rozwinięty, co wiąże się z odrębnymi restrykcjami w zakresie dopuszczalnej maksymalnej wielkości alokacji oraz poziomu wsparcia). Ponieważ kategoryzacja na regiony ma zastosowanie wyłącznie w odniesieniu do funduszy strukturalnych (w tym przypadku EFRR) oraz z uwagi na ograniczony zakres interwencji tego funduszu w ramach </w:t>
      </w:r>
      <w:r>
        <w:rPr>
          <w:rFonts w:ascii="Arial" w:hAnsi="Arial" w:cs="Arial"/>
          <w:spacing w:val="4"/>
          <w:sz w:val="16"/>
          <w:szCs w:val="16"/>
        </w:rPr>
        <w:t xml:space="preserve">POIiŚ </w:t>
      </w:r>
      <w:r w:rsidRPr="0041509C">
        <w:rPr>
          <w:rFonts w:ascii="Arial" w:hAnsi="Arial" w:cs="Arial"/>
          <w:spacing w:val="4"/>
          <w:sz w:val="16"/>
          <w:szCs w:val="16"/>
        </w:rPr>
        <w:t>2014-2020</w:t>
      </w:r>
      <w:r w:rsidRPr="00AB758A">
        <w:rPr>
          <w:rFonts w:ascii="Arial" w:hAnsi="Arial" w:cs="Arial"/>
          <w:spacing w:val="4"/>
          <w:sz w:val="16"/>
          <w:szCs w:val="16"/>
        </w:rPr>
        <w:t>, nie przewidziano wyodrębniania osi priorytetowych dedykowanych Mazowszu, region ten został uwzględniony w już istniejących osiach, zachowują</w:t>
      </w:r>
      <w:r w:rsidRPr="008B2F95">
        <w:rPr>
          <w:rFonts w:ascii="Arial" w:hAnsi="Arial" w:cs="Arial"/>
          <w:spacing w:val="4"/>
          <w:sz w:val="16"/>
          <w:szCs w:val="16"/>
        </w:rPr>
        <w:t>c jednak własną lini</w:t>
      </w:r>
      <w:r>
        <w:rPr>
          <w:rFonts w:ascii="Arial" w:hAnsi="Arial" w:cs="Arial"/>
          <w:spacing w:val="4"/>
          <w:sz w:val="16"/>
          <w:szCs w:val="16"/>
        </w:rPr>
        <w:t>ę</w:t>
      </w:r>
      <w:r w:rsidRPr="00AB758A">
        <w:rPr>
          <w:rFonts w:ascii="Arial" w:hAnsi="Arial" w:cs="Arial"/>
          <w:spacing w:val="4"/>
          <w:sz w:val="16"/>
          <w:szCs w:val="16"/>
        </w:rPr>
        <w:t xml:space="preserve"> budżetową i jemu właściwe poziomy wsparcia UE.</w:t>
      </w:r>
    </w:p>
  </w:footnote>
  <w:footnote w:id="87">
    <w:p w14:paraId="1D733AA3" w14:textId="77777777" w:rsidR="00E741F8" w:rsidRPr="0035146F" w:rsidRDefault="00E741F8" w:rsidP="004E3242">
      <w:pPr>
        <w:pStyle w:val="Tekstprzypisudolnego"/>
        <w:spacing w:before="0" w:after="0" w:line="240" w:lineRule="auto"/>
        <w:contextualSpacing/>
        <w:jc w:val="both"/>
        <w:rPr>
          <w:rFonts w:ascii="Arial" w:hAnsi="Arial" w:cs="Arial"/>
          <w:sz w:val="16"/>
          <w:szCs w:val="16"/>
        </w:rPr>
      </w:pPr>
      <w:r w:rsidRPr="0035146F">
        <w:rPr>
          <w:rStyle w:val="Odwoanieprzypisudolnego"/>
          <w:rFonts w:ascii="Arial" w:hAnsi="Arial" w:cs="Arial"/>
          <w:sz w:val="16"/>
          <w:szCs w:val="16"/>
        </w:rPr>
        <w:footnoteRef/>
      </w:r>
      <w:r w:rsidRPr="0035146F">
        <w:rPr>
          <w:rFonts w:ascii="Arial" w:hAnsi="Arial" w:cs="Arial"/>
          <w:sz w:val="16"/>
          <w:szCs w:val="16"/>
        </w:rPr>
        <w:t xml:space="preserve"> odnosi się do wolumenu gazu po regazyfikacji</w:t>
      </w:r>
    </w:p>
  </w:footnote>
  <w:footnote w:id="88">
    <w:p w14:paraId="689D4C17" w14:textId="77777777" w:rsidR="00E741F8" w:rsidRPr="0035146F" w:rsidRDefault="00E741F8" w:rsidP="004E3242">
      <w:pPr>
        <w:pStyle w:val="Tekstprzypisudolnego"/>
        <w:spacing w:before="0" w:after="0" w:line="240" w:lineRule="auto"/>
        <w:jc w:val="both"/>
        <w:rPr>
          <w:rFonts w:ascii="Arial" w:hAnsi="Arial" w:cs="Arial"/>
          <w:sz w:val="16"/>
          <w:szCs w:val="16"/>
        </w:rPr>
      </w:pPr>
      <w:r w:rsidRPr="0035146F">
        <w:rPr>
          <w:rStyle w:val="Odwoanieprzypisudolnego"/>
          <w:rFonts w:ascii="Arial" w:hAnsi="Arial" w:cs="Arial"/>
          <w:sz w:val="16"/>
          <w:szCs w:val="16"/>
        </w:rPr>
        <w:footnoteRef/>
      </w:r>
      <w:r w:rsidRPr="0035146F">
        <w:rPr>
          <w:rFonts w:ascii="Arial" w:hAnsi="Arial" w:cs="Arial"/>
          <w:sz w:val="16"/>
          <w:szCs w:val="16"/>
        </w:rPr>
        <w:t xml:space="preserve"> </w:t>
      </w:r>
      <w:r w:rsidRPr="0035146F">
        <w:rPr>
          <w:rFonts w:ascii="Arial" w:hAnsi="Arial" w:cs="Arial"/>
          <w:bCs/>
          <w:sz w:val="16"/>
          <w:szCs w:val="16"/>
        </w:rPr>
        <w:t xml:space="preserve">Wartość dla wskaźnika podana została warunkowo. Taki poziom certyfikacji mógłby zostać osiągnięty w zasadzie wyłącznie dzięki płatnościom dokonywanym przez beneficjentów programu w związku </w:t>
      </w:r>
      <w:r w:rsidRPr="0035146F">
        <w:rPr>
          <w:rFonts w:ascii="Arial" w:hAnsi="Arial" w:cs="Arial"/>
          <w:bCs/>
          <w:sz w:val="16"/>
          <w:szCs w:val="16"/>
        </w:rPr>
        <w:br/>
        <w:t>z opracowaniem dokumentacji projektowej (studium wykonalności, OOŚ, projektów budowlanych i innych ekspertyz analiz). Natomiast nie jest na dziś wiadome, na jakich zasadach udzielana będzie pomoc publiczna w sektorze energetyki. Te zasady określą dopiero czy i w jakim kształcie projekty oraz wydatki w ich ramach będą kwalifikowały się do współfinansowania w ramach</w:t>
      </w:r>
      <w:r>
        <w:rPr>
          <w:rFonts w:ascii="Arial" w:hAnsi="Arial" w:cs="Arial"/>
          <w:bCs/>
          <w:sz w:val="16"/>
          <w:szCs w:val="16"/>
        </w:rPr>
        <w:t xml:space="preserve">POIiŚ </w:t>
      </w:r>
      <w:r w:rsidRPr="0041509C">
        <w:rPr>
          <w:rFonts w:ascii="Arial" w:hAnsi="Arial" w:cs="Arial"/>
          <w:bCs/>
          <w:sz w:val="16"/>
          <w:szCs w:val="16"/>
        </w:rPr>
        <w:t>2014-2020</w:t>
      </w:r>
      <w:r w:rsidRPr="0035146F">
        <w:rPr>
          <w:rFonts w:ascii="Arial" w:hAnsi="Arial" w:cs="Arial"/>
          <w:bCs/>
          <w:sz w:val="16"/>
          <w:szCs w:val="16"/>
        </w:rPr>
        <w:t>.</w:t>
      </w:r>
    </w:p>
  </w:footnote>
  <w:footnote w:id="89">
    <w:p w14:paraId="757CF621" w14:textId="77777777" w:rsidR="00E741F8" w:rsidRPr="0035146F" w:rsidRDefault="00E741F8" w:rsidP="004E3242">
      <w:pPr>
        <w:pStyle w:val="Tekstprzypisudolnego"/>
        <w:spacing w:before="0" w:after="0" w:line="240" w:lineRule="auto"/>
        <w:contextualSpacing/>
        <w:jc w:val="both"/>
        <w:rPr>
          <w:sz w:val="16"/>
          <w:szCs w:val="16"/>
        </w:rPr>
      </w:pPr>
      <w:r w:rsidRPr="0035146F">
        <w:rPr>
          <w:rStyle w:val="Odwoanieprzypisudolnego"/>
          <w:rFonts w:ascii="Arial" w:hAnsi="Arial" w:cs="Arial"/>
          <w:sz w:val="16"/>
          <w:szCs w:val="16"/>
        </w:rPr>
        <w:footnoteRef/>
      </w:r>
      <w:r w:rsidRPr="00596802">
        <w:rPr>
          <w:rFonts w:ascii="Arial" w:hAnsi="Arial" w:cs="Arial"/>
          <w:sz w:val="16"/>
          <w:szCs w:val="16"/>
        </w:rPr>
        <w:t xml:space="preserve"> </w:t>
      </w:r>
      <w:r w:rsidRPr="00596802">
        <w:rPr>
          <w:rFonts w:ascii="Arial" w:hAnsi="Arial" w:cs="Arial"/>
          <w:i/>
          <w:iCs/>
          <w:sz w:val="16"/>
          <w:szCs w:val="16"/>
        </w:rPr>
        <w:t xml:space="preserve">Koncepcja Przestrzennego Zagospodarowania Kraju 2030, </w:t>
      </w:r>
      <w:r w:rsidRPr="00596802">
        <w:rPr>
          <w:rFonts w:ascii="Arial" w:hAnsi="Arial" w:cs="Arial"/>
          <w:sz w:val="16"/>
          <w:szCs w:val="16"/>
        </w:rPr>
        <w:t>op. cit, str. 54.</w:t>
      </w:r>
    </w:p>
  </w:footnote>
  <w:footnote w:id="90">
    <w:p w14:paraId="55FB3FC8" w14:textId="77777777" w:rsidR="00E741F8" w:rsidRDefault="00E741F8" w:rsidP="004E3242">
      <w:pPr>
        <w:pStyle w:val="Tekstprzypisudolnego"/>
      </w:pPr>
      <w:r>
        <w:rPr>
          <w:rStyle w:val="Odwoanieprzypisudolnego"/>
        </w:rPr>
        <w:footnoteRef/>
      </w:r>
      <w:r>
        <w:t xml:space="preserve"> </w:t>
      </w:r>
      <w:r w:rsidRPr="00D94DFC">
        <w:rPr>
          <w:rFonts w:ascii="Arial" w:hAnsi="Arial" w:cs="Arial"/>
          <w:sz w:val="16"/>
          <w:szCs w:val="16"/>
        </w:rPr>
        <w:t>Mapy potrzeb zdrowotnych będa przygotowane zgodnie z Planem działań dotyczącym wypełnienia warunku ex-ante 9.3.</w:t>
      </w:r>
    </w:p>
  </w:footnote>
  <w:footnote w:id="91">
    <w:p w14:paraId="22CAB5CC" w14:textId="77777777" w:rsidR="00E741F8" w:rsidRPr="001A24F5" w:rsidRDefault="00E741F8" w:rsidP="00C7477C">
      <w:pPr>
        <w:pStyle w:val="Tekstprzypisudolnego"/>
        <w:spacing w:before="0" w:after="120"/>
        <w:jc w:val="both"/>
        <w:rPr>
          <w:rFonts w:ascii="Arial" w:hAnsi="Arial" w:cs="Arial"/>
          <w:sz w:val="16"/>
          <w:szCs w:val="16"/>
        </w:rPr>
      </w:pPr>
      <w:r w:rsidRPr="001A24F5">
        <w:rPr>
          <w:rStyle w:val="Odwoanieprzypisudolnego"/>
          <w:rFonts w:ascii="Arial" w:hAnsi="Arial" w:cs="Arial"/>
          <w:sz w:val="16"/>
          <w:szCs w:val="16"/>
        </w:rPr>
        <w:footnoteRef/>
      </w:r>
      <w:r w:rsidRPr="001A24F5">
        <w:rPr>
          <w:rFonts w:ascii="Arial" w:hAnsi="Arial" w:cs="Arial"/>
          <w:sz w:val="16"/>
          <w:szCs w:val="16"/>
        </w:rPr>
        <w:t xml:space="preserve"> Wymienione obszary mają charakter przykładowy. Decyzja o realizacji projektów szkoleniowych będzie każdorazowo poprzedzona analizą potrzeb szkoleniowych pracowników.</w:t>
      </w:r>
    </w:p>
  </w:footnote>
  <w:footnote w:id="92">
    <w:p w14:paraId="55AD1A4A" w14:textId="77777777" w:rsidR="00E741F8" w:rsidRPr="006B61A4" w:rsidRDefault="00E741F8" w:rsidP="00C7477C">
      <w:pPr>
        <w:pStyle w:val="Tekstprzypisudolnego"/>
        <w:spacing w:before="0" w:after="120"/>
        <w:jc w:val="both"/>
        <w:rPr>
          <w:rFonts w:ascii="Arial" w:hAnsi="Arial" w:cs="Arial"/>
          <w:sz w:val="16"/>
          <w:szCs w:val="16"/>
        </w:rPr>
      </w:pPr>
      <w:r w:rsidRPr="006B61A4">
        <w:rPr>
          <w:rStyle w:val="Odwoanieprzypisudolnego"/>
          <w:rFonts w:ascii="Arial" w:hAnsi="Arial" w:cs="Arial"/>
          <w:sz w:val="16"/>
          <w:szCs w:val="16"/>
        </w:rPr>
        <w:footnoteRef/>
      </w:r>
      <w:r w:rsidRPr="006B61A4">
        <w:rPr>
          <w:rFonts w:ascii="Arial" w:hAnsi="Arial" w:cs="Arial"/>
          <w:sz w:val="16"/>
          <w:szCs w:val="16"/>
        </w:rPr>
        <w:t xml:space="preserve"> Wymienione obszary mają charakter przykładowy. Decyzja o realizacji projektów szkoleniowych będzie każdorazowo poprzedzona analizą potrzeb szkoleniowych beneficjentów PO.</w:t>
      </w:r>
    </w:p>
  </w:footnote>
  <w:footnote w:id="93">
    <w:p w14:paraId="6CD67826" w14:textId="77777777" w:rsidR="00E741F8" w:rsidRPr="00F614DA" w:rsidRDefault="00E741F8" w:rsidP="00C7477C">
      <w:pPr>
        <w:pStyle w:val="Tekstprzypisudolnego"/>
        <w:spacing w:before="0" w:after="120"/>
        <w:jc w:val="both"/>
        <w:rPr>
          <w:rFonts w:ascii="Arial" w:hAnsi="Arial" w:cs="Arial"/>
          <w:sz w:val="16"/>
          <w:szCs w:val="16"/>
        </w:rPr>
      </w:pPr>
      <w:r w:rsidRPr="00F614DA">
        <w:rPr>
          <w:rStyle w:val="Odwoanieprzypisudolnego"/>
          <w:rFonts w:ascii="Arial" w:hAnsi="Arial" w:cs="Arial"/>
          <w:sz w:val="16"/>
          <w:szCs w:val="16"/>
        </w:rPr>
        <w:footnoteRef/>
      </w:r>
      <w:r w:rsidRPr="00F614DA">
        <w:rPr>
          <w:rFonts w:ascii="Arial" w:hAnsi="Arial" w:cs="Arial"/>
          <w:sz w:val="16"/>
          <w:szCs w:val="16"/>
        </w:rPr>
        <w:t xml:space="preserve"> Rozporządzenie ogólne nie nakłada obowiązku ustalania wartości docelowej dla wskaźników produktu w osiach pomocy technicznej.</w:t>
      </w:r>
    </w:p>
  </w:footnote>
  <w:footnote w:id="94">
    <w:p w14:paraId="7ACC3FE3" w14:textId="77777777" w:rsidR="00E741F8" w:rsidRPr="00A065EA" w:rsidRDefault="00E741F8" w:rsidP="00A065EA">
      <w:pPr>
        <w:pStyle w:val="Tekstprzypisudolnego"/>
        <w:jc w:val="both"/>
        <w:rPr>
          <w:rFonts w:ascii="Arial" w:hAnsi="Arial" w:cs="Arial"/>
          <w:sz w:val="16"/>
          <w:szCs w:val="16"/>
          <w:lang w:val="pl-PL"/>
        </w:rPr>
      </w:pPr>
      <w:r w:rsidRPr="00A065EA">
        <w:rPr>
          <w:rStyle w:val="Odwoanieprzypisudolnego"/>
          <w:rFonts w:ascii="Arial" w:hAnsi="Arial" w:cs="Arial"/>
          <w:sz w:val="16"/>
          <w:szCs w:val="16"/>
        </w:rPr>
        <w:footnoteRef/>
      </w:r>
      <w:r w:rsidRPr="00A065EA">
        <w:rPr>
          <w:rFonts w:ascii="Arial" w:hAnsi="Arial" w:cs="Arial"/>
          <w:sz w:val="16"/>
          <w:szCs w:val="16"/>
        </w:rPr>
        <w:t xml:space="preserve"> </w:t>
      </w:r>
      <w:r w:rsidRPr="00A065EA">
        <w:rPr>
          <w:rFonts w:ascii="Arial" w:hAnsi="Arial" w:cs="Arial"/>
          <w:sz w:val="16"/>
          <w:szCs w:val="16"/>
          <w:lang w:val="pl-PL"/>
        </w:rPr>
        <w:t xml:space="preserve">Na podstawie § 2 ust. 2 Rozporządzenia Ministra Zdrowia z dn. 14 czerwca 2018 r. w sprawie Krajowego Rejestru Nowotworów. </w:t>
      </w:r>
    </w:p>
  </w:footnote>
  <w:footnote w:id="95">
    <w:p w14:paraId="08BBF1DC" w14:textId="77777777" w:rsidR="00E741F8" w:rsidRPr="000F0788" w:rsidRDefault="00E741F8" w:rsidP="000F0788">
      <w:pPr>
        <w:pStyle w:val="Tekstprzypisudolnego"/>
        <w:spacing w:before="0" w:after="40" w:line="240" w:lineRule="auto"/>
        <w:rPr>
          <w:rFonts w:ascii="Arial" w:hAnsi="Arial" w:cs="Arial"/>
          <w:sz w:val="16"/>
          <w:szCs w:val="16"/>
          <w:lang w:val="pl-PL"/>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Pr="000F0788">
        <w:rPr>
          <w:rFonts w:ascii="Arial" w:hAnsi="Arial" w:cs="Arial"/>
          <w:sz w:val="16"/>
          <w:szCs w:val="16"/>
          <w:lang w:val="pl-PL"/>
        </w:rPr>
        <w:t>W tym również zakup systemów teleinformatycznych, serwerów, zintegrowanych systemów informatycznych etc.</w:t>
      </w:r>
    </w:p>
  </w:footnote>
  <w:footnote w:id="96">
    <w:p w14:paraId="2D3A4B48" w14:textId="78E74D8E" w:rsidR="00E741F8" w:rsidRPr="000F0788" w:rsidRDefault="00E741F8" w:rsidP="000F0788">
      <w:pPr>
        <w:pStyle w:val="Tekstprzypisudolnego"/>
        <w:spacing w:before="0" w:after="40" w:line="240" w:lineRule="auto"/>
        <w:rPr>
          <w:rFonts w:ascii="Arial" w:hAnsi="Arial" w:cs="Arial"/>
          <w:sz w:val="16"/>
          <w:szCs w:val="16"/>
          <w:lang w:val="pl-PL"/>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00EE1F94">
        <w:rPr>
          <w:rFonts w:ascii="Arial" w:hAnsi="Arial" w:cs="Arial"/>
          <w:sz w:val="16"/>
          <w:szCs w:val="16"/>
          <w:lang w:val="pl-PL"/>
        </w:rPr>
        <w:t>J</w:t>
      </w:r>
      <w:r w:rsidR="00EE1F94" w:rsidRPr="000F0788">
        <w:rPr>
          <w:rFonts w:ascii="Arial" w:hAnsi="Arial" w:cs="Arial"/>
          <w:sz w:val="16"/>
          <w:szCs w:val="16"/>
          <w:lang w:val="pl-PL"/>
        </w:rPr>
        <w:t>w</w:t>
      </w:r>
      <w:r w:rsidRPr="000F0788">
        <w:rPr>
          <w:rFonts w:ascii="Arial" w:hAnsi="Arial" w:cs="Arial"/>
          <w:sz w:val="16"/>
          <w:szCs w:val="16"/>
          <w:lang w:val="pl-PL"/>
        </w:rPr>
        <w:t>.</w:t>
      </w:r>
    </w:p>
  </w:footnote>
  <w:footnote w:id="97">
    <w:p w14:paraId="3066D223" w14:textId="77777777" w:rsidR="00E741F8" w:rsidRPr="001105E4" w:rsidRDefault="00E741F8" w:rsidP="00A103E4">
      <w:pPr>
        <w:pStyle w:val="Tekstprzypisudolnego"/>
        <w:spacing w:before="0" w:after="40"/>
      </w:pPr>
      <w:r w:rsidRPr="00EE1F94">
        <w:rPr>
          <w:rStyle w:val="Odwoanieprzypisudolnego"/>
          <w:rFonts w:ascii="Arial" w:hAnsi="Arial" w:cs="Arial"/>
          <w:sz w:val="16"/>
          <w:szCs w:val="16"/>
        </w:rPr>
        <w:footnoteRef/>
      </w:r>
      <w:r>
        <w:t xml:space="preserve"> </w:t>
      </w:r>
      <w:r>
        <w:rPr>
          <w:rFonts w:ascii="Arial" w:hAnsi="Arial" w:cs="Arial"/>
          <w:sz w:val="18"/>
          <w:szCs w:val="18"/>
          <w:lang w:val="pl-PL"/>
        </w:rPr>
        <w:t>Jw.</w:t>
      </w:r>
    </w:p>
  </w:footnote>
  <w:footnote w:id="98">
    <w:p w14:paraId="73985F67" w14:textId="5C974BA7" w:rsidR="00E741F8" w:rsidRPr="000F0788" w:rsidRDefault="00E741F8" w:rsidP="000F0788">
      <w:pPr>
        <w:pStyle w:val="Tekstprzypisudolnego"/>
        <w:spacing w:before="0" w:after="40" w:line="240" w:lineRule="auto"/>
        <w:rPr>
          <w:rFonts w:ascii="Arial" w:hAnsi="Arial" w:cs="Arial"/>
          <w:sz w:val="16"/>
          <w:szCs w:val="16"/>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00EE1F94">
        <w:rPr>
          <w:rFonts w:ascii="Arial" w:hAnsi="Arial" w:cs="Arial"/>
          <w:sz w:val="16"/>
          <w:szCs w:val="16"/>
          <w:lang w:val="pl-PL"/>
        </w:rPr>
        <w:t>J</w:t>
      </w:r>
      <w:r w:rsidRPr="000F0788">
        <w:rPr>
          <w:rFonts w:ascii="Arial" w:hAnsi="Arial" w:cs="Arial"/>
          <w:sz w:val="16"/>
          <w:szCs w:val="16"/>
          <w:lang w:val="pl-PL"/>
        </w:rPr>
        <w:t xml:space="preserve">w.  </w:t>
      </w:r>
    </w:p>
  </w:footnote>
  <w:footnote w:id="99">
    <w:p w14:paraId="3790F8B1" w14:textId="333E244E" w:rsidR="00E741F8" w:rsidRPr="000F0788" w:rsidRDefault="00E741F8" w:rsidP="000F0788">
      <w:pPr>
        <w:pStyle w:val="Tekstprzypisudolnego"/>
        <w:spacing w:before="0" w:after="40" w:line="240" w:lineRule="auto"/>
        <w:rPr>
          <w:rFonts w:ascii="Arial" w:hAnsi="Arial" w:cs="Arial"/>
          <w:sz w:val="16"/>
          <w:szCs w:val="16"/>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00EE1F94">
        <w:rPr>
          <w:rFonts w:ascii="Arial" w:hAnsi="Arial" w:cs="Arial"/>
          <w:sz w:val="16"/>
          <w:szCs w:val="16"/>
          <w:lang w:val="pl-PL"/>
        </w:rPr>
        <w:t>J</w:t>
      </w:r>
      <w:r w:rsidRPr="000F0788">
        <w:rPr>
          <w:rFonts w:ascii="Arial" w:hAnsi="Arial" w:cs="Arial"/>
          <w:sz w:val="16"/>
          <w:szCs w:val="16"/>
          <w:lang w:val="pl-PL"/>
        </w:rPr>
        <w:t xml:space="preserve">w. </w:t>
      </w:r>
    </w:p>
  </w:footnote>
  <w:footnote w:id="100">
    <w:p w14:paraId="4FA164F5" w14:textId="7203879E" w:rsidR="00E741F8" w:rsidRPr="000F0788" w:rsidRDefault="00E741F8" w:rsidP="000F0788">
      <w:pPr>
        <w:pStyle w:val="Tekstprzypisudolnego"/>
        <w:spacing w:before="0" w:after="40" w:line="240" w:lineRule="auto"/>
        <w:rPr>
          <w:rFonts w:ascii="Arial" w:hAnsi="Arial" w:cs="Arial"/>
          <w:sz w:val="16"/>
          <w:szCs w:val="16"/>
          <w:lang w:val="pl-PL"/>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00EE1F94">
        <w:rPr>
          <w:rFonts w:ascii="Arial" w:hAnsi="Arial" w:cs="Arial"/>
          <w:sz w:val="16"/>
          <w:szCs w:val="16"/>
          <w:lang w:val="pl-PL"/>
        </w:rPr>
        <w:t>J</w:t>
      </w:r>
      <w:r w:rsidRPr="000F0788">
        <w:rPr>
          <w:rFonts w:ascii="Arial" w:hAnsi="Arial" w:cs="Arial"/>
          <w:sz w:val="16"/>
          <w:szCs w:val="16"/>
          <w:lang w:val="pl-PL"/>
        </w:rPr>
        <w:t>w.</w:t>
      </w:r>
    </w:p>
  </w:footnote>
  <w:footnote w:id="101">
    <w:p w14:paraId="7DAAEFDB" w14:textId="0C76BCF3" w:rsidR="00E741F8" w:rsidRPr="000F0788" w:rsidRDefault="00E741F8" w:rsidP="000F0788">
      <w:pPr>
        <w:pStyle w:val="Tekstprzypisudolnego"/>
        <w:spacing w:before="0" w:after="40" w:line="240" w:lineRule="auto"/>
        <w:rPr>
          <w:rFonts w:ascii="Arial" w:hAnsi="Arial" w:cs="Arial"/>
          <w:sz w:val="16"/>
          <w:szCs w:val="16"/>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00EE1F94">
        <w:rPr>
          <w:rFonts w:ascii="Arial" w:hAnsi="Arial" w:cs="Arial"/>
          <w:sz w:val="16"/>
          <w:szCs w:val="16"/>
          <w:lang w:val="pl-PL"/>
        </w:rPr>
        <w:t>J</w:t>
      </w:r>
      <w:r w:rsidRPr="000F0788">
        <w:rPr>
          <w:rFonts w:ascii="Arial" w:hAnsi="Arial" w:cs="Arial"/>
          <w:sz w:val="16"/>
          <w:szCs w:val="16"/>
          <w:lang w:val="pl-PL"/>
        </w:rPr>
        <w:t>w.</w:t>
      </w:r>
    </w:p>
  </w:footnote>
  <w:footnote w:id="102">
    <w:p w14:paraId="21C09122" w14:textId="77777777" w:rsidR="00E741F8" w:rsidRPr="00712A4B" w:rsidRDefault="00E741F8" w:rsidP="000F0788">
      <w:pPr>
        <w:pStyle w:val="Tekstprzypisudolnego"/>
        <w:spacing w:before="0" w:after="40" w:line="240" w:lineRule="auto"/>
        <w:rPr>
          <w:lang w:val="pl-PL"/>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Pr="000F0788">
        <w:rPr>
          <w:rFonts w:ascii="Arial" w:hAnsi="Arial" w:cs="Arial"/>
          <w:sz w:val="16"/>
          <w:szCs w:val="16"/>
          <w:lang w:val="pl-PL"/>
        </w:rPr>
        <w:t>Po zidentyfikowaniu i potwierdzeniu przez Ministerstwo Zdrowia zakresu inwestycji.</w:t>
      </w:r>
      <w:r>
        <w:rPr>
          <w:lang w:val="pl-PL"/>
        </w:rPr>
        <w:t xml:space="preserve"> </w:t>
      </w:r>
    </w:p>
  </w:footnote>
  <w:footnote w:id="103">
    <w:p w14:paraId="738C8078" w14:textId="77777777" w:rsidR="00E741F8" w:rsidRPr="000F0788" w:rsidRDefault="00E741F8" w:rsidP="005F32D3">
      <w:pPr>
        <w:pStyle w:val="Tekstprzypisudolnego"/>
        <w:rPr>
          <w:rFonts w:ascii="Arial" w:hAnsi="Arial" w:cs="Arial"/>
          <w:sz w:val="16"/>
          <w:szCs w:val="16"/>
          <w:lang w:val="pl-PL"/>
        </w:rPr>
      </w:pPr>
      <w:r w:rsidRPr="000F0788">
        <w:rPr>
          <w:rStyle w:val="Odwoanieprzypisudolnego"/>
          <w:rFonts w:ascii="Arial" w:hAnsi="Arial" w:cs="Arial"/>
          <w:sz w:val="16"/>
          <w:szCs w:val="16"/>
        </w:rPr>
        <w:footnoteRef/>
      </w:r>
      <w:r w:rsidRPr="000F0788">
        <w:rPr>
          <w:rFonts w:ascii="Arial" w:hAnsi="Arial" w:cs="Arial"/>
          <w:sz w:val="16"/>
          <w:szCs w:val="16"/>
        </w:rPr>
        <w:t xml:space="preserve"> </w:t>
      </w:r>
      <w:r w:rsidRPr="000F0788">
        <w:rPr>
          <w:rFonts w:ascii="Arial" w:hAnsi="Arial" w:cs="Arial"/>
          <w:sz w:val="16"/>
          <w:szCs w:val="16"/>
          <w:lang w:val="pl-PL"/>
        </w:rPr>
        <w:t>Na podstawie § 2 ust. 2 Rozporządzenia Ministra Zdrowia z dn. 14 czerwca 2018 r. w sprawie Krajowego Rejestru Nowotworów.</w:t>
      </w:r>
    </w:p>
  </w:footnote>
  <w:footnote w:id="104">
    <w:p w14:paraId="7029617E" w14:textId="77777777" w:rsidR="00E741F8" w:rsidRPr="00066871" w:rsidRDefault="00E741F8" w:rsidP="00CA468D">
      <w:pPr>
        <w:pStyle w:val="Tekstprzypisudolnego"/>
        <w:rPr>
          <w:rFonts w:ascii="Arial" w:hAnsi="Arial" w:cs="Arial"/>
          <w:sz w:val="16"/>
          <w:szCs w:val="16"/>
          <w:lang w:val="pl-PL"/>
        </w:rPr>
      </w:pPr>
      <w:r w:rsidRPr="00066871">
        <w:rPr>
          <w:rStyle w:val="Odwoanieprzypisudolnego"/>
          <w:rFonts w:ascii="Arial" w:hAnsi="Arial" w:cs="Arial"/>
          <w:sz w:val="16"/>
          <w:szCs w:val="16"/>
        </w:rPr>
        <w:footnoteRef/>
      </w:r>
      <w:r w:rsidRPr="00066871">
        <w:rPr>
          <w:rFonts w:ascii="Arial" w:hAnsi="Arial" w:cs="Arial"/>
          <w:sz w:val="16"/>
          <w:szCs w:val="16"/>
        </w:rPr>
        <w:t xml:space="preserve"> </w:t>
      </w:r>
      <w:r w:rsidRPr="00066871">
        <w:rPr>
          <w:rFonts w:ascii="Arial" w:hAnsi="Arial" w:cs="Arial"/>
          <w:sz w:val="16"/>
          <w:szCs w:val="16"/>
          <w:lang w:val="pl-PL"/>
        </w:rPr>
        <w:t>Zgodnie z linią demarkacyjną od roku 2022 płace tych instytucji nie są finansowane z Programu Operacyjnego Pomoc Techniczna 2014-2020</w:t>
      </w:r>
      <w:r>
        <w:rPr>
          <w:rFonts w:ascii="Arial" w:hAnsi="Arial" w:cs="Arial"/>
          <w:sz w:val="16"/>
          <w:szCs w:val="16"/>
          <w:lang w:val="pl-PL"/>
        </w:rPr>
        <w:t xml:space="preserve"> </w:t>
      </w:r>
    </w:p>
  </w:footnote>
  <w:footnote w:id="105">
    <w:p w14:paraId="7E8E202C" w14:textId="77777777" w:rsidR="00E741F8" w:rsidRPr="00066871" w:rsidRDefault="00E741F8" w:rsidP="00066871">
      <w:pPr>
        <w:pStyle w:val="Tekstprzypisudolnego"/>
        <w:spacing w:before="0" w:after="120"/>
        <w:jc w:val="both"/>
        <w:rPr>
          <w:rFonts w:ascii="Arial" w:hAnsi="Arial" w:cs="Arial"/>
          <w:sz w:val="16"/>
          <w:szCs w:val="16"/>
          <w:lang w:val="pl-PL"/>
        </w:rPr>
      </w:pPr>
      <w:r w:rsidRPr="00066871">
        <w:rPr>
          <w:rStyle w:val="Odwoanieprzypisudolnego"/>
          <w:rFonts w:ascii="Arial" w:hAnsi="Arial" w:cs="Arial"/>
          <w:sz w:val="16"/>
          <w:szCs w:val="16"/>
        </w:rPr>
        <w:footnoteRef/>
      </w:r>
      <w:r w:rsidRPr="00066871">
        <w:rPr>
          <w:rFonts w:ascii="Arial" w:hAnsi="Arial" w:cs="Arial"/>
          <w:sz w:val="16"/>
          <w:szCs w:val="16"/>
        </w:rPr>
        <w:t xml:space="preserve"> </w:t>
      </w:r>
      <w:r w:rsidRPr="00066871">
        <w:rPr>
          <w:rFonts w:ascii="Arial" w:hAnsi="Arial" w:cs="Arial"/>
          <w:sz w:val="16"/>
          <w:szCs w:val="16"/>
          <w:lang w:val="pl-PL"/>
        </w:rPr>
        <w:t>jw.</w:t>
      </w:r>
    </w:p>
  </w:footnote>
  <w:footnote w:id="106">
    <w:p w14:paraId="2D752C80" w14:textId="77777777" w:rsidR="00E741F8" w:rsidRPr="00F614DA" w:rsidRDefault="00E741F8" w:rsidP="004E3242">
      <w:pPr>
        <w:pStyle w:val="Tekstprzypisudolnego"/>
        <w:spacing w:before="0" w:after="120"/>
        <w:jc w:val="both"/>
        <w:rPr>
          <w:rFonts w:ascii="Arial" w:hAnsi="Arial" w:cs="Arial"/>
          <w:sz w:val="16"/>
          <w:szCs w:val="16"/>
        </w:rPr>
      </w:pPr>
      <w:r w:rsidRPr="00F614DA">
        <w:rPr>
          <w:rStyle w:val="Odwoanieprzypisudolnego"/>
          <w:rFonts w:ascii="Arial" w:hAnsi="Arial" w:cs="Arial"/>
          <w:sz w:val="16"/>
          <w:szCs w:val="16"/>
        </w:rPr>
        <w:footnoteRef/>
      </w:r>
      <w:r w:rsidRPr="00F614DA">
        <w:rPr>
          <w:rFonts w:ascii="Arial" w:hAnsi="Arial" w:cs="Arial"/>
          <w:sz w:val="16"/>
          <w:szCs w:val="16"/>
        </w:rPr>
        <w:t xml:space="preserve"> Rozporządzenie ogólne nie nakłada obowiązku ustalania wartości docelowej dla wskaźników produktu w osiach pomocy technicznej.</w:t>
      </w:r>
    </w:p>
  </w:footnote>
  <w:footnote w:id="107">
    <w:p w14:paraId="0338EF5D" w14:textId="77777777" w:rsidR="00E741F8" w:rsidRPr="00457FD1" w:rsidRDefault="00E741F8" w:rsidP="004E3242">
      <w:pPr>
        <w:pStyle w:val="Tekstprzypisudolnego"/>
        <w:spacing w:before="0" w:after="120"/>
        <w:contextualSpacing/>
        <w:jc w:val="both"/>
        <w:rPr>
          <w:rFonts w:ascii="Arial" w:hAnsi="Arial" w:cs="Arial"/>
          <w:sz w:val="16"/>
          <w:szCs w:val="16"/>
        </w:rPr>
      </w:pPr>
      <w:r w:rsidRPr="00457FD1">
        <w:rPr>
          <w:rStyle w:val="Odwoanieprzypisudolnego"/>
          <w:rFonts w:ascii="Arial" w:hAnsi="Arial" w:cs="Arial"/>
          <w:sz w:val="16"/>
          <w:szCs w:val="16"/>
        </w:rPr>
        <w:footnoteRef/>
      </w:r>
      <w:r>
        <w:rPr>
          <w:rFonts w:ascii="Arial" w:hAnsi="Arial" w:cs="Arial"/>
          <w:sz w:val="16"/>
          <w:szCs w:val="16"/>
        </w:rPr>
        <w:t xml:space="preserve"> </w:t>
      </w:r>
      <w:r w:rsidRPr="00457FD1">
        <w:rPr>
          <w:rFonts w:ascii="Arial" w:hAnsi="Arial" w:cs="Arial"/>
          <w:sz w:val="16"/>
          <w:szCs w:val="16"/>
        </w:rPr>
        <w:t>Przepisy rozporządzenia ramowego, w szczególności art. 1</w:t>
      </w:r>
      <w:r>
        <w:rPr>
          <w:rFonts w:ascii="Arial" w:hAnsi="Arial" w:cs="Arial"/>
          <w:sz w:val="16"/>
          <w:szCs w:val="16"/>
        </w:rPr>
        <w:t>2</w:t>
      </w:r>
      <w:r w:rsidRPr="00457FD1">
        <w:rPr>
          <w:rFonts w:ascii="Arial" w:hAnsi="Arial" w:cs="Arial"/>
          <w:sz w:val="16"/>
          <w:szCs w:val="16"/>
        </w:rPr>
        <w:t>9 gwarantuje, że niezależnie od poziomu stopy dofinansowania przyjętej dla osi priorytetowej w tabeli 18a, wartość środków ostatecznie wypłaconych przez Komisję Europejską na moment zamknięcia programu nigdy nie będzie wyższa niż wkład publiczny przekazany beneficjentom. Art. 1</w:t>
      </w:r>
      <w:r>
        <w:rPr>
          <w:rFonts w:ascii="Arial" w:hAnsi="Arial" w:cs="Arial"/>
          <w:sz w:val="16"/>
          <w:szCs w:val="16"/>
        </w:rPr>
        <w:t>3</w:t>
      </w:r>
      <w:r w:rsidRPr="00457FD1">
        <w:rPr>
          <w:rFonts w:ascii="Arial" w:hAnsi="Arial" w:cs="Arial"/>
          <w:sz w:val="16"/>
          <w:szCs w:val="16"/>
        </w:rPr>
        <w:t>.2 dodatkowo zapewnia, że w ramach płatności pośrednich KE zawsze będzie wypłacać kwotę niższą z dwóch kwot: kwoty wynikającej z</w:t>
      </w:r>
      <w:r>
        <w:rPr>
          <w:rFonts w:ascii="Arial" w:hAnsi="Arial" w:cs="Arial"/>
          <w:sz w:val="16"/>
          <w:szCs w:val="16"/>
        </w:rPr>
        <w:t xml:space="preserve"> </w:t>
      </w:r>
      <w:r w:rsidRPr="00457FD1">
        <w:rPr>
          <w:rFonts w:ascii="Arial" w:hAnsi="Arial" w:cs="Arial"/>
          <w:sz w:val="16"/>
          <w:szCs w:val="16"/>
        </w:rPr>
        <w:t>przemnożenia podstawy certyfikacji z wniosku o płatność przez stopę dofinansowania na osi priorytetowej z tabeli 18a lub kwoty wykazanych we wniosku wydatków publicznych. Wielkość płatności pośrednich będzie uwzględniała także zasady związane z systemem rocznego badania i akceptacji kont, polegającym m.in. na udzielaniu zaliczek rocznych, wypłacaniu w trakcie roku jedynie 90% należnych płatności i rocznym rozliczaniu kont poprzez bilansowanie zaliczki rocznej wypłaconych środków i 10% zatrzymanych płatności pośrednich.</w:t>
      </w:r>
    </w:p>
  </w:footnote>
  <w:footnote w:id="108">
    <w:p w14:paraId="3A43737D" w14:textId="77777777" w:rsidR="00E741F8" w:rsidRPr="00532370" w:rsidRDefault="00E741F8" w:rsidP="00532370">
      <w:pPr>
        <w:pStyle w:val="Tekstprzypisudolnego"/>
        <w:jc w:val="both"/>
        <w:rPr>
          <w:rFonts w:ascii="Arial" w:hAnsi="Arial" w:cs="Arial"/>
          <w:sz w:val="16"/>
          <w:szCs w:val="16"/>
        </w:rPr>
      </w:pPr>
      <w:r w:rsidRPr="00532370">
        <w:rPr>
          <w:rStyle w:val="Odwoanieprzypisudolnego"/>
          <w:rFonts w:ascii="Arial" w:hAnsi="Arial" w:cs="Arial"/>
          <w:sz w:val="16"/>
          <w:szCs w:val="16"/>
        </w:rPr>
        <w:footnoteRef/>
      </w:r>
      <w:r w:rsidRPr="00532370">
        <w:rPr>
          <w:rFonts w:ascii="Arial" w:hAnsi="Arial" w:cs="Arial"/>
          <w:sz w:val="16"/>
          <w:szCs w:val="16"/>
        </w:rPr>
        <w:t xml:space="preserve"> ROZPORZĄDZENIE PARLAMENTU EUROPEJSKIEGO I RADY (UE) 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footnote>
  <w:footnote w:id="109">
    <w:p w14:paraId="48B25ECD" w14:textId="1ABD61D8" w:rsidR="00E741F8" w:rsidRPr="00486C2A" w:rsidRDefault="00E741F8" w:rsidP="00486C2A">
      <w:pPr>
        <w:pStyle w:val="Tekstprzypisudolnego"/>
        <w:jc w:val="both"/>
        <w:rPr>
          <w:lang w:val="pl-PL"/>
        </w:rPr>
      </w:pPr>
      <w:r>
        <w:rPr>
          <w:rStyle w:val="Odwoanieprzypisudolnego"/>
        </w:rPr>
        <w:footnoteRef/>
      </w:r>
      <w:r>
        <w:t xml:space="preserve"> </w:t>
      </w:r>
      <w:r w:rsidRPr="00486C2A">
        <w:t xml:space="preserve">Na podstawie art. 25a ust. 1 wprowadzonego do rozporządzenia ogólnego (1303/2013) za pomocą nowelizacji CRII+, zastosowano czasowe (w roku obrachunkowym rozpoczynającym się w dniu 1 lipca 2020 r. i kończącym się w dniu 30 czerwca 2021 r.) podwyższenie poziomu dofinansowania UE do 100% dla wszystkich osi priorytetowych programu. </w:t>
      </w:r>
      <w:r w:rsidR="002E4271" w:rsidRPr="00A22D04">
        <w:t>Ponadto na podstawie art. 25a ust. 1a wprowadzonego do rozporządzenia ogólnego (1303/2013) za pomocą tzw. nowelizacji CARE (działania polityki spójności na rzecz uchodźców w Europie) z dnia 6 kwietnia 2022 r. (2022/562), zastosowano stopę dofinansowania w wysokości 100% dla osi priorytetowych w</w:t>
      </w:r>
      <w:r w:rsidR="002E4271">
        <w:rPr>
          <w:lang w:val="pl-PL"/>
        </w:rPr>
        <w:t> </w:t>
      </w:r>
      <w:r w:rsidR="002E4271" w:rsidRPr="00A22D04">
        <w:t>ramach FS (tj. osi I, II, III, V, VI, X), do wydatków zadeklarowanych we wnioskach o płatność do KE za rok obrachunkowy rozpoczynający się 1 lipca 2021 r. i kończący się 30</w:t>
      </w:r>
      <w:r w:rsidR="002E4271">
        <w:rPr>
          <w:lang w:val="pl-PL"/>
        </w:rPr>
        <w:t> </w:t>
      </w:r>
      <w:r w:rsidR="002E4271" w:rsidRPr="00A22D04">
        <w:t xml:space="preserve">czerwca 2022 r. </w:t>
      </w:r>
      <w:r w:rsidRPr="00486C2A">
        <w:t xml:space="preserve">Z uwagi na tymczasowy charakter, przedmiotowe rozwiązanie nie wymaga wprowadzania zmian w tabelach finansowych w </w:t>
      </w:r>
      <w:r>
        <w:t>programie, a jedynie zaznaczeni</w:t>
      </w:r>
      <w:r>
        <w:rPr>
          <w:lang w:val="pl-PL"/>
        </w:rPr>
        <w:t>a</w:t>
      </w:r>
      <w:r w:rsidRPr="00486C2A">
        <w:t xml:space="preserve"> w systemie SFC odpowiednich pól w tabeli 18a – Plan Finansowy</w:t>
      </w:r>
      <w:r>
        <w:rPr>
          <w:lang w:val="pl-PL"/>
        </w:rPr>
        <w:t>.</w:t>
      </w:r>
    </w:p>
  </w:footnote>
  <w:footnote w:id="110">
    <w:p w14:paraId="7DEBA786" w14:textId="77777777" w:rsidR="00E741F8" w:rsidRPr="00B75BA0" w:rsidRDefault="00E741F8" w:rsidP="004E3242">
      <w:pPr>
        <w:pStyle w:val="Tekstprzypisudolnego"/>
        <w:spacing w:before="0" w:after="120"/>
        <w:jc w:val="both"/>
        <w:rPr>
          <w:rFonts w:ascii="Arial" w:hAnsi="Arial" w:cs="Arial"/>
          <w:sz w:val="16"/>
          <w:szCs w:val="16"/>
          <w:lang w:val="en-US"/>
        </w:rPr>
      </w:pPr>
      <w:r w:rsidRPr="00B44DDF">
        <w:rPr>
          <w:rStyle w:val="Odwoanieprzypisudolnego"/>
          <w:rFonts w:ascii="Arial" w:hAnsi="Arial" w:cs="Arial"/>
          <w:sz w:val="16"/>
          <w:szCs w:val="16"/>
        </w:rPr>
        <w:footnoteRef/>
      </w:r>
      <w:r w:rsidRPr="00B75BA0">
        <w:rPr>
          <w:rFonts w:ascii="Arial" w:hAnsi="Arial" w:cs="Arial"/>
          <w:sz w:val="16"/>
          <w:szCs w:val="16"/>
          <w:lang w:val="en-US"/>
        </w:rPr>
        <w:t xml:space="preserve"> </w:t>
      </w:r>
      <w:r w:rsidRPr="00B75BA0">
        <w:rPr>
          <w:rFonts w:ascii="Arial" w:hAnsi="Arial" w:cs="Arial"/>
          <w:noProof w:val="0"/>
          <w:sz w:val="16"/>
          <w:szCs w:val="16"/>
          <w:lang w:val="en-US" w:eastAsia="en-US"/>
        </w:rPr>
        <w:t xml:space="preserve">Por. </w:t>
      </w:r>
      <w:r w:rsidRPr="00B75BA0">
        <w:rPr>
          <w:rFonts w:ascii="Arial" w:hAnsi="Arial" w:cs="Arial"/>
          <w:i/>
          <w:iCs/>
          <w:noProof w:val="0"/>
          <w:sz w:val="16"/>
          <w:szCs w:val="16"/>
          <w:lang w:val="en-US" w:eastAsia="en-US"/>
        </w:rPr>
        <w:t>ACTION PLAN. Commission staff working document Accompanying the Communication from the commission to the european parliament, the council, the european economic and social committee and the committee of the regions concerning the European Union Strategy for the Baltic Sea Region</w:t>
      </w:r>
      <w:r w:rsidRPr="00B75BA0">
        <w:rPr>
          <w:rFonts w:ascii="Arial" w:hAnsi="Arial" w:cs="Arial"/>
          <w:noProof w:val="0"/>
          <w:sz w:val="16"/>
          <w:szCs w:val="16"/>
          <w:lang w:val="en-US" w:eastAsia="en-US"/>
        </w:rPr>
        <w:t>, February 2013 VERSION.</w:t>
      </w:r>
    </w:p>
  </w:footnote>
  <w:footnote w:id="111">
    <w:p w14:paraId="5486C3B4" w14:textId="77777777" w:rsidR="00E741F8" w:rsidRPr="00502946" w:rsidRDefault="00E741F8" w:rsidP="004E3242">
      <w:pPr>
        <w:pStyle w:val="Tekstprzypisudolnego"/>
        <w:spacing w:before="0" w:after="120"/>
        <w:jc w:val="both"/>
        <w:rPr>
          <w:rFonts w:ascii="Arial" w:hAnsi="Arial" w:cs="Arial"/>
          <w:sz w:val="16"/>
          <w:szCs w:val="16"/>
        </w:rPr>
      </w:pPr>
      <w:r w:rsidRPr="00502946">
        <w:rPr>
          <w:rStyle w:val="Odwoanieprzypisudolnego"/>
          <w:rFonts w:ascii="Arial" w:hAnsi="Arial" w:cs="Arial"/>
          <w:sz w:val="16"/>
          <w:szCs w:val="16"/>
        </w:rPr>
        <w:footnoteRef/>
      </w:r>
      <w:r w:rsidRPr="00502946">
        <w:rPr>
          <w:rFonts w:ascii="Arial" w:hAnsi="Arial" w:cs="Arial"/>
          <w:sz w:val="16"/>
          <w:szCs w:val="16"/>
        </w:rPr>
        <w:t xml:space="preserve"> Dz. U. Nr 199 poz. 1227 ze zm.</w:t>
      </w:r>
    </w:p>
  </w:footnote>
  <w:footnote w:id="112">
    <w:p w14:paraId="510EAC54" w14:textId="77777777" w:rsidR="00E741F8" w:rsidRDefault="00E741F8" w:rsidP="004E3242">
      <w:pPr>
        <w:pStyle w:val="Tekstprzypisudolnego"/>
        <w:spacing w:before="0" w:after="120"/>
        <w:jc w:val="both"/>
      </w:pPr>
      <w:r w:rsidRPr="00502946">
        <w:rPr>
          <w:rStyle w:val="Odwoanieprzypisudolnego"/>
          <w:rFonts w:ascii="Arial" w:hAnsi="Arial" w:cs="Arial"/>
          <w:sz w:val="16"/>
          <w:szCs w:val="16"/>
        </w:rPr>
        <w:footnoteRef/>
      </w:r>
      <w:r w:rsidRPr="00502946">
        <w:rPr>
          <w:rFonts w:ascii="Arial" w:hAnsi="Arial" w:cs="Arial"/>
          <w:sz w:val="16"/>
          <w:szCs w:val="16"/>
        </w:rPr>
        <w:t xml:space="preserve"> Ministerstwo obsługujące ministra właściwego ds. rozwoju regionalnego.</w:t>
      </w:r>
    </w:p>
  </w:footnote>
  <w:footnote w:id="113">
    <w:p w14:paraId="3AF5E77C" w14:textId="77777777" w:rsidR="00E741F8" w:rsidRPr="00FE4805" w:rsidRDefault="00E741F8" w:rsidP="004E3242">
      <w:pPr>
        <w:pStyle w:val="Tekstprzypisudolnego"/>
        <w:spacing w:before="0" w:after="120"/>
        <w:jc w:val="both"/>
        <w:rPr>
          <w:rFonts w:ascii="Arial" w:hAnsi="Arial" w:cs="Arial"/>
          <w:sz w:val="16"/>
          <w:szCs w:val="16"/>
        </w:rPr>
      </w:pPr>
      <w:r w:rsidRPr="00FE4805">
        <w:rPr>
          <w:rStyle w:val="Odwoanieprzypisudolnego"/>
          <w:rFonts w:ascii="Arial" w:hAnsi="Arial" w:cs="Arial"/>
          <w:sz w:val="16"/>
          <w:szCs w:val="16"/>
        </w:rPr>
        <w:footnoteRef/>
      </w:r>
      <w:r w:rsidRPr="00FE4805">
        <w:rPr>
          <w:rFonts w:ascii="Arial" w:hAnsi="Arial" w:cs="Arial"/>
          <w:sz w:val="16"/>
          <w:szCs w:val="16"/>
        </w:rPr>
        <w:t xml:space="preserve"> W ramach sektora energii w przypadku braku środków z CEF na projekty takie będą mogły ubiegać się o wsparcie ze środków POIiŚ 2014-2020.</w:t>
      </w:r>
    </w:p>
  </w:footnote>
  <w:footnote w:id="114">
    <w:p w14:paraId="06BE5924" w14:textId="77777777" w:rsidR="00E741F8" w:rsidRDefault="00E741F8" w:rsidP="004E3242">
      <w:pPr>
        <w:pStyle w:val="Tekstprzypisudolnego"/>
        <w:spacing w:before="0" w:after="120"/>
        <w:jc w:val="both"/>
      </w:pPr>
      <w:r w:rsidRPr="00FE4805">
        <w:rPr>
          <w:rStyle w:val="Odwoanieprzypisudolnego"/>
          <w:rFonts w:ascii="Arial" w:hAnsi="Arial" w:cs="Arial"/>
          <w:sz w:val="16"/>
          <w:szCs w:val="16"/>
        </w:rPr>
        <w:footnoteRef/>
      </w:r>
      <w:r w:rsidRPr="00FE4805">
        <w:rPr>
          <w:rFonts w:ascii="Arial" w:hAnsi="Arial" w:cs="Arial"/>
          <w:sz w:val="16"/>
          <w:szCs w:val="16"/>
        </w:rPr>
        <w:t xml:space="preserve"> Osiąganie tych samych efektów przy niższych kosztach lub zwiększonych efektów przy tych samych kosztach.</w:t>
      </w:r>
    </w:p>
  </w:footnote>
  <w:footnote w:id="115">
    <w:p w14:paraId="4F6E6C6E" w14:textId="77777777" w:rsidR="00E741F8" w:rsidRPr="00053890" w:rsidRDefault="00E741F8" w:rsidP="00541F5B">
      <w:pPr>
        <w:pStyle w:val="Tekstprzypisudolnego"/>
        <w:spacing w:before="0" w:after="0" w:line="240" w:lineRule="auto"/>
        <w:contextualSpacing/>
        <w:jc w:val="both"/>
        <w:rPr>
          <w:rFonts w:ascii="Arial" w:hAnsi="Arial" w:cs="Arial"/>
          <w:sz w:val="14"/>
          <w:szCs w:val="14"/>
        </w:rPr>
      </w:pPr>
      <w:r w:rsidRPr="00053890">
        <w:rPr>
          <w:rStyle w:val="Odwoanieprzypisudolnego"/>
          <w:rFonts w:ascii="Arial" w:hAnsi="Arial" w:cs="Arial"/>
          <w:sz w:val="14"/>
          <w:szCs w:val="14"/>
        </w:rPr>
        <w:footnoteRef/>
      </w:r>
      <w:r w:rsidRPr="00053890">
        <w:rPr>
          <w:rFonts w:ascii="Arial" w:hAnsi="Arial" w:cs="Arial"/>
          <w:sz w:val="14"/>
          <w:szCs w:val="14"/>
        </w:rPr>
        <w:t xml:space="preserve"> Projekt ma charakter „duży” w znaczeniu przepisów rozporządzenia ogólnego. Wykaz Dużych Projektów podlega cyklicznej aktualizacji. Obowiązująca wersja jest dostępna pod adresem </w:t>
      </w:r>
      <w:hyperlink r:id="rId2" w:history="1">
        <w:r w:rsidRPr="00053890">
          <w:rPr>
            <w:rStyle w:val="Hipercze"/>
            <w:rFonts w:ascii="Arial" w:hAnsi="Arial" w:cs="Arial"/>
            <w:sz w:val="14"/>
            <w:szCs w:val="14"/>
          </w:rPr>
          <w:t>http://www.pois.gov.pl/strony/o-programie/dokumenty/program-operacyjny-infrastruktura-i-srodowisko-2014-2020/</w:t>
        </w:r>
      </w:hyperlink>
      <w:r w:rsidRPr="00053890">
        <w:rPr>
          <w:rFonts w:ascii="Arial" w:hAnsi="Arial" w:cs="Arial"/>
          <w:sz w:val="14"/>
          <w:szCs w:val="14"/>
        </w:rPr>
        <w:t xml:space="preserve"> </w:t>
      </w:r>
    </w:p>
  </w:footnote>
  <w:footnote w:id="116">
    <w:p w14:paraId="7D6D73CA" w14:textId="77777777" w:rsidR="00FD723C" w:rsidRPr="00EE255F" w:rsidRDefault="00FD723C" w:rsidP="00FD723C">
      <w:pPr>
        <w:pStyle w:val="Tekstprzypisudolnego"/>
        <w:spacing w:before="0"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Wykaz dla sektora transportu obejmuje ranking projektów wynikający z Dokumentu Implementacyjnego do Strategii Rozwoju Transportu.</w:t>
      </w:r>
    </w:p>
  </w:footnote>
  <w:footnote w:id="117">
    <w:p w14:paraId="6B001294" w14:textId="77777777" w:rsidR="00FD723C" w:rsidRPr="00EE255F" w:rsidRDefault="00FD723C" w:rsidP="00FD723C">
      <w:pPr>
        <w:pStyle w:val="Tekstprzypisudolnego"/>
        <w:spacing w:before="0"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Planowana data ogłoszenia pierwszego przetargu na roboty budowlane.</w:t>
      </w:r>
    </w:p>
  </w:footnote>
  <w:footnote w:id="118">
    <w:p w14:paraId="7CD59DE4" w14:textId="77777777" w:rsidR="00FD723C" w:rsidRPr="00EE255F" w:rsidRDefault="00FD723C" w:rsidP="00FD723C">
      <w:pPr>
        <w:pStyle w:val="Tekstprzypisudolnego"/>
        <w:spacing w:before="0"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Planowana data zakończenia robót budowlanych.</w:t>
      </w:r>
    </w:p>
  </w:footnote>
  <w:footnote w:id="119">
    <w:p w14:paraId="2A1723D9" w14:textId="77777777" w:rsidR="00FD723C" w:rsidRPr="00EE255F" w:rsidRDefault="00FD723C" w:rsidP="00FD723C">
      <w:pPr>
        <w:pStyle w:val="Tekstkomentarza"/>
        <w:spacing w:after="0"/>
        <w:jc w:val="both"/>
        <w:rPr>
          <w:rFonts w:ascii="Arial" w:hAnsi="Arial" w:cs="Arial"/>
          <w:sz w:val="14"/>
          <w:szCs w:val="14"/>
        </w:rPr>
      </w:pPr>
      <w:r w:rsidRPr="00EE255F">
        <w:rPr>
          <w:rStyle w:val="Odwoanieprzypisudolnego"/>
          <w:rFonts w:ascii="Arial" w:hAnsi="Arial" w:cs="Arial"/>
          <w:sz w:val="14"/>
          <w:szCs w:val="14"/>
        </w:rPr>
        <w:footnoteRef/>
      </w:r>
      <w:r w:rsidRPr="00EE255F">
        <w:rPr>
          <w:rFonts w:ascii="Arial" w:hAnsi="Arial" w:cs="Arial"/>
          <w:sz w:val="14"/>
          <w:szCs w:val="14"/>
        </w:rPr>
        <w:t xml:space="preserve">  Zakres ograniczony w </w:t>
      </w:r>
      <w:proofErr w:type="spellStart"/>
      <w:r w:rsidRPr="00EE255F">
        <w:rPr>
          <w:rFonts w:ascii="Arial" w:hAnsi="Arial" w:cs="Arial"/>
          <w:sz w:val="14"/>
          <w:szCs w:val="14"/>
        </w:rPr>
        <w:t>POIiŚ</w:t>
      </w:r>
      <w:proofErr w:type="spellEnd"/>
      <w:r w:rsidRPr="00EE255F">
        <w:rPr>
          <w:rFonts w:ascii="Arial" w:hAnsi="Arial" w:cs="Arial"/>
          <w:sz w:val="14"/>
          <w:szCs w:val="14"/>
        </w:rPr>
        <w:t xml:space="preserve"> do odcinka Ostrów Mazowiecka - Szczuczyn, z uwagi na dofinansowanie odcinka Szczuczyn - Budzisko w CEF.</w:t>
      </w:r>
    </w:p>
  </w:footnote>
  <w:footnote w:id="120">
    <w:p w14:paraId="54C70496" w14:textId="77777777" w:rsidR="00FD723C" w:rsidRPr="00956F5F" w:rsidRDefault="00FD723C" w:rsidP="00FD723C">
      <w:pPr>
        <w:pStyle w:val="Tekstprzypisudolnego"/>
        <w:spacing w:before="0" w:after="0"/>
        <w:rPr>
          <w:rFonts w:ascii="Arial" w:hAnsi="Arial" w:cs="Arial"/>
          <w:sz w:val="14"/>
          <w:szCs w:val="14"/>
          <w:lang w:val="pl-PL"/>
        </w:rPr>
      </w:pPr>
      <w:r w:rsidRPr="00956F5F">
        <w:rPr>
          <w:rStyle w:val="Odwoanieprzypisudolnego"/>
          <w:rFonts w:ascii="Arial" w:hAnsi="Arial" w:cs="Arial"/>
          <w:sz w:val="14"/>
          <w:szCs w:val="14"/>
        </w:rPr>
        <w:footnoteRef/>
      </w:r>
      <w:r w:rsidRPr="00956F5F">
        <w:rPr>
          <w:rFonts w:ascii="Arial" w:hAnsi="Arial" w:cs="Arial"/>
          <w:sz w:val="14"/>
          <w:szCs w:val="14"/>
        </w:rPr>
        <w:t xml:space="preserve"> Projekt planowany do fazowania/etapowania</w:t>
      </w:r>
    </w:p>
  </w:footnote>
  <w:footnote w:id="121">
    <w:p w14:paraId="7207D6A4" w14:textId="77777777" w:rsidR="00FD723C" w:rsidRPr="00B92522" w:rsidRDefault="00FD723C" w:rsidP="00FD723C">
      <w:pPr>
        <w:pStyle w:val="Tekstprzypisudolnego"/>
        <w:spacing w:before="0" w:after="0"/>
        <w:rPr>
          <w:rFonts w:ascii="Arial" w:hAnsi="Arial" w:cs="Arial"/>
          <w:sz w:val="14"/>
          <w:szCs w:val="14"/>
        </w:rPr>
      </w:pPr>
      <w:r w:rsidRPr="00B92522">
        <w:rPr>
          <w:rStyle w:val="Odwoanieprzypisudolnego"/>
          <w:rFonts w:ascii="Arial" w:hAnsi="Arial" w:cs="Arial"/>
          <w:sz w:val="14"/>
          <w:szCs w:val="14"/>
        </w:rPr>
        <w:footnoteRef/>
      </w:r>
      <w:r w:rsidRPr="00B92522">
        <w:rPr>
          <w:rFonts w:ascii="Arial" w:hAnsi="Arial" w:cs="Arial"/>
          <w:sz w:val="14"/>
          <w:szCs w:val="14"/>
        </w:rPr>
        <w:t xml:space="preserve"> Projekt konkursowy</w:t>
      </w:r>
    </w:p>
  </w:footnote>
  <w:footnote w:id="122">
    <w:p w14:paraId="31C23DDA" w14:textId="77777777" w:rsidR="00FD723C" w:rsidRDefault="00FD723C" w:rsidP="00FD723C">
      <w:pPr>
        <w:pStyle w:val="Tekstprzypisudolnego"/>
        <w:spacing w:before="0" w:after="0"/>
      </w:pPr>
      <w:r w:rsidRPr="0028037A">
        <w:rPr>
          <w:rFonts w:ascii="Arial" w:hAnsi="Arial" w:cs="Arial"/>
          <w:sz w:val="14"/>
          <w:szCs w:val="14"/>
          <w:vertAlign w:val="superscript"/>
        </w:rPr>
        <w:footnoteRef/>
      </w:r>
      <w:r w:rsidRPr="0008724C">
        <w:rPr>
          <w:rFonts w:ascii="Arial" w:hAnsi="Arial" w:cs="Arial"/>
          <w:sz w:val="14"/>
          <w:szCs w:val="14"/>
        </w:rPr>
        <w:t xml:space="preserve"> </w:t>
      </w:r>
      <w:r>
        <w:rPr>
          <w:rFonts w:ascii="Arial" w:hAnsi="Arial" w:cs="Arial"/>
          <w:sz w:val="14"/>
          <w:szCs w:val="14"/>
        </w:rPr>
        <w:t xml:space="preserve">J.w. </w:t>
      </w:r>
    </w:p>
  </w:footnote>
  <w:footnote w:id="123">
    <w:p w14:paraId="03CB99CF" w14:textId="77777777" w:rsidR="00FD723C" w:rsidRPr="00DF4339" w:rsidRDefault="00FD723C" w:rsidP="00FD723C">
      <w:pPr>
        <w:pStyle w:val="Tekstprzypisudolnego"/>
        <w:spacing w:before="0" w:after="0"/>
        <w:jc w:val="both"/>
        <w:rPr>
          <w:rFonts w:ascii="Arial" w:hAnsi="Arial" w:cs="Arial"/>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w:t>
      </w:r>
      <w:r>
        <w:rPr>
          <w:rFonts w:ascii="Arial" w:hAnsi="Arial" w:cs="Arial"/>
          <w:sz w:val="14"/>
          <w:szCs w:val="14"/>
        </w:rPr>
        <w:t>Planowany termin jest terminem przekazania notyfikacji II fazy projektu do KE.</w:t>
      </w:r>
    </w:p>
  </w:footnote>
  <w:footnote w:id="124">
    <w:p w14:paraId="34D843DC" w14:textId="77777777" w:rsidR="00FD723C" w:rsidRPr="00DF4339" w:rsidRDefault="00FD723C" w:rsidP="00FD723C">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25">
    <w:p w14:paraId="67B02876" w14:textId="77777777" w:rsidR="00FD723C" w:rsidRDefault="00FD723C" w:rsidP="00FD723C">
      <w:pPr>
        <w:pStyle w:val="Tekstprzypisudolnego"/>
        <w:spacing w:before="0" w:after="0"/>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26">
    <w:p w14:paraId="6C0D1307" w14:textId="77777777" w:rsidR="00FD723C" w:rsidRPr="00DF4339" w:rsidRDefault="00FD723C" w:rsidP="00FD723C">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27">
    <w:p w14:paraId="4C9FDD6B" w14:textId="77777777" w:rsidR="00FD723C" w:rsidRPr="00DF4339" w:rsidRDefault="00FD723C" w:rsidP="00FD723C">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28">
    <w:p w14:paraId="2BFE1EAD" w14:textId="77777777" w:rsidR="00FD723C" w:rsidRPr="00DF4339" w:rsidRDefault="00FD723C" w:rsidP="00FD723C">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29">
    <w:p w14:paraId="4EEB8D4B" w14:textId="77777777" w:rsidR="00FD723C" w:rsidRPr="00DF4339" w:rsidRDefault="00FD723C" w:rsidP="00FD723C">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30">
    <w:p w14:paraId="3D9843CC" w14:textId="77777777" w:rsidR="00FD723C" w:rsidRPr="00DF4339" w:rsidRDefault="00FD723C" w:rsidP="00FD723C">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31">
    <w:p w14:paraId="156DC2E0" w14:textId="77777777" w:rsidR="00FD723C" w:rsidRPr="00DF4339" w:rsidRDefault="00FD723C" w:rsidP="00FD723C">
      <w:pPr>
        <w:pStyle w:val="Tekstprzypisudolnego"/>
        <w:spacing w:before="0" w:after="0"/>
        <w:rPr>
          <w:sz w:val="14"/>
          <w:szCs w:val="14"/>
        </w:rPr>
      </w:pPr>
      <w:r w:rsidRPr="00DF4339">
        <w:rPr>
          <w:rStyle w:val="Odwoanieprzypisudolnego"/>
          <w:rFonts w:ascii="Arial" w:hAnsi="Arial" w:cs="Arial"/>
          <w:sz w:val="14"/>
          <w:szCs w:val="14"/>
        </w:rPr>
        <w:footnoteRef/>
      </w:r>
      <w:r w:rsidRPr="00DF4339">
        <w:rPr>
          <w:rFonts w:ascii="Arial" w:hAnsi="Arial" w:cs="Arial"/>
          <w:sz w:val="14"/>
          <w:szCs w:val="14"/>
        </w:rPr>
        <w:t xml:space="preserve"> J.w.</w:t>
      </w:r>
    </w:p>
  </w:footnote>
  <w:footnote w:id="132">
    <w:p w14:paraId="2ED9D614" w14:textId="77777777" w:rsidR="00FD723C" w:rsidRPr="008528A5" w:rsidRDefault="00FD723C" w:rsidP="00FD723C">
      <w:pPr>
        <w:pStyle w:val="Tekstprzypisudolnego"/>
        <w:spacing w:before="0" w:after="0"/>
        <w:rPr>
          <w:rFonts w:ascii="Arial" w:hAnsi="Arial" w:cs="Arial"/>
          <w:sz w:val="14"/>
          <w:szCs w:val="14"/>
          <w:lang w:val="pl-PL"/>
        </w:rPr>
      </w:pPr>
      <w:r w:rsidRPr="008528A5">
        <w:rPr>
          <w:rStyle w:val="Odwoanieprzypisudolnego"/>
          <w:rFonts w:ascii="Arial" w:hAnsi="Arial" w:cs="Arial"/>
          <w:sz w:val="14"/>
          <w:szCs w:val="14"/>
        </w:rPr>
        <w:footnoteRef/>
      </w:r>
      <w:r w:rsidRPr="008528A5">
        <w:rPr>
          <w:rFonts w:ascii="Arial" w:hAnsi="Arial" w:cs="Arial"/>
          <w:sz w:val="14"/>
          <w:szCs w:val="14"/>
        </w:rPr>
        <w:t xml:space="preserve"> </w:t>
      </w:r>
      <w:r w:rsidRPr="008528A5">
        <w:rPr>
          <w:rFonts w:ascii="Arial" w:hAnsi="Arial" w:cs="Arial"/>
          <w:sz w:val="14"/>
          <w:szCs w:val="14"/>
          <w:lang w:val="pl-PL"/>
        </w:rPr>
        <w:t>Projekt planowany do fazowania/etapowania</w:t>
      </w:r>
    </w:p>
  </w:footnote>
  <w:footnote w:id="133">
    <w:p w14:paraId="75F69AC6" w14:textId="77777777" w:rsidR="00FD723C" w:rsidRPr="008528A5" w:rsidRDefault="00FD723C" w:rsidP="00FD723C">
      <w:pPr>
        <w:pStyle w:val="Tekstprzypisudolnego"/>
        <w:spacing w:before="0" w:after="0"/>
        <w:rPr>
          <w:rFonts w:ascii="Arial" w:hAnsi="Arial" w:cs="Arial"/>
          <w:sz w:val="14"/>
          <w:szCs w:val="14"/>
          <w:lang w:val="pl-PL"/>
        </w:rPr>
      </w:pPr>
      <w:r w:rsidRPr="008528A5">
        <w:rPr>
          <w:rStyle w:val="Odwoanieprzypisudolnego"/>
          <w:rFonts w:ascii="Arial" w:hAnsi="Arial" w:cs="Arial"/>
          <w:sz w:val="14"/>
          <w:szCs w:val="14"/>
        </w:rPr>
        <w:footnoteRef/>
      </w:r>
      <w:r w:rsidRPr="008528A5">
        <w:rPr>
          <w:rFonts w:ascii="Arial" w:hAnsi="Arial" w:cs="Arial"/>
          <w:sz w:val="14"/>
          <w:szCs w:val="14"/>
        </w:rPr>
        <w:t xml:space="preserve"> </w:t>
      </w:r>
      <w:r w:rsidRPr="008528A5">
        <w:rPr>
          <w:rFonts w:ascii="Arial" w:hAnsi="Arial" w:cs="Arial"/>
          <w:sz w:val="14"/>
          <w:szCs w:val="14"/>
          <w:lang w:val="pl-PL"/>
        </w:rPr>
        <w:t>Projekt planowany do fazowania/etapowania</w:t>
      </w:r>
    </w:p>
  </w:footnote>
  <w:footnote w:id="134">
    <w:p w14:paraId="109C9226" w14:textId="77777777" w:rsidR="00FD723C" w:rsidRPr="008528A5" w:rsidRDefault="00FD723C" w:rsidP="00FD723C">
      <w:pPr>
        <w:pStyle w:val="Tekstprzypisudolnego"/>
        <w:spacing w:before="0" w:after="0"/>
        <w:rPr>
          <w:rFonts w:ascii="Arial" w:hAnsi="Arial" w:cs="Arial"/>
          <w:sz w:val="14"/>
          <w:szCs w:val="14"/>
          <w:lang w:val="pl-PL"/>
        </w:rPr>
      </w:pPr>
      <w:r w:rsidRPr="008528A5">
        <w:rPr>
          <w:rStyle w:val="Odwoanieprzypisudolnego"/>
          <w:rFonts w:ascii="Arial" w:hAnsi="Arial" w:cs="Arial"/>
          <w:sz w:val="14"/>
          <w:szCs w:val="14"/>
        </w:rPr>
        <w:footnoteRef/>
      </w:r>
      <w:r w:rsidRPr="008528A5">
        <w:rPr>
          <w:rFonts w:ascii="Arial" w:hAnsi="Arial" w:cs="Arial"/>
          <w:sz w:val="14"/>
          <w:szCs w:val="14"/>
        </w:rPr>
        <w:t xml:space="preserve"> </w:t>
      </w:r>
      <w:r w:rsidRPr="008528A5">
        <w:rPr>
          <w:rFonts w:ascii="Arial" w:hAnsi="Arial" w:cs="Arial"/>
          <w:sz w:val="14"/>
          <w:szCs w:val="14"/>
          <w:lang w:val="pl-PL"/>
        </w:rPr>
        <w:t>Projekt planowany do fazowania/etapowania</w:t>
      </w:r>
    </w:p>
  </w:footnote>
  <w:footnote w:id="135">
    <w:p w14:paraId="619F64CA" w14:textId="77777777" w:rsidR="00FD723C" w:rsidRPr="0025442A" w:rsidRDefault="00FD723C" w:rsidP="00FD723C">
      <w:pPr>
        <w:pStyle w:val="Tekstprzypisudolnego"/>
        <w:spacing w:before="0" w:after="0"/>
        <w:rPr>
          <w:lang w:val="pl-PL"/>
        </w:rPr>
      </w:pPr>
      <w:r w:rsidRPr="008528A5">
        <w:rPr>
          <w:rStyle w:val="Odwoanieprzypisudolnego"/>
          <w:rFonts w:ascii="Arial" w:hAnsi="Arial" w:cs="Arial"/>
          <w:sz w:val="14"/>
          <w:szCs w:val="14"/>
        </w:rPr>
        <w:footnoteRef/>
      </w:r>
      <w:r w:rsidRPr="008528A5">
        <w:rPr>
          <w:rFonts w:ascii="Arial" w:hAnsi="Arial" w:cs="Arial"/>
          <w:sz w:val="14"/>
          <w:szCs w:val="14"/>
        </w:rPr>
        <w:t xml:space="preserve"> </w:t>
      </w:r>
      <w:r w:rsidRPr="008528A5">
        <w:rPr>
          <w:rFonts w:ascii="Arial" w:hAnsi="Arial" w:cs="Arial"/>
          <w:sz w:val="14"/>
          <w:szCs w:val="14"/>
          <w:lang w:val="pl-PL"/>
        </w:rPr>
        <w:t>Projekt planowany do fazowania/etapowania</w:t>
      </w:r>
    </w:p>
  </w:footnote>
  <w:footnote w:id="136">
    <w:p w14:paraId="3AEA80EF" w14:textId="77777777" w:rsidR="00FD723C" w:rsidRPr="008528A5" w:rsidRDefault="00FD723C" w:rsidP="00FD723C">
      <w:pPr>
        <w:pStyle w:val="Tekstprzypisudolnego"/>
        <w:spacing w:before="0" w:after="0"/>
        <w:rPr>
          <w:rFonts w:ascii="Arial" w:hAnsi="Arial" w:cs="Arial"/>
          <w:sz w:val="14"/>
          <w:szCs w:val="14"/>
          <w:lang w:val="pl-PL"/>
        </w:rPr>
      </w:pPr>
      <w:r w:rsidRPr="008528A5">
        <w:rPr>
          <w:rStyle w:val="Odwoanieprzypisudolnego"/>
          <w:rFonts w:ascii="Arial" w:hAnsi="Arial" w:cs="Arial"/>
          <w:sz w:val="14"/>
          <w:szCs w:val="14"/>
        </w:rPr>
        <w:footnoteRef/>
      </w:r>
      <w:r w:rsidRPr="008528A5">
        <w:rPr>
          <w:rFonts w:ascii="Arial" w:hAnsi="Arial" w:cs="Arial"/>
          <w:sz w:val="14"/>
          <w:szCs w:val="14"/>
        </w:rPr>
        <w:t xml:space="preserve"> </w:t>
      </w:r>
      <w:r w:rsidRPr="008528A5">
        <w:rPr>
          <w:rFonts w:ascii="Arial" w:hAnsi="Arial" w:cs="Arial"/>
          <w:sz w:val="14"/>
          <w:szCs w:val="14"/>
          <w:lang w:val="pl-PL"/>
        </w:rPr>
        <w:t>Projekt planowany do fazowania/etapowania</w:t>
      </w:r>
    </w:p>
  </w:footnote>
  <w:footnote w:id="137">
    <w:p w14:paraId="51612BB6" w14:textId="77777777" w:rsidR="00FD723C" w:rsidRPr="008528A5" w:rsidRDefault="00FD723C" w:rsidP="00FD723C">
      <w:pPr>
        <w:pStyle w:val="Tekstprzypisudolnego"/>
        <w:spacing w:before="0" w:after="0"/>
        <w:rPr>
          <w:rFonts w:ascii="Arial" w:hAnsi="Arial" w:cs="Arial"/>
          <w:sz w:val="14"/>
          <w:szCs w:val="14"/>
          <w:lang w:val="pl-PL"/>
        </w:rPr>
      </w:pPr>
      <w:r w:rsidRPr="008528A5">
        <w:rPr>
          <w:rStyle w:val="Odwoanieprzypisudolnego"/>
          <w:rFonts w:ascii="Arial" w:hAnsi="Arial" w:cs="Arial"/>
          <w:sz w:val="14"/>
          <w:szCs w:val="14"/>
        </w:rPr>
        <w:footnoteRef/>
      </w:r>
      <w:r w:rsidRPr="008528A5">
        <w:rPr>
          <w:rFonts w:ascii="Arial" w:hAnsi="Arial" w:cs="Arial"/>
          <w:sz w:val="14"/>
          <w:szCs w:val="14"/>
        </w:rPr>
        <w:t xml:space="preserve"> </w:t>
      </w:r>
      <w:r w:rsidRPr="008528A5">
        <w:rPr>
          <w:rFonts w:ascii="Arial" w:hAnsi="Arial" w:cs="Arial"/>
          <w:sz w:val="14"/>
          <w:szCs w:val="14"/>
          <w:lang w:val="pl-PL"/>
        </w:rPr>
        <w:t>Projekt planowany do fazowania/etapowania</w:t>
      </w:r>
    </w:p>
  </w:footnote>
  <w:footnote w:id="138">
    <w:p w14:paraId="17D6CB9F" w14:textId="77777777" w:rsidR="00FD723C" w:rsidRPr="00DA03F2" w:rsidRDefault="00FD723C" w:rsidP="00FD723C">
      <w:pPr>
        <w:pStyle w:val="Tekstprzypisudolnego"/>
        <w:spacing w:before="0" w:after="0"/>
        <w:rPr>
          <w:rFonts w:ascii="Arial" w:hAnsi="Arial" w:cs="Arial"/>
          <w:sz w:val="14"/>
          <w:szCs w:val="14"/>
          <w:lang w:val="pl-PL"/>
        </w:rPr>
      </w:pPr>
      <w:r w:rsidRPr="008528A5">
        <w:rPr>
          <w:rStyle w:val="Odwoanieprzypisudolnego"/>
          <w:rFonts w:ascii="Arial" w:hAnsi="Arial" w:cs="Arial"/>
          <w:sz w:val="14"/>
          <w:szCs w:val="14"/>
        </w:rPr>
        <w:footnoteRef/>
      </w:r>
      <w:r w:rsidRPr="008528A5">
        <w:rPr>
          <w:rFonts w:ascii="Arial" w:hAnsi="Arial" w:cs="Arial"/>
          <w:sz w:val="14"/>
          <w:szCs w:val="14"/>
        </w:rPr>
        <w:t xml:space="preserve"> </w:t>
      </w:r>
      <w:r w:rsidRPr="008528A5">
        <w:rPr>
          <w:rFonts w:ascii="Arial" w:hAnsi="Arial" w:cs="Arial"/>
          <w:sz w:val="14"/>
          <w:szCs w:val="14"/>
          <w:lang w:val="pl-PL"/>
        </w:rPr>
        <w:t>Projekt planowany do fazowania/etapowania</w:t>
      </w:r>
    </w:p>
  </w:footnote>
  <w:footnote w:id="139">
    <w:p w14:paraId="264E58D2" w14:textId="77777777" w:rsidR="00FD723C" w:rsidRPr="00D074AA" w:rsidRDefault="00FD723C" w:rsidP="00FD723C">
      <w:pPr>
        <w:pStyle w:val="Tekstprzypisudolnego"/>
        <w:spacing w:before="0" w:after="0"/>
        <w:rPr>
          <w:rFonts w:ascii="Arial" w:hAnsi="Arial" w:cs="Arial"/>
          <w:sz w:val="14"/>
          <w:szCs w:val="14"/>
        </w:rPr>
      </w:pPr>
      <w:r w:rsidRPr="00D074AA">
        <w:rPr>
          <w:rStyle w:val="Odwoanieprzypisudolnego"/>
          <w:rFonts w:ascii="Arial" w:hAnsi="Arial" w:cs="Arial"/>
          <w:sz w:val="14"/>
          <w:szCs w:val="14"/>
        </w:rPr>
        <w:footnoteRef/>
      </w:r>
      <w:r w:rsidRPr="00D074AA">
        <w:rPr>
          <w:rFonts w:ascii="Arial" w:hAnsi="Arial" w:cs="Arial"/>
          <w:sz w:val="14"/>
          <w:szCs w:val="14"/>
        </w:rPr>
        <w:t xml:space="preserve"> </w:t>
      </w:r>
      <w:r>
        <w:rPr>
          <w:rFonts w:ascii="Arial" w:hAnsi="Arial" w:cs="Arial"/>
          <w:sz w:val="14"/>
          <w:szCs w:val="14"/>
        </w:rPr>
        <w:t>Projekt konkursowy</w:t>
      </w:r>
    </w:p>
  </w:footnote>
  <w:footnote w:id="140">
    <w:p w14:paraId="26B243C3" w14:textId="77777777" w:rsidR="00FD723C" w:rsidRPr="00D074AA" w:rsidRDefault="00FD723C" w:rsidP="00FD723C">
      <w:pPr>
        <w:pStyle w:val="Tekstprzypisudolnego"/>
        <w:spacing w:before="0" w:after="0"/>
        <w:rPr>
          <w:rFonts w:ascii="Arial" w:hAnsi="Arial" w:cs="Arial"/>
          <w:sz w:val="14"/>
          <w:szCs w:val="14"/>
        </w:rPr>
      </w:pPr>
      <w:r w:rsidRPr="00D074AA">
        <w:rPr>
          <w:rStyle w:val="Odwoanieprzypisudolnego"/>
          <w:rFonts w:ascii="Arial" w:hAnsi="Arial" w:cs="Arial"/>
          <w:sz w:val="14"/>
          <w:szCs w:val="14"/>
        </w:rPr>
        <w:footnoteRef/>
      </w:r>
      <w:r w:rsidRPr="00D074AA">
        <w:rPr>
          <w:rFonts w:ascii="Arial" w:hAnsi="Arial" w:cs="Arial"/>
          <w:sz w:val="14"/>
          <w:szCs w:val="14"/>
        </w:rPr>
        <w:t xml:space="preserve"> Jw.</w:t>
      </w:r>
    </w:p>
  </w:footnote>
  <w:footnote w:id="141">
    <w:p w14:paraId="1FDE50A8" w14:textId="77777777" w:rsidR="00FD723C" w:rsidRDefault="00FD723C" w:rsidP="00FD723C">
      <w:pPr>
        <w:pStyle w:val="Tekstprzypisudolnego"/>
        <w:spacing w:before="0" w:after="0"/>
      </w:pPr>
      <w:r w:rsidRPr="00D074AA">
        <w:rPr>
          <w:rStyle w:val="Odwoanieprzypisudolnego"/>
          <w:rFonts w:ascii="Arial" w:hAnsi="Arial" w:cs="Arial"/>
          <w:sz w:val="14"/>
          <w:szCs w:val="14"/>
        </w:rPr>
        <w:footnoteRef/>
      </w:r>
      <w:r w:rsidRPr="00D074AA">
        <w:rPr>
          <w:rFonts w:ascii="Arial" w:hAnsi="Arial" w:cs="Arial"/>
          <w:sz w:val="14"/>
          <w:szCs w:val="14"/>
        </w:rPr>
        <w:t xml:space="preserve"> Jw.</w:t>
      </w:r>
    </w:p>
  </w:footnote>
  <w:footnote w:id="142">
    <w:p w14:paraId="2EC8F514" w14:textId="77777777" w:rsidR="00FD723C" w:rsidRPr="00C33AE4" w:rsidRDefault="00FD723C" w:rsidP="00FD723C">
      <w:pPr>
        <w:pStyle w:val="Tekstprzypisudolnego"/>
        <w:spacing w:before="0" w:after="0" w:line="240" w:lineRule="auto"/>
        <w:rPr>
          <w:rFonts w:ascii="Arial" w:hAnsi="Arial" w:cs="Arial"/>
          <w:sz w:val="14"/>
          <w:szCs w:val="14"/>
        </w:rPr>
      </w:pPr>
      <w:r w:rsidRPr="00C33AE4">
        <w:rPr>
          <w:rStyle w:val="Odwoanieprzypisudolnego"/>
          <w:rFonts w:ascii="Arial" w:hAnsi="Arial" w:cs="Arial"/>
          <w:sz w:val="14"/>
          <w:szCs w:val="14"/>
        </w:rPr>
        <w:footnoteRef/>
      </w:r>
      <w:r w:rsidRPr="00C33AE4">
        <w:rPr>
          <w:rFonts w:ascii="Arial" w:hAnsi="Arial" w:cs="Arial"/>
          <w:sz w:val="14"/>
          <w:szCs w:val="14"/>
        </w:rPr>
        <w:t xml:space="preserve"> Jw.</w:t>
      </w:r>
    </w:p>
  </w:footnote>
  <w:footnote w:id="143">
    <w:p w14:paraId="6E6ED502" w14:textId="77777777" w:rsidR="00FD723C" w:rsidRDefault="00FD723C" w:rsidP="00FD723C">
      <w:pPr>
        <w:pStyle w:val="Tekstprzypisudolnego"/>
        <w:spacing w:before="0" w:after="0" w:line="240" w:lineRule="auto"/>
      </w:pPr>
      <w:r w:rsidRPr="00C33AE4">
        <w:rPr>
          <w:rStyle w:val="Odwoanieprzypisudolnego"/>
          <w:rFonts w:ascii="Arial" w:hAnsi="Arial" w:cs="Arial"/>
          <w:sz w:val="14"/>
          <w:szCs w:val="14"/>
        </w:rPr>
        <w:footnoteRef/>
      </w:r>
      <w:r w:rsidRPr="00C33AE4">
        <w:rPr>
          <w:rFonts w:ascii="Arial" w:hAnsi="Arial" w:cs="Arial"/>
          <w:sz w:val="14"/>
          <w:szCs w:val="14"/>
        </w:rPr>
        <w:t xml:space="preserve"> Jw</w:t>
      </w:r>
    </w:p>
  </w:footnote>
  <w:footnote w:id="144">
    <w:p w14:paraId="2CEE9847" w14:textId="77777777" w:rsidR="00FD723C" w:rsidRPr="00FD299A" w:rsidRDefault="00FD723C" w:rsidP="00FD723C">
      <w:pPr>
        <w:pStyle w:val="Tekstprzypisudolnego"/>
        <w:spacing w:before="0" w:after="0" w:line="240" w:lineRule="auto"/>
        <w:rPr>
          <w:rFonts w:ascii="Arial" w:hAnsi="Arial" w:cs="Arial"/>
          <w:sz w:val="14"/>
          <w:szCs w:val="14"/>
        </w:rPr>
      </w:pPr>
      <w:r w:rsidRPr="00FD299A">
        <w:rPr>
          <w:rStyle w:val="Odwoanieprzypisudolnego"/>
          <w:rFonts w:ascii="Arial" w:hAnsi="Arial" w:cs="Arial"/>
          <w:sz w:val="14"/>
          <w:szCs w:val="14"/>
        </w:rPr>
        <w:footnoteRef/>
      </w:r>
      <w:r w:rsidRPr="00FD299A">
        <w:rPr>
          <w:rFonts w:ascii="Arial" w:hAnsi="Arial" w:cs="Arial"/>
          <w:sz w:val="14"/>
          <w:szCs w:val="14"/>
        </w:rPr>
        <w:t xml:space="preserve"> Jw.</w:t>
      </w:r>
    </w:p>
  </w:footnote>
  <w:footnote w:id="145">
    <w:p w14:paraId="58549AA8" w14:textId="77777777" w:rsidR="00FD723C" w:rsidRPr="002C50AD" w:rsidRDefault="00FD723C" w:rsidP="00FD723C">
      <w:pPr>
        <w:pStyle w:val="Tekstprzypisudolnego"/>
        <w:spacing w:before="0" w:after="0"/>
        <w:rPr>
          <w:sz w:val="14"/>
          <w:szCs w:val="14"/>
        </w:rPr>
      </w:pPr>
      <w:r w:rsidRPr="002C50AD">
        <w:rPr>
          <w:rFonts w:ascii="Arial" w:hAnsi="Arial" w:cs="Arial"/>
          <w:sz w:val="14"/>
          <w:szCs w:val="14"/>
          <w:vertAlign w:val="superscript"/>
        </w:rPr>
        <w:footnoteRef/>
      </w:r>
      <w:r w:rsidRPr="002C50AD">
        <w:rPr>
          <w:rFonts w:ascii="Arial" w:hAnsi="Arial" w:cs="Arial"/>
          <w:sz w:val="14"/>
          <w:szCs w:val="14"/>
          <w:vertAlign w:val="superscript"/>
        </w:rPr>
        <w:t xml:space="preserve"> </w:t>
      </w:r>
      <w:r w:rsidRPr="002C50AD">
        <w:rPr>
          <w:rFonts w:ascii="Arial" w:hAnsi="Arial" w:cs="Arial"/>
          <w:sz w:val="14"/>
          <w:szCs w:val="14"/>
        </w:rPr>
        <w:t>Projekt fazowany, terminy zgodne z decyzją KE.</w:t>
      </w:r>
    </w:p>
  </w:footnote>
  <w:footnote w:id="146">
    <w:p w14:paraId="40BE0815" w14:textId="77777777" w:rsidR="00FD723C" w:rsidRPr="002C50AD" w:rsidRDefault="00FD723C" w:rsidP="00FD723C">
      <w:pPr>
        <w:pStyle w:val="Tekstprzypisudolnego"/>
        <w:spacing w:before="0" w:after="0"/>
        <w:rPr>
          <w:rFonts w:ascii="Arial" w:hAnsi="Arial" w:cs="Arial"/>
          <w:sz w:val="14"/>
          <w:szCs w:val="14"/>
          <w:lang w:val="pl-PL"/>
        </w:rPr>
      </w:pPr>
      <w:r w:rsidRPr="002C50AD">
        <w:rPr>
          <w:rStyle w:val="Odwoanieprzypisudolnego"/>
          <w:rFonts w:ascii="Arial" w:hAnsi="Arial" w:cs="Arial"/>
          <w:sz w:val="14"/>
          <w:szCs w:val="14"/>
        </w:rPr>
        <w:footnoteRef/>
      </w:r>
      <w:r w:rsidRPr="002C50AD">
        <w:rPr>
          <w:rFonts w:ascii="Arial" w:hAnsi="Arial" w:cs="Arial"/>
          <w:sz w:val="14"/>
          <w:szCs w:val="14"/>
        </w:rPr>
        <w:t xml:space="preserve"> </w:t>
      </w:r>
      <w:r w:rsidRPr="002C50AD">
        <w:rPr>
          <w:rFonts w:ascii="Arial" w:hAnsi="Arial" w:cs="Arial"/>
          <w:sz w:val="14"/>
          <w:szCs w:val="14"/>
          <w:lang w:val="pl-PL"/>
        </w:rPr>
        <w:t xml:space="preserve">I etap projektu gazociąg Gustorzyn – Wronów (gazociąg Gustorzyn – Leśniewice), realizowany będzie w ramach VII osi </w:t>
      </w:r>
    </w:p>
  </w:footnote>
  <w:footnote w:id="147">
    <w:p w14:paraId="5548DA6E" w14:textId="77777777" w:rsidR="00FD723C" w:rsidRPr="001432C3" w:rsidRDefault="00FD723C" w:rsidP="00FD723C">
      <w:pPr>
        <w:pStyle w:val="Tekstprzypisudolnego"/>
        <w:spacing w:before="0" w:after="0"/>
        <w:rPr>
          <w:rFonts w:ascii="Arial" w:hAnsi="Arial" w:cs="Arial"/>
          <w:color w:val="FF0000"/>
          <w:sz w:val="16"/>
          <w:szCs w:val="16"/>
        </w:rPr>
      </w:pPr>
      <w:r w:rsidRPr="002C50AD">
        <w:rPr>
          <w:rStyle w:val="Odwoanieprzypisudolnego"/>
          <w:rFonts w:ascii="Arial" w:hAnsi="Arial" w:cs="Arial"/>
          <w:sz w:val="14"/>
          <w:szCs w:val="14"/>
        </w:rPr>
        <w:footnoteRef/>
      </w:r>
      <w:r w:rsidRPr="002C50AD">
        <w:rPr>
          <w:rFonts w:ascii="Arial" w:hAnsi="Arial" w:cs="Arial"/>
          <w:sz w:val="14"/>
          <w:szCs w:val="14"/>
        </w:rPr>
        <w:t xml:space="preserve"> </w:t>
      </w:r>
      <w:r w:rsidRPr="002C50AD">
        <w:rPr>
          <w:rFonts w:ascii="Arial" w:hAnsi="Arial" w:cs="Arial"/>
          <w:sz w:val="14"/>
          <w:szCs w:val="14"/>
          <w:lang w:val="pl-PL"/>
        </w:rPr>
        <w:t>II etap projektu gazociąg Gustorzyn – Wronów (gazociąg Leśniewice - Wronów), realizowany będzie w ramach XI osi</w:t>
      </w:r>
    </w:p>
  </w:footnote>
  <w:footnote w:id="148">
    <w:p w14:paraId="66F08EC4" w14:textId="77777777" w:rsidR="00FD723C" w:rsidRPr="00E75C64" w:rsidRDefault="00FD723C" w:rsidP="00FD723C">
      <w:pPr>
        <w:pStyle w:val="Tekstprzypisudolnego"/>
        <w:spacing w:before="0" w:after="0"/>
        <w:rPr>
          <w:rFonts w:ascii="Arial" w:hAnsi="Arial" w:cs="Arial"/>
          <w:sz w:val="16"/>
          <w:szCs w:val="16"/>
        </w:rPr>
      </w:pPr>
      <w:r w:rsidRPr="00E75C64">
        <w:rPr>
          <w:rStyle w:val="Odwoanieprzypisudolnego"/>
          <w:rFonts w:ascii="Arial" w:hAnsi="Arial" w:cs="Arial"/>
          <w:sz w:val="16"/>
          <w:szCs w:val="16"/>
        </w:rPr>
        <w:footnoteRef/>
      </w:r>
      <w:r w:rsidRPr="00E75C64">
        <w:rPr>
          <w:rFonts w:ascii="Arial" w:hAnsi="Arial" w:cs="Arial"/>
          <w:sz w:val="16"/>
          <w:szCs w:val="16"/>
        </w:rPr>
        <w:t xml:space="preserve"> Wnioskodawcą projektu jest Miejskie Przedsiębiorstwo Energetyki Cieplnej Sp. z o. o. w Olsztynie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C88D" w14:textId="77777777" w:rsidR="00E741F8" w:rsidRPr="00AC1DD3" w:rsidRDefault="00E741F8" w:rsidP="00AA79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897F" w14:textId="77777777" w:rsidR="00E741F8" w:rsidRPr="009D6743" w:rsidRDefault="00E741F8" w:rsidP="00AA79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38607E"/>
    <w:lvl w:ilvl="0">
      <w:numFmt w:val="bullet"/>
      <w:lvlText w:val="*"/>
      <w:lvlJc w:val="left"/>
    </w:lvl>
  </w:abstractNum>
  <w:abstractNum w:abstractNumId="1" w15:restartNumberingAfterBreak="0">
    <w:nsid w:val="00027905"/>
    <w:multiLevelType w:val="hybridMultilevel"/>
    <w:tmpl w:val="21F4E1AC"/>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B136CF"/>
    <w:multiLevelType w:val="hybridMultilevel"/>
    <w:tmpl w:val="D41E0F46"/>
    <w:lvl w:ilvl="0" w:tplc="04150003">
      <w:start w:val="1"/>
      <w:numFmt w:val="bullet"/>
      <w:lvlText w:val="o"/>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19C65E1"/>
    <w:multiLevelType w:val="multilevel"/>
    <w:tmpl w:val="622E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64616"/>
    <w:multiLevelType w:val="hybridMultilevel"/>
    <w:tmpl w:val="FEACA5EC"/>
    <w:lvl w:ilvl="0" w:tplc="A50E9344">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867A3E"/>
    <w:multiLevelType w:val="hybridMultilevel"/>
    <w:tmpl w:val="F4A4F9E2"/>
    <w:lvl w:ilvl="0" w:tplc="A50E9344">
      <w:start w:val="1"/>
      <w:numFmt w:val="bullet"/>
      <w:lvlText w:val="-"/>
      <w:lvlJc w:val="left"/>
      <w:pPr>
        <w:tabs>
          <w:tab w:val="num" w:pos="502"/>
        </w:tabs>
        <w:ind w:left="502" w:hanging="360"/>
      </w:pPr>
      <w:rPr>
        <w:rFonts w:ascii="Courier New" w:hAnsi="Courier New" w:cs="Courier New" w:hint="default"/>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034A5285"/>
    <w:multiLevelType w:val="hybridMultilevel"/>
    <w:tmpl w:val="E86620C6"/>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6A1906"/>
    <w:multiLevelType w:val="hybridMultilevel"/>
    <w:tmpl w:val="778E1DCA"/>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515164A"/>
    <w:multiLevelType w:val="multilevel"/>
    <w:tmpl w:val="493A9F06"/>
    <w:lvl w:ilvl="0">
      <w:start w:val="1"/>
      <w:numFmt w:val="decimal"/>
      <w:lvlText w:val="%1."/>
      <w:lvlJc w:val="left"/>
      <w:pPr>
        <w:tabs>
          <w:tab w:val="num" w:pos="360"/>
        </w:tabs>
        <w:ind w:left="360" w:hanging="360"/>
      </w:pPr>
      <w:rPr>
        <w:rFonts w:hint="default"/>
      </w:rPr>
    </w:lvl>
    <w:lvl w:ilvl="1">
      <w:start w:val="1"/>
      <w:numFmt w:val="decimal"/>
      <w:pStyle w:val="ola2"/>
      <w:isLgl/>
      <w:lvlText w:val="%1.%2."/>
      <w:lvlJc w:val="left"/>
      <w:pPr>
        <w:tabs>
          <w:tab w:val="num" w:pos="7050"/>
        </w:tabs>
        <w:ind w:left="7050" w:hanging="390"/>
      </w:pPr>
      <w:rPr>
        <w:rFonts w:hint="default"/>
      </w:rPr>
    </w:lvl>
    <w:lvl w:ilvl="2">
      <w:start w:val="1"/>
      <w:numFmt w:val="decimal"/>
      <w:pStyle w:val="ola3"/>
      <w:isLgl/>
      <w:lvlText w:val="%1.%2.%3."/>
      <w:lvlJc w:val="left"/>
      <w:pPr>
        <w:tabs>
          <w:tab w:val="num" w:pos="1980"/>
        </w:tabs>
        <w:ind w:left="198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060F1CED"/>
    <w:multiLevelType w:val="hybridMultilevel"/>
    <w:tmpl w:val="EFF88C42"/>
    <w:lvl w:ilvl="0" w:tplc="A50E9344">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7E4754"/>
    <w:multiLevelType w:val="hybridMultilevel"/>
    <w:tmpl w:val="18F82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314C55"/>
    <w:multiLevelType w:val="hybridMultilevel"/>
    <w:tmpl w:val="361E8962"/>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A620ED6"/>
    <w:multiLevelType w:val="hybridMultilevel"/>
    <w:tmpl w:val="B91E3824"/>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A7A0B0E"/>
    <w:multiLevelType w:val="multilevel"/>
    <w:tmpl w:val="8948FEF4"/>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10023E10"/>
    <w:multiLevelType w:val="hybridMultilevel"/>
    <w:tmpl w:val="79D8F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EF4292"/>
    <w:multiLevelType w:val="hybridMultilevel"/>
    <w:tmpl w:val="1FA210FE"/>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B81B83"/>
    <w:multiLevelType w:val="hybridMultilevel"/>
    <w:tmpl w:val="D66CA340"/>
    <w:lvl w:ilvl="0" w:tplc="30A21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F308E8"/>
    <w:multiLevelType w:val="multilevel"/>
    <w:tmpl w:val="D7625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512BBD"/>
    <w:multiLevelType w:val="hybridMultilevel"/>
    <w:tmpl w:val="6E6C82A0"/>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4C879D6"/>
    <w:multiLevelType w:val="hybridMultilevel"/>
    <w:tmpl w:val="A2E4B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656820"/>
    <w:multiLevelType w:val="hybridMultilevel"/>
    <w:tmpl w:val="D772E48C"/>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CDD0319"/>
    <w:multiLevelType w:val="multilevel"/>
    <w:tmpl w:val="E77A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173D02"/>
    <w:multiLevelType w:val="hybridMultilevel"/>
    <w:tmpl w:val="65C4AC2E"/>
    <w:lvl w:ilvl="0" w:tplc="A50E9344">
      <w:start w:val="1"/>
      <w:numFmt w:val="bullet"/>
      <w:lvlText w:val="-"/>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29640B"/>
    <w:multiLevelType w:val="multilevel"/>
    <w:tmpl w:val="A6E6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6E0BB5"/>
    <w:multiLevelType w:val="hybridMultilevel"/>
    <w:tmpl w:val="8A929A82"/>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A71991"/>
    <w:multiLevelType w:val="multilevel"/>
    <w:tmpl w:val="EA2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2F7959"/>
    <w:multiLevelType w:val="hybridMultilevel"/>
    <w:tmpl w:val="3230A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35C37E5"/>
    <w:multiLevelType w:val="hybridMultilevel"/>
    <w:tmpl w:val="33F47334"/>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4F87D04"/>
    <w:multiLevelType w:val="hybridMultilevel"/>
    <w:tmpl w:val="C4A2F0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A42026"/>
    <w:multiLevelType w:val="hybridMultilevel"/>
    <w:tmpl w:val="36CA50EC"/>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9FA03F1"/>
    <w:multiLevelType w:val="hybridMultilevel"/>
    <w:tmpl w:val="C65C2B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C2D7BB4"/>
    <w:multiLevelType w:val="multilevel"/>
    <w:tmpl w:val="0CA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3B4903"/>
    <w:multiLevelType w:val="hybridMultilevel"/>
    <w:tmpl w:val="99E46ADA"/>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1320402"/>
    <w:multiLevelType w:val="multilevel"/>
    <w:tmpl w:val="DAC0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E1457B"/>
    <w:multiLevelType w:val="hybridMultilevel"/>
    <w:tmpl w:val="9BAE0660"/>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C12CD5"/>
    <w:multiLevelType w:val="multilevel"/>
    <w:tmpl w:val="6B7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2A5A05"/>
    <w:multiLevelType w:val="multilevel"/>
    <w:tmpl w:val="6C2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5B4F53"/>
    <w:multiLevelType w:val="hybridMultilevel"/>
    <w:tmpl w:val="F5A2E6AA"/>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5D20595"/>
    <w:multiLevelType w:val="hybridMultilevel"/>
    <w:tmpl w:val="CFD2289C"/>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73D4E41"/>
    <w:multiLevelType w:val="hybridMultilevel"/>
    <w:tmpl w:val="BE569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663164"/>
    <w:multiLevelType w:val="hybridMultilevel"/>
    <w:tmpl w:val="FFE818D8"/>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AD24FD1"/>
    <w:multiLevelType w:val="multilevel"/>
    <w:tmpl w:val="85B0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241B2D"/>
    <w:multiLevelType w:val="multilevel"/>
    <w:tmpl w:val="A6A0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C204DD9"/>
    <w:multiLevelType w:val="multilevel"/>
    <w:tmpl w:val="80C6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CD52BD"/>
    <w:multiLevelType w:val="hybridMultilevel"/>
    <w:tmpl w:val="E14EF2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2838DA"/>
    <w:multiLevelType w:val="hybridMultilevel"/>
    <w:tmpl w:val="7B526F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FC369F0"/>
    <w:multiLevelType w:val="multilevel"/>
    <w:tmpl w:val="F94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FA0426"/>
    <w:multiLevelType w:val="multilevel"/>
    <w:tmpl w:val="0E984F1E"/>
    <w:lvl w:ilvl="0">
      <w:start w:val="1"/>
      <w:numFmt w:val="decimal"/>
      <w:lvlText w:val="%1."/>
      <w:lvlJc w:val="left"/>
      <w:pPr>
        <w:ind w:left="360" w:hanging="360"/>
      </w:pPr>
      <w:rPr>
        <w:sz w:val="28"/>
        <w:szCs w:val="28"/>
      </w:rPr>
    </w:lvl>
    <w:lvl w:ilvl="1">
      <w:start w:val="1"/>
      <w:numFmt w:val="decimal"/>
      <w:lvlText w:val="%1.%2."/>
      <w:lvlJc w:val="left"/>
      <w:pPr>
        <w:ind w:left="1283" w:hanging="432"/>
      </w:pPr>
      <w:rPr>
        <w:sz w:val="24"/>
        <w:szCs w:val="24"/>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134827"/>
    <w:multiLevelType w:val="hybridMultilevel"/>
    <w:tmpl w:val="606C9724"/>
    <w:lvl w:ilvl="0" w:tplc="C3FE8434">
      <w:start w:val="1"/>
      <w:numFmt w:val="decimal"/>
      <w:pStyle w:val="numerk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78369E"/>
    <w:multiLevelType w:val="hybridMultilevel"/>
    <w:tmpl w:val="28327860"/>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A960C1"/>
    <w:multiLevelType w:val="hybridMultilevel"/>
    <w:tmpl w:val="BB6E1E2C"/>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074D6E"/>
    <w:multiLevelType w:val="hybridMultilevel"/>
    <w:tmpl w:val="7D04A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5382C88"/>
    <w:multiLevelType w:val="hybridMultilevel"/>
    <w:tmpl w:val="31B444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A45D77"/>
    <w:multiLevelType w:val="hybridMultilevel"/>
    <w:tmpl w:val="E5DA7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6310D17"/>
    <w:multiLevelType w:val="hybridMultilevel"/>
    <w:tmpl w:val="35B4A8CC"/>
    <w:lvl w:ilvl="0" w:tplc="A50E93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6777645"/>
    <w:multiLevelType w:val="multilevel"/>
    <w:tmpl w:val="2D543700"/>
    <w:lvl w:ilvl="0">
      <w:start w:val="12"/>
      <w:numFmt w:val="decimal"/>
      <w:lvlText w:val="%1"/>
      <w:lvlJc w:val="left"/>
      <w:pPr>
        <w:ind w:left="525" w:hanging="52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6" w15:restartNumberingAfterBreak="0">
    <w:nsid w:val="477B6A98"/>
    <w:multiLevelType w:val="multilevel"/>
    <w:tmpl w:val="2BAA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0C7747"/>
    <w:multiLevelType w:val="hybridMultilevel"/>
    <w:tmpl w:val="41EEC4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101092"/>
    <w:multiLevelType w:val="hybridMultilevel"/>
    <w:tmpl w:val="E78215B2"/>
    <w:lvl w:ilvl="0" w:tplc="A50E9344">
      <w:start w:val="1"/>
      <w:numFmt w:val="bullet"/>
      <w:lvlText w:val="-"/>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22B92"/>
    <w:multiLevelType w:val="hybridMultilevel"/>
    <w:tmpl w:val="7F1E24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C18752B"/>
    <w:multiLevelType w:val="hybridMultilevel"/>
    <w:tmpl w:val="6DDE40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C686DCE"/>
    <w:multiLevelType w:val="hybridMultilevel"/>
    <w:tmpl w:val="A028BCD4"/>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F7622DC"/>
    <w:multiLevelType w:val="hybridMultilevel"/>
    <w:tmpl w:val="164CA430"/>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0DF33E9"/>
    <w:multiLevelType w:val="hybridMultilevel"/>
    <w:tmpl w:val="57606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26F3B63"/>
    <w:multiLevelType w:val="multilevel"/>
    <w:tmpl w:val="244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CB0B14"/>
    <w:multiLevelType w:val="hybridMultilevel"/>
    <w:tmpl w:val="5A4C8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532615B4"/>
    <w:multiLevelType w:val="multilevel"/>
    <w:tmpl w:val="9A80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3DA11B6"/>
    <w:multiLevelType w:val="hybridMultilevel"/>
    <w:tmpl w:val="8FEA99E8"/>
    <w:lvl w:ilvl="0" w:tplc="A50E9344">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3DE4307"/>
    <w:multiLevelType w:val="hybridMultilevel"/>
    <w:tmpl w:val="82F2E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6B65C9"/>
    <w:multiLevelType w:val="hybridMultilevel"/>
    <w:tmpl w:val="8A80E9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54976563"/>
    <w:multiLevelType w:val="hybridMultilevel"/>
    <w:tmpl w:val="95B0E520"/>
    <w:lvl w:ilvl="0" w:tplc="A50E9344">
      <w:start w:val="1"/>
      <w:numFmt w:val="bullet"/>
      <w:lvlText w:val="-"/>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5F146B6"/>
    <w:multiLevelType w:val="multilevel"/>
    <w:tmpl w:val="06D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7AB7EB2"/>
    <w:multiLevelType w:val="hybridMultilevel"/>
    <w:tmpl w:val="7B1A294E"/>
    <w:lvl w:ilvl="0" w:tplc="04150003">
      <w:start w:val="1"/>
      <w:numFmt w:val="bullet"/>
      <w:lvlText w:val="o"/>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3" w15:restartNumberingAfterBreak="0">
    <w:nsid w:val="57DA13EA"/>
    <w:multiLevelType w:val="hybridMultilevel"/>
    <w:tmpl w:val="35FA3A50"/>
    <w:lvl w:ilvl="0" w:tplc="30A21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99E3B43"/>
    <w:multiLevelType w:val="hybridMultilevel"/>
    <w:tmpl w:val="6A3CE37A"/>
    <w:lvl w:ilvl="0" w:tplc="0415000F">
      <w:start w:val="1"/>
      <w:numFmt w:val="decimal"/>
      <w:lvlText w:val="%1."/>
      <w:lvlJc w:val="left"/>
      <w:pPr>
        <w:ind w:left="149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A23381E"/>
    <w:multiLevelType w:val="hybridMultilevel"/>
    <w:tmpl w:val="2540736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5BFD47D7"/>
    <w:multiLevelType w:val="hybridMultilevel"/>
    <w:tmpl w:val="094AD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1E1802"/>
    <w:multiLevelType w:val="multilevel"/>
    <w:tmpl w:val="529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DC33915"/>
    <w:multiLevelType w:val="hybridMultilevel"/>
    <w:tmpl w:val="02E6AB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FCA0BEA"/>
    <w:multiLevelType w:val="multilevel"/>
    <w:tmpl w:val="9D5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205155F"/>
    <w:multiLevelType w:val="multilevel"/>
    <w:tmpl w:val="133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4236BE"/>
    <w:multiLevelType w:val="multilevel"/>
    <w:tmpl w:val="C4A8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8E7B95"/>
    <w:multiLevelType w:val="hybridMultilevel"/>
    <w:tmpl w:val="AF8C1A10"/>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3F02E97"/>
    <w:multiLevelType w:val="hybridMultilevel"/>
    <w:tmpl w:val="1624A3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464195F"/>
    <w:multiLevelType w:val="hybridMultilevel"/>
    <w:tmpl w:val="18DCFDD2"/>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E22989"/>
    <w:multiLevelType w:val="hybridMultilevel"/>
    <w:tmpl w:val="5D8C3560"/>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85358C"/>
    <w:multiLevelType w:val="hybridMultilevel"/>
    <w:tmpl w:val="037E79E2"/>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801289C"/>
    <w:multiLevelType w:val="multilevel"/>
    <w:tmpl w:val="2710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7C3B4B"/>
    <w:multiLevelType w:val="hybridMultilevel"/>
    <w:tmpl w:val="3738AF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8CF10FB"/>
    <w:multiLevelType w:val="hybridMultilevel"/>
    <w:tmpl w:val="3F92581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8FA0564"/>
    <w:multiLevelType w:val="hybridMultilevel"/>
    <w:tmpl w:val="17A2FAD2"/>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97E55FE"/>
    <w:multiLevelType w:val="hybridMultilevel"/>
    <w:tmpl w:val="68ECC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BDC1534"/>
    <w:multiLevelType w:val="hybridMultilevel"/>
    <w:tmpl w:val="4BEE4CE4"/>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6CA94F4C"/>
    <w:multiLevelType w:val="hybridMultilevel"/>
    <w:tmpl w:val="F90E286A"/>
    <w:lvl w:ilvl="0" w:tplc="A50E9344">
      <w:start w:val="1"/>
      <w:numFmt w:val="bullet"/>
      <w:lvlText w:val="-"/>
      <w:lvlJc w:val="left"/>
      <w:pPr>
        <w:ind w:left="720" w:hanging="360"/>
      </w:pPr>
      <w:rPr>
        <w:rFonts w:ascii="Courier New" w:hAnsi="Courier New" w:cs="Courier New" w:hint="default"/>
      </w:rPr>
    </w:lvl>
    <w:lvl w:ilvl="1" w:tplc="A50E9344">
      <w:start w:val="1"/>
      <w:numFmt w:val="bullet"/>
      <w:lvlText w:val="-"/>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D790C15"/>
    <w:multiLevelType w:val="hybridMultilevel"/>
    <w:tmpl w:val="7F9A9986"/>
    <w:lvl w:ilvl="0" w:tplc="A50E9344">
      <w:start w:val="1"/>
      <w:numFmt w:val="bullet"/>
      <w:lvlText w:val="-"/>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D940B3D"/>
    <w:multiLevelType w:val="multilevel"/>
    <w:tmpl w:val="90E8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4817FD"/>
    <w:multiLevelType w:val="hybridMultilevel"/>
    <w:tmpl w:val="DE363EE0"/>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23B02BD"/>
    <w:multiLevelType w:val="hybridMultilevel"/>
    <w:tmpl w:val="4538F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37A4E4F"/>
    <w:multiLevelType w:val="hybridMultilevel"/>
    <w:tmpl w:val="72E425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75010ACF"/>
    <w:multiLevelType w:val="hybridMultilevel"/>
    <w:tmpl w:val="9BC441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5AE6DA8"/>
    <w:multiLevelType w:val="hybridMultilevel"/>
    <w:tmpl w:val="1A50BCB6"/>
    <w:lvl w:ilvl="0" w:tplc="A50E9344">
      <w:start w:val="1"/>
      <w:numFmt w:val="bullet"/>
      <w:lvlText w:val="-"/>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6474554"/>
    <w:multiLevelType w:val="multilevel"/>
    <w:tmpl w:val="CEA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2333FF"/>
    <w:multiLevelType w:val="multilevel"/>
    <w:tmpl w:val="F5AC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9272ECC"/>
    <w:multiLevelType w:val="hybridMultilevel"/>
    <w:tmpl w:val="F2B8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94228E3"/>
    <w:multiLevelType w:val="hybridMultilevel"/>
    <w:tmpl w:val="9F5E85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79E65221"/>
    <w:multiLevelType w:val="hybridMultilevel"/>
    <w:tmpl w:val="166A44CC"/>
    <w:lvl w:ilvl="0" w:tplc="A50E9344">
      <w:start w:val="1"/>
      <w:numFmt w:val="bullet"/>
      <w:lvlText w:val="-"/>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A3755EC"/>
    <w:multiLevelType w:val="multilevel"/>
    <w:tmpl w:val="E876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A833CE2"/>
    <w:multiLevelType w:val="hybridMultilevel"/>
    <w:tmpl w:val="E95E8266"/>
    <w:lvl w:ilvl="0" w:tplc="30A21F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AD647AB"/>
    <w:multiLevelType w:val="hybridMultilevel"/>
    <w:tmpl w:val="568CBD9C"/>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BEA0EEF"/>
    <w:multiLevelType w:val="multilevel"/>
    <w:tmpl w:val="0BB2EF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Helv" w:eastAsia="Calibri" w:hAnsi="Helv" w:cs="Helv"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C2F6DDC"/>
    <w:multiLevelType w:val="hybridMultilevel"/>
    <w:tmpl w:val="BC24558E"/>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C896A31"/>
    <w:multiLevelType w:val="multilevel"/>
    <w:tmpl w:val="2F9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DE45A74"/>
    <w:multiLevelType w:val="multilevel"/>
    <w:tmpl w:val="B940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E735B06"/>
    <w:multiLevelType w:val="hybridMultilevel"/>
    <w:tmpl w:val="95904FA8"/>
    <w:lvl w:ilvl="0" w:tplc="A50E9344">
      <w:start w:val="1"/>
      <w:numFmt w:val="bullet"/>
      <w:lvlText w:val="-"/>
      <w:lvlJc w:val="left"/>
      <w:pPr>
        <w:ind w:left="360" w:hanging="360"/>
      </w:pPr>
      <w:rPr>
        <w:rFonts w:ascii="Courier New" w:hAnsi="Courier New" w:cs="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F96005C"/>
    <w:multiLevelType w:val="hybridMultilevel"/>
    <w:tmpl w:val="DE5E4542"/>
    <w:lvl w:ilvl="0" w:tplc="A50E9344">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FAA024C"/>
    <w:multiLevelType w:val="multilevel"/>
    <w:tmpl w:val="ADC2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8"/>
  </w:num>
  <w:num w:numId="3">
    <w:abstractNumId w:val="47"/>
  </w:num>
  <w:num w:numId="4">
    <w:abstractNumId w:val="4"/>
  </w:num>
  <w:num w:numId="5">
    <w:abstractNumId w:val="110"/>
  </w:num>
  <w:num w:numId="6">
    <w:abstractNumId w:val="20"/>
  </w:num>
  <w:num w:numId="7">
    <w:abstractNumId w:val="84"/>
  </w:num>
  <w:num w:numId="8">
    <w:abstractNumId w:val="27"/>
  </w:num>
  <w:num w:numId="9">
    <w:abstractNumId w:val="9"/>
  </w:num>
  <w:num w:numId="10">
    <w:abstractNumId w:val="34"/>
  </w:num>
  <w:num w:numId="11">
    <w:abstractNumId w:val="114"/>
  </w:num>
  <w:num w:numId="12">
    <w:abstractNumId w:val="82"/>
  </w:num>
  <w:num w:numId="13">
    <w:abstractNumId w:val="49"/>
  </w:num>
  <w:num w:numId="14">
    <w:abstractNumId w:val="67"/>
  </w:num>
  <w:num w:numId="15">
    <w:abstractNumId w:val="96"/>
  </w:num>
  <w:num w:numId="16">
    <w:abstractNumId w:val="22"/>
  </w:num>
  <w:num w:numId="17">
    <w:abstractNumId w:val="100"/>
  </w:num>
  <w:num w:numId="18">
    <w:abstractNumId w:val="50"/>
  </w:num>
  <w:num w:numId="19">
    <w:abstractNumId w:val="40"/>
  </w:num>
  <w:num w:numId="20">
    <w:abstractNumId w:val="12"/>
  </w:num>
  <w:num w:numId="21">
    <w:abstractNumId w:val="32"/>
  </w:num>
  <w:num w:numId="22">
    <w:abstractNumId w:val="105"/>
  </w:num>
  <w:num w:numId="23">
    <w:abstractNumId w:val="7"/>
  </w:num>
  <w:num w:numId="24">
    <w:abstractNumId w:val="11"/>
  </w:num>
  <w:num w:numId="25">
    <w:abstractNumId w:val="38"/>
  </w:num>
  <w:num w:numId="26">
    <w:abstractNumId w:val="6"/>
  </w:num>
  <w:num w:numId="27">
    <w:abstractNumId w:val="18"/>
  </w:num>
  <w:num w:numId="28">
    <w:abstractNumId w:val="104"/>
  </w:num>
  <w:num w:numId="29">
    <w:abstractNumId w:val="85"/>
  </w:num>
  <w:num w:numId="30">
    <w:abstractNumId w:val="108"/>
  </w:num>
  <w:num w:numId="31">
    <w:abstractNumId w:val="93"/>
  </w:num>
  <w:num w:numId="32">
    <w:abstractNumId w:val="72"/>
  </w:num>
  <w:num w:numId="33">
    <w:abstractNumId w:val="2"/>
  </w:num>
  <w:num w:numId="34">
    <w:abstractNumId w:val="62"/>
  </w:num>
  <w:num w:numId="35">
    <w:abstractNumId w:val="24"/>
  </w:num>
  <w:num w:numId="36">
    <w:abstractNumId w:val="89"/>
  </w:num>
  <w:num w:numId="37">
    <w:abstractNumId w:val="70"/>
  </w:num>
  <w:num w:numId="38">
    <w:abstractNumId w:val="113"/>
  </w:num>
  <w:num w:numId="39">
    <w:abstractNumId w:val="94"/>
  </w:num>
  <w:num w:numId="40">
    <w:abstractNumId w:val="61"/>
  </w:num>
  <w:num w:numId="41">
    <w:abstractNumId w:val="92"/>
  </w:num>
  <w:num w:numId="42">
    <w:abstractNumId w:val="15"/>
  </w:num>
  <w:num w:numId="43">
    <w:abstractNumId w:val="37"/>
  </w:num>
  <w:num w:numId="44">
    <w:abstractNumId w:val="86"/>
  </w:num>
  <w:num w:numId="45">
    <w:abstractNumId w:val="1"/>
  </w:num>
  <w:num w:numId="46">
    <w:abstractNumId w:val="16"/>
  </w:num>
  <w:num w:numId="47">
    <w:abstractNumId w:val="73"/>
  </w:num>
  <w:num w:numId="48">
    <w:abstractNumId w:val="28"/>
  </w:num>
  <w:num w:numId="49">
    <w:abstractNumId w:val="10"/>
  </w:num>
  <w:num w:numId="50">
    <w:abstractNumId w:val="52"/>
  </w:num>
  <w:num w:numId="51">
    <w:abstractNumId w:val="76"/>
  </w:num>
  <w:num w:numId="52">
    <w:abstractNumId w:val="90"/>
  </w:num>
  <w:num w:numId="53">
    <w:abstractNumId w:val="107"/>
  </w:num>
  <w:num w:numId="54">
    <w:abstractNumId w:val="19"/>
  </w:num>
  <w:num w:numId="55">
    <w:abstractNumId w:val="88"/>
  </w:num>
  <w:num w:numId="56">
    <w:abstractNumId w:val="30"/>
  </w:num>
  <w:num w:numId="57">
    <w:abstractNumId w:val="83"/>
  </w:num>
  <w:num w:numId="58">
    <w:abstractNumId w:val="60"/>
  </w:num>
  <w:num w:numId="59">
    <w:abstractNumId w:val="63"/>
  </w:num>
  <w:num w:numId="60">
    <w:abstractNumId w:val="99"/>
  </w:num>
  <w:num w:numId="61">
    <w:abstractNumId w:val="68"/>
  </w:num>
  <w:num w:numId="62">
    <w:abstractNumId w:val="54"/>
  </w:num>
  <w:num w:numId="63">
    <w:abstractNumId w:val="57"/>
  </w:num>
  <w:num w:numId="64">
    <w:abstractNumId w:val="25"/>
  </w:num>
  <w:num w:numId="65">
    <w:abstractNumId w:val="112"/>
  </w:num>
  <w:num w:numId="66">
    <w:abstractNumId w:val="106"/>
  </w:num>
  <w:num w:numId="67">
    <w:abstractNumId w:val="98"/>
  </w:num>
  <w:num w:numId="68">
    <w:abstractNumId w:val="65"/>
  </w:num>
  <w:num w:numId="69">
    <w:abstractNumId w:val="45"/>
  </w:num>
  <w:num w:numId="70">
    <w:abstractNumId w:val="26"/>
  </w:num>
  <w:num w:numId="71">
    <w:abstractNumId w:val="42"/>
  </w:num>
  <w:num w:numId="72">
    <w:abstractNumId w:val="77"/>
  </w:num>
  <w:num w:numId="73">
    <w:abstractNumId w:val="3"/>
  </w:num>
  <w:num w:numId="74">
    <w:abstractNumId w:val="81"/>
  </w:num>
  <w:num w:numId="75">
    <w:abstractNumId w:val="17"/>
  </w:num>
  <w:num w:numId="76">
    <w:abstractNumId w:val="31"/>
  </w:num>
  <w:num w:numId="77">
    <w:abstractNumId w:val="95"/>
  </w:num>
  <w:num w:numId="78">
    <w:abstractNumId w:val="33"/>
  </w:num>
  <w:num w:numId="79">
    <w:abstractNumId w:val="46"/>
  </w:num>
  <w:num w:numId="80">
    <w:abstractNumId w:val="80"/>
  </w:num>
  <w:num w:numId="81">
    <w:abstractNumId w:val="102"/>
  </w:num>
  <w:num w:numId="82">
    <w:abstractNumId w:val="36"/>
  </w:num>
  <w:num w:numId="83">
    <w:abstractNumId w:val="35"/>
  </w:num>
  <w:num w:numId="84">
    <w:abstractNumId w:val="56"/>
  </w:num>
  <w:num w:numId="85">
    <w:abstractNumId w:val="109"/>
  </w:num>
  <w:num w:numId="86">
    <w:abstractNumId w:val="64"/>
  </w:num>
  <w:num w:numId="87">
    <w:abstractNumId w:val="101"/>
  </w:num>
  <w:num w:numId="88">
    <w:abstractNumId w:val="71"/>
  </w:num>
  <w:num w:numId="89">
    <w:abstractNumId w:val="66"/>
  </w:num>
  <w:num w:numId="90">
    <w:abstractNumId w:val="87"/>
  </w:num>
  <w:num w:numId="91">
    <w:abstractNumId w:val="43"/>
  </w:num>
  <w:num w:numId="92">
    <w:abstractNumId w:val="115"/>
  </w:num>
  <w:num w:numId="93">
    <w:abstractNumId w:val="21"/>
  </w:num>
  <w:num w:numId="94">
    <w:abstractNumId w:val="111"/>
  </w:num>
  <w:num w:numId="95">
    <w:abstractNumId w:val="23"/>
  </w:num>
  <w:num w:numId="96">
    <w:abstractNumId w:val="41"/>
  </w:num>
  <w:num w:numId="97">
    <w:abstractNumId w:val="79"/>
  </w:num>
  <w:num w:numId="98">
    <w:abstractNumId w:val="13"/>
  </w:num>
  <w:num w:numId="99">
    <w:abstractNumId w:val="39"/>
  </w:num>
  <w:num w:numId="100">
    <w:abstractNumId w:val="74"/>
  </w:num>
  <w:num w:numId="101">
    <w:abstractNumId w:val="29"/>
  </w:num>
  <w:num w:numId="102">
    <w:abstractNumId w:val="59"/>
  </w:num>
  <w:num w:numId="103">
    <w:abstractNumId w:val="53"/>
  </w:num>
  <w:num w:numId="104">
    <w:abstractNumId w:val="5"/>
  </w:num>
  <w:num w:numId="105">
    <w:abstractNumId w:val="0"/>
    <w:lvlOverride w:ilvl="0">
      <w:lvl w:ilvl="0">
        <w:numFmt w:val="bullet"/>
        <w:lvlText w:val=""/>
        <w:legacy w:legacy="1" w:legacySpace="0" w:legacyIndent="0"/>
        <w:lvlJc w:val="left"/>
        <w:rPr>
          <w:rFonts w:ascii="Symbol" w:hAnsi="Symbol" w:hint="default"/>
          <w:sz w:val="22"/>
        </w:rPr>
      </w:lvl>
    </w:lvlOverride>
  </w:num>
  <w:num w:numId="106">
    <w:abstractNumId w:val="69"/>
  </w:num>
  <w:num w:numId="107">
    <w:abstractNumId w:val="75"/>
  </w:num>
  <w:num w:numId="108">
    <w:abstractNumId w:val="80"/>
  </w:num>
  <w:num w:numId="109">
    <w:abstractNumId w:val="102"/>
  </w:num>
  <w:num w:numId="110">
    <w:abstractNumId w:val="58"/>
  </w:num>
  <w:num w:numId="111">
    <w:abstractNumId w:val="51"/>
  </w:num>
  <w:num w:numId="112">
    <w:abstractNumId w:val="44"/>
  </w:num>
  <w:num w:numId="113">
    <w:abstractNumId w:val="14"/>
  </w:num>
  <w:num w:numId="114">
    <w:abstractNumId w:val="103"/>
  </w:num>
  <w:num w:numId="115">
    <w:abstractNumId w:val="97"/>
  </w:num>
  <w:num w:numId="116">
    <w:abstractNumId w:val="91"/>
  </w:num>
  <w:num w:numId="117">
    <w:abstractNumId w:val="55"/>
  </w:num>
  <w:num w:numId="118">
    <w:abstractNumId w:val="7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ocumentProtection w:edit="readOnly"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242"/>
    <w:rsid w:val="000002CE"/>
    <w:rsid w:val="000020EC"/>
    <w:rsid w:val="00002CDE"/>
    <w:rsid w:val="000037D9"/>
    <w:rsid w:val="000039BD"/>
    <w:rsid w:val="00003D07"/>
    <w:rsid w:val="00004D4B"/>
    <w:rsid w:val="00005022"/>
    <w:rsid w:val="000053E2"/>
    <w:rsid w:val="00006FFC"/>
    <w:rsid w:val="000075A2"/>
    <w:rsid w:val="000079A4"/>
    <w:rsid w:val="00007EE5"/>
    <w:rsid w:val="00012EB9"/>
    <w:rsid w:val="0001318E"/>
    <w:rsid w:val="0001354A"/>
    <w:rsid w:val="000145BD"/>
    <w:rsid w:val="00014766"/>
    <w:rsid w:val="00014A0C"/>
    <w:rsid w:val="000154FB"/>
    <w:rsid w:val="00015B3A"/>
    <w:rsid w:val="00016961"/>
    <w:rsid w:val="0002044E"/>
    <w:rsid w:val="00022205"/>
    <w:rsid w:val="00022437"/>
    <w:rsid w:val="00022469"/>
    <w:rsid w:val="0002263A"/>
    <w:rsid w:val="0002289F"/>
    <w:rsid w:val="00023431"/>
    <w:rsid w:val="000242DA"/>
    <w:rsid w:val="00025FBB"/>
    <w:rsid w:val="00026176"/>
    <w:rsid w:val="00026EC5"/>
    <w:rsid w:val="000337A9"/>
    <w:rsid w:val="0003520B"/>
    <w:rsid w:val="00035372"/>
    <w:rsid w:val="00035DE2"/>
    <w:rsid w:val="00036C0A"/>
    <w:rsid w:val="00037311"/>
    <w:rsid w:val="000415CB"/>
    <w:rsid w:val="00041F32"/>
    <w:rsid w:val="00043C8E"/>
    <w:rsid w:val="00043E93"/>
    <w:rsid w:val="00044EDA"/>
    <w:rsid w:val="0004528D"/>
    <w:rsid w:val="000466C8"/>
    <w:rsid w:val="00047DAF"/>
    <w:rsid w:val="000517AF"/>
    <w:rsid w:val="00053278"/>
    <w:rsid w:val="00053890"/>
    <w:rsid w:val="000551DB"/>
    <w:rsid w:val="000557C1"/>
    <w:rsid w:val="00056C09"/>
    <w:rsid w:val="00056CCA"/>
    <w:rsid w:val="00056D63"/>
    <w:rsid w:val="000576D9"/>
    <w:rsid w:val="00057CC4"/>
    <w:rsid w:val="00061199"/>
    <w:rsid w:val="00062799"/>
    <w:rsid w:val="00063A2D"/>
    <w:rsid w:val="00063E9C"/>
    <w:rsid w:val="00064B9E"/>
    <w:rsid w:val="00065210"/>
    <w:rsid w:val="00065D10"/>
    <w:rsid w:val="00066676"/>
    <w:rsid w:val="0006671D"/>
    <w:rsid w:val="00066871"/>
    <w:rsid w:val="000674E7"/>
    <w:rsid w:val="00067F36"/>
    <w:rsid w:val="00071C3B"/>
    <w:rsid w:val="000723C0"/>
    <w:rsid w:val="00075A3F"/>
    <w:rsid w:val="00075EF6"/>
    <w:rsid w:val="00076F94"/>
    <w:rsid w:val="00077496"/>
    <w:rsid w:val="000776E6"/>
    <w:rsid w:val="000818D9"/>
    <w:rsid w:val="00082D13"/>
    <w:rsid w:val="00082FD6"/>
    <w:rsid w:val="00083390"/>
    <w:rsid w:val="00085042"/>
    <w:rsid w:val="0008642A"/>
    <w:rsid w:val="000866A1"/>
    <w:rsid w:val="0008777D"/>
    <w:rsid w:val="00087D06"/>
    <w:rsid w:val="00090A0B"/>
    <w:rsid w:val="00090B8F"/>
    <w:rsid w:val="00091F8D"/>
    <w:rsid w:val="00093198"/>
    <w:rsid w:val="0009380C"/>
    <w:rsid w:val="00094D5E"/>
    <w:rsid w:val="00095067"/>
    <w:rsid w:val="0009525F"/>
    <w:rsid w:val="00095EC7"/>
    <w:rsid w:val="000974ED"/>
    <w:rsid w:val="000A06BB"/>
    <w:rsid w:val="000A6DE6"/>
    <w:rsid w:val="000A7636"/>
    <w:rsid w:val="000B007D"/>
    <w:rsid w:val="000B1046"/>
    <w:rsid w:val="000B1DA1"/>
    <w:rsid w:val="000B2824"/>
    <w:rsid w:val="000B3288"/>
    <w:rsid w:val="000B47FD"/>
    <w:rsid w:val="000B52E7"/>
    <w:rsid w:val="000B5BDC"/>
    <w:rsid w:val="000B5DBA"/>
    <w:rsid w:val="000B74F2"/>
    <w:rsid w:val="000B7670"/>
    <w:rsid w:val="000B7B86"/>
    <w:rsid w:val="000C034B"/>
    <w:rsid w:val="000C043A"/>
    <w:rsid w:val="000C080D"/>
    <w:rsid w:val="000C0E55"/>
    <w:rsid w:val="000C139E"/>
    <w:rsid w:val="000C1ACE"/>
    <w:rsid w:val="000C30DF"/>
    <w:rsid w:val="000C40E2"/>
    <w:rsid w:val="000C416E"/>
    <w:rsid w:val="000C458B"/>
    <w:rsid w:val="000C459A"/>
    <w:rsid w:val="000C7061"/>
    <w:rsid w:val="000C789E"/>
    <w:rsid w:val="000C7CE6"/>
    <w:rsid w:val="000C7D83"/>
    <w:rsid w:val="000D12EE"/>
    <w:rsid w:val="000D1F0C"/>
    <w:rsid w:val="000D3464"/>
    <w:rsid w:val="000D3E5E"/>
    <w:rsid w:val="000D443E"/>
    <w:rsid w:val="000D4C89"/>
    <w:rsid w:val="000D7356"/>
    <w:rsid w:val="000D7714"/>
    <w:rsid w:val="000E0866"/>
    <w:rsid w:val="000E0C02"/>
    <w:rsid w:val="000E0DB1"/>
    <w:rsid w:val="000E17B3"/>
    <w:rsid w:val="000E1B8C"/>
    <w:rsid w:val="000E25E2"/>
    <w:rsid w:val="000E4188"/>
    <w:rsid w:val="000E4B0F"/>
    <w:rsid w:val="000E4EAF"/>
    <w:rsid w:val="000E54CE"/>
    <w:rsid w:val="000E7BDA"/>
    <w:rsid w:val="000F0151"/>
    <w:rsid w:val="000F0470"/>
    <w:rsid w:val="000F056B"/>
    <w:rsid w:val="000F0788"/>
    <w:rsid w:val="000F0994"/>
    <w:rsid w:val="000F0E3D"/>
    <w:rsid w:val="000F1ED1"/>
    <w:rsid w:val="000F2145"/>
    <w:rsid w:val="000F324C"/>
    <w:rsid w:val="000F37BE"/>
    <w:rsid w:val="000F5420"/>
    <w:rsid w:val="00102398"/>
    <w:rsid w:val="00102431"/>
    <w:rsid w:val="00102883"/>
    <w:rsid w:val="00102EF7"/>
    <w:rsid w:val="00103179"/>
    <w:rsid w:val="001038D1"/>
    <w:rsid w:val="00103D13"/>
    <w:rsid w:val="0010432C"/>
    <w:rsid w:val="001064FF"/>
    <w:rsid w:val="001076EA"/>
    <w:rsid w:val="00110704"/>
    <w:rsid w:val="00112403"/>
    <w:rsid w:val="0011265C"/>
    <w:rsid w:val="00115E3E"/>
    <w:rsid w:val="00116C9F"/>
    <w:rsid w:val="00117091"/>
    <w:rsid w:val="00117293"/>
    <w:rsid w:val="001202EA"/>
    <w:rsid w:val="00120F35"/>
    <w:rsid w:val="0012108A"/>
    <w:rsid w:val="00121298"/>
    <w:rsid w:val="0012147D"/>
    <w:rsid w:val="001215BE"/>
    <w:rsid w:val="00121FA5"/>
    <w:rsid w:val="001240F1"/>
    <w:rsid w:val="001251AF"/>
    <w:rsid w:val="0012591D"/>
    <w:rsid w:val="00126892"/>
    <w:rsid w:val="00127879"/>
    <w:rsid w:val="00127F3E"/>
    <w:rsid w:val="001318C6"/>
    <w:rsid w:val="00131B0C"/>
    <w:rsid w:val="001323FE"/>
    <w:rsid w:val="001353F4"/>
    <w:rsid w:val="00135DEC"/>
    <w:rsid w:val="001422B3"/>
    <w:rsid w:val="00143278"/>
    <w:rsid w:val="001442C5"/>
    <w:rsid w:val="001446E5"/>
    <w:rsid w:val="00144E7A"/>
    <w:rsid w:val="001453B7"/>
    <w:rsid w:val="0014671B"/>
    <w:rsid w:val="00147769"/>
    <w:rsid w:val="0015043F"/>
    <w:rsid w:val="0015275D"/>
    <w:rsid w:val="00152CCD"/>
    <w:rsid w:val="00154280"/>
    <w:rsid w:val="00154DFA"/>
    <w:rsid w:val="0015528B"/>
    <w:rsid w:val="0015679D"/>
    <w:rsid w:val="00160623"/>
    <w:rsid w:val="00161F62"/>
    <w:rsid w:val="00162882"/>
    <w:rsid w:val="00162B63"/>
    <w:rsid w:val="00162E63"/>
    <w:rsid w:val="00163DA5"/>
    <w:rsid w:val="0016430C"/>
    <w:rsid w:val="001645E7"/>
    <w:rsid w:val="00167DA4"/>
    <w:rsid w:val="001702B1"/>
    <w:rsid w:val="00171560"/>
    <w:rsid w:val="001717F8"/>
    <w:rsid w:val="001729D1"/>
    <w:rsid w:val="00172D5F"/>
    <w:rsid w:val="001741CD"/>
    <w:rsid w:val="001772D9"/>
    <w:rsid w:val="00177CBA"/>
    <w:rsid w:val="00177F45"/>
    <w:rsid w:val="001819B2"/>
    <w:rsid w:val="00181A30"/>
    <w:rsid w:val="00182FC1"/>
    <w:rsid w:val="00183E88"/>
    <w:rsid w:val="00185692"/>
    <w:rsid w:val="001860B8"/>
    <w:rsid w:val="001860C8"/>
    <w:rsid w:val="0019002D"/>
    <w:rsid w:val="00190392"/>
    <w:rsid w:val="00190918"/>
    <w:rsid w:val="00190A2A"/>
    <w:rsid w:val="00190AA9"/>
    <w:rsid w:val="001915F0"/>
    <w:rsid w:val="00193872"/>
    <w:rsid w:val="00193F3C"/>
    <w:rsid w:val="0019461A"/>
    <w:rsid w:val="001953F6"/>
    <w:rsid w:val="00195E7D"/>
    <w:rsid w:val="0019764F"/>
    <w:rsid w:val="001A0AA0"/>
    <w:rsid w:val="001A127A"/>
    <w:rsid w:val="001A203B"/>
    <w:rsid w:val="001A367F"/>
    <w:rsid w:val="001A5053"/>
    <w:rsid w:val="001A54B4"/>
    <w:rsid w:val="001A5574"/>
    <w:rsid w:val="001A5848"/>
    <w:rsid w:val="001A6107"/>
    <w:rsid w:val="001A6C56"/>
    <w:rsid w:val="001A744B"/>
    <w:rsid w:val="001B041D"/>
    <w:rsid w:val="001B0C79"/>
    <w:rsid w:val="001B36D8"/>
    <w:rsid w:val="001B3EA2"/>
    <w:rsid w:val="001B46F0"/>
    <w:rsid w:val="001B49E3"/>
    <w:rsid w:val="001B5078"/>
    <w:rsid w:val="001B5C3A"/>
    <w:rsid w:val="001B5E73"/>
    <w:rsid w:val="001B6A0A"/>
    <w:rsid w:val="001B762E"/>
    <w:rsid w:val="001C008C"/>
    <w:rsid w:val="001C1A88"/>
    <w:rsid w:val="001C1D92"/>
    <w:rsid w:val="001C1E2B"/>
    <w:rsid w:val="001C2ED2"/>
    <w:rsid w:val="001C350B"/>
    <w:rsid w:val="001C3A2F"/>
    <w:rsid w:val="001C3E8A"/>
    <w:rsid w:val="001C3F06"/>
    <w:rsid w:val="001C3FE6"/>
    <w:rsid w:val="001C4139"/>
    <w:rsid w:val="001C51E7"/>
    <w:rsid w:val="001C605D"/>
    <w:rsid w:val="001C6DF6"/>
    <w:rsid w:val="001C7467"/>
    <w:rsid w:val="001C7B4A"/>
    <w:rsid w:val="001D06E0"/>
    <w:rsid w:val="001D108D"/>
    <w:rsid w:val="001D1364"/>
    <w:rsid w:val="001D1591"/>
    <w:rsid w:val="001D3647"/>
    <w:rsid w:val="001D45ED"/>
    <w:rsid w:val="001D4949"/>
    <w:rsid w:val="001D4CF8"/>
    <w:rsid w:val="001D7098"/>
    <w:rsid w:val="001D7473"/>
    <w:rsid w:val="001E0790"/>
    <w:rsid w:val="001E2F47"/>
    <w:rsid w:val="001E3092"/>
    <w:rsid w:val="001E3FC5"/>
    <w:rsid w:val="001E402E"/>
    <w:rsid w:val="001E45C7"/>
    <w:rsid w:val="001E5763"/>
    <w:rsid w:val="001E5C55"/>
    <w:rsid w:val="001F00E8"/>
    <w:rsid w:val="001F0A91"/>
    <w:rsid w:val="001F1BED"/>
    <w:rsid w:val="001F1E86"/>
    <w:rsid w:val="001F20DE"/>
    <w:rsid w:val="001F2A94"/>
    <w:rsid w:val="001F3A3E"/>
    <w:rsid w:val="001F3E2B"/>
    <w:rsid w:val="001F407D"/>
    <w:rsid w:val="001F40CB"/>
    <w:rsid w:val="001F6316"/>
    <w:rsid w:val="001F6975"/>
    <w:rsid w:val="001F7145"/>
    <w:rsid w:val="001F79E9"/>
    <w:rsid w:val="001F7BAD"/>
    <w:rsid w:val="00200034"/>
    <w:rsid w:val="00202E93"/>
    <w:rsid w:val="00203651"/>
    <w:rsid w:val="00203BC3"/>
    <w:rsid w:val="00203EC4"/>
    <w:rsid w:val="002056AD"/>
    <w:rsid w:val="00205E51"/>
    <w:rsid w:val="00207BE8"/>
    <w:rsid w:val="00210B0F"/>
    <w:rsid w:val="00210F4A"/>
    <w:rsid w:val="00210FEC"/>
    <w:rsid w:val="00211DC0"/>
    <w:rsid w:val="00215547"/>
    <w:rsid w:val="00215751"/>
    <w:rsid w:val="0021689A"/>
    <w:rsid w:val="00216A6C"/>
    <w:rsid w:val="0021780D"/>
    <w:rsid w:val="002220EB"/>
    <w:rsid w:val="00223314"/>
    <w:rsid w:val="002233CB"/>
    <w:rsid w:val="002235BC"/>
    <w:rsid w:val="002235EB"/>
    <w:rsid w:val="00225C52"/>
    <w:rsid w:val="00226A6A"/>
    <w:rsid w:val="002278B0"/>
    <w:rsid w:val="0023022B"/>
    <w:rsid w:val="002307FA"/>
    <w:rsid w:val="00232809"/>
    <w:rsid w:val="00233343"/>
    <w:rsid w:val="0023396C"/>
    <w:rsid w:val="00235D60"/>
    <w:rsid w:val="0023653E"/>
    <w:rsid w:val="0023680F"/>
    <w:rsid w:val="00236B6C"/>
    <w:rsid w:val="0023714C"/>
    <w:rsid w:val="0024005B"/>
    <w:rsid w:val="00240504"/>
    <w:rsid w:val="002408E3"/>
    <w:rsid w:val="002412C7"/>
    <w:rsid w:val="00241596"/>
    <w:rsid w:val="00241766"/>
    <w:rsid w:val="00241E7F"/>
    <w:rsid w:val="002447A8"/>
    <w:rsid w:val="002500B2"/>
    <w:rsid w:val="00250467"/>
    <w:rsid w:val="002518C6"/>
    <w:rsid w:val="00253164"/>
    <w:rsid w:val="002559A7"/>
    <w:rsid w:val="00255D95"/>
    <w:rsid w:val="00256B29"/>
    <w:rsid w:val="00256FB2"/>
    <w:rsid w:val="00262C5F"/>
    <w:rsid w:val="0026386E"/>
    <w:rsid w:val="00264773"/>
    <w:rsid w:val="002647D2"/>
    <w:rsid w:val="0026594F"/>
    <w:rsid w:val="00265C08"/>
    <w:rsid w:val="00267D05"/>
    <w:rsid w:val="00267F05"/>
    <w:rsid w:val="0027087C"/>
    <w:rsid w:val="00270E85"/>
    <w:rsid w:val="002710D3"/>
    <w:rsid w:val="002717B1"/>
    <w:rsid w:val="0027198C"/>
    <w:rsid w:val="0027223E"/>
    <w:rsid w:val="00273704"/>
    <w:rsid w:val="00273F01"/>
    <w:rsid w:val="002743BB"/>
    <w:rsid w:val="00275667"/>
    <w:rsid w:val="0027601F"/>
    <w:rsid w:val="00276A4E"/>
    <w:rsid w:val="00276DE6"/>
    <w:rsid w:val="00277975"/>
    <w:rsid w:val="00277F2A"/>
    <w:rsid w:val="0028013D"/>
    <w:rsid w:val="002808C5"/>
    <w:rsid w:val="00280F8E"/>
    <w:rsid w:val="00281947"/>
    <w:rsid w:val="00281CA7"/>
    <w:rsid w:val="002829B6"/>
    <w:rsid w:val="00282B81"/>
    <w:rsid w:val="002835EE"/>
    <w:rsid w:val="00286C69"/>
    <w:rsid w:val="00287222"/>
    <w:rsid w:val="002877C6"/>
    <w:rsid w:val="002878D5"/>
    <w:rsid w:val="00292311"/>
    <w:rsid w:val="00293A03"/>
    <w:rsid w:val="00293BDD"/>
    <w:rsid w:val="00293E89"/>
    <w:rsid w:val="00294EF9"/>
    <w:rsid w:val="002954F4"/>
    <w:rsid w:val="00295FB7"/>
    <w:rsid w:val="00296430"/>
    <w:rsid w:val="002970D7"/>
    <w:rsid w:val="002A1D04"/>
    <w:rsid w:val="002A2125"/>
    <w:rsid w:val="002A4858"/>
    <w:rsid w:val="002A4ABB"/>
    <w:rsid w:val="002A505C"/>
    <w:rsid w:val="002A5D2E"/>
    <w:rsid w:val="002B006C"/>
    <w:rsid w:val="002B0562"/>
    <w:rsid w:val="002B135A"/>
    <w:rsid w:val="002B5BD0"/>
    <w:rsid w:val="002B6995"/>
    <w:rsid w:val="002B7F73"/>
    <w:rsid w:val="002C0318"/>
    <w:rsid w:val="002C0831"/>
    <w:rsid w:val="002C0F6C"/>
    <w:rsid w:val="002C18F5"/>
    <w:rsid w:val="002C2159"/>
    <w:rsid w:val="002C2F6B"/>
    <w:rsid w:val="002C3A48"/>
    <w:rsid w:val="002C4CB9"/>
    <w:rsid w:val="002C5154"/>
    <w:rsid w:val="002C7469"/>
    <w:rsid w:val="002D004E"/>
    <w:rsid w:val="002D2093"/>
    <w:rsid w:val="002D20AA"/>
    <w:rsid w:val="002D2761"/>
    <w:rsid w:val="002D2FF1"/>
    <w:rsid w:val="002D32F5"/>
    <w:rsid w:val="002D3CD0"/>
    <w:rsid w:val="002D4365"/>
    <w:rsid w:val="002D462D"/>
    <w:rsid w:val="002D4753"/>
    <w:rsid w:val="002D4A1C"/>
    <w:rsid w:val="002D554E"/>
    <w:rsid w:val="002D57E9"/>
    <w:rsid w:val="002D5D61"/>
    <w:rsid w:val="002D64AB"/>
    <w:rsid w:val="002D657D"/>
    <w:rsid w:val="002E0863"/>
    <w:rsid w:val="002E0FFE"/>
    <w:rsid w:val="002E21F7"/>
    <w:rsid w:val="002E282A"/>
    <w:rsid w:val="002E2A74"/>
    <w:rsid w:val="002E2BDF"/>
    <w:rsid w:val="002E2F6C"/>
    <w:rsid w:val="002E3198"/>
    <w:rsid w:val="002E39DC"/>
    <w:rsid w:val="002E3FE1"/>
    <w:rsid w:val="002E417F"/>
    <w:rsid w:val="002E4271"/>
    <w:rsid w:val="002E4D39"/>
    <w:rsid w:val="002E50FF"/>
    <w:rsid w:val="002E5281"/>
    <w:rsid w:val="002E67A0"/>
    <w:rsid w:val="002E7857"/>
    <w:rsid w:val="002F06DE"/>
    <w:rsid w:val="002F1945"/>
    <w:rsid w:val="002F3D0C"/>
    <w:rsid w:val="002F3D26"/>
    <w:rsid w:val="002F42FA"/>
    <w:rsid w:val="002F5DD7"/>
    <w:rsid w:val="002F6164"/>
    <w:rsid w:val="002F6B9A"/>
    <w:rsid w:val="0030005F"/>
    <w:rsid w:val="003008B7"/>
    <w:rsid w:val="00300FC1"/>
    <w:rsid w:val="00302799"/>
    <w:rsid w:val="0030287C"/>
    <w:rsid w:val="00302D6D"/>
    <w:rsid w:val="003040BF"/>
    <w:rsid w:val="00304608"/>
    <w:rsid w:val="00305124"/>
    <w:rsid w:val="00305B21"/>
    <w:rsid w:val="00305FB8"/>
    <w:rsid w:val="0030630B"/>
    <w:rsid w:val="00306AA2"/>
    <w:rsid w:val="00306CAF"/>
    <w:rsid w:val="00307737"/>
    <w:rsid w:val="00307D00"/>
    <w:rsid w:val="00310999"/>
    <w:rsid w:val="00313673"/>
    <w:rsid w:val="00316FE8"/>
    <w:rsid w:val="00321E2B"/>
    <w:rsid w:val="00322DA0"/>
    <w:rsid w:val="003237BA"/>
    <w:rsid w:val="003244CD"/>
    <w:rsid w:val="00324E9A"/>
    <w:rsid w:val="00326DDB"/>
    <w:rsid w:val="003272B4"/>
    <w:rsid w:val="00327CCC"/>
    <w:rsid w:val="00327D97"/>
    <w:rsid w:val="003301B9"/>
    <w:rsid w:val="00331F93"/>
    <w:rsid w:val="00334D8C"/>
    <w:rsid w:val="00336DA7"/>
    <w:rsid w:val="00337293"/>
    <w:rsid w:val="003419FE"/>
    <w:rsid w:val="0034281D"/>
    <w:rsid w:val="00342AC8"/>
    <w:rsid w:val="00342ADF"/>
    <w:rsid w:val="003435C2"/>
    <w:rsid w:val="0034561F"/>
    <w:rsid w:val="00347085"/>
    <w:rsid w:val="00350012"/>
    <w:rsid w:val="003501A7"/>
    <w:rsid w:val="00351233"/>
    <w:rsid w:val="00351876"/>
    <w:rsid w:val="0035237C"/>
    <w:rsid w:val="00352695"/>
    <w:rsid w:val="00352771"/>
    <w:rsid w:val="0035286E"/>
    <w:rsid w:val="00353561"/>
    <w:rsid w:val="00355BFE"/>
    <w:rsid w:val="00355DF7"/>
    <w:rsid w:val="0035699E"/>
    <w:rsid w:val="003603D7"/>
    <w:rsid w:val="00361572"/>
    <w:rsid w:val="00361815"/>
    <w:rsid w:val="00361C79"/>
    <w:rsid w:val="00361E85"/>
    <w:rsid w:val="00362208"/>
    <w:rsid w:val="00362897"/>
    <w:rsid w:val="00362B16"/>
    <w:rsid w:val="003634B0"/>
    <w:rsid w:val="003634C8"/>
    <w:rsid w:val="00367333"/>
    <w:rsid w:val="00370202"/>
    <w:rsid w:val="00370208"/>
    <w:rsid w:val="003704A5"/>
    <w:rsid w:val="00370F35"/>
    <w:rsid w:val="00372901"/>
    <w:rsid w:val="00372A0F"/>
    <w:rsid w:val="00373179"/>
    <w:rsid w:val="00373B48"/>
    <w:rsid w:val="003741F9"/>
    <w:rsid w:val="0037629B"/>
    <w:rsid w:val="003765F2"/>
    <w:rsid w:val="00377354"/>
    <w:rsid w:val="00377846"/>
    <w:rsid w:val="00377D20"/>
    <w:rsid w:val="003801A2"/>
    <w:rsid w:val="0038240A"/>
    <w:rsid w:val="0038281A"/>
    <w:rsid w:val="00382EDB"/>
    <w:rsid w:val="00383441"/>
    <w:rsid w:val="00383924"/>
    <w:rsid w:val="003851D1"/>
    <w:rsid w:val="003854FF"/>
    <w:rsid w:val="00385E05"/>
    <w:rsid w:val="00386410"/>
    <w:rsid w:val="003866F1"/>
    <w:rsid w:val="00386BFE"/>
    <w:rsid w:val="00387270"/>
    <w:rsid w:val="003876BC"/>
    <w:rsid w:val="00390C20"/>
    <w:rsid w:val="00390C33"/>
    <w:rsid w:val="003912AF"/>
    <w:rsid w:val="0039219B"/>
    <w:rsid w:val="0039270D"/>
    <w:rsid w:val="00393E79"/>
    <w:rsid w:val="00394ACF"/>
    <w:rsid w:val="00394C99"/>
    <w:rsid w:val="0039530F"/>
    <w:rsid w:val="00396CF0"/>
    <w:rsid w:val="003975A4"/>
    <w:rsid w:val="00397E59"/>
    <w:rsid w:val="003A0880"/>
    <w:rsid w:val="003A1576"/>
    <w:rsid w:val="003A3CF9"/>
    <w:rsid w:val="003A5B5D"/>
    <w:rsid w:val="003A6A05"/>
    <w:rsid w:val="003B04D4"/>
    <w:rsid w:val="003B2CCC"/>
    <w:rsid w:val="003B37F7"/>
    <w:rsid w:val="003B3FBD"/>
    <w:rsid w:val="003B4105"/>
    <w:rsid w:val="003B66CF"/>
    <w:rsid w:val="003B72CA"/>
    <w:rsid w:val="003C0CDC"/>
    <w:rsid w:val="003C0DAB"/>
    <w:rsid w:val="003C1424"/>
    <w:rsid w:val="003C2E37"/>
    <w:rsid w:val="003C3071"/>
    <w:rsid w:val="003C3442"/>
    <w:rsid w:val="003C3C9C"/>
    <w:rsid w:val="003C575B"/>
    <w:rsid w:val="003C58F3"/>
    <w:rsid w:val="003C5EC4"/>
    <w:rsid w:val="003C5FDC"/>
    <w:rsid w:val="003C69BA"/>
    <w:rsid w:val="003C72B3"/>
    <w:rsid w:val="003C781D"/>
    <w:rsid w:val="003D0E69"/>
    <w:rsid w:val="003D23CE"/>
    <w:rsid w:val="003D24A4"/>
    <w:rsid w:val="003D287F"/>
    <w:rsid w:val="003D3AED"/>
    <w:rsid w:val="003D45C9"/>
    <w:rsid w:val="003D481C"/>
    <w:rsid w:val="003D4B2D"/>
    <w:rsid w:val="003D56B8"/>
    <w:rsid w:val="003D5F04"/>
    <w:rsid w:val="003D6239"/>
    <w:rsid w:val="003D63F5"/>
    <w:rsid w:val="003D78EE"/>
    <w:rsid w:val="003D7C68"/>
    <w:rsid w:val="003E000F"/>
    <w:rsid w:val="003E10F2"/>
    <w:rsid w:val="003E2521"/>
    <w:rsid w:val="003E4ABD"/>
    <w:rsid w:val="003E518B"/>
    <w:rsid w:val="003E61C9"/>
    <w:rsid w:val="003E658A"/>
    <w:rsid w:val="003E7204"/>
    <w:rsid w:val="003E7633"/>
    <w:rsid w:val="003F00E9"/>
    <w:rsid w:val="003F170B"/>
    <w:rsid w:val="003F1CE9"/>
    <w:rsid w:val="003F201E"/>
    <w:rsid w:val="003F2B00"/>
    <w:rsid w:val="003F4EF4"/>
    <w:rsid w:val="003F4F1E"/>
    <w:rsid w:val="003F5114"/>
    <w:rsid w:val="003F5BD9"/>
    <w:rsid w:val="003F6650"/>
    <w:rsid w:val="003F78CF"/>
    <w:rsid w:val="00402287"/>
    <w:rsid w:val="0040233B"/>
    <w:rsid w:val="004026C9"/>
    <w:rsid w:val="004028DB"/>
    <w:rsid w:val="004036BD"/>
    <w:rsid w:val="00404190"/>
    <w:rsid w:val="004045F9"/>
    <w:rsid w:val="004051EB"/>
    <w:rsid w:val="00405A44"/>
    <w:rsid w:val="004064BC"/>
    <w:rsid w:val="00411D25"/>
    <w:rsid w:val="00412019"/>
    <w:rsid w:val="00412AD6"/>
    <w:rsid w:val="00414624"/>
    <w:rsid w:val="00414A88"/>
    <w:rsid w:val="00414CB8"/>
    <w:rsid w:val="004167E4"/>
    <w:rsid w:val="00416983"/>
    <w:rsid w:val="004170CD"/>
    <w:rsid w:val="004170FD"/>
    <w:rsid w:val="004175CB"/>
    <w:rsid w:val="004178E0"/>
    <w:rsid w:val="004200B2"/>
    <w:rsid w:val="004200BA"/>
    <w:rsid w:val="00422781"/>
    <w:rsid w:val="00422D72"/>
    <w:rsid w:val="0042338A"/>
    <w:rsid w:val="004234B7"/>
    <w:rsid w:val="004237BB"/>
    <w:rsid w:val="00423C36"/>
    <w:rsid w:val="004245B1"/>
    <w:rsid w:val="004249C1"/>
    <w:rsid w:val="0042579C"/>
    <w:rsid w:val="00426739"/>
    <w:rsid w:val="0042770E"/>
    <w:rsid w:val="00427C6C"/>
    <w:rsid w:val="00430107"/>
    <w:rsid w:val="00431353"/>
    <w:rsid w:val="004319B7"/>
    <w:rsid w:val="004332F7"/>
    <w:rsid w:val="004355DF"/>
    <w:rsid w:val="00435D55"/>
    <w:rsid w:val="00436504"/>
    <w:rsid w:val="00437E22"/>
    <w:rsid w:val="00437E6E"/>
    <w:rsid w:val="00440A4C"/>
    <w:rsid w:val="004410D0"/>
    <w:rsid w:val="004412D8"/>
    <w:rsid w:val="00441A3C"/>
    <w:rsid w:val="004427FA"/>
    <w:rsid w:val="0044320F"/>
    <w:rsid w:val="0044614C"/>
    <w:rsid w:val="0044635F"/>
    <w:rsid w:val="00446E73"/>
    <w:rsid w:val="00447DB8"/>
    <w:rsid w:val="00451235"/>
    <w:rsid w:val="00451B69"/>
    <w:rsid w:val="00452F7E"/>
    <w:rsid w:val="00453679"/>
    <w:rsid w:val="00453AE1"/>
    <w:rsid w:val="0046128A"/>
    <w:rsid w:val="00461CC4"/>
    <w:rsid w:val="004630BA"/>
    <w:rsid w:val="00463934"/>
    <w:rsid w:val="00463DDF"/>
    <w:rsid w:val="0046490D"/>
    <w:rsid w:val="00465CA0"/>
    <w:rsid w:val="00466029"/>
    <w:rsid w:val="0046616A"/>
    <w:rsid w:val="004668FC"/>
    <w:rsid w:val="00466B3E"/>
    <w:rsid w:val="0046724A"/>
    <w:rsid w:val="00467D58"/>
    <w:rsid w:val="00470A12"/>
    <w:rsid w:val="00471532"/>
    <w:rsid w:val="00471AE4"/>
    <w:rsid w:val="00471B78"/>
    <w:rsid w:val="00471E25"/>
    <w:rsid w:val="004726D3"/>
    <w:rsid w:val="004728AB"/>
    <w:rsid w:val="0047328B"/>
    <w:rsid w:val="004738FF"/>
    <w:rsid w:val="00475451"/>
    <w:rsid w:val="004756F0"/>
    <w:rsid w:val="004757F8"/>
    <w:rsid w:val="004769B4"/>
    <w:rsid w:val="00477883"/>
    <w:rsid w:val="00480DE3"/>
    <w:rsid w:val="0048161B"/>
    <w:rsid w:val="00481621"/>
    <w:rsid w:val="00481B51"/>
    <w:rsid w:val="00482963"/>
    <w:rsid w:val="00482F57"/>
    <w:rsid w:val="00483113"/>
    <w:rsid w:val="00483746"/>
    <w:rsid w:val="00484053"/>
    <w:rsid w:val="0048459D"/>
    <w:rsid w:val="0048471B"/>
    <w:rsid w:val="00484E92"/>
    <w:rsid w:val="00485597"/>
    <w:rsid w:val="00486ACD"/>
    <w:rsid w:val="00486C2A"/>
    <w:rsid w:val="00487393"/>
    <w:rsid w:val="00490750"/>
    <w:rsid w:val="00490CE1"/>
    <w:rsid w:val="0049299F"/>
    <w:rsid w:val="00492B0C"/>
    <w:rsid w:val="00492E32"/>
    <w:rsid w:val="0049347A"/>
    <w:rsid w:val="0049489F"/>
    <w:rsid w:val="00494F8B"/>
    <w:rsid w:val="00495198"/>
    <w:rsid w:val="00495550"/>
    <w:rsid w:val="00495F4E"/>
    <w:rsid w:val="00497087"/>
    <w:rsid w:val="004A10C5"/>
    <w:rsid w:val="004A1BDF"/>
    <w:rsid w:val="004A1EBF"/>
    <w:rsid w:val="004A2635"/>
    <w:rsid w:val="004A2AAD"/>
    <w:rsid w:val="004A410C"/>
    <w:rsid w:val="004A7DD9"/>
    <w:rsid w:val="004B16D9"/>
    <w:rsid w:val="004B2036"/>
    <w:rsid w:val="004B25D5"/>
    <w:rsid w:val="004B2E94"/>
    <w:rsid w:val="004B5FE0"/>
    <w:rsid w:val="004B6953"/>
    <w:rsid w:val="004B6B51"/>
    <w:rsid w:val="004B72AC"/>
    <w:rsid w:val="004B7FA0"/>
    <w:rsid w:val="004C1749"/>
    <w:rsid w:val="004C2B73"/>
    <w:rsid w:val="004C45EF"/>
    <w:rsid w:val="004C558B"/>
    <w:rsid w:val="004C6E2F"/>
    <w:rsid w:val="004C70B0"/>
    <w:rsid w:val="004C77D9"/>
    <w:rsid w:val="004C7DBA"/>
    <w:rsid w:val="004D0BD6"/>
    <w:rsid w:val="004D14D7"/>
    <w:rsid w:val="004D179B"/>
    <w:rsid w:val="004D1E7C"/>
    <w:rsid w:val="004D24EA"/>
    <w:rsid w:val="004D42B0"/>
    <w:rsid w:val="004D485F"/>
    <w:rsid w:val="004D51E5"/>
    <w:rsid w:val="004D5675"/>
    <w:rsid w:val="004D5DCA"/>
    <w:rsid w:val="004E0725"/>
    <w:rsid w:val="004E09E3"/>
    <w:rsid w:val="004E0A53"/>
    <w:rsid w:val="004E11D4"/>
    <w:rsid w:val="004E2979"/>
    <w:rsid w:val="004E3242"/>
    <w:rsid w:val="004E45FD"/>
    <w:rsid w:val="004E4708"/>
    <w:rsid w:val="004E5048"/>
    <w:rsid w:val="004E601E"/>
    <w:rsid w:val="004E6596"/>
    <w:rsid w:val="004E7510"/>
    <w:rsid w:val="004E79B2"/>
    <w:rsid w:val="004E7E15"/>
    <w:rsid w:val="004F0219"/>
    <w:rsid w:val="004F05B6"/>
    <w:rsid w:val="004F0EB4"/>
    <w:rsid w:val="004F2052"/>
    <w:rsid w:val="004F41E1"/>
    <w:rsid w:val="004F4895"/>
    <w:rsid w:val="004F6127"/>
    <w:rsid w:val="004F77D1"/>
    <w:rsid w:val="0050178D"/>
    <w:rsid w:val="00501FC6"/>
    <w:rsid w:val="0050584C"/>
    <w:rsid w:val="00506497"/>
    <w:rsid w:val="00506B05"/>
    <w:rsid w:val="00507BBF"/>
    <w:rsid w:val="00511CE1"/>
    <w:rsid w:val="00512A94"/>
    <w:rsid w:val="0051389D"/>
    <w:rsid w:val="0051701C"/>
    <w:rsid w:val="00517C81"/>
    <w:rsid w:val="00520A6C"/>
    <w:rsid w:val="00520CF8"/>
    <w:rsid w:val="00520ED5"/>
    <w:rsid w:val="00522660"/>
    <w:rsid w:val="00523F7C"/>
    <w:rsid w:val="00524DEB"/>
    <w:rsid w:val="00525F52"/>
    <w:rsid w:val="00530702"/>
    <w:rsid w:val="00532370"/>
    <w:rsid w:val="00532FD4"/>
    <w:rsid w:val="00533BDB"/>
    <w:rsid w:val="00535023"/>
    <w:rsid w:val="00535AD7"/>
    <w:rsid w:val="00536596"/>
    <w:rsid w:val="005377C1"/>
    <w:rsid w:val="00537B54"/>
    <w:rsid w:val="0054141D"/>
    <w:rsid w:val="00541601"/>
    <w:rsid w:val="00541F5B"/>
    <w:rsid w:val="00542220"/>
    <w:rsid w:val="005438F3"/>
    <w:rsid w:val="005450B4"/>
    <w:rsid w:val="005452FD"/>
    <w:rsid w:val="00546101"/>
    <w:rsid w:val="00546A04"/>
    <w:rsid w:val="00546C5C"/>
    <w:rsid w:val="00547413"/>
    <w:rsid w:val="00547E72"/>
    <w:rsid w:val="00550131"/>
    <w:rsid w:val="005514B9"/>
    <w:rsid w:val="0055161B"/>
    <w:rsid w:val="00551630"/>
    <w:rsid w:val="00552A33"/>
    <w:rsid w:val="00552DD9"/>
    <w:rsid w:val="005530FF"/>
    <w:rsid w:val="005535DB"/>
    <w:rsid w:val="00553C90"/>
    <w:rsid w:val="00554043"/>
    <w:rsid w:val="005543A5"/>
    <w:rsid w:val="00554AA8"/>
    <w:rsid w:val="00555042"/>
    <w:rsid w:val="00555161"/>
    <w:rsid w:val="00555975"/>
    <w:rsid w:val="005561A3"/>
    <w:rsid w:val="00556F12"/>
    <w:rsid w:val="005575E3"/>
    <w:rsid w:val="0056027A"/>
    <w:rsid w:val="005606C8"/>
    <w:rsid w:val="00560E1B"/>
    <w:rsid w:val="005631DB"/>
    <w:rsid w:val="0056519D"/>
    <w:rsid w:val="00565941"/>
    <w:rsid w:val="00566D1A"/>
    <w:rsid w:val="005679AD"/>
    <w:rsid w:val="00570838"/>
    <w:rsid w:val="00570AAA"/>
    <w:rsid w:val="00570E0C"/>
    <w:rsid w:val="0057223A"/>
    <w:rsid w:val="00572329"/>
    <w:rsid w:val="00572FFF"/>
    <w:rsid w:val="00573109"/>
    <w:rsid w:val="005738C1"/>
    <w:rsid w:val="00573E5B"/>
    <w:rsid w:val="005745D2"/>
    <w:rsid w:val="00574C38"/>
    <w:rsid w:val="00575295"/>
    <w:rsid w:val="005759AE"/>
    <w:rsid w:val="00580F32"/>
    <w:rsid w:val="0058139D"/>
    <w:rsid w:val="0058151E"/>
    <w:rsid w:val="005830BA"/>
    <w:rsid w:val="005838BE"/>
    <w:rsid w:val="00583BE3"/>
    <w:rsid w:val="005854A6"/>
    <w:rsid w:val="00585C81"/>
    <w:rsid w:val="005870B2"/>
    <w:rsid w:val="005877A7"/>
    <w:rsid w:val="00592E50"/>
    <w:rsid w:val="0059372A"/>
    <w:rsid w:val="00593BAC"/>
    <w:rsid w:val="00594238"/>
    <w:rsid w:val="00594B22"/>
    <w:rsid w:val="00595495"/>
    <w:rsid w:val="005956A5"/>
    <w:rsid w:val="00596922"/>
    <w:rsid w:val="0059757E"/>
    <w:rsid w:val="00597B31"/>
    <w:rsid w:val="005A0231"/>
    <w:rsid w:val="005A0E98"/>
    <w:rsid w:val="005A124A"/>
    <w:rsid w:val="005A162D"/>
    <w:rsid w:val="005A2E23"/>
    <w:rsid w:val="005A32F5"/>
    <w:rsid w:val="005A3AB1"/>
    <w:rsid w:val="005A4B22"/>
    <w:rsid w:val="005A5E7B"/>
    <w:rsid w:val="005A699B"/>
    <w:rsid w:val="005B1651"/>
    <w:rsid w:val="005B1F58"/>
    <w:rsid w:val="005B4348"/>
    <w:rsid w:val="005B4857"/>
    <w:rsid w:val="005B4D17"/>
    <w:rsid w:val="005B584C"/>
    <w:rsid w:val="005B7D5B"/>
    <w:rsid w:val="005C0F92"/>
    <w:rsid w:val="005C0FBA"/>
    <w:rsid w:val="005C1B73"/>
    <w:rsid w:val="005C1EA9"/>
    <w:rsid w:val="005C3678"/>
    <w:rsid w:val="005C38A4"/>
    <w:rsid w:val="005C4F1B"/>
    <w:rsid w:val="005C50D5"/>
    <w:rsid w:val="005C59A0"/>
    <w:rsid w:val="005C695F"/>
    <w:rsid w:val="005C7966"/>
    <w:rsid w:val="005C7FCB"/>
    <w:rsid w:val="005D0686"/>
    <w:rsid w:val="005D1F80"/>
    <w:rsid w:val="005D2F95"/>
    <w:rsid w:val="005D2FBC"/>
    <w:rsid w:val="005D30EC"/>
    <w:rsid w:val="005D37E4"/>
    <w:rsid w:val="005D3E43"/>
    <w:rsid w:val="005D4A90"/>
    <w:rsid w:val="005D4EF8"/>
    <w:rsid w:val="005D51A6"/>
    <w:rsid w:val="005D64A3"/>
    <w:rsid w:val="005D6ABC"/>
    <w:rsid w:val="005D6DE2"/>
    <w:rsid w:val="005E0351"/>
    <w:rsid w:val="005E0E98"/>
    <w:rsid w:val="005E19D9"/>
    <w:rsid w:val="005E21B6"/>
    <w:rsid w:val="005E2820"/>
    <w:rsid w:val="005E3232"/>
    <w:rsid w:val="005E3A9A"/>
    <w:rsid w:val="005E45CB"/>
    <w:rsid w:val="005E530E"/>
    <w:rsid w:val="005E719D"/>
    <w:rsid w:val="005E71C7"/>
    <w:rsid w:val="005E7A41"/>
    <w:rsid w:val="005F04A9"/>
    <w:rsid w:val="005F32D3"/>
    <w:rsid w:val="00600743"/>
    <w:rsid w:val="00600BC3"/>
    <w:rsid w:val="006025F2"/>
    <w:rsid w:val="00602C2E"/>
    <w:rsid w:val="00603248"/>
    <w:rsid w:val="006033D9"/>
    <w:rsid w:val="00603FD8"/>
    <w:rsid w:val="00604D89"/>
    <w:rsid w:val="00605A20"/>
    <w:rsid w:val="00605D19"/>
    <w:rsid w:val="00606898"/>
    <w:rsid w:val="00606DB9"/>
    <w:rsid w:val="00607EC1"/>
    <w:rsid w:val="00607F3A"/>
    <w:rsid w:val="006100B4"/>
    <w:rsid w:val="00610C14"/>
    <w:rsid w:val="006116C3"/>
    <w:rsid w:val="006120BE"/>
    <w:rsid w:val="0061459E"/>
    <w:rsid w:val="00614F44"/>
    <w:rsid w:val="006153F7"/>
    <w:rsid w:val="00615B8A"/>
    <w:rsid w:val="00616341"/>
    <w:rsid w:val="00616742"/>
    <w:rsid w:val="00620F13"/>
    <w:rsid w:val="0062195F"/>
    <w:rsid w:val="00621D60"/>
    <w:rsid w:val="0062311D"/>
    <w:rsid w:val="006240F7"/>
    <w:rsid w:val="0062616D"/>
    <w:rsid w:val="00630B1A"/>
    <w:rsid w:val="00630C6A"/>
    <w:rsid w:val="0063114B"/>
    <w:rsid w:val="00632BDE"/>
    <w:rsid w:val="0063302C"/>
    <w:rsid w:val="006332D9"/>
    <w:rsid w:val="00633ABD"/>
    <w:rsid w:val="006340F8"/>
    <w:rsid w:val="00634176"/>
    <w:rsid w:val="0063507A"/>
    <w:rsid w:val="00636600"/>
    <w:rsid w:val="006369FD"/>
    <w:rsid w:val="0063796F"/>
    <w:rsid w:val="00637BDB"/>
    <w:rsid w:val="00637E37"/>
    <w:rsid w:val="00640806"/>
    <w:rsid w:val="0064188E"/>
    <w:rsid w:val="00641975"/>
    <w:rsid w:val="00641D73"/>
    <w:rsid w:val="00641EC4"/>
    <w:rsid w:val="00642207"/>
    <w:rsid w:val="006425B1"/>
    <w:rsid w:val="00643131"/>
    <w:rsid w:val="0064358F"/>
    <w:rsid w:val="00644D2B"/>
    <w:rsid w:val="00650C06"/>
    <w:rsid w:val="00652C0A"/>
    <w:rsid w:val="00652C56"/>
    <w:rsid w:val="00652E7B"/>
    <w:rsid w:val="00653EB1"/>
    <w:rsid w:val="006547AC"/>
    <w:rsid w:val="00655A41"/>
    <w:rsid w:val="0065602A"/>
    <w:rsid w:val="00656604"/>
    <w:rsid w:val="006570C1"/>
    <w:rsid w:val="006571A0"/>
    <w:rsid w:val="006623AC"/>
    <w:rsid w:val="00662E1E"/>
    <w:rsid w:val="0066415F"/>
    <w:rsid w:val="0066462F"/>
    <w:rsid w:val="006646EB"/>
    <w:rsid w:val="00665A8E"/>
    <w:rsid w:val="00666376"/>
    <w:rsid w:val="00666E6C"/>
    <w:rsid w:val="00666F88"/>
    <w:rsid w:val="00667546"/>
    <w:rsid w:val="00667802"/>
    <w:rsid w:val="00670E04"/>
    <w:rsid w:val="00670F1E"/>
    <w:rsid w:val="006711CA"/>
    <w:rsid w:val="00671F6F"/>
    <w:rsid w:val="006724A8"/>
    <w:rsid w:val="00672831"/>
    <w:rsid w:val="0067315D"/>
    <w:rsid w:val="006738E7"/>
    <w:rsid w:val="006744AF"/>
    <w:rsid w:val="006750AD"/>
    <w:rsid w:val="0067533A"/>
    <w:rsid w:val="00675972"/>
    <w:rsid w:val="00675F1A"/>
    <w:rsid w:val="006765E0"/>
    <w:rsid w:val="00676C40"/>
    <w:rsid w:val="00680508"/>
    <w:rsid w:val="00682067"/>
    <w:rsid w:val="00682E49"/>
    <w:rsid w:val="00682EA1"/>
    <w:rsid w:val="00683299"/>
    <w:rsid w:val="006838B5"/>
    <w:rsid w:val="00683BF4"/>
    <w:rsid w:val="00684EE4"/>
    <w:rsid w:val="00685EF9"/>
    <w:rsid w:val="006925C9"/>
    <w:rsid w:val="00692BF3"/>
    <w:rsid w:val="0069319C"/>
    <w:rsid w:val="00693549"/>
    <w:rsid w:val="006936B8"/>
    <w:rsid w:val="0069561E"/>
    <w:rsid w:val="006958DB"/>
    <w:rsid w:val="00695E03"/>
    <w:rsid w:val="00696B4C"/>
    <w:rsid w:val="00697D37"/>
    <w:rsid w:val="00697FB7"/>
    <w:rsid w:val="006A02F0"/>
    <w:rsid w:val="006A0FAB"/>
    <w:rsid w:val="006A11A9"/>
    <w:rsid w:val="006A288C"/>
    <w:rsid w:val="006A2EF7"/>
    <w:rsid w:val="006A4268"/>
    <w:rsid w:val="006A4380"/>
    <w:rsid w:val="006A48CD"/>
    <w:rsid w:val="006A6A29"/>
    <w:rsid w:val="006A7852"/>
    <w:rsid w:val="006B0838"/>
    <w:rsid w:val="006B0BAF"/>
    <w:rsid w:val="006B1583"/>
    <w:rsid w:val="006B21A5"/>
    <w:rsid w:val="006B36B9"/>
    <w:rsid w:val="006B3F0D"/>
    <w:rsid w:val="006B4844"/>
    <w:rsid w:val="006B4C8A"/>
    <w:rsid w:val="006B636F"/>
    <w:rsid w:val="006B6A02"/>
    <w:rsid w:val="006B706B"/>
    <w:rsid w:val="006B76AE"/>
    <w:rsid w:val="006C01B1"/>
    <w:rsid w:val="006C0466"/>
    <w:rsid w:val="006C1BD2"/>
    <w:rsid w:val="006C1C09"/>
    <w:rsid w:val="006C2B05"/>
    <w:rsid w:val="006C2DF3"/>
    <w:rsid w:val="006C2E44"/>
    <w:rsid w:val="006C3058"/>
    <w:rsid w:val="006C40A1"/>
    <w:rsid w:val="006C42E7"/>
    <w:rsid w:val="006C4FE5"/>
    <w:rsid w:val="006C517D"/>
    <w:rsid w:val="006C5C58"/>
    <w:rsid w:val="006C7649"/>
    <w:rsid w:val="006D0C47"/>
    <w:rsid w:val="006D13AC"/>
    <w:rsid w:val="006D143D"/>
    <w:rsid w:val="006D3DA0"/>
    <w:rsid w:val="006D466D"/>
    <w:rsid w:val="006D469A"/>
    <w:rsid w:val="006D5C84"/>
    <w:rsid w:val="006D648C"/>
    <w:rsid w:val="006D6537"/>
    <w:rsid w:val="006D7848"/>
    <w:rsid w:val="006E0EB4"/>
    <w:rsid w:val="006E1B85"/>
    <w:rsid w:val="006E3B2A"/>
    <w:rsid w:val="006E415B"/>
    <w:rsid w:val="006E50A6"/>
    <w:rsid w:val="006E6004"/>
    <w:rsid w:val="006E7D49"/>
    <w:rsid w:val="006F0D6C"/>
    <w:rsid w:val="006F0DB4"/>
    <w:rsid w:val="006F181D"/>
    <w:rsid w:val="006F2027"/>
    <w:rsid w:val="006F27F0"/>
    <w:rsid w:val="006F2C5F"/>
    <w:rsid w:val="006F409A"/>
    <w:rsid w:val="006F5FAE"/>
    <w:rsid w:val="006F623A"/>
    <w:rsid w:val="006F62E8"/>
    <w:rsid w:val="006F652D"/>
    <w:rsid w:val="006F656C"/>
    <w:rsid w:val="006F6D45"/>
    <w:rsid w:val="006F7A8D"/>
    <w:rsid w:val="006F7E61"/>
    <w:rsid w:val="00700D49"/>
    <w:rsid w:val="00702978"/>
    <w:rsid w:val="0070389B"/>
    <w:rsid w:val="00704D6D"/>
    <w:rsid w:val="00705A2B"/>
    <w:rsid w:val="00705B2D"/>
    <w:rsid w:val="00705F39"/>
    <w:rsid w:val="00706360"/>
    <w:rsid w:val="00706DD9"/>
    <w:rsid w:val="00710FB5"/>
    <w:rsid w:val="0071252D"/>
    <w:rsid w:val="00712A1B"/>
    <w:rsid w:val="00713411"/>
    <w:rsid w:val="00713C54"/>
    <w:rsid w:val="00715720"/>
    <w:rsid w:val="00716955"/>
    <w:rsid w:val="00716A40"/>
    <w:rsid w:val="00717DD6"/>
    <w:rsid w:val="00717DEE"/>
    <w:rsid w:val="0072015C"/>
    <w:rsid w:val="007202F4"/>
    <w:rsid w:val="00724AB3"/>
    <w:rsid w:val="0072761B"/>
    <w:rsid w:val="007279C3"/>
    <w:rsid w:val="00727D7D"/>
    <w:rsid w:val="007301BD"/>
    <w:rsid w:val="00730533"/>
    <w:rsid w:val="00731A9B"/>
    <w:rsid w:val="00732E11"/>
    <w:rsid w:val="007348C9"/>
    <w:rsid w:val="00734EB3"/>
    <w:rsid w:val="00735489"/>
    <w:rsid w:val="0073663F"/>
    <w:rsid w:val="00736B20"/>
    <w:rsid w:val="00740A31"/>
    <w:rsid w:val="00741DFC"/>
    <w:rsid w:val="00742AC6"/>
    <w:rsid w:val="00744E73"/>
    <w:rsid w:val="0074524B"/>
    <w:rsid w:val="007477DB"/>
    <w:rsid w:val="00747ED4"/>
    <w:rsid w:val="00751533"/>
    <w:rsid w:val="007515D7"/>
    <w:rsid w:val="00751617"/>
    <w:rsid w:val="007516D4"/>
    <w:rsid w:val="00751B5C"/>
    <w:rsid w:val="0075562A"/>
    <w:rsid w:val="007559EA"/>
    <w:rsid w:val="0075617C"/>
    <w:rsid w:val="007561D4"/>
    <w:rsid w:val="00756576"/>
    <w:rsid w:val="007569DE"/>
    <w:rsid w:val="00757830"/>
    <w:rsid w:val="00761FDB"/>
    <w:rsid w:val="007629AB"/>
    <w:rsid w:val="00763098"/>
    <w:rsid w:val="00764102"/>
    <w:rsid w:val="007649F2"/>
    <w:rsid w:val="00764E4A"/>
    <w:rsid w:val="007655FA"/>
    <w:rsid w:val="0076724A"/>
    <w:rsid w:val="0077113F"/>
    <w:rsid w:val="00771856"/>
    <w:rsid w:val="00771ABE"/>
    <w:rsid w:val="00772905"/>
    <w:rsid w:val="00773DCE"/>
    <w:rsid w:val="007740B6"/>
    <w:rsid w:val="00775A77"/>
    <w:rsid w:val="00780566"/>
    <w:rsid w:val="00780B15"/>
    <w:rsid w:val="00780D12"/>
    <w:rsid w:val="00781DDF"/>
    <w:rsid w:val="00782587"/>
    <w:rsid w:val="0078270F"/>
    <w:rsid w:val="00782761"/>
    <w:rsid w:val="00782A02"/>
    <w:rsid w:val="00783155"/>
    <w:rsid w:val="0078324E"/>
    <w:rsid w:val="00785121"/>
    <w:rsid w:val="0078564C"/>
    <w:rsid w:val="00785EAB"/>
    <w:rsid w:val="00785FED"/>
    <w:rsid w:val="007864F1"/>
    <w:rsid w:val="00787232"/>
    <w:rsid w:val="00787D9D"/>
    <w:rsid w:val="00790367"/>
    <w:rsid w:val="00790C48"/>
    <w:rsid w:val="00790E31"/>
    <w:rsid w:val="0079286E"/>
    <w:rsid w:val="00792C10"/>
    <w:rsid w:val="007931F0"/>
    <w:rsid w:val="0079472E"/>
    <w:rsid w:val="00795AC9"/>
    <w:rsid w:val="007964EA"/>
    <w:rsid w:val="007A08F1"/>
    <w:rsid w:val="007A2B2F"/>
    <w:rsid w:val="007A40B2"/>
    <w:rsid w:val="007A4870"/>
    <w:rsid w:val="007A54E4"/>
    <w:rsid w:val="007A6529"/>
    <w:rsid w:val="007A6FC1"/>
    <w:rsid w:val="007B14D8"/>
    <w:rsid w:val="007B16E5"/>
    <w:rsid w:val="007B1ABD"/>
    <w:rsid w:val="007B1B82"/>
    <w:rsid w:val="007B1EB7"/>
    <w:rsid w:val="007B232A"/>
    <w:rsid w:val="007B2678"/>
    <w:rsid w:val="007B3D44"/>
    <w:rsid w:val="007B4B0C"/>
    <w:rsid w:val="007B4EB3"/>
    <w:rsid w:val="007B549A"/>
    <w:rsid w:val="007B5DEA"/>
    <w:rsid w:val="007B6D76"/>
    <w:rsid w:val="007B7272"/>
    <w:rsid w:val="007B763F"/>
    <w:rsid w:val="007B7F4C"/>
    <w:rsid w:val="007C0589"/>
    <w:rsid w:val="007C0C1F"/>
    <w:rsid w:val="007C0CA1"/>
    <w:rsid w:val="007C13F8"/>
    <w:rsid w:val="007C1989"/>
    <w:rsid w:val="007C3593"/>
    <w:rsid w:val="007C3C9F"/>
    <w:rsid w:val="007C4235"/>
    <w:rsid w:val="007C47E8"/>
    <w:rsid w:val="007D187C"/>
    <w:rsid w:val="007D2064"/>
    <w:rsid w:val="007D2DA9"/>
    <w:rsid w:val="007D37E7"/>
    <w:rsid w:val="007D479D"/>
    <w:rsid w:val="007D5289"/>
    <w:rsid w:val="007D5500"/>
    <w:rsid w:val="007D5C7F"/>
    <w:rsid w:val="007D5F85"/>
    <w:rsid w:val="007D5FC5"/>
    <w:rsid w:val="007D6E79"/>
    <w:rsid w:val="007D7AD1"/>
    <w:rsid w:val="007E0873"/>
    <w:rsid w:val="007E11E7"/>
    <w:rsid w:val="007E1CD4"/>
    <w:rsid w:val="007E1D98"/>
    <w:rsid w:val="007E3F04"/>
    <w:rsid w:val="007E42BE"/>
    <w:rsid w:val="007E67A8"/>
    <w:rsid w:val="007E7D33"/>
    <w:rsid w:val="007F0313"/>
    <w:rsid w:val="007F0598"/>
    <w:rsid w:val="007F0F58"/>
    <w:rsid w:val="007F1427"/>
    <w:rsid w:val="007F24AE"/>
    <w:rsid w:val="007F2559"/>
    <w:rsid w:val="007F4F08"/>
    <w:rsid w:val="007F5038"/>
    <w:rsid w:val="007F61DC"/>
    <w:rsid w:val="007F6270"/>
    <w:rsid w:val="007F647D"/>
    <w:rsid w:val="007F6949"/>
    <w:rsid w:val="008013F3"/>
    <w:rsid w:val="008014A9"/>
    <w:rsid w:val="00801C78"/>
    <w:rsid w:val="00801F19"/>
    <w:rsid w:val="00801F21"/>
    <w:rsid w:val="00803384"/>
    <w:rsid w:val="00803814"/>
    <w:rsid w:val="00803F25"/>
    <w:rsid w:val="00805108"/>
    <w:rsid w:val="00805350"/>
    <w:rsid w:val="00805D21"/>
    <w:rsid w:val="00807410"/>
    <w:rsid w:val="00810F9E"/>
    <w:rsid w:val="00812202"/>
    <w:rsid w:val="0081496C"/>
    <w:rsid w:val="0081568E"/>
    <w:rsid w:val="008166AA"/>
    <w:rsid w:val="0081700C"/>
    <w:rsid w:val="00820371"/>
    <w:rsid w:val="00820412"/>
    <w:rsid w:val="008226E5"/>
    <w:rsid w:val="00823A31"/>
    <w:rsid w:val="00824FB1"/>
    <w:rsid w:val="008256F1"/>
    <w:rsid w:val="00825C82"/>
    <w:rsid w:val="00827B1B"/>
    <w:rsid w:val="00830796"/>
    <w:rsid w:val="008314B8"/>
    <w:rsid w:val="00832A3D"/>
    <w:rsid w:val="00832C77"/>
    <w:rsid w:val="00832E30"/>
    <w:rsid w:val="00833B5C"/>
    <w:rsid w:val="008357EA"/>
    <w:rsid w:val="00836706"/>
    <w:rsid w:val="008378A6"/>
    <w:rsid w:val="00837B22"/>
    <w:rsid w:val="008411F4"/>
    <w:rsid w:val="0084179D"/>
    <w:rsid w:val="00842424"/>
    <w:rsid w:val="00842674"/>
    <w:rsid w:val="00842D6E"/>
    <w:rsid w:val="00842ECE"/>
    <w:rsid w:val="008434C1"/>
    <w:rsid w:val="008436FE"/>
    <w:rsid w:val="00843D5F"/>
    <w:rsid w:val="0084547D"/>
    <w:rsid w:val="0084651F"/>
    <w:rsid w:val="00846AB8"/>
    <w:rsid w:val="0084776F"/>
    <w:rsid w:val="00847F7A"/>
    <w:rsid w:val="00850538"/>
    <w:rsid w:val="00850786"/>
    <w:rsid w:val="00852AA3"/>
    <w:rsid w:val="00853A02"/>
    <w:rsid w:val="00853A67"/>
    <w:rsid w:val="00854668"/>
    <w:rsid w:val="0085507D"/>
    <w:rsid w:val="00855343"/>
    <w:rsid w:val="0086058A"/>
    <w:rsid w:val="0086102B"/>
    <w:rsid w:val="00862D4E"/>
    <w:rsid w:val="00864175"/>
    <w:rsid w:val="00865E6A"/>
    <w:rsid w:val="00866914"/>
    <w:rsid w:val="00867627"/>
    <w:rsid w:val="00867A65"/>
    <w:rsid w:val="00867EE1"/>
    <w:rsid w:val="00871E70"/>
    <w:rsid w:val="00874781"/>
    <w:rsid w:val="008749EA"/>
    <w:rsid w:val="00876A9A"/>
    <w:rsid w:val="00877CA4"/>
    <w:rsid w:val="00880A70"/>
    <w:rsid w:val="00880A8F"/>
    <w:rsid w:val="00880C4A"/>
    <w:rsid w:val="008815B9"/>
    <w:rsid w:val="008818A3"/>
    <w:rsid w:val="00881ACA"/>
    <w:rsid w:val="00881E70"/>
    <w:rsid w:val="008822B0"/>
    <w:rsid w:val="00882A98"/>
    <w:rsid w:val="0088523B"/>
    <w:rsid w:val="008861D2"/>
    <w:rsid w:val="0088694C"/>
    <w:rsid w:val="00886951"/>
    <w:rsid w:val="0088730B"/>
    <w:rsid w:val="008875BA"/>
    <w:rsid w:val="00887AC7"/>
    <w:rsid w:val="00887E60"/>
    <w:rsid w:val="00890DD3"/>
    <w:rsid w:val="00891B15"/>
    <w:rsid w:val="00891B46"/>
    <w:rsid w:val="00891C09"/>
    <w:rsid w:val="0089227B"/>
    <w:rsid w:val="00892A40"/>
    <w:rsid w:val="00892D03"/>
    <w:rsid w:val="008940F2"/>
    <w:rsid w:val="00894276"/>
    <w:rsid w:val="00894A99"/>
    <w:rsid w:val="0089751B"/>
    <w:rsid w:val="008A0068"/>
    <w:rsid w:val="008A00E5"/>
    <w:rsid w:val="008A12B3"/>
    <w:rsid w:val="008A12CB"/>
    <w:rsid w:val="008A1D96"/>
    <w:rsid w:val="008A1ED8"/>
    <w:rsid w:val="008A1F02"/>
    <w:rsid w:val="008A30BD"/>
    <w:rsid w:val="008A4107"/>
    <w:rsid w:val="008A4161"/>
    <w:rsid w:val="008A434A"/>
    <w:rsid w:val="008A5501"/>
    <w:rsid w:val="008A5D6B"/>
    <w:rsid w:val="008A6606"/>
    <w:rsid w:val="008A7470"/>
    <w:rsid w:val="008B18C8"/>
    <w:rsid w:val="008B2EBF"/>
    <w:rsid w:val="008B379E"/>
    <w:rsid w:val="008B4276"/>
    <w:rsid w:val="008B4D59"/>
    <w:rsid w:val="008B6DB4"/>
    <w:rsid w:val="008B70F4"/>
    <w:rsid w:val="008C19A3"/>
    <w:rsid w:val="008C306B"/>
    <w:rsid w:val="008C34D1"/>
    <w:rsid w:val="008C3A26"/>
    <w:rsid w:val="008C3A7D"/>
    <w:rsid w:val="008C3C5D"/>
    <w:rsid w:val="008C3E47"/>
    <w:rsid w:val="008C4BF7"/>
    <w:rsid w:val="008C567F"/>
    <w:rsid w:val="008C6EAC"/>
    <w:rsid w:val="008D2F25"/>
    <w:rsid w:val="008D34EE"/>
    <w:rsid w:val="008D4738"/>
    <w:rsid w:val="008D515E"/>
    <w:rsid w:val="008D5B96"/>
    <w:rsid w:val="008D6233"/>
    <w:rsid w:val="008D78A4"/>
    <w:rsid w:val="008E0A69"/>
    <w:rsid w:val="008E3BF2"/>
    <w:rsid w:val="008E421D"/>
    <w:rsid w:val="008E67EA"/>
    <w:rsid w:val="008F0F8B"/>
    <w:rsid w:val="008F1962"/>
    <w:rsid w:val="008F45B4"/>
    <w:rsid w:val="008F59B8"/>
    <w:rsid w:val="00900165"/>
    <w:rsid w:val="00900C9F"/>
    <w:rsid w:val="00901F75"/>
    <w:rsid w:val="0090280C"/>
    <w:rsid w:val="00902953"/>
    <w:rsid w:val="00903DB6"/>
    <w:rsid w:val="00904204"/>
    <w:rsid w:val="00905EE6"/>
    <w:rsid w:val="00906E73"/>
    <w:rsid w:val="00906F03"/>
    <w:rsid w:val="00907C75"/>
    <w:rsid w:val="009100C2"/>
    <w:rsid w:val="00910C24"/>
    <w:rsid w:val="009129F2"/>
    <w:rsid w:val="00913955"/>
    <w:rsid w:val="00914771"/>
    <w:rsid w:val="009162D0"/>
    <w:rsid w:val="00916F5F"/>
    <w:rsid w:val="0091785E"/>
    <w:rsid w:val="00917FB6"/>
    <w:rsid w:val="0092033B"/>
    <w:rsid w:val="00920C2C"/>
    <w:rsid w:val="00921C7A"/>
    <w:rsid w:val="00922667"/>
    <w:rsid w:val="00922D2B"/>
    <w:rsid w:val="00925395"/>
    <w:rsid w:val="00925695"/>
    <w:rsid w:val="00926988"/>
    <w:rsid w:val="009272F9"/>
    <w:rsid w:val="009278A8"/>
    <w:rsid w:val="00930661"/>
    <w:rsid w:val="00930DC6"/>
    <w:rsid w:val="00931585"/>
    <w:rsid w:val="009317C0"/>
    <w:rsid w:val="00931990"/>
    <w:rsid w:val="00932077"/>
    <w:rsid w:val="00932EFC"/>
    <w:rsid w:val="009335B0"/>
    <w:rsid w:val="009337BC"/>
    <w:rsid w:val="00933833"/>
    <w:rsid w:val="00933A14"/>
    <w:rsid w:val="009353F1"/>
    <w:rsid w:val="00936026"/>
    <w:rsid w:val="00936FF1"/>
    <w:rsid w:val="00942AC3"/>
    <w:rsid w:val="0094449A"/>
    <w:rsid w:val="009510F3"/>
    <w:rsid w:val="00951A06"/>
    <w:rsid w:val="00953E22"/>
    <w:rsid w:val="0095412E"/>
    <w:rsid w:val="00954372"/>
    <w:rsid w:val="0095468F"/>
    <w:rsid w:val="00954697"/>
    <w:rsid w:val="00954BB7"/>
    <w:rsid w:val="0095732F"/>
    <w:rsid w:val="009573CD"/>
    <w:rsid w:val="009602A7"/>
    <w:rsid w:val="0096057A"/>
    <w:rsid w:val="00960C43"/>
    <w:rsid w:val="00960F27"/>
    <w:rsid w:val="00961891"/>
    <w:rsid w:val="00961C6A"/>
    <w:rsid w:val="009624D5"/>
    <w:rsid w:val="00962E56"/>
    <w:rsid w:val="009644F7"/>
    <w:rsid w:val="00964C3E"/>
    <w:rsid w:val="00965B98"/>
    <w:rsid w:val="00966510"/>
    <w:rsid w:val="009670B6"/>
    <w:rsid w:val="009671E8"/>
    <w:rsid w:val="00967D87"/>
    <w:rsid w:val="00970D84"/>
    <w:rsid w:val="00971143"/>
    <w:rsid w:val="009712F9"/>
    <w:rsid w:val="0097383F"/>
    <w:rsid w:val="00973D83"/>
    <w:rsid w:val="0097414C"/>
    <w:rsid w:val="009742E9"/>
    <w:rsid w:val="00975140"/>
    <w:rsid w:val="00975531"/>
    <w:rsid w:val="00975D9D"/>
    <w:rsid w:val="00975DB0"/>
    <w:rsid w:val="00976B5B"/>
    <w:rsid w:val="009800B0"/>
    <w:rsid w:val="0098138C"/>
    <w:rsid w:val="00981414"/>
    <w:rsid w:val="009814C3"/>
    <w:rsid w:val="00983826"/>
    <w:rsid w:val="009841F8"/>
    <w:rsid w:val="00984206"/>
    <w:rsid w:val="00985E2B"/>
    <w:rsid w:val="0098748F"/>
    <w:rsid w:val="00990E81"/>
    <w:rsid w:val="00991E92"/>
    <w:rsid w:val="00991F34"/>
    <w:rsid w:val="009924BB"/>
    <w:rsid w:val="00992CED"/>
    <w:rsid w:val="00992EBD"/>
    <w:rsid w:val="0099381D"/>
    <w:rsid w:val="0099437B"/>
    <w:rsid w:val="0099476E"/>
    <w:rsid w:val="00994F23"/>
    <w:rsid w:val="00995598"/>
    <w:rsid w:val="00995A45"/>
    <w:rsid w:val="00995A4C"/>
    <w:rsid w:val="00995C99"/>
    <w:rsid w:val="009966D5"/>
    <w:rsid w:val="00997DCE"/>
    <w:rsid w:val="009A127D"/>
    <w:rsid w:val="009A1BCB"/>
    <w:rsid w:val="009A2385"/>
    <w:rsid w:val="009A2445"/>
    <w:rsid w:val="009A2F67"/>
    <w:rsid w:val="009A40CB"/>
    <w:rsid w:val="009A42C8"/>
    <w:rsid w:val="009A46B0"/>
    <w:rsid w:val="009A4CAC"/>
    <w:rsid w:val="009A5C9B"/>
    <w:rsid w:val="009A6CB0"/>
    <w:rsid w:val="009A78E1"/>
    <w:rsid w:val="009B0675"/>
    <w:rsid w:val="009B07B6"/>
    <w:rsid w:val="009B0BD5"/>
    <w:rsid w:val="009B1100"/>
    <w:rsid w:val="009B2202"/>
    <w:rsid w:val="009B2AAD"/>
    <w:rsid w:val="009B3018"/>
    <w:rsid w:val="009B4CB9"/>
    <w:rsid w:val="009B6248"/>
    <w:rsid w:val="009B6414"/>
    <w:rsid w:val="009B6F82"/>
    <w:rsid w:val="009B7CAC"/>
    <w:rsid w:val="009B7DE1"/>
    <w:rsid w:val="009C1725"/>
    <w:rsid w:val="009C2C84"/>
    <w:rsid w:val="009C2EC3"/>
    <w:rsid w:val="009C3765"/>
    <w:rsid w:val="009C3A5D"/>
    <w:rsid w:val="009C3B4D"/>
    <w:rsid w:val="009C3FB6"/>
    <w:rsid w:val="009C40AD"/>
    <w:rsid w:val="009C6823"/>
    <w:rsid w:val="009C7382"/>
    <w:rsid w:val="009C783E"/>
    <w:rsid w:val="009D08E7"/>
    <w:rsid w:val="009D0F15"/>
    <w:rsid w:val="009D200F"/>
    <w:rsid w:val="009D2A3F"/>
    <w:rsid w:val="009D3917"/>
    <w:rsid w:val="009D4238"/>
    <w:rsid w:val="009D5E1B"/>
    <w:rsid w:val="009D6280"/>
    <w:rsid w:val="009D6B99"/>
    <w:rsid w:val="009D7524"/>
    <w:rsid w:val="009D7690"/>
    <w:rsid w:val="009E00AD"/>
    <w:rsid w:val="009E0685"/>
    <w:rsid w:val="009E1C70"/>
    <w:rsid w:val="009E25C7"/>
    <w:rsid w:val="009E5DF6"/>
    <w:rsid w:val="009F0FA3"/>
    <w:rsid w:val="009F384B"/>
    <w:rsid w:val="009F5C31"/>
    <w:rsid w:val="009F626F"/>
    <w:rsid w:val="00A0001A"/>
    <w:rsid w:val="00A00478"/>
    <w:rsid w:val="00A00EE2"/>
    <w:rsid w:val="00A01595"/>
    <w:rsid w:val="00A01DDB"/>
    <w:rsid w:val="00A01F17"/>
    <w:rsid w:val="00A02FDD"/>
    <w:rsid w:val="00A04618"/>
    <w:rsid w:val="00A04EAC"/>
    <w:rsid w:val="00A05D96"/>
    <w:rsid w:val="00A065EA"/>
    <w:rsid w:val="00A06EF6"/>
    <w:rsid w:val="00A07DED"/>
    <w:rsid w:val="00A103E4"/>
    <w:rsid w:val="00A125D3"/>
    <w:rsid w:val="00A13138"/>
    <w:rsid w:val="00A13677"/>
    <w:rsid w:val="00A13A8D"/>
    <w:rsid w:val="00A14D16"/>
    <w:rsid w:val="00A163F6"/>
    <w:rsid w:val="00A16634"/>
    <w:rsid w:val="00A202D8"/>
    <w:rsid w:val="00A20765"/>
    <w:rsid w:val="00A2147A"/>
    <w:rsid w:val="00A21700"/>
    <w:rsid w:val="00A21E4E"/>
    <w:rsid w:val="00A22494"/>
    <w:rsid w:val="00A22D04"/>
    <w:rsid w:val="00A2378A"/>
    <w:rsid w:val="00A25C4A"/>
    <w:rsid w:val="00A25CBF"/>
    <w:rsid w:val="00A26EF4"/>
    <w:rsid w:val="00A272DE"/>
    <w:rsid w:val="00A27BE9"/>
    <w:rsid w:val="00A27DC7"/>
    <w:rsid w:val="00A3299C"/>
    <w:rsid w:val="00A32C26"/>
    <w:rsid w:val="00A35F89"/>
    <w:rsid w:val="00A36252"/>
    <w:rsid w:val="00A362D8"/>
    <w:rsid w:val="00A37634"/>
    <w:rsid w:val="00A377A6"/>
    <w:rsid w:val="00A37A99"/>
    <w:rsid w:val="00A40166"/>
    <w:rsid w:val="00A41A08"/>
    <w:rsid w:val="00A41D7B"/>
    <w:rsid w:val="00A42206"/>
    <w:rsid w:val="00A4351E"/>
    <w:rsid w:val="00A4372D"/>
    <w:rsid w:val="00A43D15"/>
    <w:rsid w:val="00A4608D"/>
    <w:rsid w:val="00A461BD"/>
    <w:rsid w:val="00A46B20"/>
    <w:rsid w:val="00A506CF"/>
    <w:rsid w:val="00A523DE"/>
    <w:rsid w:val="00A547D9"/>
    <w:rsid w:val="00A55EB9"/>
    <w:rsid w:val="00A56FBF"/>
    <w:rsid w:val="00A57257"/>
    <w:rsid w:val="00A577F1"/>
    <w:rsid w:val="00A63A29"/>
    <w:rsid w:val="00A63D2B"/>
    <w:rsid w:val="00A64834"/>
    <w:rsid w:val="00A656D1"/>
    <w:rsid w:val="00A65BA2"/>
    <w:rsid w:val="00A65FC1"/>
    <w:rsid w:val="00A67FBC"/>
    <w:rsid w:val="00A721F5"/>
    <w:rsid w:val="00A726F1"/>
    <w:rsid w:val="00A734BD"/>
    <w:rsid w:val="00A73777"/>
    <w:rsid w:val="00A737B6"/>
    <w:rsid w:val="00A73F34"/>
    <w:rsid w:val="00A7428B"/>
    <w:rsid w:val="00A760BB"/>
    <w:rsid w:val="00A779B0"/>
    <w:rsid w:val="00A77DCB"/>
    <w:rsid w:val="00A80023"/>
    <w:rsid w:val="00A825B4"/>
    <w:rsid w:val="00A82744"/>
    <w:rsid w:val="00A83A57"/>
    <w:rsid w:val="00A844B0"/>
    <w:rsid w:val="00A84B7C"/>
    <w:rsid w:val="00A86D33"/>
    <w:rsid w:val="00A86E53"/>
    <w:rsid w:val="00A8765D"/>
    <w:rsid w:val="00A878F9"/>
    <w:rsid w:val="00A87C20"/>
    <w:rsid w:val="00A903F5"/>
    <w:rsid w:val="00A90927"/>
    <w:rsid w:val="00A90D76"/>
    <w:rsid w:val="00A94D5F"/>
    <w:rsid w:val="00A952A0"/>
    <w:rsid w:val="00A9614A"/>
    <w:rsid w:val="00A96169"/>
    <w:rsid w:val="00A96D4C"/>
    <w:rsid w:val="00A9712A"/>
    <w:rsid w:val="00A97C7F"/>
    <w:rsid w:val="00A97F86"/>
    <w:rsid w:val="00AA0A73"/>
    <w:rsid w:val="00AA0C68"/>
    <w:rsid w:val="00AA1A8F"/>
    <w:rsid w:val="00AA4729"/>
    <w:rsid w:val="00AA4985"/>
    <w:rsid w:val="00AA67B2"/>
    <w:rsid w:val="00AA6BA2"/>
    <w:rsid w:val="00AA6E8D"/>
    <w:rsid w:val="00AA7998"/>
    <w:rsid w:val="00AB258B"/>
    <w:rsid w:val="00AB331C"/>
    <w:rsid w:val="00AB33BD"/>
    <w:rsid w:val="00AB3938"/>
    <w:rsid w:val="00AB426C"/>
    <w:rsid w:val="00AB47BD"/>
    <w:rsid w:val="00AB4CF8"/>
    <w:rsid w:val="00AB6C4C"/>
    <w:rsid w:val="00AB78CD"/>
    <w:rsid w:val="00AB79D8"/>
    <w:rsid w:val="00AB7C46"/>
    <w:rsid w:val="00AC0189"/>
    <w:rsid w:val="00AC0D5D"/>
    <w:rsid w:val="00AC3363"/>
    <w:rsid w:val="00AC5E0E"/>
    <w:rsid w:val="00AC6D90"/>
    <w:rsid w:val="00AC7178"/>
    <w:rsid w:val="00AD18D2"/>
    <w:rsid w:val="00AD3437"/>
    <w:rsid w:val="00AD52EE"/>
    <w:rsid w:val="00AD556F"/>
    <w:rsid w:val="00AD6E1A"/>
    <w:rsid w:val="00AD7D71"/>
    <w:rsid w:val="00AE07D5"/>
    <w:rsid w:val="00AE0ED2"/>
    <w:rsid w:val="00AE122A"/>
    <w:rsid w:val="00AE232B"/>
    <w:rsid w:val="00AE28AA"/>
    <w:rsid w:val="00AE2908"/>
    <w:rsid w:val="00AE399C"/>
    <w:rsid w:val="00AE3A78"/>
    <w:rsid w:val="00AE509D"/>
    <w:rsid w:val="00AE622C"/>
    <w:rsid w:val="00AE7617"/>
    <w:rsid w:val="00AE763D"/>
    <w:rsid w:val="00AE7C52"/>
    <w:rsid w:val="00AF008B"/>
    <w:rsid w:val="00AF0AE4"/>
    <w:rsid w:val="00AF1010"/>
    <w:rsid w:val="00AF1BA2"/>
    <w:rsid w:val="00AF2EA8"/>
    <w:rsid w:val="00AF3F1F"/>
    <w:rsid w:val="00AF3FC4"/>
    <w:rsid w:val="00AF5244"/>
    <w:rsid w:val="00AF5EBC"/>
    <w:rsid w:val="00AF6085"/>
    <w:rsid w:val="00AF7B73"/>
    <w:rsid w:val="00B006F4"/>
    <w:rsid w:val="00B00D8A"/>
    <w:rsid w:val="00B01B09"/>
    <w:rsid w:val="00B02427"/>
    <w:rsid w:val="00B0267B"/>
    <w:rsid w:val="00B02AD2"/>
    <w:rsid w:val="00B0650C"/>
    <w:rsid w:val="00B07069"/>
    <w:rsid w:val="00B07C13"/>
    <w:rsid w:val="00B07EF7"/>
    <w:rsid w:val="00B10F01"/>
    <w:rsid w:val="00B1145B"/>
    <w:rsid w:val="00B119CA"/>
    <w:rsid w:val="00B11D0D"/>
    <w:rsid w:val="00B11DF9"/>
    <w:rsid w:val="00B12515"/>
    <w:rsid w:val="00B126F1"/>
    <w:rsid w:val="00B12780"/>
    <w:rsid w:val="00B1312B"/>
    <w:rsid w:val="00B1470E"/>
    <w:rsid w:val="00B1542C"/>
    <w:rsid w:val="00B15496"/>
    <w:rsid w:val="00B174B7"/>
    <w:rsid w:val="00B17737"/>
    <w:rsid w:val="00B21C07"/>
    <w:rsid w:val="00B2240C"/>
    <w:rsid w:val="00B22820"/>
    <w:rsid w:val="00B23550"/>
    <w:rsid w:val="00B23EF7"/>
    <w:rsid w:val="00B24259"/>
    <w:rsid w:val="00B31867"/>
    <w:rsid w:val="00B326BD"/>
    <w:rsid w:val="00B331C4"/>
    <w:rsid w:val="00B3336B"/>
    <w:rsid w:val="00B345B6"/>
    <w:rsid w:val="00B35EF3"/>
    <w:rsid w:val="00B36F45"/>
    <w:rsid w:val="00B40941"/>
    <w:rsid w:val="00B41252"/>
    <w:rsid w:val="00B41538"/>
    <w:rsid w:val="00B42944"/>
    <w:rsid w:val="00B43290"/>
    <w:rsid w:val="00B43513"/>
    <w:rsid w:val="00B43E39"/>
    <w:rsid w:val="00B445D4"/>
    <w:rsid w:val="00B44E88"/>
    <w:rsid w:val="00B45325"/>
    <w:rsid w:val="00B45C50"/>
    <w:rsid w:val="00B4681C"/>
    <w:rsid w:val="00B47754"/>
    <w:rsid w:val="00B47B55"/>
    <w:rsid w:val="00B51398"/>
    <w:rsid w:val="00B534A5"/>
    <w:rsid w:val="00B53603"/>
    <w:rsid w:val="00B53EB6"/>
    <w:rsid w:val="00B54B4D"/>
    <w:rsid w:val="00B54C33"/>
    <w:rsid w:val="00B54C36"/>
    <w:rsid w:val="00B54EDF"/>
    <w:rsid w:val="00B561E4"/>
    <w:rsid w:val="00B56FC3"/>
    <w:rsid w:val="00B60A09"/>
    <w:rsid w:val="00B6236D"/>
    <w:rsid w:val="00B62B62"/>
    <w:rsid w:val="00B63128"/>
    <w:rsid w:val="00B635A6"/>
    <w:rsid w:val="00B67915"/>
    <w:rsid w:val="00B70716"/>
    <w:rsid w:val="00B70A9B"/>
    <w:rsid w:val="00B72532"/>
    <w:rsid w:val="00B726EE"/>
    <w:rsid w:val="00B7344E"/>
    <w:rsid w:val="00B73D76"/>
    <w:rsid w:val="00B745BF"/>
    <w:rsid w:val="00B74980"/>
    <w:rsid w:val="00B7574F"/>
    <w:rsid w:val="00B761FC"/>
    <w:rsid w:val="00B766B0"/>
    <w:rsid w:val="00B809A6"/>
    <w:rsid w:val="00B8113D"/>
    <w:rsid w:val="00B8143B"/>
    <w:rsid w:val="00B82324"/>
    <w:rsid w:val="00B8242B"/>
    <w:rsid w:val="00B825A0"/>
    <w:rsid w:val="00B8305E"/>
    <w:rsid w:val="00B83E8F"/>
    <w:rsid w:val="00B83ED6"/>
    <w:rsid w:val="00B84B00"/>
    <w:rsid w:val="00B871E4"/>
    <w:rsid w:val="00B90CEA"/>
    <w:rsid w:val="00B90D0B"/>
    <w:rsid w:val="00B911C5"/>
    <w:rsid w:val="00B91455"/>
    <w:rsid w:val="00B91E8F"/>
    <w:rsid w:val="00B9314A"/>
    <w:rsid w:val="00B93CF8"/>
    <w:rsid w:val="00B93D59"/>
    <w:rsid w:val="00B93F79"/>
    <w:rsid w:val="00B94DF2"/>
    <w:rsid w:val="00B94FB4"/>
    <w:rsid w:val="00B950C6"/>
    <w:rsid w:val="00B9549D"/>
    <w:rsid w:val="00B96555"/>
    <w:rsid w:val="00B97273"/>
    <w:rsid w:val="00BA1661"/>
    <w:rsid w:val="00BA17E0"/>
    <w:rsid w:val="00BA1A38"/>
    <w:rsid w:val="00BA1C32"/>
    <w:rsid w:val="00BA1CAB"/>
    <w:rsid w:val="00BA4135"/>
    <w:rsid w:val="00BA46B0"/>
    <w:rsid w:val="00BA76FA"/>
    <w:rsid w:val="00BA77F0"/>
    <w:rsid w:val="00BB040E"/>
    <w:rsid w:val="00BB0F11"/>
    <w:rsid w:val="00BB0F87"/>
    <w:rsid w:val="00BB15D0"/>
    <w:rsid w:val="00BB160C"/>
    <w:rsid w:val="00BB1EB8"/>
    <w:rsid w:val="00BB263D"/>
    <w:rsid w:val="00BB3600"/>
    <w:rsid w:val="00BB3743"/>
    <w:rsid w:val="00BB3EA2"/>
    <w:rsid w:val="00BB42F9"/>
    <w:rsid w:val="00BB4D51"/>
    <w:rsid w:val="00BC052E"/>
    <w:rsid w:val="00BC1D25"/>
    <w:rsid w:val="00BC1FA0"/>
    <w:rsid w:val="00BC3DCD"/>
    <w:rsid w:val="00BC44E7"/>
    <w:rsid w:val="00BC6AF8"/>
    <w:rsid w:val="00BC7875"/>
    <w:rsid w:val="00BC7A84"/>
    <w:rsid w:val="00BC7BC4"/>
    <w:rsid w:val="00BC7BD1"/>
    <w:rsid w:val="00BD1229"/>
    <w:rsid w:val="00BD1460"/>
    <w:rsid w:val="00BD2A1F"/>
    <w:rsid w:val="00BD2B40"/>
    <w:rsid w:val="00BD3271"/>
    <w:rsid w:val="00BD3555"/>
    <w:rsid w:val="00BD3B59"/>
    <w:rsid w:val="00BD4E83"/>
    <w:rsid w:val="00BD51DA"/>
    <w:rsid w:val="00BD51DF"/>
    <w:rsid w:val="00BD620A"/>
    <w:rsid w:val="00BD7C66"/>
    <w:rsid w:val="00BE02F6"/>
    <w:rsid w:val="00BE0BBD"/>
    <w:rsid w:val="00BE0C83"/>
    <w:rsid w:val="00BE0D93"/>
    <w:rsid w:val="00BE12C4"/>
    <w:rsid w:val="00BE1326"/>
    <w:rsid w:val="00BE17CA"/>
    <w:rsid w:val="00BE2C95"/>
    <w:rsid w:val="00BE2E74"/>
    <w:rsid w:val="00BE30B6"/>
    <w:rsid w:val="00BE32FB"/>
    <w:rsid w:val="00BE3E3E"/>
    <w:rsid w:val="00BE415A"/>
    <w:rsid w:val="00BE6ACA"/>
    <w:rsid w:val="00BE6D07"/>
    <w:rsid w:val="00BF3768"/>
    <w:rsid w:val="00BF4090"/>
    <w:rsid w:val="00BF41FF"/>
    <w:rsid w:val="00BF4CAF"/>
    <w:rsid w:val="00BF55C6"/>
    <w:rsid w:val="00BF569D"/>
    <w:rsid w:val="00BF5BA5"/>
    <w:rsid w:val="00BF5C76"/>
    <w:rsid w:val="00BF6248"/>
    <w:rsid w:val="00BF6D02"/>
    <w:rsid w:val="00C007C4"/>
    <w:rsid w:val="00C00AEB"/>
    <w:rsid w:val="00C02C7A"/>
    <w:rsid w:val="00C03A97"/>
    <w:rsid w:val="00C044F4"/>
    <w:rsid w:val="00C04501"/>
    <w:rsid w:val="00C04517"/>
    <w:rsid w:val="00C0564B"/>
    <w:rsid w:val="00C05666"/>
    <w:rsid w:val="00C05B55"/>
    <w:rsid w:val="00C06838"/>
    <w:rsid w:val="00C06C06"/>
    <w:rsid w:val="00C06DFA"/>
    <w:rsid w:val="00C07C0C"/>
    <w:rsid w:val="00C10002"/>
    <w:rsid w:val="00C1064A"/>
    <w:rsid w:val="00C1093D"/>
    <w:rsid w:val="00C11C04"/>
    <w:rsid w:val="00C12148"/>
    <w:rsid w:val="00C12774"/>
    <w:rsid w:val="00C135EF"/>
    <w:rsid w:val="00C14BCB"/>
    <w:rsid w:val="00C1549C"/>
    <w:rsid w:val="00C15847"/>
    <w:rsid w:val="00C158FC"/>
    <w:rsid w:val="00C16CB3"/>
    <w:rsid w:val="00C20C54"/>
    <w:rsid w:val="00C21540"/>
    <w:rsid w:val="00C215F4"/>
    <w:rsid w:val="00C2245F"/>
    <w:rsid w:val="00C22F16"/>
    <w:rsid w:val="00C236DB"/>
    <w:rsid w:val="00C240A3"/>
    <w:rsid w:val="00C247B5"/>
    <w:rsid w:val="00C25084"/>
    <w:rsid w:val="00C25706"/>
    <w:rsid w:val="00C30110"/>
    <w:rsid w:val="00C3047E"/>
    <w:rsid w:val="00C30501"/>
    <w:rsid w:val="00C31C2A"/>
    <w:rsid w:val="00C320AF"/>
    <w:rsid w:val="00C32BEA"/>
    <w:rsid w:val="00C347B6"/>
    <w:rsid w:val="00C34A1A"/>
    <w:rsid w:val="00C37FED"/>
    <w:rsid w:val="00C4068D"/>
    <w:rsid w:val="00C407F4"/>
    <w:rsid w:val="00C414A3"/>
    <w:rsid w:val="00C43561"/>
    <w:rsid w:val="00C44F15"/>
    <w:rsid w:val="00C45331"/>
    <w:rsid w:val="00C45BB4"/>
    <w:rsid w:val="00C54171"/>
    <w:rsid w:val="00C54321"/>
    <w:rsid w:val="00C54482"/>
    <w:rsid w:val="00C5503C"/>
    <w:rsid w:val="00C56CC2"/>
    <w:rsid w:val="00C56D1B"/>
    <w:rsid w:val="00C56F5D"/>
    <w:rsid w:val="00C57148"/>
    <w:rsid w:val="00C57619"/>
    <w:rsid w:val="00C57804"/>
    <w:rsid w:val="00C61291"/>
    <w:rsid w:val="00C618B1"/>
    <w:rsid w:val="00C62F53"/>
    <w:rsid w:val="00C63074"/>
    <w:rsid w:val="00C6330B"/>
    <w:rsid w:val="00C638A8"/>
    <w:rsid w:val="00C63C41"/>
    <w:rsid w:val="00C659DF"/>
    <w:rsid w:val="00C65F1E"/>
    <w:rsid w:val="00C662EC"/>
    <w:rsid w:val="00C66986"/>
    <w:rsid w:val="00C70124"/>
    <w:rsid w:val="00C708F3"/>
    <w:rsid w:val="00C71102"/>
    <w:rsid w:val="00C72E58"/>
    <w:rsid w:val="00C73A28"/>
    <w:rsid w:val="00C73ABE"/>
    <w:rsid w:val="00C73FC1"/>
    <w:rsid w:val="00C7477C"/>
    <w:rsid w:val="00C75DF5"/>
    <w:rsid w:val="00C76FBC"/>
    <w:rsid w:val="00C80BC8"/>
    <w:rsid w:val="00C80E5B"/>
    <w:rsid w:val="00C80E69"/>
    <w:rsid w:val="00C8101C"/>
    <w:rsid w:val="00C812C8"/>
    <w:rsid w:val="00C81676"/>
    <w:rsid w:val="00C8208B"/>
    <w:rsid w:val="00C827E2"/>
    <w:rsid w:val="00C82B89"/>
    <w:rsid w:val="00C82C1C"/>
    <w:rsid w:val="00C82DD0"/>
    <w:rsid w:val="00C84DD1"/>
    <w:rsid w:val="00C86A58"/>
    <w:rsid w:val="00C86F9A"/>
    <w:rsid w:val="00C923E2"/>
    <w:rsid w:val="00C9357C"/>
    <w:rsid w:val="00C95A5B"/>
    <w:rsid w:val="00C95E72"/>
    <w:rsid w:val="00C95F7C"/>
    <w:rsid w:val="00CA0279"/>
    <w:rsid w:val="00CA02AA"/>
    <w:rsid w:val="00CA0493"/>
    <w:rsid w:val="00CA0C79"/>
    <w:rsid w:val="00CA1001"/>
    <w:rsid w:val="00CA1670"/>
    <w:rsid w:val="00CA2474"/>
    <w:rsid w:val="00CA26B7"/>
    <w:rsid w:val="00CA3B6B"/>
    <w:rsid w:val="00CA468D"/>
    <w:rsid w:val="00CA4DC7"/>
    <w:rsid w:val="00CA6830"/>
    <w:rsid w:val="00CB0986"/>
    <w:rsid w:val="00CB1F84"/>
    <w:rsid w:val="00CB26C6"/>
    <w:rsid w:val="00CB446A"/>
    <w:rsid w:val="00CB4830"/>
    <w:rsid w:val="00CB5D3F"/>
    <w:rsid w:val="00CB60AA"/>
    <w:rsid w:val="00CB6667"/>
    <w:rsid w:val="00CB68F0"/>
    <w:rsid w:val="00CB7749"/>
    <w:rsid w:val="00CB7FF6"/>
    <w:rsid w:val="00CC124C"/>
    <w:rsid w:val="00CC1689"/>
    <w:rsid w:val="00CC256A"/>
    <w:rsid w:val="00CC3774"/>
    <w:rsid w:val="00CC3982"/>
    <w:rsid w:val="00CC3C79"/>
    <w:rsid w:val="00CC57D5"/>
    <w:rsid w:val="00CC5DE4"/>
    <w:rsid w:val="00CC5E45"/>
    <w:rsid w:val="00CC684D"/>
    <w:rsid w:val="00CD1718"/>
    <w:rsid w:val="00CD1784"/>
    <w:rsid w:val="00CD2078"/>
    <w:rsid w:val="00CD20FA"/>
    <w:rsid w:val="00CD2CF0"/>
    <w:rsid w:val="00CD3105"/>
    <w:rsid w:val="00CD373D"/>
    <w:rsid w:val="00CD5037"/>
    <w:rsid w:val="00CD6487"/>
    <w:rsid w:val="00CD6B36"/>
    <w:rsid w:val="00CD6D13"/>
    <w:rsid w:val="00CE0349"/>
    <w:rsid w:val="00CE0888"/>
    <w:rsid w:val="00CE136F"/>
    <w:rsid w:val="00CE2978"/>
    <w:rsid w:val="00CE35DC"/>
    <w:rsid w:val="00CE37DB"/>
    <w:rsid w:val="00CE3DD5"/>
    <w:rsid w:val="00CE4997"/>
    <w:rsid w:val="00CE5CDA"/>
    <w:rsid w:val="00CE5F21"/>
    <w:rsid w:val="00CE715C"/>
    <w:rsid w:val="00CE7A04"/>
    <w:rsid w:val="00CE7E07"/>
    <w:rsid w:val="00CF0AD3"/>
    <w:rsid w:val="00CF14F4"/>
    <w:rsid w:val="00CF3171"/>
    <w:rsid w:val="00CF3386"/>
    <w:rsid w:val="00CF3B59"/>
    <w:rsid w:val="00CF5614"/>
    <w:rsid w:val="00CF5781"/>
    <w:rsid w:val="00CF61A9"/>
    <w:rsid w:val="00CF620E"/>
    <w:rsid w:val="00CF6E98"/>
    <w:rsid w:val="00CF6EA6"/>
    <w:rsid w:val="00CF7237"/>
    <w:rsid w:val="00D00C0C"/>
    <w:rsid w:val="00D00FA4"/>
    <w:rsid w:val="00D01332"/>
    <w:rsid w:val="00D01DB5"/>
    <w:rsid w:val="00D02AFE"/>
    <w:rsid w:val="00D035F2"/>
    <w:rsid w:val="00D03D20"/>
    <w:rsid w:val="00D04C9D"/>
    <w:rsid w:val="00D06A4B"/>
    <w:rsid w:val="00D079B9"/>
    <w:rsid w:val="00D07B74"/>
    <w:rsid w:val="00D10190"/>
    <w:rsid w:val="00D10E21"/>
    <w:rsid w:val="00D10F16"/>
    <w:rsid w:val="00D10FCF"/>
    <w:rsid w:val="00D11012"/>
    <w:rsid w:val="00D11DE4"/>
    <w:rsid w:val="00D13C1C"/>
    <w:rsid w:val="00D1563D"/>
    <w:rsid w:val="00D158AB"/>
    <w:rsid w:val="00D15985"/>
    <w:rsid w:val="00D15DE8"/>
    <w:rsid w:val="00D17A2B"/>
    <w:rsid w:val="00D20217"/>
    <w:rsid w:val="00D20FED"/>
    <w:rsid w:val="00D2269B"/>
    <w:rsid w:val="00D2435B"/>
    <w:rsid w:val="00D25037"/>
    <w:rsid w:val="00D2566D"/>
    <w:rsid w:val="00D272D2"/>
    <w:rsid w:val="00D302F2"/>
    <w:rsid w:val="00D31708"/>
    <w:rsid w:val="00D31FAD"/>
    <w:rsid w:val="00D32F65"/>
    <w:rsid w:val="00D33425"/>
    <w:rsid w:val="00D35B85"/>
    <w:rsid w:val="00D36412"/>
    <w:rsid w:val="00D41071"/>
    <w:rsid w:val="00D4144D"/>
    <w:rsid w:val="00D427B4"/>
    <w:rsid w:val="00D43366"/>
    <w:rsid w:val="00D43573"/>
    <w:rsid w:val="00D4378C"/>
    <w:rsid w:val="00D43C58"/>
    <w:rsid w:val="00D44868"/>
    <w:rsid w:val="00D45D16"/>
    <w:rsid w:val="00D45E8B"/>
    <w:rsid w:val="00D47867"/>
    <w:rsid w:val="00D478C8"/>
    <w:rsid w:val="00D53373"/>
    <w:rsid w:val="00D535BD"/>
    <w:rsid w:val="00D54192"/>
    <w:rsid w:val="00D5430D"/>
    <w:rsid w:val="00D54FB5"/>
    <w:rsid w:val="00D55C4C"/>
    <w:rsid w:val="00D569C0"/>
    <w:rsid w:val="00D56F53"/>
    <w:rsid w:val="00D56F83"/>
    <w:rsid w:val="00D60267"/>
    <w:rsid w:val="00D60D6D"/>
    <w:rsid w:val="00D61C47"/>
    <w:rsid w:val="00D621D6"/>
    <w:rsid w:val="00D64403"/>
    <w:rsid w:val="00D65C66"/>
    <w:rsid w:val="00D66279"/>
    <w:rsid w:val="00D67651"/>
    <w:rsid w:val="00D6794C"/>
    <w:rsid w:val="00D70664"/>
    <w:rsid w:val="00D7186E"/>
    <w:rsid w:val="00D72BE8"/>
    <w:rsid w:val="00D72EFC"/>
    <w:rsid w:val="00D7339F"/>
    <w:rsid w:val="00D74A58"/>
    <w:rsid w:val="00D74AD0"/>
    <w:rsid w:val="00D757C6"/>
    <w:rsid w:val="00D76829"/>
    <w:rsid w:val="00D76E31"/>
    <w:rsid w:val="00D771C6"/>
    <w:rsid w:val="00D80119"/>
    <w:rsid w:val="00D810B0"/>
    <w:rsid w:val="00D820A3"/>
    <w:rsid w:val="00D822CB"/>
    <w:rsid w:val="00D827C8"/>
    <w:rsid w:val="00D84528"/>
    <w:rsid w:val="00D846D0"/>
    <w:rsid w:val="00D84746"/>
    <w:rsid w:val="00D84D47"/>
    <w:rsid w:val="00D853FC"/>
    <w:rsid w:val="00D85B5C"/>
    <w:rsid w:val="00D860C9"/>
    <w:rsid w:val="00D861E5"/>
    <w:rsid w:val="00D86E24"/>
    <w:rsid w:val="00D87180"/>
    <w:rsid w:val="00D90C7E"/>
    <w:rsid w:val="00D92A65"/>
    <w:rsid w:val="00D93C15"/>
    <w:rsid w:val="00D9697A"/>
    <w:rsid w:val="00D976B0"/>
    <w:rsid w:val="00D97970"/>
    <w:rsid w:val="00DA1896"/>
    <w:rsid w:val="00DA397D"/>
    <w:rsid w:val="00DA4979"/>
    <w:rsid w:val="00DA4A0D"/>
    <w:rsid w:val="00DA4D71"/>
    <w:rsid w:val="00DA5614"/>
    <w:rsid w:val="00DA7052"/>
    <w:rsid w:val="00DA7172"/>
    <w:rsid w:val="00DA7C14"/>
    <w:rsid w:val="00DB1F6D"/>
    <w:rsid w:val="00DB26CD"/>
    <w:rsid w:val="00DB4259"/>
    <w:rsid w:val="00DB46CE"/>
    <w:rsid w:val="00DB54B7"/>
    <w:rsid w:val="00DB5BE1"/>
    <w:rsid w:val="00DB7165"/>
    <w:rsid w:val="00DB7886"/>
    <w:rsid w:val="00DC0A92"/>
    <w:rsid w:val="00DC14D5"/>
    <w:rsid w:val="00DC16B7"/>
    <w:rsid w:val="00DC1DBF"/>
    <w:rsid w:val="00DC2040"/>
    <w:rsid w:val="00DC2166"/>
    <w:rsid w:val="00DC275C"/>
    <w:rsid w:val="00DC293A"/>
    <w:rsid w:val="00DC2ADD"/>
    <w:rsid w:val="00DC37D7"/>
    <w:rsid w:val="00DC393F"/>
    <w:rsid w:val="00DC430D"/>
    <w:rsid w:val="00DC4BDA"/>
    <w:rsid w:val="00DC5BFD"/>
    <w:rsid w:val="00DC5EE5"/>
    <w:rsid w:val="00DC7834"/>
    <w:rsid w:val="00DD0B07"/>
    <w:rsid w:val="00DD0F17"/>
    <w:rsid w:val="00DD2A8A"/>
    <w:rsid w:val="00DD3553"/>
    <w:rsid w:val="00DD5142"/>
    <w:rsid w:val="00DE1A55"/>
    <w:rsid w:val="00DE20B0"/>
    <w:rsid w:val="00DE29AD"/>
    <w:rsid w:val="00DE2B90"/>
    <w:rsid w:val="00DE32F4"/>
    <w:rsid w:val="00DE3441"/>
    <w:rsid w:val="00DE363F"/>
    <w:rsid w:val="00DE3A47"/>
    <w:rsid w:val="00DE452C"/>
    <w:rsid w:val="00DE504C"/>
    <w:rsid w:val="00DE510E"/>
    <w:rsid w:val="00DE58A3"/>
    <w:rsid w:val="00DE5C50"/>
    <w:rsid w:val="00DE7646"/>
    <w:rsid w:val="00DE7D3B"/>
    <w:rsid w:val="00DF0FDC"/>
    <w:rsid w:val="00DF3E3D"/>
    <w:rsid w:val="00DF4F75"/>
    <w:rsid w:val="00DF4F77"/>
    <w:rsid w:val="00DF58A2"/>
    <w:rsid w:val="00DF5CBF"/>
    <w:rsid w:val="00DF5F1F"/>
    <w:rsid w:val="00DF6CFD"/>
    <w:rsid w:val="00DF70A4"/>
    <w:rsid w:val="00DF7807"/>
    <w:rsid w:val="00E001B6"/>
    <w:rsid w:val="00E00B0C"/>
    <w:rsid w:val="00E02195"/>
    <w:rsid w:val="00E02C65"/>
    <w:rsid w:val="00E032AD"/>
    <w:rsid w:val="00E035B4"/>
    <w:rsid w:val="00E04AF2"/>
    <w:rsid w:val="00E05BB5"/>
    <w:rsid w:val="00E12FFD"/>
    <w:rsid w:val="00E14C5D"/>
    <w:rsid w:val="00E150CB"/>
    <w:rsid w:val="00E15141"/>
    <w:rsid w:val="00E15398"/>
    <w:rsid w:val="00E17258"/>
    <w:rsid w:val="00E202C3"/>
    <w:rsid w:val="00E23239"/>
    <w:rsid w:val="00E242E0"/>
    <w:rsid w:val="00E24AAF"/>
    <w:rsid w:val="00E2600F"/>
    <w:rsid w:val="00E270BF"/>
    <w:rsid w:val="00E27E06"/>
    <w:rsid w:val="00E30756"/>
    <w:rsid w:val="00E3099C"/>
    <w:rsid w:val="00E32DAE"/>
    <w:rsid w:val="00E3377E"/>
    <w:rsid w:val="00E340AD"/>
    <w:rsid w:val="00E34A0A"/>
    <w:rsid w:val="00E35D9C"/>
    <w:rsid w:val="00E35EE8"/>
    <w:rsid w:val="00E36938"/>
    <w:rsid w:val="00E3713B"/>
    <w:rsid w:val="00E37BD4"/>
    <w:rsid w:val="00E41033"/>
    <w:rsid w:val="00E42604"/>
    <w:rsid w:val="00E43141"/>
    <w:rsid w:val="00E439B8"/>
    <w:rsid w:val="00E4434B"/>
    <w:rsid w:val="00E44868"/>
    <w:rsid w:val="00E44DCF"/>
    <w:rsid w:val="00E44F84"/>
    <w:rsid w:val="00E46D20"/>
    <w:rsid w:val="00E4727E"/>
    <w:rsid w:val="00E472F2"/>
    <w:rsid w:val="00E47C9A"/>
    <w:rsid w:val="00E50A38"/>
    <w:rsid w:val="00E5460E"/>
    <w:rsid w:val="00E547D5"/>
    <w:rsid w:val="00E55A9C"/>
    <w:rsid w:val="00E57D75"/>
    <w:rsid w:val="00E60757"/>
    <w:rsid w:val="00E60BB0"/>
    <w:rsid w:val="00E619E0"/>
    <w:rsid w:val="00E622F2"/>
    <w:rsid w:val="00E62424"/>
    <w:rsid w:val="00E62829"/>
    <w:rsid w:val="00E62BDE"/>
    <w:rsid w:val="00E62F79"/>
    <w:rsid w:val="00E63270"/>
    <w:rsid w:val="00E64C09"/>
    <w:rsid w:val="00E65C71"/>
    <w:rsid w:val="00E66BC9"/>
    <w:rsid w:val="00E67682"/>
    <w:rsid w:val="00E703A6"/>
    <w:rsid w:val="00E7094B"/>
    <w:rsid w:val="00E709DA"/>
    <w:rsid w:val="00E71B43"/>
    <w:rsid w:val="00E727EB"/>
    <w:rsid w:val="00E740EC"/>
    <w:rsid w:val="00E741F8"/>
    <w:rsid w:val="00E74CAB"/>
    <w:rsid w:val="00E7584C"/>
    <w:rsid w:val="00E76DB3"/>
    <w:rsid w:val="00E76E08"/>
    <w:rsid w:val="00E77B0D"/>
    <w:rsid w:val="00E801F6"/>
    <w:rsid w:val="00E82A01"/>
    <w:rsid w:val="00E82DDF"/>
    <w:rsid w:val="00E82FF6"/>
    <w:rsid w:val="00E83631"/>
    <w:rsid w:val="00E83AA2"/>
    <w:rsid w:val="00E8402C"/>
    <w:rsid w:val="00E84BFF"/>
    <w:rsid w:val="00E84F37"/>
    <w:rsid w:val="00E87537"/>
    <w:rsid w:val="00E90A4C"/>
    <w:rsid w:val="00E912F5"/>
    <w:rsid w:val="00E91717"/>
    <w:rsid w:val="00E9240C"/>
    <w:rsid w:val="00E93254"/>
    <w:rsid w:val="00E93298"/>
    <w:rsid w:val="00E9344B"/>
    <w:rsid w:val="00E94FB7"/>
    <w:rsid w:val="00E961DD"/>
    <w:rsid w:val="00E97C1F"/>
    <w:rsid w:val="00EA0085"/>
    <w:rsid w:val="00EA0C5A"/>
    <w:rsid w:val="00EA124E"/>
    <w:rsid w:val="00EA1F3A"/>
    <w:rsid w:val="00EA34CA"/>
    <w:rsid w:val="00EA3884"/>
    <w:rsid w:val="00EA38DA"/>
    <w:rsid w:val="00EA3908"/>
    <w:rsid w:val="00EA4586"/>
    <w:rsid w:val="00EA4B27"/>
    <w:rsid w:val="00EA4E4F"/>
    <w:rsid w:val="00EA5297"/>
    <w:rsid w:val="00EA629B"/>
    <w:rsid w:val="00EA686D"/>
    <w:rsid w:val="00EB03BC"/>
    <w:rsid w:val="00EB03E7"/>
    <w:rsid w:val="00EB0988"/>
    <w:rsid w:val="00EB150E"/>
    <w:rsid w:val="00EB159C"/>
    <w:rsid w:val="00EB1C5B"/>
    <w:rsid w:val="00EB1CDF"/>
    <w:rsid w:val="00EB269F"/>
    <w:rsid w:val="00EB2754"/>
    <w:rsid w:val="00EB3E06"/>
    <w:rsid w:val="00EB4ACE"/>
    <w:rsid w:val="00EB53EB"/>
    <w:rsid w:val="00EB5A30"/>
    <w:rsid w:val="00EB5EBE"/>
    <w:rsid w:val="00EB651B"/>
    <w:rsid w:val="00EB67A0"/>
    <w:rsid w:val="00EB70ED"/>
    <w:rsid w:val="00EB78E5"/>
    <w:rsid w:val="00EC0B07"/>
    <w:rsid w:val="00EC2544"/>
    <w:rsid w:val="00EC26B6"/>
    <w:rsid w:val="00EC2E78"/>
    <w:rsid w:val="00EC45F9"/>
    <w:rsid w:val="00EC560B"/>
    <w:rsid w:val="00EC66DD"/>
    <w:rsid w:val="00ED089E"/>
    <w:rsid w:val="00ED1842"/>
    <w:rsid w:val="00ED1D7A"/>
    <w:rsid w:val="00ED2A11"/>
    <w:rsid w:val="00ED4712"/>
    <w:rsid w:val="00ED4C75"/>
    <w:rsid w:val="00ED5233"/>
    <w:rsid w:val="00ED68D5"/>
    <w:rsid w:val="00ED6D28"/>
    <w:rsid w:val="00ED7C62"/>
    <w:rsid w:val="00ED7E75"/>
    <w:rsid w:val="00EE1966"/>
    <w:rsid w:val="00EE1F94"/>
    <w:rsid w:val="00EE2E18"/>
    <w:rsid w:val="00EE30A1"/>
    <w:rsid w:val="00EE4A8B"/>
    <w:rsid w:val="00EE7114"/>
    <w:rsid w:val="00EE7B0D"/>
    <w:rsid w:val="00EE7B41"/>
    <w:rsid w:val="00EE7EC4"/>
    <w:rsid w:val="00EF1028"/>
    <w:rsid w:val="00EF19A5"/>
    <w:rsid w:val="00EF2699"/>
    <w:rsid w:val="00EF3089"/>
    <w:rsid w:val="00EF4696"/>
    <w:rsid w:val="00EF55D0"/>
    <w:rsid w:val="00EF56C7"/>
    <w:rsid w:val="00EF6BD6"/>
    <w:rsid w:val="00F021A1"/>
    <w:rsid w:val="00F02CE5"/>
    <w:rsid w:val="00F02EE7"/>
    <w:rsid w:val="00F04235"/>
    <w:rsid w:val="00F04F47"/>
    <w:rsid w:val="00F0567B"/>
    <w:rsid w:val="00F06408"/>
    <w:rsid w:val="00F070AF"/>
    <w:rsid w:val="00F07391"/>
    <w:rsid w:val="00F0763B"/>
    <w:rsid w:val="00F104EB"/>
    <w:rsid w:val="00F11D9B"/>
    <w:rsid w:val="00F11EED"/>
    <w:rsid w:val="00F1265D"/>
    <w:rsid w:val="00F126DD"/>
    <w:rsid w:val="00F1280D"/>
    <w:rsid w:val="00F12DA2"/>
    <w:rsid w:val="00F131D1"/>
    <w:rsid w:val="00F13F02"/>
    <w:rsid w:val="00F14581"/>
    <w:rsid w:val="00F178CE"/>
    <w:rsid w:val="00F17D94"/>
    <w:rsid w:val="00F224F6"/>
    <w:rsid w:val="00F22CEC"/>
    <w:rsid w:val="00F23917"/>
    <w:rsid w:val="00F24566"/>
    <w:rsid w:val="00F24B50"/>
    <w:rsid w:val="00F25E82"/>
    <w:rsid w:val="00F27158"/>
    <w:rsid w:val="00F279E8"/>
    <w:rsid w:val="00F30539"/>
    <w:rsid w:val="00F30940"/>
    <w:rsid w:val="00F32B7E"/>
    <w:rsid w:val="00F33FDB"/>
    <w:rsid w:val="00F345BC"/>
    <w:rsid w:val="00F3502C"/>
    <w:rsid w:val="00F35888"/>
    <w:rsid w:val="00F35BA0"/>
    <w:rsid w:val="00F375D3"/>
    <w:rsid w:val="00F37702"/>
    <w:rsid w:val="00F403F6"/>
    <w:rsid w:val="00F405CA"/>
    <w:rsid w:val="00F42222"/>
    <w:rsid w:val="00F42BD1"/>
    <w:rsid w:val="00F449B9"/>
    <w:rsid w:val="00F44CB2"/>
    <w:rsid w:val="00F45587"/>
    <w:rsid w:val="00F45B63"/>
    <w:rsid w:val="00F45E11"/>
    <w:rsid w:val="00F460B8"/>
    <w:rsid w:val="00F478E5"/>
    <w:rsid w:val="00F5045B"/>
    <w:rsid w:val="00F50C18"/>
    <w:rsid w:val="00F51CB7"/>
    <w:rsid w:val="00F523F5"/>
    <w:rsid w:val="00F52B45"/>
    <w:rsid w:val="00F52FAB"/>
    <w:rsid w:val="00F530F7"/>
    <w:rsid w:val="00F53149"/>
    <w:rsid w:val="00F53D9F"/>
    <w:rsid w:val="00F560D0"/>
    <w:rsid w:val="00F566B9"/>
    <w:rsid w:val="00F56744"/>
    <w:rsid w:val="00F579A2"/>
    <w:rsid w:val="00F609B1"/>
    <w:rsid w:val="00F60C23"/>
    <w:rsid w:val="00F613C9"/>
    <w:rsid w:val="00F619EB"/>
    <w:rsid w:val="00F63F64"/>
    <w:rsid w:val="00F64599"/>
    <w:rsid w:val="00F645F0"/>
    <w:rsid w:val="00F64BAF"/>
    <w:rsid w:val="00F650C0"/>
    <w:rsid w:val="00F6643C"/>
    <w:rsid w:val="00F66914"/>
    <w:rsid w:val="00F669F5"/>
    <w:rsid w:val="00F66A92"/>
    <w:rsid w:val="00F709D5"/>
    <w:rsid w:val="00F70A07"/>
    <w:rsid w:val="00F70E00"/>
    <w:rsid w:val="00F718AE"/>
    <w:rsid w:val="00F7269D"/>
    <w:rsid w:val="00F73131"/>
    <w:rsid w:val="00F742A9"/>
    <w:rsid w:val="00F74517"/>
    <w:rsid w:val="00F74B99"/>
    <w:rsid w:val="00F80956"/>
    <w:rsid w:val="00F80F40"/>
    <w:rsid w:val="00F829F1"/>
    <w:rsid w:val="00F84C47"/>
    <w:rsid w:val="00F852AF"/>
    <w:rsid w:val="00F85568"/>
    <w:rsid w:val="00F85572"/>
    <w:rsid w:val="00F85713"/>
    <w:rsid w:val="00F85E30"/>
    <w:rsid w:val="00F87060"/>
    <w:rsid w:val="00F911DE"/>
    <w:rsid w:val="00F924EE"/>
    <w:rsid w:val="00F94807"/>
    <w:rsid w:val="00F96986"/>
    <w:rsid w:val="00F96B31"/>
    <w:rsid w:val="00FA12AB"/>
    <w:rsid w:val="00FA1BB7"/>
    <w:rsid w:val="00FA3256"/>
    <w:rsid w:val="00FA36AD"/>
    <w:rsid w:val="00FA3A62"/>
    <w:rsid w:val="00FA55BF"/>
    <w:rsid w:val="00FA565E"/>
    <w:rsid w:val="00FA5DFC"/>
    <w:rsid w:val="00FA5F8A"/>
    <w:rsid w:val="00FB10E6"/>
    <w:rsid w:val="00FB122F"/>
    <w:rsid w:val="00FB2754"/>
    <w:rsid w:val="00FB289C"/>
    <w:rsid w:val="00FB2CC5"/>
    <w:rsid w:val="00FB32C7"/>
    <w:rsid w:val="00FB344E"/>
    <w:rsid w:val="00FB4618"/>
    <w:rsid w:val="00FB4671"/>
    <w:rsid w:val="00FB5033"/>
    <w:rsid w:val="00FB59FA"/>
    <w:rsid w:val="00FC0FEB"/>
    <w:rsid w:val="00FC1009"/>
    <w:rsid w:val="00FC1800"/>
    <w:rsid w:val="00FC33F3"/>
    <w:rsid w:val="00FC3C87"/>
    <w:rsid w:val="00FC3F48"/>
    <w:rsid w:val="00FC43F6"/>
    <w:rsid w:val="00FC4C2E"/>
    <w:rsid w:val="00FC4E72"/>
    <w:rsid w:val="00FC6F9E"/>
    <w:rsid w:val="00FC7AA0"/>
    <w:rsid w:val="00FD2E33"/>
    <w:rsid w:val="00FD37E7"/>
    <w:rsid w:val="00FD39E9"/>
    <w:rsid w:val="00FD40EB"/>
    <w:rsid w:val="00FD4560"/>
    <w:rsid w:val="00FD5FFB"/>
    <w:rsid w:val="00FD722B"/>
    <w:rsid w:val="00FD723C"/>
    <w:rsid w:val="00FD76B6"/>
    <w:rsid w:val="00FD7A80"/>
    <w:rsid w:val="00FE08A1"/>
    <w:rsid w:val="00FE1847"/>
    <w:rsid w:val="00FE1B6F"/>
    <w:rsid w:val="00FE2345"/>
    <w:rsid w:val="00FE2957"/>
    <w:rsid w:val="00FE476A"/>
    <w:rsid w:val="00FE4AF9"/>
    <w:rsid w:val="00FE4EAE"/>
    <w:rsid w:val="00FE5857"/>
    <w:rsid w:val="00FE58FE"/>
    <w:rsid w:val="00FE657E"/>
    <w:rsid w:val="00FF01AB"/>
    <w:rsid w:val="00FF051F"/>
    <w:rsid w:val="00FF1197"/>
    <w:rsid w:val="00FF1816"/>
    <w:rsid w:val="00FF4201"/>
    <w:rsid w:val="00FF42CA"/>
    <w:rsid w:val="00FF447A"/>
    <w:rsid w:val="00FF4746"/>
    <w:rsid w:val="00FF4EB1"/>
    <w:rsid w:val="00FF4FE8"/>
    <w:rsid w:val="00FF5021"/>
    <w:rsid w:val="00FF68B3"/>
    <w:rsid w:val="00FF6E3E"/>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E70324"/>
  <w15:docId w15:val="{33595F8B-4EE8-4017-9854-DD8CBB8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445"/>
    <w:pPr>
      <w:spacing w:after="200" w:line="276" w:lineRule="auto"/>
    </w:pPr>
    <w:rPr>
      <w:sz w:val="22"/>
      <w:szCs w:val="22"/>
      <w:lang w:eastAsia="en-US"/>
    </w:rPr>
  </w:style>
  <w:style w:type="paragraph" w:styleId="Nagwek1">
    <w:name w:val="heading 1"/>
    <w:basedOn w:val="Normalny"/>
    <w:next w:val="Normalny"/>
    <w:link w:val="Nagwek1Znak"/>
    <w:uiPriority w:val="9"/>
    <w:qFormat/>
    <w:rsid w:val="004E3242"/>
    <w:pPr>
      <w:pBdr>
        <w:top w:val="single" w:sz="24" w:space="0" w:color="99CC00"/>
        <w:left w:val="single" w:sz="24" w:space="0" w:color="99CC00"/>
        <w:bottom w:val="single" w:sz="24" w:space="0" w:color="99CC00"/>
        <w:right w:val="single" w:sz="24" w:space="0" w:color="99CC00"/>
      </w:pBdr>
      <w:shd w:val="clear" w:color="auto" w:fill="99CC00"/>
      <w:spacing w:before="360" w:after="240"/>
      <w:outlineLvl w:val="0"/>
    </w:pPr>
    <w:rPr>
      <w:rFonts w:ascii="Arial" w:hAnsi="Arial"/>
      <w:bCs/>
      <w:smallCaps/>
      <w:color w:val="000000"/>
      <w:spacing w:val="15"/>
      <w:sz w:val="32"/>
      <w:lang w:val="x-none" w:eastAsia="x-none"/>
    </w:rPr>
  </w:style>
  <w:style w:type="paragraph" w:styleId="Nagwek2">
    <w:name w:val="heading 2"/>
    <w:basedOn w:val="Normalny"/>
    <w:next w:val="Normalny"/>
    <w:link w:val="Nagwek2Znak"/>
    <w:uiPriority w:val="9"/>
    <w:qFormat/>
    <w:rsid w:val="004E3242"/>
    <w:pPr>
      <w:shd w:val="clear" w:color="auto" w:fill="BFBFBF"/>
      <w:spacing w:before="360" w:after="240"/>
      <w:outlineLvl w:val="1"/>
    </w:pPr>
    <w:rPr>
      <w:rFonts w:ascii="Arial" w:hAnsi="Arial"/>
      <w:smallCaps/>
      <w:color w:val="000000"/>
      <w:spacing w:val="15"/>
      <w:sz w:val="28"/>
      <w:lang w:val="x-none" w:eastAsia="x-none"/>
    </w:rPr>
  </w:style>
  <w:style w:type="paragraph" w:styleId="Nagwek3">
    <w:name w:val="heading 3"/>
    <w:aliases w:val="npf 3"/>
    <w:basedOn w:val="Normalny"/>
    <w:next w:val="Normalny"/>
    <w:link w:val="Nagwek3Znak"/>
    <w:uiPriority w:val="9"/>
    <w:qFormat/>
    <w:rsid w:val="004E3242"/>
    <w:pPr>
      <w:shd w:val="clear" w:color="auto" w:fill="D6E3BC"/>
      <w:spacing w:before="240" w:after="240"/>
      <w:outlineLvl w:val="2"/>
    </w:pPr>
    <w:rPr>
      <w:rFonts w:ascii="Arial" w:hAnsi="Arial"/>
      <w:caps/>
      <w:color w:val="000000"/>
      <w:spacing w:val="15"/>
      <w:sz w:val="24"/>
      <w:lang w:val="x-none" w:eastAsia="x-none"/>
    </w:rPr>
  </w:style>
  <w:style w:type="paragraph" w:styleId="Nagwek4">
    <w:name w:val="heading 4"/>
    <w:aliases w:val="npf 4"/>
    <w:basedOn w:val="Normalny"/>
    <w:next w:val="Normalny"/>
    <w:link w:val="Nagwek4Znak"/>
    <w:uiPriority w:val="9"/>
    <w:qFormat/>
    <w:rsid w:val="004E3242"/>
    <w:pPr>
      <w:keepNext/>
      <w:keepLines/>
      <w:spacing w:before="200" w:after="0"/>
      <w:outlineLvl w:val="3"/>
    </w:pPr>
    <w:rPr>
      <w:rFonts w:ascii="Cambria" w:eastAsia="Times New Roman" w:hAnsi="Cambria"/>
      <w:b/>
      <w:bCs/>
      <w:i/>
      <w:iCs/>
      <w:color w:val="4F81BD"/>
      <w:lang w:val="x-none"/>
    </w:rPr>
  </w:style>
  <w:style w:type="paragraph" w:styleId="Nagwek5">
    <w:name w:val="heading 5"/>
    <w:basedOn w:val="Normalny"/>
    <w:next w:val="Normalny"/>
    <w:link w:val="Nagwek5Znak"/>
    <w:uiPriority w:val="9"/>
    <w:qFormat/>
    <w:rsid w:val="004E3242"/>
    <w:pPr>
      <w:keepNext/>
      <w:keepLines/>
      <w:spacing w:before="200" w:after="0"/>
      <w:outlineLvl w:val="4"/>
    </w:pPr>
    <w:rPr>
      <w:rFonts w:ascii="Cambria" w:eastAsia="Times New Roman" w:hAnsi="Cambria"/>
      <w:color w:val="243F60"/>
      <w:lang w:val="x-none"/>
    </w:rPr>
  </w:style>
  <w:style w:type="paragraph" w:styleId="Nagwek6">
    <w:name w:val="heading 6"/>
    <w:basedOn w:val="Normalny"/>
    <w:next w:val="Normalny"/>
    <w:link w:val="Nagwek6Znak"/>
    <w:uiPriority w:val="9"/>
    <w:qFormat/>
    <w:rsid w:val="004E3242"/>
    <w:pPr>
      <w:keepNext/>
      <w:keepLines/>
      <w:spacing w:before="200" w:after="0"/>
      <w:outlineLvl w:val="5"/>
    </w:pPr>
    <w:rPr>
      <w:rFonts w:ascii="Cambria" w:eastAsia="Times New Roman" w:hAnsi="Cambria"/>
      <w:i/>
      <w:iCs/>
      <w:color w:val="243F60"/>
      <w:lang w:val="x-none"/>
    </w:rPr>
  </w:style>
  <w:style w:type="paragraph" w:styleId="Nagwek7">
    <w:name w:val="heading 7"/>
    <w:basedOn w:val="Normalny"/>
    <w:next w:val="Normalny"/>
    <w:link w:val="Nagwek7Znak"/>
    <w:uiPriority w:val="9"/>
    <w:qFormat/>
    <w:rsid w:val="004E3242"/>
    <w:pPr>
      <w:keepNext/>
      <w:keepLines/>
      <w:spacing w:before="200" w:after="0"/>
      <w:outlineLvl w:val="6"/>
    </w:pPr>
    <w:rPr>
      <w:rFonts w:ascii="Cambria" w:eastAsia="Times New Roman" w:hAnsi="Cambria"/>
      <w:i/>
      <w:iCs/>
      <w:color w:val="404040"/>
      <w:lang w:val="x-none"/>
    </w:rPr>
  </w:style>
  <w:style w:type="paragraph" w:styleId="Nagwek8">
    <w:name w:val="heading 8"/>
    <w:basedOn w:val="Normalny"/>
    <w:next w:val="Normalny"/>
    <w:link w:val="Nagwek8Znak"/>
    <w:uiPriority w:val="9"/>
    <w:qFormat/>
    <w:rsid w:val="004E3242"/>
    <w:pPr>
      <w:keepNext/>
      <w:keepLines/>
      <w:spacing w:before="200" w:after="0"/>
      <w:outlineLvl w:val="7"/>
    </w:pPr>
    <w:rPr>
      <w:rFonts w:ascii="Cambria" w:eastAsia="Times New Roman" w:hAnsi="Cambria"/>
      <w:color w:val="404040"/>
      <w:sz w:val="20"/>
      <w:szCs w:val="20"/>
      <w:lang w:val="x-none"/>
    </w:rPr>
  </w:style>
  <w:style w:type="paragraph" w:styleId="Nagwek9">
    <w:name w:val="heading 9"/>
    <w:basedOn w:val="Normalny"/>
    <w:next w:val="Normalny"/>
    <w:link w:val="Nagwek9Znak"/>
    <w:uiPriority w:val="9"/>
    <w:qFormat/>
    <w:rsid w:val="004E3242"/>
    <w:pPr>
      <w:keepNext/>
      <w:keepLines/>
      <w:spacing w:before="200" w:after="0"/>
      <w:outlineLvl w:val="8"/>
    </w:pPr>
    <w:rPr>
      <w:rFonts w:ascii="Cambria" w:eastAsia="Times New Roman"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4E3242"/>
    <w:rPr>
      <w:rFonts w:ascii="Arial" w:hAnsi="Arial"/>
      <w:bCs/>
      <w:smallCaps/>
      <w:color w:val="000000"/>
      <w:spacing w:val="15"/>
      <w:sz w:val="32"/>
      <w:szCs w:val="22"/>
      <w:shd w:val="clear" w:color="auto" w:fill="99CC00"/>
    </w:rPr>
  </w:style>
  <w:style w:type="character" w:customStyle="1" w:styleId="Nagwek2Znak">
    <w:name w:val="Nagłówek 2 Znak"/>
    <w:link w:val="Nagwek2"/>
    <w:uiPriority w:val="9"/>
    <w:rsid w:val="004E3242"/>
    <w:rPr>
      <w:rFonts w:ascii="Arial" w:hAnsi="Arial"/>
      <w:smallCaps/>
      <w:color w:val="000000"/>
      <w:spacing w:val="15"/>
      <w:sz w:val="28"/>
      <w:szCs w:val="22"/>
      <w:shd w:val="clear" w:color="auto" w:fill="BFBFBF"/>
    </w:rPr>
  </w:style>
  <w:style w:type="character" w:customStyle="1" w:styleId="Nagwek3Znak">
    <w:name w:val="Nagłówek 3 Znak"/>
    <w:aliases w:val="npf 3 Znak"/>
    <w:link w:val="Nagwek3"/>
    <w:uiPriority w:val="9"/>
    <w:rsid w:val="004E3242"/>
    <w:rPr>
      <w:rFonts w:ascii="Arial" w:hAnsi="Arial"/>
      <w:caps/>
      <w:color w:val="000000"/>
      <w:spacing w:val="15"/>
      <w:sz w:val="24"/>
      <w:szCs w:val="22"/>
      <w:shd w:val="clear" w:color="auto" w:fill="D6E3BC"/>
    </w:rPr>
  </w:style>
  <w:style w:type="character" w:customStyle="1" w:styleId="Nagwek4Znak">
    <w:name w:val="Nagłówek 4 Znak"/>
    <w:aliases w:val="npf 4 Znak"/>
    <w:link w:val="Nagwek4"/>
    <w:uiPriority w:val="9"/>
    <w:rsid w:val="004E3242"/>
    <w:rPr>
      <w:rFonts w:ascii="Cambria" w:eastAsia="Times New Roman" w:hAnsi="Cambria"/>
      <w:b/>
      <w:bCs/>
      <w:i/>
      <w:iCs/>
      <w:color w:val="4F81BD"/>
      <w:sz w:val="22"/>
      <w:szCs w:val="22"/>
      <w:lang w:eastAsia="en-US"/>
    </w:rPr>
  </w:style>
  <w:style w:type="character" w:customStyle="1" w:styleId="Nagwek5Znak">
    <w:name w:val="Nagłówek 5 Znak"/>
    <w:link w:val="Nagwek5"/>
    <w:uiPriority w:val="9"/>
    <w:rsid w:val="004E3242"/>
    <w:rPr>
      <w:rFonts w:ascii="Cambria" w:eastAsia="Times New Roman" w:hAnsi="Cambria"/>
      <w:color w:val="243F60"/>
      <w:sz w:val="22"/>
      <w:szCs w:val="22"/>
      <w:lang w:eastAsia="en-US"/>
    </w:rPr>
  </w:style>
  <w:style w:type="character" w:customStyle="1" w:styleId="Nagwek6Znak">
    <w:name w:val="Nagłówek 6 Znak"/>
    <w:link w:val="Nagwek6"/>
    <w:uiPriority w:val="9"/>
    <w:rsid w:val="004E3242"/>
    <w:rPr>
      <w:rFonts w:ascii="Cambria" w:eastAsia="Times New Roman" w:hAnsi="Cambria"/>
      <w:i/>
      <w:iCs/>
      <w:color w:val="243F60"/>
      <w:sz w:val="22"/>
      <w:szCs w:val="22"/>
      <w:lang w:eastAsia="en-US"/>
    </w:rPr>
  </w:style>
  <w:style w:type="character" w:customStyle="1" w:styleId="Nagwek7Znak">
    <w:name w:val="Nagłówek 7 Znak"/>
    <w:link w:val="Nagwek7"/>
    <w:uiPriority w:val="9"/>
    <w:rsid w:val="004E3242"/>
    <w:rPr>
      <w:rFonts w:ascii="Cambria" w:eastAsia="Times New Roman" w:hAnsi="Cambria"/>
      <w:i/>
      <w:iCs/>
      <w:color w:val="404040"/>
      <w:sz w:val="22"/>
      <w:szCs w:val="22"/>
      <w:lang w:eastAsia="en-US"/>
    </w:rPr>
  </w:style>
  <w:style w:type="character" w:customStyle="1" w:styleId="Nagwek8Znak">
    <w:name w:val="Nagłówek 8 Znak"/>
    <w:link w:val="Nagwek8"/>
    <w:uiPriority w:val="9"/>
    <w:rsid w:val="004E3242"/>
    <w:rPr>
      <w:rFonts w:ascii="Cambria" w:eastAsia="Times New Roman" w:hAnsi="Cambria"/>
      <w:color w:val="404040"/>
      <w:lang w:eastAsia="en-US"/>
    </w:rPr>
  </w:style>
  <w:style w:type="character" w:customStyle="1" w:styleId="Nagwek9Znak">
    <w:name w:val="Nagłówek 9 Znak"/>
    <w:link w:val="Nagwek9"/>
    <w:uiPriority w:val="9"/>
    <w:rsid w:val="004E3242"/>
    <w:rPr>
      <w:rFonts w:ascii="Cambria" w:eastAsia="Times New Roman" w:hAnsi="Cambria"/>
      <w:i/>
      <w:iCs/>
      <w:color w:val="404040"/>
      <w:lang w:eastAsia="en-US"/>
    </w:rPr>
  </w:style>
  <w:style w:type="numbering" w:customStyle="1" w:styleId="Bezlisty1">
    <w:name w:val="Bez listy1"/>
    <w:next w:val="Bezlisty"/>
    <w:uiPriority w:val="99"/>
    <w:semiHidden/>
    <w:rsid w:val="004E3242"/>
  </w:style>
  <w:style w:type="paragraph" w:customStyle="1" w:styleId="ZnakZnak">
    <w:name w:val="Znak Znak"/>
    <w:basedOn w:val="Normalny"/>
    <w:rsid w:val="004E3242"/>
    <w:pPr>
      <w:spacing w:line="360" w:lineRule="auto"/>
      <w:jc w:val="both"/>
    </w:pPr>
    <w:rPr>
      <w:rFonts w:ascii="Verdana" w:hAnsi="Verdana"/>
      <w:sz w:val="20"/>
      <w:szCs w:val="20"/>
    </w:rPr>
  </w:style>
  <w:style w:type="paragraph" w:styleId="Stopka">
    <w:name w:val="footer"/>
    <w:basedOn w:val="Normalny"/>
    <w:link w:val="StopkaZnak"/>
    <w:uiPriority w:val="99"/>
    <w:rsid w:val="004E3242"/>
    <w:pPr>
      <w:tabs>
        <w:tab w:val="center" w:pos="4536"/>
        <w:tab w:val="right" w:pos="9072"/>
      </w:tabs>
    </w:pPr>
    <w:rPr>
      <w:lang w:val="x-none" w:eastAsia="x-none"/>
    </w:rPr>
  </w:style>
  <w:style w:type="character" w:customStyle="1" w:styleId="StopkaZnak">
    <w:name w:val="Stopka Znak"/>
    <w:link w:val="Stopka"/>
    <w:uiPriority w:val="99"/>
    <w:rsid w:val="004E3242"/>
    <w:rPr>
      <w:sz w:val="22"/>
      <w:szCs w:val="22"/>
      <w:lang w:val="x-none" w:eastAsia="x-none"/>
    </w:rPr>
  </w:style>
  <w:style w:type="character" w:styleId="Numerstrony">
    <w:name w:val="page number"/>
    <w:basedOn w:val="Domylnaczcionkaakapitu"/>
    <w:rsid w:val="004E3242"/>
  </w:style>
  <w:style w:type="character" w:styleId="Odwoaniedokomentarza">
    <w:name w:val="annotation reference"/>
    <w:uiPriority w:val="99"/>
    <w:rsid w:val="004E3242"/>
    <w:rPr>
      <w:sz w:val="16"/>
      <w:szCs w:val="16"/>
    </w:rPr>
  </w:style>
  <w:style w:type="paragraph" w:styleId="Tekstkomentarza">
    <w:name w:val="annotation text"/>
    <w:basedOn w:val="Normalny"/>
    <w:link w:val="TekstkomentarzaZnak"/>
    <w:uiPriority w:val="99"/>
    <w:rsid w:val="004E3242"/>
    <w:rPr>
      <w:sz w:val="20"/>
      <w:szCs w:val="20"/>
      <w:lang w:val="x-none"/>
    </w:rPr>
  </w:style>
  <w:style w:type="character" w:customStyle="1" w:styleId="TekstkomentarzaZnak">
    <w:name w:val="Tekst komentarza Znak"/>
    <w:link w:val="Tekstkomentarza"/>
    <w:uiPriority w:val="99"/>
    <w:rsid w:val="004E3242"/>
    <w:rPr>
      <w:lang w:eastAsia="en-US"/>
    </w:rPr>
  </w:style>
  <w:style w:type="paragraph" w:styleId="Tematkomentarza">
    <w:name w:val="annotation subject"/>
    <w:basedOn w:val="Tekstkomentarza"/>
    <w:next w:val="Tekstkomentarza"/>
    <w:link w:val="TematkomentarzaZnak"/>
    <w:uiPriority w:val="99"/>
    <w:semiHidden/>
    <w:rsid w:val="004E3242"/>
    <w:rPr>
      <w:b/>
      <w:bCs/>
    </w:rPr>
  </w:style>
  <w:style w:type="character" w:customStyle="1" w:styleId="TematkomentarzaZnak">
    <w:name w:val="Temat komentarza Znak"/>
    <w:link w:val="Tematkomentarza"/>
    <w:uiPriority w:val="99"/>
    <w:semiHidden/>
    <w:rsid w:val="004E3242"/>
    <w:rPr>
      <w:b/>
      <w:bCs/>
      <w:lang w:eastAsia="en-US"/>
    </w:rPr>
  </w:style>
  <w:style w:type="paragraph" w:styleId="Tekstdymka">
    <w:name w:val="Balloon Text"/>
    <w:basedOn w:val="Normalny"/>
    <w:link w:val="TekstdymkaZnak"/>
    <w:uiPriority w:val="99"/>
    <w:semiHidden/>
    <w:rsid w:val="004E3242"/>
    <w:rPr>
      <w:rFonts w:ascii="Tahoma" w:hAnsi="Tahoma"/>
      <w:sz w:val="16"/>
      <w:szCs w:val="16"/>
      <w:lang w:val="x-none"/>
    </w:rPr>
  </w:style>
  <w:style w:type="character" w:customStyle="1" w:styleId="TekstdymkaZnak">
    <w:name w:val="Tekst dymka Znak"/>
    <w:link w:val="Tekstdymka"/>
    <w:uiPriority w:val="99"/>
    <w:semiHidden/>
    <w:rsid w:val="004E3242"/>
    <w:rPr>
      <w:rFonts w:ascii="Tahoma" w:hAnsi="Tahoma" w:cs="Tahoma"/>
      <w:sz w:val="16"/>
      <w:szCs w:val="16"/>
      <w:lang w:eastAsia="en-US"/>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Znak Zn"/>
    <w:basedOn w:val="Normalny"/>
    <w:link w:val="TekstprzypisudolnegoZnak"/>
    <w:qFormat/>
    <w:rsid w:val="004E3242"/>
    <w:pPr>
      <w:spacing w:before="200"/>
    </w:pPr>
    <w:rPr>
      <w:noProof/>
      <w:sz w:val="20"/>
      <w:szCs w:val="20"/>
      <w:lang w:val="x-none" w:eastAsia="x-none"/>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link w:val="Tekstprzypisudolnego"/>
    <w:rsid w:val="004E3242"/>
    <w:rPr>
      <w:noProof/>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iPriority w:val="99"/>
    <w:unhideWhenUsed/>
    <w:rsid w:val="004E3242"/>
    <w:rPr>
      <w:vertAlign w:val="superscript"/>
    </w:rPr>
  </w:style>
  <w:style w:type="paragraph" w:customStyle="1" w:styleId="Default">
    <w:name w:val="Default"/>
    <w:rsid w:val="004E3242"/>
    <w:pPr>
      <w:autoSpaceDE w:val="0"/>
      <w:autoSpaceDN w:val="0"/>
      <w:adjustRightInd w:val="0"/>
    </w:pPr>
    <w:rPr>
      <w:rFonts w:cs="Calibri"/>
      <w:color w:val="000000"/>
      <w:sz w:val="24"/>
      <w:szCs w:val="24"/>
    </w:rPr>
  </w:style>
  <w:style w:type="paragraph" w:customStyle="1" w:styleId="Akapitzpierwszwcitlini">
    <w:name w:val="Akapit z pierwszą wciętą linią"/>
    <w:basedOn w:val="Normalny"/>
    <w:link w:val="AkapitzpierwszwcitliniZnak"/>
    <w:rsid w:val="004E3242"/>
    <w:pPr>
      <w:spacing w:after="120" w:line="360" w:lineRule="auto"/>
      <w:ind w:firstLine="709"/>
      <w:jc w:val="both"/>
    </w:pPr>
    <w:rPr>
      <w:rFonts w:ascii="Arial Narrow" w:hAnsi="Arial Narrow"/>
      <w:lang w:val="x-none"/>
    </w:rPr>
  </w:style>
  <w:style w:type="character" w:customStyle="1" w:styleId="AkapitzpierwszwcitliniZnak">
    <w:name w:val="Akapit z pierwszą wciętą linią Znak"/>
    <w:link w:val="Akapitzpierwszwcitlini"/>
    <w:locked/>
    <w:rsid w:val="004E3242"/>
    <w:rPr>
      <w:rFonts w:ascii="Arial Narrow" w:hAnsi="Arial Narrow"/>
      <w:sz w:val="22"/>
      <w:szCs w:val="22"/>
      <w:lang w:eastAsia="en-US"/>
    </w:rPr>
  </w:style>
  <w:style w:type="paragraph" w:customStyle="1" w:styleId="rdotablicy">
    <w:name w:val="Źródło tablicy"/>
    <w:basedOn w:val="Normalny"/>
    <w:rsid w:val="004E3242"/>
    <w:pPr>
      <w:spacing w:after="240" w:line="216" w:lineRule="auto"/>
      <w:jc w:val="both"/>
    </w:pPr>
    <w:rPr>
      <w:rFonts w:ascii="Arial Narrow" w:hAnsi="Arial Narrow"/>
      <w:i/>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link w:val="LegendaZnak1"/>
    <w:uiPriority w:val="35"/>
    <w:qFormat/>
    <w:rsid w:val="004E3242"/>
    <w:pPr>
      <w:spacing w:before="200"/>
    </w:pPr>
    <w:rPr>
      <w:b/>
      <w:bCs/>
      <w:color w:val="365F91"/>
      <w:sz w:val="16"/>
      <w:szCs w:val="16"/>
      <w:lang w:val="x-none" w:eastAsia="x-none"/>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Tabela n Znak"/>
    <w:link w:val="Legenda"/>
    <w:uiPriority w:val="35"/>
    <w:locked/>
    <w:rsid w:val="004E3242"/>
    <w:rPr>
      <w:b/>
      <w:bCs/>
      <w:color w:val="365F91"/>
      <w:sz w:val="16"/>
      <w:szCs w:val="16"/>
    </w:rPr>
  </w:style>
  <w:style w:type="character" w:styleId="Hipercze">
    <w:name w:val="Hyperlink"/>
    <w:uiPriority w:val="99"/>
    <w:unhideWhenUsed/>
    <w:rsid w:val="004E3242"/>
    <w:rPr>
      <w:color w:val="0000FF"/>
      <w:u w:val="single"/>
    </w:rPr>
  </w:style>
  <w:style w:type="paragraph" w:styleId="NormalnyWeb">
    <w:name w:val="Normal (Web)"/>
    <w:basedOn w:val="Normalny"/>
    <w:uiPriority w:val="99"/>
    <w:rsid w:val="004E3242"/>
    <w:pPr>
      <w:spacing w:before="100" w:beforeAutospacing="1" w:after="100" w:afterAutospacing="1"/>
    </w:pPr>
  </w:style>
  <w:style w:type="paragraph" w:styleId="Akapitzlist">
    <w:name w:val="List Paragraph"/>
    <w:basedOn w:val="Normalny"/>
    <w:link w:val="AkapitzlistZnak"/>
    <w:qFormat/>
    <w:rsid w:val="004E3242"/>
    <w:pPr>
      <w:ind w:left="720"/>
      <w:contextualSpacing/>
    </w:pPr>
    <w:rPr>
      <w:lang w:val="x-none"/>
    </w:rPr>
  </w:style>
  <w:style w:type="character" w:customStyle="1" w:styleId="AkapitzlistZnak">
    <w:name w:val="Akapit z listą Znak"/>
    <w:link w:val="Akapitzlist"/>
    <w:locked/>
    <w:rsid w:val="004E3242"/>
    <w:rPr>
      <w:sz w:val="22"/>
      <w:szCs w:val="22"/>
      <w:lang w:eastAsia="en-US"/>
    </w:rPr>
  </w:style>
  <w:style w:type="paragraph" w:customStyle="1" w:styleId="Tiret0">
    <w:name w:val="Tiret 0"/>
    <w:basedOn w:val="Normalny"/>
    <w:rsid w:val="004E3242"/>
    <w:pPr>
      <w:tabs>
        <w:tab w:val="num" w:pos="850"/>
      </w:tabs>
      <w:spacing w:before="120" w:after="120"/>
      <w:ind w:left="850" w:hanging="850"/>
      <w:jc w:val="both"/>
    </w:pPr>
  </w:style>
  <w:style w:type="paragraph" w:customStyle="1" w:styleId="Body1">
    <w:name w:val="Body 1"/>
    <w:rsid w:val="004E3242"/>
    <w:rPr>
      <w:rFonts w:ascii="Helvetica" w:eastAsia="Arial Unicode MS" w:hAnsi="Helvetica"/>
      <w:color w:val="000000"/>
      <w:sz w:val="24"/>
    </w:rPr>
  </w:style>
  <w:style w:type="paragraph" w:customStyle="1" w:styleId="Akapitzlist1">
    <w:name w:val="Akapit z listą1"/>
    <w:basedOn w:val="Normalny"/>
    <w:link w:val="ListParagraphChar"/>
    <w:rsid w:val="004E3242"/>
    <w:pPr>
      <w:spacing w:before="120" w:line="300" w:lineRule="auto"/>
      <w:ind w:left="720"/>
      <w:contextualSpacing/>
      <w:jc w:val="both"/>
    </w:pPr>
    <w:rPr>
      <w:lang w:val="x-none"/>
    </w:rPr>
  </w:style>
  <w:style w:type="character" w:customStyle="1" w:styleId="tabulatory">
    <w:name w:val="tabulatory"/>
    <w:basedOn w:val="Domylnaczcionkaakapitu"/>
    <w:rsid w:val="004E3242"/>
  </w:style>
  <w:style w:type="character" w:styleId="Pogrubienie">
    <w:name w:val="Strong"/>
    <w:aliases w:val="npf"/>
    <w:uiPriority w:val="22"/>
    <w:qFormat/>
    <w:rsid w:val="004E3242"/>
    <w:rPr>
      <w:rFonts w:cs="Times New Roman"/>
      <w:b/>
      <w:bCs/>
    </w:rPr>
  </w:style>
  <w:style w:type="paragraph" w:styleId="Tekstpodstawowy">
    <w:name w:val="Body Text"/>
    <w:basedOn w:val="Normalny"/>
    <w:link w:val="TekstpodstawowyZnak"/>
    <w:rsid w:val="004E3242"/>
    <w:pPr>
      <w:autoSpaceDE w:val="0"/>
      <w:autoSpaceDN w:val="0"/>
      <w:adjustRightInd w:val="0"/>
      <w:jc w:val="both"/>
    </w:pPr>
    <w:rPr>
      <w:b/>
      <w:bCs/>
      <w:szCs w:val="17"/>
      <w:lang w:val="x-none"/>
    </w:rPr>
  </w:style>
  <w:style w:type="character" w:customStyle="1" w:styleId="TekstpodstawowyZnak">
    <w:name w:val="Tekst podstawowy Znak"/>
    <w:link w:val="Tekstpodstawowy"/>
    <w:rsid w:val="004E3242"/>
    <w:rPr>
      <w:b/>
      <w:bCs/>
      <w:sz w:val="22"/>
      <w:szCs w:val="17"/>
      <w:lang w:eastAsia="en-US"/>
    </w:rPr>
  </w:style>
  <w:style w:type="paragraph" w:styleId="Zwykytekst">
    <w:name w:val="Plain Text"/>
    <w:basedOn w:val="Normalny"/>
    <w:link w:val="ZwykytekstZnak"/>
    <w:uiPriority w:val="99"/>
    <w:rsid w:val="004E3242"/>
    <w:rPr>
      <w:rFonts w:ascii="Courier New" w:hAnsi="Courier New"/>
      <w:sz w:val="20"/>
      <w:szCs w:val="20"/>
      <w:lang w:val="x-none" w:eastAsia="zh-CN"/>
    </w:rPr>
  </w:style>
  <w:style w:type="character" w:customStyle="1" w:styleId="ZwykytekstZnak">
    <w:name w:val="Zwykły tekst Znak"/>
    <w:link w:val="Zwykytekst"/>
    <w:uiPriority w:val="99"/>
    <w:rsid w:val="004E3242"/>
    <w:rPr>
      <w:rFonts w:ascii="Courier New" w:hAnsi="Courier New"/>
      <w:lang w:val="x-none" w:eastAsia="zh-CN"/>
    </w:rPr>
  </w:style>
  <w:style w:type="paragraph" w:customStyle="1" w:styleId="Style6">
    <w:name w:val="Style6"/>
    <w:basedOn w:val="Normalny"/>
    <w:rsid w:val="004E3242"/>
    <w:pPr>
      <w:widowControl w:val="0"/>
      <w:autoSpaceDE w:val="0"/>
      <w:autoSpaceDN w:val="0"/>
      <w:adjustRightInd w:val="0"/>
      <w:spacing w:line="274" w:lineRule="exact"/>
      <w:ind w:hanging="725"/>
    </w:pPr>
  </w:style>
  <w:style w:type="paragraph" w:styleId="Tytu">
    <w:name w:val="Title"/>
    <w:basedOn w:val="Normalny"/>
    <w:next w:val="Normalny"/>
    <w:link w:val="TytuZnak"/>
    <w:uiPriority w:val="10"/>
    <w:qFormat/>
    <w:rsid w:val="004E3242"/>
    <w:pPr>
      <w:spacing w:before="120" w:after="120"/>
      <w:jc w:val="center"/>
    </w:pPr>
    <w:rPr>
      <w:rFonts w:ascii="Arial" w:hAnsi="Arial"/>
      <w:smallCaps/>
      <w:color w:val="808080"/>
      <w:spacing w:val="10"/>
      <w:kern w:val="28"/>
      <w:sz w:val="44"/>
      <w:szCs w:val="52"/>
      <w:lang w:val="x-none" w:eastAsia="x-none"/>
    </w:rPr>
  </w:style>
  <w:style w:type="character" w:customStyle="1" w:styleId="TytuZnak">
    <w:name w:val="Tytuł Znak"/>
    <w:link w:val="Tytu"/>
    <w:uiPriority w:val="10"/>
    <w:rsid w:val="004E3242"/>
    <w:rPr>
      <w:rFonts w:ascii="Arial" w:hAnsi="Arial"/>
      <w:smallCaps/>
      <w:color w:val="808080"/>
      <w:spacing w:val="10"/>
      <w:kern w:val="28"/>
      <w:sz w:val="44"/>
      <w:szCs w:val="52"/>
    </w:rPr>
  </w:style>
  <w:style w:type="paragraph" w:customStyle="1" w:styleId="bodytext">
    <w:name w:val="bodytext"/>
    <w:basedOn w:val="Normalny"/>
    <w:rsid w:val="004E3242"/>
  </w:style>
  <w:style w:type="character" w:styleId="Uwydatnienie">
    <w:name w:val="Emphasis"/>
    <w:uiPriority w:val="20"/>
    <w:qFormat/>
    <w:rsid w:val="004E3242"/>
    <w:rPr>
      <w:caps/>
      <w:color w:val="243F60"/>
      <w:spacing w:val="5"/>
    </w:rPr>
  </w:style>
  <w:style w:type="character" w:customStyle="1" w:styleId="st1">
    <w:name w:val="st1"/>
    <w:basedOn w:val="Domylnaczcionkaakapitu"/>
    <w:rsid w:val="004E3242"/>
  </w:style>
  <w:style w:type="character" w:customStyle="1" w:styleId="st">
    <w:name w:val="st"/>
    <w:basedOn w:val="Domylnaczcionkaakapitu"/>
    <w:rsid w:val="004E3242"/>
  </w:style>
  <w:style w:type="table" w:styleId="Tabela-SieWeb1">
    <w:name w:val="Table Web 1"/>
    <w:basedOn w:val="Standardowy"/>
    <w:rsid w:val="004E32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Lista4">
    <w:name w:val="Table List 4"/>
    <w:basedOn w:val="Standardowy"/>
    <w:rsid w:val="004E3242"/>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uletyo">
    <w:name w:val="bulety o"/>
    <w:basedOn w:val="Normalny"/>
    <w:rsid w:val="004E3242"/>
    <w:pPr>
      <w:tabs>
        <w:tab w:val="num" w:pos="360"/>
      </w:tabs>
      <w:suppressAutoHyphens/>
      <w:spacing w:line="288" w:lineRule="auto"/>
      <w:ind w:left="360" w:hanging="360"/>
      <w:jc w:val="both"/>
    </w:pPr>
    <w:rPr>
      <w:rFonts w:ascii="Tahoma" w:hAnsi="Tahoma" w:cs="Tahoma"/>
      <w:sz w:val="19"/>
      <w:szCs w:val="18"/>
    </w:rPr>
  </w:style>
  <w:style w:type="paragraph" w:customStyle="1" w:styleId="Number">
    <w:name w:val="Number"/>
    <w:basedOn w:val="Normalny"/>
    <w:rsid w:val="004E3242"/>
    <w:pPr>
      <w:tabs>
        <w:tab w:val="num" w:pos="357"/>
      </w:tabs>
      <w:suppressAutoHyphens/>
      <w:spacing w:before="40" w:line="288" w:lineRule="auto"/>
      <w:ind w:left="360" w:hanging="360"/>
      <w:jc w:val="both"/>
    </w:pPr>
    <w:rPr>
      <w:rFonts w:ascii="Tahoma" w:hAnsi="Tahoma"/>
      <w:sz w:val="19"/>
      <w:szCs w:val="20"/>
    </w:rPr>
  </w:style>
  <w:style w:type="paragraph" w:customStyle="1" w:styleId="Tiret3">
    <w:name w:val="Tiret 3"/>
    <w:basedOn w:val="Normalny"/>
    <w:rsid w:val="004E3242"/>
    <w:pPr>
      <w:tabs>
        <w:tab w:val="num" w:pos="2551"/>
      </w:tabs>
      <w:suppressAutoHyphens/>
      <w:spacing w:before="120" w:line="288" w:lineRule="auto"/>
      <w:ind w:left="2551" w:hanging="567"/>
      <w:jc w:val="both"/>
    </w:pPr>
    <w:rPr>
      <w:rFonts w:ascii="Tahoma" w:hAnsi="Tahoma" w:cs="Tahoma"/>
      <w:sz w:val="19"/>
      <w:szCs w:val="18"/>
    </w:rPr>
  </w:style>
  <w:style w:type="paragraph" w:styleId="Tekstpodstawowywcity">
    <w:name w:val="Body Text Indent"/>
    <w:basedOn w:val="Normalny"/>
    <w:link w:val="TekstpodstawowywcityZnak"/>
    <w:rsid w:val="004E3242"/>
    <w:pPr>
      <w:spacing w:after="120"/>
      <w:ind w:left="283"/>
    </w:pPr>
    <w:rPr>
      <w:lang w:val="x-none"/>
    </w:rPr>
  </w:style>
  <w:style w:type="character" w:customStyle="1" w:styleId="TekstpodstawowywcityZnak">
    <w:name w:val="Tekst podstawowy wcięty Znak"/>
    <w:link w:val="Tekstpodstawowywcity"/>
    <w:rsid w:val="004E3242"/>
    <w:rPr>
      <w:sz w:val="22"/>
      <w:szCs w:val="22"/>
      <w:lang w:eastAsia="en-US"/>
    </w:rPr>
  </w:style>
  <w:style w:type="paragraph" w:styleId="Tekstprzypisukocowego">
    <w:name w:val="endnote text"/>
    <w:basedOn w:val="Normalny"/>
    <w:link w:val="TekstprzypisukocowegoZnak"/>
    <w:rsid w:val="004E3242"/>
    <w:rPr>
      <w:sz w:val="20"/>
      <w:szCs w:val="20"/>
      <w:lang w:val="x-none"/>
    </w:rPr>
  </w:style>
  <w:style w:type="character" w:customStyle="1" w:styleId="TekstprzypisukocowegoZnak">
    <w:name w:val="Tekst przypisu końcowego Znak"/>
    <w:link w:val="Tekstprzypisukocowego"/>
    <w:rsid w:val="004E3242"/>
    <w:rPr>
      <w:lang w:eastAsia="en-US"/>
    </w:rPr>
  </w:style>
  <w:style w:type="character" w:styleId="Odwoanieprzypisukocowego">
    <w:name w:val="endnote reference"/>
    <w:rsid w:val="004E3242"/>
    <w:rPr>
      <w:vertAlign w:val="superscript"/>
    </w:rPr>
  </w:style>
  <w:style w:type="table" w:styleId="Tabela-Siatka">
    <w:name w:val="Table Grid"/>
    <w:basedOn w:val="Standardowy"/>
    <w:rsid w:val="004E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Arial">
    <w:name w:val="Normalny + Arial"/>
    <w:aliases w:val="10 pt"/>
    <w:basedOn w:val="Normalny"/>
    <w:rsid w:val="004E3242"/>
    <w:pPr>
      <w:spacing w:after="120" w:line="360" w:lineRule="auto"/>
      <w:jc w:val="both"/>
    </w:pPr>
    <w:rPr>
      <w:rFonts w:ascii="Arial" w:hAnsi="Arial" w:cs="Arial"/>
      <w:sz w:val="20"/>
      <w:szCs w:val="20"/>
    </w:rPr>
  </w:style>
  <w:style w:type="paragraph" w:customStyle="1" w:styleId="ola1">
    <w:name w:val="ola1"/>
    <w:basedOn w:val="Normalny"/>
    <w:link w:val="ola1Znak"/>
    <w:rsid w:val="004E3242"/>
    <w:pPr>
      <w:spacing w:line="360" w:lineRule="auto"/>
      <w:jc w:val="both"/>
    </w:pPr>
    <w:rPr>
      <w:rFonts w:ascii="Arial" w:hAnsi="Arial"/>
      <w:b/>
      <w:lang w:val="x-none"/>
    </w:rPr>
  </w:style>
  <w:style w:type="character" w:customStyle="1" w:styleId="ola1Znak">
    <w:name w:val="ola1 Znak"/>
    <w:link w:val="ola1"/>
    <w:rsid w:val="004E3242"/>
    <w:rPr>
      <w:rFonts w:ascii="Arial" w:hAnsi="Arial" w:cs="Arial"/>
      <w:b/>
      <w:sz w:val="22"/>
      <w:szCs w:val="22"/>
      <w:lang w:eastAsia="en-US"/>
    </w:rPr>
  </w:style>
  <w:style w:type="paragraph" w:customStyle="1" w:styleId="ola2">
    <w:name w:val="ola2"/>
    <w:basedOn w:val="Normalny"/>
    <w:link w:val="ola2Znak"/>
    <w:rsid w:val="004E3242"/>
    <w:pPr>
      <w:numPr>
        <w:ilvl w:val="1"/>
        <w:numId w:val="1"/>
      </w:numPr>
      <w:spacing w:line="360" w:lineRule="auto"/>
      <w:jc w:val="both"/>
    </w:pPr>
    <w:rPr>
      <w:rFonts w:ascii="Arial" w:hAnsi="Arial"/>
      <w:b/>
      <w:sz w:val="20"/>
      <w:szCs w:val="20"/>
      <w:lang w:val="x-none"/>
    </w:rPr>
  </w:style>
  <w:style w:type="character" w:customStyle="1" w:styleId="ola2Znak">
    <w:name w:val="ola2 Znak"/>
    <w:link w:val="ola2"/>
    <w:rsid w:val="004E3242"/>
    <w:rPr>
      <w:rFonts w:ascii="Arial" w:hAnsi="Arial"/>
      <w:b/>
      <w:lang w:val="x-none" w:eastAsia="en-US"/>
    </w:rPr>
  </w:style>
  <w:style w:type="paragraph" w:customStyle="1" w:styleId="ola3">
    <w:name w:val="ola3"/>
    <w:basedOn w:val="Normalny"/>
    <w:link w:val="ola3Znak"/>
    <w:rsid w:val="004E3242"/>
    <w:pPr>
      <w:numPr>
        <w:ilvl w:val="2"/>
        <w:numId w:val="1"/>
      </w:numPr>
      <w:spacing w:line="360" w:lineRule="auto"/>
      <w:jc w:val="both"/>
    </w:pPr>
    <w:rPr>
      <w:rFonts w:ascii="Arial" w:hAnsi="Arial"/>
      <w:b/>
      <w:sz w:val="20"/>
      <w:szCs w:val="20"/>
      <w:lang w:val="x-none"/>
    </w:rPr>
  </w:style>
  <w:style w:type="character" w:customStyle="1" w:styleId="ola3Znak">
    <w:name w:val="ola3 Znak"/>
    <w:link w:val="ola3"/>
    <w:rsid w:val="004E3242"/>
    <w:rPr>
      <w:rFonts w:ascii="Arial" w:hAnsi="Arial"/>
      <w:b/>
      <w:lang w:val="x-none" w:eastAsia="en-US"/>
    </w:rPr>
  </w:style>
  <w:style w:type="paragraph" w:styleId="Spistreci1">
    <w:name w:val="toc 1"/>
    <w:basedOn w:val="Normalny"/>
    <w:next w:val="Normalny"/>
    <w:autoRedefine/>
    <w:uiPriority w:val="39"/>
    <w:rsid w:val="004E3242"/>
    <w:pPr>
      <w:tabs>
        <w:tab w:val="left" w:pos="540"/>
        <w:tab w:val="right" w:leader="dot" w:pos="9060"/>
      </w:tabs>
      <w:spacing w:before="120" w:after="120"/>
      <w:jc w:val="both"/>
    </w:pPr>
    <w:rPr>
      <w:rFonts w:ascii="Arial" w:eastAsia="Times New Roman" w:hAnsi="Arial" w:cs="Arial"/>
      <w:b/>
      <w:bCs/>
      <w:caps/>
      <w:noProof/>
      <w:spacing w:val="4"/>
      <w:sz w:val="20"/>
      <w:szCs w:val="20"/>
    </w:rPr>
  </w:style>
  <w:style w:type="paragraph" w:styleId="Spistreci2">
    <w:name w:val="toc 2"/>
    <w:basedOn w:val="Normalny"/>
    <w:next w:val="Normalny"/>
    <w:autoRedefine/>
    <w:uiPriority w:val="39"/>
    <w:rsid w:val="004E3242"/>
    <w:pPr>
      <w:tabs>
        <w:tab w:val="left" w:pos="960"/>
        <w:tab w:val="right" w:leader="dot" w:pos="9060"/>
      </w:tabs>
      <w:spacing w:before="120" w:after="120" w:line="240" w:lineRule="auto"/>
      <w:ind w:left="240"/>
      <w:jc w:val="both"/>
    </w:pPr>
    <w:rPr>
      <w:smallCaps/>
      <w:sz w:val="20"/>
      <w:szCs w:val="20"/>
    </w:rPr>
  </w:style>
  <w:style w:type="paragraph" w:styleId="Spistreci3">
    <w:name w:val="toc 3"/>
    <w:basedOn w:val="Normalny"/>
    <w:next w:val="Normalny"/>
    <w:autoRedefine/>
    <w:uiPriority w:val="39"/>
    <w:rsid w:val="004E3242"/>
    <w:pPr>
      <w:tabs>
        <w:tab w:val="left" w:pos="1260"/>
        <w:tab w:val="right" w:leader="dot" w:pos="9060"/>
      </w:tabs>
      <w:spacing w:line="360" w:lineRule="auto"/>
      <w:ind w:left="540" w:hanging="60"/>
    </w:pPr>
    <w:rPr>
      <w:rFonts w:ascii="Arial" w:hAnsi="Arial" w:cs="Arial"/>
      <w:bCs/>
      <w:i/>
      <w:iCs/>
      <w:noProof/>
      <w:spacing w:val="4"/>
      <w:sz w:val="18"/>
      <w:szCs w:val="18"/>
    </w:rPr>
  </w:style>
  <w:style w:type="paragraph" w:styleId="Spistreci4">
    <w:name w:val="toc 4"/>
    <w:basedOn w:val="Normalny"/>
    <w:next w:val="Normalny"/>
    <w:autoRedefine/>
    <w:rsid w:val="004E3242"/>
    <w:pPr>
      <w:ind w:left="720"/>
    </w:pPr>
    <w:rPr>
      <w:sz w:val="18"/>
      <w:szCs w:val="18"/>
    </w:rPr>
  </w:style>
  <w:style w:type="paragraph" w:styleId="Spistreci5">
    <w:name w:val="toc 5"/>
    <w:basedOn w:val="Normalny"/>
    <w:next w:val="Normalny"/>
    <w:autoRedefine/>
    <w:rsid w:val="004E3242"/>
    <w:pPr>
      <w:ind w:left="960"/>
    </w:pPr>
    <w:rPr>
      <w:sz w:val="18"/>
      <w:szCs w:val="18"/>
    </w:rPr>
  </w:style>
  <w:style w:type="paragraph" w:styleId="Spistreci6">
    <w:name w:val="toc 6"/>
    <w:basedOn w:val="Normalny"/>
    <w:next w:val="Normalny"/>
    <w:autoRedefine/>
    <w:rsid w:val="004E3242"/>
    <w:pPr>
      <w:ind w:left="1200"/>
    </w:pPr>
    <w:rPr>
      <w:sz w:val="18"/>
      <w:szCs w:val="18"/>
    </w:rPr>
  </w:style>
  <w:style w:type="paragraph" w:styleId="Spistreci7">
    <w:name w:val="toc 7"/>
    <w:basedOn w:val="Normalny"/>
    <w:next w:val="Normalny"/>
    <w:autoRedefine/>
    <w:rsid w:val="004E3242"/>
    <w:pPr>
      <w:ind w:left="1440"/>
    </w:pPr>
    <w:rPr>
      <w:sz w:val="18"/>
      <w:szCs w:val="18"/>
    </w:rPr>
  </w:style>
  <w:style w:type="paragraph" w:styleId="Spistreci8">
    <w:name w:val="toc 8"/>
    <w:basedOn w:val="Normalny"/>
    <w:next w:val="Normalny"/>
    <w:autoRedefine/>
    <w:rsid w:val="004E3242"/>
    <w:pPr>
      <w:ind w:left="1680"/>
    </w:pPr>
    <w:rPr>
      <w:sz w:val="18"/>
      <w:szCs w:val="18"/>
    </w:rPr>
  </w:style>
  <w:style w:type="paragraph" w:styleId="Spistreci9">
    <w:name w:val="toc 9"/>
    <w:basedOn w:val="Normalny"/>
    <w:next w:val="Normalny"/>
    <w:autoRedefine/>
    <w:rsid w:val="004E3242"/>
    <w:pPr>
      <w:ind w:left="1920"/>
    </w:pPr>
    <w:rPr>
      <w:sz w:val="18"/>
      <w:szCs w:val="18"/>
    </w:rPr>
  </w:style>
  <w:style w:type="paragraph" w:styleId="Nagwek">
    <w:name w:val="header"/>
    <w:basedOn w:val="Normalny"/>
    <w:link w:val="NagwekZnak"/>
    <w:rsid w:val="004E3242"/>
    <w:pPr>
      <w:tabs>
        <w:tab w:val="center" w:pos="4536"/>
        <w:tab w:val="right" w:pos="9072"/>
      </w:tabs>
    </w:pPr>
    <w:rPr>
      <w:lang w:val="x-none"/>
    </w:rPr>
  </w:style>
  <w:style w:type="character" w:customStyle="1" w:styleId="NagwekZnak">
    <w:name w:val="Nagłówek Znak"/>
    <w:link w:val="Nagwek"/>
    <w:rsid w:val="004E3242"/>
    <w:rPr>
      <w:sz w:val="22"/>
      <w:szCs w:val="22"/>
      <w:lang w:eastAsia="en-US"/>
    </w:rPr>
  </w:style>
  <w:style w:type="paragraph" w:customStyle="1" w:styleId="CM4">
    <w:name w:val="CM4"/>
    <w:basedOn w:val="Normalny"/>
    <w:next w:val="Normalny"/>
    <w:rsid w:val="004E3242"/>
    <w:pPr>
      <w:autoSpaceDE w:val="0"/>
      <w:autoSpaceDN w:val="0"/>
      <w:adjustRightInd w:val="0"/>
      <w:spacing w:before="60" w:after="60"/>
    </w:pPr>
    <w:rPr>
      <w:rFonts w:ascii="EUAlbertina" w:hAnsi="EUAlbertina"/>
    </w:rPr>
  </w:style>
  <w:style w:type="paragraph" w:customStyle="1" w:styleId="ColorfulList-Accent11">
    <w:name w:val="Colorful List - Accent 11"/>
    <w:basedOn w:val="Normalny"/>
    <w:link w:val="Kolorowalistaakcent1Znak"/>
    <w:rsid w:val="004E3242"/>
    <w:pPr>
      <w:ind w:left="720"/>
    </w:pPr>
    <w:rPr>
      <w:rFonts w:ascii="Cambria" w:hAnsi="Cambria"/>
      <w:lang w:val="en-US"/>
    </w:rPr>
  </w:style>
  <w:style w:type="character" w:customStyle="1" w:styleId="Kolorowalistaakcent1Znak">
    <w:name w:val="Kolorowa lista — akcent 1 Znak"/>
    <w:link w:val="ColorfulList-Accent11"/>
    <w:locked/>
    <w:rsid w:val="004E3242"/>
    <w:rPr>
      <w:rFonts w:ascii="Cambria" w:hAnsi="Cambria"/>
      <w:sz w:val="22"/>
      <w:szCs w:val="22"/>
      <w:lang w:val="en-US" w:eastAsia="en-US"/>
    </w:rPr>
  </w:style>
  <w:style w:type="paragraph" w:customStyle="1" w:styleId="ListParagraph1">
    <w:name w:val="List Paragraph1"/>
    <w:basedOn w:val="Normalny"/>
    <w:rsid w:val="004E3242"/>
    <w:pPr>
      <w:spacing w:before="120" w:line="300" w:lineRule="auto"/>
      <w:ind w:left="720"/>
      <w:jc w:val="both"/>
    </w:pPr>
    <w:rPr>
      <w:rFonts w:cs="Calibri"/>
    </w:rPr>
  </w:style>
  <w:style w:type="paragraph" w:styleId="Poprawka">
    <w:name w:val="Revision"/>
    <w:hidden/>
    <w:uiPriority w:val="99"/>
    <w:semiHidden/>
    <w:rsid w:val="004E3242"/>
    <w:rPr>
      <w:sz w:val="24"/>
      <w:szCs w:val="24"/>
    </w:rPr>
  </w:style>
  <w:style w:type="character" w:customStyle="1" w:styleId="shorttext">
    <w:name w:val="short_text"/>
    <w:basedOn w:val="Domylnaczcionkaakapitu"/>
    <w:rsid w:val="004E3242"/>
  </w:style>
  <w:style w:type="character" w:customStyle="1" w:styleId="hps">
    <w:name w:val="hps"/>
    <w:basedOn w:val="Domylnaczcionkaakapitu"/>
    <w:rsid w:val="004E3242"/>
  </w:style>
  <w:style w:type="paragraph" w:styleId="Listanumerowana">
    <w:name w:val="List Number"/>
    <w:basedOn w:val="Normalny"/>
    <w:rsid w:val="004E3242"/>
    <w:pPr>
      <w:tabs>
        <w:tab w:val="num" w:pos="709"/>
      </w:tabs>
      <w:spacing w:after="240"/>
      <w:ind w:left="709" w:hanging="709"/>
      <w:jc w:val="both"/>
    </w:pPr>
    <w:rPr>
      <w:szCs w:val="20"/>
      <w:lang w:val="en-GB"/>
    </w:rPr>
  </w:style>
  <w:style w:type="paragraph" w:customStyle="1" w:styleId="ListNumberLevel2">
    <w:name w:val="List Number (Level 2)"/>
    <w:basedOn w:val="Normalny"/>
    <w:rsid w:val="004E3242"/>
    <w:pPr>
      <w:tabs>
        <w:tab w:val="num" w:pos="1417"/>
      </w:tabs>
      <w:spacing w:after="240"/>
      <w:ind w:left="1417" w:hanging="708"/>
      <w:jc w:val="both"/>
    </w:pPr>
    <w:rPr>
      <w:szCs w:val="20"/>
      <w:lang w:val="en-GB"/>
    </w:rPr>
  </w:style>
  <w:style w:type="paragraph" w:customStyle="1" w:styleId="ListNumberLevel3">
    <w:name w:val="List Number (Level 3)"/>
    <w:basedOn w:val="Normalny"/>
    <w:rsid w:val="004E3242"/>
    <w:pPr>
      <w:tabs>
        <w:tab w:val="num" w:pos="2126"/>
      </w:tabs>
      <w:spacing w:after="240"/>
      <w:ind w:left="2126" w:hanging="709"/>
      <w:jc w:val="both"/>
    </w:pPr>
    <w:rPr>
      <w:szCs w:val="20"/>
      <w:lang w:val="en-GB"/>
    </w:rPr>
  </w:style>
  <w:style w:type="paragraph" w:customStyle="1" w:styleId="ListNumberLevel4">
    <w:name w:val="List Number (Level 4)"/>
    <w:basedOn w:val="Normalny"/>
    <w:rsid w:val="004E3242"/>
    <w:pPr>
      <w:tabs>
        <w:tab w:val="num" w:pos="2835"/>
      </w:tabs>
      <w:spacing w:after="240"/>
      <w:ind w:left="2835" w:hanging="709"/>
      <w:jc w:val="both"/>
    </w:pPr>
    <w:rPr>
      <w:szCs w:val="20"/>
      <w:lang w:val="en-GB"/>
    </w:rPr>
  </w:style>
  <w:style w:type="paragraph" w:customStyle="1" w:styleId="Prliminairetype">
    <w:name w:val="Préliminaire type"/>
    <w:basedOn w:val="Normalny"/>
    <w:next w:val="Normalny"/>
    <w:rsid w:val="004E3242"/>
    <w:pPr>
      <w:spacing w:before="360"/>
      <w:jc w:val="center"/>
    </w:pPr>
    <w:rPr>
      <w:b/>
      <w:lang w:val="en-GB" w:eastAsia="de-DE"/>
    </w:rPr>
  </w:style>
  <w:style w:type="paragraph" w:customStyle="1" w:styleId="ZnakZnak5">
    <w:name w:val="Znak Znak5"/>
    <w:basedOn w:val="Normalny"/>
    <w:rsid w:val="004E3242"/>
    <w:pPr>
      <w:spacing w:line="360" w:lineRule="auto"/>
      <w:jc w:val="both"/>
    </w:pPr>
    <w:rPr>
      <w:rFonts w:ascii="Verdana" w:hAnsi="Verdana"/>
      <w:sz w:val="20"/>
      <w:szCs w:val="20"/>
    </w:rPr>
  </w:style>
  <w:style w:type="character" w:customStyle="1" w:styleId="Teksttreci">
    <w:name w:val="Tekst treści_"/>
    <w:link w:val="Teksttreci0"/>
    <w:rsid w:val="004E3242"/>
    <w:rPr>
      <w:rFonts w:ascii="Arial" w:eastAsia="Arial" w:hAnsi="Arial"/>
      <w:sz w:val="22"/>
      <w:szCs w:val="22"/>
      <w:shd w:val="clear" w:color="auto" w:fill="FFFFFF"/>
    </w:rPr>
  </w:style>
  <w:style w:type="paragraph" w:customStyle="1" w:styleId="Teksttreci0">
    <w:name w:val="Tekst treści"/>
    <w:basedOn w:val="Normalny"/>
    <w:link w:val="Teksttreci"/>
    <w:rsid w:val="004E3242"/>
    <w:pPr>
      <w:widowControl w:val="0"/>
      <w:shd w:val="clear" w:color="auto" w:fill="FFFFFF"/>
      <w:spacing w:before="6720" w:line="547" w:lineRule="exact"/>
      <w:ind w:hanging="720"/>
      <w:jc w:val="center"/>
    </w:pPr>
    <w:rPr>
      <w:rFonts w:ascii="Arial" w:eastAsia="Arial" w:hAnsi="Arial"/>
      <w:shd w:val="clear" w:color="auto" w:fill="FFFFFF"/>
      <w:lang w:val="x-none" w:eastAsia="x-none"/>
    </w:rPr>
  </w:style>
  <w:style w:type="character" w:customStyle="1" w:styleId="FootnoteTextChar">
    <w:name w:val="Footnote Text Char"/>
    <w:semiHidden/>
    <w:locked/>
    <w:rsid w:val="004E3242"/>
    <w:rPr>
      <w:rFonts w:ascii="Calibri" w:hAnsi="Calibri"/>
      <w:lang w:val="pl-PL" w:eastAsia="en-US" w:bidi="ar-SA"/>
    </w:rPr>
  </w:style>
  <w:style w:type="character" w:customStyle="1" w:styleId="ZnakZnak12">
    <w:name w:val="Znak Znak12"/>
    <w:rsid w:val="004E3242"/>
    <w:rPr>
      <w:rFonts w:ascii="Cambria" w:eastAsia="Times New Roman" w:hAnsi="Cambria"/>
      <w:b/>
      <w:bCs/>
      <w:color w:val="4F81BD"/>
      <w:sz w:val="22"/>
      <w:szCs w:val="22"/>
      <w:lang w:eastAsia="en-US"/>
    </w:rPr>
  </w:style>
  <w:style w:type="table" w:customStyle="1" w:styleId="Jasnasiatka1">
    <w:name w:val="Jasna siatka1"/>
    <w:basedOn w:val="Standardowy"/>
    <w:rsid w:val="004E324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Wyrnienieintensywne">
    <w:name w:val="Intense Emphasis"/>
    <w:uiPriority w:val="21"/>
    <w:qFormat/>
    <w:rsid w:val="004E3242"/>
    <w:rPr>
      <w:b/>
      <w:bCs/>
      <w:i/>
      <w:iCs/>
      <w:color w:val="4F81BD"/>
    </w:rPr>
  </w:style>
  <w:style w:type="table" w:customStyle="1" w:styleId="Jasnecieniowanie1">
    <w:name w:val="Jasne cieniowanie1"/>
    <w:basedOn w:val="Standardowy"/>
    <w:rsid w:val="004E32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agwekspisutreci">
    <w:name w:val="TOC Heading"/>
    <w:basedOn w:val="Nagwek1"/>
    <w:next w:val="Normalny"/>
    <w:uiPriority w:val="39"/>
    <w:qFormat/>
    <w:rsid w:val="004E324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eastAsia="Times New Roman" w:hAnsi="Cambria"/>
      <w:b/>
      <w:smallCaps w:val="0"/>
      <w:color w:val="365F91"/>
      <w:spacing w:val="0"/>
      <w:szCs w:val="28"/>
      <w:lang w:eastAsia="en-US"/>
    </w:rPr>
  </w:style>
  <w:style w:type="table" w:customStyle="1" w:styleId="rednialista21">
    <w:name w:val="Średnia lista 21"/>
    <w:basedOn w:val="Standardowy"/>
    <w:rsid w:val="004E324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ZnakZnak0">
    <w:name w:val="Znak Znak"/>
    <w:basedOn w:val="Normalny"/>
    <w:uiPriority w:val="99"/>
    <w:rsid w:val="004E3242"/>
    <w:pPr>
      <w:spacing w:line="360" w:lineRule="auto"/>
      <w:jc w:val="both"/>
    </w:pPr>
    <w:rPr>
      <w:rFonts w:ascii="Verdana" w:hAnsi="Verdana"/>
      <w:sz w:val="20"/>
      <w:szCs w:val="20"/>
    </w:rPr>
  </w:style>
  <w:style w:type="paragraph" w:customStyle="1" w:styleId="Tekstpodstawowy21">
    <w:name w:val="Tekst podstawowy 21"/>
    <w:basedOn w:val="Normalny"/>
    <w:rsid w:val="004E3242"/>
    <w:pPr>
      <w:suppressAutoHyphens/>
      <w:jc w:val="both"/>
    </w:pPr>
    <w:rPr>
      <w:color w:val="0000FF"/>
      <w:lang w:val="nl-NL" w:eastAsia="ar-SA"/>
    </w:rPr>
  </w:style>
  <w:style w:type="paragraph" w:customStyle="1" w:styleId="numerki">
    <w:name w:val="numerki"/>
    <w:basedOn w:val="Akapitzlist"/>
    <w:rsid w:val="004E3242"/>
    <w:pPr>
      <w:numPr>
        <w:numId w:val="2"/>
      </w:numPr>
      <w:spacing w:after="120"/>
      <w:ind w:left="0" w:firstLine="0"/>
      <w:contextualSpacing w:val="0"/>
      <w:jc w:val="both"/>
    </w:pPr>
    <w:rPr>
      <w:rFonts w:ascii="Times New Roman" w:eastAsia="Times New Roman" w:hAnsi="Times New Roman"/>
      <w:szCs w:val="20"/>
      <w:lang w:eastAsia="pl-PL"/>
    </w:rPr>
  </w:style>
  <w:style w:type="paragraph" w:styleId="Spisilustracji">
    <w:name w:val="table of figures"/>
    <w:basedOn w:val="Normalny"/>
    <w:next w:val="Normalny"/>
    <w:unhideWhenUsed/>
    <w:rsid w:val="004E3242"/>
    <w:pPr>
      <w:spacing w:line="300" w:lineRule="auto"/>
      <w:ind w:left="440" w:hanging="440"/>
    </w:pPr>
    <w:rPr>
      <w:smallCaps/>
      <w:sz w:val="20"/>
      <w:szCs w:val="20"/>
    </w:rPr>
  </w:style>
  <w:style w:type="paragraph" w:customStyle="1" w:styleId="Ryzunek">
    <w:name w:val="Ryzunek"/>
    <w:basedOn w:val="Normalny"/>
    <w:link w:val="RyzunekZnak"/>
    <w:rsid w:val="004E3242"/>
    <w:pPr>
      <w:spacing w:before="120" w:after="60" w:line="300" w:lineRule="auto"/>
      <w:jc w:val="both"/>
    </w:pPr>
    <w:rPr>
      <w:sz w:val="20"/>
      <w:szCs w:val="20"/>
      <w:lang w:val="x-none"/>
    </w:rPr>
  </w:style>
  <w:style w:type="character" w:customStyle="1" w:styleId="RyzunekZnak">
    <w:name w:val="Ryzunek Znak"/>
    <w:link w:val="Ryzunek"/>
    <w:rsid w:val="004E3242"/>
    <w:rPr>
      <w:lang w:eastAsia="en-US"/>
    </w:rPr>
  </w:style>
  <w:style w:type="paragraph" w:styleId="Bezodstpw">
    <w:name w:val="No Spacing"/>
    <w:basedOn w:val="Normalny"/>
    <w:link w:val="BezodstpwZnak"/>
    <w:uiPriority w:val="1"/>
    <w:qFormat/>
    <w:rsid w:val="004E3242"/>
    <w:pPr>
      <w:spacing w:after="0" w:line="240" w:lineRule="auto"/>
    </w:pPr>
    <w:rPr>
      <w:sz w:val="20"/>
      <w:szCs w:val="20"/>
      <w:lang w:eastAsia="pl-PL"/>
    </w:rPr>
  </w:style>
  <w:style w:type="character" w:customStyle="1" w:styleId="BezodstpwZnak">
    <w:name w:val="Bez odstępów Znak"/>
    <w:link w:val="Bezodstpw"/>
    <w:uiPriority w:val="1"/>
    <w:rsid w:val="004E3242"/>
  </w:style>
  <w:style w:type="table" w:customStyle="1" w:styleId="Jasnecieniowanie2">
    <w:name w:val="Jasne cieniowanie2"/>
    <w:basedOn w:val="Standardowy"/>
    <w:rsid w:val="004E324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yliczenieodkreski">
    <w:name w:val="Wyliczenie od kreski"/>
    <w:basedOn w:val="Normalny"/>
    <w:rsid w:val="004E3242"/>
    <w:pPr>
      <w:tabs>
        <w:tab w:val="num" w:pos="360"/>
      </w:tabs>
      <w:spacing w:after="80" w:line="288" w:lineRule="auto"/>
      <w:ind w:left="360" w:hanging="360"/>
      <w:jc w:val="both"/>
    </w:pPr>
    <w:rPr>
      <w:rFonts w:ascii="Arial Narrow" w:hAnsi="Arial Narrow"/>
      <w:szCs w:val="20"/>
    </w:rPr>
  </w:style>
  <w:style w:type="paragraph" w:customStyle="1" w:styleId="a3520normalp5">
    <w:name w:val="a__35__20_normal_p5"/>
    <w:basedOn w:val="Normalny"/>
    <w:rsid w:val="004E3242"/>
    <w:pPr>
      <w:spacing w:after="120"/>
      <w:jc w:val="both"/>
    </w:pPr>
  </w:style>
  <w:style w:type="paragraph" w:customStyle="1" w:styleId="a3520normal">
    <w:name w:val="a___35__20_normal"/>
    <w:basedOn w:val="Normalny"/>
    <w:rsid w:val="004E3242"/>
    <w:pPr>
      <w:spacing w:after="120"/>
      <w:jc w:val="both"/>
    </w:pPr>
  </w:style>
  <w:style w:type="character" w:customStyle="1" w:styleId="at6">
    <w:name w:val="a__t6"/>
    <w:rsid w:val="004E3242"/>
  </w:style>
  <w:style w:type="character" w:customStyle="1" w:styleId="at9">
    <w:name w:val="a__t9"/>
    <w:rsid w:val="004E3242"/>
  </w:style>
  <w:style w:type="table" w:customStyle="1" w:styleId="redniecieniowanie1akcent11">
    <w:name w:val="Średnie cieniowanie 1 — akcent 11"/>
    <w:basedOn w:val="Standardowy"/>
    <w:rsid w:val="004E324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
    <w:name w:val="Średnie cieniowanie 11"/>
    <w:basedOn w:val="Standardowy"/>
    <w:rsid w:val="004E324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Znak">
    <w:name w:val="Znak"/>
    <w:basedOn w:val="Normalny"/>
    <w:rsid w:val="004E3242"/>
  </w:style>
  <w:style w:type="paragraph" w:customStyle="1" w:styleId="CharChar2CharChar">
    <w:name w:val="Char Char2 Char Char"/>
    <w:basedOn w:val="Normalny"/>
    <w:rsid w:val="004E3242"/>
  </w:style>
  <w:style w:type="paragraph" w:customStyle="1" w:styleId="Akapitzlist10">
    <w:name w:val="Akapit z listą1"/>
    <w:basedOn w:val="Normalny"/>
    <w:rsid w:val="004E3242"/>
    <w:pPr>
      <w:spacing w:before="120" w:line="300" w:lineRule="auto"/>
      <w:ind w:left="720"/>
      <w:contextualSpacing/>
      <w:jc w:val="both"/>
    </w:pPr>
  </w:style>
  <w:style w:type="paragraph" w:customStyle="1" w:styleId="Akapitzlist2">
    <w:name w:val="Akapit z listą2"/>
    <w:basedOn w:val="Normalny"/>
    <w:rsid w:val="004E3242"/>
    <w:pPr>
      <w:ind w:left="720"/>
      <w:contextualSpacing/>
    </w:pPr>
    <w:rPr>
      <w:lang w:val="en-US"/>
    </w:rPr>
  </w:style>
  <w:style w:type="paragraph" w:customStyle="1" w:styleId="tabela">
    <w:name w:val="tabela"/>
    <w:basedOn w:val="Normalny"/>
    <w:link w:val="tabelaZnak"/>
    <w:rsid w:val="004E3242"/>
    <w:pPr>
      <w:spacing w:before="120" w:line="300" w:lineRule="auto"/>
      <w:jc w:val="both"/>
    </w:pPr>
    <w:rPr>
      <w:sz w:val="20"/>
      <w:lang w:val="x-none"/>
    </w:rPr>
  </w:style>
  <w:style w:type="character" w:customStyle="1" w:styleId="tabelaZnak">
    <w:name w:val="tabela Znak"/>
    <w:link w:val="tabela"/>
    <w:rsid w:val="004E3242"/>
    <w:rPr>
      <w:szCs w:val="22"/>
      <w:lang w:eastAsia="en-US"/>
    </w:rPr>
  </w:style>
  <w:style w:type="paragraph" w:customStyle="1" w:styleId="Akapitzlist3">
    <w:name w:val="Akapit z listą3"/>
    <w:basedOn w:val="Normalny"/>
    <w:rsid w:val="004E3242"/>
    <w:pPr>
      <w:spacing w:before="120" w:line="300" w:lineRule="auto"/>
      <w:ind w:left="720"/>
      <w:contextualSpacing/>
      <w:jc w:val="both"/>
    </w:pPr>
  </w:style>
  <w:style w:type="character" w:customStyle="1" w:styleId="ListParagraphChar">
    <w:name w:val="List Paragraph Char"/>
    <w:link w:val="Akapitzlist1"/>
    <w:locked/>
    <w:rsid w:val="004E3242"/>
    <w:rPr>
      <w:sz w:val="22"/>
      <w:szCs w:val="22"/>
      <w:lang w:eastAsia="en-US"/>
    </w:rPr>
  </w:style>
  <w:style w:type="numbering" w:customStyle="1" w:styleId="Bezlisty11">
    <w:name w:val="Bez listy11"/>
    <w:next w:val="Bezlisty"/>
    <w:semiHidden/>
    <w:unhideWhenUsed/>
    <w:rsid w:val="004E3242"/>
  </w:style>
  <w:style w:type="numbering" w:customStyle="1" w:styleId="Bezlisty111">
    <w:name w:val="Bez listy111"/>
    <w:next w:val="Bezlisty"/>
    <w:uiPriority w:val="99"/>
    <w:semiHidden/>
    <w:unhideWhenUsed/>
    <w:rsid w:val="004E3242"/>
  </w:style>
  <w:style w:type="paragraph" w:styleId="Podtytu">
    <w:name w:val="Subtitle"/>
    <w:basedOn w:val="Normalny"/>
    <w:next w:val="Normalny"/>
    <w:link w:val="PodtytuZnak"/>
    <w:uiPriority w:val="11"/>
    <w:qFormat/>
    <w:rsid w:val="004E3242"/>
    <w:pPr>
      <w:keepLines/>
      <w:pBdr>
        <w:bottom w:val="single" w:sz="4" w:space="1" w:color="669900"/>
      </w:pBdr>
      <w:spacing w:before="360" w:after="240" w:line="240" w:lineRule="auto"/>
      <w:jc w:val="both"/>
    </w:pPr>
    <w:rPr>
      <w:rFonts w:ascii="Arial" w:eastAsia="Times New Roman" w:hAnsi="Arial"/>
      <w:smallCaps/>
      <w:color w:val="669900"/>
      <w:spacing w:val="10"/>
      <w:sz w:val="24"/>
      <w:szCs w:val="24"/>
      <w:lang w:val="x-none" w:eastAsia="x-none"/>
    </w:rPr>
  </w:style>
  <w:style w:type="character" w:customStyle="1" w:styleId="PodtytuZnak">
    <w:name w:val="Podtytuł Znak"/>
    <w:link w:val="Podtytu"/>
    <w:uiPriority w:val="11"/>
    <w:rsid w:val="004E3242"/>
    <w:rPr>
      <w:rFonts w:ascii="Arial" w:eastAsia="Times New Roman" w:hAnsi="Arial"/>
      <w:smallCaps/>
      <w:color w:val="669900"/>
      <w:spacing w:val="10"/>
      <w:sz w:val="24"/>
      <w:szCs w:val="24"/>
    </w:rPr>
  </w:style>
  <w:style w:type="paragraph" w:styleId="Cytat">
    <w:name w:val="Quote"/>
    <w:basedOn w:val="Normalny"/>
    <w:next w:val="Normalny"/>
    <w:link w:val="CytatZnak"/>
    <w:uiPriority w:val="29"/>
    <w:qFormat/>
    <w:rsid w:val="004E3242"/>
    <w:rPr>
      <w:rFonts w:eastAsia="Times New Roman"/>
      <w:i/>
      <w:iCs/>
      <w:color w:val="000000"/>
      <w:lang w:val="x-none" w:eastAsia="x-none"/>
    </w:rPr>
  </w:style>
  <w:style w:type="character" w:customStyle="1" w:styleId="CytatZnak">
    <w:name w:val="Cytat Znak"/>
    <w:link w:val="Cytat"/>
    <w:uiPriority w:val="29"/>
    <w:rsid w:val="004E3242"/>
    <w:rPr>
      <w:rFonts w:eastAsia="Times New Roman"/>
      <w:i/>
      <w:iCs/>
      <w:color w:val="000000"/>
      <w:sz w:val="22"/>
      <w:szCs w:val="22"/>
    </w:rPr>
  </w:style>
  <w:style w:type="paragraph" w:styleId="Cytatintensywny">
    <w:name w:val="Intense Quote"/>
    <w:basedOn w:val="Normalny"/>
    <w:next w:val="Normalny"/>
    <w:link w:val="CytatintensywnyZnak"/>
    <w:uiPriority w:val="30"/>
    <w:qFormat/>
    <w:rsid w:val="004E3242"/>
    <w:pPr>
      <w:spacing w:before="200" w:after="0"/>
      <w:ind w:left="1296" w:right="1152"/>
      <w:jc w:val="both"/>
    </w:pPr>
    <w:rPr>
      <w:rFonts w:ascii="Arial" w:eastAsia="Times New Roman" w:hAnsi="Arial"/>
      <w:iCs/>
      <w:smallCaps/>
      <w:color w:val="215868"/>
      <w:sz w:val="20"/>
      <w:szCs w:val="20"/>
      <w:lang w:val="x-none" w:eastAsia="x-none"/>
    </w:rPr>
  </w:style>
  <w:style w:type="character" w:customStyle="1" w:styleId="CytatintensywnyZnak">
    <w:name w:val="Cytat intensywny Znak"/>
    <w:link w:val="Cytatintensywny"/>
    <w:uiPriority w:val="30"/>
    <w:rsid w:val="004E3242"/>
    <w:rPr>
      <w:rFonts w:ascii="Arial" w:eastAsia="Times New Roman" w:hAnsi="Arial"/>
      <w:iCs/>
      <w:smallCaps/>
      <w:color w:val="215868"/>
    </w:rPr>
  </w:style>
  <w:style w:type="character" w:styleId="Wyrnieniedelikatne">
    <w:name w:val="Subtle Emphasis"/>
    <w:uiPriority w:val="19"/>
    <w:qFormat/>
    <w:rsid w:val="004E3242"/>
    <w:rPr>
      <w:i/>
      <w:iCs/>
      <w:color w:val="808080"/>
    </w:rPr>
  </w:style>
  <w:style w:type="character" w:styleId="Numerwiersza">
    <w:name w:val="line number"/>
    <w:basedOn w:val="Domylnaczcionkaakapitu"/>
    <w:rsid w:val="004E3242"/>
  </w:style>
  <w:style w:type="character" w:styleId="UyteHipercze">
    <w:name w:val="FollowedHyperlink"/>
    <w:rsid w:val="004E3242"/>
    <w:rPr>
      <w:color w:val="800080"/>
      <w:u w:val="single"/>
    </w:rPr>
  </w:style>
  <w:style w:type="character" w:customStyle="1" w:styleId="AkapitzlistZnak1">
    <w:name w:val="Akapit z listą Znak1"/>
    <w:locked/>
    <w:rsid w:val="004E3242"/>
    <w:rPr>
      <w:rFonts w:ascii="Calibri" w:hAnsi="Calibri"/>
      <w:sz w:val="22"/>
      <w:szCs w:val="22"/>
      <w:lang w:val="pl-PL" w:eastAsia="en-US" w:bidi="ar-SA"/>
    </w:rPr>
  </w:style>
  <w:style w:type="numbering" w:customStyle="1" w:styleId="Bezlisty1111">
    <w:name w:val="Bez listy1111"/>
    <w:next w:val="Bezlisty"/>
    <w:uiPriority w:val="99"/>
    <w:semiHidden/>
    <w:unhideWhenUsed/>
    <w:rsid w:val="004E3242"/>
  </w:style>
  <w:style w:type="paragraph" w:styleId="Tekstpodstawowywcity3">
    <w:name w:val="Body Text Indent 3"/>
    <w:aliases w:val=" Znak"/>
    <w:basedOn w:val="Normalny"/>
    <w:link w:val="Tekstpodstawowywcity3Znak"/>
    <w:rsid w:val="009C3FB6"/>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aliases w:val=" Znak Znak"/>
    <w:link w:val="Tekstpodstawowywcity3"/>
    <w:rsid w:val="009C3FB6"/>
    <w:rPr>
      <w:rFonts w:ascii="Times New Roman" w:eastAsia="Times New Roman" w:hAnsi="Times New Roman"/>
      <w:sz w:val="16"/>
      <w:szCs w:val="16"/>
    </w:rPr>
  </w:style>
  <w:style w:type="character" w:customStyle="1" w:styleId="Nagwek3Znak1">
    <w:name w:val="Nagłówek 3 Znak1"/>
    <w:aliases w:val="npf 3 Znak1"/>
    <w:uiPriority w:val="9"/>
    <w:semiHidden/>
    <w:rsid w:val="00A87C20"/>
    <w:rPr>
      <w:rFonts w:ascii="Cambria" w:eastAsia="Times New Roman" w:hAnsi="Cambria" w:cs="Times New Roman"/>
      <w:b/>
      <w:bCs/>
      <w:color w:val="4F81BD"/>
      <w:sz w:val="22"/>
      <w:szCs w:val="22"/>
      <w:lang w:eastAsia="en-US"/>
    </w:rPr>
  </w:style>
  <w:style w:type="character" w:customStyle="1" w:styleId="Nagwek4Znak1">
    <w:name w:val="Nagłówek 4 Znak1"/>
    <w:aliases w:val="npf 4 Znak1"/>
    <w:uiPriority w:val="9"/>
    <w:semiHidden/>
    <w:rsid w:val="00A87C20"/>
    <w:rPr>
      <w:rFonts w:ascii="Cambria" w:eastAsia="Times New Roman" w:hAnsi="Cambria" w:cs="Times New Roman"/>
      <w:b/>
      <w:bCs/>
      <w:i/>
      <w:iCs/>
      <w:color w:val="4F81BD"/>
      <w:sz w:val="22"/>
      <w:szCs w:val="22"/>
      <w:lang w:eastAsia="en-US"/>
    </w:rPr>
  </w:style>
  <w:style w:type="character" w:customStyle="1" w:styleId="TekstprzypisudolnegoZnak1">
    <w:name w:val="Tekst przypisu dolnego Znak1"/>
    <w:aliases w:val="Footnote Znak1,Podrozdzia3 Znak1,-E Fuﬂnotentext Znak1,Fuﬂnotentext Ursprung Znak1,Fußnotentext Ursprung Znak1,-E Fußnotentext Znak1,Footnote text Znak1,Tekst przypisu Znak Znak Znak Znak Znak2,footnote text Znak1,o Znak1"/>
    <w:semiHidden/>
    <w:rsid w:val="00A87C20"/>
    <w:rPr>
      <w:lang w:eastAsia="en-US"/>
    </w:rPr>
  </w:style>
  <w:style w:type="paragraph" w:customStyle="1" w:styleId="ZnakZnak50">
    <w:name w:val="Znak Znak5"/>
    <w:basedOn w:val="Normalny"/>
    <w:rsid w:val="00A87C20"/>
    <w:pPr>
      <w:spacing w:line="360" w:lineRule="auto"/>
      <w:jc w:val="both"/>
    </w:pPr>
    <w:rPr>
      <w:rFonts w:ascii="Verdana" w:hAnsi="Verdana"/>
      <w:sz w:val="20"/>
      <w:szCs w:val="20"/>
    </w:rPr>
  </w:style>
  <w:style w:type="character" w:customStyle="1" w:styleId="ZnakZnak120">
    <w:name w:val="Znak Znak12"/>
    <w:rsid w:val="00A87C20"/>
    <w:rPr>
      <w:rFonts w:ascii="Cambria" w:eastAsia="Times New Roman" w:hAnsi="Cambria" w:hint="default"/>
      <w:b/>
      <w:bCs/>
      <w:color w:val="4F81BD"/>
      <w:sz w:val="22"/>
      <w:szCs w:val="22"/>
      <w:lang w:eastAsia="en-US"/>
    </w:rPr>
  </w:style>
  <w:style w:type="numbering" w:customStyle="1" w:styleId="Bezlisty2">
    <w:name w:val="Bez listy2"/>
    <w:next w:val="Bezlisty"/>
    <w:uiPriority w:val="99"/>
    <w:semiHidden/>
    <w:unhideWhenUsed/>
    <w:rsid w:val="00063A2D"/>
  </w:style>
  <w:style w:type="numbering" w:customStyle="1" w:styleId="Bezlisty12">
    <w:name w:val="Bez listy12"/>
    <w:next w:val="Bezlisty"/>
    <w:semiHidden/>
    <w:rsid w:val="00063A2D"/>
  </w:style>
  <w:style w:type="table" w:customStyle="1" w:styleId="Tabela-SieWeb11">
    <w:name w:val="Tabela - Sieć Web 11"/>
    <w:basedOn w:val="Standardowy"/>
    <w:next w:val="Tabela-SieWeb1"/>
    <w:rsid w:val="00063A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1">
    <w:name w:val="Tabela - Lista 41"/>
    <w:basedOn w:val="Standardowy"/>
    <w:next w:val="Tabela-Lista4"/>
    <w:rsid w:val="00063A2D"/>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1">
    <w:name w:val="Tabela - Siatka1"/>
    <w:basedOn w:val="Standardowy"/>
    <w:next w:val="Tabela-Siatka"/>
    <w:rsid w:val="0006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1">
    <w:name w:val="Jasna siatka11"/>
    <w:basedOn w:val="Standardowy"/>
    <w:rsid w:val="00063A2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1">
    <w:name w:val="Jasne cieniowanie11"/>
    <w:basedOn w:val="Standardowy"/>
    <w:rsid w:val="00063A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211">
    <w:name w:val="Średnia lista 211"/>
    <w:basedOn w:val="Standardowy"/>
    <w:rsid w:val="00063A2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ecieniowanie21">
    <w:name w:val="Jasne cieniowanie21"/>
    <w:basedOn w:val="Standardowy"/>
    <w:rsid w:val="00063A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akcent111">
    <w:name w:val="Średnie cieniowanie 1 — akcent 111"/>
    <w:basedOn w:val="Standardowy"/>
    <w:rsid w:val="00063A2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1">
    <w:name w:val="Średnie cieniowanie 111"/>
    <w:basedOn w:val="Standardowy"/>
    <w:rsid w:val="00063A2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Bezlisty112">
    <w:name w:val="Bez listy112"/>
    <w:next w:val="Bezlisty"/>
    <w:uiPriority w:val="99"/>
    <w:semiHidden/>
    <w:unhideWhenUsed/>
    <w:rsid w:val="00063A2D"/>
  </w:style>
  <w:style w:type="numbering" w:customStyle="1" w:styleId="Bezlisty1112">
    <w:name w:val="Bez listy1112"/>
    <w:next w:val="Bezlisty"/>
    <w:uiPriority w:val="99"/>
    <w:semiHidden/>
    <w:unhideWhenUsed/>
    <w:rsid w:val="00063A2D"/>
  </w:style>
  <w:style w:type="numbering" w:customStyle="1" w:styleId="Bezlisty3">
    <w:name w:val="Bez listy3"/>
    <w:next w:val="Bezlisty"/>
    <w:semiHidden/>
    <w:unhideWhenUsed/>
    <w:rsid w:val="006D0C47"/>
  </w:style>
  <w:style w:type="paragraph" w:styleId="Mapadokumentu">
    <w:name w:val="Document Map"/>
    <w:basedOn w:val="Normalny"/>
    <w:link w:val="MapadokumentuZnak"/>
    <w:semiHidden/>
    <w:rsid w:val="006D0C47"/>
    <w:pPr>
      <w:shd w:val="clear" w:color="auto" w:fill="000080"/>
      <w:spacing w:after="0" w:line="240" w:lineRule="auto"/>
    </w:pPr>
    <w:rPr>
      <w:rFonts w:ascii="Tahoma" w:eastAsia="Times New Roman" w:hAnsi="Tahoma"/>
      <w:sz w:val="20"/>
      <w:szCs w:val="20"/>
      <w:lang w:val="x-none" w:eastAsia="x-none"/>
    </w:rPr>
  </w:style>
  <w:style w:type="character" w:customStyle="1" w:styleId="MapadokumentuZnak">
    <w:name w:val="Mapa dokumentu Znak"/>
    <w:link w:val="Mapadokumentu"/>
    <w:semiHidden/>
    <w:rsid w:val="006D0C47"/>
    <w:rPr>
      <w:rFonts w:ascii="Tahoma" w:eastAsia="Times New Roman" w:hAnsi="Tahoma" w:cs="Tahoma"/>
      <w:shd w:val="clear" w:color="auto" w:fill="000080"/>
    </w:rPr>
  </w:style>
  <w:style w:type="paragraph" w:customStyle="1" w:styleId="Etykietadokumentu">
    <w:name w:val="Etykieta dokumentu"/>
    <w:next w:val="Normalny"/>
    <w:rsid w:val="006D0C47"/>
    <w:pPr>
      <w:pBdr>
        <w:top w:val="double" w:sz="6" w:space="8" w:color="808080"/>
        <w:bottom w:val="double" w:sz="6" w:space="8" w:color="808080"/>
      </w:pBdr>
      <w:spacing w:after="40" w:line="240" w:lineRule="atLeast"/>
      <w:jc w:val="center"/>
    </w:pPr>
    <w:rPr>
      <w:rFonts w:ascii="Garamond" w:eastAsia="Times New Roman" w:hAnsi="Garamond"/>
      <w:b/>
      <w:caps/>
      <w:spacing w:val="20"/>
      <w:sz w:val="18"/>
      <w:lang w:eastAsia="en-US"/>
    </w:rPr>
  </w:style>
  <w:style w:type="paragraph" w:styleId="Nagwekwiadomoci">
    <w:name w:val="Message Header"/>
    <w:basedOn w:val="Tekstpodstawowy"/>
    <w:link w:val="NagwekwiadomociZnak"/>
    <w:rsid w:val="006D0C47"/>
    <w:pPr>
      <w:keepLines/>
      <w:autoSpaceDE/>
      <w:autoSpaceDN/>
      <w:adjustRightInd/>
      <w:spacing w:after="120" w:line="240" w:lineRule="atLeast"/>
      <w:ind w:left="1080" w:hanging="1080"/>
      <w:jc w:val="left"/>
    </w:pPr>
    <w:rPr>
      <w:rFonts w:ascii="Garamond" w:eastAsia="Times New Roman" w:hAnsi="Garamond"/>
      <w:b w:val="0"/>
      <w:bCs w:val="0"/>
      <w:caps/>
      <w:sz w:val="18"/>
      <w:szCs w:val="20"/>
      <w:lang w:eastAsia="x-none"/>
    </w:rPr>
  </w:style>
  <w:style w:type="character" w:customStyle="1" w:styleId="NagwekwiadomociZnak">
    <w:name w:val="Nagłówek wiadomości Znak"/>
    <w:link w:val="Nagwekwiadomoci"/>
    <w:rsid w:val="006D0C47"/>
    <w:rPr>
      <w:rFonts w:ascii="Garamond" w:eastAsia="Times New Roman" w:hAnsi="Garamond"/>
      <w:caps/>
      <w:sz w:val="18"/>
    </w:rPr>
  </w:style>
  <w:style w:type="paragraph" w:customStyle="1" w:styleId="Nagwekwiadomoci-pierwszy">
    <w:name w:val="Nagłówek wiadomości - pierwszy"/>
    <w:basedOn w:val="Nagwekwiadomoci"/>
    <w:next w:val="Nagwekwiadomoci"/>
    <w:rsid w:val="006D0C47"/>
    <w:pPr>
      <w:spacing w:before="360"/>
    </w:pPr>
  </w:style>
  <w:style w:type="character" w:customStyle="1" w:styleId="Nagwekwiadomoci-etykieta">
    <w:name w:val="Nagłówek wiadomości - etykieta"/>
    <w:rsid w:val="006D0C47"/>
    <w:rPr>
      <w:b/>
      <w:sz w:val="18"/>
      <w:lang w:bidi="ar-SA"/>
    </w:rPr>
  </w:style>
  <w:style w:type="numbering" w:customStyle="1" w:styleId="Bezlisty13">
    <w:name w:val="Bez listy13"/>
    <w:next w:val="Bezlisty"/>
    <w:uiPriority w:val="99"/>
    <w:semiHidden/>
    <w:unhideWhenUsed/>
    <w:rsid w:val="006D0C47"/>
  </w:style>
  <w:style w:type="numbering" w:customStyle="1" w:styleId="Bezlisty113">
    <w:name w:val="Bez listy113"/>
    <w:next w:val="Bezlisty"/>
    <w:uiPriority w:val="99"/>
    <w:semiHidden/>
    <w:unhideWhenUsed/>
    <w:rsid w:val="006D0C47"/>
  </w:style>
  <w:style w:type="numbering" w:customStyle="1" w:styleId="Bezlisty1113">
    <w:name w:val="Bez listy1113"/>
    <w:next w:val="Bezlisty"/>
    <w:semiHidden/>
    <w:rsid w:val="006D0C47"/>
  </w:style>
  <w:style w:type="table" w:customStyle="1" w:styleId="Tabela-SieWeb12">
    <w:name w:val="Tabela - Sieć Web 12"/>
    <w:basedOn w:val="Standardowy"/>
    <w:next w:val="Tabela-SieWeb1"/>
    <w:rsid w:val="006D0C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2">
    <w:name w:val="Tabela - Lista 42"/>
    <w:basedOn w:val="Standardowy"/>
    <w:next w:val="Tabela-Lista4"/>
    <w:rsid w:val="006D0C47"/>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11111">
    <w:name w:val="Bez listy11111"/>
    <w:next w:val="Bezlisty"/>
    <w:uiPriority w:val="99"/>
    <w:semiHidden/>
    <w:unhideWhenUsed/>
    <w:rsid w:val="006D0C47"/>
  </w:style>
  <w:style w:type="numbering" w:customStyle="1" w:styleId="Bezlisty111111">
    <w:name w:val="Bez listy111111"/>
    <w:next w:val="Bezlisty"/>
    <w:uiPriority w:val="99"/>
    <w:semiHidden/>
    <w:unhideWhenUsed/>
    <w:rsid w:val="006D0C47"/>
  </w:style>
  <w:style w:type="table" w:customStyle="1" w:styleId="Tabela-SieWeb13">
    <w:name w:val="Tabela - Sieć Web 13"/>
    <w:basedOn w:val="Standardowy"/>
    <w:next w:val="Tabela-SieWeb1"/>
    <w:rsid w:val="001E2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3">
    <w:name w:val="Tabela - Lista 43"/>
    <w:basedOn w:val="Standardowy"/>
    <w:next w:val="Tabela-Lista4"/>
    <w:rsid w:val="001E2F47"/>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eWeb111">
    <w:name w:val="Tabela - Sieć Web 111"/>
    <w:basedOn w:val="Standardowy"/>
    <w:next w:val="Tabela-SieWeb1"/>
    <w:rsid w:val="001E2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11">
    <w:name w:val="Tabela - Lista 411"/>
    <w:basedOn w:val="Standardowy"/>
    <w:next w:val="Tabela-Lista4"/>
    <w:rsid w:val="001E2F47"/>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4">
    <w:name w:val="Bez listy4"/>
    <w:next w:val="Bezlisty"/>
    <w:semiHidden/>
    <w:rsid w:val="001E2F47"/>
  </w:style>
  <w:style w:type="numbering" w:customStyle="1" w:styleId="Bezlisty14">
    <w:name w:val="Bez listy14"/>
    <w:next w:val="Bezlisty"/>
    <w:uiPriority w:val="99"/>
    <w:semiHidden/>
    <w:unhideWhenUsed/>
    <w:rsid w:val="001E2F47"/>
  </w:style>
  <w:style w:type="numbering" w:customStyle="1" w:styleId="Bezlisty114">
    <w:name w:val="Bez listy114"/>
    <w:next w:val="Bezlisty"/>
    <w:uiPriority w:val="99"/>
    <w:semiHidden/>
    <w:unhideWhenUsed/>
    <w:rsid w:val="001E2F47"/>
  </w:style>
  <w:style w:type="numbering" w:customStyle="1" w:styleId="Bezlisty1114">
    <w:name w:val="Bez listy1114"/>
    <w:next w:val="Bezlisty"/>
    <w:semiHidden/>
    <w:rsid w:val="001E2F47"/>
  </w:style>
  <w:style w:type="numbering" w:customStyle="1" w:styleId="Bezlisty11112">
    <w:name w:val="Bez listy11112"/>
    <w:next w:val="Bezlisty"/>
    <w:uiPriority w:val="99"/>
    <w:semiHidden/>
    <w:unhideWhenUsed/>
    <w:rsid w:val="001E2F47"/>
  </w:style>
  <w:style w:type="numbering" w:customStyle="1" w:styleId="Bezlisty111112">
    <w:name w:val="Bez listy111112"/>
    <w:next w:val="Bezlisty"/>
    <w:uiPriority w:val="99"/>
    <w:semiHidden/>
    <w:unhideWhenUsed/>
    <w:rsid w:val="001E2F47"/>
  </w:style>
  <w:style w:type="numbering" w:customStyle="1" w:styleId="Bezlisty5">
    <w:name w:val="Bez listy5"/>
    <w:next w:val="Bezlisty"/>
    <w:uiPriority w:val="99"/>
    <w:semiHidden/>
    <w:unhideWhenUsed/>
    <w:rsid w:val="001E2F47"/>
  </w:style>
  <w:style w:type="numbering" w:customStyle="1" w:styleId="Bezlisty15">
    <w:name w:val="Bez listy15"/>
    <w:next w:val="Bezlisty"/>
    <w:uiPriority w:val="99"/>
    <w:semiHidden/>
    <w:rsid w:val="001E2F47"/>
  </w:style>
  <w:style w:type="paragraph" w:customStyle="1" w:styleId="Akapitzlist4">
    <w:name w:val="Akapit z listą4"/>
    <w:basedOn w:val="Normalny"/>
    <w:rsid w:val="001E2F47"/>
    <w:pPr>
      <w:spacing w:before="120" w:line="300" w:lineRule="auto"/>
      <w:ind w:left="720"/>
      <w:contextualSpacing/>
      <w:jc w:val="both"/>
    </w:pPr>
  </w:style>
  <w:style w:type="table" w:customStyle="1" w:styleId="Tabela-SieWeb14">
    <w:name w:val="Tabela - Sieć Web 14"/>
    <w:basedOn w:val="Standardowy"/>
    <w:next w:val="Tabela-SieWeb1"/>
    <w:rsid w:val="001E2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4">
    <w:name w:val="Tabela - Lista 44"/>
    <w:basedOn w:val="Standardowy"/>
    <w:next w:val="Tabela-Lista4"/>
    <w:rsid w:val="001E2F47"/>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2">
    <w:name w:val="Tabela - Siatka2"/>
    <w:basedOn w:val="Standardowy"/>
    <w:next w:val="Tabela-Siatka"/>
    <w:rsid w:val="001E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2">
    <w:name w:val="Jasna siatka12"/>
    <w:basedOn w:val="Standardowy"/>
    <w:rsid w:val="001E2F4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2">
    <w:name w:val="Jasne cieniowanie12"/>
    <w:basedOn w:val="Standardowy"/>
    <w:rsid w:val="001E2F4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212">
    <w:name w:val="Średnia lista 212"/>
    <w:basedOn w:val="Standardowy"/>
    <w:rsid w:val="001E2F4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ecieniowanie22">
    <w:name w:val="Jasne cieniowanie22"/>
    <w:basedOn w:val="Standardowy"/>
    <w:rsid w:val="001E2F4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akcent112">
    <w:name w:val="Średnie cieniowanie 1 — akcent 112"/>
    <w:basedOn w:val="Standardowy"/>
    <w:rsid w:val="001E2F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2">
    <w:name w:val="Średnie cieniowanie 112"/>
    <w:basedOn w:val="Standardowy"/>
    <w:rsid w:val="001E2F4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Bezlisty115">
    <w:name w:val="Bez listy115"/>
    <w:next w:val="Bezlisty"/>
    <w:semiHidden/>
    <w:unhideWhenUsed/>
    <w:rsid w:val="001E2F47"/>
  </w:style>
  <w:style w:type="numbering" w:customStyle="1" w:styleId="Bezlisty1115">
    <w:name w:val="Bez listy1115"/>
    <w:next w:val="Bezlisty"/>
    <w:uiPriority w:val="99"/>
    <w:semiHidden/>
    <w:unhideWhenUsed/>
    <w:rsid w:val="001E2F47"/>
  </w:style>
  <w:style w:type="numbering" w:customStyle="1" w:styleId="Bezlisty11113">
    <w:name w:val="Bez listy11113"/>
    <w:next w:val="Bezlisty"/>
    <w:uiPriority w:val="99"/>
    <w:semiHidden/>
    <w:unhideWhenUsed/>
    <w:rsid w:val="001E2F47"/>
  </w:style>
  <w:style w:type="numbering" w:customStyle="1" w:styleId="Bezlisty21">
    <w:name w:val="Bez listy21"/>
    <w:next w:val="Bezlisty"/>
    <w:uiPriority w:val="99"/>
    <w:semiHidden/>
    <w:unhideWhenUsed/>
    <w:rsid w:val="001E2F47"/>
  </w:style>
  <w:style w:type="numbering" w:customStyle="1" w:styleId="Bezlisty121">
    <w:name w:val="Bez listy121"/>
    <w:next w:val="Bezlisty"/>
    <w:semiHidden/>
    <w:rsid w:val="001E2F47"/>
  </w:style>
  <w:style w:type="table" w:customStyle="1" w:styleId="Tabela-Siatka11">
    <w:name w:val="Tabela - Siatka11"/>
    <w:basedOn w:val="Standardowy"/>
    <w:next w:val="Tabela-Siatka"/>
    <w:rsid w:val="001E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11">
    <w:name w:val="Jasna siatka111"/>
    <w:basedOn w:val="Standardowy"/>
    <w:rsid w:val="001E2F4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11">
    <w:name w:val="Jasne cieniowanie111"/>
    <w:basedOn w:val="Standardowy"/>
    <w:rsid w:val="001E2F4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2111">
    <w:name w:val="Średnia lista 2111"/>
    <w:basedOn w:val="Standardowy"/>
    <w:rsid w:val="001E2F47"/>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ecieniowanie211">
    <w:name w:val="Jasne cieniowanie211"/>
    <w:basedOn w:val="Standardowy"/>
    <w:rsid w:val="001E2F4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akcent1111">
    <w:name w:val="Średnie cieniowanie 1 — akcent 1111"/>
    <w:basedOn w:val="Standardowy"/>
    <w:rsid w:val="001E2F4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11">
    <w:name w:val="Średnie cieniowanie 1111"/>
    <w:basedOn w:val="Standardowy"/>
    <w:rsid w:val="001E2F4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Bezlisty1121">
    <w:name w:val="Bez listy1121"/>
    <w:next w:val="Bezlisty"/>
    <w:uiPriority w:val="99"/>
    <w:semiHidden/>
    <w:unhideWhenUsed/>
    <w:rsid w:val="001E2F47"/>
  </w:style>
  <w:style w:type="numbering" w:customStyle="1" w:styleId="Bezlisty11121">
    <w:name w:val="Bez listy11121"/>
    <w:next w:val="Bezlisty"/>
    <w:uiPriority w:val="99"/>
    <w:semiHidden/>
    <w:unhideWhenUsed/>
    <w:rsid w:val="001E2F47"/>
  </w:style>
  <w:style w:type="numbering" w:customStyle="1" w:styleId="Bezlisty31">
    <w:name w:val="Bez listy31"/>
    <w:next w:val="Bezlisty"/>
    <w:semiHidden/>
    <w:unhideWhenUsed/>
    <w:rsid w:val="001E2F47"/>
  </w:style>
  <w:style w:type="numbering" w:customStyle="1" w:styleId="Bezlisty131">
    <w:name w:val="Bez listy131"/>
    <w:next w:val="Bezlisty"/>
    <w:uiPriority w:val="99"/>
    <w:semiHidden/>
    <w:unhideWhenUsed/>
    <w:rsid w:val="001E2F47"/>
  </w:style>
  <w:style w:type="numbering" w:customStyle="1" w:styleId="Bezlisty1131">
    <w:name w:val="Bez listy1131"/>
    <w:next w:val="Bezlisty"/>
    <w:uiPriority w:val="99"/>
    <w:semiHidden/>
    <w:unhideWhenUsed/>
    <w:rsid w:val="001E2F47"/>
  </w:style>
  <w:style w:type="numbering" w:customStyle="1" w:styleId="Bezlisty11131">
    <w:name w:val="Bez listy11131"/>
    <w:next w:val="Bezlisty"/>
    <w:semiHidden/>
    <w:rsid w:val="001E2F47"/>
  </w:style>
  <w:style w:type="table" w:customStyle="1" w:styleId="Tabela-SieWeb121">
    <w:name w:val="Tabela - Sieć Web 121"/>
    <w:basedOn w:val="Standardowy"/>
    <w:next w:val="Tabela-SieWeb1"/>
    <w:rsid w:val="001E2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21">
    <w:name w:val="Tabela - Lista 421"/>
    <w:basedOn w:val="Standardowy"/>
    <w:next w:val="Tabela-Lista4"/>
    <w:rsid w:val="001E2F47"/>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111113">
    <w:name w:val="Bez listy111113"/>
    <w:next w:val="Bezlisty"/>
    <w:uiPriority w:val="99"/>
    <w:semiHidden/>
    <w:unhideWhenUsed/>
    <w:rsid w:val="001E2F47"/>
  </w:style>
  <w:style w:type="numbering" w:customStyle="1" w:styleId="Bezlisty1111111">
    <w:name w:val="Bez listy1111111"/>
    <w:next w:val="Bezlisty"/>
    <w:uiPriority w:val="99"/>
    <w:semiHidden/>
    <w:unhideWhenUsed/>
    <w:rsid w:val="001E2F47"/>
  </w:style>
  <w:style w:type="numbering" w:customStyle="1" w:styleId="Bezlisty41">
    <w:name w:val="Bez listy41"/>
    <w:next w:val="Bezlisty"/>
    <w:semiHidden/>
    <w:rsid w:val="001E2F47"/>
  </w:style>
  <w:style w:type="numbering" w:customStyle="1" w:styleId="Bezlisty141">
    <w:name w:val="Bez listy141"/>
    <w:next w:val="Bezlisty"/>
    <w:uiPriority w:val="99"/>
    <w:semiHidden/>
    <w:unhideWhenUsed/>
    <w:rsid w:val="001E2F47"/>
  </w:style>
  <w:style w:type="numbering" w:customStyle="1" w:styleId="Bezlisty1141">
    <w:name w:val="Bez listy1141"/>
    <w:next w:val="Bezlisty"/>
    <w:uiPriority w:val="99"/>
    <w:semiHidden/>
    <w:unhideWhenUsed/>
    <w:rsid w:val="001E2F47"/>
  </w:style>
  <w:style w:type="numbering" w:customStyle="1" w:styleId="Bezlisty11141">
    <w:name w:val="Bez listy11141"/>
    <w:next w:val="Bezlisty"/>
    <w:semiHidden/>
    <w:rsid w:val="001E2F47"/>
  </w:style>
  <w:style w:type="table" w:customStyle="1" w:styleId="Tabela-SieWeb131">
    <w:name w:val="Tabela - Sieć Web 131"/>
    <w:basedOn w:val="Standardowy"/>
    <w:next w:val="Tabela-SieWeb1"/>
    <w:rsid w:val="001E2F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31">
    <w:name w:val="Tabela - Lista 431"/>
    <w:basedOn w:val="Standardowy"/>
    <w:next w:val="Tabela-Lista4"/>
    <w:rsid w:val="001E2F47"/>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111121">
    <w:name w:val="Bez listy111121"/>
    <w:next w:val="Bezlisty"/>
    <w:uiPriority w:val="99"/>
    <w:semiHidden/>
    <w:unhideWhenUsed/>
    <w:rsid w:val="001E2F47"/>
  </w:style>
  <w:style w:type="numbering" w:customStyle="1" w:styleId="Bezlisty1111121">
    <w:name w:val="Bez listy1111121"/>
    <w:next w:val="Bezlisty"/>
    <w:uiPriority w:val="99"/>
    <w:semiHidden/>
    <w:unhideWhenUsed/>
    <w:rsid w:val="001E2F47"/>
  </w:style>
  <w:style w:type="character" w:customStyle="1" w:styleId="conf-macro">
    <w:name w:val="conf-macro"/>
    <w:rsid w:val="00ED5233"/>
  </w:style>
  <w:style w:type="numbering" w:customStyle="1" w:styleId="Bezlisty6">
    <w:name w:val="Bez listy6"/>
    <w:next w:val="Bezlisty"/>
    <w:uiPriority w:val="99"/>
    <w:semiHidden/>
    <w:unhideWhenUsed/>
    <w:rsid w:val="00541F5B"/>
  </w:style>
  <w:style w:type="numbering" w:customStyle="1" w:styleId="Bezlisty16">
    <w:name w:val="Bez listy16"/>
    <w:next w:val="Bezlisty"/>
    <w:uiPriority w:val="99"/>
    <w:semiHidden/>
    <w:rsid w:val="00541F5B"/>
  </w:style>
  <w:style w:type="table" w:customStyle="1" w:styleId="Tabela-SieWeb15">
    <w:name w:val="Tabela - Sieć Web 15"/>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5">
    <w:name w:val="Tabela - Lista 45"/>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3">
    <w:name w:val="Tabela - Siatka3"/>
    <w:basedOn w:val="Standardowy"/>
    <w:next w:val="Tabela-Siatka"/>
    <w:rsid w:val="0054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3">
    <w:name w:val="Jasna siatka13"/>
    <w:basedOn w:val="Standardowy"/>
    <w:rsid w:val="00541F5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3">
    <w:name w:val="Jasne cieniowanie13"/>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213">
    <w:name w:val="Średnia lista 213"/>
    <w:basedOn w:val="Standardowy"/>
    <w:rsid w:val="00541F5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ecieniowanie23">
    <w:name w:val="Jasne cieniowanie23"/>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akcent113">
    <w:name w:val="Średnie cieniowanie 1 — akcent 113"/>
    <w:basedOn w:val="Standardowy"/>
    <w:rsid w:val="00541F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3">
    <w:name w:val="Średnie cieniowanie 113"/>
    <w:basedOn w:val="Standardowy"/>
    <w:rsid w:val="00541F5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Bezlisty116">
    <w:name w:val="Bez listy116"/>
    <w:next w:val="Bezlisty"/>
    <w:semiHidden/>
    <w:unhideWhenUsed/>
    <w:rsid w:val="00541F5B"/>
  </w:style>
  <w:style w:type="numbering" w:customStyle="1" w:styleId="Bezlisty1116">
    <w:name w:val="Bez listy1116"/>
    <w:next w:val="Bezlisty"/>
    <w:uiPriority w:val="99"/>
    <w:semiHidden/>
    <w:unhideWhenUsed/>
    <w:rsid w:val="00541F5B"/>
  </w:style>
  <w:style w:type="numbering" w:customStyle="1" w:styleId="Bezlisty11114">
    <w:name w:val="Bez listy11114"/>
    <w:next w:val="Bezlisty"/>
    <w:uiPriority w:val="99"/>
    <w:semiHidden/>
    <w:unhideWhenUsed/>
    <w:rsid w:val="00541F5B"/>
  </w:style>
  <w:style w:type="numbering" w:customStyle="1" w:styleId="Bezlisty22">
    <w:name w:val="Bez listy22"/>
    <w:next w:val="Bezlisty"/>
    <w:uiPriority w:val="99"/>
    <w:semiHidden/>
    <w:unhideWhenUsed/>
    <w:rsid w:val="00541F5B"/>
  </w:style>
  <w:style w:type="numbering" w:customStyle="1" w:styleId="Bezlisty122">
    <w:name w:val="Bez listy122"/>
    <w:next w:val="Bezlisty"/>
    <w:semiHidden/>
    <w:rsid w:val="00541F5B"/>
  </w:style>
  <w:style w:type="table" w:customStyle="1" w:styleId="Tabela-SieWeb112">
    <w:name w:val="Tabela - Sieć Web 112"/>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12">
    <w:name w:val="Tabela - Lista 412"/>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12">
    <w:name w:val="Tabela - Siatka12"/>
    <w:basedOn w:val="Standardowy"/>
    <w:next w:val="Tabela-Siatka"/>
    <w:rsid w:val="0054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12">
    <w:name w:val="Jasna siatka112"/>
    <w:basedOn w:val="Standardowy"/>
    <w:rsid w:val="00541F5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12">
    <w:name w:val="Jasne cieniowanie112"/>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2112">
    <w:name w:val="Średnia lista 2112"/>
    <w:basedOn w:val="Standardowy"/>
    <w:rsid w:val="00541F5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ecieniowanie212">
    <w:name w:val="Jasne cieniowanie212"/>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akcent1112">
    <w:name w:val="Średnie cieniowanie 1 — akcent 1112"/>
    <w:basedOn w:val="Standardowy"/>
    <w:rsid w:val="00541F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12">
    <w:name w:val="Średnie cieniowanie 1112"/>
    <w:basedOn w:val="Standardowy"/>
    <w:rsid w:val="00541F5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Bezlisty1122">
    <w:name w:val="Bez listy1122"/>
    <w:next w:val="Bezlisty"/>
    <w:uiPriority w:val="99"/>
    <w:semiHidden/>
    <w:unhideWhenUsed/>
    <w:rsid w:val="00541F5B"/>
  </w:style>
  <w:style w:type="numbering" w:customStyle="1" w:styleId="Bezlisty11122">
    <w:name w:val="Bez listy11122"/>
    <w:next w:val="Bezlisty"/>
    <w:uiPriority w:val="99"/>
    <w:semiHidden/>
    <w:unhideWhenUsed/>
    <w:rsid w:val="00541F5B"/>
  </w:style>
  <w:style w:type="numbering" w:customStyle="1" w:styleId="Bezlisty32">
    <w:name w:val="Bez listy32"/>
    <w:next w:val="Bezlisty"/>
    <w:semiHidden/>
    <w:unhideWhenUsed/>
    <w:rsid w:val="00541F5B"/>
  </w:style>
  <w:style w:type="numbering" w:customStyle="1" w:styleId="Bezlisty132">
    <w:name w:val="Bez listy132"/>
    <w:next w:val="Bezlisty"/>
    <w:uiPriority w:val="99"/>
    <w:semiHidden/>
    <w:unhideWhenUsed/>
    <w:rsid w:val="00541F5B"/>
  </w:style>
  <w:style w:type="numbering" w:customStyle="1" w:styleId="Bezlisty1132">
    <w:name w:val="Bez listy1132"/>
    <w:next w:val="Bezlisty"/>
    <w:uiPriority w:val="99"/>
    <w:semiHidden/>
    <w:unhideWhenUsed/>
    <w:rsid w:val="00541F5B"/>
  </w:style>
  <w:style w:type="numbering" w:customStyle="1" w:styleId="Bezlisty11132">
    <w:name w:val="Bez listy11132"/>
    <w:next w:val="Bezlisty"/>
    <w:semiHidden/>
    <w:rsid w:val="00541F5B"/>
  </w:style>
  <w:style w:type="table" w:customStyle="1" w:styleId="Tabela-SieWeb122">
    <w:name w:val="Tabela - Sieć Web 122"/>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22">
    <w:name w:val="Tabela - Lista 422"/>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111114">
    <w:name w:val="Bez listy111114"/>
    <w:next w:val="Bezlisty"/>
    <w:uiPriority w:val="99"/>
    <w:semiHidden/>
    <w:unhideWhenUsed/>
    <w:rsid w:val="00541F5B"/>
  </w:style>
  <w:style w:type="numbering" w:customStyle="1" w:styleId="Bezlisty1111112">
    <w:name w:val="Bez listy1111112"/>
    <w:next w:val="Bezlisty"/>
    <w:uiPriority w:val="99"/>
    <w:semiHidden/>
    <w:unhideWhenUsed/>
    <w:rsid w:val="00541F5B"/>
  </w:style>
  <w:style w:type="table" w:customStyle="1" w:styleId="Tabela-SieWeb132">
    <w:name w:val="Tabela - Sieć Web 132"/>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32">
    <w:name w:val="Tabela - Lista 432"/>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eWeb1111">
    <w:name w:val="Tabela - Sieć Web 1111"/>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111">
    <w:name w:val="Tabela - Lista 4111"/>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42">
    <w:name w:val="Bez listy42"/>
    <w:next w:val="Bezlisty"/>
    <w:semiHidden/>
    <w:rsid w:val="00541F5B"/>
  </w:style>
  <w:style w:type="numbering" w:customStyle="1" w:styleId="Bezlisty142">
    <w:name w:val="Bez listy142"/>
    <w:next w:val="Bezlisty"/>
    <w:uiPriority w:val="99"/>
    <w:semiHidden/>
    <w:unhideWhenUsed/>
    <w:rsid w:val="00541F5B"/>
  </w:style>
  <w:style w:type="numbering" w:customStyle="1" w:styleId="Bezlisty1142">
    <w:name w:val="Bez listy1142"/>
    <w:next w:val="Bezlisty"/>
    <w:uiPriority w:val="99"/>
    <w:semiHidden/>
    <w:unhideWhenUsed/>
    <w:rsid w:val="00541F5B"/>
  </w:style>
  <w:style w:type="numbering" w:customStyle="1" w:styleId="Bezlisty11142">
    <w:name w:val="Bez listy11142"/>
    <w:next w:val="Bezlisty"/>
    <w:semiHidden/>
    <w:rsid w:val="00541F5B"/>
  </w:style>
  <w:style w:type="numbering" w:customStyle="1" w:styleId="Bezlisty111122">
    <w:name w:val="Bez listy111122"/>
    <w:next w:val="Bezlisty"/>
    <w:uiPriority w:val="99"/>
    <w:semiHidden/>
    <w:unhideWhenUsed/>
    <w:rsid w:val="00541F5B"/>
  </w:style>
  <w:style w:type="numbering" w:customStyle="1" w:styleId="Bezlisty1111122">
    <w:name w:val="Bez listy1111122"/>
    <w:next w:val="Bezlisty"/>
    <w:uiPriority w:val="99"/>
    <w:semiHidden/>
    <w:unhideWhenUsed/>
    <w:rsid w:val="00541F5B"/>
  </w:style>
  <w:style w:type="numbering" w:customStyle="1" w:styleId="Bezlisty51">
    <w:name w:val="Bez listy51"/>
    <w:next w:val="Bezlisty"/>
    <w:uiPriority w:val="99"/>
    <w:semiHidden/>
    <w:unhideWhenUsed/>
    <w:rsid w:val="00541F5B"/>
  </w:style>
  <w:style w:type="numbering" w:customStyle="1" w:styleId="Bezlisty151">
    <w:name w:val="Bez listy151"/>
    <w:next w:val="Bezlisty"/>
    <w:uiPriority w:val="99"/>
    <w:semiHidden/>
    <w:rsid w:val="00541F5B"/>
  </w:style>
  <w:style w:type="table" w:customStyle="1" w:styleId="Tabela-SieWeb141">
    <w:name w:val="Tabela - Sieć Web 141"/>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41">
    <w:name w:val="Tabela - Lista 441"/>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21">
    <w:name w:val="Tabela - Siatka21"/>
    <w:basedOn w:val="Standardowy"/>
    <w:next w:val="Tabela-Siatka"/>
    <w:rsid w:val="0054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21">
    <w:name w:val="Jasna siatka121"/>
    <w:basedOn w:val="Standardowy"/>
    <w:rsid w:val="00541F5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21">
    <w:name w:val="Jasne cieniowanie121"/>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2121">
    <w:name w:val="Średnia lista 2121"/>
    <w:basedOn w:val="Standardowy"/>
    <w:rsid w:val="00541F5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ecieniowanie221">
    <w:name w:val="Jasne cieniowanie221"/>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akcent1121">
    <w:name w:val="Średnie cieniowanie 1 — akcent 1121"/>
    <w:basedOn w:val="Standardowy"/>
    <w:rsid w:val="00541F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21">
    <w:name w:val="Średnie cieniowanie 1121"/>
    <w:basedOn w:val="Standardowy"/>
    <w:rsid w:val="00541F5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Bezlisty1151">
    <w:name w:val="Bez listy1151"/>
    <w:next w:val="Bezlisty"/>
    <w:semiHidden/>
    <w:unhideWhenUsed/>
    <w:rsid w:val="00541F5B"/>
  </w:style>
  <w:style w:type="numbering" w:customStyle="1" w:styleId="Bezlisty11151">
    <w:name w:val="Bez listy11151"/>
    <w:next w:val="Bezlisty"/>
    <w:uiPriority w:val="99"/>
    <w:semiHidden/>
    <w:unhideWhenUsed/>
    <w:rsid w:val="00541F5B"/>
  </w:style>
  <w:style w:type="numbering" w:customStyle="1" w:styleId="Bezlisty111131">
    <w:name w:val="Bez listy111131"/>
    <w:next w:val="Bezlisty"/>
    <w:uiPriority w:val="99"/>
    <w:semiHidden/>
    <w:unhideWhenUsed/>
    <w:rsid w:val="00541F5B"/>
  </w:style>
  <w:style w:type="numbering" w:customStyle="1" w:styleId="Bezlisty211">
    <w:name w:val="Bez listy211"/>
    <w:next w:val="Bezlisty"/>
    <w:uiPriority w:val="99"/>
    <w:semiHidden/>
    <w:unhideWhenUsed/>
    <w:rsid w:val="00541F5B"/>
  </w:style>
  <w:style w:type="numbering" w:customStyle="1" w:styleId="Bezlisty1211">
    <w:name w:val="Bez listy1211"/>
    <w:next w:val="Bezlisty"/>
    <w:semiHidden/>
    <w:rsid w:val="00541F5B"/>
  </w:style>
  <w:style w:type="table" w:customStyle="1" w:styleId="Tabela-Siatka111">
    <w:name w:val="Tabela - Siatka111"/>
    <w:basedOn w:val="Standardowy"/>
    <w:next w:val="Tabela-Siatka"/>
    <w:rsid w:val="0054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siatka1111">
    <w:name w:val="Jasna siatka1111"/>
    <w:basedOn w:val="Standardowy"/>
    <w:rsid w:val="00541F5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Jasnecieniowanie1111">
    <w:name w:val="Jasne cieniowanie1111"/>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alista21111">
    <w:name w:val="Średnia lista 21111"/>
    <w:basedOn w:val="Standardowy"/>
    <w:rsid w:val="00541F5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ecieniowanie2111">
    <w:name w:val="Jasne cieniowanie2111"/>
    <w:basedOn w:val="Standardowy"/>
    <w:rsid w:val="00541F5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dniecieniowanie1akcent11111">
    <w:name w:val="Średnie cieniowanie 1 — akcent 11111"/>
    <w:basedOn w:val="Standardowy"/>
    <w:rsid w:val="00541F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redniecieniowanie11111">
    <w:name w:val="Średnie cieniowanie 11111"/>
    <w:basedOn w:val="Standardowy"/>
    <w:rsid w:val="00541F5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Bezlisty11211">
    <w:name w:val="Bez listy11211"/>
    <w:next w:val="Bezlisty"/>
    <w:uiPriority w:val="99"/>
    <w:semiHidden/>
    <w:unhideWhenUsed/>
    <w:rsid w:val="00541F5B"/>
  </w:style>
  <w:style w:type="numbering" w:customStyle="1" w:styleId="Bezlisty111211">
    <w:name w:val="Bez listy111211"/>
    <w:next w:val="Bezlisty"/>
    <w:uiPriority w:val="99"/>
    <w:semiHidden/>
    <w:unhideWhenUsed/>
    <w:rsid w:val="00541F5B"/>
  </w:style>
  <w:style w:type="numbering" w:customStyle="1" w:styleId="Bezlisty311">
    <w:name w:val="Bez listy311"/>
    <w:next w:val="Bezlisty"/>
    <w:semiHidden/>
    <w:unhideWhenUsed/>
    <w:rsid w:val="00541F5B"/>
  </w:style>
  <w:style w:type="numbering" w:customStyle="1" w:styleId="Bezlisty1311">
    <w:name w:val="Bez listy1311"/>
    <w:next w:val="Bezlisty"/>
    <w:uiPriority w:val="99"/>
    <w:semiHidden/>
    <w:unhideWhenUsed/>
    <w:rsid w:val="00541F5B"/>
  </w:style>
  <w:style w:type="numbering" w:customStyle="1" w:styleId="Bezlisty11311">
    <w:name w:val="Bez listy11311"/>
    <w:next w:val="Bezlisty"/>
    <w:uiPriority w:val="99"/>
    <w:semiHidden/>
    <w:unhideWhenUsed/>
    <w:rsid w:val="00541F5B"/>
  </w:style>
  <w:style w:type="numbering" w:customStyle="1" w:styleId="Bezlisty111311">
    <w:name w:val="Bez listy111311"/>
    <w:next w:val="Bezlisty"/>
    <w:semiHidden/>
    <w:rsid w:val="00541F5B"/>
  </w:style>
  <w:style w:type="table" w:customStyle="1" w:styleId="Tabela-SieWeb1211">
    <w:name w:val="Tabela - Sieć Web 1211"/>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211">
    <w:name w:val="Tabela - Lista 4211"/>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1111131">
    <w:name w:val="Bez listy1111131"/>
    <w:next w:val="Bezlisty"/>
    <w:uiPriority w:val="99"/>
    <w:semiHidden/>
    <w:unhideWhenUsed/>
    <w:rsid w:val="00541F5B"/>
  </w:style>
  <w:style w:type="numbering" w:customStyle="1" w:styleId="Bezlisty11111111">
    <w:name w:val="Bez listy11111111"/>
    <w:next w:val="Bezlisty"/>
    <w:uiPriority w:val="99"/>
    <w:semiHidden/>
    <w:unhideWhenUsed/>
    <w:rsid w:val="00541F5B"/>
  </w:style>
  <w:style w:type="numbering" w:customStyle="1" w:styleId="Bezlisty411">
    <w:name w:val="Bez listy411"/>
    <w:next w:val="Bezlisty"/>
    <w:semiHidden/>
    <w:rsid w:val="00541F5B"/>
  </w:style>
  <w:style w:type="numbering" w:customStyle="1" w:styleId="Bezlisty1411">
    <w:name w:val="Bez listy1411"/>
    <w:next w:val="Bezlisty"/>
    <w:uiPriority w:val="99"/>
    <w:semiHidden/>
    <w:unhideWhenUsed/>
    <w:rsid w:val="00541F5B"/>
  </w:style>
  <w:style w:type="numbering" w:customStyle="1" w:styleId="Bezlisty11411">
    <w:name w:val="Bez listy11411"/>
    <w:next w:val="Bezlisty"/>
    <w:uiPriority w:val="99"/>
    <w:semiHidden/>
    <w:unhideWhenUsed/>
    <w:rsid w:val="00541F5B"/>
  </w:style>
  <w:style w:type="numbering" w:customStyle="1" w:styleId="Bezlisty111411">
    <w:name w:val="Bez listy111411"/>
    <w:next w:val="Bezlisty"/>
    <w:semiHidden/>
    <w:rsid w:val="00541F5B"/>
  </w:style>
  <w:style w:type="table" w:customStyle="1" w:styleId="Tabela-SieWeb1311">
    <w:name w:val="Tabela - Sieć Web 1311"/>
    <w:basedOn w:val="Standardowy"/>
    <w:next w:val="Tabela-SieWeb1"/>
    <w:rsid w:val="00541F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a-Lista4311">
    <w:name w:val="Tabela - Lista 4311"/>
    <w:basedOn w:val="Standardowy"/>
    <w:next w:val="Tabela-Lista4"/>
    <w:rsid w:val="00541F5B"/>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numbering" w:customStyle="1" w:styleId="Bezlisty1111211">
    <w:name w:val="Bez listy1111211"/>
    <w:next w:val="Bezlisty"/>
    <w:uiPriority w:val="99"/>
    <w:semiHidden/>
    <w:unhideWhenUsed/>
    <w:rsid w:val="00541F5B"/>
  </w:style>
  <w:style w:type="numbering" w:customStyle="1" w:styleId="Bezlisty11111211">
    <w:name w:val="Bez listy11111211"/>
    <w:next w:val="Bezlisty"/>
    <w:uiPriority w:val="99"/>
    <w:semiHidden/>
    <w:unhideWhenUsed/>
    <w:rsid w:val="00541F5B"/>
  </w:style>
  <w:style w:type="paragraph" w:customStyle="1" w:styleId="Akapitzlist5">
    <w:name w:val="Akapit z listą5"/>
    <w:basedOn w:val="Normalny"/>
    <w:rsid w:val="00541F5B"/>
    <w:pPr>
      <w:spacing w:before="120" w:line="300" w:lineRule="auto"/>
      <w:ind w:left="720"/>
      <w:contextualSpacing/>
      <w:jc w:val="both"/>
    </w:pPr>
    <w:rPr>
      <w:lang w:val="x-none"/>
    </w:rPr>
  </w:style>
  <w:style w:type="character" w:customStyle="1" w:styleId="markedcontent">
    <w:name w:val="markedcontent"/>
    <w:rsid w:val="002C5154"/>
  </w:style>
  <w:style w:type="paragraph" w:customStyle="1" w:styleId="Akapitzlist6">
    <w:name w:val="Akapit z listą6"/>
    <w:basedOn w:val="Normalny"/>
    <w:rsid w:val="001B5E73"/>
    <w:pPr>
      <w:spacing w:before="120" w:line="300" w:lineRule="auto"/>
      <w:ind w:left="720"/>
      <w:contextualSpacing/>
      <w:jc w:val="both"/>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636">
      <w:bodyDiv w:val="1"/>
      <w:marLeft w:val="0"/>
      <w:marRight w:val="0"/>
      <w:marTop w:val="0"/>
      <w:marBottom w:val="0"/>
      <w:divBdr>
        <w:top w:val="none" w:sz="0" w:space="0" w:color="auto"/>
        <w:left w:val="none" w:sz="0" w:space="0" w:color="auto"/>
        <w:bottom w:val="none" w:sz="0" w:space="0" w:color="auto"/>
        <w:right w:val="none" w:sz="0" w:space="0" w:color="auto"/>
      </w:divBdr>
    </w:div>
    <w:div w:id="65422368">
      <w:bodyDiv w:val="1"/>
      <w:marLeft w:val="0"/>
      <w:marRight w:val="0"/>
      <w:marTop w:val="0"/>
      <w:marBottom w:val="0"/>
      <w:divBdr>
        <w:top w:val="none" w:sz="0" w:space="0" w:color="auto"/>
        <w:left w:val="none" w:sz="0" w:space="0" w:color="auto"/>
        <w:bottom w:val="none" w:sz="0" w:space="0" w:color="auto"/>
        <w:right w:val="none" w:sz="0" w:space="0" w:color="auto"/>
      </w:divBdr>
    </w:div>
    <w:div w:id="70667354">
      <w:bodyDiv w:val="1"/>
      <w:marLeft w:val="0"/>
      <w:marRight w:val="0"/>
      <w:marTop w:val="0"/>
      <w:marBottom w:val="0"/>
      <w:divBdr>
        <w:top w:val="none" w:sz="0" w:space="0" w:color="auto"/>
        <w:left w:val="none" w:sz="0" w:space="0" w:color="auto"/>
        <w:bottom w:val="none" w:sz="0" w:space="0" w:color="auto"/>
        <w:right w:val="none" w:sz="0" w:space="0" w:color="auto"/>
      </w:divBdr>
    </w:div>
    <w:div w:id="84113591">
      <w:bodyDiv w:val="1"/>
      <w:marLeft w:val="0"/>
      <w:marRight w:val="0"/>
      <w:marTop w:val="0"/>
      <w:marBottom w:val="0"/>
      <w:divBdr>
        <w:top w:val="none" w:sz="0" w:space="0" w:color="auto"/>
        <w:left w:val="none" w:sz="0" w:space="0" w:color="auto"/>
        <w:bottom w:val="none" w:sz="0" w:space="0" w:color="auto"/>
        <w:right w:val="none" w:sz="0" w:space="0" w:color="auto"/>
      </w:divBdr>
    </w:div>
    <w:div w:id="95952425">
      <w:bodyDiv w:val="1"/>
      <w:marLeft w:val="0"/>
      <w:marRight w:val="0"/>
      <w:marTop w:val="0"/>
      <w:marBottom w:val="0"/>
      <w:divBdr>
        <w:top w:val="none" w:sz="0" w:space="0" w:color="auto"/>
        <w:left w:val="none" w:sz="0" w:space="0" w:color="auto"/>
        <w:bottom w:val="none" w:sz="0" w:space="0" w:color="auto"/>
        <w:right w:val="none" w:sz="0" w:space="0" w:color="auto"/>
      </w:divBdr>
    </w:div>
    <w:div w:id="104735967">
      <w:bodyDiv w:val="1"/>
      <w:marLeft w:val="0"/>
      <w:marRight w:val="0"/>
      <w:marTop w:val="0"/>
      <w:marBottom w:val="0"/>
      <w:divBdr>
        <w:top w:val="none" w:sz="0" w:space="0" w:color="auto"/>
        <w:left w:val="none" w:sz="0" w:space="0" w:color="auto"/>
        <w:bottom w:val="none" w:sz="0" w:space="0" w:color="auto"/>
        <w:right w:val="none" w:sz="0" w:space="0" w:color="auto"/>
      </w:divBdr>
    </w:div>
    <w:div w:id="133062443">
      <w:bodyDiv w:val="1"/>
      <w:marLeft w:val="0"/>
      <w:marRight w:val="0"/>
      <w:marTop w:val="0"/>
      <w:marBottom w:val="0"/>
      <w:divBdr>
        <w:top w:val="none" w:sz="0" w:space="0" w:color="auto"/>
        <w:left w:val="none" w:sz="0" w:space="0" w:color="auto"/>
        <w:bottom w:val="none" w:sz="0" w:space="0" w:color="auto"/>
        <w:right w:val="none" w:sz="0" w:space="0" w:color="auto"/>
      </w:divBdr>
    </w:div>
    <w:div w:id="151794335">
      <w:bodyDiv w:val="1"/>
      <w:marLeft w:val="0"/>
      <w:marRight w:val="0"/>
      <w:marTop w:val="0"/>
      <w:marBottom w:val="0"/>
      <w:divBdr>
        <w:top w:val="none" w:sz="0" w:space="0" w:color="auto"/>
        <w:left w:val="none" w:sz="0" w:space="0" w:color="auto"/>
        <w:bottom w:val="none" w:sz="0" w:space="0" w:color="auto"/>
        <w:right w:val="none" w:sz="0" w:space="0" w:color="auto"/>
      </w:divBdr>
    </w:div>
    <w:div w:id="163668937">
      <w:bodyDiv w:val="1"/>
      <w:marLeft w:val="0"/>
      <w:marRight w:val="0"/>
      <w:marTop w:val="0"/>
      <w:marBottom w:val="0"/>
      <w:divBdr>
        <w:top w:val="none" w:sz="0" w:space="0" w:color="auto"/>
        <w:left w:val="none" w:sz="0" w:space="0" w:color="auto"/>
        <w:bottom w:val="none" w:sz="0" w:space="0" w:color="auto"/>
        <w:right w:val="none" w:sz="0" w:space="0" w:color="auto"/>
      </w:divBdr>
    </w:div>
    <w:div w:id="167794292">
      <w:bodyDiv w:val="1"/>
      <w:marLeft w:val="0"/>
      <w:marRight w:val="0"/>
      <w:marTop w:val="0"/>
      <w:marBottom w:val="0"/>
      <w:divBdr>
        <w:top w:val="none" w:sz="0" w:space="0" w:color="auto"/>
        <w:left w:val="none" w:sz="0" w:space="0" w:color="auto"/>
        <w:bottom w:val="none" w:sz="0" w:space="0" w:color="auto"/>
        <w:right w:val="none" w:sz="0" w:space="0" w:color="auto"/>
      </w:divBdr>
    </w:div>
    <w:div w:id="172769420">
      <w:bodyDiv w:val="1"/>
      <w:marLeft w:val="0"/>
      <w:marRight w:val="0"/>
      <w:marTop w:val="0"/>
      <w:marBottom w:val="0"/>
      <w:divBdr>
        <w:top w:val="none" w:sz="0" w:space="0" w:color="auto"/>
        <w:left w:val="none" w:sz="0" w:space="0" w:color="auto"/>
        <w:bottom w:val="none" w:sz="0" w:space="0" w:color="auto"/>
        <w:right w:val="none" w:sz="0" w:space="0" w:color="auto"/>
      </w:divBdr>
    </w:div>
    <w:div w:id="173766491">
      <w:bodyDiv w:val="1"/>
      <w:marLeft w:val="0"/>
      <w:marRight w:val="0"/>
      <w:marTop w:val="0"/>
      <w:marBottom w:val="0"/>
      <w:divBdr>
        <w:top w:val="none" w:sz="0" w:space="0" w:color="auto"/>
        <w:left w:val="none" w:sz="0" w:space="0" w:color="auto"/>
        <w:bottom w:val="none" w:sz="0" w:space="0" w:color="auto"/>
        <w:right w:val="none" w:sz="0" w:space="0" w:color="auto"/>
      </w:divBdr>
    </w:div>
    <w:div w:id="176115633">
      <w:bodyDiv w:val="1"/>
      <w:marLeft w:val="0"/>
      <w:marRight w:val="0"/>
      <w:marTop w:val="0"/>
      <w:marBottom w:val="0"/>
      <w:divBdr>
        <w:top w:val="none" w:sz="0" w:space="0" w:color="auto"/>
        <w:left w:val="none" w:sz="0" w:space="0" w:color="auto"/>
        <w:bottom w:val="none" w:sz="0" w:space="0" w:color="auto"/>
        <w:right w:val="none" w:sz="0" w:space="0" w:color="auto"/>
      </w:divBdr>
    </w:div>
    <w:div w:id="186794751">
      <w:bodyDiv w:val="1"/>
      <w:marLeft w:val="0"/>
      <w:marRight w:val="0"/>
      <w:marTop w:val="0"/>
      <w:marBottom w:val="0"/>
      <w:divBdr>
        <w:top w:val="none" w:sz="0" w:space="0" w:color="auto"/>
        <w:left w:val="none" w:sz="0" w:space="0" w:color="auto"/>
        <w:bottom w:val="none" w:sz="0" w:space="0" w:color="auto"/>
        <w:right w:val="none" w:sz="0" w:space="0" w:color="auto"/>
      </w:divBdr>
    </w:div>
    <w:div w:id="193425075">
      <w:bodyDiv w:val="1"/>
      <w:marLeft w:val="0"/>
      <w:marRight w:val="0"/>
      <w:marTop w:val="0"/>
      <w:marBottom w:val="0"/>
      <w:divBdr>
        <w:top w:val="none" w:sz="0" w:space="0" w:color="auto"/>
        <w:left w:val="none" w:sz="0" w:space="0" w:color="auto"/>
        <w:bottom w:val="none" w:sz="0" w:space="0" w:color="auto"/>
        <w:right w:val="none" w:sz="0" w:space="0" w:color="auto"/>
      </w:divBdr>
    </w:div>
    <w:div w:id="205873949">
      <w:bodyDiv w:val="1"/>
      <w:marLeft w:val="0"/>
      <w:marRight w:val="0"/>
      <w:marTop w:val="0"/>
      <w:marBottom w:val="0"/>
      <w:divBdr>
        <w:top w:val="none" w:sz="0" w:space="0" w:color="auto"/>
        <w:left w:val="none" w:sz="0" w:space="0" w:color="auto"/>
        <w:bottom w:val="none" w:sz="0" w:space="0" w:color="auto"/>
        <w:right w:val="none" w:sz="0" w:space="0" w:color="auto"/>
      </w:divBdr>
    </w:div>
    <w:div w:id="207575680">
      <w:bodyDiv w:val="1"/>
      <w:marLeft w:val="0"/>
      <w:marRight w:val="0"/>
      <w:marTop w:val="0"/>
      <w:marBottom w:val="0"/>
      <w:divBdr>
        <w:top w:val="none" w:sz="0" w:space="0" w:color="auto"/>
        <w:left w:val="none" w:sz="0" w:space="0" w:color="auto"/>
        <w:bottom w:val="none" w:sz="0" w:space="0" w:color="auto"/>
        <w:right w:val="none" w:sz="0" w:space="0" w:color="auto"/>
      </w:divBdr>
    </w:div>
    <w:div w:id="208498376">
      <w:bodyDiv w:val="1"/>
      <w:marLeft w:val="0"/>
      <w:marRight w:val="0"/>
      <w:marTop w:val="0"/>
      <w:marBottom w:val="0"/>
      <w:divBdr>
        <w:top w:val="none" w:sz="0" w:space="0" w:color="auto"/>
        <w:left w:val="none" w:sz="0" w:space="0" w:color="auto"/>
        <w:bottom w:val="none" w:sz="0" w:space="0" w:color="auto"/>
        <w:right w:val="none" w:sz="0" w:space="0" w:color="auto"/>
      </w:divBdr>
    </w:div>
    <w:div w:id="213783048">
      <w:bodyDiv w:val="1"/>
      <w:marLeft w:val="0"/>
      <w:marRight w:val="0"/>
      <w:marTop w:val="0"/>
      <w:marBottom w:val="0"/>
      <w:divBdr>
        <w:top w:val="none" w:sz="0" w:space="0" w:color="auto"/>
        <w:left w:val="none" w:sz="0" w:space="0" w:color="auto"/>
        <w:bottom w:val="none" w:sz="0" w:space="0" w:color="auto"/>
        <w:right w:val="none" w:sz="0" w:space="0" w:color="auto"/>
      </w:divBdr>
    </w:div>
    <w:div w:id="213977841">
      <w:bodyDiv w:val="1"/>
      <w:marLeft w:val="0"/>
      <w:marRight w:val="0"/>
      <w:marTop w:val="0"/>
      <w:marBottom w:val="0"/>
      <w:divBdr>
        <w:top w:val="none" w:sz="0" w:space="0" w:color="auto"/>
        <w:left w:val="none" w:sz="0" w:space="0" w:color="auto"/>
        <w:bottom w:val="none" w:sz="0" w:space="0" w:color="auto"/>
        <w:right w:val="none" w:sz="0" w:space="0" w:color="auto"/>
      </w:divBdr>
    </w:div>
    <w:div w:id="234975743">
      <w:bodyDiv w:val="1"/>
      <w:marLeft w:val="0"/>
      <w:marRight w:val="0"/>
      <w:marTop w:val="0"/>
      <w:marBottom w:val="0"/>
      <w:divBdr>
        <w:top w:val="none" w:sz="0" w:space="0" w:color="auto"/>
        <w:left w:val="none" w:sz="0" w:space="0" w:color="auto"/>
        <w:bottom w:val="none" w:sz="0" w:space="0" w:color="auto"/>
        <w:right w:val="none" w:sz="0" w:space="0" w:color="auto"/>
      </w:divBdr>
    </w:div>
    <w:div w:id="315963933">
      <w:bodyDiv w:val="1"/>
      <w:marLeft w:val="0"/>
      <w:marRight w:val="0"/>
      <w:marTop w:val="0"/>
      <w:marBottom w:val="0"/>
      <w:divBdr>
        <w:top w:val="none" w:sz="0" w:space="0" w:color="auto"/>
        <w:left w:val="none" w:sz="0" w:space="0" w:color="auto"/>
        <w:bottom w:val="none" w:sz="0" w:space="0" w:color="auto"/>
        <w:right w:val="none" w:sz="0" w:space="0" w:color="auto"/>
      </w:divBdr>
    </w:div>
    <w:div w:id="323431735">
      <w:bodyDiv w:val="1"/>
      <w:marLeft w:val="0"/>
      <w:marRight w:val="0"/>
      <w:marTop w:val="0"/>
      <w:marBottom w:val="0"/>
      <w:divBdr>
        <w:top w:val="none" w:sz="0" w:space="0" w:color="auto"/>
        <w:left w:val="none" w:sz="0" w:space="0" w:color="auto"/>
        <w:bottom w:val="none" w:sz="0" w:space="0" w:color="auto"/>
        <w:right w:val="none" w:sz="0" w:space="0" w:color="auto"/>
      </w:divBdr>
    </w:div>
    <w:div w:id="333529740">
      <w:bodyDiv w:val="1"/>
      <w:marLeft w:val="0"/>
      <w:marRight w:val="0"/>
      <w:marTop w:val="0"/>
      <w:marBottom w:val="0"/>
      <w:divBdr>
        <w:top w:val="none" w:sz="0" w:space="0" w:color="auto"/>
        <w:left w:val="none" w:sz="0" w:space="0" w:color="auto"/>
        <w:bottom w:val="none" w:sz="0" w:space="0" w:color="auto"/>
        <w:right w:val="none" w:sz="0" w:space="0" w:color="auto"/>
      </w:divBdr>
    </w:div>
    <w:div w:id="343678257">
      <w:bodyDiv w:val="1"/>
      <w:marLeft w:val="0"/>
      <w:marRight w:val="0"/>
      <w:marTop w:val="0"/>
      <w:marBottom w:val="0"/>
      <w:divBdr>
        <w:top w:val="none" w:sz="0" w:space="0" w:color="auto"/>
        <w:left w:val="none" w:sz="0" w:space="0" w:color="auto"/>
        <w:bottom w:val="none" w:sz="0" w:space="0" w:color="auto"/>
        <w:right w:val="none" w:sz="0" w:space="0" w:color="auto"/>
      </w:divBdr>
    </w:div>
    <w:div w:id="388766669">
      <w:bodyDiv w:val="1"/>
      <w:marLeft w:val="0"/>
      <w:marRight w:val="0"/>
      <w:marTop w:val="0"/>
      <w:marBottom w:val="0"/>
      <w:divBdr>
        <w:top w:val="none" w:sz="0" w:space="0" w:color="auto"/>
        <w:left w:val="none" w:sz="0" w:space="0" w:color="auto"/>
        <w:bottom w:val="none" w:sz="0" w:space="0" w:color="auto"/>
        <w:right w:val="none" w:sz="0" w:space="0" w:color="auto"/>
      </w:divBdr>
    </w:div>
    <w:div w:id="400567065">
      <w:bodyDiv w:val="1"/>
      <w:marLeft w:val="0"/>
      <w:marRight w:val="0"/>
      <w:marTop w:val="0"/>
      <w:marBottom w:val="0"/>
      <w:divBdr>
        <w:top w:val="none" w:sz="0" w:space="0" w:color="auto"/>
        <w:left w:val="none" w:sz="0" w:space="0" w:color="auto"/>
        <w:bottom w:val="none" w:sz="0" w:space="0" w:color="auto"/>
        <w:right w:val="none" w:sz="0" w:space="0" w:color="auto"/>
      </w:divBdr>
    </w:div>
    <w:div w:id="408428281">
      <w:bodyDiv w:val="1"/>
      <w:marLeft w:val="0"/>
      <w:marRight w:val="0"/>
      <w:marTop w:val="0"/>
      <w:marBottom w:val="0"/>
      <w:divBdr>
        <w:top w:val="none" w:sz="0" w:space="0" w:color="auto"/>
        <w:left w:val="none" w:sz="0" w:space="0" w:color="auto"/>
        <w:bottom w:val="none" w:sz="0" w:space="0" w:color="auto"/>
        <w:right w:val="none" w:sz="0" w:space="0" w:color="auto"/>
      </w:divBdr>
    </w:div>
    <w:div w:id="445932814">
      <w:bodyDiv w:val="1"/>
      <w:marLeft w:val="0"/>
      <w:marRight w:val="0"/>
      <w:marTop w:val="0"/>
      <w:marBottom w:val="0"/>
      <w:divBdr>
        <w:top w:val="none" w:sz="0" w:space="0" w:color="auto"/>
        <w:left w:val="none" w:sz="0" w:space="0" w:color="auto"/>
        <w:bottom w:val="none" w:sz="0" w:space="0" w:color="auto"/>
        <w:right w:val="none" w:sz="0" w:space="0" w:color="auto"/>
      </w:divBdr>
    </w:div>
    <w:div w:id="447092413">
      <w:bodyDiv w:val="1"/>
      <w:marLeft w:val="0"/>
      <w:marRight w:val="0"/>
      <w:marTop w:val="0"/>
      <w:marBottom w:val="0"/>
      <w:divBdr>
        <w:top w:val="none" w:sz="0" w:space="0" w:color="auto"/>
        <w:left w:val="none" w:sz="0" w:space="0" w:color="auto"/>
        <w:bottom w:val="none" w:sz="0" w:space="0" w:color="auto"/>
        <w:right w:val="none" w:sz="0" w:space="0" w:color="auto"/>
      </w:divBdr>
    </w:div>
    <w:div w:id="447704824">
      <w:bodyDiv w:val="1"/>
      <w:marLeft w:val="0"/>
      <w:marRight w:val="0"/>
      <w:marTop w:val="0"/>
      <w:marBottom w:val="0"/>
      <w:divBdr>
        <w:top w:val="none" w:sz="0" w:space="0" w:color="auto"/>
        <w:left w:val="none" w:sz="0" w:space="0" w:color="auto"/>
        <w:bottom w:val="none" w:sz="0" w:space="0" w:color="auto"/>
        <w:right w:val="none" w:sz="0" w:space="0" w:color="auto"/>
      </w:divBdr>
    </w:div>
    <w:div w:id="470252811">
      <w:bodyDiv w:val="1"/>
      <w:marLeft w:val="0"/>
      <w:marRight w:val="0"/>
      <w:marTop w:val="0"/>
      <w:marBottom w:val="0"/>
      <w:divBdr>
        <w:top w:val="none" w:sz="0" w:space="0" w:color="auto"/>
        <w:left w:val="none" w:sz="0" w:space="0" w:color="auto"/>
        <w:bottom w:val="none" w:sz="0" w:space="0" w:color="auto"/>
        <w:right w:val="none" w:sz="0" w:space="0" w:color="auto"/>
      </w:divBdr>
    </w:div>
    <w:div w:id="471866660">
      <w:bodyDiv w:val="1"/>
      <w:marLeft w:val="0"/>
      <w:marRight w:val="0"/>
      <w:marTop w:val="0"/>
      <w:marBottom w:val="0"/>
      <w:divBdr>
        <w:top w:val="none" w:sz="0" w:space="0" w:color="auto"/>
        <w:left w:val="none" w:sz="0" w:space="0" w:color="auto"/>
        <w:bottom w:val="none" w:sz="0" w:space="0" w:color="auto"/>
        <w:right w:val="none" w:sz="0" w:space="0" w:color="auto"/>
      </w:divBdr>
    </w:div>
    <w:div w:id="478958383">
      <w:bodyDiv w:val="1"/>
      <w:marLeft w:val="0"/>
      <w:marRight w:val="0"/>
      <w:marTop w:val="0"/>
      <w:marBottom w:val="0"/>
      <w:divBdr>
        <w:top w:val="none" w:sz="0" w:space="0" w:color="auto"/>
        <w:left w:val="none" w:sz="0" w:space="0" w:color="auto"/>
        <w:bottom w:val="none" w:sz="0" w:space="0" w:color="auto"/>
        <w:right w:val="none" w:sz="0" w:space="0" w:color="auto"/>
      </w:divBdr>
    </w:div>
    <w:div w:id="498346563">
      <w:bodyDiv w:val="1"/>
      <w:marLeft w:val="0"/>
      <w:marRight w:val="0"/>
      <w:marTop w:val="0"/>
      <w:marBottom w:val="0"/>
      <w:divBdr>
        <w:top w:val="none" w:sz="0" w:space="0" w:color="auto"/>
        <w:left w:val="none" w:sz="0" w:space="0" w:color="auto"/>
        <w:bottom w:val="none" w:sz="0" w:space="0" w:color="auto"/>
        <w:right w:val="none" w:sz="0" w:space="0" w:color="auto"/>
      </w:divBdr>
    </w:div>
    <w:div w:id="514341637">
      <w:bodyDiv w:val="1"/>
      <w:marLeft w:val="0"/>
      <w:marRight w:val="0"/>
      <w:marTop w:val="0"/>
      <w:marBottom w:val="0"/>
      <w:divBdr>
        <w:top w:val="none" w:sz="0" w:space="0" w:color="auto"/>
        <w:left w:val="none" w:sz="0" w:space="0" w:color="auto"/>
        <w:bottom w:val="none" w:sz="0" w:space="0" w:color="auto"/>
        <w:right w:val="none" w:sz="0" w:space="0" w:color="auto"/>
      </w:divBdr>
    </w:div>
    <w:div w:id="529296569">
      <w:bodyDiv w:val="1"/>
      <w:marLeft w:val="0"/>
      <w:marRight w:val="0"/>
      <w:marTop w:val="0"/>
      <w:marBottom w:val="0"/>
      <w:divBdr>
        <w:top w:val="none" w:sz="0" w:space="0" w:color="auto"/>
        <w:left w:val="none" w:sz="0" w:space="0" w:color="auto"/>
        <w:bottom w:val="none" w:sz="0" w:space="0" w:color="auto"/>
        <w:right w:val="none" w:sz="0" w:space="0" w:color="auto"/>
      </w:divBdr>
    </w:div>
    <w:div w:id="556204305">
      <w:bodyDiv w:val="1"/>
      <w:marLeft w:val="0"/>
      <w:marRight w:val="0"/>
      <w:marTop w:val="0"/>
      <w:marBottom w:val="0"/>
      <w:divBdr>
        <w:top w:val="none" w:sz="0" w:space="0" w:color="auto"/>
        <w:left w:val="none" w:sz="0" w:space="0" w:color="auto"/>
        <w:bottom w:val="none" w:sz="0" w:space="0" w:color="auto"/>
        <w:right w:val="none" w:sz="0" w:space="0" w:color="auto"/>
      </w:divBdr>
    </w:div>
    <w:div w:id="556429726">
      <w:bodyDiv w:val="1"/>
      <w:marLeft w:val="0"/>
      <w:marRight w:val="0"/>
      <w:marTop w:val="0"/>
      <w:marBottom w:val="0"/>
      <w:divBdr>
        <w:top w:val="none" w:sz="0" w:space="0" w:color="auto"/>
        <w:left w:val="none" w:sz="0" w:space="0" w:color="auto"/>
        <w:bottom w:val="none" w:sz="0" w:space="0" w:color="auto"/>
        <w:right w:val="none" w:sz="0" w:space="0" w:color="auto"/>
      </w:divBdr>
    </w:div>
    <w:div w:id="559950526">
      <w:bodyDiv w:val="1"/>
      <w:marLeft w:val="0"/>
      <w:marRight w:val="0"/>
      <w:marTop w:val="0"/>
      <w:marBottom w:val="0"/>
      <w:divBdr>
        <w:top w:val="none" w:sz="0" w:space="0" w:color="auto"/>
        <w:left w:val="none" w:sz="0" w:space="0" w:color="auto"/>
        <w:bottom w:val="none" w:sz="0" w:space="0" w:color="auto"/>
        <w:right w:val="none" w:sz="0" w:space="0" w:color="auto"/>
      </w:divBdr>
    </w:div>
    <w:div w:id="567350892">
      <w:bodyDiv w:val="1"/>
      <w:marLeft w:val="0"/>
      <w:marRight w:val="0"/>
      <w:marTop w:val="0"/>
      <w:marBottom w:val="0"/>
      <w:divBdr>
        <w:top w:val="none" w:sz="0" w:space="0" w:color="auto"/>
        <w:left w:val="none" w:sz="0" w:space="0" w:color="auto"/>
        <w:bottom w:val="none" w:sz="0" w:space="0" w:color="auto"/>
        <w:right w:val="none" w:sz="0" w:space="0" w:color="auto"/>
      </w:divBdr>
    </w:div>
    <w:div w:id="570117747">
      <w:bodyDiv w:val="1"/>
      <w:marLeft w:val="0"/>
      <w:marRight w:val="0"/>
      <w:marTop w:val="0"/>
      <w:marBottom w:val="0"/>
      <w:divBdr>
        <w:top w:val="none" w:sz="0" w:space="0" w:color="auto"/>
        <w:left w:val="none" w:sz="0" w:space="0" w:color="auto"/>
        <w:bottom w:val="none" w:sz="0" w:space="0" w:color="auto"/>
        <w:right w:val="none" w:sz="0" w:space="0" w:color="auto"/>
      </w:divBdr>
    </w:div>
    <w:div w:id="590938483">
      <w:bodyDiv w:val="1"/>
      <w:marLeft w:val="0"/>
      <w:marRight w:val="0"/>
      <w:marTop w:val="0"/>
      <w:marBottom w:val="0"/>
      <w:divBdr>
        <w:top w:val="none" w:sz="0" w:space="0" w:color="auto"/>
        <w:left w:val="none" w:sz="0" w:space="0" w:color="auto"/>
        <w:bottom w:val="none" w:sz="0" w:space="0" w:color="auto"/>
        <w:right w:val="none" w:sz="0" w:space="0" w:color="auto"/>
      </w:divBdr>
    </w:div>
    <w:div w:id="594365811">
      <w:bodyDiv w:val="1"/>
      <w:marLeft w:val="0"/>
      <w:marRight w:val="0"/>
      <w:marTop w:val="0"/>
      <w:marBottom w:val="0"/>
      <w:divBdr>
        <w:top w:val="none" w:sz="0" w:space="0" w:color="auto"/>
        <w:left w:val="none" w:sz="0" w:space="0" w:color="auto"/>
        <w:bottom w:val="none" w:sz="0" w:space="0" w:color="auto"/>
        <w:right w:val="none" w:sz="0" w:space="0" w:color="auto"/>
      </w:divBdr>
    </w:div>
    <w:div w:id="602493625">
      <w:bodyDiv w:val="1"/>
      <w:marLeft w:val="0"/>
      <w:marRight w:val="0"/>
      <w:marTop w:val="0"/>
      <w:marBottom w:val="0"/>
      <w:divBdr>
        <w:top w:val="none" w:sz="0" w:space="0" w:color="auto"/>
        <w:left w:val="none" w:sz="0" w:space="0" w:color="auto"/>
        <w:bottom w:val="none" w:sz="0" w:space="0" w:color="auto"/>
        <w:right w:val="none" w:sz="0" w:space="0" w:color="auto"/>
      </w:divBdr>
    </w:div>
    <w:div w:id="616569744">
      <w:bodyDiv w:val="1"/>
      <w:marLeft w:val="0"/>
      <w:marRight w:val="0"/>
      <w:marTop w:val="0"/>
      <w:marBottom w:val="0"/>
      <w:divBdr>
        <w:top w:val="none" w:sz="0" w:space="0" w:color="auto"/>
        <w:left w:val="none" w:sz="0" w:space="0" w:color="auto"/>
        <w:bottom w:val="none" w:sz="0" w:space="0" w:color="auto"/>
        <w:right w:val="none" w:sz="0" w:space="0" w:color="auto"/>
      </w:divBdr>
    </w:div>
    <w:div w:id="620260739">
      <w:bodyDiv w:val="1"/>
      <w:marLeft w:val="0"/>
      <w:marRight w:val="0"/>
      <w:marTop w:val="0"/>
      <w:marBottom w:val="0"/>
      <w:divBdr>
        <w:top w:val="none" w:sz="0" w:space="0" w:color="auto"/>
        <w:left w:val="none" w:sz="0" w:space="0" w:color="auto"/>
        <w:bottom w:val="none" w:sz="0" w:space="0" w:color="auto"/>
        <w:right w:val="none" w:sz="0" w:space="0" w:color="auto"/>
      </w:divBdr>
    </w:div>
    <w:div w:id="621232924">
      <w:bodyDiv w:val="1"/>
      <w:marLeft w:val="0"/>
      <w:marRight w:val="0"/>
      <w:marTop w:val="0"/>
      <w:marBottom w:val="0"/>
      <w:divBdr>
        <w:top w:val="none" w:sz="0" w:space="0" w:color="auto"/>
        <w:left w:val="none" w:sz="0" w:space="0" w:color="auto"/>
        <w:bottom w:val="none" w:sz="0" w:space="0" w:color="auto"/>
        <w:right w:val="none" w:sz="0" w:space="0" w:color="auto"/>
      </w:divBdr>
    </w:div>
    <w:div w:id="645092399">
      <w:bodyDiv w:val="1"/>
      <w:marLeft w:val="0"/>
      <w:marRight w:val="0"/>
      <w:marTop w:val="0"/>
      <w:marBottom w:val="0"/>
      <w:divBdr>
        <w:top w:val="none" w:sz="0" w:space="0" w:color="auto"/>
        <w:left w:val="none" w:sz="0" w:space="0" w:color="auto"/>
        <w:bottom w:val="none" w:sz="0" w:space="0" w:color="auto"/>
        <w:right w:val="none" w:sz="0" w:space="0" w:color="auto"/>
      </w:divBdr>
    </w:div>
    <w:div w:id="646085482">
      <w:bodyDiv w:val="1"/>
      <w:marLeft w:val="0"/>
      <w:marRight w:val="0"/>
      <w:marTop w:val="0"/>
      <w:marBottom w:val="0"/>
      <w:divBdr>
        <w:top w:val="none" w:sz="0" w:space="0" w:color="auto"/>
        <w:left w:val="none" w:sz="0" w:space="0" w:color="auto"/>
        <w:bottom w:val="none" w:sz="0" w:space="0" w:color="auto"/>
        <w:right w:val="none" w:sz="0" w:space="0" w:color="auto"/>
      </w:divBdr>
    </w:div>
    <w:div w:id="648899265">
      <w:bodyDiv w:val="1"/>
      <w:marLeft w:val="0"/>
      <w:marRight w:val="0"/>
      <w:marTop w:val="0"/>
      <w:marBottom w:val="0"/>
      <w:divBdr>
        <w:top w:val="none" w:sz="0" w:space="0" w:color="auto"/>
        <w:left w:val="none" w:sz="0" w:space="0" w:color="auto"/>
        <w:bottom w:val="none" w:sz="0" w:space="0" w:color="auto"/>
        <w:right w:val="none" w:sz="0" w:space="0" w:color="auto"/>
      </w:divBdr>
    </w:div>
    <w:div w:id="650838356">
      <w:bodyDiv w:val="1"/>
      <w:marLeft w:val="0"/>
      <w:marRight w:val="0"/>
      <w:marTop w:val="0"/>
      <w:marBottom w:val="0"/>
      <w:divBdr>
        <w:top w:val="none" w:sz="0" w:space="0" w:color="auto"/>
        <w:left w:val="none" w:sz="0" w:space="0" w:color="auto"/>
        <w:bottom w:val="none" w:sz="0" w:space="0" w:color="auto"/>
        <w:right w:val="none" w:sz="0" w:space="0" w:color="auto"/>
      </w:divBdr>
    </w:div>
    <w:div w:id="655961857">
      <w:bodyDiv w:val="1"/>
      <w:marLeft w:val="0"/>
      <w:marRight w:val="0"/>
      <w:marTop w:val="0"/>
      <w:marBottom w:val="0"/>
      <w:divBdr>
        <w:top w:val="none" w:sz="0" w:space="0" w:color="auto"/>
        <w:left w:val="none" w:sz="0" w:space="0" w:color="auto"/>
        <w:bottom w:val="none" w:sz="0" w:space="0" w:color="auto"/>
        <w:right w:val="none" w:sz="0" w:space="0" w:color="auto"/>
      </w:divBdr>
    </w:div>
    <w:div w:id="659962216">
      <w:bodyDiv w:val="1"/>
      <w:marLeft w:val="0"/>
      <w:marRight w:val="0"/>
      <w:marTop w:val="0"/>
      <w:marBottom w:val="0"/>
      <w:divBdr>
        <w:top w:val="none" w:sz="0" w:space="0" w:color="auto"/>
        <w:left w:val="none" w:sz="0" w:space="0" w:color="auto"/>
        <w:bottom w:val="none" w:sz="0" w:space="0" w:color="auto"/>
        <w:right w:val="none" w:sz="0" w:space="0" w:color="auto"/>
      </w:divBdr>
    </w:div>
    <w:div w:id="675763727">
      <w:bodyDiv w:val="1"/>
      <w:marLeft w:val="0"/>
      <w:marRight w:val="0"/>
      <w:marTop w:val="0"/>
      <w:marBottom w:val="0"/>
      <w:divBdr>
        <w:top w:val="none" w:sz="0" w:space="0" w:color="auto"/>
        <w:left w:val="none" w:sz="0" w:space="0" w:color="auto"/>
        <w:bottom w:val="none" w:sz="0" w:space="0" w:color="auto"/>
        <w:right w:val="none" w:sz="0" w:space="0" w:color="auto"/>
      </w:divBdr>
    </w:div>
    <w:div w:id="685058072">
      <w:bodyDiv w:val="1"/>
      <w:marLeft w:val="0"/>
      <w:marRight w:val="0"/>
      <w:marTop w:val="0"/>
      <w:marBottom w:val="0"/>
      <w:divBdr>
        <w:top w:val="none" w:sz="0" w:space="0" w:color="auto"/>
        <w:left w:val="none" w:sz="0" w:space="0" w:color="auto"/>
        <w:bottom w:val="none" w:sz="0" w:space="0" w:color="auto"/>
        <w:right w:val="none" w:sz="0" w:space="0" w:color="auto"/>
      </w:divBdr>
    </w:div>
    <w:div w:id="688140372">
      <w:bodyDiv w:val="1"/>
      <w:marLeft w:val="0"/>
      <w:marRight w:val="0"/>
      <w:marTop w:val="0"/>
      <w:marBottom w:val="0"/>
      <w:divBdr>
        <w:top w:val="none" w:sz="0" w:space="0" w:color="auto"/>
        <w:left w:val="none" w:sz="0" w:space="0" w:color="auto"/>
        <w:bottom w:val="none" w:sz="0" w:space="0" w:color="auto"/>
        <w:right w:val="none" w:sz="0" w:space="0" w:color="auto"/>
      </w:divBdr>
    </w:div>
    <w:div w:id="707024434">
      <w:bodyDiv w:val="1"/>
      <w:marLeft w:val="0"/>
      <w:marRight w:val="0"/>
      <w:marTop w:val="0"/>
      <w:marBottom w:val="0"/>
      <w:divBdr>
        <w:top w:val="none" w:sz="0" w:space="0" w:color="auto"/>
        <w:left w:val="none" w:sz="0" w:space="0" w:color="auto"/>
        <w:bottom w:val="none" w:sz="0" w:space="0" w:color="auto"/>
        <w:right w:val="none" w:sz="0" w:space="0" w:color="auto"/>
      </w:divBdr>
    </w:div>
    <w:div w:id="721944801">
      <w:bodyDiv w:val="1"/>
      <w:marLeft w:val="0"/>
      <w:marRight w:val="0"/>
      <w:marTop w:val="0"/>
      <w:marBottom w:val="0"/>
      <w:divBdr>
        <w:top w:val="none" w:sz="0" w:space="0" w:color="auto"/>
        <w:left w:val="none" w:sz="0" w:space="0" w:color="auto"/>
        <w:bottom w:val="none" w:sz="0" w:space="0" w:color="auto"/>
        <w:right w:val="none" w:sz="0" w:space="0" w:color="auto"/>
      </w:divBdr>
    </w:div>
    <w:div w:id="765351137">
      <w:bodyDiv w:val="1"/>
      <w:marLeft w:val="0"/>
      <w:marRight w:val="0"/>
      <w:marTop w:val="0"/>
      <w:marBottom w:val="0"/>
      <w:divBdr>
        <w:top w:val="none" w:sz="0" w:space="0" w:color="auto"/>
        <w:left w:val="none" w:sz="0" w:space="0" w:color="auto"/>
        <w:bottom w:val="none" w:sz="0" w:space="0" w:color="auto"/>
        <w:right w:val="none" w:sz="0" w:space="0" w:color="auto"/>
      </w:divBdr>
    </w:div>
    <w:div w:id="788084441">
      <w:bodyDiv w:val="1"/>
      <w:marLeft w:val="0"/>
      <w:marRight w:val="0"/>
      <w:marTop w:val="0"/>
      <w:marBottom w:val="0"/>
      <w:divBdr>
        <w:top w:val="none" w:sz="0" w:space="0" w:color="auto"/>
        <w:left w:val="none" w:sz="0" w:space="0" w:color="auto"/>
        <w:bottom w:val="none" w:sz="0" w:space="0" w:color="auto"/>
        <w:right w:val="none" w:sz="0" w:space="0" w:color="auto"/>
      </w:divBdr>
    </w:div>
    <w:div w:id="788939553">
      <w:bodyDiv w:val="1"/>
      <w:marLeft w:val="0"/>
      <w:marRight w:val="0"/>
      <w:marTop w:val="0"/>
      <w:marBottom w:val="0"/>
      <w:divBdr>
        <w:top w:val="none" w:sz="0" w:space="0" w:color="auto"/>
        <w:left w:val="none" w:sz="0" w:space="0" w:color="auto"/>
        <w:bottom w:val="none" w:sz="0" w:space="0" w:color="auto"/>
        <w:right w:val="none" w:sz="0" w:space="0" w:color="auto"/>
      </w:divBdr>
    </w:div>
    <w:div w:id="797146576">
      <w:bodyDiv w:val="1"/>
      <w:marLeft w:val="0"/>
      <w:marRight w:val="0"/>
      <w:marTop w:val="0"/>
      <w:marBottom w:val="0"/>
      <w:divBdr>
        <w:top w:val="none" w:sz="0" w:space="0" w:color="auto"/>
        <w:left w:val="none" w:sz="0" w:space="0" w:color="auto"/>
        <w:bottom w:val="none" w:sz="0" w:space="0" w:color="auto"/>
        <w:right w:val="none" w:sz="0" w:space="0" w:color="auto"/>
      </w:divBdr>
    </w:div>
    <w:div w:id="819735931">
      <w:bodyDiv w:val="1"/>
      <w:marLeft w:val="0"/>
      <w:marRight w:val="0"/>
      <w:marTop w:val="0"/>
      <w:marBottom w:val="0"/>
      <w:divBdr>
        <w:top w:val="none" w:sz="0" w:space="0" w:color="auto"/>
        <w:left w:val="none" w:sz="0" w:space="0" w:color="auto"/>
        <w:bottom w:val="none" w:sz="0" w:space="0" w:color="auto"/>
        <w:right w:val="none" w:sz="0" w:space="0" w:color="auto"/>
      </w:divBdr>
    </w:div>
    <w:div w:id="824197908">
      <w:bodyDiv w:val="1"/>
      <w:marLeft w:val="0"/>
      <w:marRight w:val="0"/>
      <w:marTop w:val="0"/>
      <w:marBottom w:val="0"/>
      <w:divBdr>
        <w:top w:val="none" w:sz="0" w:space="0" w:color="auto"/>
        <w:left w:val="none" w:sz="0" w:space="0" w:color="auto"/>
        <w:bottom w:val="none" w:sz="0" w:space="0" w:color="auto"/>
        <w:right w:val="none" w:sz="0" w:space="0" w:color="auto"/>
      </w:divBdr>
    </w:div>
    <w:div w:id="832450859">
      <w:bodyDiv w:val="1"/>
      <w:marLeft w:val="0"/>
      <w:marRight w:val="0"/>
      <w:marTop w:val="0"/>
      <w:marBottom w:val="0"/>
      <w:divBdr>
        <w:top w:val="none" w:sz="0" w:space="0" w:color="auto"/>
        <w:left w:val="none" w:sz="0" w:space="0" w:color="auto"/>
        <w:bottom w:val="none" w:sz="0" w:space="0" w:color="auto"/>
        <w:right w:val="none" w:sz="0" w:space="0" w:color="auto"/>
      </w:divBdr>
    </w:div>
    <w:div w:id="838346064">
      <w:bodyDiv w:val="1"/>
      <w:marLeft w:val="0"/>
      <w:marRight w:val="0"/>
      <w:marTop w:val="0"/>
      <w:marBottom w:val="0"/>
      <w:divBdr>
        <w:top w:val="none" w:sz="0" w:space="0" w:color="auto"/>
        <w:left w:val="none" w:sz="0" w:space="0" w:color="auto"/>
        <w:bottom w:val="none" w:sz="0" w:space="0" w:color="auto"/>
        <w:right w:val="none" w:sz="0" w:space="0" w:color="auto"/>
      </w:divBdr>
    </w:div>
    <w:div w:id="838540561">
      <w:bodyDiv w:val="1"/>
      <w:marLeft w:val="0"/>
      <w:marRight w:val="0"/>
      <w:marTop w:val="0"/>
      <w:marBottom w:val="0"/>
      <w:divBdr>
        <w:top w:val="none" w:sz="0" w:space="0" w:color="auto"/>
        <w:left w:val="none" w:sz="0" w:space="0" w:color="auto"/>
        <w:bottom w:val="none" w:sz="0" w:space="0" w:color="auto"/>
        <w:right w:val="none" w:sz="0" w:space="0" w:color="auto"/>
      </w:divBdr>
    </w:div>
    <w:div w:id="838927301">
      <w:bodyDiv w:val="1"/>
      <w:marLeft w:val="0"/>
      <w:marRight w:val="0"/>
      <w:marTop w:val="0"/>
      <w:marBottom w:val="0"/>
      <w:divBdr>
        <w:top w:val="none" w:sz="0" w:space="0" w:color="auto"/>
        <w:left w:val="none" w:sz="0" w:space="0" w:color="auto"/>
        <w:bottom w:val="none" w:sz="0" w:space="0" w:color="auto"/>
        <w:right w:val="none" w:sz="0" w:space="0" w:color="auto"/>
      </w:divBdr>
    </w:div>
    <w:div w:id="844443326">
      <w:bodyDiv w:val="1"/>
      <w:marLeft w:val="0"/>
      <w:marRight w:val="0"/>
      <w:marTop w:val="0"/>
      <w:marBottom w:val="0"/>
      <w:divBdr>
        <w:top w:val="none" w:sz="0" w:space="0" w:color="auto"/>
        <w:left w:val="none" w:sz="0" w:space="0" w:color="auto"/>
        <w:bottom w:val="none" w:sz="0" w:space="0" w:color="auto"/>
        <w:right w:val="none" w:sz="0" w:space="0" w:color="auto"/>
      </w:divBdr>
    </w:div>
    <w:div w:id="847250338">
      <w:bodyDiv w:val="1"/>
      <w:marLeft w:val="0"/>
      <w:marRight w:val="0"/>
      <w:marTop w:val="0"/>
      <w:marBottom w:val="0"/>
      <w:divBdr>
        <w:top w:val="none" w:sz="0" w:space="0" w:color="auto"/>
        <w:left w:val="none" w:sz="0" w:space="0" w:color="auto"/>
        <w:bottom w:val="none" w:sz="0" w:space="0" w:color="auto"/>
        <w:right w:val="none" w:sz="0" w:space="0" w:color="auto"/>
      </w:divBdr>
    </w:div>
    <w:div w:id="847476525">
      <w:bodyDiv w:val="1"/>
      <w:marLeft w:val="0"/>
      <w:marRight w:val="0"/>
      <w:marTop w:val="0"/>
      <w:marBottom w:val="0"/>
      <w:divBdr>
        <w:top w:val="none" w:sz="0" w:space="0" w:color="auto"/>
        <w:left w:val="none" w:sz="0" w:space="0" w:color="auto"/>
        <w:bottom w:val="none" w:sz="0" w:space="0" w:color="auto"/>
        <w:right w:val="none" w:sz="0" w:space="0" w:color="auto"/>
      </w:divBdr>
    </w:div>
    <w:div w:id="852576126">
      <w:bodyDiv w:val="1"/>
      <w:marLeft w:val="0"/>
      <w:marRight w:val="0"/>
      <w:marTop w:val="0"/>
      <w:marBottom w:val="0"/>
      <w:divBdr>
        <w:top w:val="none" w:sz="0" w:space="0" w:color="auto"/>
        <w:left w:val="none" w:sz="0" w:space="0" w:color="auto"/>
        <w:bottom w:val="none" w:sz="0" w:space="0" w:color="auto"/>
        <w:right w:val="none" w:sz="0" w:space="0" w:color="auto"/>
      </w:divBdr>
    </w:div>
    <w:div w:id="857735361">
      <w:bodyDiv w:val="1"/>
      <w:marLeft w:val="0"/>
      <w:marRight w:val="0"/>
      <w:marTop w:val="0"/>
      <w:marBottom w:val="0"/>
      <w:divBdr>
        <w:top w:val="none" w:sz="0" w:space="0" w:color="auto"/>
        <w:left w:val="none" w:sz="0" w:space="0" w:color="auto"/>
        <w:bottom w:val="none" w:sz="0" w:space="0" w:color="auto"/>
        <w:right w:val="none" w:sz="0" w:space="0" w:color="auto"/>
      </w:divBdr>
    </w:div>
    <w:div w:id="891893477">
      <w:bodyDiv w:val="1"/>
      <w:marLeft w:val="0"/>
      <w:marRight w:val="0"/>
      <w:marTop w:val="0"/>
      <w:marBottom w:val="0"/>
      <w:divBdr>
        <w:top w:val="none" w:sz="0" w:space="0" w:color="auto"/>
        <w:left w:val="none" w:sz="0" w:space="0" w:color="auto"/>
        <w:bottom w:val="none" w:sz="0" w:space="0" w:color="auto"/>
        <w:right w:val="none" w:sz="0" w:space="0" w:color="auto"/>
      </w:divBdr>
    </w:div>
    <w:div w:id="923223822">
      <w:bodyDiv w:val="1"/>
      <w:marLeft w:val="0"/>
      <w:marRight w:val="0"/>
      <w:marTop w:val="0"/>
      <w:marBottom w:val="0"/>
      <w:divBdr>
        <w:top w:val="none" w:sz="0" w:space="0" w:color="auto"/>
        <w:left w:val="none" w:sz="0" w:space="0" w:color="auto"/>
        <w:bottom w:val="none" w:sz="0" w:space="0" w:color="auto"/>
        <w:right w:val="none" w:sz="0" w:space="0" w:color="auto"/>
      </w:divBdr>
    </w:div>
    <w:div w:id="959534756">
      <w:bodyDiv w:val="1"/>
      <w:marLeft w:val="0"/>
      <w:marRight w:val="0"/>
      <w:marTop w:val="0"/>
      <w:marBottom w:val="0"/>
      <w:divBdr>
        <w:top w:val="none" w:sz="0" w:space="0" w:color="auto"/>
        <w:left w:val="none" w:sz="0" w:space="0" w:color="auto"/>
        <w:bottom w:val="none" w:sz="0" w:space="0" w:color="auto"/>
        <w:right w:val="none" w:sz="0" w:space="0" w:color="auto"/>
      </w:divBdr>
    </w:div>
    <w:div w:id="968432974">
      <w:bodyDiv w:val="1"/>
      <w:marLeft w:val="0"/>
      <w:marRight w:val="0"/>
      <w:marTop w:val="0"/>
      <w:marBottom w:val="0"/>
      <w:divBdr>
        <w:top w:val="none" w:sz="0" w:space="0" w:color="auto"/>
        <w:left w:val="none" w:sz="0" w:space="0" w:color="auto"/>
        <w:bottom w:val="none" w:sz="0" w:space="0" w:color="auto"/>
        <w:right w:val="none" w:sz="0" w:space="0" w:color="auto"/>
      </w:divBdr>
    </w:div>
    <w:div w:id="1009647713">
      <w:bodyDiv w:val="1"/>
      <w:marLeft w:val="0"/>
      <w:marRight w:val="0"/>
      <w:marTop w:val="0"/>
      <w:marBottom w:val="0"/>
      <w:divBdr>
        <w:top w:val="none" w:sz="0" w:space="0" w:color="auto"/>
        <w:left w:val="none" w:sz="0" w:space="0" w:color="auto"/>
        <w:bottom w:val="none" w:sz="0" w:space="0" w:color="auto"/>
        <w:right w:val="none" w:sz="0" w:space="0" w:color="auto"/>
      </w:divBdr>
    </w:div>
    <w:div w:id="1034112684">
      <w:bodyDiv w:val="1"/>
      <w:marLeft w:val="0"/>
      <w:marRight w:val="0"/>
      <w:marTop w:val="0"/>
      <w:marBottom w:val="0"/>
      <w:divBdr>
        <w:top w:val="none" w:sz="0" w:space="0" w:color="auto"/>
        <w:left w:val="none" w:sz="0" w:space="0" w:color="auto"/>
        <w:bottom w:val="none" w:sz="0" w:space="0" w:color="auto"/>
        <w:right w:val="none" w:sz="0" w:space="0" w:color="auto"/>
      </w:divBdr>
    </w:div>
    <w:div w:id="1044209375">
      <w:bodyDiv w:val="1"/>
      <w:marLeft w:val="0"/>
      <w:marRight w:val="0"/>
      <w:marTop w:val="0"/>
      <w:marBottom w:val="0"/>
      <w:divBdr>
        <w:top w:val="none" w:sz="0" w:space="0" w:color="auto"/>
        <w:left w:val="none" w:sz="0" w:space="0" w:color="auto"/>
        <w:bottom w:val="none" w:sz="0" w:space="0" w:color="auto"/>
        <w:right w:val="none" w:sz="0" w:space="0" w:color="auto"/>
      </w:divBdr>
    </w:div>
    <w:div w:id="1045327811">
      <w:bodyDiv w:val="1"/>
      <w:marLeft w:val="0"/>
      <w:marRight w:val="0"/>
      <w:marTop w:val="0"/>
      <w:marBottom w:val="0"/>
      <w:divBdr>
        <w:top w:val="none" w:sz="0" w:space="0" w:color="auto"/>
        <w:left w:val="none" w:sz="0" w:space="0" w:color="auto"/>
        <w:bottom w:val="none" w:sz="0" w:space="0" w:color="auto"/>
        <w:right w:val="none" w:sz="0" w:space="0" w:color="auto"/>
      </w:divBdr>
    </w:div>
    <w:div w:id="1060517302">
      <w:bodyDiv w:val="1"/>
      <w:marLeft w:val="0"/>
      <w:marRight w:val="0"/>
      <w:marTop w:val="0"/>
      <w:marBottom w:val="0"/>
      <w:divBdr>
        <w:top w:val="none" w:sz="0" w:space="0" w:color="auto"/>
        <w:left w:val="none" w:sz="0" w:space="0" w:color="auto"/>
        <w:bottom w:val="none" w:sz="0" w:space="0" w:color="auto"/>
        <w:right w:val="none" w:sz="0" w:space="0" w:color="auto"/>
      </w:divBdr>
    </w:div>
    <w:div w:id="1062144862">
      <w:bodyDiv w:val="1"/>
      <w:marLeft w:val="0"/>
      <w:marRight w:val="0"/>
      <w:marTop w:val="0"/>
      <w:marBottom w:val="0"/>
      <w:divBdr>
        <w:top w:val="none" w:sz="0" w:space="0" w:color="auto"/>
        <w:left w:val="none" w:sz="0" w:space="0" w:color="auto"/>
        <w:bottom w:val="none" w:sz="0" w:space="0" w:color="auto"/>
        <w:right w:val="none" w:sz="0" w:space="0" w:color="auto"/>
      </w:divBdr>
    </w:div>
    <w:div w:id="1067344115">
      <w:bodyDiv w:val="1"/>
      <w:marLeft w:val="0"/>
      <w:marRight w:val="0"/>
      <w:marTop w:val="0"/>
      <w:marBottom w:val="0"/>
      <w:divBdr>
        <w:top w:val="none" w:sz="0" w:space="0" w:color="auto"/>
        <w:left w:val="none" w:sz="0" w:space="0" w:color="auto"/>
        <w:bottom w:val="none" w:sz="0" w:space="0" w:color="auto"/>
        <w:right w:val="none" w:sz="0" w:space="0" w:color="auto"/>
      </w:divBdr>
    </w:div>
    <w:div w:id="1080179025">
      <w:bodyDiv w:val="1"/>
      <w:marLeft w:val="0"/>
      <w:marRight w:val="0"/>
      <w:marTop w:val="0"/>
      <w:marBottom w:val="0"/>
      <w:divBdr>
        <w:top w:val="none" w:sz="0" w:space="0" w:color="auto"/>
        <w:left w:val="none" w:sz="0" w:space="0" w:color="auto"/>
        <w:bottom w:val="none" w:sz="0" w:space="0" w:color="auto"/>
        <w:right w:val="none" w:sz="0" w:space="0" w:color="auto"/>
      </w:divBdr>
    </w:div>
    <w:div w:id="1080717143">
      <w:bodyDiv w:val="1"/>
      <w:marLeft w:val="0"/>
      <w:marRight w:val="0"/>
      <w:marTop w:val="0"/>
      <w:marBottom w:val="0"/>
      <w:divBdr>
        <w:top w:val="none" w:sz="0" w:space="0" w:color="auto"/>
        <w:left w:val="none" w:sz="0" w:space="0" w:color="auto"/>
        <w:bottom w:val="none" w:sz="0" w:space="0" w:color="auto"/>
        <w:right w:val="none" w:sz="0" w:space="0" w:color="auto"/>
      </w:divBdr>
    </w:div>
    <w:div w:id="1092554437">
      <w:bodyDiv w:val="1"/>
      <w:marLeft w:val="0"/>
      <w:marRight w:val="0"/>
      <w:marTop w:val="0"/>
      <w:marBottom w:val="0"/>
      <w:divBdr>
        <w:top w:val="none" w:sz="0" w:space="0" w:color="auto"/>
        <w:left w:val="none" w:sz="0" w:space="0" w:color="auto"/>
        <w:bottom w:val="none" w:sz="0" w:space="0" w:color="auto"/>
        <w:right w:val="none" w:sz="0" w:space="0" w:color="auto"/>
      </w:divBdr>
    </w:div>
    <w:div w:id="1101529971">
      <w:bodyDiv w:val="1"/>
      <w:marLeft w:val="0"/>
      <w:marRight w:val="0"/>
      <w:marTop w:val="0"/>
      <w:marBottom w:val="0"/>
      <w:divBdr>
        <w:top w:val="none" w:sz="0" w:space="0" w:color="auto"/>
        <w:left w:val="none" w:sz="0" w:space="0" w:color="auto"/>
        <w:bottom w:val="none" w:sz="0" w:space="0" w:color="auto"/>
        <w:right w:val="none" w:sz="0" w:space="0" w:color="auto"/>
      </w:divBdr>
    </w:div>
    <w:div w:id="1117796560">
      <w:bodyDiv w:val="1"/>
      <w:marLeft w:val="0"/>
      <w:marRight w:val="0"/>
      <w:marTop w:val="0"/>
      <w:marBottom w:val="0"/>
      <w:divBdr>
        <w:top w:val="none" w:sz="0" w:space="0" w:color="auto"/>
        <w:left w:val="none" w:sz="0" w:space="0" w:color="auto"/>
        <w:bottom w:val="none" w:sz="0" w:space="0" w:color="auto"/>
        <w:right w:val="none" w:sz="0" w:space="0" w:color="auto"/>
      </w:divBdr>
    </w:div>
    <w:div w:id="1126317767">
      <w:bodyDiv w:val="1"/>
      <w:marLeft w:val="0"/>
      <w:marRight w:val="0"/>
      <w:marTop w:val="0"/>
      <w:marBottom w:val="0"/>
      <w:divBdr>
        <w:top w:val="none" w:sz="0" w:space="0" w:color="auto"/>
        <w:left w:val="none" w:sz="0" w:space="0" w:color="auto"/>
        <w:bottom w:val="none" w:sz="0" w:space="0" w:color="auto"/>
        <w:right w:val="none" w:sz="0" w:space="0" w:color="auto"/>
      </w:divBdr>
    </w:div>
    <w:div w:id="1189637759">
      <w:bodyDiv w:val="1"/>
      <w:marLeft w:val="0"/>
      <w:marRight w:val="0"/>
      <w:marTop w:val="0"/>
      <w:marBottom w:val="0"/>
      <w:divBdr>
        <w:top w:val="none" w:sz="0" w:space="0" w:color="auto"/>
        <w:left w:val="none" w:sz="0" w:space="0" w:color="auto"/>
        <w:bottom w:val="none" w:sz="0" w:space="0" w:color="auto"/>
        <w:right w:val="none" w:sz="0" w:space="0" w:color="auto"/>
      </w:divBdr>
    </w:div>
    <w:div w:id="1211502794">
      <w:bodyDiv w:val="1"/>
      <w:marLeft w:val="0"/>
      <w:marRight w:val="0"/>
      <w:marTop w:val="0"/>
      <w:marBottom w:val="0"/>
      <w:divBdr>
        <w:top w:val="none" w:sz="0" w:space="0" w:color="auto"/>
        <w:left w:val="none" w:sz="0" w:space="0" w:color="auto"/>
        <w:bottom w:val="none" w:sz="0" w:space="0" w:color="auto"/>
        <w:right w:val="none" w:sz="0" w:space="0" w:color="auto"/>
      </w:divBdr>
    </w:div>
    <w:div w:id="1225795561">
      <w:bodyDiv w:val="1"/>
      <w:marLeft w:val="0"/>
      <w:marRight w:val="0"/>
      <w:marTop w:val="0"/>
      <w:marBottom w:val="0"/>
      <w:divBdr>
        <w:top w:val="none" w:sz="0" w:space="0" w:color="auto"/>
        <w:left w:val="none" w:sz="0" w:space="0" w:color="auto"/>
        <w:bottom w:val="none" w:sz="0" w:space="0" w:color="auto"/>
        <w:right w:val="none" w:sz="0" w:space="0" w:color="auto"/>
      </w:divBdr>
    </w:div>
    <w:div w:id="1245407936">
      <w:bodyDiv w:val="1"/>
      <w:marLeft w:val="0"/>
      <w:marRight w:val="0"/>
      <w:marTop w:val="0"/>
      <w:marBottom w:val="0"/>
      <w:divBdr>
        <w:top w:val="none" w:sz="0" w:space="0" w:color="auto"/>
        <w:left w:val="none" w:sz="0" w:space="0" w:color="auto"/>
        <w:bottom w:val="none" w:sz="0" w:space="0" w:color="auto"/>
        <w:right w:val="none" w:sz="0" w:space="0" w:color="auto"/>
      </w:divBdr>
    </w:div>
    <w:div w:id="1250193237">
      <w:bodyDiv w:val="1"/>
      <w:marLeft w:val="0"/>
      <w:marRight w:val="0"/>
      <w:marTop w:val="0"/>
      <w:marBottom w:val="0"/>
      <w:divBdr>
        <w:top w:val="none" w:sz="0" w:space="0" w:color="auto"/>
        <w:left w:val="none" w:sz="0" w:space="0" w:color="auto"/>
        <w:bottom w:val="none" w:sz="0" w:space="0" w:color="auto"/>
        <w:right w:val="none" w:sz="0" w:space="0" w:color="auto"/>
      </w:divBdr>
    </w:div>
    <w:div w:id="1255359671">
      <w:bodyDiv w:val="1"/>
      <w:marLeft w:val="0"/>
      <w:marRight w:val="0"/>
      <w:marTop w:val="0"/>
      <w:marBottom w:val="0"/>
      <w:divBdr>
        <w:top w:val="none" w:sz="0" w:space="0" w:color="auto"/>
        <w:left w:val="none" w:sz="0" w:space="0" w:color="auto"/>
        <w:bottom w:val="none" w:sz="0" w:space="0" w:color="auto"/>
        <w:right w:val="none" w:sz="0" w:space="0" w:color="auto"/>
      </w:divBdr>
    </w:div>
    <w:div w:id="1269771402">
      <w:bodyDiv w:val="1"/>
      <w:marLeft w:val="0"/>
      <w:marRight w:val="0"/>
      <w:marTop w:val="0"/>
      <w:marBottom w:val="0"/>
      <w:divBdr>
        <w:top w:val="none" w:sz="0" w:space="0" w:color="auto"/>
        <w:left w:val="none" w:sz="0" w:space="0" w:color="auto"/>
        <w:bottom w:val="none" w:sz="0" w:space="0" w:color="auto"/>
        <w:right w:val="none" w:sz="0" w:space="0" w:color="auto"/>
      </w:divBdr>
    </w:div>
    <w:div w:id="1283922730">
      <w:bodyDiv w:val="1"/>
      <w:marLeft w:val="0"/>
      <w:marRight w:val="0"/>
      <w:marTop w:val="0"/>
      <w:marBottom w:val="0"/>
      <w:divBdr>
        <w:top w:val="none" w:sz="0" w:space="0" w:color="auto"/>
        <w:left w:val="none" w:sz="0" w:space="0" w:color="auto"/>
        <w:bottom w:val="none" w:sz="0" w:space="0" w:color="auto"/>
        <w:right w:val="none" w:sz="0" w:space="0" w:color="auto"/>
      </w:divBdr>
    </w:div>
    <w:div w:id="1289511641">
      <w:bodyDiv w:val="1"/>
      <w:marLeft w:val="0"/>
      <w:marRight w:val="0"/>
      <w:marTop w:val="0"/>
      <w:marBottom w:val="0"/>
      <w:divBdr>
        <w:top w:val="none" w:sz="0" w:space="0" w:color="auto"/>
        <w:left w:val="none" w:sz="0" w:space="0" w:color="auto"/>
        <w:bottom w:val="none" w:sz="0" w:space="0" w:color="auto"/>
        <w:right w:val="none" w:sz="0" w:space="0" w:color="auto"/>
      </w:divBdr>
    </w:div>
    <w:div w:id="1305892931">
      <w:bodyDiv w:val="1"/>
      <w:marLeft w:val="0"/>
      <w:marRight w:val="0"/>
      <w:marTop w:val="0"/>
      <w:marBottom w:val="0"/>
      <w:divBdr>
        <w:top w:val="none" w:sz="0" w:space="0" w:color="auto"/>
        <w:left w:val="none" w:sz="0" w:space="0" w:color="auto"/>
        <w:bottom w:val="none" w:sz="0" w:space="0" w:color="auto"/>
        <w:right w:val="none" w:sz="0" w:space="0" w:color="auto"/>
      </w:divBdr>
    </w:div>
    <w:div w:id="1317764259">
      <w:bodyDiv w:val="1"/>
      <w:marLeft w:val="0"/>
      <w:marRight w:val="0"/>
      <w:marTop w:val="0"/>
      <w:marBottom w:val="0"/>
      <w:divBdr>
        <w:top w:val="none" w:sz="0" w:space="0" w:color="auto"/>
        <w:left w:val="none" w:sz="0" w:space="0" w:color="auto"/>
        <w:bottom w:val="none" w:sz="0" w:space="0" w:color="auto"/>
        <w:right w:val="none" w:sz="0" w:space="0" w:color="auto"/>
      </w:divBdr>
    </w:div>
    <w:div w:id="1323120464">
      <w:bodyDiv w:val="1"/>
      <w:marLeft w:val="0"/>
      <w:marRight w:val="0"/>
      <w:marTop w:val="0"/>
      <w:marBottom w:val="0"/>
      <w:divBdr>
        <w:top w:val="none" w:sz="0" w:space="0" w:color="auto"/>
        <w:left w:val="none" w:sz="0" w:space="0" w:color="auto"/>
        <w:bottom w:val="none" w:sz="0" w:space="0" w:color="auto"/>
        <w:right w:val="none" w:sz="0" w:space="0" w:color="auto"/>
      </w:divBdr>
    </w:div>
    <w:div w:id="1327513749">
      <w:bodyDiv w:val="1"/>
      <w:marLeft w:val="0"/>
      <w:marRight w:val="0"/>
      <w:marTop w:val="0"/>
      <w:marBottom w:val="0"/>
      <w:divBdr>
        <w:top w:val="none" w:sz="0" w:space="0" w:color="auto"/>
        <w:left w:val="none" w:sz="0" w:space="0" w:color="auto"/>
        <w:bottom w:val="none" w:sz="0" w:space="0" w:color="auto"/>
        <w:right w:val="none" w:sz="0" w:space="0" w:color="auto"/>
      </w:divBdr>
    </w:div>
    <w:div w:id="1355570058">
      <w:bodyDiv w:val="1"/>
      <w:marLeft w:val="0"/>
      <w:marRight w:val="0"/>
      <w:marTop w:val="0"/>
      <w:marBottom w:val="0"/>
      <w:divBdr>
        <w:top w:val="none" w:sz="0" w:space="0" w:color="auto"/>
        <w:left w:val="none" w:sz="0" w:space="0" w:color="auto"/>
        <w:bottom w:val="none" w:sz="0" w:space="0" w:color="auto"/>
        <w:right w:val="none" w:sz="0" w:space="0" w:color="auto"/>
      </w:divBdr>
    </w:div>
    <w:div w:id="1362824266">
      <w:bodyDiv w:val="1"/>
      <w:marLeft w:val="0"/>
      <w:marRight w:val="0"/>
      <w:marTop w:val="0"/>
      <w:marBottom w:val="0"/>
      <w:divBdr>
        <w:top w:val="none" w:sz="0" w:space="0" w:color="auto"/>
        <w:left w:val="none" w:sz="0" w:space="0" w:color="auto"/>
        <w:bottom w:val="none" w:sz="0" w:space="0" w:color="auto"/>
        <w:right w:val="none" w:sz="0" w:space="0" w:color="auto"/>
      </w:divBdr>
    </w:div>
    <w:div w:id="1373726436">
      <w:bodyDiv w:val="1"/>
      <w:marLeft w:val="0"/>
      <w:marRight w:val="0"/>
      <w:marTop w:val="0"/>
      <w:marBottom w:val="0"/>
      <w:divBdr>
        <w:top w:val="none" w:sz="0" w:space="0" w:color="auto"/>
        <w:left w:val="none" w:sz="0" w:space="0" w:color="auto"/>
        <w:bottom w:val="none" w:sz="0" w:space="0" w:color="auto"/>
        <w:right w:val="none" w:sz="0" w:space="0" w:color="auto"/>
      </w:divBdr>
    </w:div>
    <w:div w:id="1379554158">
      <w:bodyDiv w:val="1"/>
      <w:marLeft w:val="0"/>
      <w:marRight w:val="0"/>
      <w:marTop w:val="0"/>
      <w:marBottom w:val="0"/>
      <w:divBdr>
        <w:top w:val="none" w:sz="0" w:space="0" w:color="auto"/>
        <w:left w:val="none" w:sz="0" w:space="0" w:color="auto"/>
        <w:bottom w:val="none" w:sz="0" w:space="0" w:color="auto"/>
        <w:right w:val="none" w:sz="0" w:space="0" w:color="auto"/>
      </w:divBdr>
    </w:div>
    <w:div w:id="1406564050">
      <w:bodyDiv w:val="1"/>
      <w:marLeft w:val="0"/>
      <w:marRight w:val="0"/>
      <w:marTop w:val="0"/>
      <w:marBottom w:val="0"/>
      <w:divBdr>
        <w:top w:val="none" w:sz="0" w:space="0" w:color="auto"/>
        <w:left w:val="none" w:sz="0" w:space="0" w:color="auto"/>
        <w:bottom w:val="none" w:sz="0" w:space="0" w:color="auto"/>
        <w:right w:val="none" w:sz="0" w:space="0" w:color="auto"/>
      </w:divBdr>
    </w:div>
    <w:div w:id="1414662577">
      <w:bodyDiv w:val="1"/>
      <w:marLeft w:val="0"/>
      <w:marRight w:val="0"/>
      <w:marTop w:val="0"/>
      <w:marBottom w:val="0"/>
      <w:divBdr>
        <w:top w:val="none" w:sz="0" w:space="0" w:color="auto"/>
        <w:left w:val="none" w:sz="0" w:space="0" w:color="auto"/>
        <w:bottom w:val="none" w:sz="0" w:space="0" w:color="auto"/>
        <w:right w:val="none" w:sz="0" w:space="0" w:color="auto"/>
      </w:divBdr>
    </w:div>
    <w:div w:id="1421104404">
      <w:bodyDiv w:val="1"/>
      <w:marLeft w:val="0"/>
      <w:marRight w:val="0"/>
      <w:marTop w:val="0"/>
      <w:marBottom w:val="0"/>
      <w:divBdr>
        <w:top w:val="none" w:sz="0" w:space="0" w:color="auto"/>
        <w:left w:val="none" w:sz="0" w:space="0" w:color="auto"/>
        <w:bottom w:val="none" w:sz="0" w:space="0" w:color="auto"/>
        <w:right w:val="none" w:sz="0" w:space="0" w:color="auto"/>
      </w:divBdr>
    </w:div>
    <w:div w:id="1450511647">
      <w:bodyDiv w:val="1"/>
      <w:marLeft w:val="0"/>
      <w:marRight w:val="0"/>
      <w:marTop w:val="0"/>
      <w:marBottom w:val="0"/>
      <w:divBdr>
        <w:top w:val="none" w:sz="0" w:space="0" w:color="auto"/>
        <w:left w:val="none" w:sz="0" w:space="0" w:color="auto"/>
        <w:bottom w:val="none" w:sz="0" w:space="0" w:color="auto"/>
        <w:right w:val="none" w:sz="0" w:space="0" w:color="auto"/>
      </w:divBdr>
    </w:div>
    <w:div w:id="1481921011">
      <w:bodyDiv w:val="1"/>
      <w:marLeft w:val="0"/>
      <w:marRight w:val="0"/>
      <w:marTop w:val="0"/>
      <w:marBottom w:val="0"/>
      <w:divBdr>
        <w:top w:val="none" w:sz="0" w:space="0" w:color="auto"/>
        <w:left w:val="none" w:sz="0" w:space="0" w:color="auto"/>
        <w:bottom w:val="none" w:sz="0" w:space="0" w:color="auto"/>
        <w:right w:val="none" w:sz="0" w:space="0" w:color="auto"/>
      </w:divBdr>
    </w:div>
    <w:div w:id="1492329443">
      <w:bodyDiv w:val="1"/>
      <w:marLeft w:val="0"/>
      <w:marRight w:val="0"/>
      <w:marTop w:val="0"/>
      <w:marBottom w:val="0"/>
      <w:divBdr>
        <w:top w:val="none" w:sz="0" w:space="0" w:color="auto"/>
        <w:left w:val="none" w:sz="0" w:space="0" w:color="auto"/>
        <w:bottom w:val="none" w:sz="0" w:space="0" w:color="auto"/>
        <w:right w:val="none" w:sz="0" w:space="0" w:color="auto"/>
      </w:divBdr>
    </w:div>
    <w:div w:id="1515075394">
      <w:bodyDiv w:val="1"/>
      <w:marLeft w:val="0"/>
      <w:marRight w:val="0"/>
      <w:marTop w:val="0"/>
      <w:marBottom w:val="0"/>
      <w:divBdr>
        <w:top w:val="none" w:sz="0" w:space="0" w:color="auto"/>
        <w:left w:val="none" w:sz="0" w:space="0" w:color="auto"/>
        <w:bottom w:val="none" w:sz="0" w:space="0" w:color="auto"/>
        <w:right w:val="none" w:sz="0" w:space="0" w:color="auto"/>
      </w:divBdr>
    </w:div>
    <w:div w:id="1521511791">
      <w:bodyDiv w:val="1"/>
      <w:marLeft w:val="0"/>
      <w:marRight w:val="0"/>
      <w:marTop w:val="0"/>
      <w:marBottom w:val="0"/>
      <w:divBdr>
        <w:top w:val="none" w:sz="0" w:space="0" w:color="auto"/>
        <w:left w:val="none" w:sz="0" w:space="0" w:color="auto"/>
        <w:bottom w:val="none" w:sz="0" w:space="0" w:color="auto"/>
        <w:right w:val="none" w:sz="0" w:space="0" w:color="auto"/>
      </w:divBdr>
    </w:div>
    <w:div w:id="1523128702">
      <w:bodyDiv w:val="1"/>
      <w:marLeft w:val="0"/>
      <w:marRight w:val="0"/>
      <w:marTop w:val="0"/>
      <w:marBottom w:val="0"/>
      <w:divBdr>
        <w:top w:val="none" w:sz="0" w:space="0" w:color="auto"/>
        <w:left w:val="none" w:sz="0" w:space="0" w:color="auto"/>
        <w:bottom w:val="none" w:sz="0" w:space="0" w:color="auto"/>
        <w:right w:val="none" w:sz="0" w:space="0" w:color="auto"/>
      </w:divBdr>
    </w:div>
    <w:div w:id="1533883683">
      <w:bodyDiv w:val="1"/>
      <w:marLeft w:val="0"/>
      <w:marRight w:val="0"/>
      <w:marTop w:val="0"/>
      <w:marBottom w:val="0"/>
      <w:divBdr>
        <w:top w:val="none" w:sz="0" w:space="0" w:color="auto"/>
        <w:left w:val="none" w:sz="0" w:space="0" w:color="auto"/>
        <w:bottom w:val="none" w:sz="0" w:space="0" w:color="auto"/>
        <w:right w:val="none" w:sz="0" w:space="0" w:color="auto"/>
      </w:divBdr>
    </w:div>
    <w:div w:id="1560558819">
      <w:bodyDiv w:val="1"/>
      <w:marLeft w:val="0"/>
      <w:marRight w:val="0"/>
      <w:marTop w:val="0"/>
      <w:marBottom w:val="0"/>
      <w:divBdr>
        <w:top w:val="none" w:sz="0" w:space="0" w:color="auto"/>
        <w:left w:val="none" w:sz="0" w:space="0" w:color="auto"/>
        <w:bottom w:val="none" w:sz="0" w:space="0" w:color="auto"/>
        <w:right w:val="none" w:sz="0" w:space="0" w:color="auto"/>
      </w:divBdr>
    </w:div>
    <w:div w:id="1560825111">
      <w:bodyDiv w:val="1"/>
      <w:marLeft w:val="0"/>
      <w:marRight w:val="0"/>
      <w:marTop w:val="0"/>
      <w:marBottom w:val="0"/>
      <w:divBdr>
        <w:top w:val="none" w:sz="0" w:space="0" w:color="auto"/>
        <w:left w:val="none" w:sz="0" w:space="0" w:color="auto"/>
        <w:bottom w:val="none" w:sz="0" w:space="0" w:color="auto"/>
        <w:right w:val="none" w:sz="0" w:space="0" w:color="auto"/>
      </w:divBdr>
    </w:div>
    <w:div w:id="1582447557">
      <w:bodyDiv w:val="1"/>
      <w:marLeft w:val="0"/>
      <w:marRight w:val="0"/>
      <w:marTop w:val="0"/>
      <w:marBottom w:val="0"/>
      <w:divBdr>
        <w:top w:val="none" w:sz="0" w:space="0" w:color="auto"/>
        <w:left w:val="none" w:sz="0" w:space="0" w:color="auto"/>
        <w:bottom w:val="none" w:sz="0" w:space="0" w:color="auto"/>
        <w:right w:val="none" w:sz="0" w:space="0" w:color="auto"/>
      </w:divBdr>
    </w:div>
    <w:div w:id="1587883572">
      <w:bodyDiv w:val="1"/>
      <w:marLeft w:val="0"/>
      <w:marRight w:val="0"/>
      <w:marTop w:val="0"/>
      <w:marBottom w:val="0"/>
      <w:divBdr>
        <w:top w:val="none" w:sz="0" w:space="0" w:color="auto"/>
        <w:left w:val="none" w:sz="0" w:space="0" w:color="auto"/>
        <w:bottom w:val="none" w:sz="0" w:space="0" w:color="auto"/>
        <w:right w:val="none" w:sz="0" w:space="0" w:color="auto"/>
      </w:divBdr>
    </w:div>
    <w:div w:id="1607738127">
      <w:bodyDiv w:val="1"/>
      <w:marLeft w:val="0"/>
      <w:marRight w:val="0"/>
      <w:marTop w:val="0"/>
      <w:marBottom w:val="0"/>
      <w:divBdr>
        <w:top w:val="none" w:sz="0" w:space="0" w:color="auto"/>
        <w:left w:val="none" w:sz="0" w:space="0" w:color="auto"/>
        <w:bottom w:val="none" w:sz="0" w:space="0" w:color="auto"/>
        <w:right w:val="none" w:sz="0" w:space="0" w:color="auto"/>
      </w:divBdr>
    </w:div>
    <w:div w:id="1627660883">
      <w:bodyDiv w:val="1"/>
      <w:marLeft w:val="0"/>
      <w:marRight w:val="0"/>
      <w:marTop w:val="0"/>
      <w:marBottom w:val="0"/>
      <w:divBdr>
        <w:top w:val="none" w:sz="0" w:space="0" w:color="auto"/>
        <w:left w:val="none" w:sz="0" w:space="0" w:color="auto"/>
        <w:bottom w:val="none" w:sz="0" w:space="0" w:color="auto"/>
        <w:right w:val="none" w:sz="0" w:space="0" w:color="auto"/>
      </w:divBdr>
    </w:div>
    <w:div w:id="1647706863">
      <w:bodyDiv w:val="1"/>
      <w:marLeft w:val="0"/>
      <w:marRight w:val="0"/>
      <w:marTop w:val="0"/>
      <w:marBottom w:val="0"/>
      <w:divBdr>
        <w:top w:val="none" w:sz="0" w:space="0" w:color="auto"/>
        <w:left w:val="none" w:sz="0" w:space="0" w:color="auto"/>
        <w:bottom w:val="none" w:sz="0" w:space="0" w:color="auto"/>
        <w:right w:val="none" w:sz="0" w:space="0" w:color="auto"/>
      </w:divBdr>
    </w:div>
    <w:div w:id="1666936780">
      <w:bodyDiv w:val="1"/>
      <w:marLeft w:val="0"/>
      <w:marRight w:val="0"/>
      <w:marTop w:val="0"/>
      <w:marBottom w:val="0"/>
      <w:divBdr>
        <w:top w:val="none" w:sz="0" w:space="0" w:color="auto"/>
        <w:left w:val="none" w:sz="0" w:space="0" w:color="auto"/>
        <w:bottom w:val="none" w:sz="0" w:space="0" w:color="auto"/>
        <w:right w:val="none" w:sz="0" w:space="0" w:color="auto"/>
      </w:divBdr>
    </w:div>
    <w:div w:id="1691758416">
      <w:bodyDiv w:val="1"/>
      <w:marLeft w:val="0"/>
      <w:marRight w:val="0"/>
      <w:marTop w:val="0"/>
      <w:marBottom w:val="0"/>
      <w:divBdr>
        <w:top w:val="none" w:sz="0" w:space="0" w:color="auto"/>
        <w:left w:val="none" w:sz="0" w:space="0" w:color="auto"/>
        <w:bottom w:val="none" w:sz="0" w:space="0" w:color="auto"/>
        <w:right w:val="none" w:sz="0" w:space="0" w:color="auto"/>
      </w:divBdr>
    </w:div>
    <w:div w:id="1697995867">
      <w:bodyDiv w:val="1"/>
      <w:marLeft w:val="0"/>
      <w:marRight w:val="0"/>
      <w:marTop w:val="0"/>
      <w:marBottom w:val="0"/>
      <w:divBdr>
        <w:top w:val="none" w:sz="0" w:space="0" w:color="auto"/>
        <w:left w:val="none" w:sz="0" w:space="0" w:color="auto"/>
        <w:bottom w:val="none" w:sz="0" w:space="0" w:color="auto"/>
        <w:right w:val="none" w:sz="0" w:space="0" w:color="auto"/>
      </w:divBdr>
    </w:div>
    <w:div w:id="1720402032">
      <w:bodyDiv w:val="1"/>
      <w:marLeft w:val="0"/>
      <w:marRight w:val="0"/>
      <w:marTop w:val="0"/>
      <w:marBottom w:val="0"/>
      <w:divBdr>
        <w:top w:val="none" w:sz="0" w:space="0" w:color="auto"/>
        <w:left w:val="none" w:sz="0" w:space="0" w:color="auto"/>
        <w:bottom w:val="none" w:sz="0" w:space="0" w:color="auto"/>
        <w:right w:val="none" w:sz="0" w:space="0" w:color="auto"/>
      </w:divBdr>
    </w:div>
    <w:div w:id="1726685456">
      <w:bodyDiv w:val="1"/>
      <w:marLeft w:val="0"/>
      <w:marRight w:val="0"/>
      <w:marTop w:val="0"/>
      <w:marBottom w:val="0"/>
      <w:divBdr>
        <w:top w:val="none" w:sz="0" w:space="0" w:color="auto"/>
        <w:left w:val="none" w:sz="0" w:space="0" w:color="auto"/>
        <w:bottom w:val="none" w:sz="0" w:space="0" w:color="auto"/>
        <w:right w:val="none" w:sz="0" w:space="0" w:color="auto"/>
      </w:divBdr>
    </w:div>
    <w:div w:id="1726757353">
      <w:bodyDiv w:val="1"/>
      <w:marLeft w:val="0"/>
      <w:marRight w:val="0"/>
      <w:marTop w:val="0"/>
      <w:marBottom w:val="0"/>
      <w:divBdr>
        <w:top w:val="none" w:sz="0" w:space="0" w:color="auto"/>
        <w:left w:val="none" w:sz="0" w:space="0" w:color="auto"/>
        <w:bottom w:val="none" w:sz="0" w:space="0" w:color="auto"/>
        <w:right w:val="none" w:sz="0" w:space="0" w:color="auto"/>
      </w:divBdr>
    </w:div>
    <w:div w:id="1734811056">
      <w:bodyDiv w:val="1"/>
      <w:marLeft w:val="0"/>
      <w:marRight w:val="0"/>
      <w:marTop w:val="0"/>
      <w:marBottom w:val="0"/>
      <w:divBdr>
        <w:top w:val="none" w:sz="0" w:space="0" w:color="auto"/>
        <w:left w:val="none" w:sz="0" w:space="0" w:color="auto"/>
        <w:bottom w:val="none" w:sz="0" w:space="0" w:color="auto"/>
        <w:right w:val="none" w:sz="0" w:space="0" w:color="auto"/>
      </w:divBdr>
    </w:div>
    <w:div w:id="1768844615">
      <w:bodyDiv w:val="1"/>
      <w:marLeft w:val="0"/>
      <w:marRight w:val="0"/>
      <w:marTop w:val="0"/>
      <w:marBottom w:val="0"/>
      <w:divBdr>
        <w:top w:val="none" w:sz="0" w:space="0" w:color="auto"/>
        <w:left w:val="none" w:sz="0" w:space="0" w:color="auto"/>
        <w:bottom w:val="none" w:sz="0" w:space="0" w:color="auto"/>
        <w:right w:val="none" w:sz="0" w:space="0" w:color="auto"/>
      </w:divBdr>
    </w:div>
    <w:div w:id="1793087262">
      <w:bodyDiv w:val="1"/>
      <w:marLeft w:val="0"/>
      <w:marRight w:val="0"/>
      <w:marTop w:val="0"/>
      <w:marBottom w:val="0"/>
      <w:divBdr>
        <w:top w:val="none" w:sz="0" w:space="0" w:color="auto"/>
        <w:left w:val="none" w:sz="0" w:space="0" w:color="auto"/>
        <w:bottom w:val="none" w:sz="0" w:space="0" w:color="auto"/>
        <w:right w:val="none" w:sz="0" w:space="0" w:color="auto"/>
      </w:divBdr>
    </w:div>
    <w:div w:id="1794860448">
      <w:bodyDiv w:val="1"/>
      <w:marLeft w:val="0"/>
      <w:marRight w:val="0"/>
      <w:marTop w:val="0"/>
      <w:marBottom w:val="0"/>
      <w:divBdr>
        <w:top w:val="none" w:sz="0" w:space="0" w:color="auto"/>
        <w:left w:val="none" w:sz="0" w:space="0" w:color="auto"/>
        <w:bottom w:val="none" w:sz="0" w:space="0" w:color="auto"/>
        <w:right w:val="none" w:sz="0" w:space="0" w:color="auto"/>
      </w:divBdr>
    </w:div>
    <w:div w:id="1796099764">
      <w:bodyDiv w:val="1"/>
      <w:marLeft w:val="0"/>
      <w:marRight w:val="0"/>
      <w:marTop w:val="0"/>
      <w:marBottom w:val="0"/>
      <w:divBdr>
        <w:top w:val="none" w:sz="0" w:space="0" w:color="auto"/>
        <w:left w:val="none" w:sz="0" w:space="0" w:color="auto"/>
        <w:bottom w:val="none" w:sz="0" w:space="0" w:color="auto"/>
        <w:right w:val="none" w:sz="0" w:space="0" w:color="auto"/>
      </w:divBdr>
    </w:div>
    <w:div w:id="1796833173">
      <w:bodyDiv w:val="1"/>
      <w:marLeft w:val="0"/>
      <w:marRight w:val="0"/>
      <w:marTop w:val="0"/>
      <w:marBottom w:val="0"/>
      <w:divBdr>
        <w:top w:val="none" w:sz="0" w:space="0" w:color="auto"/>
        <w:left w:val="none" w:sz="0" w:space="0" w:color="auto"/>
        <w:bottom w:val="none" w:sz="0" w:space="0" w:color="auto"/>
        <w:right w:val="none" w:sz="0" w:space="0" w:color="auto"/>
      </w:divBdr>
    </w:div>
    <w:div w:id="1803618051">
      <w:bodyDiv w:val="1"/>
      <w:marLeft w:val="0"/>
      <w:marRight w:val="0"/>
      <w:marTop w:val="0"/>
      <w:marBottom w:val="0"/>
      <w:divBdr>
        <w:top w:val="none" w:sz="0" w:space="0" w:color="auto"/>
        <w:left w:val="none" w:sz="0" w:space="0" w:color="auto"/>
        <w:bottom w:val="none" w:sz="0" w:space="0" w:color="auto"/>
        <w:right w:val="none" w:sz="0" w:space="0" w:color="auto"/>
      </w:divBdr>
    </w:div>
    <w:div w:id="1803962878">
      <w:bodyDiv w:val="1"/>
      <w:marLeft w:val="0"/>
      <w:marRight w:val="0"/>
      <w:marTop w:val="0"/>
      <w:marBottom w:val="0"/>
      <w:divBdr>
        <w:top w:val="none" w:sz="0" w:space="0" w:color="auto"/>
        <w:left w:val="none" w:sz="0" w:space="0" w:color="auto"/>
        <w:bottom w:val="none" w:sz="0" w:space="0" w:color="auto"/>
        <w:right w:val="none" w:sz="0" w:space="0" w:color="auto"/>
      </w:divBdr>
    </w:div>
    <w:div w:id="1820337780">
      <w:bodyDiv w:val="1"/>
      <w:marLeft w:val="0"/>
      <w:marRight w:val="0"/>
      <w:marTop w:val="0"/>
      <w:marBottom w:val="0"/>
      <w:divBdr>
        <w:top w:val="none" w:sz="0" w:space="0" w:color="auto"/>
        <w:left w:val="none" w:sz="0" w:space="0" w:color="auto"/>
        <w:bottom w:val="none" w:sz="0" w:space="0" w:color="auto"/>
        <w:right w:val="none" w:sz="0" w:space="0" w:color="auto"/>
      </w:divBdr>
    </w:div>
    <w:div w:id="1828857845">
      <w:bodyDiv w:val="1"/>
      <w:marLeft w:val="0"/>
      <w:marRight w:val="0"/>
      <w:marTop w:val="0"/>
      <w:marBottom w:val="0"/>
      <w:divBdr>
        <w:top w:val="none" w:sz="0" w:space="0" w:color="auto"/>
        <w:left w:val="none" w:sz="0" w:space="0" w:color="auto"/>
        <w:bottom w:val="none" w:sz="0" w:space="0" w:color="auto"/>
        <w:right w:val="none" w:sz="0" w:space="0" w:color="auto"/>
      </w:divBdr>
    </w:div>
    <w:div w:id="1843350778">
      <w:bodyDiv w:val="1"/>
      <w:marLeft w:val="0"/>
      <w:marRight w:val="0"/>
      <w:marTop w:val="0"/>
      <w:marBottom w:val="0"/>
      <w:divBdr>
        <w:top w:val="none" w:sz="0" w:space="0" w:color="auto"/>
        <w:left w:val="none" w:sz="0" w:space="0" w:color="auto"/>
        <w:bottom w:val="none" w:sz="0" w:space="0" w:color="auto"/>
        <w:right w:val="none" w:sz="0" w:space="0" w:color="auto"/>
      </w:divBdr>
    </w:div>
    <w:div w:id="1848985608">
      <w:bodyDiv w:val="1"/>
      <w:marLeft w:val="0"/>
      <w:marRight w:val="0"/>
      <w:marTop w:val="0"/>
      <w:marBottom w:val="0"/>
      <w:divBdr>
        <w:top w:val="none" w:sz="0" w:space="0" w:color="auto"/>
        <w:left w:val="none" w:sz="0" w:space="0" w:color="auto"/>
        <w:bottom w:val="none" w:sz="0" w:space="0" w:color="auto"/>
        <w:right w:val="none" w:sz="0" w:space="0" w:color="auto"/>
      </w:divBdr>
    </w:div>
    <w:div w:id="1852836386">
      <w:bodyDiv w:val="1"/>
      <w:marLeft w:val="0"/>
      <w:marRight w:val="0"/>
      <w:marTop w:val="0"/>
      <w:marBottom w:val="0"/>
      <w:divBdr>
        <w:top w:val="none" w:sz="0" w:space="0" w:color="auto"/>
        <w:left w:val="none" w:sz="0" w:space="0" w:color="auto"/>
        <w:bottom w:val="none" w:sz="0" w:space="0" w:color="auto"/>
        <w:right w:val="none" w:sz="0" w:space="0" w:color="auto"/>
      </w:divBdr>
    </w:div>
    <w:div w:id="1853763511">
      <w:bodyDiv w:val="1"/>
      <w:marLeft w:val="0"/>
      <w:marRight w:val="0"/>
      <w:marTop w:val="0"/>
      <w:marBottom w:val="0"/>
      <w:divBdr>
        <w:top w:val="none" w:sz="0" w:space="0" w:color="auto"/>
        <w:left w:val="none" w:sz="0" w:space="0" w:color="auto"/>
        <w:bottom w:val="none" w:sz="0" w:space="0" w:color="auto"/>
        <w:right w:val="none" w:sz="0" w:space="0" w:color="auto"/>
      </w:divBdr>
    </w:div>
    <w:div w:id="1855336594">
      <w:bodyDiv w:val="1"/>
      <w:marLeft w:val="0"/>
      <w:marRight w:val="0"/>
      <w:marTop w:val="0"/>
      <w:marBottom w:val="0"/>
      <w:divBdr>
        <w:top w:val="none" w:sz="0" w:space="0" w:color="auto"/>
        <w:left w:val="none" w:sz="0" w:space="0" w:color="auto"/>
        <w:bottom w:val="none" w:sz="0" w:space="0" w:color="auto"/>
        <w:right w:val="none" w:sz="0" w:space="0" w:color="auto"/>
      </w:divBdr>
    </w:div>
    <w:div w:id="1870408265">
      <w:bodyDiv w:val="1"/>
      <w:marLeft w:val="0"/>
      <w:marRight w:val="0"/>
      <w:marTop w:val="0"/>
      <w:marBottom w:val="0"/>
      <w:divBdr>
        <w:top w:val="none" w:sz="0" w:space="0" w:color="auto"/>
        <w:left w:val="none" w:sz="0" w:space="0" w:color="auto"/>
        <w:bottom w:val="none" w:sz="0" w:space="0" w:color="auto"/>
        <w:right w:val="none" w:sz="0" w:space="0" w:color="auto"/>
      </w:divBdr>
    </w:div>
    <w:div w:id="1885170143">
      <w:bodyDiv w:val="1"/>
      <w:marLeft w:val="0"/>
      <w:marRight w:val="0"/>
      <w:marTop w:val="0"/>
      <w:marBottom w:val="0"/>
      <w:divBdr>
        <w:top w:val="none" w:sz="0" w:space="0" w:color="auto"/>
        <w:left w:val="none" w:sz="0" w:space="0" w:color="auto"/>
        <w:bottom w:val="none" w:sz="0" w:space="0" w:color="auto"/>
        <w:right w:val="none" w:sz="0" w:space="0" w:color="auto"/>
      </w:divBdr>
    </w:div>
    <w:div w:id="1899053952">
      <w:bodyDiv w:val="1"/>
      <w:marLeft w:val="0"/>
      <w:marRight w:val="0"/>
      <w:marTop w:val="0"/>
      <w:marBottom w:val="0"/>
      <w:divBdr>
        <w:top w:val="none" w:sz="0" w:space="0" w:color="auto"/>
        <w:left w:val="none" w:sz="0" w:space="0" w:color="auto"/>
        <w:bottom w:val="none" w:sz="0" w:space="0" w:color="auto"/>
        <w:right w:val="none" w:sz="0" w:space="0" w:color="auto"/>
      </w:divBdr>
    </w:div>
    <w:div w:id="1907374623">
      <w:bodyDiv w:val="1"/>
      <w:marLeft w:val="0"/>
      <w:marRight w:val="0"/>
      <w:marTop w:val="0"/>
      <w:marBottom w:val="0"/>
      <w:divBdr>
        <w:top w:val="none" w:sz="0" w:space="0" w:color="auto"/>
        <w:left w:val="none" w:sz="0" w:space="0" w:color="auto"/>
        <w:bottom w:val="none" w:sz="0" w:space="0" w:color="auto"/>
        <w:right w:val="none" w:sz="0" w:space="0" w:color="auto"/>
      </w:divBdr>
    </w:div>
    <w:div w:id="1945533940">
      <w:bodyDiv w:val="1"/>
      <w:marLeft w:val="0"/>
      <w:marRight w:val="0"/>
      <w:marTop w:val="0"/>
      <w:marBottom w:val="0"/>
      <w:divBdr>
        <w:top w:val="none" w:sz="0" w:space="0" w:color="auto"/>
        <w:left w:val="none" w:sz="0" w:space="0" w:color="auto"/>
        <w:bottom w:val="none" w:sz="0" w:space="0" w:color="auto"/>
        <w:right w:val="none" w:sz="0" w:space="0" w:color="auto"/>
      </w:divBdr>
    </w:div>
    <w:div w:id="1947148689">
      <w:bodyDiv w:val="1"/>
      <w:marLeft w:val="0"/>
      <w:marRight w:val="0"/>
      <w:marTop w:val="0"/>
      <w:marBottom w:val="0"/>
      <w:divBdr>
        <w:top w:val="none" w:sz="0" w:space="0" w:color="auto"/>
        <w:left w:val="none" w:sz="0" w:space="0" w:color="auto"/>
        <w:bottom w:val="none" w:sz="0" w:space="0" w:color="auto"/>
        <w:right w:val="none" w:sz="0" w:space="0" w:color="auto"/>
      </w:divBdr>
    </w:div>
    <w:div w:id="1947535529">
      <w:bodyDiv w:val="1"/>
      <w:marLeft w:val="0"/>
      <w:marRight w:val="0"/>
      <w:marTop w:val="0"/>
      <w:marBottom w:val="0"/>
      <w:divBdr>
        <w:top w:val="none" w:sz="0" w:space="0" w:color="auto"/>
        <w:left w:val="none" w:sz="0" w:space="0" w:color="auto"/>
        <w:bottom w:val="none" w:sz="0" w:space="0" w:color="auto"/>
        <w:right w:val="none" w:sz="0" w:space="0" w:color="auto"/>
      </w:divBdr>
    </w:div>
    <w:div w:id="1962149942">
      <w:bodyDiv w:val="1"/>
      <w:marLeft w:val="0"/>
      <w:marRight w:val="0"/>
      <w:marTop w:val="0"/>
      <w:marBottom w:val="0"/>
      <w:divBdr>
        <w:top w:val="none" w:sz="0" w:space="0" w:color="auto"/>
        <w:left w:val="none" w:sz="0" w:space="0" w:color="auto"/>
        <w:bottom w:val="none" w:sz="0" w:space="0" w:color="auto"/>
        <w:right w:val="none" w:sz="0" w:space="0" w:color="auto"/>
      </w:divBdr>
    </w:div>
    <w:div w:id="2025398101">
      <w:bodyDiv w:val="1"/>
      <w:marLeft w:val="0"/>
      <w:marRight w:val="0"/>
      <w:marTop w:val="0"/>
      <w:marBottom w:val="0"/>
      <w:divBdr>
        <w:top w:val="none" w:sz="0" w:space="0" w:color="auto"/>
        <w:left w:val="none" w:sz="0" w:space="0" w:color="auto"/>
        <w:bottom w:val="none" w:sz="0" w:space="0" w:color="auto"/>
        <w:right w:val="none" w:sz="0" w:space="0" w:color="auto"/>
      </w:divBdr>
    </w:div>
    <w:div w:id="2026201556">
      <w:bodyDiv w:val="1"/>
      <w:marLeft w:val="0"/>
      <w:marRight w:val="0"/>
      <w:marTop w:val="0"/>
      <w:marBottom w:val="0"/>
      <w:divBdr>
        <w:top w:val="none" w:sz="0" w:space="0" w:color="auto"/>
        <w:left w:val="none" w:sz="0" w:space="0" w:color="auto"/>
        <w:bottom w:val="none" w:sz="0" w:space="0" w:color="auto"/>
        <w:right w:val="none" w:sz="0" w:space="0" w:color="auto"/>
      </w:divBdr>
    </w:div>
    <w:div w:id="2027511371">
      <w:bodyDiv w:val="1"/>
      <w:marLeft w:val="0"/>
      <w:marRight w:val="0"/>
      <w:marTop w:val="0"/>
      <w:marBottom w:val="0"/>
      <w:divBdr>
        <w:top w:val="none" w:sz="0" w:space="0" w:color="auto"/>
        <w:left w:val="none" w:sz="0" w:space="0" w:color="auto"/>
        <w:bottom w:val="none" w:sz="0" w:space="0" w:color="auto"/>
        <w:right w:val="none" w:sz="0" w:space="0" w:color="auto"/>
      </w:divBdr>
    </w:div>
    <w:div w:id="2050957671">
      <w:bodyDiv w:val="1"/>
      <w:marLeft w:val="0"/>
      <w:marRight w:val="0"/>
      <w:marTop w:val="0"/>
      <w:marBottom w:val="0"/>
      <w:divBdr>
        <w:top w:val="none" w:sz="0" w:space="0" w:color="auto"/>
        <w:left w:val="none" w:sz="0" w:space="0" w:color="auto"/>
        <w:bottom w:val="none" w:sz="0" w:space="0" w:color="auto"/>
        <w:right w:val="none" w:sz="0" w:space="0" w:color="auto"/>
      </w:divBdr>
    </w:div>
    <w:div w:id="2058044830">
      <w:bodyDiv w:val="1"/>
      <w:marLeft w:val="0"/>
      <w:marRight w:val="0"/>
      <w:marTop w:val="0"/>
      <w:marBottom w:val="0"/>
      <w:divBdr>
        <w:top w:val="none" w:sz="0" w:space="0" w:color="auto"/>
        <w:left w:val="none" w:sz="0" w:space="0" w:color="auto"/>
        <w:bottom w:val="none" w:sz="0" w:space="0" w:color="auto"/>
        <w:right w:val="none" w:sz="0" w:space="0" w:color="auto"/>
      </w:divBdr>
    </w:div>
    <w:div w:id="2069110097">
      <w:bodyDiv w:val="1"/>
      <w:marLeft w:val="0"/>
      <w:marRight w:val="0"/>
      <w:marTop w:val="0"/>
      <w:marBottom w:val="0"/>
      <w:divBdr>
        <w:top w:val="none" w:sz="0" w:space="0" w:color="auto"/>
        <w:left w:val="none" w:sz="0" w:space="0" w:color="auto"/>
        <w:bottom w:val="none" w:sz="0" w:space="0" w:color="auto"/>
        <w:right w:val="none" w:sz="0" w:space="0" w:color="auto"/>
      </w:divBdr>
    </w:div>
    <w:div w:id="2083336118">
      <w:bodyDiv w:val="1"/>
      <w:marLeft w:val="0"/>
      <w:marRight w:val="0"/>
      <w:marTop w:val="0"/>
      <w:marBottom w:val="0"/>
      <w:divBdr>
        <w:top w:val="none" w:sz="0" w:space="0" w:color="auto"/>
        <w:left w:val="none" w:sz="0" w:space="0" w:color="auto"/>
        <w:bottom w:val="none" w:sz="0" w:space="0" w:color="auto"/>
        <w:right w:val="none" w:sz="0" w:space="0" w:color="auto"/>
      </w:divBdr>
    </w:div>
    <w:div w:id="2085374132">
      <w:bodyDiv w:val="1"/>
      <w:marLeft w:val="0"/>
      <w:marRight w:val="0"/>
      <w:marTop w:val="0"/>
      <w:marBottom w:val="0"/>
      <w:divBdr>
        <w:top w:val="none" w:sz="0" w:space="0" w:color="auto"/>
        <w:left w:val="none" w:sz="0" w:space="0" w:color="auto"/>
        <w:bottom w:val="none" w:sz="0" w:space="0" w:color="auto"/>
        <w:right w:val="none" w:sz="0" w:space="0" w:color="auto"/>
      </w:divBdr>
    </w:div>
    <w:div w:id="2099791773">
      <w:bodyDiv w:val="1"/>
      <w:marLeft w:val="0"/>
      <w:marRight w:val="0"/>
      <w:marTop w:val="0"/>
      <w:marBottom w:val="0"/>
      <w:divBdr>
        <w:top w:val="none" w:sz="0" w:space="0" w:color="auto"/>
        <w:left w:val="none" w:sz="0" w:space="0" w:color="auto"/>
        <w:bottom w:val="none" w:sz="0" w:space="0" w:color="auto"/>
        <w:right w:val="none" w:sz="0" w:space="0" w:color="auto"/>
      </w:divBdr>
    </w:div>
    <w:div w:id="2111703613">
      <w:bodyDiv w:val="1"/>
      <w:marLeft w:val="0"/>
      <w:marRight w:val="0"/>
      <w:marTop w:val="0"/>
      <w:marBottom w:val="0"/>
      <w:divBdr>
        <w:top w:val="none" w:sz="0" w:space="0" w:color="auto"/>
        <w:left w:val="none" w:sz="0" w:space="0" w:color="auto"/>
        <w:bottom w:val="none" w:sz="0" w:space="0" w:color="auto"/>
        <w:right w:val="none" w:sz="0" w:space="0" w:color="auto"/>
      </w:divBdr>
    </w:div>
    <w:div w:id="2112237696">
      <w:bodyDiv w:val="1"/>
      <w:marLeft w:val="0"/>
      <w:marRight w:val="0"/>
      <w:marTop w:val="0"/>
      <w:marBottom w:val="0"/>
      <w:divBdr>
        <w:top w:val="none" w:sz="0" w:space="0" w:color="auto"/>
        <w:left w:val="none" w:sz="0" w:space="0" w:color="auto"/>
        <w:bottom w:val="none" w:sz="0" w:space="0" w:color="auto"/>
        <w:right w:val="none" w:sz="0" w:space="0" w:color="auto"/>
      </w:divBdr>
    </w:div>
    <w:div w:id="2112311398">
      <w:bodyDiv w:val="1"/>
      <w:marLeft w:val="0"/>
      <w:marRight w:val="0"/>
      <w:marTop w:val="0"/>
      <w:marBottom w:val="0"/>
      <w:divBdr>
        <w:top w:val="none" w:sz="0" w:space="0" w:color="auto"/>
        <w:left w:val="none" w:sz="0" w:space="0" w:color="auto"/>
        <w:bottom w:val="none" w:sz="0" w:space="0" w:color="auto"/>
        <w:right w:val="none" w:sz="0" w:space="0" w:color="auto"/>
      </w:divBdr>
    </w:div>
    <w:div w:id="2133011503">
      <w:bodyDiv w:val="1"/>
      <w:marLeft w:val="0"/>
      <w:marRight w:val="0"/>
      <w:marTop w:val="0"/>
      <w:marBottom w:val="0"/>
      <w:divBdr>
        <w:top w:val="none" w:sz="0" w:space="0" w:color="auto"/>
        <w:left w:val="none" w:sz="0" w:space="0" w:color="auto"/>
        <w:bottom w:val="none" w:sz="0" w:space="0" w:color="auto"/>
        <w:right w:val="none" w:sz="0" w:space="0" w:color="auto"/>
      </w:divBdr>
    </w:div>
    <w:div w:id="2138447984">
      <w:bodyDiv w:val="1"/>
      <w:marLeft w:val="0"/>
      <w:marRight w:val="0"/>
      <w:marTop w:val="0"/>
      <w:marBottom w:val="0"/>
      <w:divBdr>
        <w:top w:val="none" w:sz="0" w:space="0" w:color="auto"/>
        <w:left w:val="none" w:sz="0" w:space="0" w:color="auto"/>
        <w:bottom w:val="none" w:sz="0" w:space="0" w:color="auto"/>
        <w:right w:val="none" w:sz="0" w:space="0" w:color="auto"/>
      </w:divBdr>
    </w:div>
    <w:div w:id="2143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eb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ib.eu.int/" TargetMode="External"/><Relationship Id="rId2" Type="http://schemas.openxmlformats.org/officeDocument/2006/relationships/numbering" Target="numbering.xml"/><Relationship Id="rId16" Type="http://schemas.openxmlformats.org/officeDocument/2006/relationships/hyperlink" Target="http://klimada.mos.gov.pl/dokument-spa-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cb.gov.pl/wp-content/uploads/ocenaryzyka.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ois.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ois.gov.pl/strony/o-programie/dokumenty/program-operacyjny-infrastruktura-i-srodowisko-2014-2020/" TargetMode="External"/><Relationship Id="rId1" Type="http://schemas.openxmlformats.org/officeDocument/2006/relationships/hyperlink" Target="https://www.gov.pl/web/zdrowie/strategia-walki-z-pandemia-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5F41-77A9-4F16-A34D-A0126C47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224</Pages>
  <Words>88292</Words>
  <Characters>529757</Characters>
  <Application>Microsoft Office Word</Application>
  <DocSecurity>0</DocSecurity>
  <Lines>4414</Lines>
  <Paragraphs>1233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616816</CharactersWithSpaces>
  <SharedDoc>false</SharedDoc>
  <HLinks>
    <vt:vector size="354" baseType="variant">
      <vt:variant>
        <vt:i4>5374040</vt:i4>
      </vt:variant>
      <vt:variant>
        <vt:i4>336</vt:i4>
      </vt:variant>
      <vt:variant>
        <vt:i4>0</vt:i4>
      </vt:variant>
      <vt:variant>
        <vt:i4>5</vt:i4>
      </vt:variant>
      <vt:variant>
        <vt:lpwstr>http://www.ebrd.com/</vt:lpwstr>
      </vt:variant>
      <vt:variant>
        <vt:lpwstr/>
      </vt:variant>
      <vt:variant>
        <vt:i4>2490495</vt:i4>
      </vt:variant>
      <vt:variant>
        <vt:i4>333</vt:i4>
      </vt:variant>
      <vt:variant>
        <vt:i4>0</vt:i4>
      </vt:variant>
      <vt:variant>
        <vt:i4>5</vt:i4>
      </vt:variant>
      <vt:variant>
        <vt:lpwstr>http://www.eib.eu.int/</vt:lpwstr>
      </vt:variant>
      <vt:variant>
        <vt:lpwstr/>
      </vt:variant>
      <vt:variant>
        <vt:i4>6291554</vt:i4>
      </vt:variant>
      <vt:variant>
        <vt:i4>327</vt:i4>
      </vt:variant>
      <vt:variant>
        <vt:i4>0</vt:i4>
      </vt:variant>
      <vt:variant>
        <vt:i4>5</vt:i4>
      </vt:variant>
      <vt:variant>
        <vt:lpwstr>http://klimada.mos.gov.pl/dokument-spa-2020</vt:lpwstr>
      </vt:variant>
      <vt:variant>
        <vt:lpwstr/>
      </vt:variant>
      <vt:variant>
        <vt:i4>917529</vt:i4>
      </vt:variant>
      <vt:variant>
        <vt:i4>324</vt:i4>
      </vt:variant>
      <vt:variant>
        <vt:i4>0</vt:i4>
      </vt:variant>
      <vt:variant>
        <vt:i4>5</vt:i4>
      </vt:variant>
      <vt:variant>
        <vt:lpwstr>http://rcb.gov.pl/wp-content/uploads/ocenaryzyka.pdf</vt:lpwstr>
      </vt:variant>
      <vt:variant>
        <vt:lpwstr/>
      </vt:variant>
      <vt:variant>
        <vt:i4>3211309</vt:i4>
      </vt:variant>
      <vt:variant>
        <vt:i4>321</vt:i4>
      </vt:variant>
      <vt:variant>
        <vt:i4>0</vt:i4>
      </vt:variant>
      <vt:variant>
        <vt:i4>5</vt:i4>
      </vt:variant>
      <vt:variant>
        <vt:lpwstr>http://www.pois.gov.pl/</vt:lpwstr>
      </vt:variant>
      <vt:variant>
        <vt:lpwstr/>
      </vt:variant>
      <vt:variant>
        <vt:i4>1638459</vt:i4>
      </vt:variant>
      <vt:variant>
        <vt:i4>308</vt:i4>
      </vt:variant>
      <vt:variant>
        <vt:i4>0</vt:i4>
      </vt:variant>
      <vt:variant>
        <vt:i4>5</vt:i4>
      </vt:variant>
      <vt:variant>
        <vt:lpwstr/>
      </vt:variant>
      <vt:variant>
        <vt:lpwstr>_Toc53384792</vt:lpwstr>
      </vt:variant>
      <vt:variant>
        <vt:i4>1703995</vt:i4>
      </vt:variant>
      <vt:variant>
        <vt:i4>302</vt:i4>
      </vt:variant>
      <vt:variant>
        <vt:i4>0</vt:i4>
      </vt:variant>
      <vt:variant>
        <vt:i4>5</vt:i4>
      </vt:variant>
      <vt:variant>
        <vt:lpwstr/>
      </vt:variant>
      <vt:variant>
        <vt:lpwstr>_Toc53384791</vt:lpwstr>
      </vt:variant>
      <vt:variant>
        <vt:i4>1769531</vt:i4>
      </vt:variant>
      <vt:variant>
        <vt:i4>296</vt:i4>
      </vt:variant>
      <vt:variant>
        <vt:i4>0</vt:i4>
      </vt:variant>
      <vt:variant>
        <vt:i4>5</vt:i4>
      </vt:variant>
      <vt:variant>
        <vt:lpwstr/>
      </vt:variant>
      <vt:variant>
        <vt:lpwstr>_Toc53384790</vt:lpwstr>
      </vt:variant>
      <vt:variant>
        <vt:i4>1179706</vt:i4>
      </vt:variant>
      <vt:variant>
        <vt:i4>290</vt:i4>
      </vt:variant>
      <vt:variant>
        <vt:i4>0</vt:i4>
      </vt:variant>
      <vt:variant>
        <vt:i4>5</vt:i4>
      </vt:variant>
      <vt:variant>
        <vt:lpwstr/>
      </vt:variant>
      <vt:variant>
        <vt:lpwstr>_Toc53384789</vt:lpwstr>
      </vt:variant>
      <vt:variant>
        <vt:i4>1245242</vt:i4>
      </vt:variant>
      <vt:variant>
        <vt:i4>284</vt:i4>
      </vt:variant>
      <vt:variant>
        <vt:i4>0</vt:i4>
      </vt:variant>
      <vt:variant>
        <vt:i4>5</vt:i4>
      </vt:variant>
      <vt:variant>
        <vt:lpwstr/>
      </vt:variant>
      <vt:variant>
        <vt:lpwstr>_Toc53384788</vt:lpwstr>
      </vt:variant>
      <vt:variant>
        <vt:i4>1835066</vt:i4>
      </vt:variant>
      <vt:variant>
        <vt:i4>278</vt:i4>
      </vt:variant>
      <vt:variant>
        <vt:i4>0</vt:i4>
      </vt:variant>
      <vt:variant>
        <vt:i4>5</vt:i4>
      </vt:variant>
      <vt:variant>
        <vt:lpwstr/>
      </vt:variant>
      <vt:variant>
        <vt:lpwstr>_Toc53384787</vt:lpwstr>
      </vt:variant>
      <vt:variant>
        <vt:i4>1900602</vt:i4>
      </vt:variant>
      <vt:variant>
        <vt:i4>272</vt:i4>
      </vt:variant>
      <vt:variant>
        <vt:i4>0</vt:i4>
      </vt:variant>
      <vt:variant>
        <vt:i4>5</vt:i4>
      </vt:variant>
      <vt:variant>
        <vt:lpwstr/>
      </vt:variant>
      <vt:variant>
        <vt:lpwstr>_Toc53384786</vt:lpwstr>
      </vt:variant>
      <vt:variant>
        <vt:i4>1966138</vt:i4>
      </vt:variant>
      <vt:variant>
        <vt:i4>266</vt:i4>
      </vt:variant>
      <vt:variant>
        <vt:i4>0</vt:i4>
      </vt:variant>
      <vt:variant>
        <vt:i4>5</vt:i4>
      </vt:variant>
      <vt:variant>
        <vt:lpwstr/>
      </vt:variant>
      <vt:variant>
        <vt:lpwstr>_Toc53384785</vt:lpwstr>
      </vt:variant>
      <vt:variant>
        <vt:i4>2031674</vt:i4>
      </vt:variant>
      <vt:variant>
        <vt:i4>260</vt:i4>
      </vt:variant>
      <vt:variant>
        <vt:i4>0</vt:i4>
      </vt:variant>
      <vt:variant>
        <vt:i4>5</vt:i4>
      </vt:variant>
      <vt:variant>
        <vt:lpwstr/>
      </vt:variant>
      <vt:variant>
        <vt:lpwstr>_Toc53384784</vt:lpwstr>
      </vt:variant>
      <vt:variant>
        <vt:i4>1572922</vt:i4>
      </vt:variant>
      <vt:variant>
        <vt:i4>254</vt:i4>
      </vt:variant>
      <vt:variant>
        <vt:i4>0</vt:i4>
      </vt:variant>
      <vt:variant>
        <vt:i4>5</vt:i4>
      </vt:variant>
      <vt:variant>
        <vt:lpwstr/>
      </vt:variant>
      <vt:variant>
        <vt:lpwstr>_Toc53384783</vt:lpwstr>
      </vt:variant>
      <vt:variant>
        <vt:i4>1638458</vt:i4>
      </vt:variant>
      <vt:variant>
        <vt:i4>248</vt:i4>
      </vt:variant>
      <vt:variant>
        <vt:i4>0</vt:i4>
      </vt:variant>
      <vt:variant>
        <vt:i4>5</vt:i4>
      </vt:variant>
      <vt:variant>
        <vt:lpwstr/>
      </vt:variant>
      <vt:variant>
        <vt:lpwstr>_Toc53384782</vt:lpwstr>
      </vt:variant>
      <vt:variant>
        <vt:i4>1703994</vt:i4>
      </vt:variant>
      <vt:variant>
        <vt:i4>242</vt:i4>
      </vt:variant>
      <vt:variant>
        <vt:i4>0</vt:i4>
      </vt:variant>
      <vt:variant>
        <vt:i4>5</vt:i4>
      </vt:variant>
      <vt:variant>
        <vt:lpwstr/>
      </vt:variant>
      <vt:variant>
        <vt:lpwstr>_Toc53384781</vt:lpwstr>
      </vt:variant>
      <vt:variant>
        <vt:i4>1769530</vt:i4>
      </vt:variant>
      <vt:variant>
        <vt:i4>236</vt:i4>
      </vt:variant>
      <vt:variant>
        <vt:i4>0</vt:i4>
      </vt:variant>
      <vt:variant>
        <vt:i4>5</vt:i4>
      </vt:variant>
      <vt:variant>
        <vt:lpwstr/>
      </vt:variant>
      <vt:variant>
        <vt:lpwstr>_Toc53384780</vt:lpwstr>
      </vt:variant>
      <vt:variant>
        <vt:i4>1179701</vt:i4>
      </vt:variant>
      <vt:variant>
        <vt:i4>230</vt:i4>
      </vt:variant>
      <vt:variant>
        <vt:i4>0</vt:i4>
      </vt:variant>
      <vt:variant>
        <vt:i4>5</vt:i4>
      </vt:variant>
      <vt:variant>
        <vt:lpwstr/>
      </vt:variant>
      <vt:variant>
        <vt:lpwstr>_Toc53384779</vt:lpwstr>
      </vt:variant>
      <vt:variant>
        <vt:i4>1245237</vt:i4>
      </vt:variant>
      <vt:variant>
        <vt:i4>224</vt:i4>
      </vt:variant>
      <vt:variant>
        <vt:i4>0</vt:i4>
      </vt:variant>
      <vt:variant>
        <vt:i4>5</vt:i4>
      </vt:variant>
      <vt:variant>
        <vt:lpwstr/>
      </vt:variant>
      <vt:variant>
        <vt:lpwstr>_Toc53384778</vt:lpwstr>
      </vt:variant>
      <vt:variant>
        <vt:i4>1835061</vt:i4>
      </vt:variant>
      <vt:variant>
        <vt:i4>218</vt:i4>
      </vt:variant>
      <vt:variant>
        <vt:i4>0</vt:i4>
      </vt:variant>
      <vt:variant>
        <vt:i4>5</vt:i4>
      </vt:variant>
      <vt:variant>
        <vt:lpwstr/>
      </vt:variant>
      <vt:variant>
        <vt:lpwstr>_Toc53384777</vt:lpwstr>
      </vt:variant>
      <vt:variant>
        <vt:i4>1900597</vt:i4>
      </vt:variant>
      <vt:variant>
        <vt:i4>212</vt:i4>
      </vt:variant>
      <vt:variant>
        <vt:i4>0</vt:i4>
      </vt:variant>
      <vt:variant>
        <vt:i4>5</vt:i4>
      </vt:variant>
      <vt:variant>
        <vt:lpwstr/>
      </vt:variant>
      <vt:variant>
        <vt:lpwstr>_Toc53384776</vt:lpwstr>
      </vt:variant>
      <vt:variant>
        <vt:i4>1966133</vt:i4>
      </vt:variant>
      <vt:variant>
        <vt:i4>206</vt:i4>
      </vt:variant>
      <vt:variant>
        <vt:i4>0</vt:i4>
      </vt:variant>
      <vt:variant>
        <vt:i4>5</vt:i4>
      </vt:variant>
      <vt:variant>
        <vt:lpwstr/>
      </vt:variant>
      <vt:variant>
        <vt:lpwstr>_Toc53384775</vt:lpwstr>
      </vt:variant>
      <vt:variant>
        <vt:i4>2031669</vt:i4>
      </vt:variant>
      <vt:variant>
        <vt:i4>200</vt:i4>
      </vt:variant>
      <vt:variant>
        <vt:i4>0</vt:i4>
      </vt:variant>
      <vt:variant>
        <vt:i4>5</vt:i4>
      </vt:variant>
      <vt:variant>
        <vt:lpwstr/>
      </vt:variant>
      <vt:variant>
        <vt:lpwstr>_Toc53384774</vt:lpwstr>
      </vt:variant>
      <vt:variant>
        <vt:i4>1572917</vt:i4>
      </vt:variant>
      <vt:variant>
        <vt:i4>194</vt:i4>
      </vt:variant>
      <vt:variant>
        <vt:i4>0</vt:i4>
      </vt:variant>
      <vt:variant>
        <vt:i4>5</vt:i4>
      </vt:variant>
      <vt:variant>
        <vt:lpwstr/>
      </vt:variant>
      <vt:variant>
        <vt:lpwstr>_Toc53384773</vt:lpwstr>
      </vt:variant>
      <vt:variant>
        <vt:i4>1638453</vt:i4>
      </vt:variant>
      <vt:variant>
        <vt:i4>188</vt:i4>
      </vt:variant>
      <vt:variant>
        <vt:i4>0</vt:i4>
      </vt:variant>
      <vt:variant>
        <vt:i4>5</vt:i4>
      </vt:variant>
      <vt:variant>
        <vt:lpwstr/>
      </vt:variant>
      <vt:variant>
        <vt:lpwstr>_Toc53384772</vt:lpwstr>
      </vt:variant>
      <vt:variant>
        <vt:i4>1703989</vt:i4>
      </vt:variant>
      <vt:variant>
        <vt:i4>182</vt:i4>
      </vt:variant>
      <vt:variant>
        <vt:i4>0</vt:i4>
      </vt:variant>
      <vt:variant>
        <vt:i4>5</vt:i4>
      </vt:variant>
      <vt:variant>
        <vt:lpwstr/>
      </vt:variant>
      <vt:variant>
        <vt:lpwstr>_Toc53384771</vt:lpwstr>
      </vt:variant>
      <vt:variant>
        <vt:i4>1769525</vt:i4>
      </vt:variant>
      <vt:variant>
        <vt:i4>176</vt:i4>
      </vt:variant>
      <vt:variant>
        <vt:i4>0</vt:i4>
      </vt:variant>
      <vt:variant>
        <vt:i4>5</vt:i4>
      </vt:variant>
      <vt:variant>
        <vt:lpwstr/>
      </vt:variant>
      <vt:variant>
        <vt:lpwstr>_Toc53384770</vt:lpwstr>
      </vt:variant>
      <vt:variant>
        <vt:i4>1179700</vt:i4>
      </vt:variant>
      <vt:variant>
        <vt:i4>170</vt:i4>
      </vt:variant>
      <vt:variant>
        <vt:i4>0</vt:i4>
      </vt:variant>
      <vt:variant>
        <vt:i4>5</vt:i4>
      </vt:variant>
      <vt:variant>
        <vt:lpwstr/>
      </vt:variant>
      <vt:variant>
        <vt:lpwstr>_Toc53384769</vt:lpwstr>
      </vt:variant>
      <vt:variant>
        <vt:i4>1245236</vt:i4>
      </vt:variant>
      <vt:variant>
        <vt:i4>164</vt:i4>
      </vt:variant>
      <vt:variant>
        <vt:i4>0</vt:i4>
      </vt:variant>
      <vt:variant>
        <vt:i4>5</vt:i4>
      </vt:variant>
      <vt:variant>
        <vt:lpwstr/>
      </vt:variant>
      <vt:variant>
        <vt:lpwstr>_Toc53384768</vt:lpwstr>
      </vt:variant>
      <vt:variant>
        <vt:i4>1835060</vt:i4>
      </vt:variant>
      <vt:variant>
        <vt:i4>158</vt:i4>
      </vt:variant>
      <vt:variant>
        <vt:i4>0</vt:i4>
      </vt:variant>
      <vt:variant>
        <vt:i4>5</vt:i4>
      </vt:variant>
      <vt:variant>
        <vt:lpwstr/>
      </vt:variant>
      <vt:variant>
        <vt:lpwstr>_Toc53384767</vt:lpwstr>
      </vt:variant>
      <vt:variant>
        <vt:i4>1900596</vt:i4>
      </vt:variant>
      <vt:variant>
        <vt:i4>152</vt:i4>
      </vt:variant>
      <vt:variant>
        <vt:i4>0</vt:i4>
      </vt:variant>
      <vt:variant>
        <vt:i4>5</vt:i4>
      </vt:variant>
      <vt:variant>
        <vt:lpwstr/>
      </vt:variant>
      <vt:variant>
        <vt:lpwstr>_Toc53384766</vt:lpwstr>
      </vt:variant>
      <vt:variant>
        <vt:i4>1966132</vt:i4>
      </vt:variant>
      <vt:variant>
        <vt:i4>146</vt:i4>
      </vt:variant>
      <vt:variant>
        <vt:i4>0</vt:i4>
      </vt:variant>
      <vt:variant>
        <vt:i4>5</vt:i4>
      </vt:variant>
      <vt:variant>
        <vt:lpwstr/>
      </vt:variant>
      <vt:variant>
        <vt:lpwstr>_Toc53384765</vt:lpwstr>
      </vt:variant>
      <vt:variant>
        <vt:i4>2031668</vt:i4>
      </vt:variant>
      <vt:variant>
        <vt:i4>140</vt:i4>
      </vt:variant>
      <vt:variant>
        <vt:i4>0</vt:i4>
      </vt:variant>
      <vt:variant>
        <vt:i4>5</vt:i4>
      </vt:variant>
      <vt:variant>
        <vt:lpwstr/>
      </vt:variant>
      <vt:variant>
        <vt:lpwstr>_Toc53384764</vt:lpwstr>
      </vt:variant>
      <vt:variant>
        <vt:i4>1572916</vt:i4>
      </vt:variant>
      <vt:variant>
        <vt:i4>134</vt:i4>
      </vt:variant>
      <vt:variant>
        <vt:i4>0</vt:i4>
      </vt:variant>
      <vt:variant>
        <vt:i4>5</vt:i4>
      </vt:variant>
      <vt:variant>
        <vt:lpwstr/>
      </vt:variant>
      <vt:variant>
        <vt:lpwstr>_Toc53384763</vt:lpwstr>
      </vt:variant>
      <vt:variant>
        <vt:i4>1638452</vt:i4>
      </vt:variant>
      <vt:variant>
        <vt:i4>128</vt:i4>
      </vt:variant>
      <vt:variant>
        <vt:i4>0</vt:i4>
      </vt:variant>
      <vt:variant>
        <vt:i4>5</vt:i4>
      </vt:variant>
      <vt:variant>
        <vt:lpwstr/>
      </vt:variant>
      <vt:variant>
        <vt:lpwstr>_Toc53384762</vt:lpwstr>
      </vt:variant>
      <vt:variant>
        <vt:i4>1703988</vt:i4>
      </vt:variant>
      <vt:variant>
        <vt:i4>122</vt:i4>
      </vt:variant>
      <vt:variant>
        <vt:i4>0</vt:i4>
      </vt:variant>
      <vt:variant>
        <vt:i4>5</vt:i4>
      </vt:variant>
      <vt:variant>
        <vt:lpwstr/>
      </vt:variant>
      <vt:variant>
        <vt:lpwstr>_Toc53384761</vt:lpwstr>
      </vt:variant>
      <vt:variant>
        <vt:i4>1769524</vt:i4>
      </vt:variant>
      <vt:variant>
        <vt:i4>116</vt:i4>
      </vt:variant>
      <vt:variant>
        <vt:i4>0</vt:i4>
      </vt:variant>
      <vt:variant>
        <vt:i4>5</vt:i4>
      </vt:variant>
      <vt:variant>
        <vt:lpwstr/>
      </vt:variant>
      <vt:variant>
        <vt:lpwstr>_Toc53384760</vt:lpwstr>
      </vt:variant>
      <vt:variant>
        <vt:i4>1245239</vt:i4>
      </vt:variant>
      <vt:variant>
        <vt:i4>110</vt:i4>
      </vt:variant>
      <vt:variant>
        <vt:i4>0</vt:i4>
      </vt:variant>
      <vt:variant>
        <vt:i4>5</vt:i4>
      </vt:variant>
      <vt:variant>
        <vt:lpwstr/>
      </vt:variant>
      <vt:variant>
        <vt:lpwstr>_Toc53384758</vt:lpwstr>
      </vt:variant>
      <vt:variant>
        <vt:i4>1245239</vt:i4>
      </vt:variant>
      <vt:variant>
        <vt:i4>104</vt:i4>
      </vt:variant>
      <vt:variant>
        <vt:i4>0</vt:i4>
      </vt:variant>
      <vt:variant>
        <vt:i4>5</vt:i4>
      </vt:variant>
      <vt:variant>
        <vt:lpwstr/>
      </vt:variant>
      <vt:variant>
        <vt:lpwstr>_Toc53384758</vt:lpwstr>
      </vt:variant>
      <vt:variant>
        <vt:i4>1179703</vt:i4>
      </vt:variant>
      <vt:variant>
        <vt:i4>98</vt:i4>
      </vt:variant>
      <vt:variant>
        <vt:i4>0</vt:i4>
      </vt:variant>
      <vt:variant>
        <vt:i4>5</vt:i4>
      </vt:variant>
      <vt:variant>
        <vt:lpwstr/>
      </vt:variant>
      <vt:variant>
        <vt:lpwstr>_Toc53384759</vt:lpwstr>
      </vt:variant>
      <vt:variant>
        <vt:i4>1245239</vt:i4>
      </vt:variant>
      <vt:variant>
        <vt:i4>95</vt:i4>
      </vt:variant>
      <vt:variant>
        <vt:i4>0</vt:i4>
      </vt:variant>
      <vt:variant>
        <vt:i4>5</vt:i4>
      </vt:variant>
      <vt:variant>
        <vt:lpwstr/>
      </vt:variant>
      <vt:variant>
        <vt:lpwstr>_Toc53384758</vt:lpwstr>
      </vt:variant>
      <vt:variant>
        <vt:i4>1835063</vt:i4>
      </vt:variant>
      <vt:variant>
        <vt:i4>89</vt:i4>
      </vt:variant>
      <vt:variant>
        <vt:i4>0</vt:i4>
      </vt:variant>
      <vt:variant>
        <vt:i4>5</vt:i4>
      </vt:variant>
      <vt:variant>
        <vt:lpwstr/>
      </vt:variant>
      <vt:variant>
        <vt:lpwstr>_Toc53384757</vt:lpwstr>
      </vt:variant>
      <vt:variant>
        <vt:i4>1900599</vt:i4>
      </vt:variant>
      <vt:variant>
        <vt:i4>83</vt:i4>
      </vt:variant>
      <vt:variant>
        <vt:i4>0</vt:i4>
      </vt:variant>
      <vt:variant>
        <vt:i4>5</vt:i4>
      </vt:variant>
      <vt:variant>
        <vt:lpwstr/>
      </vt:variant>
      <vt:variant>
        <vt:lpwstr>_Toc53384756</vt:lpwstr>
      </vt:variant>
      <vt:variant>
        <vt:i4>1966135</vt:i4>
      </vt:variant>
      <vt:variant>
        <vt:i4>77</vt:i4>
      </vt:variant>
      <vt:variant>
        <vt:i4>0</vt:i4>
      </vt:variant>
      <vt:variant>
        <vt:i4>5</vt:i4>
      </vt:variant>
      <vt:variant>
        <vt:lpwstr/>
      </vt:variant>
      <vt:variant>
        <vt:lpwstr>_Toc53384755</vt:lpwstr>
      </vt:variant>
      <vt:variant>
        <vt:i4>2031671</vt:i4>
      </vt:variant>
      <vt:variant>
        <vt:i4>71</vt:i4>
      </vt:variant>
      <vt:variant>
        <vt:i4>0</vt:i4>
      </vt:variant>
      <vt:variant>
        <vt:i4>5</vt:i4>
      </vt:variant>
      <vt:variant>
        <vt:lpwstr/>
      </vt:variant>
      <vt:variant>
        <vt:lpwstr>_Toc53384754</vt:lpwstr>
      </vt:variant>
      <vt:variant>
        <vt:i4>1572919</vt:i4>
      </vt:variant>
      <vt:variant>
        <vt:i4>65</vt:i4>
      </vt:variant>
      <vt:variant>
        <vt:i4>0</vt:i4>
      </vt:variant>
      <vt:variant>
        <vt:i4>5</vt:i4>
      </vt:variant>
      <vt:variant>
        <vt:lpwstr/>
      </vt:variant>
      <vt:variant>
        <vt:lpwstr>_Toc53384753</vt:lpwstr>
      </vt:variant>
      <vt:variant>
        <vt:i4>1638455</vt:i4>
      </vt:variant>
      <vt:variant>
        <vt:i4>59</vt:i4>
      </vt:variant>
      <vt:variant>
        <vt:i4>0</vt:i4>
      </vt:variant>
      <vt:variant>
        <vt:i4>5</vt:i4>
      </vt:variant>
      <vt:variant>
        <vt:lpwstr/>
      </vt:variant>
      <vt:variant>
        <vt:lpwstr>_Toc53384752</vt:lpwstr>
      </vt:variant>
      <vt:variant>
        <vt:i4>1703991</vt:i4>
      </vt:variant>
      <vt:variant>
        <vt:i4>53</vt:i4>
      </vt:variant>
      <vt:variant>
        <vt:i4>0</vt:i4>
      </vt:variant>
      <vt:variant>
        <vt:i4>5</vt:i4>
      </vt:variant>
      <vt:variant>
        <vt:lpwstr/>
      </vt:variant>
      <vt:variant>
        <vt:lpwstr>_Toc53384751</vt:lpwstr>
      </vt:variant>
      <vt:variant>
        <vt:i4>1769527</vt:i4>
      </vt:variant>
      <vt:variant>
        <vt:i4>47</vt:i4>
      </vt:variant>
      <vt:variant>
        <vt:i4>0</vt:i4>
      </vt:variant>
      <vt:variant>
        <vt:i4>5</vt:i4>
      </vt:variant>
      <vt:variant>
        <vt:lpwstr/>
      </vt:variant>
      <vt:variant>
        <vt:lpwstr>_Toc53384750</vt:lpwstr>
      </vt:variant>
      <vt:variant>
        <vt:i4>1179702</vt:i4>
      </vt:variant>
      <vt:variant>
        <vt:i4>41</vt:i4>
      </vt:variant>
      <vt:variant>
        <vt:i4>0</vt:i4>
      </vt:variant>
      <vt:variant>
        <vt:i4>5</vt:i4>
      </vt:variant>
      <vt:variant>
        <vt:lpwstr/>
      </vt:variant>
      <vt:variant>
        <vt:lpwstr>_Toc53384749</vt:lpwstr>
      </vt:variant>
      <vt:variant>
        <vt:i4>1245238</vt:i4>
      </vt:variant>
      <vt:variant>
        <vt:i4>35</vt:i4>
      </vt:variant>
      <vt:variant>
        <vt:i4>0</vt:i4>
      </vt:variant>
      <vt:variant>
        <vt:i4>5</vt:i4>
      </vt:variant>
      <vt:variant>
        <vt:lpwstr/>
      </vt:variant>
      <vt:variant>
        <vt:lpwstr>_Toc53384748</vt:lpwstr>
      </vt:variant>
      <vt:variant>
        <vt:i4>1835062</vt:i4>
      </vt:variant>
      <vt:variant>
        <vt:i4>29</vt:i4>
      </vt:variant>
      <vt:variant>
        <vt:i4>0</vt:i4>
      </vt:variant>
      <vt:variant>
        <vt:i4>5</vt:i4>
      </vt:variant>
      <vt:variant>
        <vt:lpwstr/>
      </vt:variant>
      <vt:variant>
        <vt:lpwstr>_Toc53384747</vt:lpwstr>
      </vt:variant>
      <vt:variant>
        <vt:i4>1900598</vt:i4>
      </vt:variant>
      <vt:variant>
        <vt:i4>23</vt:i4>
      </vt:variant>
      <vt:variant>
        <vt:i4>0</vt:i4>
      </vt:variant>
      <vt:variant>
        <vt:i4>5</vt:i4>
      </vt:variant>
      <vt:variant>
        <vt:lpwstr/>
      </vt:variant>
      <vt:variant>
        <vt:lpwstr>_Toc53384746</vt:lpwstr>
      </vt:variant>
      <vt:variant>
        <vt:i4>1966134</vt:i4>
      </vt:variant>
      <vt:variant>
        <vt:i4>17</vt:i4>
      </vt:variant>
      <vt:variant>
        <vt:i4>0</vt:i4>
      </vt:variant>
      <vt:variant>
        <vt:i4>5</vt:i4>
      </vt:variant>
      <vt:variant>
        <vt:lpwstr/>
      </vt:variant>
      <vt:variant>
        <vt:lpwstr>_Toc53384745</vt:lpwstr>
      </vt:variant>
      <vt:variant>
        <vt:i4>2031670</vt:i4>
      </vt:variant>
      <vt:variant>
        <vt:i4>11</vt:i4>
      </vt:variant>
      <vt:variant>
        <vt:i4>0</vt:i4>
      </vt:variant>
      <vt:variant>
        <vt:i4>5</vt:i4>
      </vt:variant>
      <vt:variant>
        <vt:lpwstr/>
      </vt:variant>
      <vt:variant>
        <vt:lpwstr>_Toc53384744</vt:lpwstr>
      </vt:variant>
      <vt:variant>
        <vt:i4>1572918</vt:i4>
      </vt:variant>
      <vt:variant>
        <vt:i4>5</vt:i4>
      </vt:variant>
      <vt:variant>
        <vt:i4>0</vt:i4>
      </vt:variant>
      <vt:variant>
        <vt:i4>5</vt:i4>
      </vt:variant>
      <vt:variant>
        <vt:lpwstr/>
      </vt:variant>
      <vt:variant>
        <vt:lpwstr>_Toc53384743</vt:lpwstr>
      </vt:variant>
      <vt:variant>
        <vt:i4>5963805</vt:i4>
      </vt:variant>
      <vt:variant>
        <vt:i4>3</vt:i4>
      </vt:variant>
      <vt:variant>
        <vt:i4>0</vt:i4>
      </vt:variant>
      <vt:variant>
        <vt:i4>5</vt:i4>
      </vt:variant>
      <vt:variant>
        <vt:lpwstr>http://www.pois.gov.pl/strony/o-programie/dokumenty/program-operacyjny-infrastruktura-i-srodowisko-2014-2020/</vt:lpwstr>
      </vt:variant>
      <vt:variant>
        <vt:lpwstr/>
      </vt:variant>
      <vt:variant>
        <vt:i4>1638479</vt:i4>
      </vt:variant>
      <vt:variant>
        <vt:i4>0</vt:i4>
      </vt:variant>
      <vt:variant>
        <vt:i4>0</vt:i4>
      </vt:variant>
      <vt:variant>
        <vt:i4>5</vt:i4>
      </vt:variant>
      <vt:variant>
        <vt:lpwstr>https://www.gov.pl/web/zdrowie/strategia-walki-z-pandemia-covid19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Kopanska</dc:creator>
  <cp:lastModifiedBy>Wiącek Remigiusz</cp:lastModifiedBy>
  <cp:revision>304</cp:revision>
  <cp:lastPrinted>2021-09-29T10:23:00Z</cp:lastPrinted>
  <dcterms:created xsi:type="dcterms:W3CDTF">2021-08-31T05:42:00Z</dcterms:created>
  <dcterms:modified xsi:type="dcterms:W3CDTF">2022-08-31T12:12:00Z</dcterms:modified>
</cp:coreProperties>
</file>