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682"/>
        <w:gridCol w:w="734"/>
        <w:gridCol w:w="465"/>
        <w:gridCol w:w="414"/>
        <w:gridCol w:w="155"/>
        <w:gridCol w:w="241"/>
        <w:gridCol w:w="284"/>
        <w:gridCol w:w="160"/>
        <w:gridCol w:w="554"/>
        <w:gridCol w:w="140"/>
        <w:gridCol w:w="145"/>
        <w:gridCol w:w="564"/>
        <w:gridCol w:w="89"/>
        <w:gridCol w:w="478"/>
        <w:gridCol w:w="389"/>
        <w:gridCol w:w="32"/>
        <w:gridCol w:w="39"/>
        <w:gridCol w:w="249"/>
        <w:gridCol w:w="283"/>
        <w:gridCol w:w="405"/>
        <w:gridCol w:w="21"/>
        <w:gridCol w:w="708"/>
        <w:gridCol w:w="209"/>
        <w:gridCol w:w="358"/>
        <w:gridCol w:w="426"/>
        <w:gridCol w:w="154"/>
        <w:gridCol w:w="271"/>
        <w:gridCol w:w="709"/>
      </w:tblGrid>
      <w:tr w:rsidR="006A701A" w:rsidRPr="008B4FE6" w14:paraId="5D3635C5" w14:textId="77777777" w:rsidTr="00272DF9">
        <w:trPr>
          <w:trHeight w:val="1611"/>
        </w:trPr>
        <w:tc>
          <w:tcPr>
            <w:tcW w:w="7052" w:type="dxa"/>
            <w:gridSpan w:val="16"/>
          </w:tcPr>
          <w:p w14:paraId="73E83355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E062A02" w14:textId="77777777" w:rsidR="006A701A" w:rsidRPr="00451871" w:rsidRDefault="003A2782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1" w:name="t2"/>
            <w:r w:rsidRPr="00451871">
              <w:rPr>
                <w:rFonts w:ascii="Times New Roman" w:hAnsi="Times New Roman"/>
                <w:color w:val="000000"/>
              </w:rPr>
              <w:t>Ustawa o zasadach realizacji zadań finansowanych ze środków europejskich w perspektywie finansowej 2021-2027</w:t>
            </w:r>
            <w:bookmarkEnd w:id="1"/>
          </w:p>
          <w:p w14:paraId="3D865862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5F97048" w14:textId="77777777" w:rsidR="006A701A" w:rsidRDefault="003A2782" w:rsidP="00451871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Funduszy i Polityki Regionalnej</w:t>
            </w:r>
          </w:p>
          <w:p w14:paraId="2D555B57" w14:textId="77777777" w:rsidR="003A2782" w:rsidRPr="00451871" w:rsidRDefault="003A2782" w:rsidP="00451871">
            <w:pPr>
              <w:spacing w:line="240" w:lineRule="auto"/>
              <w:rPr>
                <w:rFonts w:ascii="Times New Roman" w:hAnsi="Times New Roman"/>
                <w:b/>
                <w:sz w:val="21"/>
              </w:rPr>
            </w:pPr>
          </w:p>
          <w:p w14:paraId="3E9DE2A3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4A0C4C60" w14:textId="77777777" w:rsidR="001B3460" w:rsidRPr="00451871" w:rsidRDefault="003A2782" w:rsidP="00451871">
            <w:pPr>
              <w:spacing w:line="240" w:lineRule="auto"/>
              <w:rPr>
                <w:rFonts w:ascii="Times New Roman" w:hAnsi="Times New Roman"/>
                <w:sz w:val="21"/>
              </w:rPr>
            </w:pPr>
            <w:r w:rsidRPr="00451871">
              <w:rPr>
                <w:rFonts w:ascii="Times New Roman" w:hAnsi="Times New Roman"/>
                <w:sz w:val="21"/>
              </w:rPr>
              <w:t xml:space="preserve">Waldemar Buda, Sekretarz Stanu w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MFiPR</w:t>
            </w:r>
            <w:proofErr w:type="spellEnd"/>
          </w:p>
          <w:p w14:paraId="54DACB73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8BBED0A" w14:textId="77777777" w:rsidR="00B50BBF" w:rsidRDefault="006B63DF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Piotr Zychla</w:t>
            </w:r>
            <w:r w:rsidR="003A278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Zastępca </w:t>
            </w:r>
            <w:r w:rsidR="003A2782">
              <w:rPr>
                <w:rFonts w:ascii="Times New Roman" w:hAnsi="Times New Roman"/>
                <w:color w:val="000000"/>
              </w:rPr>
              <w:t>Dyrektor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3A2782">
              <w:rPr>
                <w:rFonts w:ascii="Times New Roman" w:hAnsi="Times New Roman"/>
                <w:color w:val="000000"/>
              </w:rPr>
              <w:t xml:space="preserve"> Departamentu Prawnego</w:t>
            </w:r>
            <w:r w:rsidR="00FD361E">
              <w:rPr>
                <w:rFonts w:ascii="Times New Roman" w:hAnsi="Times New Roman"/>
                <w:color w:val="000000"/>
              </w:rPr>
              <w:t xml:space="preserve"> w </w:t>
            </w:r>
            <w:r w:rsidR="003A27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A2782">
              <w:rPr>
                <w:rFonts w:ascii="Times New Roman" w:hAnsi="Times New Roman"/>
                <w:color w:val="000000"/>
              </w:rPr>
              <w:t>MFiPR</w:t>
            </w:r>
            <w:proofErr w:type="spellEnd"/>
            <w:r w:rsidR="003A2782">
              <w:rPr>
                <w:rFonts w:ascii="Times New Roman" w:hAnsi="Times New Roman"/>
                <w:color w:val="000000"/>
              </w:rPr>
              <w:t>,</w:t>
            </w:r>
          </w:p>
          <w:p w14:paraId="0C8198EA" w14:textId="77777777" w:rsidR="006A701A" w:rsidRPr="00E02287" w:rsidRDefault="006B63DF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tel. 022 273 7551; piotr.zychla</w:t>
            </w:r>
            <w:r w:rsidR="003A2782" w:rsidRPr="00E02287">
              <w:rPr>
                <w:rFonts w:ascii="Times New Roman" w:hAnsi="Times New Roman"/>
                <w:color w:val="000000"/>
                <w:lang w:val="en-GB"/>
              </w:rPr>
              <w:t>@mfipr.gov.pl</w:t>
            </w:r>
          </w:p>
        </w:tc>
        <w:tc>
          <w:tcPr>
            <w:tcW w:w="3864" w:type="dxa"/>
            <w:gridSpan w:val="13"/>
            <w:shd w:val="clear" w:color="auto" w:fill="FFFFFF"/>
          </w:tcPr>
          <w:p w14:paraId="62D3FB48" w14:textId="56025E75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5A6CB0">
              <w:rPr>
                <w:rFonts w:ascii="Times New Roman" w:hAnsi="Times New Roman"/>
                <w:sz w:val="21"/>
                <w:szCs w:val="21"/>
              </w:rPr>
              <w:t>11.02.2022</w:t>
            </w:r>
            <w:r w:rsidR="003A2782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795BF4C9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7CAB7FB" w14:textId="77777777" w:rsidR="009B5BBE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  <w:r w:rsidR="00375923">
              <w:rPr>
                <w:rFonts w:ascii="Times New Roman" w:hAnsi="Times New Roman"/>
              </w:rPr>
              <w:t>Prawo UE:</w:t>
            </w:r>
          </w:p>
          <w:p w14:paraId="170106DB" w14:textId="77777777" w:rsidR="00375923" w:rsidRDefault="00375923" w:rsidP="00375923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rozporządzenia w zakresie polityki spójności w perspektywie finansowej 2021-2027,</w:t>
            </w:r>
          </w:p>
          <w:p w14:paraId="1D70BDE7" w14:textId="77777777" w:rsidR="00375923" w:rsidRPr="0065019F" w:rsidRDefault="00375923" w:rsidP="00375923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rozporządzenie dotyczące </w:t>
            </w:r>
            <w:r w:rsidRPr="009B5BBE">
              <w:rPr>
                <w:rFonts w:ascii="Times New Roman" w:hAnsi="Times New Roman"/>
              </w:rPr>
              <w:t>ustan</w:t>
            </w:r>
            <w:r>
              <w:rPr>
                <w:rFonts w:ascii="Times New Roman" w:hAnsi="Times New Roman"/>
              </w:rPr>
              <w:t>o</w:t>
            </w:r>
            <w:r w:rsidRPr="009B5BBE"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>enia</w:t>
            </w:r>
            <w:r w:rsidRPr="009B5BBE">
              <w:rPr>
                <w:rFonts w:ascii="Times New Roman" w:hAnsi="Times New Roman"/>
              </w:rPr>
              <w:t xml:space="preserve"> Instrument na rzecz Odbudowy i Zwiększania Odporności</w:t>
            </w:r>
          </w:p>
          <w:bookmarkEnd w:id="2"/>
          <w:p w14:paraId="0931FF31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5E17BE16" w14:textId="77777777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680EED">
              <w:rPr>
                <w:rFonts w:ascii="Times New Roman" w:hAnsi="Times New Roman"/>
                <w:b/>
                <w:color w:val="000000"/>
              </w:rPr>
              <w:t>UC 95</w:t>
            </w:r>
          </w:p>
          <w:p w14:paraId="4FE4302D" w14:textId="77777777" w:rsidR="006A701A" w:rsidRPr="008B4FE6" w:rsidRDefault="006A701A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019148E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04CFA3A3" w14:textId="77777777" w:rsidTr="00A13AEF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03B9AA87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2724311B" w14:textId="77777777" w:rsidTr="00A13AEF">
        <w:trPr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2CC5463C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62AF3AD1" w14:textId="77777777" w:rsidTr="00A13AEF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327CB353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1F51839" w14:textId="692B539F" w:rsidR="004904F4" w:rsidRPr="00B37C80" w:rsidRDefault="00C15372" w:rsidP="00E973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5372">
              <w:rPr>
                <w:rFonts w:ascii="Times New Roman" w:hAnsi="Times New Roman"/>
                <w:color w:val="000000"/>
              </w:rPr>
              <w:t>Podstawowym celem projektowanej ustawy jest stworzenie ram prawnych, które stanowić będą podstawę dla realizacji umowy partnerstwa, w tym wdrażania programów w zakresie polityki spójności w perspektywie finansowej 2021-2027. Konieczność opracowania nowej ustawy wynika z rozpoczęcia w 2021 roku nowej, siedmioletniej perspektywy finansowania polityki spójności z budżetu Unii Europejskiej, w oparciu o nowy pakiet unijnych aktów prawnych regulujących zasady wdrażania tej polityki.</w:t>
            </w:r>
            <w:r w:rsidR="00E33F2C">
              <w:rPr>
                <w:rFonts w:ascii="Times New Roman" w:hAnsi="Times New Roman"/>
                <w:color w:val="000000"/>
              </w:rPr>
              <w:t xml:space="preserve"> </w:t>
            </w:r>
            <w:r w:rsidR="00E33F2C" w:rsidRPr="00E33F2C">
              <w:rPr>
                <w:rFonts w:ascii="Times New Roman" w:hAnsi="Times New Roman"/>
                <w:color w:val="000000"/>
              </w:rPr>
              <w:t xml:space="preserve">W projekcie ustawy wprowadza się </w:t>
            </w:r>
            <w:r w:rsidR="00E33F2C">
              <w:rPr>
                <w:rFonts w:ascii="Times New Roman" w:hAnsi="Times New Roman"/>
                <w:color w:val="000000"/>
              </w:rPr>
              <w:t xml:space="preserve">również, poprzez zmianę ustawy o zasadach prowadzenia polityki rozwoju, </w:t>
            </w:r>
            <w:r w:rsidR="00E33F2C" w:rsidRPr="00E33F2C">
              <w:rPr>
                <w:rFonts w:ascii="Times New Roman" w:hAnsi="Times New Roman"/>
                <w:color w:val="000000"/>
              </w:rPr>
              <w:t xml:space="preserve">przepisy szczegółowe </w:t>
            </w:r>
            <w:r w:rsidR="00E33F2C">
              <w:rPr>
                <w:rFonts w:ascii="Times New Roman" w:hAnsi="Times New Roman"/>
                <w:color w:val="000000"/>
              </w:rPr>
              <w:t xml:space="preserve">dotyczące planu rozwojowego -  Krajowego Planu Odbudowy (KPO) </w:t>
            </w:r>
            <w:r w:rsidR="00E33F2C" w:rsidRPr="00E33F2C">
              <w:rPr>
                <w:rFonts w:ascii="Times New Roman" w:hAnsi="Times New Roman"/>
                <w:color w:val="000000"/>
              </w:rPr>
              <w:t xml:space="preserve">w zakresie, w jakim przepisy unijne </w:t>
            </w:r>
            <w:r w:rsidR="003F1174">
              <w:rPr>
                <w:rFonts w:ascii="Times New Roman" w:hAnsi="Times New Roman"/>
                <w:color w:val="000000"/>
              </w:rPr>
              <w:t xml:space="preserve">są </w:t>
            </w:r>
            <w:r w:rsidR="00E33F2C" w:rsidRPr="00E33F2C">
              <w:rPr>
                <w:rFonts w:ascii="Times New Roman" w:hAnsi="Times New Roman"/>
                <w:color w:val="000000"/>
              </w:rPr>
              <w:t xml:space="preserve">niewystarczające z punktu widzenia systemu prawa krajowego, m.in. w zakresie struktury systemu instytucjonalnego, wyboru i sposobu realizacji przedsięwzięć, finansowania inwestycji i przedsięwzięć, monitorowania realizacji KPO czy też działań kontrolnych i audytowych. </w:t>
            </w:r>
            <w:r w:rsidR="00D2472B">
              <w:rPr>
                <w:rFonts w:ascii="Times New Roman" w:hAnsi="Times New Roman"/>
                <w:color w:val="000000"/>
              </w:rPr>
              <w:t>KPO</w:t>
            </w:r>
            <w:r w:rsidR="00E33F2C" w:rsidRPr="00E33F2C">
              <w:rPr>
                <w:rFonts w:ascii="Times New Roman" w:hAnsi="Times New Roman"/>
                <w:color w:val="000000"/>
              </w:rPr>
              <w:t xml:space="preserve"> jest dokumentem, o którym mowa w art. 17 ust. 1 </w:t>
            </w:r>
            <w:r w:rsidR="007152E6">
              <w:rPr>
                <w:rFonts w:ascii="Times New Roman" w:hAnsi="Times New Roman"/>
                <w:color w:val="000000"/>
              </w:rPr>
              <w:t>r</w:t>
            </w:r>
            <w:r w:rsidR="00E33F2C" w:rsidRPr="00E33F2C">
              <w:rPr>
                <w:rFonts w:ascii="Times New Roman" w:hAnsi="Times New Roman"/>
                <w:color w:val="000000"/>
              </w:rPr>
              <w:t xml:space="preserve">ozporządzenia Parlamentu Europejskiego i Rady (UE) 2021/241 z dnia 12 lutego 2021 r. ustanawiającego Instrument na rzecz Odbudowy i Zwiększania Odporności (Dz. Urz. UE L 57 z 18.02.2021, s. 17), będącym planem rozwojowym stanowiącym </w:t>
            </w:r>
            <w:r w:rsidR="005966ED">
              <w:rPr>
                <w:rFonts w:ascii="Times New Roman" w:hAnsi="Times New Roman"/>
                <w:color w:val="000000"/>
              </w:rPr>
              <w:t xml:space="preserve"> </w:t>
            </w:r>
            <w:r w:rsidR="00E33F2C" w:rsidRPr="00E33F2C">
              <w:rPr>
                <w:rFonts w:ascii="Times New Roman" w:hAnsi="Times New Roman"/>
                <w:color w:val="000000"/>
              </w:rPr>
              <w:t>podstawę realizacji reform i inwestycji objętych wsparciem ze środków Instrumentu na rzecz Odbudowy i Zwiększania Odporności (</w:t>
            </w:r>
            <w:proofErr w:type="spellStart"/>
            <w:r w:rsidR="00E33F2C" w:rsidRPr="00E33F2C">
              <w:rPr>
                <w:rFonts w:ascii="Times New Roman" w:hAnsi="Times New Roman"/>
                <w:color w:val="000000"/>
              </w:rPr>
              <w:t>Recovery</w:t>
            </w:r>
            <w:proofErr w:type="spellEnd"/>
            <w:r w:rsidR="00E33F2C" w:rsidRPr="00E33F2C">
              <w:rPr>
                <w:rFonts w:ascii="Times New Roman" w:hAnsi="Times New Roman"/>
                <w:color w:val="000000"/>
              </w:rPr>
              <w:t xml:space="preserve"> and </w:t>
            </w:r>
            <w:proofErr w:type="spellStart"/>
            <w:r w:rsidR="00E33F2C" w:rsidRPr="00E33F2C">
              <w:rPr>
                <w:rFonts w:ascii="Times New Roman" w:hAnsi="Times New Roman"/>
                <w:color w:val="000000"/>
              </w:rPr>
              <w:t>Resilience</w:t>
            </w:r>
            <w:proofErr w:type="spellEnd"/>
            <w:r w:rsidR="00E33F2C" w:rsidRPr="00E33F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33F2C" w:rsidRPr="00E33F2C">
              <w:rPr>
                <w:rFonts w:ascii="Times New Roman" w:hAnsi="Times New Roman"/>
                <w:color w:val="000000"/>
              </w:rPr>
              <w:t>Facility</w:t>
            </w:r>
            <w:proofErr w:type="spellEnd"/>
            <w:r w:rsidR="00E33F2C" w:rsidRPr="00E33F2C">
              <w:rPr>
                <w:rFonts w:ascii="Times New Roman" w:hAnsi="Times New Roman"/>
                <w:color w:val="000000"/>
              </w:rPr>
              <w:t xml:space="preserve"> – RRF).</w:t>
            </w:r>
            <w:r w:rsidR="00A30E1B">
              <w:rPr>
                <w:rFonts w:ascii="Times New Roman" w:hAnsi="Times New Roman"/>
                <w:color w:val="000000"/>
              </w:rPr>
              <w:t xml:space="preserve"> </w:t>
            </w:r>
            <w:r w:rsidR="00375923">
              <w:rPr>
                <w:rFonts w:ascii="Times New Roman" w:hAnsi="Times New Roman"/>
                <w:color w:val="000000"/>
              </w:rPr>
              <w:t xml:space="preserve">Dodatkowo, w ramach przepisów wprowadzanych do ustawy o zasadach prowadzenia polityki rozwoju, projektowana ustawa stworzy podstawy prawne w prawie krajowym dla realizacji działań w ramach tzw. </w:t>
            </w:r>
            <w:proofErr w:type="spellStart"/>
            <w:r w:rsidR="00375923">
              <w:rPr>
                <w:rFonts w:ascii="Times New Roman" w:hAnsi="Times New Roman"/>
                <w:color w:val="000000"/>
              </w:rPr>
              <w:t>Pobrexitowej</w:t>
            </w:r>
            <w:proofErr w:type="spellEnd"/>
            <w:r w:rsidR="00375923">
              <w:rPr>
                <w:rFonts w:ascii="Times New Roman" w:hAnsi="Times New Roman"/>
                <w:color w:val="000000"/>
              </w:rPr>
              <w:t xml:space="preserve"> rezerwy dostosowawczej (</w:t>
            </w:r>
            <w:proofErr w:type="spellStart"/>
            <w:r w:rsidR="00375923" w:rsidRPr="00B74A9C">
              <w:rPr>
                <w:rFonts w:ascii="Times New Roman" w:hAnsi="Times New Roman"/>
                <w:i/>
                <w:color w:val="000000"/>
              </w:rPr>
              <w:t>Brexit</w:t>
            </w:r>
            <w:proofErr w:type="spellEnd"/>
            <w:r w:rsidR="00375923" w:rsidRPr="00B74A9C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375923" w:rsidRPr="00B74A9C">
              <w:rPr>
                <w:rFonts w:ascii="Times New Roman" w:hAnsi="Times New Roman"/>
                <w:i/>
                <w:color w:val="000000"/>
              </w:rPr>
              <w:t>Adjustment</w:t>
            </w:r>
            <w:proofErr w:type="spellEnd"/>
            <w:r w:rsidR="00375923" w:rsidRPr="00B74A9C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375923" w:rsidRPr="00B74A9C">
              <w:rPr>
                <w:rFonts w:ascii="Times New Roman" w:hAnsi="Times New Roman"/>
                <w:i/>
                <w:color w:val="000000"/>
              </w:rPr>
              <w:t>Reserve</w:t>
            </w:r>
            <w:proofErr w:type="spellEnd"/>
            <w:r w:rsidR="00375923">
              <w:rPr>
                <w:rFonts w:ascii="Times New Roman" w:hAnsi="Times New Roman"/>
                <w:color w:val="000000"/>
              </w:rPr>
              <w:t>), a także umożliwi utworzenie Funduszu Rozwoju Regionalnego, będącego funduszem celowym w rozumieniu przepisów ustawy o finansach publicznych, stanowiącym narzędzie komplementarne względem istniejących instrumentów wspierających prowadzenie polityki rozwoju, i umożliwiającego finansowanie działań prorozwojowych.</w:t>
            </w:r>
            <w:r w:rsidR="0018772D">
              <w:rPr>
                <w:rFonts w:ascii="Times New Roman" w:hAnsi="Times New Roman"/>
                <w:color w:val="000000"/>
              </w:rPr>
              <w:t xml:space="preserve"> Projekt ustawy </w:t>
            </w:r>
            <w:r w:rsidR="0018772D" w:rsidRPr="0018772D">
              <w:rPr>
                <w:rFonts w:ascii="Times New Roman" w:hAnsi="Times New Roman"/>
                <w:color w:val="000000"/>
              </w:rPr>
              <w:t>wprowadza także zmiany do ustawy o pomocy społecznej w zakresie programu zwalczania deprywacji materialnej – pomocy żywnościowej w ramach E</w:t>
            </w:r>
            <w:r w:rsidR="0018772D">
              <w:rPr>
                <w:rFonts w:ascii="Times New Roman" w:hAnsi="Times New Roman"/>
                <w:color w:val="000000"/>
              </w:rPr>
              <w:t xml:space="preserve">uropejskiego </w:t>
            </w:r>
            <w:r w:rsidR="0018772D" w:rsidRPr="0018772D">
              <w:rPr>
                <w:rFonts w:ascii="Times New Roman" w:hAnsi="Times New Roman"/>
                <w:color w:val="000000"/>
              </w:rPr>
              <w:t>F</w:t>
            </w:r>
            <w:r w:rsidR="0018772D">
              <w:rPr>
                <w:rFonts w:ascii="Times New Roman" w:hAnsi="Times New Roman"/>
                <w:color w:val="000000"/>
              </w:rPr>
              <w:t xml:space="preserve">unduszu </w:t>
            </w:r>
            <w:r w:rsidR="0018772D" w:rsidRPr="0018772D">
              <w:rPr>
                <w:rFonts w:ascii="Times New Roman" w:hAnsi="Times New Roman"/>
                <w:color w:val="000000"/>
              </w:rPr>
              <w:t>S</w:t>
            </w:r>
            <w:r w:rsidR="0018772D">
              <w:rPr>
                <w:rFonts w:ascii="Times New Roman" w:hAnsi="Times New Roman"/>
                <w:color w:val="000000"/>
              </w:rPr>
              <w:t>połecznego Plus</w:t>
            </w:r>
            <w:r w:rsidR="0018772D" w:rsidRPr="0018772D">
              <w:rPr>
                <w:rFonts w:ascii="Times New Roman" w:hAnsi="Times New Roman"/>
                <w:color w:val="000000"/>
              </w:rPr>
              <w:t xml:space="preserve"> (dawny </w:t>
            </w:r>
            <w:r w:rsidR="0018772D">
              <w:rPr>
                <w:rFonts w:ascii="Times New Roman" w:hAnsi="Times New Roman"/>
                <w:color w:val="000000"/>
              </w:rPr>
              <w:t>Program</w:t>
            </w:r>
            <w:r w:rsidR="0018772D" w:rsidRPr="0018772D">
              <w:rPr>
                <w:rFonts w:ascii="Times New Roman" w:hAnsi="Times New Roman"/>
                <w:color w:val="000000"/>
              </w:rPr>
              <w:t xml:space="preserve"> Operacyjn</w:t>
            </w:r>
            <w:r w:rsidR="0018772D">
              <w:rPr>
                <w:rFonts w:ascii="Times New Roman" w:hAnsi="Times New Roman"/>
                <w:color w:val="000000"/>
              </w:rPr>
              <w:t>y</w:t>
            </w:r>
            <w:r w:rsidR="0018772D" w:rsidRPr="0018772D">
              <w:rPr>
                <w:rFonts w:ascii="Times New Roman" w:hAnsi="Times New Roman"/>
                <w:color w:val="000000"/>
              </w:rPr>
              <w:t xml:space="preserve"> Pomoc Żywnościowa 2014-2020</w:t>
            </w:r>
            <w:r w:rsidR="0018772D">
              <w:rPr>
                <w:rFonts w:ascii="Times New Roman" w:hAnsi="Times New Roman"/>
                <w:color w:val="000000"/>
              </w:rPr>
              <w:t xml:space="preserve"> (</w:t>
            </w:r>
            <w:r w:rsidR="0018772D" w:rsidRPr="0018772D">
              <w:rPr>
                <w:rFonts w:ascii="Times New Roman" w:hAnsi="Times New Roman"/>
                <w:color w:val="000000"/>
              </w:rPr>
              <w:t>FEAD</w:t>
            </w:r>
            <w:r w:rsidR="0018772D">
              <w:rPr>
                <w:rFonts w:ascii="Times New Roman" w:hAnsi="Times New Roman"/>
                <w:color w:val="000000"/>
              </w:rPr>
              <w:t>)</w:t>
            </w:r>
            <w:r w:rsidR="0018772D" w:rsidRPr="0018772D">
              <w:rPr>
                <w:rFonts w:ascii="Times New Roman" w:hAnsi="Times New Roman"/>
                <w:color w:val="000000"/>
              </w:rPr>
              <w:t>)</w:t>
            </w:r>
            <w:r w:rsidR="0018772D">
              <w:rPr>
                <w:rFonts w:ascii="Times New Roman" w:hAnsi="Times New Roman"/>
                <w:color w:val="000000"/>
              </w:rPr>
              <w:t>.</w:t>
            </w:r>
            <w:r w:rsidR="0018772D" w:rsidRPr="0018772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A701A" w:rsidRPr="008B4FE6" w14:paraId="28FB4E7F" w14:textId="77777777" w:rsidTr="00A13AEF">
        <w:trPr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770445B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3FDD0371" w14:textId="77777777" w:rsidTr="00A13AEF">
        <w:trPr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4BFF264B" w14:textId="77777777" w:rsidR="006A701A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66CE204" w14:textId="77777777" w:rsidR="00A95CEB" w:rsidRDefault="00E33F2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Projektowana ustawa </w:t>
            </w:r>
            <w:r w:rsidR="00D2472B">
              <w:rPr>
                <w:rFonts w:ascii="Times New Roman" w:hAnsi="Times New Roman"/>
                <w:color w:val="000000"/>
                <w:spacing w:val="-2"/>
              </w:rPr>
              <w:t xml:space="preserve">w ramach </w:t>
            </w:r>
            <w:r w:rsidR="00D2472B" w:rsidRPr="00D2472B">
              <w:rPr>
                <w:rFonts w:ascii="Times New Roman" w:hAnsi="Times New Roman"/>
                <w:color w:val="000000"/>
                <w:spacing w:val="-2"/>
              </w:rPr>
              <w:t>wdrażania programów w zakresie polityki spójności w perspektywie finansowej 2021-</w:t>
            </w:r>
            <w:r w:rsidR="00D2472B">
              <w:rPr>
                <w:rFonts w:ascii="Times New Roman" w:hAnsi="Times New Roman"/>
                <w:color w:val="000000"/>
                <w:spacing w:val="-2"/>
              </w:rPr>
              <w:t xml:space="preserve">2027 </w:t>
            </w:r>
            <w:r>
              <w:rPr>
                <w:rFonts w:ascii="Times New Roman" w:hAnsi="Times New Roman"/>
                <w:color w:val="000000"/>
                <w:spacing w:val="-2"/>
              </w:rPr>
              <w:t>określa</w:t>
            </w:r>
            <w:r w:rsidR="002A641B" w:rsidRPr="002A641B">
              <w:rPr>
                <w:rFonts w:ascii="Times New Roman" w:hAnsi="Times New Roman"/>
                <w:color w:val="000000"/>
                <w:spacing w:val="-2"/>
              </w:rPr>
              <w:t xml:space="preserve"> przepisy szczegółowe zapewniające pewność prawną w zakresie, w jakim przepisy unijne są niewystarczające z punktu widzenia systemu prawa krajowego, m.in. w zakresie </w:t>
            </w:r>
            <w:r w:rsidR="002A641B">
              <w:rPr>
                <w:rFonts w:ascii="Times New Roman" w:hAnsi="Times New Roman"/>
                <w:color w:val="000000"/>
                <w:spacing w:val="-2"/>
              </w:rPr>
              <w:t xml:space="preserve">systemu instytucjonalnego, wyboru projektów, </w:t>
            </w:r>
            <w:r w:rsidR="002A641B" w:rsidRPr="002A641B">
              <w:rPr>
                <w:rFonts w:ascii="Times New Roman" w:hAnsi="Times New Roman"/>
                <w:color w:val="000000"/>
                <w:spacing w:val="-2"/>
              </w:rPr>
              <w:t>definiowania nieprawidłowośc</w:t>
            </w:r>
            <w:r w:rsidR="002A641B">
              <w:rPr>
                <w:rFonts w:ascii="Times New Roman" w:hAnsi="Times New Roman"/>
                <w:color w:val="000000"/>
                <w:spacing w:val="-2"/>
              </w:rPr>
              <w:t>i, systemu korekt, przepływów i rozliczeń finansowych  oraz kontroli.</w:t>
            </w:r>
            <w:r w:rsidR="002A641B" w:rsidRPr="002A641B">
              <w:rPr>
                <w:rFonts w:ascii="Times New Roman" w:hAnsi="Times New Roman"/>
                <w:color w:val="000000"/>
                <w:spacing w:val="-2"/>
              </w:rPr>
              <w:t xml:space="preserve"> Ustawa przewiduje także zmiany </w:t>
            </w:r>
            <w:r w:rsidR="002A641B">
              <w:rPr>
                <w:rFonts w:ascii="Times New Roman" w:hAnsi="Times New Roman"/>
                <w:color w:val="000000"/>
                <w:spacing w:val="-2"/>
              </w:rPr>
              <w:t xml:space="preserve">w szeregu innych ustaw, w tym </w:t>
            </w:r>
            <w:r w:rsidR="002A641B" w:rsidRPr="002A641B">
              <w:rPr>
                <w:rFonts w:ascii="Times New Roman" w:hAnsi="Times New Roman"/>
                <w:color w:val="000000"/>
                <w:spacing w:val="-2"/>
              </w:rPr>
              <w:t>ustawy o finansach publicznych</w:t>
            </w:r>
            <w:r w:rsidR="004904F4">
              <w:rPr>
                <w:rFonts w:ascii="Times New Roman" w:hAnsi="Times New Roman"/>
                <w:color w:val="000000"/>
                <w:spacing w:val="-2"/>
              </w:rPr>
              <w:t xml:space="preserve"> oraz ustawy o zasadach prowadzenia polityki rozwoju</w:t>
            </w:r>
            <w:r w:rsidR="002A641B" w:rsidRPr="002A641B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A2773F7" w14:textId="77777777" w:rsidR="006A701A" w:rsidRDefault="002A641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Oczekiwanym efektem </w:t>
            </w:r>
            <w:r w:rsidR="00050E03">
              <w:rPr>
                <w:rFonts w:ascii="Times New Roman" w:hAnsi="Times New Roman"/>
                <w:color w:val="000000"/>
                <w:spacing w:val="-2"/>
              </w:rPr>
              <w:t xml:space="preserve">ustawy </w:t>
            </w:r>
            <w:r w:rsidR="00D2472B">
              <w:rPr>
                <w:rFonts w:ascii="Times New Roman" w:hAnsi="Times New Roman"/>
                <w:color w:val="000000"/>
                <w:spacing w:val="-2"/>
              </w:rPr>
              <w:t>w ramach wdrażania programów</w:t>
            </w:r>
            <w:r w:rsidR="00050E03">
              <w:rPr>
                <w:rFonts w:ascii="Times New Roman" w:hAnsi="Times New Roman"/>
                <w:color w:val="000000"/>
                <w:spacing w:val="-2"/>
              </w:rPr>
              <w:t xml:space="preserve"> będzie stworzenie ram prawnym umożliwiających terminowe i zgodne z prawem unijnym oraz krajowym wydatkowanie i rozliczenie całości przyznanej Polsce alokacj</w:t>
            </w:r>
            <w:r w:rsidR="003218B2">
              <w:rPr>
                <w:rFonts w:ascii="Times New Roman" w:hAnsi="Times New Roman"/>
                <w:color w:val="000000"/>
                <w:spacing w:val="-2"/>
              </w:rPr>
              <w:t>i środków unijnych na lata 2021</w:t>
            </w:r>
            <w:r w:rsidR="00050E03">
              <w:rPr>
                <w:rFonts w:ascii="Times New Roman" w:hAnsi="Times New Roman"/>
                <w:color w:val="000000"/>
                <w:spacing w:val="-2"/>
              </w:rPr>
              <w:t xml:space="preserve">-2027, wynoszącej </w:t>
            </w:r>
            <w:r w:rsidR="002D457A">
              <w:rPr>
                <w:rFonts w:ascii="Times New Roman" w:hAnsi="Times New Roman"/>
                <w:color w:val="000000"/>
                <w:spacing w:val="-2"/>
              </w:rPr>
              <w:t>blisko 76</w:t>
            </w:r>
            <w:r w:rsidR="00050E03">
              <w:rPr>
                <w:rFonts w:ascii="Times New Roman" w:hAnsi="Times New Roman"/>
                <w:color w:val="000000"/>
                <w:spacing w:val="-2"/>
              </w:rPr>
              <w:t xml:space="preserve"> mld euro</w:t>
            </w:r>
            <w:r w:rsidR="00A95CEB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E33F2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698B3A2" w14:textId="77777777" w:rsidR="00E33F2C" w:rsidRPr="00E33F2C" w:rsidRDefault="00D2472B" w:rsidP="00E33F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 kolei, c</w:t>
            </w:r>
            <w:r w:rsidR="00E33F2C" w:rsidRPr="00E33F2C">
              <w:rPr>
                <w:rFonts w:ascii="Times New Roman" w:hAnsi="Times New Roman"/>
                <w:color w:val="000000"/>
                <w:spacing w:val="-2"/>
              </w:rPr>
              <w:t>elem działań zdefiniowanych w ramach KPO jest sprostanie wyzwaniom związanym z pandemią COVID-19 i dążenie do przezwyciężenia zdrowotnych, gospodarczych i społecznych następstw tej pandemii, łagodzenie skutków wpływu COVID-19 na gospodarkę, a w dłuższej perspektywie czasowej wsparcie procesu transformacji oraz zwiększenia spójności społecznej i terytorialnej kraju.</w:t>
            </w:r>
          </w:p>
          <w:p w14:paraId="2B300CB8" w14:textId="77777777" w:rsidR="00E33F2C" w:rsidRPr="00E33F2C" w:rsidRDefault="00E33F2C" w:rsidP="00E33F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33F2C">
              <w:rPr>
                <w:rFonts w:ascii="Times New Roman" w:hAnsi="Times New Roman"/>
                <w:color w:val="000000"/>
                <w:spacing w:val="-2"/>
              </w:rPr>
              <w:t>W kontekście utrzymujących się dysproporcji w poziomie rozwoju społeczno-gospodarczego poszczególnych regionów Polski oraz nasilenia niekorzystnych zjawisk w wyniku pandemii COVID-19, istotnym wyzwaniem o charakterze horyzontalnym jest przeciwdziałanie nierównościom społecznym i przestrzennej koncentracji problemów rozwojowych.</w:t>
            </w:r>
          </w:p>
          <w:p w14:paraId="6D64B187" w14:textId="77777777" w:rsidR="00D2472B" w:rsidRPr="00D2472B" w:rsidRDefault="00E33F2C" w:rsidP="00D247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33F2C">
              <w:rPr>
                <w:rFonts w:ascii="Times New Roman" w:hAnsi="Times New Roman"/>
                <w:color w:val="000000"/>
                <w:spacing w:val="-2"/>
              </w:rPr>
              <w:lastRenderedPageBreak/>
              <w:t>Realizacja reform i inwestycji zdefiniowanych w KPO służy promowaniu spójności gospodarczej, społecznej i terytorialnej poprzez zwiększenie odporności, gotowości do szybkiej i adekwatnej reakcji w sytuacji kryzysowej, zdolności dostosowawczych i potencjału wzrostu gospodarczego, łagodzeniu społecznych i gospodarczych skutków kryzysu, w szczególności dla kobiet, wspieraniu zielonej transformacji, przyczynianiu się do realizacji unijnych celów w zakresie klimatu oraz transformacji cyfrowej.</w:t>
            </w:r>
            <w:r w:rsidR="00D2472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2472B" w:rsidRPr="00D2472B">
              <w:rPr>
                <w:rFonts w:ascii="Times New Roman" w:hAnsi="Times New Roman"/>
                <w:color w:val="000000"/>
                <w:spacing w:val="-2"/>
              </w:rPr>
              <w:t>Interwencje te uzupełniają i rozszerzają podejmowane dotychczas przez polski rząd działania doraźne i antyrecesyjne na rze</w:t>
            </w:r>
            <w:r w:rsidR="00D2472B">
              <w:rPr>
                <w:rFonts w:ascii="Times New Roman" w:hAnsi="Times New Roman"/>
                <w:color w:val="000000"/>
                <w:spacing w:val="-2"/>
              </w:rPr>
              <w:t xml:space="preserve">cz sektorów i przedsiębiorców. </w:t>
            </w:r>
            <w:r w:rsidR="00D2472B" w:rsidRPr="00D2472B">
              <w:rPr>
                <w:rFonts w:ascii="Times New Roman" w:hAnsi="Times New Roman"/>
                <w:color w:val="000000"/>
                <w:spacing w:val="-2"/>
              </w:rPr>
              <w:t>Polska może skorzystać w sumie z 58,1 mld euro pochodzących z RRF. W wymiarze finansowym w pierwszym rz</w:t>
            </w:r>
            <w:r w:rsidR="00C55273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="00D2472B" w:rsidRPr="00D2472B">
              <w:rPr>
                <w:rFonts w:ascii="Times New Roman" w:hAnsi="Times New Roman"/>
                <w:color w:val="000000"/>
                <w:spacing w:val="-2"/>
              </w:rPr>
              <w:t>dzie zaplanowano wykorzystanie części środków finansowych przekazywanych jako środki bezzwrotne (czyli 23,85 mld euro). Niemniej jednak zakres wskazanych w ramach KPO reform pokazuje, że ich realizacja wymaga dodatkowego wsparcia (z wykorzystaniem środków zwrotnych – do 34,2 mld euro) dla zwiększenia szybkości odbudowy oraz wzmocnienia konkurencyjności polskiej gospodarki.</w:t>
            </w:r>
          </w:p>
          <w:p w14:paraId="4AFB7B35" w14:textId="77777777" w:rsidR="006A701A" w:rsidRPr="00B37C80" w:rsidRDefault="00D2472B" w:rsidP="00D247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472B">
              <w:rPr>
                <w:rFonts w:ascii="Times New Roman" w:hAnsi="Times New Roman"/>
                <w:color w:val="000000"/>
                <w:spacing w:val="-2"/>
              </w:rPr>
              <w:t>W konsekwencji zrealizowanych reform i inwestycji i innego wsparcia udzielonego tym obszarom, odczuwalnej poprawie ulegną warunki codziennego życia, jak również prowadzenia działalności gospodarczej. Perspektywa niezbędnych i korzystnych przemian, jakie zostaną wprowadzone dzięki realizacji KPO, oznacza włączenie w procesy rozwojowe – tj. budowanie nowoczesnej, konkurencyjnej, odpornej i zielonej gospodarki – wszystkich grup społeczn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ych oraz wszystkich terytoriów. </w:t>
            </w:r>
            <w:r w:rsidRPr="00D2472B">
              <w:rPr>
                <w:rFonts w:ascii="Times New Roman" w:hAnsi="Times New Roman"/>
                <w:color w:val="000000"/>
                <w:spacing w:val="-2"/>
              </w:rPr>
              <w:t xml:space="preserve">Oczekiwanym efektem wdrożenia </w:t>
            </w:r>
            <w:r>
              <w:rPr>
                <w:rFonts w:ascii="Times New Roman" w:hAnsi="Times New Roman"/>
                <w:color w:val="000000"/>
                <w:spacing w:val="-2"/>
              </w:rPr>
              <w:t>KPO</w:t>
            </w:r>
            <w:r w:rsidRPr="00D2472B">
              <w:rPr>
                <w:rFonts w:ascii="Times New Roman" w:hAnsi="Times New Roman"/>
                <w:color w:val="000000"/>
                <w:spacing w:val="-2"/>
              </w:rPr>
              <w:t xml:space="preserve"> jest stworzenie regulacji prawnych umożliwiających efektywne i zgodne z przepisami unijnymi oraz wymogami ustanowionymi na gruncie krajowym wydatkowanie i rozliczenie całości przyznanej Polsce alokacji środków RRF oraz osiągnięcie celów strategicznych KPO</w:t>
            </w:r>
            <w:r w:rsidR="005922E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CB28123" w14:textId="77777777" w:rsidR="001F274F" w:rsidRPr="00B37C80" w:rsidRDefault="001F274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zakresie związanym z wdrażaniem Polityki Spójności nie wprowadza się istotnych zmian w porównaniu z rozwiązaniami przyjętymi w perspektywie 2014-2020. Projektodawca </w:t>
            </w:r>
            <w:r w:rsidR="003A2782">
              <w:rPr>
                <w:rFonts w:ascii="Times New Roman" w:hAnsi="Times New Roman"/>
                <w:color w:val="000000"/>
                <w:spacing w:val="-2"/>
              </w:rPr>
              <w:t xml:space="preserve">co do zasady </w:t>
            </w:r>
            <w:r>
              <w:rPr>
                <w:rFonts w:ascii="Times New Roman" w:hAnsi="Times New Roman"/>
                <w:color w:val="000000"/>
                <w:spacing w:val="-2"/>
              </w:rPr>
              <w:t>korzysta ze sprawdzonych praktyk stosowanych w poprzedniej perspektywie finansowej</w:t>
            </w:r>
            <w:r w:rsidR="003A278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710F03C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6B38B8FA" w14:textId="77777777" w:rsidTr="00A13AEF">
        <w:trPr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1CD9D122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DC50E62" w14:textId="77777777" w:rsidTr="00A13AEF">
        <w:trPr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7A1D2E6D" w14:textId="77777777" w:rsidR="006A701A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C8B031C" w14:textId="77777777" w:rsidR="006A701A" w:rsidRDefault="00C53447" w:rsidP="00C5344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C53447">
              <w:rPr>
                <w:rFonts w:ascii="Times New Roman" w:hAnsi="Times New Roman"/>
                <w:color w:val="000000"/>
                <w:spacing w:val="-2"/>
              </w:rPr>
              <w:t>M</w:t>
            </w:r>
            <w:r>
              <w:rPr>
                <w:rFonts w:ascii="Times New Roman" w:hAnsi="Times New Roman"/>
                <w:color w:val="000000"/>
                <w:spacing w:val="-2"/>
              </w:rPr>
              <w:t>FiPR</w:t>
            </w:r>
            <w:proofErr w:type="spellEnd"/>
            <w:r w:rsidRPr="00C53447">
              <w:rPr>
                <w:rFonts w:ascii="Times New Roman" w:hAnsi="Times New Roman"/>
                <w:color w:val="000000"/>
                <w:spacing w:val="-2"/>
              </w:rPr>
              <w:t xml:space="preserve"> nie posiada informacji na temat szczegółowych rozwiązań w </w:t>
            </w:r>
            <w:r>
              <w:rPr>
                <w:rFonts w:ascii="Times New Roman" w:hAnsi="Times New Roman"/>
                <w:color w:val="000000"/>
                <w:spacing w:val="-2"/>
              </w:rPr>
              <w:t>zakresie systemu</w:t>
            </w:r>
            <w:r w:rsidRPr="00C534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wdrażania i </w:t>
            </w:r>
            <w:r w:rsidRPr="00C53447">
              <w:rPr>
                <w:rFonts w:ascii="Times New Roman" w:hAnsi="Times New Roman"/>
                <w:color w:val="000000"/>
                <w:spacing w:val="-2"/>
              </w:rPr>
              <w:t xml:space="preserve">finansowania projektów w ramach programów operacyjnych </w:t>
            </w:r>
            <w:r w:rsidR="00575C76">
              <w:rPr>
                <w:rFonts w:ascii="Times New Roman" w:hAnsi="Times New Roman"/>
                <w:color w:val="000000"/>
                <w:spacing w:val="-2"/>
              </w:rPr>
              <w:t>oraz</w:t>
            </w:r>
            <w:r w:rsidR="00575C76" w:rsidRPr="00575C76">
              <w:rPr>
                <w:rFonts w:ascii="Times New Roman" w:hAnsi="Times New Roman"/>
                <w:color w:val="000000"/>
                <w:spacing w:val="-2"/>
              </w:rPr>
              <w:t xml:space="preserve"> finansowania pro</w:t>
            </w:r>
            <w:r w:rsidR="00451871">
              <w:rPr>
                <w:rFonts w:ascii="Times New Roman" w:hAnsi="Times New Roman"/>
                <w:color w:val="000000"/>
                <w:spacing w:val="-2"/>
              </w:rPr>
              <w:t>jektów wspieranych ze środków RR</w:t>
            </w:r>
            <w:r w:rsidR="00575C76" w:rsidRPr="00575C76">
              <w:rPr>
                <w:rFonts w:ascii="Times New Roman" w:hAnsi="Times New Roman"/>
                <w:color w:val="000000"/>
                <w:spacing w:val="-2"/>
              </w:rPr>
              <w:t>F</w:t>
            </w:r>
            <w:r w:rsidR="0045187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53447">
              <w:rPr>
                <w:rFonts w:ascii="Times New Roman" w:hAnsi="Times New Roman"/>
                <w:color w:val="000000"/>
                <w:spacing w:val="-2"/>
              </w:rPr>
              <w:t xml:space="preserve">wdrażanych w innych krajach UE. </w:t>
            </w:r>
            <w:r>
              <w:rPr>
                <w:rFonts w:ascii="Times New Roman" w:hAnsi="Times New Roman"/>
                <w:color w:val="000000"/>
                <w:spacing w:val="-2"/>
              </w:rPr>
              <w:t>Istotne różnice</w:t>
            </w:r>
            <w:r w:rsidRPr="00C53447">
              <w:rPr>
                <w:rFonts w:ascii="Times New Roman" w:hAnsi="Times New Roman"/>
                <w:color w:val="000000"/>
                <w:spacing w:val="-2"/>
              </w:rPr>
              <w:t xml:space="preserve"> pomiędzy krajami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 zakresie preferowanych kierunków wsparcia oraz </w:t>
            </w:r>
            <w:r w:rsidRPr="00C53447">
              <w:rPr>
                <w:rFonts w:ascii="Times New Roman" w:hAnsi="Times New Roman"/>
                <w:color w:val="000000"/>
                <w:spacing w:val="-2"/>
              </w:rPr>
              <w:t>różnice w funkcjonujących mechanizmach prawnych czy w systemowych rozwiązaniach w zakresie przekazywania i rozliczania środków unijnych w ramach systemu finansów publicznych sprawiają, iż przydatność ewentualnych doświadczeń innych krajów w obszarze objętym przedmiotową regulacją byłaby bardzo ograniczona.</w:t>
            </w:r>
          </w:p>
          <w:p w14:paraId="0C03183A" w14:textId="77777777" w:rsidR="00C53447" w:rsidRPr="00B37C80" w:rsidRDefault="00C53447" w:rsidP="00C5344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2A232589" w14:textId="77777777" w:rsidTr="00A13AEF">
        <w:trPr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3BC5B0F9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3EBE5155" w14:textId="77777777" w:rsidTr="00272DF9">
        <w:trPr>
          <w:trHeight w:val="142"/>
        </w:trPr>
        <w:tc>
          <w:tcPr>
            <w:tcW w:w="2974" w:type="dxa"/>
            <w:gridSpan w:val="3"/>
            <w:shd w:val="clear" w:color="auto" w:fill="auto"/>
          </w:tcPr>
          <w:p w14:paraId="2163D3E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0DC45A26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  <w:r w:rsidR="00FA3B9F">
              <w:rPr>
                <w:rFonts w:ascii="Times New Roman" w:hAnsi="Times New Roman"/>
                <w:color w:val="000000"/>
                <w:spacing w:val="-2"/>
              </w:rPr>
              <w:t xml:space="preserve"> (szacowana liczba beneficjentów)</w:t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40C31D80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832" w:type="dxa"/>
            <w:gridSpan w:val="12"/>
            <w:shd w:val="clear" w:color="auto" w:fill="auto"/>
          </w:tcPr>
          <w:p w14:paraId="184F8C19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401395" w:rsidRPr="008B4FE6" w14:paraId="60383ECC" w14:textId="77777777" w:rsidTr="00272DF9">
        <w:trPr>
          <w:trHeight w:val="142"/>
        </w:trPr>
        <w:tc>
          <w:tcPr>
            <w:tcW w:w="2974" w:type="dxa"/>
            <w:gridSpan w:val="3"/>
            <w:shd w:val="clear" w:color="auto" w:fill="auto"/>
          </w:tcPr>
          <w:p w14:paraId="2642F0D7" w14:textId="77777777" w:rsidR="00401395" w:rsidRPr="00401395" w:rsidRDefault="00401395" w:rsidP="00914D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jednostki sektora finansów publicznych (w tym jednostki samorządu terytorialnego lub samorządowe osoby prawne)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711E1C1A" w14:textId="77777777" w:rsidR="00401395" w:rsidRPr="00401395" w:rsidRDefault="00401395" w:rsidP="00914D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ok. 6 tys.</w:t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2B2913E6" w14:textId="77777777" w:rsidR="00401395" w:rsidRPr="00401395" w:rsidRDefault="00401395" w:rsidP="00914D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Szacunki własne oparte o dane zarejestrowane w centralnym systemie teleinformatycznym SL2014</w:t>
            </w:r>
          </w:p>
        </w:tc>
        <w:tc>
          <w:tcPr>
            <w:tcW w:w="3832" w:type="dxa"/>
            <w:gridSpan w:val="12"/>
            <w:shd w:val="clear" w:color="auto" w:fill="auto"/>
          </w:tcPr>
          <w:p w14:paraId="61ED1B2C" w14:textId="77777777" w:rsidR="00401395" w:rsidRPr="00401395" w:rsidRDefault="00401395" w:rsidP="00914D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podmioty z tej grupy zrealizują projekty na łączną kwotę dofinansowania UE wynosząca ok. 260 mld zł</w:t>
            </w:r>
          </w:p>
        </w:tc>
      </w:tr>
      <w:tr w:rsidR="00401395" w:rsidRPr="008B4FE6" w14:paraId="40ABDDDF" w14:textId="77777777" w:rsidTr="00272DF9">
        <w:trPr>
          <w:trHeight w:val="142"/>
        </w:trPr>
        <w:tc>
          <w:tcPr>
            <w:tcW w:w="2974" w:type="dxa"/>
            <w:gridSpan w:val="3"/>
            <w:shd w:val="clear" w:color="auto" w:fill="auto"/>
          </w:tcPr>
          <w:p w14:paraId="68CE13D0" w14:textId="77777777" w:rsidR="00401395" w:rsidRPr="00401395" w:rsidRDefault="00401395" w:rsidP="00914D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przedsiębiorcy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44DB0E7E" w14:textId="77777777" w:rsidR="00401395" w:rsidRPr="00401395" w:rsidRDefault="00401395" w:rsidP="00914D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ok. 30 tys.</w:t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22C7E240" w14:textId="77777777" w:rsidR="00401395" w:rsidRPr="00401395" w:rsidRDefault="00401395" w:rsidP="00914D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jw.</w:t>
            </w:r>
          </w:p>
        </w:tc>
        <w:tc>
          <w:tcPr>
            <w:tcW w:w="3832" w:type="dxa"/>
            <w:gridSpan w:val="12"/>
            <w:shd w:val="clear" w:color="auto" w:fill="auto"/>
          </w:tcPr>
          <w:p w14:paraId="693F68FF" w14:textId="77777777" w:rsidR="00401395" w:rsidRPr="00401395" w:rsidRDefault="00401395" w:rsidP="00914D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podmioty z tej grupy zrealizują projekty na łączną kwotę dofinansowania UE wynosząca ok. 140 mld zł</w:t>
            </w:r>
          </w:p>
        </w:tc>
      </w:tr>
      <w:tr w:rsidR="00401395" w:rsidRPr="008B4FE6" w14:paraId="691BC749" w14:textId="77777777" w:rsidTr="00272DF9">
        <w:trPr>
          <w:trHeight w:val="142"/>
        </w:trPr>
        <w:tc>
          <w:tcPr>
            <w:tcW w:w="2974" w:type="dxa"/>
            <w:gridSpan w:val="3"/>
            <w:shd w:val="clear" w:color="auto" w:fill="auto"/>
          </w:tcPr>
          <w:p w14:paraId="1C6B88AF" w14:textId="77777777" w:rsidR="00401395" w:rsidRPr="00401395" w:rsidRDefault="00401395" w:rsidP="00914D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organizacje pozarządowe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64675ECA" w14:textId="77777777" w:rsidR="00401395" w:rsidRPr="00401395" w:rsidRDefault="00401395" w:rsidP="00914D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2,5 -3 tys.</w:t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6CAC5494" w14:textId="77777777" w:rsidR="00401395" w:rsidRPr="00401395" w:rsidRDefault="00401395" w:rsidP="00914D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jw.</w:t>
            </w:r>
          </w:p>
        </w:tc>
        <w:tc>
          <w:tcPr>
            <w:tcW w:w="3832" w:type="dxa"/>
            <w:gridSpan w:val="12"/>
            <w:shd w:val="clear" w:color="auto" w:fill="auto"/>
          </w:tcPr>
          <w:p w14:paraId="2A35B2DE" w14:textId="77777777" w:rsidR="00401395" w:rsidRPr="00401395" w:rsidRDefault="00401395" w:rsidP="00914D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podmioty z tej grupy zrealizują projekty na łączną kwotę dofinansowania UE wynosząca ok. 20 mld zł</w:t>
            </w:r>
          </w:p>
        </w:tc>
      </w:tr>
      <w:tr w:rsidR="00401395" w:rsidRPr="008B4FE6" w14:paraId="0EE239D7" w14:textId="77777777" w:rsidTr="00272DF9">
        <w:trPr>
          <w:trHeight w:val="142"/>
        </w:trPr>
        <w:tc>
          <w:tcPr>
            <w:tcW w:w="2974" w:type="dxa"/>
            <w:gridSpan w:val="3"/>
            <w:shd w:val="clear" w:color="auto" w:fill="auto"/>
          </w:tcPr>
          <w:p w14:paraId="69B93726" w14:textId="77777777" w:rsidR="00401395" w:rsidRPr="00401395" w:rsidRDefault="00401395" w:rsidP="00914D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gospodarstwa domowe, spółdzielnie i wspólnoty mieszkaniowe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0185A1C6" w14:textId="77777777" w:rsidR="00401395" w:rsidRPr="00401395" w:rsidRDefault="00401395" w:rsidP="00914D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ok. 1 mln</w:t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7E9BCACB" w14:textId="77777777" w:rsidR="00401395" w:rsidRPr="00401395" w:rsidRDefault="00401395" w:rsidP="00914D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jw.</w:t>
            </w:r>
          </w:p>
        </w:tc>
        <w:tc>
          <w:tcPr>
            <w:tcW w:w="3832" w:type="dxa"/>
            <w:gridSpan w:val="12"/>
            <w:shd w:val="clear" w:color="auto" w:fill="auto"/>
          </w:tcPr>
          <w:p w14:paraId="39BFD1D9" w14:textId="77777777" w:rsidR="00401395" w:rsidRPr="00401395" w:rsidRDefault="00401395" w:rsidP="00914D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podmioty z tej grupy zrealizują projekty na łączną kwotę dofinansowania UE wynosząca ok. 15 mld zł</w:t>
            </w:r>
          </w:p>
        </w:tc>
      </w:tr>
      <w:tr w:rsidR="00DE45E4" w:rsidRPr="008B4FE6" w14:paraId="157E104D" w14:textId="77777777" w:rsidTr="00EB21A7">
        <w:trPr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17D1B5F0" w14:textId="77777777" w:rsidR="00294D99" w:rsidRPr="00294D99" w:rsidRDefault="00294D99" w:rsidP="00451871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4D99">
              <w:rPr>
                <w:rFonts w:ascii="Times New Roman" w:hAnsi="Times New Roman"/>
                <w:color w:val="000000"/>
                <w:spacing w:val="-2"/>
              </w:rPr>
              <w:t>Niezależnie od podmiotów b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ędących </w:t>
            </w:r>
            <w:r w:rsidRPr="00294D99">
              <w:rPr>
                <w:rFonts w:ascii="Times New Roman" w:hAnsi="Times New Roman"/>
                <w:color w:val="000000"/>
                <w:spacing w:val="-2"/>
              </w:rPr>
              <w:t xml:space="preserve">odbiorcami wsparcia unijnego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projekt oddziałuje na </w:t>
            </w:r>
            <w:r w:rsidRPr="00294D99">
              <w:rPr>
                <w:rFonts w:ascii="Times New Roman" w:hAnsi="Times New Roman"/>
                <w:color w:val="000000"/>
                <w:spacing w:val="-2"/>
              </w:rPr>
              <w:t xml:space="preserve">podmioty zaangażowane </w:t>
            </w:r>
          </w:p>
          <w:p w14:paraId="633D80F1" w14:textId="77777777" w:rsidR="00DE45E4" w:rsidRDefault="00294D99" w:rsidP="00451871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4D99">
              <w:rPr>
                <w:rFonts w:ascii="Times New Roman" w:hAnsi="Times New Roman"/>
                <w:color w:val="000000"/>
                <w:spacing w:val="-2"/>
              </w:rPr>
              <w:t>w zarządzanie środkami unijnymi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D949C1">
              <w:rPr>
                <w:rFonts w:ascii="Times New Roman" w:hAnsi="Times New Roman"/>
                <w:color w:val="000000"/>
                <w:spacing w:val="-2"/>
              </w:rPr>
              <w:t>Takich podmiotów będzie 110-120, a ich finalna liczba będzie znan</w:t>
            </w:r>
            <w:r w:rsidR="005207ED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D949C1">
              <w:rPr>
                <w:rFonts w:ascii="Times New Roman" w:hAnsi="Times New Roman"/>
                <w:color w:val="000000"/>
                <w:spacing w:val="-2"/>
              </w:rPr>
              <w:t xml:space="preserve"> po ostatecznym ukształtowaniu się sytemu instytucjonalnego poszczególnych programów. </w:t>
            </w:r>
            <w:r w:rsidR="00D87FC2">
              <w:rPr>
                <w:rFonts w:ascii="Times New Roman" w:hAnsi="Times New Roman"/>
                <w:color w:val="000000"/>
                <w:spacing w:val="-2"/>
              </w:rPr>
              <w:t>Będą</w:t>
            </w:r>
            <w:r w:rsidR="005207ED">
              <w:rPr>
                <w:rFonts w:ascii="Times New Roman" w:hAnsi="Times New Roman"/>
                <w:color w:val="000000"/>
                <w:spacing w:val="-2"/>
              </w:rPr>
              <w:t xml:space="preserve"> to </w:t>
            </w:r>
            <w:r w:rsidR="00D87F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62520">
              <w:rPr>
                <w:rFonts w:ascii="Times New Roman" w:hAnsi="Times New Roman"/>
                <w:color w:val="000000"/>
                <w:spacing w:val="-2"/>
              </w:rPr>
              <w:t xml:space="preserve">m.in. </w:t>
            </w:r>
            <w:r w:rsidR="00B62520" w:rsidRPr="00B62520">
              <w:rPr>
                <w:rFonts w:ascii="Times New Roman" w:hAnsi="Times New Roman"/>
                <w:color w:val="000000"/>
                <w:spacing w:val="-2"/>
              </w:rPr>
              <w:t>państwowe jednostki budżetowe (ministerstwa, urzędy</w:t>
            </w:r>
            <w:r w:rsidR="00B6252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62520" w:rsidRPr="00B62520">
              <w:rPr>
                <w:rFonts w:ascii="Times New Roman" w:hAnsi="Times New Roman"/>
                <w:color w:val="000000"/>
                <w:spacing w:val="-2"/>
              </w:rPr>
              <w:t>wojewódzkie, RDOŚ, I</w:t>
            </w:r>
            <w:r w:rsidR="003A2782">
              <w:rPr>
                <w:rFonts w:ascii="Times New Roman" w:hAnsi="Times New Roman"/>
                <w:color w:val="000000"/>
                <w:spacing w:val="-2"/>
              </w:rPr>
              <w:t xml:space="preserve">zby </w:t>
            </w:r>
            <w:r w:rsidR="00B62520" w:rsidRPr="00B6252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3A2782">
              <w:rPr>
                <w:rFonts w:ascii="Times New Roman" w:hAnsi="Times New Roman"/>
                <w:color w:val="000000"/>
                <w:spacing w:val="-2"/>
              </w:rPr>
              <w:t xml:space="preserve">dministracji </w:t>
            </w:r>
            <w:r w:rsidR="00B62520" w:rsidRPr="00B62520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="003A2782">
              <w:rPr>
                <w:rFonts w:ascii="Times New Roman" w:hAnsi="Times New Roman"/>
                <w:color w:val="000000"/>
                <w:spacing w:val="-2"/>
              </w:rPr>
              <w:t>karbowej</w:t>
            </w:r>
            <w:r w:rsidR="00B62520" w:rsidRPr="00B62520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B62520">
              <w:rPr>
                <w:rFonts w:ascii="Times New Roman" w:hAnsi="Times New Roman"/>
                <w:color w:val="000000"/>
                <w:spacing w:val="-2"/>
              </w:rPr>
              <w:t xml:space="preserve">, agencje wykonawcze, </w:t>
            </w:r>
            <w:r w:rsidR="00B62520" w:rsidRPr="00B62520">
              <w:rPr>
                <w:rFonts w:ascii="Times New Roman" w:hAnsi="Times New Roman"/>
                <w:color w:val="000000"/>
                <w:spacing w:val="-2"/>
              </w:rPr>
              <w:t>samorządowe jednostki</w:t>
            </w:r>
            <w:r w:rsidR="00B6252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62520" w:rsidRPr="00B62520">
              <w:rPr>
                <w:rFonts w:ascii="Times New Roman" w:hAnsi="Times New Roman"/>
                <w:color w:val="000000"/>
                <w:spacing w:val="-2"/>
              </w:rPr>
              <w:t>budżetow</w:t>
            </w:r>
            <w:r w:rsidR="00B62520">
              <w:rPr>
                <w:rFonts w:ascii="Times New Roman" w:hAnsi="Times New Roman"/>
                <w:color w:val="000000"/>
                <w:spacing w:val="-2"/>
              </w:rPr>
              <w:t>e (urzędy marszałkowskie, wojewódzkie urzędu pracy)</w:t>
            </w:r>
            <w:r w:rsidR="00D56FDF">
              <w:rPr>
                <w:rFonts w:ascii="Times New Roman" w:hAnsi="Times New Roman"/>
                <w:color w:val="000000"/>
                <w:spacing w:val="-2"/>
              </w:rPr>
              <w:t xml:space="preserve">. Zadania realizowane przez wspomniane podmioty będą </w:t>
            </w:r>
            <w:r w:rsidR="00AA1EF1">
              <w:rPr>
                <w:rFonts w:ascii="Times New Roman" w:hAnsi="Times New Roman"/>
                <w:color w:val="000000"/>
                <w:spacing w:val="-2"/>
              </w:rPr>
              <w:t xml:space="preserve">analogiczne </w:t>
            </w:r>
            <w:r w:rsidR="00D56FDF">
              <w:rPr>
                <w:rFonts w:ascii="Times New Roman" w:hAnsi="Times New Roman"/>
                <w:color w:val="000000"/>
                <w:spacing w:val="-2"/>
              </w:rPr>
              <w:t>do tych realizowanych w perspektywie finansowej 2014-2020</w:t>
            </w:r>
            <w:r w:rsidR="00AA1EF1">
              <w:rPr>
                <w:rFonts w:ascii="Times New Roman" w:hAnsi="Times New Roman"/>
                <w:color w:val="000000"/>
                <w:spacing w:val="-2"/>
              </w:rPr>
              <w:t>. Opierając się  o doświadcze</w:t>
            </w:r>
            <w:r w:rsidR="00AA1EF1" w:rsidRPr="00AA1EF1">
              <w:rPr>
                <w:rFonts w:ascii="Times New Roman" w:hAnsi="Times New Roman"/>
                <w:color w:val="000000"/>
                <w:spacing w:val="-2"/>
              </w:rPr>
              <w:t xml:space="preserve">nia z wdrażania </w:t>
            </w:r>
            <w:r w:rsidR="00AA1EF1" w:rsidRPr="00AA1EF1">
              <w:rPr>
                <w:rFonts w:ascii="Times New Roman" w:hAnsi="Times New Roman"/>
                <w:color w:val="000000"/>
                <w:spacing w:val="-2"/>
              </w:rPr>
              <w:lastRenderedPageBreak/>
              <w:t>programó</w:t>
            </w:r>
            <w:r w:rsidR="00AA1EF1">
              <w:rPr>
                <w:rFonts w:ascii="Times New Roman" w:hAnsi="Times New Roman"/>
                <w:color w:val="000000"/>
                <w:spacing w:val="-2"/>
              </w:rPr>
              <w:t>w perspektywy 2014-2020 można założyć, że docelowy poziom zatrudnienia wyniesie 12-14 tys. etatów. Największa liczba pracowników będzie zaangażowana w proces weryfikacji</w:t>
            </w:r>
            <w:r w:rsidR="00AA1EF1" w:rsidRPr="00AA1EF1">
              <w:rPr>
                <w:rFonts w:ascii="Times New Roman" w:hAnsi="Times New Roman"/>
                <w:color w:val="000000"/>
                <w:spacing w:val="-2"/>
              </w:rPr>
              <w:t xml:space="preserve"> wydatków </w:t>
            </w:r>
            <w:r w:rsidR="00AA1EF1">
              <w:rPr>
                <w:rFonts w:ascii="Times New Roman" w:hAnsi="Times New Roman"/>
                <w:color w:val="000000"/>
                <w:spacing w:val="-2"/>
              </w:rPr>
              <w:t>wykazanych we  wnioskach</w:t>
            </w:r>
            <w:r w:rsidR="00AA1EF1" w:rsidRPr="00AA1EF1">
              <w:rPr>
                <w:rFonts w:ascii="Times New Roman" w:hAnsi="Times New Roman"/>
                <w:color w:val="000000"/>
                <w:spacing w:val="-2"/>
              </w:rPr>
              <w:t xml:space="preserve"> o płatność</w:t>
            </w:r>
            <w:r w:rsidR="00AA1EF1">
              <w:rPr>
                <w:rFonts w:ascii="Times New Roman" w:hAnsi="Times New Roman"/>
                <w:color w:val="000000"/>
                <w:spacing w:val="-2"/>
              </w:rPr>
              <w:t xml:space="preserve"> (15-20% pracowników) oraz w proces  naboru, oceny i wyboru</w:t>
            </w:r>
            <w:r w:rsidR="00AA1EF1" w:rsidRPr="00AA1EF1">
              <w:rPr>
                <w:rFonts w:ascii="Times New Roman" w:hAnsi="Times New Roman"/>
                <w:color w:val="000000"/>
                <w:spacing w:val="-2"/>
              </w:rPr>
              <w:t xml:space="preserve"> projektów</w:t>
            </w:r>
            <w:r w:rsidR="00AA1EF1">
              <w:rPr>
                <w:rFonts w:ascii="Times New Roman" w:hAnsi="Times New Roman"/>
                <w:color w:val="000000"/>
                <w:spacing w:val="-2"/>
              </w:rPr>
              <w:t xml:space="preserve"> (10-15% pracowników). W procesy obsługi projektów oraz proces kontroli zaangażowane będzie po ok. 10% zatrudnionych.</w:t>
            </w:r>
            <w:r w:rsidR="00D56FD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98885B3" w14:textId="77777777" w:rsidR="00527949" w:rsidRPr="00401395" w:rsidRDefault="00527949" w:rsidP="00F1763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Punktem wyj</w:t>
            </w:r>
            <w:r w:rsidR="002A2A80">
              <w:rPr>
                <w:rFonts w:ascii="Times New Roman" w:hAnsi="Times New Roman"/>
                <w:color w:val="000000"/>
                <w:spacing w:val="-2"/>
              </w:rPr>
              <w:t>ścia</w:t>
            </w:r>
            <w:r w:rsidR="00E504E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do zaprezentowanych kalkulacji  były dane dotycząc</w:t>
            </w:r>
            <w:r w:rsidR="009A7037">
              <w:rPr>
                <w:rFonts w:ascii="Times New Roman" w:hAnsi="Times New Roman"/>
                <w:color w:val="000000"/>
                <w:spacing w:val="-2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perspektywy 2014-2020</w:t>
            </w:r>
            <w:r w:rsidR="009A7037">
              <w:rPr>
                <w:rFonts w:ascii="Times New Roman" w:hAnsi="Times New Roman"/>
                <w:color w:val="000000"/>
                <w:spacing w:val="-2"/>
              </w:rPr>
              <w:t xml:space="preserve">, skorygowane o planowane modyfikacje </w:t>
            </w:r>
            <w:r w:rsidR="009D1625">
              <w:rPr>
                <w:rFonts w:ascii="Times New Roman" w:hAnsi="Times New Roman"/>
                <w:color w:val="000000"/>
                <w:spacing w:val="-2"/>
              </w:rPr>
              <w:t xml:space="preserve">alokacji oraz </w:t>
            </w:r>
            <w:r w:rsidR="009A7037">
              <w:rPr>
                <w:rFonts w:ascii="Times New Roman" w:hAnsi="Times New Roman"/>
                <w:color w:val="000000"/>
                <w:spacing w:val="-2"/>
              </w:rPr>
              <w:t>kierunków interwencji w perspektywie 2021-2027.</w:t>
            </w:r>
          </w:p>
        </w:tc>
      </w:tr>
      <w:tr w:rsidR="006A701A" w:rsidRPr="008B4FE6" w14:paraId="70798747" w14:textId="77777777" w:rsidTr="00A13AEF">
        <w:trPr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20441F82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1238B82C" w14:textId="77777777" w:rsidTr="00A13AEF">
        <w:trPr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0147B2D2" w14:textId="77777777" w:rsidR="00363309" w:rsidRDefault="0036330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B1C3EE0" w14:textId="77777777" w:rsidR="001C5F9E" w:rsidRPr="0093556A" w:rsidRDefault="005A1318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Projekt ustawy </w:t>
            </w:r>
            <w:r>
              <w:rPr>
                <w:rFonts w:ascii="Times New Roman" w:hAnsi="Times New Roman"/>
                <w:spacing w:val="-2"/>
                <w:lang w:val="x-none"/>
              </w:rPr>
              <w:t>zosta</w:t>
            </w:r>
            <w:r w:rsidR="00F33D0F">
              <w:rPr>
                <w:rFonts w:ascii="Times New Roman" w:hAnsi="Times New Roman"/>
                <w:spacing w:val="-2"/>
              </w:rPr>
              <w:t>ł</w:t>
            </w:r>
            <w:r>
              <w:rPr>
                <w:rFonts w:ascii="Times New Roman" w:hAnsi="Times New Roman"/>
                <w:spacing w:val="-2"/>
                <w:lang w:val="x-none"/>
              </w:rPr>
              <w:t xml:space="preserve"> udostępniony w Biuletynie Informacji Publicznej na stronie Rządowego Centrum Legislacji w zakładce „Rządowy Proces Legislacyjny” zgodnie z § 52 ust. 1 uchwały nr 190 uchwały Rady Ministrów z dnia 29 października 2013</w:t>
            </w:r>
            <w:r>
              <w:rPr>
                <w:rFonts w:ascii="Times New Roman" w:hAnsi="Times New Roman"/>
                <w:spacing w:val="-2"/>
              </w:rPr>
              <w:t> </w:t>
            </w:r>
            <w:r>
              <w:rPr>
                <w:rFonts w:ascii="Times New Roman" w:hAnsi="Times New Roman"/>
                <w:spacing w:val="-2"/>
                <w:lang w:val="x-none"/>
              </w:rPr>
              <w:t xml:space="preserve">r. – Regulamin pracy Rady Ministrów (M. P. z 2016 r. poz. 1006, z </w:t>
            </w:r>
            <w:proofErr w:type="spellStart"/>
            <w:r>
              <w:rPr>
                <w:rFonts w:ascii="Times New Roman" w:hAnsi="Times New Roman"/>
                <w:spacing w:val="-2"/>
                <w:lang w:val="x-none"/>
              </w:rPr>
              <w:t>późn</w:t>
            </w:r>
            <w:proofErr w:type="spellEnd"/>
            <w:r>
              <w:rPr>
                <w:rFonts w:ascii="Times New Roman" w:hAnsi="Times New Roman"/>
                <w:spacing w:val="-2"/>
                <w:lang w:val="x-none"/>
              </w:rPr>
              <w:t>. zm.</w:t>
            </w:r>
            <w:r>
              <w:rPr>
                <w:rFonts w:ascii="Times New Roman" w:hAnsi="Times New Roman"/>
                <w:spacing w:val="-2"/>
              </w:rPr>
              <w:t>, dalej jako „Regulamin pracy RM”</w:t>
            </w:r>
            <w:r>
              <w:rPr>
                <w:rFonts w:ascii="Times New Roman" w:hAnsi="Times New Roman"/>
                <w:spacing w:val="-2"/>
                <w:lang w:val="x-none"/>
              </w:rPr>
              <w:t>) oraz stosownie do wymogów art. 5 ustawy z</w:t>
            </w:r>
            <w:r>
              <w:rPr>
                <w:rFonts w:ascii="Times New Roman" w:hAnsi="Times New Roman"/>
                <w:spacing w:val="-2"/>
              </w:rPr>
              <w:t> </w:t>
            </w:r>
            <w:r>
              <w:rPr>
                <w:rFonts w:ascii="Times New Roman" w:hAnsi="Times New Roman"/>
                <w:spacing w:val="-2"/>
                <w:lang w:val="x-none"/>
              </w:rPr>
              <w:t>dnia 7 lipca 2005 r. o działalności lobbingowej w procesie stanowienia prawa (Dz. U. z 2017 r. poz. 248).</w:t>
            </w:r>
            <w:r>
              <w:rPr>
                <w:rFonts w:ascii="Times New Roman" w:hAnsi="Times New Roman"/>
                <w:spacing w:val="-2"/>
              </w:rPr>
              <w:t xml:space="preserve"> P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rojekt </w:t>
            </w:r>
            <w:r w:rsidR="00F33D0F">
              <w:rPr>
                <w:rFonts w:ascii="Times New Roman" w:hAnsi="Times New Roman"/>
                <w:color w:val="000000"/>
                <w:spacing w:val="-2"/>
              </w:rPr>
              <w:t xml:space="preserve">został </w:t>
            </w:r>
            <w:r>
              <w:rPr>
                <w:rFonts w:ascii="Times New Roman" w:hAnsi="Times New Roman"/>
                <w:color w:val="000000"/>
                <w:spacing w:val="-2"/>
              </w:rPr>
              <w:t>równolegle przedstawiony do zaopiniowania kluczowym interesariuszom, tj. m.in. Komisji Wspólnej Rządu i Samorządu Terytorialnego, Marszałkom Województw, jak również podmiotom takim jak Prezes Urzędu Ochrony Konkurencji i Konsumentów oraz Prezes Urzędu Ochrony Danych Osobowych.</w:t>
            </w:r>
            <w:r w:rsidR="00AD1F83">
              <w:rPr>
                <w:rFonts w:ascii="Times New Roman" w:hAnsi="Times New Roman"/>
                <w:color w:val="000000"/>
                <w:spacing w:val="-2"/>
              </w:rPr>
              <w:t xml:space="preserve"> Ponadto </w:t>
            </w:r>
            <w:r w:rsidR="00F33D0F">
              <w:rPr>
                <w:rFonts w:ascii="Times New Roman" w:hAnsi="Times New Roman"/>
                <w:color w:val="000000"/>
                <w:spacing w:val="-2"/>
              </w:rPr>
              <w:t xml:space="preserve">7 października </w:t>
            </w:r>
            <w:r w:rsidR="00F33D0F" w:rsidRPr="0093556A">
              <w:rPr>
                <w:rFonts w:ascii="Times New Roman" w:hAnsi="Times New Roman"/>
                <w:spacing w:val="-2"/>
              </w:rPr>
              <w:t>2021 r.</w:t>
            </w:r>
            <w:r w:rsidR="00F17632" w:rsidRPr="0093556A">
              <w:rPr>
                <w:rFonts w:ascii="Times New Roman" w:hAnsi="Times New Roman"/>
                <w:spacing w:val="-2"/>
              </w:rPr>
              <w:t xml:space="preserve"> odbyło się</w:t>
            </w:r>
            <w:r w:rsidR="00AD1F83" w:rsidRPr="0093556A">
              <w:rPr>
                <w:rFonts w:ascii="Times New Roman" w:hAnsi="Times New Roman"/>
                <w:spacing w:val="-2"/>
              </w:rPr>
              <w:t xml:space="preserve"> </w:t>
            </w:r>
            <w:r w:rsidR="00F33D0F" w:rsidRPr="0093556A">
              <w:rPr>
                <w:rFonts w:ascii="Times New Roman" w:hAnsi="Times New Roman"/>
                <w:spacing w:val="-2"/>
              </w:rPr>
              <w:t>wysłuchanie publiczne</w:t>
            </w:r>
            <w:r w:rsidR="00AD1F83" w:rsidRPr="0093556A">
              <w:rPr>
                <w:rFonts w:ascii="Times New Roman" w:hAnsi="Times New Roman"/>
                <w:spacing w:val="-2"/>
              </w:rPr>
              <w:t xml:space="preserve"> w sprawie p</w:t>
            </w:r>
            <w:r w:rsidR="00F17632" w:rsidRPr="0093556A">
              <w:rPr>
                <w:rFonts w:ascii="Times New Roman" w:hAnsi="Times New Roman"/>
                <w:spacing w:val="-2"/>
              </w:rPr>
              <w:t>rzedmiotowego projektu ustawy.</w:t>
            </w:r>
          </w:p>
          <w:p w14:paraId="69E692F2" w14:textId="35A4F4BD" w:rsidR="001C5F9E" w:rsidRPr="0093556A" w:rsidRDefault="001C5F9E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3556A">
              <w:rPr>
                <w:rFonts w:ascii="Times New Roman" w:hAnsi="Times New Roman"/>
                <w:spacing w:val="-2"/>
              </w:rPr>
              <w:t>W trakcie procesu legislacyjnego żaden z podmiotów, nie zgłosił zainteresowania pracami nad projektem w trybie przepisów o działalności lobbingowej w procesie stanowienia prawa.</w:t>
            </w:r>
          </w:p>
          <w:p w14:paraId="469D0E41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43448751" w14:textId="77777777" w:rsidTr="00A13AEF">
        <w:trPr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24FE1A52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252D1905" w14:textId="77777777" w:rsidTr="00272DF9">
        <w:trPr>
          <w:trHeight w:val="142"/>
        </w:trPr>
        <w:tc>
          <w:tcPr>
            <w:tcW w:w="3439" w:type="dxa"/>
            <w:gridSpan w:val="4"/>
            <w:vMerge w:val="restart"/>
            <w:shd w:val="clear" w:color="auto" w:fill="FFFFFF"/>
          </w:tcPr>
          <w:p w14:paraId="37080BDD" w14:textId="77777777" w:rsidR="00260F33" w:rsidRPr="00C53F26" w:rsidRDefault="00821717" w:rsidP="00D67EF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D67EF7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477" w:type="dxa"/>
            <w:gridSpan w:val="25"/>
            <w:shd w:val="clear" w:color="auto" w:fill="FFFFFF"/>
          </w:tcPr>
          <w:p w14:paraId="4ABBE42B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D67EF7">
              <w:rPr>
                <w:rFonts w:ascii="Times New Roman" w:hAnsi="Times New Roman"/>
                <w:color w:val="000000"/>
                <w:sz w:val="21"/>
                <w:szCs w:val="21"/>
              </w:rPr>
              <w:t>mld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272DF9" w:rsidRPr="008B4FE6" w14:paraId="1D777DB2" w14:textId="77777777" w:rsidTr="00272DF9">
        <w:trPr>
          <w:trHeight w:val="142"/>
        </w:trPr>
        <w:tc>
          <w:tcPr>
            <w:tcW w:w="3439" w:type="dxa"/>
            <w:gridSpan w:val="4"/>
            <w:vMerge/>
            <w:shd w:val="clear" w:color="auto" w:fill="FFFFFF"/>
          </w:tcPr>
          <w:p w14:paraId="4E258EA9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1DECBEE" w14:textId="77777777" w:rsidR="0057668E" w:rsidRPr="00272DF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D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5" w:type="dxa"/>
            <w:gridSpan w:val="3"/>
            <w:shd w:val="clear" w:color="auto" w:fill="FFFFFF"/>
          </w:tcPr>
          <w:p w14:paraId="2B421778" w14:textId="77777777" w:rsidR="0057668E" w:rsidRPr="00272DF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DF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gridSpan w:val="2"/>
            <w:shd w:val="clear" w:color="auto" w:fill="FFFFFF"/>
          </w:tcPr>
          <w:p w14:paraId="218B1E4D" w14:textId="77777777" w:rsidR="0057668E" w:rsidRPr="00272DF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DF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116434A" w14:textId="77777777" w:rsidR="0057668E" w:rsidRPr="00272DF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DF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E206D7B" w14:textId="77777777" w:rsidR="0057668E" w:rsidRPr="00272DF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DF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3D1514C6" w14:textId="77777777" w:rsidR="0057668E" w:rsidRPr="00272DF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DF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CCACAF7" w14:textId="77777777" w:rsidR="0057668E" w:rsidRPr="00272DF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DF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14:paraId="3AD95A2B" w14:textId="77777777" w:rsidR="0057668E" w:rsidRPr="00272DF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DF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F6507F3" w14:textId="77777777" w:rsidR="0057668E" w:rsidRPr="00272DF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DF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FFFFFF"/>
          </w:tcPr>
          <w:p w14:paraId="21EED770" w14:textId="77777777" w:rsidR="0057668E" w:rsidRPr="00272DF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DF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62CB9537" w14:textId="77777777" w:rsidR="0057668E" w:rsidRPr="00272DF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DF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37283B4B" w14:textId="77777777" w:rsidR="0057668E" w:rsidRPr="00272DF9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16"/>
                <w:szCs w:val="16"/>
              </w:rPr>
            </w:pPr>
            <w:r w:rsidRPr="00272DF9">
              <w:rPr>
                <w:rFonts w:ascii="Times New Roman" w:hAnsi="Times New Roman"/>
                <w:i/>
                <w:color w:val="000000"/>
                <w:spacing w:val="-2"/>
                <w:sz w:val="16"/>
                <w:szCs w:val="16"/>
              </w:rPr>
              <w:t>Łącznie</w:t>
            </w:r>
            <w:r w:rsidR="00CF5F4F" w:rsidRPr="00272DF9">
              <w:rPr>
                <w:rFonts w:ascii="Times New Roman" w:hAnsi="Times New Roman"/>
                <w:i/>
                <w:color w:val="000000"/>
                <w:spacing w:val="-2"/>
                <w:sz w:val="16"/>
                <w:szCs w:val="16"/>
              </w:rPr>
              <w:t xml:space="preserve"> (0-10)</w:t>
            </w:r>
          </w:p>
        </w:tc>
      </w:tr>
      <w:tr w:rsidR="00272DF9" w:rsidRPr="008B4FE6" w14:paraId="3AFD13B1" w14:textId="77777777" w:rsidTr="00272DF9">
        <w:trPr>
          <w:trHeight w:val="321"/>
        </w:trPr>
        <w:tc>
          <w:tcPr>
            <w:tcW w:w="3439" w:type="dxa"/>
            <w:gridSpan w:val="4"/>
            <w:shd w:val="clear" w:color="auto" w:fill="FFFFFF"/>
            <w:vAlign w:val="center"/>
          </w:tcPr>
          <w:p w14:paraId="0C1DDA27" w14:textId="77777777" w:rsidR="005D6316" w:rsidRPr="00DE724F" w:rsidRDefault="005D6316" w:rsidP="005D631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2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046BE64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5,6</w:t>
            </w:r>
          </w:p>
        </w:tc>
        <w:tc>
          <w:tcPr>
            <w:tcW w:w="685" w:type="dxa"/>
            <w:gridSpan w:val="3"/>
            <w:shd w:val="clear" w:color="auto" w:fill="FFFFFF"/>
            <w:vAlign w:val="center"/>
          </w:tcPr>
          <w:p w14:paraId="6502F351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11,2</w:t>
            </w:r>
          </w:p>
        </w:tc>
        <w:tc>
          <w:tcPr>
            <w:tcW w:w="694" w:type="dxa"/>
            <w:gridSpan w:val="2"/>
            <w:shd w:val="clear" w:color="auto" w:fill="FFFFFF"/>
            <w:vAlign w:val="center"/>
          </w:tcPr>
          <w:p w14:paraId="3D3D6755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25,3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7B1F9D9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36,8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1CAEF19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61434FE5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40,8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E5CFEC6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31,7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0A6E912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27,7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E4803D3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BC7768B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3E1B7D03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F97BB66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245,1</w:t>
            </w:r>
          </w:p>
        </w:tc>
      </w:tr>
      <w:tr w:rsidR="00272DF9" w:rsidRPr="008B4FE6" w14:paraId="49597461" w14:textId="77777777" w:rsidTr="00272DF9">
        <w:trPr>
          <w:trHeight w:val="321"/>
        </w:trPr>
        <w:tc>
          <w:tcPr>
            <w:tcW w:w="3439" w:type="dxa"/>
            <w:gridSpan w:val="4"/>
            <w:shd w:val="clear" w:color="auto" w:fill="FFFFFF"/>
            <w:vAlign w:val="center"/>
          </w:tcPr>
          <w:p w14:paraId="19E94CC3" w14:textId="77777777" w:rsidR="005D6316" w:rsidRPr="00DE724F" w:rsidRDefault="005D6316" w:rsidP="005D631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24F">
              <w:rPr>
                <w:rFonts w:ascii="Times New Roman" w:hAnsi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632980D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1,2</w:t>
            </w:r>
          </w:p>
        </w:tc>
        <w:tc>
          <w:tcPr>
            <w:tcW w:w="685" w:type="dxa"/>
            <w:gridSpan w:val="3"/>
            <w:shd w:val="clear" w:color="auto" w:fill="FFFFFF"/>
            <w:vAlign w:val="center"/>
          </w:tcPr>
          <w:p w14:paraId="7E0001F0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2,5</w:t>
            </w:r>
          </w:p>
        </w:tc>
        <w:tc>
          <w:tcPr>
            <w:tcW w:w="694" w:type="dxa"/>
            <w:gridSpan w:val="2"/>
            <w:shd w:val="clear" w:color="auto" w:fill="FFFFFF"/>
            <w:vAlign w:val="center"/>
          </w:tcPr>
          <w:p w14:paraId="61573E82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6,1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B05F7D6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9,2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F01BB2F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11,2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6076F062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10,6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4DF0D889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8,6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BAFE00E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7,5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5333C3A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699A26F4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59D54D15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FB14CA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62,9</w:t>
            </w:r>
          </w:p>
        </w:tc>
      </w:tr>
      <w:tr w:rsidR="00272DF9" w:rsidRPr="008B4FE6" w14:paraId="2F85C851" w14:textId="77777777" w:rsidTr="00272DF9">
        <w:trPr>
          <w:trHeight w:val="344"/>
        </w:trPr>
        <w:tc>
          <w:tcPr>
            <w:tcW w:w="3439" w:type="dxa"/>
            <w:gridSpan w:val="4"/>
            <w:shd w:val="clear" w:color="auto" w:fill="FFFFFF"/>
            <w:vAlign w:val="center"/>
          </w:tcPr>
          <w:p w14:paraId="07D295C4" w14:textId="77777777" w:rsidR="005D6316" w:rsidRPr="00DE724F" w:rsidRDefault="005D6316" w:rsidP="005D631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24F">
              <w:rPr>
                <w:rFonts w:ascii="Times New Roman" w:hAnsi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4C84297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685" w:type="dxa"/>
            <w:gridSpan w:val="3"/>
            <w:shd w:val="clear" w:color="auto" w:fill="FFFFFF"/>
            <w:vAlign w:val="center"/>
          </w:tcPr>
          <w:p w14:paraId="01AF7227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3,4</w:t>
            </w:r>
          </w:p>
        </w:tc>
        <w:tc>
          <w:tcPr>
            <w:tcW w:w="694" w:type="dxa"/>
            <w:gridSpan w:val="2"/>
            <w:shd w:val="clear" w:color="auto" w:fill="FFFFFF"/>
            <w:vAlign w:val="center"/>
          </w:tcPr>
          <w:p w14:paraId="42BAE6BC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8,8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732865B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8590330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16,7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59DC0FC5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16,3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A55CF68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902B69F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824FCE7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9,5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3E070F99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2FEE26CB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52F4CA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95,7</w:t>
            </w:r>
          </w:p>
        </w:tc>
      </w:tr>
      <w:tr w:rsidR="00272DF9" w:rsidRPr="008B4FE6" w14:paraId="4670DE0A" w14:textId="77777777" w:rsidTr="00272DF9">
        <w:trPr>
          <w:trHeight w:val="344"/>
        </w:trPr>
        <w:tc>
          <w:tcPr>
            <w:tcW w:w="3439" w:type="dxa"/>
            <w:gridSpan w:val="4"/>
            <w:shd w:val="clear" w:color="auto" w:fill="FFFFFF"/>
            <w:vAlign w:val="center"/>
          </w:tcPr>
          <w:p w14:paraId="3A62AA96" w14:textId="77777777" w:rsidR="005D6316" w:rsidRPr="00DE724F" w:rsidRDefault="005D6316" w:rsidP="005D631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pozostałe jednostki 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6370A31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2,8</w:t>
            </w:r>
          </w:p>
        </w:tc>
        <w:tc>
          <w:tcPr>
            <w:tcW w:w="685" w:type="dxa"/>
            <w:gridSpan w:val="3"/>
            <w:shd w:val="clear" w:color="auto" w:fill="FFFFFF"/>
            <w:vAlign w:val="center"/>
          </w:tcPr>
          <w:p w14:paraId="388EE181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694" w:type="dxa"/>
            <w:gridSpan w:val="2"/>
            <w:shd w:val="clear" w:color="auto" w:fill="FFFFFF"/>
            <w:vAlign w:val="center"/>
          </w:tcPr>
          <w:p w14:paraId="5C6DD453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10,4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C775269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13,9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8A17352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16,1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34D1B6EE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13,9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C638D65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9,4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23439BA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8976CE9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6,5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143A0668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11147C81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F92798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86,5</w:t>
            </w:r>
          </w:p>
        </w:tc>
      </w:tr>
      <w:tr w:rsidR="00272DF9" w:rsidRPr="008B4FE6" w14:paraId="5C47BEC0" w14:textId="77777777" w:rsidTr="00272DF9">
        <w:trPr>
          <w:trHeight w:val="330"/>
        </w:trPr>
        <w:tc>
          <w:tcPr>
            <w:tcW w:w="3439" w:type="dxa"/>
            <w:gridSpan w:val="4"/>
            <w:shd w:val="clear" w:color="auto" w:fill="FFFFFF"/>
            <w:vAlign w:val="center"/>
          </w:tcPr>
          <w:p w14:paraId="73030E14" w14:textId="77777777" w:rsidR="005D6316" w:rsidRPr="00DE724F" w:rsidRDefault="005D6316" w:rsidP="005D631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2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7401D69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5,7</w:t>
            </w:r>
          </w:p>
        </w:tc>
        <w:tc>
          <w:tcPr>
            <w:tcW w:w="685" w:type="dxa"/>
            <w:gridSpan w:val="3"/>
            <w:shd w:val="clear" w:color="auto" w:fill="FFFFFF"/>
            <w:vAlign w:val="center"/>
          </w:tcPr>
          <w:p w14:paraId="51B520A2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12,3</w:t>
            </w:r>
          </w:p>
        </w:tc>
        <w:tc>
          <w:tcPr>
            <w:tcW w:w="694" w:type="dxa"/>
            <w:gridSpan w:val="2"/>
            <w:shd w:val="clear" w:color="auto" w:fill="FFFFFF"/>
            <w:vAlign w:val="center"/>
          </w:tcPr>
          <w:p w14:paraId="2CB1B860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29,2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8FB0654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44,1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12E9AFC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53,7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43FC808D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52,1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48DC743E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39,9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C645241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34,8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FB45863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27,7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4AFA077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60ABA82E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5FDA55" w14:textId="77777777" w:rsidR="005D6316" w:rsidRPr="00272DF9" w:rsidRDefault="00F83B5F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299,5</w:t>
            </w:r>
          </w:p>
        </w:tc>
      </w:tr>
      <w:tr w:rsidR="00272DF9" w:rsidRPr="008B4FE6" w14:paraId="043E60CD" w14:textId="77777777" w:rsidTr="00272DF9">
        <w:trPr>
          <w:trHeight w:val="330"/>
        </w:trPr>
        <w:tc>
          <w:tcPr>
            <w:tcW w:w="3439" w:type="dxa"/>
            <w:gridSpan w:val="4"/>
            <w:shd w:val="clear" w:color="auto" w:fill="FFFFFF"/>
            <w:vAlign w:val="center"/>
          </w:tcPr>
          <w:p w14:paraId="476DBDB7" w14:textId="77777777" w:rsidR="005D6316" w:rsidRPr="00DE724F" w:rsidRDefault="005D6316" w:rsidP="005D631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24F">
              <w:rPr>
                <w:rFonts w:ascii="Times New Roman" w:hAnsi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813F9E2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1,3</w:t>
            </w:r>
          </w:p>
        </w:tc>
        <w:tc>
          <w:tcPr>
            <w:tcW w:w="685" w:type="dxa"/>
            <w:gridSpan w:val="3"/>
            <w:shd w:val="clear" w:color="auto" w:fill="FFFFFF"/>
            <w:vAlign w:val="center"/>
          </w:tcPr>
          <w:p w14:paraId="11663C3B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3,2</w:t>
            </w:r>
          </w:p>
        </w:tc>
        <w:tc>
          <w:tcPr>
            <w:tcW w:w="694" w:type="dxa"/>
            <w:gridSpan w:val="2"/>
            <w:shd w:val="clear" w:color="auto" w:fill="FFFFFF"/>
            <w:vAlign w:val="center"/>
          </w:tcPr>
          <w:p w14:paraId="1A2150D8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7,8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B2724CC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12,2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7BB4DAB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679F95BA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15,6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703FDD1B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10,7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D123B29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9,3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F747288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7,4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15A8EB1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1A20FA7D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364D3F" w14:textId="77777777" w:rsidR="005D6316" w:rsidRPr="00272DF9" w:rsidRDefault="005D6316" w:rsidP="00272DF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F83B5F">
              <w:rPr>
                <w:b/>
                <w:bCs/>
                <w:color w:val="000000"/>
                <w:sz w:val="14"/>
                <w:szCs w:val="14"/>
              </w:rPr>
              <w:t>2</w:t>
            </w:r>
            <w:r w:rsidRPr="00272DF9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F83B5F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272DF9" w:rsidRPr="008B4FE6" w14:paraId="56B90697" w14:textId="77777777" w:rsidTr="00272DF9">
        <w:trPr>
          <w:trHeight w:val="351"/>
        </w:trPr>
        <w:tc>
          <w:tcPr>
            <w:tcW w:w="3439" w:type="dxa"/>
            <w:gridSpan w:val="4"/>
            <w:shd w:val="clear" w:color="auto" w:fill="FFFFFF"/>
            <w:vAlign w:val="center"/>
          </w:tcPr>
          <w:p w14:paraId="68145623" w14:textId="77777777" w:rsidR="005D6316" w:rsidRPr="00DE724F" w:rsidRDefault="005D6316" w:rsidP="005D631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24F">
              <w:rPr>
                <w:rFonts w:ascii="Times New Roman" w:hAnsi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F39695C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685" w:type="dxa"/>
            <w:gridSpan w:val="3"/>
            <w:shd w:val="clear" w:color="auto" w:fill="FFFFFF"/>
            <w:vAlign w:val="center"/>
          </w:tcPr>
          <w:p w14:paraId="088BD6CD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3,7</w:t>
            </w:r>
          </w:p>
        </w:tc>
        <w:tc>
          <w:tcPr>
            <w:tcW w:w="694" w:type="dxa"/>
            <w:gridSpan w:val="2"/>
            <w:shd w:val="clear" w:color="auto" w:fill="FFFFFF"/>
            <w:vAlign w:val="center"/>
          </w:tcPr>
          <w:p w14:paraId="77BC2AFF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10,2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8CA5F24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16,5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6B0AE23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20,3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5315482F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20,3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727F1A3F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17,6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11EE7AA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15,4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9AA1323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12,2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3CAD1043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5655BF6B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9D46FC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117,8</w:t>
            </w:r>
          </w:p>
        </w:tc>
      </w:tr>
      <w:tr w:rsidR="00272DF9" w:rsidRPr="008B4FE6" w14:paraId="5C6F7026" w14:textId="77777777" w:rsidTr="00272DF9">
        <w:trPr>
          <w:trHeight w:val="351"/>
        </w:trPr>
        <w:tc>
          <w:tcPr>
            <w:tcW w:w="3439" w:type="dxa"/>
            <w:gridSpan w:val="4"/>
            <w:shd w:val="clear" w:color="auto" w:fill="FFFFFF"/>
            <w:vAlign w:val="center"/>
          </w:tcPr>
          <w:p w14:paraId="133EAEEB" w14:textId="77777777" w:rsidR="005D6316" w:rsidRPr="00DE724F" w:rsidRDefault="005D6316" w:rsidP="005D631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pozostałe jednostki 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6C91B9A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2,8</w:t>
            </w:r>
          </w:p>
        </w:tc>
        <w:tc>
          <w:tcPr>
            <w:tcW w:w="685" w:type="dxa"/>
            <w:gridSpan w:val="3"/>
            <w:shd w:val="clear" w:color="auto" w:fill="FFFFFF"/>
            <w:vAlign w:val="center"/>
          </w:tcPr>
          <w:p w14:paraId="4C34BF8E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5,4</w:t>
            </w:r>
          </w:p>
        </w:tc>
        <w:tc>
          <w:tcPr>
            <w:tcW w:w="694" w:type="dxa"/>
            <w:gridSpan w:val="2"/>
            <w:shd w:val="clear" w:color="auto" w:fill="FFFFFF"/>
            <w:vAlign w:val="center"/>
          </w:tcPr>
          <w:p w14:paraId="1EA597E9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11,2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1C179A5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15,4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6648B08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18,2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5A366E72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16,2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7538029F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11,6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0C98D98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10,1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F49AF33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8,1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8D30D18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33AA47A8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8BCE20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99</w:t>
            </w:r>
          </w:p>
        </w:tc>
      </w:tr>
      <w:tr w:rsidR="00272DF9" w:rsidRPr="008B4FE6" w14:paraId="7DCDEAD8" w14:textId="77777777" w:rsidTr="00272DF9">
        <w:trPr>
          <w:trHeight w:val="360"/>
        </w:trPr>
        <w:tc>
          <w:tcPr>
            <w:tcW w:w="3439" w:type="dxa"/>
            <w:gridSpan w:val="4"/>
            <w:shd w:val="clear" w:color="auto" w:fill="FFFFFF"/>
            <w:vAlign w:val="center"/>
          </w:tcPr>
          <w:p w14:paraId="3A2E496E" w14:textId="77777777" w:rsidR="005D6316" w:rsidRPr="00DE724F" w:rsidRDefault="005D6316" w:rsidP="005D631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2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CC3E2D2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-0,1</w:t>
            </w:r>
          </w:p>
        </w:tc>
        <w:tc>
          <w:tcPr>
            <w:tcW w:w="685" w:type="dxa"/>
            <w:gridSpan w:val="3"/>
            <w:shd w:val="clear" w:color="auto" w:fill="FFFFFF"/>
            <w:vAlign w:val="center"/>
          </w:tcPr>
          <w:p w14:paraId="21E14E4F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-1,1</w:t>
            </w:r>
          </w:p>
        </w:tc>
        <w:tc>
          <w:tcPr>
            <w:tcW w:w="694" w:type="dxa"/>
            <w:gridSpan w:val="2"/>
            <w:shd w:val="clear" w:color="auto" w:fill="FFFFFF"/>
            <w:vAlign w:val="center"/>
          </w:tcPr>
          <w:p w14:paraId="5B85F321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-3,9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CCD2F4D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-7,3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69C6F8C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-9,7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5A7007C7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-11,3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16E746CB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-8,2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193A9FF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-7,1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8ED63B7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-5,7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261759A5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68D6D393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7F96EE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-54,4</w:t>
            </w:r>
          </w:p>
        </w:tc>
      </w:tr>
      <w:tr w:rsidR="00272DF9" w:rsidRPr="008B4FE6" w14:paraId="3137317E" w14:textId="77777777" w:rsidTr="00272DF9">
        <w:trPr>
          <w:trHeight w:val="360"/>
        </w:trPr>
        <w:tc>
          <w:tcPr>
            <w:tcW w:w="3439" w:type="dxa"/>
            <w:gridSpan w:val="4"/>
            <w:shd w:val="clear" w:color="auto" w:fill="FFFFFF"/>
            <w:vAlign w:val="center"/>
          </w:tcPr>
          <w:p w14:paraId="5FB75E1F" w14:textId="77777777" w:rsidR="005D6316" w:rsidRPr="00DE724F" w:rsidRDefault="005D6316" w:rsidP="005D631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24F">
              <w:rPr>
                <w:rFonts w:ascii="Times New Roman" w:hAnsi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8A2BCA2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-0,1</w:t>
            </w:r>
          </w:p>
        </w:tc>
        <w:tc>
          <w:tcPr>
            <w:tcW w:w="685" w:type="dxa"/>
            <w:gridSpan w:val="3"/>
            <w:shd w:val="clear" w:color="auto" w:fill="FFFFFF"/>
            <w:vAlign w:val="center"/>
          </w:tcPr>
          <w:p w14:paraId="362B3F82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-0,7</w:t>
            </w:r>
          </w:p>
        </w:tc>
        <w:tc>
          <w:tcPr>
            <w:tcW w:w="694" w:type="dxa"/>
            <w:gridSpan w:val="2"/>
            <w:shd w:val="clear" w:color="auto" w:fill="FFFFFF"/>
            <w:vAlign w:val="center"/>
          </w:tcPr>
          <w:p w14:paraId="343041F5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-1,7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A5F24C7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F12B8C9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-4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3C47F6B3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-5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FCFF849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-2,1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874D864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-1,8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59E664C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-1,4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78C72FA6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0C7BDC6F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C43BCF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-19,8</w:t>
            </w:r>
          </w:p>
        </w:tc>
      </w:tr>
      <w:tr w:rsidR="00272DF9" w:rsidRPr="008B4FE6" w14:paraId="4B460FE0" w14:textId="77777777" w:rsidTr="00272DF9">
        <w:trPr>
          <w:trHeight w:val="357"/>
        </w:trPr>
        <w:tc>
          <w:tcPr>
            <w:tcW w:w="3439" w:type="dxa"/>
            <w:gridSpan w:val="4"/>
            <w:shd w:val="clear" w:color="auto" w:fill="FFFFFF"/>
            <w:vAlign w:val="center"/>
          </w:tcPr>
          <w:p w14:paraId="2D727894" w14:textId="77777777" w:rsidR="005D6316" w:rsidRPr="00DE724F" w:rsidRDefault="005D6316" w:rsidP="005D631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24F">
              <w:rPr>
                <w:rFonts w:ascii="Times New Roman" w:hAnsi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B889C63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5" w:type="dxa"/>
            <w:gridSpan w:val="3"/>
            <w:shd w:val="clear" w:color="auto" w:fill="FFFFFF"/>
            <w:vAlign w:val="center"/>
          </w:tcPr>
          <w:p w14:paraId="62E4348A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-0,3</w:t>
            </w:r>
          </w:p>
        </w:tc>
        <w:tc>
          <w:tcPr>
            <w:tcW w:w="694" w:type="dxa"/>
            <w:gridSpan w:val="2"/>
            <w:shd w:val="clear" w:color="auto" w:fill="FFFFFF"/>
            <w:vAlign w:val="center"/>
          </w:tcPr>
          <w:p w14:paraId="67C08346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-1,4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F78F8E8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-2,8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EF1CC60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-3,6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5D3A4E86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-4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0E347BE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-3,9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A440E6D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-3,4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FEA5399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-2,7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B95F2EB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5294EF25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A74D1D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-22,1</w:t>
            </w:r>
          </w:p>
        </w:tc>
      </w:tr>
      <w:tr w:rsidR="00272DF9" w:rsidRPr="008B4FE6" w14:paraId="24A13E34" w14:textId="77777777" w:rsidTr="00272DF9">
        <w:trPr>
          <w:trHeight w:val="357"/>
        </w:trPr>
        <w:tc>
          <w:tcPr>
            <w:tcW w:w="3439" w:type="dxa"/>
            <w:gridSpan w:val="4"/>
            <w:shd w:val="clear" w:color="auto" w:fill="FFFFFF"/>
            <w:vAlign w:val="center"/>
          </w:tcPr>
          <w:p w14:paraId="59DBE302" w14:textId="77777777" w:rsidR="005D6316" w:rsidRPr="00DE724F" w:rsidRDefault="005D6316" w:rsidP="005D631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pozostałe jednostki 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3A0AD60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5" w:type="dxa"/>
            <w:gridSpan w:val="3"/>
            <w:shd w:val="clear" w:color="auto" w:fill="FFFFFF"/>
            <w:vAlign w:val="center"/>
          </w:tcPr>
          <w:p w14:paraId="26281A10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-0,1</w:t>
            </w:r>
          </w:p>
        </w:tc>
        <w:tc>
          <w:tcPr>
            <w:tcW w:w="694" w:type="dxa"/>
            <w:gridSpan w:val="2"/>
            <w:shd w:val="clear" w:color="auto" w:fill="FFFFFF"/>
            <w:vAlign w:val="center"/>
          </w:tcPr>
          <w:p w14:paraId="6B7C97A6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-0,8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5D2B238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-1,5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F0BCC03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-2,1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229E5560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-2,3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F3E05E3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-2,2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974B046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-1,9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C9B7354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-1,6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2A427C5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2E968AA2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0512910" w14:textId="77777777" w:rsidR="005D6316" w:rsidRPr="00272DF9" w:rsidRDefault="005D6316" w:rsidP="005D631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2DF9">
              <w:rPr>
                <w:b/>
                <w:bCs/>
                <w:color w:val="000000"/>
                <w:sz w:val="14"/>
                <w:szCs w:val="14"/>
              </w:rPr>
              <w:t>-12,5</w:t>
            </w:r>
          </w:p>
        </w:tc>
      </w:tr>
      <w:tr w:rsidR="006A701A" w:rsidRPr="008B4FE6" w14:paraId="3EBE4139" w14:textId="77777777" w:rsidTr="00272DF9">
        <w:trPr>
          <w:trHeight w:val="348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58DC203D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76" w:type="dxa"/>
            <w:gridSpan w:val="27"/>
            <w:shd w:val="clear" w:color="auto" w:fill="FFFFFF"/>
            <w:vAlign w:val="center"/>
          </w:tcPr>
          <w:p w14:paraId="0FCDABB7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0414001" w14:textId="77777777" w:rsidR="00F54B72" w:rsidRDefault="00F54B7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2414CDE" w14:textId="77777777" w:rsidR="006A701A" w:rsidRPr="00B37C80" w:rsidRDefault="00646F3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zależności od rodzaju beneficjenta: budżet państwa, budżet JST lub inne krajowe środki publiczne (np. Fundusz Pracy, środki NFOŚiGW itp.). Dokładne określenie zaangażowania poszczególnych źródeł finansowania będzie możliwe po wybraniu do realizacji konkretnych projektów i podpisaniu umów o dofinansowanie</w:t>
            </w:r>
            <w:r w:rsidR="00F158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beneficjentami</w:t>
            </w:r>
            <w:r w:rsidR="008E6C3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oraz </w:t>
            </w:r>
            <w:r w:rsidR="008E6C32" w:rsidRPr="008E6C3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 podpisaniu umów o objęcie przedsięwzięć wsparciem z </w:t>
            </w:r>
            <w:r w:rsidR="008E6C32">
              <w:rPr>
                <w:rFonts w:ascii="Times New Roman" w:hAnsi="Times New Roman"/>
                <w:color w:val="000000"/>
                <w:sz w:val="21"/>
                <w:szCs w:val="21"/>
              </w:rPr>
              <w:t>KPO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5E2EA6B4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37BEDBC3" w14:textId="77777777" w:rsidTr="00272DF9">
        <w:trPr>
          <w:trHeight w:val="1926"/>
        </w:trPr>
        <w:tc>
          <w:tcPr>
            <w:tcW w:w="2240" w:type="dxa"/>
            <w:gridSpan w:val="2"/>
            <w:shd w:val="clear" w:color="auto" w:fill="FFFFFF"/>
          </w:tcPr>
          <w:p w14:paraId="23D90EE3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76" w:type="dxa"/>
            <w:gridSpan w:val="27"/>
            <w:shd w:val="clear" w:color="auto" w:fill="FFFFFF"/>
          </w:tcPr>
          <w:p w14:paraId="591CD283" w14:textId="77777777" w:rsidR="0060673D" w:rsidRDefault="00B119A4" w:rsidP="00B119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19A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Dochody oraz wydatki oszacowano na podstawie rzeczywistego oraz prognozowanego tempa wydatkowania środków polityki spójności w perspektywie 2014-2020 (z uwzględnianiem zmian prawnych wynikających z przepisów unijnych, takich jak skrócenie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kolejnej perspektywie </w:t>
            </w:r>
            <w:r w:rsidR="00F1763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 10 do 9 lat </w:t>
            </w:r>
            <w:r w:rsidRPr="00B119A4">
              <w:rPr>
                <w:rFonts w:ascii="Times New Roman" w:hAnsi="Times New Roman"/>
                <w:color w:val="000000"/>
                <w:sz w:val="21"/>
                <w:szCs w:val="21"/>
              </w:rPr>
              <w:t>okresu kwalifikowalności wydatków) oraz szacunków wydatków przedstawionych przez instytucje odpowiedzialne za reformy i inwestycje.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Punktem wyjścia do prezentowanych szacunków były prognozy dotyczące wydatków ponoszonych w ramach projektów i programów. W kolejnym kroku do dochodów przypisano tę część wspomnianych wydatków, która podlega finansowaniu unijnemu. </w:t>
            </w:r>
            <w:r w:rsidR="003E1FF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Saldo to </w:t>
            </w:r>
            <w:r w:rsidR="00B444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różnica dochodów i wydatków, czyli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niezbędny </w:t>
            </w:r>
            <w:r w:rsidR="00B444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wkład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krajowy</w:t>
            </w:r>
            <w:r w:rsidR="00B444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wymagany przepisami unijnymi.</w:t>
            </w:r>
            <w:r w:rsidR="0004312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6C3681">
              <w:rPr>
                <w:rFonts w:ascii="Times New Roman" w:hAnsi="Times New Roman"/>
                <w:color w:val="000000"/>
                <w:sz w:val="21"/>
                <w:szCs w:val="21"/>
              </w:rPr>
              <w:t>W przypadku programów polityki spójności p</w:t>
            </w:r>
            <w:r w:rsidR="0004312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rzyjęto, że średni poziom dofinansowania unijnego w projektach podmiotów sektora finansów publicznych wyniesie </w:t>
            </w:r>
            <w:r w:rsidR="00BC2D37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  <w:r w:rsidR="00FA6C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%, z tego w projektach </w:t>
            </w:r>
            <w:proofErr w:type="spellStart"/>
            <w:r w:rsidR="00FA6C69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  <w:proofErr w:type="spellEnd"/>
            <w:r w:rsidR="00FA6C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–</w:t>
            </w:r>
            <w:r w:rsidR="00BC2D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78</w:t>
            </w:r>
            <w:r w:rsidR="00FA6C69">
              <w:rPr>
                <w:rFonts w:ascii="Times New Roman" w:hAnsi="Times New Roman"/>
                <w:color w:val="000000"/>
                <w:sz w:val="21"/>
                <w:szCs w:val="21"/>
              </w:rPr>
              <w:t>%, a w przypadku pozostałych podmiotów –</w:t>
            </w:r>
            <w:r w:rsidR="00BC2D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</w:t>
            </w:r>
            <w:r w:rsidR="00FA6C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%. Szacunki nie </w:t>
            </w:r>
            <w:r w:rsidR="00FA6C6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uwzględniają tzw. wydatków niekwalifikowalnych oraz przesunięcia w czasie pomiędzy momentem poniesienia wydatku podlegającego refundacji ze środków KE a dokonaniem płatności. Do wyrażenia kwot w cenach stałych z 2020 r. przyjęto </w:t>
            </w:r>
            <w:proofErr w:type="spellStart"/>
            <w:r w:rsidR="00FA6C69">
              <w:rPr>
                <w:rFonts w:ascii="Times New Roman" w:hAnsi="Times New Roman"/>
                <w:color w:val="000000"/>
                <w:sz w:val="21"/>
                <w:szCs w:val="21"/>
              </w:rPr>
              <w:t>deflator</w:t>
            </w:r>
            <w:proofErr w:type="spellEnd"/>
            <w:r w:rsidR="00FA6C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na poziomie 2%.</w:t>
            </w:r>
            <w:r w:rsidR="00020C3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14:paraId="41C4C055" w14:textId="77777777" w:rsidR="0060673D" w:rsidRDefault="0060673D" w:rsidP="00B119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413676E" w14:textId="786EA608" w:rsidR="00E24BD7" w:rsidRDefault="00020C3F" w:rsidP="00B119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przyp</w:t>
            </w:r>
            <w:r w:rsidRPr="00020C3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adku </w:t>
            </w:r>
            <w:r w:rsidR="00216967" w:rsidRPr="00216967">
              <w:rPr>
                <w:rFonts w:ascii="Times New Roman" w:hAnsi="Times New Roman"/>
                <w:color w:val="000000"/>
                <w:sz w:val="21"/>
                <w:szCs w:val="21"/>
              </w:rPr>
              <w:t>p</w:t>
            </w:r>
            <w:r w:rsidR="00451871">
              <w:rPr>
                <w:rFonts w:ascii="Times New Roman" w:hAnsi="Times New Roman"/>
                <w:color w:val="000000"/>
                <w:sz w:val="21"/>
                <w:szCs w:val="21"/>
              </w:rPr>
              <w:t>lanu</w:t>
            </w:r>
            <w:r w:rsidR="00216967" w:rsidRPr="0021696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rozwojowego o którym mowa w rozdziale 2aa ustawy z dnia 6 grudnia 2006 r. o zasadach prowadzenia polityki rozwoju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</w:t>
            </w:r>
            <w:r w:rsidRPr="00020C3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rzyjęto 100% finansowanie inwestycji ze środków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unijnych</w:t>
            </w:r>
            <w:r w:rsidR="005032DB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="0060673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5032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Szacunki uwzględniają 100% części grantowej RRF oraz część pożyczkową w kwocie </w:t>
            </w:r>
            <w:r w:rsidR="003428E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="005032DB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3428E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</w:t>
            </w:r>
            <w:r w:rsidR="005032DB">
              <w:rPr>
                <w:rFonts w:ascii="Times New Roman" w:hAnsi="Times New Roman"/>
                <w:color w:val="000000"/>
                <w:sz w:val="21"/>
                <w:szCs w:val="21"/>
              </w:rPr>
              <w:t>mld zł (</w:t>
            </w:r>
            <w:r w:rsidR="00B24C0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2,067 </w:t>
            </w:r>
            <w:r w:rsidR="005032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mld euro), która posłuży sfinansowaniu </w:t>
            </w:r>
            <w:r w:rsidR="00163C22">
              <w:rPr>
                <w:rFonts w:ascii="Times New Roman" w:hAnsi="Times New Roman"/>
                <w:color w:val="000000"/>
                <w:sz w:val="21"/>
                <w:szCs w:val="21"/>
              </w:rPr>
              <w:t>części</w:t>
            </w:r>
            <w:r w:rsidR="005032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projektów inwestycyjnych w formie dotacyjnej</w:t>
            </w:r>
            <w:r w:rsidR="0018164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obciąży tym samym budżet państwa</w:t>
            </w:r>
            <w:r w:rsidR="005032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Wartość całej kwoty pozyskanej z pożyczkowej części RRF </w:t>
            </w:r>
            <w:r w:rsidR="00F17632">
              <w:rPr>
                <w:rFonts w:ascii="Times New Roman" w:hAnsi="Times New Roman"/>
                <w:color w:val="000000"/>
                <w:sz w:val="21"/>
                <w:szCs w:val="21"/>
              </w:rPr>
              <w:t>to 52,5 mld zł (11,7 mld euro).</w:t>
            </w:r>
          </w:p>
          <w:p w14:paraId="6773A5AD" w14:textId="77777777" w:rsidR="00F81C44" w:rsidRDefault="00F81C44" w:rsidP="00B119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AA7B8F6" w14:textId="08544DB5" w:rsidR="00375923" w:rsidRDefault="00836ECF" w:rsidP="003759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Należy wyjaśnić, że w</w:t>
            </w:r>
            <w:r w:rsidR="0037592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ramach KPO nie występuje współfinansowanie krajowe, a inwestycje w całości finansowane są ze środków RRF (w części grantowej - </w:t>
            </w:r>
            <w:r w:rsidR="00375923" w:rsidRPr="00164520">
              <w:rPr>
                <w:rFonts w:ascii="Times New Roman" w:hAnsi="Times New Roman"/>
                <w:color w:val="000000"/>
                <w:sz w:val="21"/>
                <w:szCs w:val="21"/>
              </w:rPr>
              <w:t>23,85 mld euro</w:t>
            </w:r>
            <w:r w:rsidR="0037592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). W części KPO finansowanej z pożyczki z RRF ostatecznym odbiorcom udzielane będą również pożyczki, a jedynie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ww. </w:t>
            </w:r>
            <w:r w:rsidR="0037592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kwota </w:t>
            </w:r>
            <w:r w:rsidR="00B24C04">
              <w:rPr>
                <w:rFonts w:ascii="Times New Roman" w:hAnsi="Times New Roman"/>
                <w:color w:val="000000"/>
                <w:sz w:val="21"/>
                <w:szCs w:val="21"/>
              </w:rPr>
              <w:t>2,067</w:t>
            </w:r>
            <w:r w:rsidR="0037592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mld euro przeznaczona będzie na wsparcie bezzwrotne, którego koszty (spłata pożyczki do KE) zostaną pokryte przez budżet państwa. Ponadto, ze środków budżetu państwa konieczne będzie pokrycie kosztów </w:t>
            </w:r>
            <w:r w:rsidR="00375923" w:rsidRPr="00B27ABE">
              <w:rPr>
                <w:rFonts w:ascii="Times New Roman" w:hAnsi="Times New Roman"/>
                <w:color w:val="000000"/>
                <w:sz w:val="21"/>
                <w:szCs w:val="21"/>
              </w:rPr>
              <w:t>zapewni</w:t>
            </w:r>
            <w:r w:rsidR="00375923">
              <w:rPr>
                <w:rFonts w:ascii="Times New Roman" w:hAnsi="Times New Roman"/>
                <w:color w:val="000000"/>
                <w:sz w:val="21"/>
                <w:szCs w:val="21"/>
              </w:rPr>
              <w:t>enia</w:t>
            </w:r>
            <w:r w:rsidR="00375923" w:rsidRPr="00B27AB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przez PFR finansowani</w:t>
            </w:r>
            <w:r w:rsidR="0037592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 KPO, w tym zwłaszcza wynagrodzenie oraz </w:t>
            </w:r>
            <w:r w:rsidR="00375923" w:rsidRPr="002C439E">
              <w:rPr>
                <w:rFonts w:ascii="Times New Roman" w:hAnsi="Times New Roman"/>
                <w:color w:val="000000"/>
                <w:sz w:val="21"/>
                <w:szCs w:val="21"/>
              </w:rPr>
              <w:t>koszt</w:t>
            </w:r>
            <w:r w:rsidR="00375923">
              <w:rPr>
                <w:rFonts w:ascii="Times New Roman" w:hAnsi="Times New Roman"/>
                <w:color w:val="000000"/>
                <w:sz w:val="21"/>
                <w:szCs w:val="21"/>
              </w:rPr>
              <w:t>y ewentualnego</w:t>
            </w:r>
            <w:r w:rsidR="00375923" w:rsidRPr="002C439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pozyskania, obsługi i spłaty finansowania pozyskanego przez PFR</w:t>
            </w:r>
            <w:r w:rsidR="00375923">
              <w:rPr>
                <w:rFonts w:ascii="Times New Roman" w:hAnsi="Times New Roman"/>
                <w:color w:val="000000"/>
                <w:sz w:val="21"/>
                <w:szCs w:val="21"/>
              </w:rPr>
              <w:t>. Finansowane będą również koszty koordynacji przez ministra właściwego do spraw rozwoju regionalnego realizacji KPO.</w:t>
            </w:r>
          </w:p>
          <w:p w14:paraId="6F6F8A69" w14:textId="77777777" w:rsidR="00DA672B" w:rsidRDefault="00DA672B" w:rsidP="003759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51DBE34" w14:textId="77777777" w:rsidR="00DA672B" w:rsidRDefault="00DA672B" w:rsidP="003759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672B">
              <w:rPr>
                <w:rFonts w:ascii="Times New Roman" w:hAnsi="Times New Roman"/>
                <w:color w:val="000000"/>
                <w:sz w:val="21"/>
                <w:szCs w:val="21"/>
              </w:rPr>
              <w:t>W ramach</w:t>
            </w:r>
            <w:r w:rsidRPr="00DA672B">
              <w:rPr>
                <w:rFonts w:ascii="Times New Roman" w:hAnsi="Times New Roman"/>
                <w:color w:val="000000"/>
              </w:rPr>
              <w:t xml:space="preserve"> tzw. </w:t>
            </w:r>
            <w:proofErr w:type="spellStart"/>
            <w:r w:rsidRPr="00DA672B">
              <w:rPr>
                <w:rFonts w:ascii="Times New Roman" w:hAnsi="Times New Roman"/>
                <w:color w:val="000000"/>
              </w:rPr>
              <w:t>pobrexitowej</w:t>
            </w:r>
            <w:proofErr w:type="spellEnd"/>
            <w:r w:rsidRPr="00DA672B">
              <w:rPr>
                <w:rFonts w:ascii="Times New Roman" w:hAnsi="Times New Roman"/>
                <w:color w:val="000000"/>
              </w:rPr>
              <w:t xml:space="preserve"> rezerwy dostosowawczej (</w:t>
            </w:r>
            <w:proofErr w:type="spellStart"/>
            <w:r w:rsidRPr="00DA672B">
              <w:rPr>
                <w:rFonts w:ascii="Times New Roman" w:hAnsi="Times New Roman"/>
                <w:i/>
                <w:color w:val="000000"/>
              </w:rPr>
              <w:t>Brexit</w:t>
            </w:r>
            <w:proofErr w:type="spellEnd"/>
            <w:r w:rsidRPr="00DA672B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DA672B">
              <w:rPr>
                <w:rFonts w:ascii="Times New Roman" w:hAnsi="Times New Roman"/>
                <w:i/>
                <w:color w:val="000000"/>
              </w:rPr>
              <w:t>Adjustment</w:t>
            </w:r>
            <w:proofErr w:type="spellEnd"/>
            <w:r w:rsidRPr="00DA672B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DA672B">
              <w:rPr>
                <w:rFonts w:ascii="Times New Roman" w:hAnsi="Times New Roman"/>
                <w:i/>
                <w:color w:val="000000"/>
              </w:rPr>
              <w:t>Reserve</w:t>
            </w:r>
            <w:proofErr w:type="spellEnd"/>
            <w:r w:rsidRPr="00DA672B">
              <w:rPr>
                <w:rFonts w:ascii="Times New Roman" w:hAnsi="Times New Roman"/>
                <w:color w:val="000000"/>
              </w:rPr>
              <w:t>) nie występuje współfinansowanie krajowe. Kwota wstępnej alokacji dla Polski w wysokości ok. 159 mln euro ma na celu przeciwdziałanie negatywnym konsekwencjom wystąpienia Zjednoczonego Królestwa z Unii.</w:t>
            </w:r>
          </w:p>
          <w:p w14:paraId="0116A5A4" w14:textId="77777777" w:rsidR="00FA6C69" w:rsidRDefault="00FA6C69" w:rsidP="00FA6C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CDD2266" w14:textId="2535BC32" w:rsidR="006C44F4" w:rsidRDefault="006C44F4" w:rsidP="006C44F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4F4">
              <w:rPr>
                <w:rFonts w:ascii="Times New Roman" w:hAnsi="Times New Roman"/>
                <w:color w:val="000000"/>
              </w:rPr>
              <w:t>Przychodem Funduszu Rozwoju Regionalnego  są odsetki od środków, o któ</w:t>
            </w:r>
            <w:r>
              <w:rPr>
                <w:rFonts w:ascii="Times New Roman" w:hAnsi="Times New Roman"/>
                <w:color w:val="000000"/>
              </w:rPr>
              <w:t xml:space="preserve">rych mowa w </w:t>
            </w:r>
            <w:r w:rsidRPr="006C44F4">
              <w:rPr>
                <w:rFonts w:ascii="Times New Roman" w:hAnsi="Times New Roman"/>
                <w:color w:val="000000"/>
              </w:rPr>
              <w:t xml:space="preserve">art. 207 ust.1 i </w:t>
            </w:r>
            <w:r w:rsidR="00F17632">
              <w:rPr>
                <w:rFonts w:ascii="Times New Roman" w:hAnsi="Times New Roman"/>
                <w:color w:val="000000"/>
              </w:rPr>
              <w:t xml:space="preserve">art. </w:t>
            </w:r>
            <w:r w:rsidRPr="006C44F4">
              <w:rPr>
                <w:rFonts w:ascii="Times New Roman" w:hAnsi="Times New Roman"/>
                <w:color w:val="000000"/>
              </w:rPr>
              <w:t>189 ust. 3 ustawy o finansach publicznych, które szacuje się na kwotę 5,1 mln zł  średniorocznie, tj. 51 mln zł</w:t>
            </w:r>
            <w:r>
              <w:rPr>
                <w:rFonts w:ascii="Times New Roman" w:hAnsi="Times New Roman"/>
                <w:color w:val="000000"/>
              </w:rPr>
              <w:t xml:space="preserve"> w okresie 10 lat. Ustawa przewiduje też możliwość zasilania FRR dotacj</w:t>
            </w:r>
            <w:r w:rsidR="005737C0">
              <w:rPr>
                <w:rFonts w:ascii="Times New Roman" w:hAnsi="Times New Roman"/>
                <w:color w:val="000000"/>
              </w:rPr>
              <w:t>ą</w:t>
            </w:r>
            <w:r w:rsidR="00F17632">
              <w:rPr>
                <w:rFonts w:ascii="Times New Roman" w:hAnsi="Times New Roman"/>
                <w:color w:val="000000"/>
              </w:rPr>
              <w:t xml:space="preserve"> z budżetu państwa.</w:t>
            </w:r>
          </w:p>
          <w:p w14:paraId="2A7D8823" w14:textId="77777777" w:rsidR="0018772D" w:rsidRDefault="0018772D" w:rsidP="006C44F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CDC66EE" w14:textId="77777777" w:rsidR="0018772D" w:rsidRDefault="0018772D" w:rsidP="006C44F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Pr="0018772D">
              <w:rPr>
                <w:rFonts w:ascii="Times New Roman" w:hAnsi="Times New Roman"/>
                <w:color w:val="000000"/>
              </w:rPr>
              <w:t xml:space="preserve"> zakresie programu zwalczania deprywacji materialnej – pomocy żywnościowej w ramach E</w:t>
            </w:r>
            <w:r>
              <w:rPr>
                <w:rFonts w:ascii="Times New Roman" w:hAnsi="Times New Roman"/>
                <w:color w:val="000000"/>
              </w:rPr>
              <w:t xml:space="preserve">uropejskiego </w:t>
            </w:r>
            <w:r w:rsidRPr="0018772D">
              <w:rPr>
                <w:rFonts w:ascii="Times New Roman" w:hAnsi="Times New Roman"/>
                <w:color w:val="000000"/>
              </w:rPr>
              <w:t>F</w:t>
            </w:r>
            <w:r>
              <w:rPr>
                <w:rFonts w:ascii="Times New Roman" w:hAnsi="Times New Roman"/>
                <w:color w:val="000000"/>
              </w:rPr>
              <w:t xml:space="preserve">unduszu </w:t>
            </w:r>
            <w:r w:rsidRPr="0018772D">
              <w:rPr>
                <w:rFonts w:ascii="Times New Roman" w:hAnsi="Times New Roman"/>
                <w:color w:val="000000"/>
              </w:rPr>
              <w:t>S</w:t>
            </w:r>
            <w:r>
              <w:rPr>
                <w:rFonts w:ascii="Times New Roman" w:hAnsi="Times New Roman"/>
                <w:color w:val="000000"/>
              </w:rPr>
              <w:t>połecznego Plus</w:t>
            </w:r>
            <w:r w:rsidRPr="0018772D">
              <w:rPr>
                <w:rFonts w:ascii="Times New Roman" w:hAnsi="Times New Roman"/>
                <w:color w:val="000000"/>
              </w:rPr>
              <w:t xml:space="preserve"> (dawny Program</w:t>
            </w:r>
            <w:r>
              <w:rPr>
                <w:rFonts w:ascii="Times New Roman" w:hAnsi="Times New Roman"/>
                <w:color w:val="000000"/>
              </w:rPr>
              <w:t xml:space="preserve"> Operacyjny</w:t>
            </w:r>
            <w:r w:rsidRPr="0018772D">
              <w:rPr>
                <w:rFonts w:ascii="Times New Roman" w:hAnsi="Times New Roman"/>
                <w:color w:val="000000"/>
              </w:rPr>
              <w:t xml:space="preserve"> Pomoc Żywnościowa 2014-2020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18772D">
              <w:rPr>
                <w:rFonts w:ascii="Times New Roman" w:hAnsi="Times New Roman"/>
                <w:color w:val="000000"/>
              </w:rPr>
              <w:t>FEAD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18772D">
              <w:rPr>
                <w:rFonts w:ascii="Times New Roman" w:hAnsi="Times New Roman"/>
                <w:color w:val="000000"/>
              </w:rPr>
              <w:t>) przewidywan</w:t>
            </w:r>
            <w:r>
              <w:rPr>
                <w:rFonts w:ascii="Times New Roman" w:hAnsi="Times New Roman"/>
                <w:color w:val="000000"/>
              </w:rPr>
              <w:t>a alokacja wyniesie</w:t>
            </w:r>
            <w:r w:rsidRPr="0018772D">
              <w:rPr>
                <w:rFonts w:ascii="Times New Roman" w:hAnsi="Times New Roman"/>
                <w:color w:val="000000"/>
              </w:rPr>
              <w:t xml:space="preserve"> ok. 527 mln </w:t>
            </w:r>
            <w:r>
              <w:rPr>
                <w:rFonts w:ascii="Times New Roman" w:hAnsi="Times New Roman"/>
                <w:color w:val="000000"/>
              </w:rPr>
              <w:t>euro</w:t>
            </w:r>
            <w:r w:rsidRPr="0018772D">
              <w:rPr>
                <w:rFonts w:ascii="Times New Roman" w:hAnsi="Times New Roman"/>
                <w:color w:val="000000"/>
              </w:rPr>
              <w:t>.</w:t>
            </w:r>
          </w:p>
          <w:p w14:paraId="1E65857D" w14:textId="77777777" w:rsidR="006C44F4" w:rsidRPr="00C53F26" w:rsidRDefault="006C44F4" w:rsidP="006C4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45F2AC6E" w14:textId="77777777" w:rsidTr="00A13AEF">
        <w:trPr>
          <w:trHeight w:val="345"/>
        </w:trPr>
        <w:tc>
          <w:tcPr>
            <w:tcW w:w="10916" w:type="dxa"/>
            <w:gridSpan w:val="29"/>
            <w:shd w:val="clear" w:color="auto" w:fill="99CCFF"/>
          </w:tcPr>
          <w:p w14:paraId="30018907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39DC414A" w14:textId="77777777" w:rsidTr="00A13AEF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09CDDE77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2C1AFAB8" w14:textId="77777777" w:rsidTr="00272DF9">
        <w:trPr>
          <w:trHeight w:val="142"/>
        </w:trPr>
        <w:tc>
          <w:tcPr>
            <w:tcW w:w="4249" w:type="dxa"/>
            <w:gridSpan w:val="7"/>
            <w:shd w:val="clear" w:color="auto" w:fill="FFFFFF"/>
          </w:tcPr>
          <w:p w14:paraId="51C1875A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98" w:type="dxa"/>
            <w:gridSpan w:val="3"/>
            <w:shd w:val="clear" w:color="auto" w:fill="FFFFFF"/>
          </w:tcPr>
          <w:p w14:paraId="08726EE0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9143F6C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D1E6F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796EF5E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469CE39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A196243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80" w:type="dxa"/>
            <w:gridSpan w:val="2"/>
            <w:shd w:val="clear" w:color="auto" w:fill="FFFFFF"/>
          </w:tcPr>
          <w:p w14:paraId="5ADB5A10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A13AEF" w:rsidRPr="008B4FE6" w14:paraId="678C9150" w14:textId="77777777" w:rsidTr="00272DF9">
        <w:trPr>
          <w:trHeight w:val="142"/>
        </w:trPr>
        <w:tc>
          <w:tcPr>
            <w:tcW w:w="1558" w:type="dxa"/>
            <w:vMerge w:val="restart"/>
            <w:shd w:val="clear" w:color="auto" w:fill="FFFFFF"/>
          </w:tcPr>
          <w:p w14:paraId="221135B2" w14:textId="77777777" w:rsidR="00A13AEF" w:rsidRDefault="00A13AEF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0945A0C5" w14:textId="77777777" w:rsidR="00A13AEF" w:rsidRDefault="00A13AEF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F355465" w14:textId="77777777" w:rsidR="00A13AEF" w:rsidRPr="00301959" w:rsidRDefault="00A13AEF" w:rsidP="00A0672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2020 r.)</w:t>
            </w:r>
          </w:p>
        </w:tc>
        <w:tc>
          <w:tcPr>
            <w:tcW w:w="2691" w:type="dxa"/>
            <w:gridSpan w:val="6"/>
            <w:shd w:val="clear" w:color="auto" w:fill="FFFFFF"/>
          </w:tcPr>
          <w:p w14:paraId="4BF394B0" w14:textId="77777777" w:rsidR="00A13AEF" w:rsidRPr="00301959" w:rsidRDefault="00A13AE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98" w:type="dxa"/>
            <w:gridSpan w:val="3"/>
            <w:shd w:val="clear" w:color="auto" w:fill="FFFFFF"/>
          </w:tcPr>
          <w:p w14:paraId="5A9BF04A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853,9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5E243F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2 012,4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A144CD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5 550,1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6D943FE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8 956,2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81220BE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11 062,1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A7EFF13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980" w:type="dxa"/>
            <w:gridSpan w:val="2"/>
            <w:shd w:val="clear" w:color="auto" w:fill="FFFFFF"/>
          </w:tcPr>
          <w:p w14:paraId="250C6507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64 116,2</w:t>
            </w:r>
          </w:p>
        </w:tc>
      </w:tr>
      <w:tr w:rsidR="00A13AEF" w:rsidRPr="008B4FE6" w14:paraId="589115E7" w14:textId="77777777" w:rsidTr="00272DF9">
        <w:trPr>
          <w:trHeight w:val="142"/>
        </w:trPr>
        <w:tc>
          <w:tcPr>
            <w:tcW w:w="1558" w:type="dxa"/>
            <w:vMerge/>
            <w:shd w:val="clear" w:color="auto" w:fill="FFFFFF"/>
          </w:tcPr>
          <w:p w14:paraId="16AF86C0" w14:textId="77777777" w:rsidR="00A13AEF" w:rsidRPr="00301959" w:rsidRDefault="00A13AE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1" w:type="dxa"/>
            <w:gridSpan w:val="6"/>
            <w:shd w:val="clear" w:color="auto" w:fill="FFFFFF"/>
          </w:tcPr>
          <w:p w14:paraId="66D141AC" w14:textId="77777777" w:rsidR="00A13AEF" w:rsidRPr="00301959" w:rsidRDefault="00A13AE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98" w:type="dxa"/>
            <w:gridSpan w:val="3"/>
            <w:shd w:val="clear" w:color="auto" w:fill="FFFFFF"/>
          </w:tcPr>
          <w:p w14:paraId="04D16018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853,9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F602ED0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2 012,4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7F0E74F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5 550,1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FE6A461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8 956,2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E3CFF8B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11 062,1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5245D52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980" w:type="dxa"/>
            <w:gridSpan w:val="2"/>
            <w:shd w:val="clear" w:color="auto" w:fill="FFFFFF"/>
          </w:tcPr>
          <w:p w14:paraId="3F1D0D39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64 116,2</w:t>
            </w:r>
          </w:p>
        </w:tc>
      </w:tr>
      <w:tr w:rsidR="00A13AEF" w:rsidRPr="008B4FE6" w14:paraId="6FDED6A1" w14:textId="77777777" w:rsidTr="00272DF9">
        <w:trPr>
          <w:trHeight w:val="142"/>
        </w:trPr>
        <w:tc>
          <w:tcPr>
            <w:tcW w:w="1558" w:type="dxa"/>
            <w:vMerge/>
            <w:shd w:val="clear" w:color="auto" w:fill="FFFFFF"/>
          </w:tcPr>
          <w:p w14:paraId="510222B9" w14:textId="77777777" w:rsidR="00A13AEF" w:rsidRPr="00301959" w:rsidRDefault="00A13AE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1" w:type="dxa"/>
            <w:gridSpan w:val="6"/>
            <w:shd w:val="clear" w:color="auto" w:fill="FFFFFF"/>
          </w:tcPr>
          <w:p w14:paraId="59FAEAF2" w14:textId="77777777" w:rsidR="00A13AEF" w:rsidRPr="00301959" w:rsidRDefault="00A13AE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98" w:type="dxa"/>
            <w:gridSpan w:val="3"/>
            <w:shd w:val="clear" w:color="auto" w:fill="FFFFFF"/>
          </w:tcPr>
          <w:p w14:paraId="0A143AA8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1 138,6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51AF25B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1 899,1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5D07728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2 786,8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9781B2A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2 895,0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FB6E7BC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1 706,8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6E4EA18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shd w:val="clear" w:color="auto" w:fill="FFFFFF"/>
          </w:tcPr>
          <w:p w14:paraId="66F5698B" w14:textId="77777777" w:rsidR="00A13AEF" w:rsidRPr="00A13AEF" w:rsidRDefault="00A13AEF" w:rsidP="00914D22">
            <w:pPr>
              <w:rPr>
                <w:rFonts w:ascii="Times New Roman" w:hAnsi="Times New Roman"/>
                <w:sz w:val="20"/>
                <w:szCs w:val="20"/>
              </w:rPr>
            </w:pPr>
            <w:r w:rsidRPr="00A13AEF">
              <w:rPr>
                <w:rFonts w:ascii="Times New Roman" w:hAnsi="Times New Roman"/>
                <w:sz w:val="20"/>
                <w:szCs w:val="20"/>
              </w:rPr>
              <w:t>13 369,5</w:t>
            </w:r>
          </w:p>
        </w:tc>
      </w:tr>
      <w:tr w:rsidR="009F49A9" w:rsidRPr="008B4FE6" w14:paraId="42384A13" w14:textId="77777777" w:rsidTr="00272DF9">
        <w:trPr>
          <w:trHeight w:val="563"/>
        </w:trPr>
        <w:tc>
          <w:tcPr>
            <w:tcW w:w="1558" w:type="dxa"/>
            <w:vMerge w:val="restart"/>
            <w:shd w:val="clear" w:color="auto" w:fill="FFFFFF"/>
          </w:tcPr>
          <w:p w14:paraId="52DCD639" w14:textId="77777777" w:rsidR="009F49A9" w:rsidRPr="00892DA7" w:rsidRDefault="009F49A9" w:rsidP="004428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2DA7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691" w:type="dxa"/>
            <w:gridSpan w:val="6"/>
            <w:shd w:val="clear" w:color="auto" w:fill="FFFFFF"/>
          </w:tcPr>
          <w:p w14:paraId="7D132CBC" w14:textId="77777777" w:rsidR="009F49A9" w:rsidRPr="00892DA7" w:rsidRDefault="009F49A9" w:rsidP="004428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2DA7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667" w:type="dxa"/>
            <w:gridSpan w:val="22"/>
            <w:shd w:val="clear" w:color="auto" w:fill="FFFFFF"/>
          </w:tcPr>
          <w:p w14:paraId="63A814F1" w14:textId="77777777" w:rsidR="009F49A9" w:rsidRPr="00892DA7" w:rsidRDefault="009F49A9" w:rsidP="004428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F49A9" w:rsidRPr="008B4FE6" w14:paraId="61C6EBA9" w14:textId="77777777" w:rsidTr="00272DF9">
        <w:trPr>
          <w:trHeight w:val="562"/>
        </w:trPr>
        <w:tc>
          <w:tcPr>
            <w:tcW w:w="1558" w:type="dxa"/>
            <w:vMerge/>
            <w:shd w:val="clear" w:color="auto" w:fill="FFFFFF"/>
          </w:tcPr>
          <w:p w14:paraId="047EA3A8" w14:textId="77777777" w:rsidR="009F49A9" w:rsidRPr="00892DA7" w:rsidRDefault="009F49A9" w:rsidP="004428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1" w:type="dxa"/>
            <w:gridSpan w:val="6"/>
            <w:shd w:val="clear" w:color="auto" w:fill="FFFFFF"/>
          </w:tcPr>
          <w:p w14:paraId="095914F7" w14:textId="77777777" w:rsidR="009F49A9" w:rsidRPr="00892DA7" w:rsidRDefault="009F49A9" w:rsidP="004428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2DA7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667" w:type="dxa"/>
            <w:gridSpan w:val="22"/>
            <w:shd w:val="clear" w:color="auto" w:fill="FFFFFF"/>
          </w:tcPr>
          <w:p w14:paraId="3985EC4C" w14:textId="77777777" w:rsidR="009F49A9" w:rsidRPr="00892DA7" w:rsidRDefault="009F49A9" w:rsidP="004428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F49A9" w:rsidRPr="008B4FE6" w14:paraId="6E686EB0" w14:textId="77777777" w:rsidTr="00272DF9">
        <w:trPr>
          <w:trHeight w:val="562"/>
        </w:trPr>
        <w:tc>
          <w:tcPr>
            <w:tcW w:w="1558" w:type="dxa"/>
            <w:vMerge/>
            <w:shd w:val="clear" w:color="auto" w:fill="FFFFFF"/>
          </w:tcPr>
          <w:p w14:paraId="274B9A3F" w14:textId="77777777" w:rsidR="009F49A9" w:rsidRPr="00892DA7" w:rsidRDefault="009F49A9" w:rsidP="004428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1" w:type="dxa"/>
            <w:gridSpan w:val="6"/>
            <w:shd w:val="clear" w:color="auto" w:fill="FFFFFF"/>
          </w:tcPr>
          <w:p w14:paraId="1A69334A" w14:textId="77777777" w:rsidR="009F49A9" w:rsidRPr="00892DA7" w:rsidRDefault="009F49A9" w:rsidP="004428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2DA7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6667" w:type="dxa"/>
            <w:gridSpan w:val="22"/>
            <w:shd w:val="clear" w:color="auto" w:fill="FFFFFF"/>
          </w:tcPr>
          <w:p w14:paraId="50E14D89" w14:textId="77777777" w:rsidR="009F49A9" w:rsidRPr="00892DA7" w:rsidRDefault="009F49A9" w:rsidP="004428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F49A9" w:rsidRPr="008B4FE6" w14:paraId="79F1B74B" w14:textId="77777777" w:rsidTr="00272DF9">
        <w:trPr>
          <w:trHeight w:val="563"/>
        </w:trPr>
        <w:tc>
          <w:tcPr>
            <w:tcW w:w="1558" w:type="dxa"/>
            <w:shd w:val="clear" w:color="auto" w:fill="FFFFFF"/>
          </w:tcPr>
          <w:p w14:paraId="376B41AF" w14:textId="77777777" w:rsidR="009F49A9" w:rsidRPr="00892DA7" w:rsidRDefault="009F49A9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2DA7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691" w:type="dxa"/>
            <w:gridSpan w:val="6"/>
            <w:shd w:val="clear" w:color="auto" w:fill="FFFFFF"/>
          </w:tcPr>
          <w:p w14:paraId="28C3B835" w14:textId="77777777" w:rsidR="009F49A9" w:rsidRPr="00892DA7" w:rsidRDefault="009F49A9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67" w:type="dxa"/>
            <w:gridSpan w:val="22"/>
            <w:shd w:val="clear" w:color="auto" w:fill="FFFFFF"/>
            <w:vAlign w:val="center"/>
          </w:tcPr>
          <w:p w14:paraId="777E96BA" w14:textId="77777777" w:rsidR="009F49A9" w:rsidRDefault="00BD636A" w:rsidP="00A04F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36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Ustawa pozytywnie wpłynie na konkurencyjność gospodarki i przedsiębiorczość, w tym funkcjonowanie przedsiębiorców oraz na rodzinę, obywateli i gospodarstwa domowe. Udzielone wsparcie przyczyni się do trwałego wzrostu polskiej gospodarki oraz umożliwi uzyskanie pozytywnych zmian strukturalnych (tj. wyższej innowacyjności, większej złożoności struktury gospodarczej, wzrostu udziału przemysłu i usług </w:t>
            </w:r>
            <w:proofErr w:type="spellStart"/>
            <w:r w:rsidRPr="00BD636A">
              <w:rPr>
                <w:rFonts w:ascii="Times New Roman" w:hAnsi="Times New Roman"/>
                <w:color w:val="000000"/>
                <w:sz w:val="21"/>
                <w:szCs w:val="21"/>
              </w:rPr>
              <w:t>wiedzochłonnych</w:t>
            </w:r>
            <w:proofErr w:type="spellEnd"/>
            <w:r w:rsidRPr="00BD636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wzrostu złożoności produktów i usług, poprawy konkurencyjności sektorów </w:t>
            </w:r>
            <w:r w:rsidRPr="00BD636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uważanych tradycyjnie za obszary w niewielkim stopniu wykorzystujące wiedzę i technologię, a ostatecznie wyższej zdolności do tworzenia wysokiej jakości miejsc pracy), co z kolei przełoży się na wzrost poziomu i jakości życia mieszkańców.</w:t>
            </w:r>
          </w:p>
          <w:p w14:paraId="4E6956BB" w14:textId="77777777" w:rsidR="006B5D7E" w:rsidRDefault="006B5D7E" w:rsidP="00A04F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Szacowane skutki finansowe odpowiadają prognozowanej kwocie bezzwrotnych transferów finansowych jakie trafią do sektora przedsiębiorstw oraz rodzin i gospodarstw domowych w ramach projektów i programów.</w:t>
            </w:r>
            <w:r w:rsidR="002A2A80">
              <w:t xml:space="preserve"> </w:t>
            </w:r>
            <w:r w:rsidR="002A2A80" w:rsidRPr="002A2A8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Punktem wyjścia do zaprezentowanych kalkulacji  były dane dotyczące </w:t>
            </w:r>
            <w:r w:rsidR="00E504E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faktycznego wydatkowania środków w ramach </w:t>
            </w:r>
            <w:r w:rsidR="002A2A80" w:rsidRPr="002A2A8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perspektywy 2014-2020, skorygowane o planowane </w:t>
            </w:r>
            <w:r w:rsidR="00E504E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zmiany w zakresie wysokości dostępnej </w:t>
            </w:r>
            <w:r w:rsidR="002A2A80" w:rsidRPr="002A2A8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alokacji oraz kierunków interwencji w perspektywie 2021-2027.  </w:t>
            </w:r>
          </w:p>
          <w:p w14:paraId="3A3112D5" w14:textId="77777777" w:rsidR="006B5D7E" w:rsidRDefault="006B5D7E" w:rsidP="00A04F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2710D21" w14:textId="77777777" w:rsidR="00F878EF" w:rsidRDefault="00F878EF" w:rsidP="00F878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Bezpośrednie wsparcie finansowe kierowane do rodzin, gospodarstw domowych oraz wspólnot mieszkaniowych polegać będzie m.in., na dofinansowaniu wymiany</w:t>
            </w:r>
            <w:r w:rsidRPr="00F878E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źródeł ciepła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podniesieniu efektywności energetycznej</w:t>
            </w:r>
            <w:r w:rsidRPr="00F878E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budynków mieszkaniowych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oraz  montażu i</w:t>
            </w:r>
            <w:r w:rsidRPr="00F878EF">
              <w:rPr>
                <w:rFonts w:ascii="Times New Roman" w:hAnsi="Times New Roman"/>
                <w:color w:val="000000"/>
                <w:sz w:val="21"/>
                <w:szCs w:val="21"/>
              </w:rPr>
              <w:t>nstalacje OZE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W</w:t>
            </w:r>
            <w:r w:rsidRPr="00F878E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przypadku budynków jednorodzinnych środki finansowe będą włączone do programu Czyste Powietrze, w przypadku budownictwa wielorodzinnego do Funduszu Termomodernizacji i Remontów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6A1B9F6F" w14:textId="77777777" w:rsidR="00CE37E9" w:rsidRDefault="00CE37E9" w:rsidP="00F878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7AC597D" w14:textId="6B10141A" w:rsidR="00CE37E9" w:rsidRPr="00892DA7" w:rsidRDefault="00CE37E9" w:rsidP="00F878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556A">
              <w:rPr>
                <w:rFonts w:ascii="Times New Roman" w:hAnsi="Times New Roman"/>
                <w:color w:val="000000"/>
                <w:sz w:val="21"/>
                <w:szCs w:val="21"/>
              </w:rPr>
              <w:t>Przewiduje się, że projekt nie będzie miał wpływu na osoby starsze oraz niepełnosprawne.</w:t>
            </w:r>
          </w:p>
        </w:tc>
      </w:tr>
      <w:tr w:rsidR="00E24BD7" w:rsidRPr="008B4FE6" w14:paraId="06F984B7" w14:textId="77777777" w:rsidTr="00272DF9">
        <w:trPr>
          <w:trHeight w:val="1643"/>
        </w:trPr>
        <w:tc>
          <w:tcPr>
            <w:tcW w:w="4249" w:type="dxa"/>
            <w:gridSpan w:val="7"/>
            <w:shd w:val="clear" w:color="auto" w:fill="FFFFFF"/>
          </w:tcPr>
          <w:p w14:paraId="4911C2DD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6667" w:type="dxa"/>
            <w:gridSpan w:val="22"/>
            <w:shd w:val="clear" w:color="auto" w:fill="FFFFFF"/>
            <w:vAlign w:val="center"/>
          </w:tcPr>
          <w:p w14:paraId="496D739F" w14:textId="77777777" w:rsidR="00E24BD7" w:rsidRPr="00301959" w:rsidRDefault="00611F1D" w:rsidP="008401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Opierając się o doświadczenia </w:t>
            </w:r>
            <w:r w:rsidR="001153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wdrażania perspektyw </w:t>
            </w:r>
            <w:r w:rsidR="00451871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07-2013 oraz 2014-2020 założono, że do sektora przedsiębiorstw trafi dofinansowanie unijne w kwocie </w:t>
            </w:r>
            <w:r w:rsidR="008401FA">
              <w:rPr>
                <w:rFonts w:ascii="Times New Roman" w:hAnsi="Times New Roman"/>
                <w:color w:val="000000"/>
                <w:sz w:val="21"/>
                <w:szCs w:val="21"/>
              </w:rPr>
              <w:t>około 14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 mld zł w cenach bieżących, </w:t>
            </w:r>
            <w:r w:rsidR="008401F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tj. około 129 </w:t>
            </w:r>
            <w:r w:rsidR="008767D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mld zł w cenach 2020 r. </w:t>
            </w:r>
            <w:r w:rsidR="0097653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Przyjęto, że połowa wspomnianych środków trafi do </w:t>
            </w:r>
            <w:r w:rsidR="00976536" w:rsidRPr="00976536">
              <w:rPr>
                <w:rFonts w:ascii="Times New Roman" w:hAnsi="Times New Roman"/>
                <w:color w:val="000000"/>
                <w:sz w:val="21"/>
                <w:szCs w:val="21"/>
              </w:rPr>
              <w:t>sektor</w:t>
            </w:r>
            <w:r w:rsidR="00976536">
              <w:rPr>
                <w:rFonts w:ascii="Times New Roman" w:hAnsi="Times New Roman"/>
                <w:color w:val="000000"/>
                <w:sz w:val="21"/>
                <w:szCs w:val="21"/>
              </w:rPr>
              <w:t>a</w:t>
            </w:r>
            <w:r w:rsidR="00976536" w:rsidRPr="0097653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mikro-, małych i średnich przedsiębiorstw</w:t>
            </w:r>
            <w:r w:rsidR="00976536">
              <w:rPr>
                <w:rFonts w:ascii="Times New Roman" w:hAnsi="Times New Roman"/>
                <w:color w:val="000000"/>
                <w:sz w:val="21"/>
                <w:szCs w:val="21"/>
              </w:rPr>
              <w:t>, a połowa – do dużych przedsiębiorstw.</w:t>
            </w:r>
            <w:r w:rsidR="001153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Parametry obliczeń: kurs 1 EUR = 4,5 PLN, </w:t>
            </w:r>
            <w:proofErr w:type="spellStart"/>
            <w:r w:rsidR="001153B2">
              <w:rPr>
                <w:rFonts w:ascii="Times New Roman" w:hAnsi="Times New Roman"/>
                <w:color w:val="000000"/>
                <w:sz w:val="21"/>
                <w:szCs w:val="21"/>
              </w:rPr>
              <w:t>deflator</w:t>
            </w:r>
            <w:proofErr w:type="spellEnd"/>
            <w:r w:rsidR="001153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– 2%.</w:t>
            </w:r>
          </w:p>
        </w:tc>
      </w:tr>
      <w:tr w:rsidR="006A701A" w:rsidRPr="008B4FE6" w14:paraId="18CFBA48" w14:textId="77777777" w:rsidTr="00A13AEF">
        <w:trPr>
          <w:trHeight w:val="3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2D650DD0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113B56C3" w14:textId="77777777" w:rsidTr="00A13AEF">
        <w:trPr>
          <w:trHeight w:val="151"/>
        </w:trPr>
        <w:tc>
          <w:tcPr>
            <w:tcW w:w="10916" w:type="dxa"/>
            <w:gridSpan w:val="29"/>
            <w:shd w:val="clear" w:color="auto" w:fill="FFFFFF"/>
          </w:tcPr>
          <w:p w14:paraId="742A2E33" w14:textId="77777777" w:rsidR="00D86AFF" w:rsidRPr="008B4FE6" w:rsidRDefault="00EA7AE1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BE1">
              <w:rPr>
                <w:rFonts w:ascii="Times New Roman" w:hAnsi="Times New Roman"/>
                <w:color w:val="000000"/>
              </w:rPr>
              <w:t xml:space="preserve">X  </w:t>
            </w:r>
            <w:r w:rsidR="00D86AFF" w:rsidRPr="00937BE1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1E201CD3" w14:textId="77777777" w:rsidTr="00272DF9">
        <w:trPr>
          <w:trHeight w:val="946"/>
        </w:trPr>
        <w:tc>
          <w:tcPr>
            <w:tcW w:w="5532" w:type="dxa"/>
            <w:gridSpan w:val="12"/>
            <w:shd w:val="clear" w:color="auto" w:fill="FFFFFF"/>
          </w:tcPr>
          <w:p w14:paraId="2C7C309C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384" w:type="dxa"/>
            <w:gridSpan w:val="17"/>
            <w:shd w:val="clear" w:color="auto" w:fill="FFFFFF"/>
          </w:tcPr>
          <w:p w14:paraId="3361AC3C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519524A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776A836" w14:textId="77777777" w:rsidR="00D86AFF" w:rsidRDefault="00D86AFF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6DDDD4E9" w14:textId="77777777" w:rsidTr="00272DF9">
        <w:trPr>
          <w:trHeight w:val="1245"/>
        </w:trPr>
        <w:tc>
          <w:tcPr>
            <w:tcW w:w="5532" w:type="dxa"/>
            <w:gridSpan w:val="12"/>
            <w:shd w:val="clear" w:color="auto" w:fill="FFFFFF"/>
          </w:tcPr>
          <w:p w14:paraId="50FE9235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13BE700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219CC7C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2C67096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4" w:type="dxa"/>
            <w:gridSpan w:val="17"/>
            <w:shd w:val="clear" w:color="auto" w:fill="FFFFFF"/>
          </w:tcPr>
          <w:p w14:paraId="01DA058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413177D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B78CB2A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416CFF1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A34278A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44E6001A" w14:textId="77777777" w:rsidTr="00272DF9">
        <w:trPr>
          <w:trHeight w:val="870"/>
        </w:trPr>
        <w:tc>
          <w:tcPr>
            <w:tcW w:w="5532" w:type="dxa"/>
            <w:gridSpan w:val="12"/>
            <w:shd w:val="clear" w:color="auto" w:fill="FFFFFF"/>
          </w:tcPr>
          <w:p w14:paraId="723DF18B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384" w:type="dxa"/>
            <w:gridSpan w:val="17"/>
            <w:shd w:val="clear" w:color="auto" w:fill="FFFFFF"/>
          </w:tcPr>
          <w:p w14:paraId="4D6847EC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49C0E43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1DBFEE6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FCEA03C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61952078" w14:textId="77777777" w:rsidTr="00A13AEF">
        <w:trPr>
          <w:trHeight w:val="630"/>
        </w:trPr>
        <w:tc>
          <w:tcPr>
            <w:tcW w:w="10916" w:type="dxa"/>
            <w:gridSpan w:val="29"/>
            <w:shd w:val="clear" w:color="auto" w:fill="FFFFFF"/>
          </w:tcPr>
          <w:p w14:paraId="469ECB46" w14:textId="77777777" w:rsidR="00C90EA1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733767">
              <w:rPr>
                <w:rFonts w:ascii="Times New Roman" w:hAnsi="Times New Roman"/>
                <w:color w:val="000000"/>
              </w:rPr>
              <w:t xml:space="preserve"> </w:t>
            </w:r>
            <w:r w:rsidR="00937BE1">
              <w:rPr>
                <w:rFonts w:ascii="Times New Roman" w:hAnsi="Times New Roman"/>
                <w:color w:val="000000"/>
              </w:rPr>
              <w:t xml:space="preserve">ustawa nie wprowadza nowych obciążeń regulacyjnych - zakres obowiązków wnioskodawców, beneficjentów oraz instytucji zaangażowanych we wdrażanie programów polityki spójności będzie zbliżony do zakresu obowiązków wspominanych podmiotów obowiązujących w poprzednim okresie </w:t>
            </w:r>
            <w:r w:rsidR="00BF227C">
              <w:rPr>
                <w:rFonts w:ascii="Times New Roman" w:hAnsi="Times New Roman"/>
                <w:color w:val="000000"/>
              </w:rPr>
              <w:t>programowania</w:t>
            </w:r>
            <w:r w:rsidR="00937BE1">
              <w:rPr>
                <w:rFonts w:ascii="Times New Roman" w:hAnsi="Times New Roman"/>
                <w:color w:val="000000"/>
              </w:rPr>
              <w:t>, tj. 2014-2020.</w:t>
            </w:r>
          </w:p>
          <w:p w14:paraId="54E91080" w14:textId="77777777" w:rsidR="00117017" w:rsidRDefault="00C90EA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Także poszczególne </w:t>
            </w:r>
            <w:r w:rsidRPr="008E67CA">
              <w:rPr>
                <w:rFonts w:ascii="Times New Roman" w:hAnsi="Times New Roman"/>
                <w:color w:val="000000"/>
              </w:rPr>
              <w:t xml:space="preserve">inwestycje </w:t>
            </w:r>
            <w:r>
              <w:rPr>
                <w:rFonts w:ascii="Times New Roman" w:hAnsi="Times New Roman"/>
                <w:color w:val="000000"/>
              </w:rPr>
              <w:t xml:space="preserve">finansowane ze środków </w:t>
            </w:r>
            <w:r w:rsidR="006B4792">
              <w:rPr>
                <w:rFonts w:ascii="Times New Roman" w:hAnsi="Times New Roman"/>
                <w:color w:val="000000"/>
              </w:rPr>
              <w:t xml:space="preserve">planu </w:t>
            </w:r>
            <w:r>
              <w:rPr>
                <w:rFonts w:ascii="Times New Roman" w:hAnsi="Times New Roman"/>
                <w:color w:val="000000"/>
              </w:rPr>
              <w:t xml:space="preserve">rozwojowego będą wdrażane </w:t>
            </w:r>
            <w:r w:rsidRPr="008E67CA">
              <w:rPr>
                <w:rFonts w:ascii="Times New Roman" w:hAnsi="Times New Roman"/>
                <w:color w:val="000000"/>
              </w:rPr>
              <w:t>w oparciu o już istniejące rozporządzenia i ustawy (ew. uzupełnienie tylko w przypadku podstaw udzielania pomocy publicznej)</w:t>
            </w:r>
            <w:r>
              <w:rPr>
                <w:rFonts w:ascii="Times New Roman" w:hAnsi="Times New Roman"/>
                <w:color w:val="000000"/>
              </w:rPr>
              <w:t>. Regulacje unijne nie nakładają</w:t>
            </w:r>
            <w:r w:rsidRPr="008E67CA">
              <w:rPr>
                <w:rFonts w:ascii="Times New Roman" w:hAnsi="Times New Roman"/>
                <w:color w:val="000000"/>
              </w:rPr>
              <w:t xml:space="preserve"> ścisłej formal</w:t>
            </w:r>
            <w:r>
              <w:rPr>
                <w:rFonts w:ascii="Times New Roman" w:hAnsi="Times New Roman"/>
                <w:color w:val="000000"/>
              </w:rPr>
              <w:t xml:space="preserve">izacji zasad współpracy między </w:t>
            </w:r>
            <w:r w:rsidRPr="008E67CA">
              <w:rPr>
                <w:rFonts w:ascii="Times New Roman" w:hAnsi="Times New Roman"/>
                <w:color w:val="000000"/>
              </w:rPr>
              <w:t xml:space="preserve">aktorami zaangażowanymi w realizację </w:t>
            </w:r>
            <w:r w:rsidR="00451871">
              <w:rPr>
                <w:rFonts w:ascii="Times New Roman" w:hAnsi="Times New Roman"/>
                <w:color w:val="000000"/>
              </w:rPr>
              <w:t>planu</w:t>
            </w:r>
            <w:r>
              <w:rPr>
                <w:rFonts w:ascii="Times New Roman" w:hAnsi="Times New Roman"/>
                <w:color w:val="000000"/>
              </w:rPr>
              <w:t xml:space="preserve"> rozwojowego i pozostawiają w gestii państwa członkowskiego ukształtowanie wielu aspektów systemu wdrażania. </w:t>
            </w:r>
          </w:p>
          <w:p w14:paraId="0C2AD0B3" w14:textId="77777777" w:rsidR="00117017" w:rsidRPr="008B4FE6" w:rsidRDefault="00117017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1F54789F" w14:textId="77777777" w:rsidTr="00A13AEF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310B7356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45C1ABC3" w14:textId="77777777" w:rsidTr="00A13AEF">
        <w:trPr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06A41F17" w14:textId="77777777" w:rsidR="001B3460" w:rsidRPr="008B4FE6" w:rsidRDefault="00D869E5" w:rsidP="00D869E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Ustawa, dzięki stworzeniu ram prawnych do wydatkowania środków unijnych perspektywy 2021-2027 </w:t>
            </w:r>
            <w:r w:rsidR="008E6C32">
              <w:rPr>
                <w:rFonts w:ascii="Times New Roman" w:hAnsi="Times New Roman"/>
                <w:color w:val="000000"/>
              </w:rPr>
              <w:t xml:space="preserve">oraz </w:t>
            </w:r>
            <w:r w:rsidR="008E6C32" w:rsidRPr="008E6C32">
              <w:rPr>
                <w:rFonts w:ascii="Times New Roman" w:hAnsi="Times New Roman"/>
                <w:color w:val="000000"/>
              </w:rPr>
              <w:t>stworzeniu ram prawnych do wydatkowania środków unijnych z RRF</w:t>
            </w:r>
            <w:r>
              <w:rPr>
                <w:rFonts w:ascii="Times New Roman" w:hAnsi="Times New Roman"/>
                <w:color w:val="000000"/>
              </w:rPr>
              <w:t xml:space="preserve"> pozytywnie wpłynie na rynek pracy skutkując:</w:t>
            </w:r>
          </w:p>
          <w:p w14:paraId="61497917" w14:textId="77777777" w:rsidR="00D869E5" w:rsidRDefault="00D869E5" w:rsidP="00D869E5">
            <w:pPr>
              <w:numPr>
                <w:ilvl w:val="0"/>
                <w:numId w:val="22"/>
              </w:numPr>
              <w:spacing w:before="120" w:after="120" w:line="240" w:lineRule="auto"/>
              <w:ind w:left="460" w:hanging="544"/>
              <w:jc w:val="both"/>
              <w:rPr>
                <w:rFonts w:ascii="Times New Roman" w:hAnsi="Times New Roman"/>
                <w:color w:val="000000"/>
              </w:rPr>
            </w:pPr>
            <w:r w:rsidRPr="00D869E5">
              <w:rPr>
                <w:rFonts w:ascii="Times New Roman" w:hAnsi="Times New Roman"/>
                <w:color w:val="000000"/>
              </w:rPr>
              <w:t>zwiększenie</w:t>
            </w:r>
            <w:r>
              <w:rPr>
                <w:rFonts w:ascii="Times New Roman" w:hAnsi="Times New Roman"/>
                <w:color w:val="000000"/>
              </w:rPr>
              <w:t>m</w:t>
            </w:r>
            <w:r w:rsidRPr="00D869E5">
              <w:rPr>
                <w:rFonts w:ascii="Times New Roman" w:hAnsi="Times New Roman"/>
                <w:color w:val="000000"/>
              </w:rPr>
              <w:t xml:space="preserve"> poziomu zatrudnienia, zwłaszcza wśród osób z grup znajdujących się w szczególnie </w:t>
            </w:r>
            <w:r>
              <w:rPr>
                <w:rFonts w:ascii="Times New Roman" w:hAnsi="Times New Roman"/>
                <w:color w:val="000000"/>
              </w:rPr>
              <w:t>trudnej sytuacji na rynku pracy;</w:t>
            </w:r>
          </w:p>
          <w:p w14:paraId="5AB748FC" w14:textId="77777777" w:rsidR="00D869E5" w:rsidRPr="00D869E5" w:rsidRDefault="00D869E5" w:rsidP="00D869E5">
            <w:pPr>
              <w:numPr>
                <w:ilvl w:val="0"/>
                <w:numId w:val="22"/>
              </w:numPr>
              <w:spacing w:before="120" w:after="120" w:line="240" w:lineRule="auto"/>
              <w:ind w:left="460" w:hanging="544"/>
              <w:jc w:val="both"/>
              <w:rPr>
                <w:rFonts w:ascii="Times New Roman" w:hAnsi="Times New Roman"/>
                <w:color w:val="000000"/>
              </w:rPr>
            </w:pPr>
            <w:r w:rsidRPr="00D869E5">
              <w:rPr>
                <w:rFonts w:ascii="Times New Roman" w:hAnsi="Times New Roman"/>
                <w:color w:val="000000"/>
              </w:rPr>
              <w:lastRenderedPageBreak/>
              <w:t>zmniejszenie</w:t>
            </w:r>
            <w:r>
              <w:rPr>
                <w:rFonts w:ascii="Times New Roman" w:hAnsi="Times New Roman"/>
                <w:color w:val="000000"/>
              </w:rPr>
              <w:t>m</w:t>
            </w:r>
            <w:r w:rsidRPr="00D869E5">
              <w:rPr>
                <w:rFonts w:ascii="Times New Roman" w:hAnsi="Times New Roman"/>
                <w:color w:val="000000"/>
              </w:rPr>
              <w:t xml:space="preserve"> różnic pomiędzy kobietami i mężczyznami na rynku pracy (w poziomie zatrudnienia, wynagrodzeń, udziału w kadrze zarządzającej przedsiębiorstw);</w:t>
            </w:r>
          </w:p>
          <w:p w14:paraId="4477DF63" w14:textId="77777777" w:rsidR="001B3460" w:rsidRPr="008B4FE6" w:rsidRDefault="00D869E5" w:rsidP="0047550C">
            <w:pPr>
              <w:numPr>
                <w:ilvl w:val="0"/>
                <w:numId w:val="22"/>
              </w:numPr>
              <w:spacing w:before="120" w:after="120" w:line="240" w:lineRule="auto"/>
              <w:ind w:left="460" w:hanging="544"/>
              <w:jc w:val="both"/>
              <w:rPr>
                <w:rFonts w:ascii="Times New Roman" w:hAnsi="Times New Roman"/>
                <w:color w:val="000000"/>
              </w:rPr>
            </w:pPr>
            <w:r w:rsidRPr="00D869E5">
              <w:rPr>
                <w:rFonts w:ascii="Times New Roman" w:hAnsi="Times New Roman"/>
                <w:color w:val="000000"/>
              </w:rPr>
              <w:t>podniesieniem potencjału instytucji rynku pracy, w tym publicznych służb zatrudnienia, szczególnie w zakresie pracy z osobami znajdującymi się w szczególnie t</w:t>
            </w:r>
            <w:r w:rsidR="0047550C">
              <w:rPr>
                <w:rFonts w:ascii="Times New Roman" w:hAnsi="Times New Roman"/>
                <w:color w:val="000000"/>
              </w:rPr>
              <w:t>rudnej sytuacji na rynku pracy.</w:t>
            </w:r>
          </w:p>
        </w:tc>
      </w:tr>
      <w:tr w:rsidR="001B3460" w:rsidRPr="008B4FE6" w14:paraId="0BC324E6" w14:textId="77777777" w:rsidTr="00A13AEF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31E726AA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1B3460" w:rsidRPr="008B4FE6" w14:paraId="3F9F3394" w14:textId="77777777" w:rsidTr="00272DF9">
        <w:trPr>
          <w:trHeight w:val="1031"/>
        </w:trPr>
        <w:tc>
          <w:tcPr>
            <w:tcW w:w="3853" w:type="dxa"/>
            <w:gridSpan w:val="5"/>
            <w:shd w:val="clear" w:color="auto" w:fill="FFFFFF"/>
          </w:tcPr>
          <w:p w14:paraId="586B3690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4191632" w14:textId="77777777" w:rsidR="001B3460" w:rsidRPr="008B4FE6" w:rsidRDefault="00B62251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1753482" w14:textId="77777777" w:rsidR="001B3460" w:rsidRDefault="00B62251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X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86C4FD8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02" w:type="dxa"/>
            <w:gridSpan w:val="15"/>
            <w:shd w:val="clear" w:color="auto" w:fill="FFFFFF"/>
          </w:tcPr>
          <w:p w14:paraId="2E3FEB9C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53E86DA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AC84877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43B17">
              <w:rPr>
                <w:rFonts w:ascii="Times New Roman" w:hAnsi="Times New Roman"/>
                <w:color w:val="000000"/>
              </w:rPr>
            </w:r>
            <w:r w:rsidR="00143B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261" w:type="dxa"/>
            <w:gridSpan w:val="9"/>
            <w:shd w:val="clear" w:color="auto" w:fill="FFFFFF"/>
          </w:tcPr>
          <w:p w14:paraId="6090CCF4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E1390AC" w14:textId="77777777" w:rsidR="001B3460" w:rsidRDefault="00B62251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FA1DCC4" w14:textId="77777777" w:rsidR="001B3460" w:rsidRPr="008B4FE6" w:rsidRDefault="00B62251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X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67E7CD66" w14:textId="77777777" w:rsidTr="00272DF9">
        <w:trPr>
          <w:trHeight w:val="712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598A8F94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76" w:type="dxa"/>
            <w:gridSpan w:val="27"/>
            <w:shd w:val="clear" w:color="auto" w:fill="FFFFFF"/>
            <w:vAlign w:val="center"/>
          </w:tcPr>
          <w:p w14:paraId="33B3004D" w14:textId="77777777" w:rsidR="00A32AED" w:rsidRPr="008B4FE6" w:rsidRDefault="00830540" w:rsidP="00A32AE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Ustawa </w:t>
            </w:r>
            <w:r w:rsidR="00A32AED">
              <w:rPr>
                <w:rFonts w:ascii="Times New Roman" w:hAnsi="Times New Roman"/>
                <w:color w:val="000000"/>
              </w:rPr>
              <w:t>pozytywnie wpłynie na:</w:t>
            </w:r>
          </w:p>
          <w:p w14:paraId="751F5426" w14:textId="77777777" w:rsidR="001B3460" w:rsidRDefault="00A32AED" w:rsidP="00973CCA">
            <w:pPr>
              <w:numPr>
                <w:ilvl w:val="0"/>
                <w:numId w:val="23"/>
              </w:numPr>
              <w:spacing w:before="120" w:after="120" w:line="240" w:lineRule="auto"/>
              <w:ind w:left="346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stan środowiska naturalnego (z</w:t>
            </w:r>
            <w:r w:rsidRPr="00A32AED">
              <w:rPr>
                <w:rFonts w:ascii="Times New Roman" w:hAnsi="Times New Roman"/>
                <w:color w:val="000000"/>
                <w:spacing w:val="-2"/>
              </w:rPr>
              <w:t>naczące obniżenie emisyjności polskiej gospodarki</w:t>
            </w:r>
            <w:r w:rsidR="00EC087C">
              <w:rPr>
                <w:rFonts w:ascii="Times New Roman" w:hAnsi="Times New Roman"/>
                <w:color w:val="000000"/>
                <w:spacing w:val="-2"/>
              </w:rPr>
              <w:t xml:space="preserve">, wzrost </w:t>
            </w:r>
            <w:r w:rsidR="00EC087C" w:rsidRPr="00EC087C">
              <w:rPr>
                <w:rFonts w:ascii="Times New Roman" w:hAnsi="Times New Roman"/>
                <w:color w:val="000000"/>
                <w:spacing w:val="-2"/>
              </w:rPr>
              <w:t>efektywności energetycznej</w:t>
            </w:r>
            <w:r w:rsidR="00EC087C">
              <w:rPr>
                <w:rFonts w:ascii="Times New Roman" w:hAnsi="Times New Roman"/>
                <w:color w:val="000000"/>
                <w:spacing w:val="-2"/>
              </w:rPr>
              <w:t xml:space="preserve">, lepsze </w:t>
            </w:r>
            <w:r w:rsidR="00EC087C" w:rsidRPr="00EC087C">
              <w:rPr>
                <w:rFonts w:ascii="Times New Roman" w:hAnsi="Times New Roman"/>
                <w:color w:val="000000"/>
                <w:spacing w:val="-2"/>
              </w:rPr>
              <w:t>przystosowanie do zmian klimatu</w:t>
            </w:r>
            <w:r w:rsidR="00EC087C">
              <w:rPr>
                <w:rFonts w:ascii="Times New Roman" w:hAnsi="Times New Roman"/>
                <w:color w:val="000000"/>
                <w:spacing w:val="-2"/>
              </w:rPr>
              <w:t>, poprawa stanu wód, lepsza g</w:t>
            </w:r>
            <w:r w:rsidR="00EC087C" w:rsidRPr="00EC087C">
              <w:rPr>
                <w:rFonts w:ascii="Times New Roman" w:hAnsi="Times New Roman"/>
                <w:color w:val="000000"/>
                <w:spacing w:val="-2"/>
              </w:rPr>
              <w:t xml:space="preserve">ospodarka odpadami i </w:t>
            </w:r>
            <w:r w:rsidR="00EC087C">
              <w:rPr>
                <w:rFonts w:ascii="Times New Roman" w:hAnsi="Times New Roman"/>
                <w:color w:val="000000"/>
                <w:spacing w:val="-2"/>
              </w:rPr>
              <w:t xml:space="preserve">bardziej </w:t>
            </w:r>
            <w:r w:rsidR="00EC087C" w:rsidRPr="00EC087C">
              <w:rPr>
                <w:rFonts w:ascii="Times New Roman" w:hAnsi="Times New Roman"/>
                <w:color w:val="000000"/>
                <w:spacing w:val="-2"/>
              </w:rPr>
              <w:t>efektywne wykorzystanie zasobów</w:t>
            </w:r>
            <w:r w:rsidR="00EC087C">
              <w:rPr>
                <w:rFonts w:ascii="Times New Roman" w:hAnsi="Times New Roman"/>
                <w:color w:val="000000"/>
                <w:spacing w:val="-2"/>
              </w:rPr>
              <w:t>),</w:t>
            </w:r>
          </w:p>
          <w:p w14:paraId="4DEC2F43" w14:textId="77777777" w:rsidR="00EC087C" w:rsidRDefault="0083047A" w:rsidP="00973CCA">
            <w:pPr>
              <w:numPr>
                <w:ilvl w:val="0"/>
                <w:numId w:val="23"/>
              </w:numPr>
              <w:spacing w:before="120" w:after="120" w:line="240" w:lineRule="auto"/>
              <w:ind w:left="346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sytuację i rozwój regionalny (p</w:t>
            </w:r>
            <w:r w:rsidRPr="0083047A">
              <w:rPr>
                <w:rFonts w:ascii="Times New Roman" w:hAnsi="Times New Roman"/>
                <w:color w:val="000000"/>
                <w:spacing w:val="-2"/>
              </w:rPr>
              <w:t>oprawa dostępności transportowej regionów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83047A">
              <w:rPr>
                <w:rFonts w:ascii="Times New Roman" w:hAnsi="Times New Roman"/>
                <w:color w:val="000000"/>
                <w:spacing w:val="-2"/>
              </w:rPr>
              <w:t xml:space="preserve">zwiększenie atrakcyjności inwestycyjnej oraz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podniesienie poziomu inwestycji, </w:t>
            </w:r>
            <w:r w:rsidRPr="0083047A">
              <w:rPr>
                <w:rFonts w:ascii="Times New Roman" w:hAnsi="Times New Roman"/>
                <w:color w:val="000000"/>
                <w:spacing w:val="-2"/>
              </w:rPr>
              <w:t xml:space="preserve">modernizacja </w:t>
            </w:r>
            <w:r w:rsidR="00B35126">
              <w:rPr>
                <w:rFonts w:ascii="Times New Roman" w:hAnsi="Times New Roman"/>
                <w:color w:val="000000"/>
                <w:spacing w:val="-2"/>
              </w:rPr>
              <w:t xml:space="preserve">regionalnych </w:t>
            </w:r>
            <w:r w:rsidRPr="0083047A">
              <w:rPr>
                <w:rFonts w:ascii="Times New Roman" w:hAnsi="Times New Roman"/>
                <w:color w:val="000000"/>
                <w:spacing w:val="-2"/>
              </w:rPr>
              <w:t>rynków pracy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D91B99" w:rsidRPr="00D91B99">
              <w:rPr>
                <w:rFonts w:ascii="Times New Roman" w:hAnsi="Times New Roman"/>
                <w:color w:val="000000"/>
                <w:spacing w:val="-2"/>
              </w:rPr>
              <w:t xml:space="preserve">wzmacnianie potencjału </w:t>
            </w:r>
            <w:r w:rsidR="00B35126">
              <w:rPr>
                <w:rFonts w:ascii="Times New Roman" w:hAnsi="Times New Roman"/>
                <w:color w:val="000000"/>
                <w:spacing w:val="-2"/>
              </w:rPr>
              <w:t xml:space="preserve">regionalnych i lokalnych </w:t>
            </w:r>
            <w:r w:rsidR="00D91B99" w:rsidRPr="00D91B99">
              <w:rPr>
                <w:rFonts w:ascii="Times New Roman" w:hAnsi="Times New Roman"/>
                <w:color w:val="000000"/>
                <w:spacing w:val="-2"/>
              </w:rPr>
              <w:t>przedsiębiorstw i administracji publicznej</w:t>
            </w:r>
            <w:r w:rsidR="00B35126">
              <w:rPr>
                <w:rFonts w:ascii="Times New Roman" w:hAnsi="Times New Roman"/>
                <w:color w:val="000000"/>
                <w:spacing w:val="-2"/>
              </w:rPr>
              <w:t>),</w:t>
            </w:r>
          </w:p>
          <w:p w14:paraId="78DE081C" w14:textId="77777777" w:rsidR="00B35126" w:rsidRDefault="00B35126" w:rsidP="00973CCA">
            <w:pPr>
              <w:numPr>
                <w:ilvl w:val="0"/>
                <w:numId w:val="23"/>
              </w:numPr>
              <w:spacing w:before="120" w:after="120" w:line="240" w:lineRule="auto"/>
              <w:ind w:left="346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poziom informatyzacji (</w:t>
            </w:r>
            <w:r w:rsidR="008B7AC3" w:rsidRPr="008B7AC3">
              <w:rPr>
                <w:rFonts w:ascii="Times New Roman" w:hAnsi="Times New Roman"/>
                <w:color w:val="000000"/>
                <w:spacing w:val="-2"/>
              </w:rPr>
              <w:t>transformacja cyfrowa gospodarki, polegająca na wdrożeniu programów stymulujących wprowadzanie w przedsiębiorstwach i sektorze</w:t>
            </w:r>
            <w:r w:rsidR="008B7AC3">
              <w:rPr>
                <w:rFonts w:ascii="Times New Roman" w:hAnsi="Times New Roman"/>
                <w:color w:val="000000"/>
                <w:spacing w:val="-2"/>
              </w:rPr>
              <w:t xml:space="preserve"> publicznym rozwiązań cyfrowych,</w:t>
            </w:r>
            <w:r w:rsidR="008B7AC3" w:rsidRPr="008B7AC3">
              <w:rPr>
                <w:rFonts w:ascii="Times New Roman" w:hAnsi="Times New Roman"/>
                <w:color w:val="000000"/>
                <w:spacing w:val="-2"/>
              </w:rPr>
              <w:t xml:space="preserve"> budowa infrastruktury instytucjonalnej dla transformacji cyfrowej</w:t>
            </w:r>
            <w:r w:rsidR="008B7AC3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8B7AC3" w:rsidRPr="008B7AC3">
              <w:rPr>
                <w:rFonts w:ascii="Times New Roman" w:hAnsi="Times New Roman"/>
                <w:color w:val="000000"/>
                <w:spacing w:val="-2"/>
              </w:rPr>
              <w:t xml:space="preserve">wsparcie rozwoju innowacyjnych rozwiązań w obszarze </w:t>
            </w:r>
            <w:proofErr w:type="spellStart"/>
            <w:r w:rsidR="008B7AC3" w:rsidRPr="008B7AC3">
              <w:rPr>
                <w:rFonts w:ascii="Times New Roman" w:hAnsi="Times New Roman"/>
                <w:color w:val="000000"/>
                <w:spacing w:val="-2"/>
              </w:rPr>
              <w:t>cyberbezpieczeństwa</w:t>
            </w:r>
            <w:proofErr w:type="spellEnd"/>
            <w:r w:rsidR="008B7AC3" w:rsidRPr="008B7AC3">
              <w:rPr>
                <w:rFonts w:ascii="Times New Roman" w:hAnsi="Times New Roman"/>
                <w:color w:val="000000"/>
                <w:spacing w:val="-2"/>
              </w:rPr>
              <w:t xml:space="preserve"> w różnych sektorach gospodarki</w:t>
            </w:r>
            <w:r w:rsidR="008B7AC3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8B7AC3" w:rsidRPr="008B7AC3">
              <w:rPr>
                <w:rFonts w:ascii="Times New Roman" w:hAnsi="Times New Roman"/>
                <w:color w:val="000000"/>
                <w:spacing w:val="-2"/>
              </w:rPr>
              <w:t>rozszerzenie zakresu i poprawa jakości e-usług publicznych</w:t>
            </w:r>
            <w:r w:rsidR="008B7AC3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8B7AC3" w:rsidRPr="008B7AC3">
              <w:rPr>
                <w:rFonts w:ascii="Times New Roman" w:hAnsi="Times New Roman"/>
                <w:color w:val="000000"/>
                <w:spacing w:val="-2"/>
              </w:rPr>
              <w:t xml:space="preserve">zwiększenie </w:t>
            </w:r>
            <w:r w:rsidR="00733767">
              <w:rPr>
                <w:rFonts w:ascii="Times New Roman" w:hAnsi="Times New Roman"/>
                <w:color w:val="000000"/>
                <w:spacing w:val="-2"/>
              </w:rPr>
              <w:t xml:space="preserve">poziomu </w:t>
            </w:r>
            <w:r w:rsidR="008B7AC3" w:rsidRPr="008B7AC3">
              <w:rPr>
                <w:rFonts w:ascii="Times New Roman" w:hAnsi="Times New Roman"/>
                <w:color w:val="000000"/>
                <w:spacing w:val="-2"/>
              </w:rPr>
              <w:t>automatyzacji i robotyzacji przedsiębiorstw</w:t>
            </w:r>
            <w:r w:rsidR="008B7AC3">
              <w:rPr>
                <w:rFonts w:ascii="Times New Roman" w:hAnsi="Times New Roman"/>
                <w:color w:val="000000"/>
                <w:spacing w:val="-2"/>
              </w:rPr>
              <w:t>);</w:t>
            </w:r>
          </w:p>
          <w:p w14:paraId="78EA1427" w14:textId="77777777" w:rsidR="001B3460" w:rsidRPr="00973CCA" w:rsidRDefault="00973CCA" w:rsidP="00973CCA">
            <w:pPr>
              <w:numPr>
                <w:ilvl w:val="0"/>
                <w:numId w:val="23"/>
              </w:numPr>
              <w:spacing w:before="120" w:after="120" w:line="240" w:lineRule="auto"/>
              <w:ind w:left="346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CCA">
              <w:rPr>
                <w:rFonts w:ascii="Times New Roman" w:hAnsi="Times New Roman"/>
                <w:color w:val="000000"/>
                <w:spacing w:val="-2"/>
              </w:rPr>
              <w:t xml:space="preserve">zdrowie (poprawa dostępu do wysokiej jakości profilaktyki poprzez realizację kompleksowych, wieloletnich programów promocji zdrowia i profilaktyki chorób na poziomie krajowym i regionalnym, podnoszenie jakości świadczonych usług zdrowotnych, rozwój i modernizacja zasobów infrastruktury zdrowia, stosowanie nowoczesnych form świadczenia usług medycznych i opiekuńczych takich jak telemedycyna, </w:t>
            </w:r>
            <w:proofErr w:type="spellStart"/>
            <w:r w:rsidRPr="00973CCA">
              <w:rPr>
                <w:rFonts w:ascii="Times New Roman" w:hAnsi="Times New Roman"/>
                <w:color w:val="000000"/>
                <w:spacing w:val="-2"/>
              </w:rPr>
              <w:t>telerehabilitacja</w:t>
            </w:r>
            <w:proofErr w:type="spellEnd"/>
            <w:r w:rsidRPr="00973CCA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proofErr w:type="spellStart"/>
            <w:r w:rsidRPr="00973CCA">
              <w:rPr>
                <w:rFonts w:ascii="Times New Roman" w:hAnsi="Times New Roman"/>
                <w:color w:val="000000"/>
                <w:spacing w:val="-2"/>
              </w:rPr>
              <w:t>teleopieka</w:t>
            </w:r>
            <w:proofErr w:type="spellEnd"/>
            <w:r w:rsidRPr="00973CC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7141148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4C310D56" w14:textId="77777777" w:rsidTr="00A13AEF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42BF9E84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5FDC99BC" w14:textId="77777777" w:rsidTr="00A13AEF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10D97EDA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02E4262C" w14:textId="77777777" w:rsidR="001B3460" w:rsidRPr="00B37C80" w:rsidRDefault="00B91409" w:rsidP="00733767">
            <w:pPr>
              <w:tabs>
                <w:tab w:val="left" w:pos="752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01395">
              <w:rPr>
                <w:rFonts w:ascii="Times New Roman" w:hAnsi="Times New Roman"/>
                <w:spacing w:val="-2"/>
              </w:rPr>
              <w:t>Wejście w życie przepisów ustawy umożliwi wydatkowanie w Polsce środków polityki spójności w ramach perspektywy finansowej 2021-2027</w:t>
            </w:r>
            <w:r w:rsidR="00F679E6">
              <w:rPr>
                <w:rFonts w:ascii="Times New Roman" w:hAnsi="Times New Roman"/>
                <w:spacing w:val="-2"/>
              </w:rPr>
              <w:t xml:space="preserve"> oraz wydatkowanie środków </w:t>
            </w:r>
            <w:r w:rsidR="003A2782">
              <w:rPr>
                <w:rFonts w:ascii="Times New Roman" w:hAnsi="Times New Roman"/>
                <w:spacing w:val="-2"/>
              </w:rPr>
              <w:t xml:space="preserve">w ramach planu </w:t>
            </w:r>
            <w:r w:rsidR="00F679E6">
              <w:rPr>
                <w:rFonts w:ascii="Times New Roman" w:hAnsi="Times New Roman"/>
                <w:spacing w:val="-2"/>
              </w:rPr>
              <w:t xml:space="preserve">rozwojowego, o którym mowa w </w:t>
            </w:r>
            <w:r w:rsidR="00A85C76">
              <w:rPr>
                <w:rFonts w:ascii="Times New Roman" w:hAnsi="Times New Roman"/>
                <w:spacing w:val="-2"/>
              </w:rPr>
              <w:t>rozdziale 2aa ustawy</w:t>
            </w:r>
            <w:r w:rsidR="00A85C76" w:rsidRPr="00A85C76">
              <w:rPr>
                <w:rFonts w:ascii="Times New Roman" w:hAnsi="Times New Roman"/>
                <w:spacing w:val="-2"/>
              </w:rPr>
              <w:t xml:space="preserve"> z dnia 6 grudnia 2006 r. o zasadach prowadzenia polityki rozwoju</w:t>
            </w:r>
            <w:r w:rsidRPr="00401395">
              <w:rPr>
                <w:rFonts w:ascii="Times New Roman" w:hAnsi="Times New Roman"/>
                <w:spacing w:val="-2"/>
              </w:rPr>
              <w:t xml:space="preserve">. Horyzont czasowy wykonania przepisów ustawy </w:t>
            </w:r>
            <w:r w:rsidR="00134B1E" w:rsidRPr="00401395">
              <w:rPr>
                <w:rFonts w:ascii="Times New Roman" w:hAnsi="Times New Roman"/>
                <w:spacing w:val="-2"/>
              </w:rPr>
              <w:t xml:space="preserve">co do zasady </w:t>
            </w:r>
            <w:r w:rsidRPr="00401395">
              <w:rPr>
                <w:rFonts w:ascii="Times New Roman" w:hAnsi="Times New Roman"/>
                <w:spacing w:val="-2"/>
              </w:rPr>
              <w:t xml:space="preserve">obejmuje okres </w:t>
            </w:r>
            <w:r w:rsidR="00134B1E" w:rsidRPr="00401395">
              <w:rPr>
                <w:rFonts w:ascii="Times New Roman" w:hAnsi="Times New Roman"/>
                <w:spacing w:val="-2"/>
              </w:rPr>
              <w:t>do zamknięcia i finalnego rozliczenia z Komisją Europejską programów operacyjnych omawianej perspektyw, tj. do 2031 r.</w:t>
            </w:r>
            <w:r w:rsidR="00DB28B5">
              <w:rPr>
                <w:rFonts w:ascii="Times New Roman" w:hAnsi="Times New Roman"/>
                <w:spacing w:val="-2"/>
              </w:rPr>
              <w:t xml:space="preserve">, a w przypadku </w:t>
            </w:r>
            <w:r w:rsidR="003A2782">
              <w:rPr>
                <w:rFonts w:ascii="Times New Roman" w:hAnsi="Times New Roman"/>
                <w:spacing w:val="-2"/>
              </w:rPr>
              <w:t xml:space="preserve">planu </w:t>
            </w:r>
            <w:r w:rsidR="00DB28B5">
              <w:rPr>
                <w:rFonts w:ascii="Times New Roman" w:hAnsi="Times New Roman"/>
                <w:spacing w:val="-2"/>
              </w:rPr>
              <w:t>rozwojowego – okres 2021-2026.</w:t>
            </w:r>
          </w:p>
          <w:p w14:paraId="05992993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8B4FE6" w14:paraId="5ADA62C9" w14:textId="77777777" w:rsidTr="00A13AEF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2D02AE03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07FF94EC" w14:textId="77777777" w:rsidTr="00A13AEF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070C8D9E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7A19CA6" w14:textId="77777777" w:rsidR="001B3460" w:rsidRPr="00451871" w:rsidRDefault="0019048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01395">
              <w:rPr>
                <w:rFonts w:ascii="Times New Roman" w:hAnsi="Times New Roman"/>
                <w:color w:val="000000"/>
                <w:spacing w:val="-2"/>
              </w:rPr>
              <w:t>Pro</w:t>
            </w:r>
            <w:r w:rsidR="00C06AD3" w:rsidRPr="00401395">
              <w:rPr>
                <w:rFonts w:ascii="Times New Roman" w:hAnsi="Times New Roman"/>
                <w:color w:val="000000"/>
                <w:spacing w:val="-2"/>
              </w:rPr>
              <w:t xml:space="preserve">gramy </w:t>
            </w:r>
            <w:r w:rsidR="001433EB" w:rsidRPr="00401395">
              <w:rPr>
                <w:rFonts w:ascii="Times New Roman" w:hAnsi="Times New Roman"/>
                <w:color w:val="000000"/>
                <w:spacing w:val="-2"/>
              </w:rPr>
              <w:t>będą</w:t>
            </w:r>
            <w:r w:rsidR="00C06AD3" w:rsidRPr="00401395">
              <w:rPr>
                <w:rFonts w:ascii="Times New Roman" w:hAnsi="Times New Roman"/>
                <w:color w:val="000000"/>
                <w:spacing w:val="-2"/>
              </w:rPr>
              <w:t xml:space="preserve"> przedmiotem bieżącej ewaluacji </w:t>
            </w:r>
            <w:r w:rsidR="001433EB" w:rsidRPr="00401395">
              <w:rPr>
                <w:rFonts w:ascii="Times New Roman" w:hAnsi="Times New Roman"/>
                <w:color w:val="000000"/>
                <w:spacing w:val="-2"/>
              </w:rPr>
              <w:t>(on-</w:t>
            </w:r>
            <w:proofErr w:type="spellStart"/>
            <w:r w:rsidR="001433EB" w:rsidRPr="00401395">
              <w:rPr>
                <w:rFonts w:ascii="Times New Roman" w:hAnsi="Times New Roman"/>
                <w:color w:val="000000"/>
                <w:spacing w:val="-2"/>
              </w:rPr>
              <w:t>going</w:t>
            </w:r>
            <w:proofErr w:type="spellEnd"/>
            <w:r w:rsidR="001433EB" w:rsidRPr="00401395">
              <w:rPr>
                <w:rFonts w:ascii="Times New Roman" w:hAnsi="Times New Roman"/>
                <w:color w:val="000000"/>
                <w:spacing w:val="-2"/>
              </w:rPr>
              <w:t xml:space="preserve">) prowadzanej przez instytucje zarządzające, a koordynowanej przez </w:t>
            </w:r>
            <w:r w:rsidR="00836AE4" w:rsidRPr="00401395">
              <w:rPr>
                <w:rFonts w:ascii="Times New Roman" w:hAnsi="Times New Roman"/>
                <w:color w:val="000000"/>
                <w:spacing w:val="-2"/>
              </w:rPr>
              <w:t xml:space="preserve">Krajową Jednostkę Ewaluacji </w:t>
            </w:r>
            <w:r w:rsidR="00FE1E38" w:rsidRPr="00401395">
              <w:rPr>
                <w:rFonts w:ascii="Times New Roman" w:hAnsi="Times New Roman"/>
                <w:color w:val="000000"/>
                <w:spacing w:val="-2"/>
              </w:rPr>
              <w:t xml:space="preserve">(KJE) </w:t>
            </w:r>
            <w:r w:rsidR="00836AE4" w:rsidRPr="00401395">
              <w:rPr>
                <w:rFonts w:ascii="Times New Roman" w:hAnsi="Times New Roman"/>
                <w:color w:val="000000"/>
                <w:spacing w:val="-2"/>
              </w:rPr>
              <w:t xml:space="preserve">ulokowaną w </w:t>
            </w:r>
            <w:proofErr w:type="spellStart"/>
            <w:r w:rsidR="00836AE4" w:rsidRPr="00401395">
              <w:rPr>
                <w:rFonts w:ascii="Times New Roman" w:hAnsi="Times New Roman"/>
                <w:color w:val="000000"/>
                <w:spacing w:val="-2"/>
              </w:rPr>
              <w:t>MFiPR</w:t>
            </w:r>
            <w:proofErr w:type="spellEnd"/>
            <w:r w:rsidR="00836AE4" w:rsidRPr="00401395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FE1E38" w:rsidRPr="00401395">
              <w:rPr>
                <w:rFonts w:ascii="Times New Roman" w:hAnsi="Times New Roman"/>
                <w:color w:val="000000"/>
                <w:spacing w:val="-2"/>
              </w:rPr>
              <w:t xml:space="preserve">ewaluacji horyzontalnych realizowanych przez KJE </w:t>
            </w:r>
            <w:r w:rsidR="00836AE4" w:rsidRPr="00401395">
              <w:rPr>
                <w:rFonts w:ascii="Times New Roman" w:hAnsi="Times New Roman"/>
                <w:color w:val="000000"/>
                <w:spacing w:val="-2"/>
              </w:rPr>
              <w:t>a dodatkowo</w:t>
            </w:r>
            <w:r w:rsidR="001433EB" w:rsidRPr="00401395">
              <w:rPr>
                <w:rFonts w:ascii="Times New Roman" w:hAnsi="Times New Roman"/>
                <w:color w:val="000000"/>
                <w:spacing w:val="-2"/>
              </w:rPr>
              <w:t xml:space="preserve"> ewaluacji ex post dokonanej Komisję Europejską we współpracy z państwami członkowskimi i instytucjami zarządzającymi.</w:t>
            </w:r>
          </w:p>
          <w:p w14:paraId="5E035343" w14:textId="77777777" w:rsidR="008E6C32" w:rsidRPr="008E6C32" w:rsidRDefault="008E6C32" w:rsidP="008E6C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E6C32">
              <w:rPr>
                <w:rFonts w:ascii="Times New Roman" w:hAnsi="Times New Roman"/>
                <w:color w:val="000000"/>
                <w:spacing w:val="-2"/>
              </w:rPr>
              <w:t>Zgodnie z rozporządzeniem RRF:</w:t>
            </w:r>
          </w:p>
          <w:p w14:paraId="409E0BB4" w14:textId="77777777" w:rsidR="008E6C32" w:rsidRPr="008E6C32" w:rsidRDefault="008E6C32" w:rsidP="008E6C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E6C32">
              <w:rPr>
                <w:rFonts w:ascii="Times New Roman" w:hAnsi="Times New Roman"/>
                <w:color w:val="000000"/>
                <w:spacing w:val="-2"/>
              </w:rPr>
              <w:t>•</w:t>
            </w:r>
            <w:r w:rsidRPr="008E6C32">
              <w:rPr>
                <w:rFonts w:ascii="Times New Roman" w:hAnsi="Times New Roman"/>
                <w:color w:val="000000"/>
                <w:spacing w:val="-2"/>
              </w:rPr>
              <w:tab/>
              <w:t>państwa członkowskie zobowiązane są składać dwa razy w roku sprawozdanie z postępów w realizacji swojego planu odbudowy i zwiększania odporności;</w:t>
            </w:r>
          </w:p>
          <w:p w14:paraId="0A33D47B" w14:textId="77777777" w:rsidR="001B3460" w:rsidRPr="00B37C80" w:rsidRDefault="008E6C32" w:rsidP="008E6C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E6C32">
              <w:rPr>
                <w:rFonts w:ascii="Times New Roman" w:hAnsi="Times New Roman"/>
                <w:color w:val="000000"/>
                <w:spacing w:val="-2"/>
              </w:rPr>
              <w:t>•</w:t>
            </w:r>
            <w:r w:rsidRPr="008E6C32">
              <w:rPr>
                <w:rFonts w:ascii="Times New Roman" w:hAnsi="Times New Roman"/>
                <w:color w:val="000000"/>
                <w:spacing w:val="-2"/>
              </w:rPr>
              <w:tab/>
              <w:t>Komisja monitoruje wdrażanie Instrumentu i mierzy osiągnięcie założonych celów i kamieni milowych, dodatkowo Komisja przedstawia Parlamentowi Europejskiemu i Radzie roczne sprawozdanie z wdrażania Instrumentu, a do dnia 31 grudnia 2028 r. - niezależne sprawozdanie z oceny ex post. Sprawozdanie z oceny ex post stanowi całościową ocenę Instrumentu i zawiera informacje na temat jego długoterminowego wpływu</w:t>
            </w:r>
            <w:r w:rsidR="00F1763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16B2F3B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01F1F671" w14:textId="77777777" w:rsidTr="00A13AEF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7300D4D5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6A12B1E6" w14:textId="77777777" w:rsidTr="00A13AEF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3A87FD15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E04D2AB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6A3FC534" w14:textId="77777777" w:rsidR="006176ED" w:rsidRPr="00522D94" w:rsidRDefault="00DE5D80" w:rsidP="00451871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.</w:t>
      </w:r>
      <w:r w:rsidR="009D0655"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headerReference w:type="default" r:id="rId8"/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A019" w14:textId="77777777" w:rsidR="00143B17" w:rsidRDefault="00143B17" w:rsidP="00044739">
      <w:pPr>
        <w:spacing w:line="240" w:lineRule="auto"/>
      </w:pPr>
      <w:r>
        <w:separator/>
      </w:r>
    </w:p>
  </w:endnote>
  <w:endnote w:type="continuationSeparator" w:id="0">
    <w:p w14:paraId="3FADD6FD" w14:textId="77777777" w:rsidR="00143B17" w:rsidRDefault="00143B17" w:rsidP="00044739">
      <w:pPr>
        <w:spacing w:line="240" w:lineRule="auto"/>
      </w:pPr>
      <w:r>
        <w:continuationSeparator/>
      </w:r>
    </w:p>
  </w:endnote>
  <w:endnote w:type="continuationNotice" w:id="1">
    <w:p w14:paraId="02BD3A52" w14:textId="77777777" w:rsidR="00143B17" w:rsidRDefault="00143B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D4FC" w14:textId="77777777" w:rsidR="004D21C1" w:rsidRDefault="004D2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D3E6" w14:textId="77777777" w:rsidR="00143B17" w:rsidRDefault="00143B17" w:rsidP="00044739">
      <w:pPr>
        <w:spacing w:line="240" w:lineRule="auto"/>
      </w:pPr>
      <w:r>
        <w:separator/>
      </w:r>
    </w:p>
  </w:footnote>
  <w:footnote w:type="continuationSeparator" w:id="0">
    <w:p w14:paraId="5C6216A7" w14:textId="77777777" w:rsidR="00143B17" w:rsidRDefault="00143B17" w:rsidP="00044739">
      <w:pPr>
        <w:spacing w:line="240" w:lineRule="auto"/>
      </w:pPr>
      <w:r>
        <w:continuationSeparator/>
      </w:r>
    </w:p>
  </w:footnote>
  <w:footnote w:type="continuationNotice" w:id="1">
    <w:p w14:paraId="750D8B44" w14:textId="77777777" w:rsidR="00143B17" w:rsidRDefault="00143B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B960" w14:textId="77777777" w:rsidR="004D21C1" w:rsidRDefault="004D2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107"/>
    <w:multiLevelType w:val="hybridMultilevel"/>
    <w:tmpl w:val="B260A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607E"/>
    <w:multiLevelType w:val="hybridMultilevel"/>
    <w:tmpl w:val="1E589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3626364"/>
    <w:multiLevelType w:val="hybridMultilevel"/>
    <w:tmpl w:val="65805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4"/>
  </w:num>
  <w:num w:numId="13">
    <w:abstractNumId w:val="11"/>
  </w:num>
  <w:num w:numId="14">
    <w:abstractNumId w:val="20"/>
  </w:num>
  <w:num w:numId="15">
    <w:abstractNumId w:val="16"/>
  </w:num>
  <w:num w:numId="16">
    <w:abstractNumId w:val="18"/>
  </w:num>
  <w:num w:numId="17">
    <w:abstractNumId w:val="7"/>
  </w:num>
  <w:num w:numId="18">
    <w:abstractNumId w:val="22"/>
  </w:num>
  <w:num w:numId="19">
    <w:abstractNumId w:val="23"/>
  </w:num>
  <w:num w:numId="20">
    <w:abstractNumId w:val="17"/>
  </w:num>
  <w:num w:numId="21">
    <w:abstractNumId w:val="8"/>
  </w:num>
  <w:num w:numId="22">
    <w:abstractNumId w:val="1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39B1"/>
    <w:rsid w:val="00004C6A"/>
    <w:rsid w:val="00012D11"/>
    <w:rsid w:val="00013EB5"/>
    <w:rsid w:val="00020C3F"/>
    <w:rsid w:val="00023836"/>
    <w:rsid w:val="00027D25"/>
    <w:rsid w:val="000356A9"/>
    <w:rsid w:val="00043129"/>
    <w:rsid w:val="00044138"/>
    <w:rsid w:val="00044739"/>
    <w:rsid w:val="00050E03"/>
    <w:rsid w:val="00051637"/>
    <w:rsid w:val="00053F97"/>
    <w:rsid w:val="0005484F"/>
    <w:rsid w:val="000549EB"/>
    <w:rsid w:val="00056183"/>
    <w:rsid w:val="00056681"/>
    <w:rsid w:val="000600AE"/>
    <w:rsid w:val="000648A7"/>
    <w:rsid w:val="0006618B"/>
    <w:rsid w:val="000670C0"/>
    <w:rsid w:val="00071B99"/>
    <w:rsid w:val="00075345"/>
    <w:rsid w:val="000756E5"/>
    <w:rsid w:val="0007704E"/>
    <w:rsid w:val="00080EC8"/>
    <w:rsid w:val="000944AC"/>
    <w:rsid w:val="00094CB9"/>
    <w:rsid w:val="000956B2"/>
    <w:rsid w:val="00095ED8"/>
    <w:rsid w:val="000969E7"/>
    <w:rsid w:val="000A23DE"/>
    <w:rsid w:val="000A4020"/>
    <w:rsid w:val="000A7322"/>
    <w:rsid w:val="000B54FB"/>
    <w:rsid w:val="000B7DC1"/>
    <w:rsid w:val="000C29B0"/>
    <w:rsid w:val="000C6CE3"/>
    <w:rsid w:val="000C76FC"/>
    <w:rsid w:val="000D1779"/>
    <w:rsid w:val="000D38FA"/>
    <w:rsid w:val="000D38FC"/>
    <w:rsid w:val="000D4D90"/>
    <w:rsid w:val="000E2D10"/>
    <w:rsid w:val="000E3E9B"/>
    <w:rsid w:val="000F3204"/>
    <w:rsid w:val="0010548B"/>
    <w:rsid w:val="00105DAA"/>
    <w:rsid w:val="001072D1"/>
    <w:rsid w:val="001153B2"/>
    <w:rsid w:val="00117017"/>
    <w:rsid w:val="00123844"/>
    <w:rsid w:val="00130E8E"/>
    <w:rsid w:val="0013216E"/>
    <w:rsid w:val="00134B1E"/>
    <w:rsid w:val="001401B5"/>
    <w:rsid w:val="001404CD"/>
    <w:rsid w:val="001422B9"/>
    <w:rsid w:val="001433EB"/>
    <w:rsid w:val="00143B17"/>
    <w:rsid w:val="0014665F"/>
    <w:rsid w:val="00153464"/>
    <w:rsid w:val="001541B3"/>
    <w:rsid w:val="00155B15"/>
    <w:rsid w:val="00157770"/>
    <w:rsid w:val="001625BE"/>
    <w:rsid w:val="0016381E"/>
    <w:rsid w:val="00163C22"/>
    <w:rsid w:val="001643A4"/>
    <w:rsid w:val="00171811"/>
    <w:rsid w:val="001727BB"/>
    <w:rsid w:val="00180D25"/>
    <w:rsid w:val="00181645"/>
    <w:rsid w:val="0018318D"/>
    <w:rsid w:val="0018572C"/>
    <w:rsid w:val="0018772D"/>
    <w:rsid w:val="00187E79"/>
    <w:rsid w:val="00187F0D"/>
    <w:rsid w:val="0019048A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1AE2"/>
    <w:rsid w:val="001C3C63"/>
    <w:rsid w:val="001C5E50"/>
    <w:rsid w:val="001C5F9E"/>
    <w:rsid w:val="001D3CBD"/>
    <w:rsid w:val="001D4476"/>
    <w:rsid w:val="001D4732"/>
    <w:rsid w:val="001D6A3C"/>
    <w:rsid w:val="001D6D51"/>
    <w:rsid w:val="001F029B"/>
    <w:rsid w:val="001F274F"/>
    <w:rsid w:val="001F653A"/>
    <w:rsid w:val="001F6979"/>
    <w:rsid w:val="00202BC6"/>
    <w:rsid w:val="00205141"/>
    <w:rsid w:val="0020516B"/>
    <w:rsid w:val="00211AFB"/>
    <w:rsid w:val="00213559"/>
    <w:rsid w:val="00213EFD"/>
    <w:rsid w:val="00216967"/>
    <w:rsid w:val="002172F1"/>
    <w:rsid w:val="002233C7"/>
    <w:rsid w:val="00223C7B"/>
    <w:rsid w:val="00224AB1"/>
    <w:rsid w:val="0022687A"/>
    <w:rsid w:val="00230367"/>
    <w:rsid w:val="00230728"/>
    <w:rsid w:val="00234040"/>
    <w:rsid w:val="00235CD2"/>
    <w:rsid w:val="00241C7C"/>
    <w:rsid w:val="002450B5"/>
    <w:rsid w:val="00252D28"/>
    <w:rsid w:val="002547A1"/>
    <w:rsid w:val="00254DED"/>
    <w:rsid w:val="00255619"/>
    <w:rsid w:val="00255BFF"/>
    <w:rsid w:val="00255DAD"/>
    <w:rsid w:val="00256108"/>
    <w:rsid w:val="00260F33"/>
    <w:rsid w:val="002613BD"/>
    <w:rsid w:val="002624F1"/>
    <w:rsid w:val="00270C81"/>
    <w:rsid w:val="00271558"/>
    <w:rsid w:val="00272DF9"/>
    <w:rsid w:val="002746FC"/>
    <w:rsid w:val="00274862"/>
    <w:rsid w:val="00282D72"/>
    <w:rsid w:val="00283402"/>
    <w:rsid w:val="00290FD6"/>
    <w:rsid w:val="00294259"/>
    <w:rsid w:val="00294D99"/>
    <w:rsid w:val="002A2A80"/>
    <w:rsid w:val="002A2C81"/>
    <w:rsid w:val="002A641B"/>
    <w:rsid w:val="002B3D1A"/>
    <w:rsid w:val="002C214B"/>
    <w:rsid w:val="002C27D0"/>
    <w:rsid w:val="002C2C9B"/>
    <w:rsid w:val="002D17D6"/>
    <w:rsid w:val="002D18D7"/>
    <w:rsid w:val="002D21CE"/>
    <w:rsid w:val="002D457A"/>
    <w:rsid w:val="002E3DA3"/>
    <w:rsid w:val="002E450F"/>
    <w:rsid w:val="002E6B38"/>
    <w:rsid w:val="002E6D63"/>
    <w:rsid w:val="002E6E2B"/>
    <w:rsid w:val="002F500B"/>
    <w:rsid w:val="00300991"/>
    <w:rsid w:val="0030108A"/>
    <w:rsid w:val="00301959"/>
    <w:rsid w:val="00305B8A"/>
    <w:rsid w:val="00314A3D"/>
    <w:rsid w:val="00320E8E"/>
    <w:rsid w:val="003218B2"/>
    <w:rsid w:val="00331BF9"/>
    <w:rsid w:val="0033394B"/>
    <w:rsid w:val="0033495E"/>
    <w:rsid w:val="00334A79"/>
    <w:rsid w:val="00334D8D"/>
    <w:rsid w:val="00337345"/>
    <w:rsid w:val="00337DD2"/>
    <w:rsid w:val="003404D1"/>
    <w:rsid w:val="003428E3"/>
    <w:rsid w:val="003443FF"/>
    <w:rsid w:val="00355808"/>
    <w:rsid w:val="0036010B"/>
    <w:rsid w:val="00362C7E"/>
    <w:rsid w:val="00363309"/>
    <w:rsid w:val="00363601"/>
    <w:rsid w:val="00367CCD"/>
    <w:rsid w:val="00375923"/>
    <w:rsid w:val="00376AC9"/>
    <w:rsid w:val="00392DE1"/>
    <w:rsid w:val="00393032"/>
    <w:rsid w:val="00394B69"/>
    <w:rsid w:val="00397078"/>
    <w:rsid w:val="003A2782"/>
    <w:rsid w:val="003A6953"/>
    <w:rsid w:val="003B6083"/>
    <w:rsid w:val="003C12A8"/>
    <w:rsid w:val="003C334B"/>
    <w:rsid w:val="003C3838"/>
    <w:rsid w:val="003C5847"/>
    <w:rsid w:val="003D0681"/>
    <w:rsid w:val="003D12F6"/>
    <w:rsid w:val="003D1426"/>
    <w:rsid w:val="003E1FFB"/>
    <w:rsid w:val="003E2F4E"/>
    <w:rsid w:val="003E3683"/>
    <w:rsid w:val="003E4039"/>
    <w:rsid w:val="003E4FAC"/>
    <w:rsid w:val="003E720A"/>
    <w:rsid w:val="003F1174"/>
    <w:rsid w:val="003F3053"/>
    <w:rsid w:val="003F79F7"/>
    <w:rsid w:val="00401395"/>
    <w:rsid w:val="00403E6E"/>
    <w:rsid w:val="00411B5F"/>
    <w:rsid w:val="004129B4"/>
    <w:rsid w:val="00412E57"/>
    <w:rsid w:val="00417EF0"/>
    <w:rsid w:val="00421603"/>
    <w:rsid w:val="00422181"/>
    <w:rsid w:val="004230E7"/>
    <w:rsid w:val="004244A8"/>
    <w:rsid w:val="00425F72"/>
    <w:rsid w:val="00427736"/>
    <w:rsid w:val="00430386"/>
    <w:rsid w:val="0044103D"/>
    <w:rsid w:val="00441787"/>
    <w:rsid w:val="00441A89"/>
    <w:rsid w:val="004428FB"/>
    <w:rsid w:val="00444F2D"/>
    <w:rsid w:val="00451871"/>
    <w:rsid w:val="00451A8B"/>
    <w:rsid w:val="00452034"/>
    <w:rsid w:val="00455FA6"/>
    <w:rsid w:val="00466C70"/>
    <w:rsid w:val="004702C9"/>
    <w:rsid w:val="00471A37"/>
    <w:rsid w:val="00472E45"/>
    <w:rsid w:val="00473FEA"/>
    <w:rsid w:val="0047550C"/>
    <w:rsid w:val="0047579D"/>
    <w:rsid w:val="00482FC0"/>
    <w:rsid w:val="00483262"/>
    <w:rsid w:val="00484107"/>
    <w:rsid w:val="00485CC5"/>
    <w:rsid w:val="004904F4"/>
    <w:rsid w:val="0049343F"/>
    <w:rsid w:val="004964FC"/>
    <w:rsid w:val="004A145E"/>
    <w:rsid w:val="004A1F15"/>
    <w:rsid w:val="004A2A81"/>
    <w:rsid w:val="004A7BD7"/>
    <w:rsid w:val="004B280F"/>
    <w:rsid w:val="004B3D46"/>
    <w:rsid w:val="004C15C2"/>
    <w:rsid w:val="004C36D8"/>
    <w:rsid w:val="004C6A0C"/>
    <w:rsid w:val="004C7807"/>
    <w:rsid w:val="004D1248"/>
    <w:rsid w:val="004D1E3C"/>
    <w:rsid w:val="004D21C1"/>
    <w:rsid w:val="004D4169"/>
    <w:rsid w:val="004D47AD"/>
    <w:rsid w:val="004D6E14"/>
    <w:rsid w:val="004E0A00"/>
    <w:rsid w:val="004E3F7A"/>
    <w:rsid w:val="004E5D4D"/>
    <w:rsid w:val="004F4E17"/>
    <w:rsid w:val="0050082F"/>
    <w:rsid w:val="00500C56"/>
    <w:rsid w:val="00501713"/>
    <w:rsid w:val="005032DB"/>
    <w:rsid w:val="00506568"/>
    <w:rsid w:val="0051551B"/>
    <w:rsid w:val="005207ED"/>
    <w:rsid w:val="00520C57"/>
    <w:rsid w:val="00522D94"/>
    <w:rsid w:val="005264A3"/>
    <w:rsid w:val="00527949"/>
    <w:rsid w:val="00533D89"/>
    <w:rsid w:val="00536564"/>
    <w:rsid w:val="0054002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03E7"/>
    <w:rsid w:val="005708F9"/>
    <w:rsid w:val="00571260"/>
    <w:rsid w:val="0057189C"/>
    <w:rsid w:val="005737C0"/>
    <w:rsid w:val="00573FC1"/>
    <w:rsid w:val="005741EE"/>
    <w:rsid w:val="00575C76"/>
    <w:rsid w:val="0057668E"/>
    <w:rsid w:val="005922E3"/>
    <w:rsid w:val="00595E83"/>
    <w:rsid w:val="00595E8A"/>
    <w:rsid w:val="00596530"/>
    <w:rsid w:val="005966ED"/>
    <w:rsid w:val="00596741"/>
    <w:rsid w:val="005967F3"/>
    <w:rsid w:val="005A06DF"/>
    <w:rsid w:val="005A1318"/>
    <w:rsid w:val="005A5527"/>
    <w:rsid w:val="005A5AE6"/>
    <w:rsid w:val="005A6CB0"/>
    <w:rsid w:val="005B1206"/>
    <w:rsid w:val="005B37E8"/>
    <w:rsid w:val="005C0056"/>
    <w:rsid w:val="005D61D6"/>
    <w:rsid w:val="005D6316"/>
    <w:rsid w:val="005E0D13"/>
    <w:rsid w:val="005E5047"/>
    <w:rsid w:val="005E58F2"/>
    <w:rsid w:val="005E7205"/>
    <w:rsid w:val="005E7371"/>
    <w:rsid w:val="005F116C"/>
    <w:rsid w:val="005F2131"/>
    <w:rsid w:val="00600B00"/>
    <w:rsid w:val="00605D53"/>
    <w:rsid w:val="00605EF6"/>
    <w:rsid w:val="00606455"/>
    <w:rsid w:val="0060673D"/>
    <w:rsid w:val="00611F1D"/>
    <w:rsid w:val="00614929"/>
    <w:rsid w:val="00616511"/>
    <w:rsid w:val="006176ED"/>
    <w:rsid w:val="006202F3"/>
    <w:rsid w:val="0062097A"/>
    <w:rsid w:val="00621DA6"/>
    <w:rsid w:val="00623CFE"/>
    <w:rsid w:val="00624035"/>
    <w:rsid w:val="00627221"/>
    <w:rsid w:val="00627EE8"/>
    <w:rsid w:val="006316FA"/>
    <w:rsid w:val="0063248A"/>
    <w:rsid w:val="00632F70"/>
    <w:rsid w:val="00635C65"/>
    <w:rsid w:val="006370D2"/>
    <w:rsid w:val="0064074F"/>
    <w:rsid w:val="00641F55"/>
    <w:rsid w:val="006443D7"/>
    <w:rsid w:val="00645E4A"/>
    <w:rsid w:val="00646F38"/>
    <w:rsid w:val="00653688"/>
    <w:rsid w:val="00654E02"/>
    <w:rsid w:val="0066091B"/>
    <w:rsid w:val="006660E9"/>
    <w:rsid w:val="00667249"/>
    <w:rsid w:val="00667558"/>
    <w:rsid w:val="00671523"/>
    <w:rsid w:val="00671B7D"/>
    <w:rsid w:val="006754EF"/>
    <w:rsid w:val="00676C8D"/>
    <w:rsid w:val="00676F1F"/>
    <w:rsid w:val="00677381"/>
    <w:rsid w:val="00677414"/>
    <w:rsid w:val="00680EED"/>
    <w:rsid w:val="006832CF"/>
    <w:rsid w:val="0068601E"/>
    <w:rsid w:val="00686856"/>
    <w:rsid w:val="0069486B"/>
    <w:rsid w:val="00694A04"/>
    <w:rsid w:val="006A30F4"/>
    <w:rsid w:val="006A4904"/>
    <w:rsid w:val="006A548F"/>
    <w:rsid w:val="006A701A"/>
    <w:rsid w:val="006B4792"/>
    <w:rsid w:val="006B5D7E"/>
    <w:rsid w:val="006B63DF"/>
    <w:rsid w:val="006B64DC"/>
    <w:rsid w:val="006B7A91"/>
    <w:rsid w:val="006C3681"/>
    <w:rsid w:val="006C44F4"/>
    <w:rsid w:val="006D4704"/>
    <w:rsid w:val="006D5A50"/>
    <w:rsid w:val="006D6A2D"/>
    <w:rsid w:val="006E1E18"/>
    <w:rsid w:val="006E2437"/>
    <w:rsid w:val="006E31CE"/>
    <w:rsid w:val="006E34D3"/>
    <w:rsid w:val="006F1435"/>
    <w:rsid w:val="006F14CE"/>
    <w:rsid w:val="006F5C1A"/>
    <w:rsid w:val="006F78C4"/>
    <w:rsid w:val="007024B3"/>
    <w:rsid w:val="007031A0"/>
    <w:rsid w:val="007053BF"/>
    <w:rsid w:val="00705A29"/>
    <w:rsid w:val="00706CFD"/>
    <w:rsid w:val="00707498"/>
    <w:rsid w:val="00711A65"/>
    <w:rsid w:val="00714133"/>
    <w:rsid w:val="00714DA4"/>
    <w:rsid w:val="007152E6"/>
    <w:rsid w:val="007158B2"/>
    <w:rsid w:val="00716081"/>
    <w:rsid w:val="007206A3"/>
    <w:rsid w:val="00722541"/>
    <w:rsid w:val="00722B48"/>
    <w:rsid w:val="00724164"/>
    <w:rsid w:val="00725DE7"/>
    <w:rsid w:val="0072636A"/>
    <w:rsid w:val="00726B44"/>
    <w:rsid w:val="007270A8"/>
    <w:rsid w:val="007318DD"/>
    <w:rsid w:val="00733167"/>
    <w:rsid w:val="00733767"/>
    <w:rsid w:val="00736F84"/>
    <w:rsid w:val="007376B2"/>
    <w:rsid w:val="00740D2C"/>
    <w:rsid w:val="00744BF9"/>
    <w:rsid w:val="00745B04"/>
    <w:rsid w:val="00752623"/>
    <w:rsid w:val="00760F1F"/>
    <w:rsid w:val="00763FA3"/>
    <w:rsid w:val="0076423E"/>
    <w:rsid w:val="007646CB"/>
    <w:rsid w:val="0076658F"/>
    <w:rsid w:val="0077040A"/>
    <w:rsid w:val="00772D64"/>
    <w:rsid w:val="00790371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1DA3"/>
    <w:rsid w:val="007C2701"/>
    <w:rsid w:val="007D2192"/>
    <w:rsid w:val="007E1841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3047A"/>
    <w:rsid w:val="00830540"/>
    <w:rsid w:val="00835983"/>
    <w:rsid w:val="00836AE4"/>
    <w:rsid w:val="00836ECF"/>
    <w:rsid w:val="008401FA"/>
    <w:rsid w:val="00841422"/>
    <w:rsid w:val="00841D3B"/>
    <w:rsid w:val="0084314C"/>
    <w:rsid w:val="00843171"/>
    <w:rsid w:val="00843B40"/>
    <w:rsid w:val="00847089"/>
    <w:rsid w:val="00851CF6"/>
    <w:rsid w:val="008526EB"/>
    <w:rsid w:val="008545EE"/>
    <w:rsid w:val="008575C3"/>
    <w:rsid w:val="00860463"/>
    <w:rsid w:val="00863D28"/>
    <w:rsid w:val="008648C3"/>
    <w:rsid w:val="008661A9"/>
    <w:rsid w:val="008767D3"/>
    <w:rsid w:val="00880F26"/>
    <w:rsid w:val="00885CFF"/>
    <w:rsid w:val="00887F42"/>
    <w:rsid w:val="0089161A"/>
    <w:rsid w:val="00892DA7"/>
    <w:rsid w:val="00896C2E"/>
    <w:rsid w:val="008A3052"/>
    <w:rsid w:val="008A3400"/>
    <w:rsid w:val="008A5095"/>
    <w:rsid w:val="008A608F"/>
    <w:rsid w:val="008B1A9A"/>
    <w:rsid w:val="008B3F44"/>
    <w:rsid w:val="008B4C61"/>
    <w:rsid w:val="008B4FE6"/>
    <w:rsid w:val="008B6C37"/>
    <w:rsid w:val="008B7AC3"/>
    <w:rsid w:val="008C7329"/>
    <w:rsid w:val="008D403A"/>
    <w:rsid w:val="008E18F7"/>
    <w:rsid w:val="008E1E10"/>
    <w:rsid w:val="008E291B"/>
    <w:rsid w:val="008E4F2F"/>
    <w:rsid w:val="008E6C32"/>
    <w:rsid w:val="008E74B0"/>
    <w:rsid w:val="008F3D76"/>
    <w:rsid w:val="009008A8"/>
    <w:rsid w:val="009063B0"/>
    <w:rsid w:val="00907106"/>
    <w:rsid w:val="00907827"/>
    <w:rsid w:val="009107FD"/>
    <w:rsid w:val="0091137C"/>
    <w:rsid w:val="00911567"/>
    <w:rsid w:val="00914D22"/>
    <w:rsid w:val="00917AAE"/>
    <w:rsid w:val="00922C52"/>
    <w:rsid w:val="009251A9"/>
    <w:rsid w:val="009257F1"/>
    <w:rsid w:val="00927532"/>
    <w:rsid w:val="00930699"/>
    <w:rsid w:val="00931F69"/>
    <w:rsid w:val="00932E04"/>
    <w:rsid w:val="00934123"/>
    <w:rsid w:val="0093556A"/>
    <w:rsid w:val="00937BE1"/>
    <w:rsid w:val="009415D6"/>
    <w:rsid w:val="00950FCC"/>
    <w:rsid w:val="00955774"/>
    <w:rsid w:val="009560B5"/>
    <w:rsid w:val="00961B45"/>
    <w:rsid w:val="00965181"/>
    <w:rsid w:val="009703D6"/>
    <w:rsid w:val="0097181B"/>
    <w:rsid w:val="00973CCA"/>
    <w:rsid w:val="00976536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5577"/>
    <w:rsid w:val="00995AAA"/>
    <w:rsid w:val="00995C34"/>
    <w:rsid w:val="00996F0A"/>
    <w:rsid w:val="009A1D86"/>
    <w:rsid w:val="009A61B5"/>
    <w:rsid w:val="009A7037"/>
    <w:rsid w:val="009B049C"/>
    <w:rsid w:val="009B11C8"/>
    <w:rsid w:val="009B2BCF"/>
    <w:rsid w:val="009B2FF8"/>
    <w:rsid w:val="009B5BA3"/>
    <w:rsid w:val="009B5BBE"/>
    <w:rsid w:val="009C40D3"/>
    <w:rsid w:val="009D0027"/>
    <w:rsid w:val="009D0655"/>
    <w:rsid w:val="009D1625"/>
    <w:rsid w:val="009E07C7"/>
    <w:rsid w:val="009E1E98"/>
    <w:rsid w:val="009E3ABE"/>
    <w:rsid w:val="009E3C4B"/>
    <w:rsid w:val="009E4360"/>
    <w:rsid w:val="009E74E6"/>
    <w:rsid w:val="009F0637"/>
    <w:rsid w:val="009F42CB"/>
    <w:rsid w:val="009F49A9"/>
    <w:rsid w:val="009F62A6"/>
    <w:rsid w:val="009F674F"/>
    <w:rsid w:val="009F799E"/>
    <w:rsid w:val="00A02020"/>
    <w:rsid w:val="00A04F11"/>
    <w:rsid w:val="00A056CB"/>
    <w:rsid w:val="00A0672E"/>
    <w:rsid w:val="00A07A29"/>
    <w:rsid w:val="00A103BA"/>
    <w:rsid w:val="00A10FF1"/>
    <w:rsid w:val="00A13AEF"/>
    <w:rsid w:val="00A1506B"/>
    <w:rsid w:val="00A17CB2"/>
    <w:rsid w:val="00A226EF"/>
    <w:rsid w:val="00A23191"/>
    <w:rsid w:val="00A258E0"/>
    <w:rsid w:val="00A30E1B"/>
    <w:rsid w:val="00A319C0"/>
    <w:rsid w:val="00A32740"/>
    <w:rsid w:val="00A32AED"/>
    <w:rsid w:val="00A33560"/>
    <w:rsid w:val="00A3601F"/>
    <w:rsid w:val="00A364E4"/>
    <w:rsid w:val="00A36937"/>
    <w:rsid w:val="00A371A5"/>
    <w:rsid w:val="00A43F01"/>
    <w:rsid w:val="00A47BDF"/>
    <w:rsid w:val="00A51CD7"/>
    <w:rsid w:val="00A52ADB"/>
    <w:rsid w:val="00A533E8"/>
    <w:rsid w:val="00A542D9"/>
    <w:rsid w:val="00A549CD"/>
    <w:rsid w:val="00A56E64"/>
    <w:rsid w:val="00A624C3"/>
    <w:rsid w:val="00A6641C"/>
    <w:rsid w:val="00A70F60"/>
    <w:rsid w:val="00A767D2"/>
    <w:rsid w:val="00A77616"/>
    <w:rsid w:val="00A805DA"/>
    <w:rsid w:val="00A811B4"/>
    <w:rsid w:val="00A85C76"/>
    <w:rsid w:val="00A87CDE"/>
    <w:rsid w:val="00A90B48"/>
    <w:rsid w:val="00A92BAF"/>
    <w:rsid w:val="00A9339E"/>
    <w:rsid w:val="00A94737"/>
    <w:rsid w:val="00A94BA3"/>
    <w:rsid w:val="00A95CEB"/>
    <w:rsid w:val="00A96CBA"/>
    <w:rsid w:val="00AA1EF1"/>
    <w:rsid w:val="00AA410D"/>
    <w:rsid w:val="00AB1ACD"/>
    <w:rsid w:val="00AB277F"/>
    <w:rsid w:val="00AB4099"/>
    <w:rsid w:val="00AB449A"/>
    <w:rsid w:val="00AB4CF5"/>
    <w:rsid w:val="00AC5AB2"/>
    <w:rsid w:val="00AD14F9"/>
    <w:rsid w:val="00AD1F83"/>
    <w:rsid w:val="00AD35D6"/>
    <w:rsid w:val="00AD3D9C"/>
    <w:rsid w:val="00AD58C5"/>
    <w:rsid w:val="00AE36C4"/>
    <w:rsid w:val="00AE3B99"/>
    <w:rsid w:val="00AE472C"/>
    <w:rsid w:val="00AE5375"/>
    <w:rsid w:val="00AE6CF8"/>
    <w:rsid w:val="00AE6D95"/>
    <w:rsid w:val="00AF40F3"/>
    <w:rsid w:val="00AF4CAC"/>
    <w:rsid w:val="00AF597F"/>
    <w:rsid w:val="00B01EED"/>
    <w:rsid w:val="00B03E0D"/>
    <w:rsid w:val="00B054F8"/>
    <w:rsid w:val="00B119A4"/>
    <w:rsid w:val="00B2219A"/>
    <w:rsid w:val="00B24C04"/>
    <w:rsid w:val="00B25715"/>
    <w:rsid w:val="00B30884"/>
    <w:rsid w:val="00B35126"/>
    <w:rsid w:val="00B3581B"/>
    <w:rsid w:val="00B36B81"/>
    <w:rsid w:val="00B36FEE"/>
    <w:rsid w:val="00B37C80"/>
    <w:rsid w:val="00B44406"/>
    <w:rsid w:val="00B5092B"/>
    <w:rsid w:val="00B50BBF"/>
    <w:rsid w:val="00B51051"/>
    <w:rsid w:val="00B5194E"/>
    <w:rsid w:val="00B51AF5"/>
    <w:rsid w:val="00B531FC"/>
    <w:rsid w:val="00B55347"/>
    <w:rsid w:val="00B57E5E"/>
    <w:rsid w:val="00B61F37"/>
    <w:rsid w:val="00B62251"/>
    <w:rsid w:val="00B62520"/>
    <w:rsid w:val="00B7572F"/>
    <w:rsid w:val="00B75AB3"/>
    <w:rsid w:val="00B76D93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409"/>
    <w:rsid w:val="00B93834"/>
    <w:rsid w:val="00B96469"/>
    <w:rsid w:val="00BA0DA2"/>
    <w:rsid w:val="00BA252B"/>
    <w:rsid w:val="00BA2981"/>
    <w:rsid w:val="00BA42EE"/>
    <w:rsid w:val="00BA48F9"/>
    <w:rsid w:val="00BB0DCA"/>
    <w:rsid w:val="00BB2666"/>
    <w:rsid w:val="00BB6B80"/>
    <w:rsid w:val="00BC0488"/>
    <w:rsid w:val="00BC2D37"/>
    <w:rsid w:val="00BC3773"/>
    <w:rsid w:val="00BC381A"/>
    <w:rsid w:val="00BD0962"/>
    <w:rsid w:val="00BD1460"/>
    <w:rsid w:val="00BD1EED"/>
    <w:rsid w:val="00BD636A"/>
    <w:rsid w:val="00BE0D52"/>
    <w:rsid w:val="00BF0DA2"/>
    <w:rsid w:val="00BF109C"/>
    <w:rsid w:val="00BF227C"/>
    <w:rsid w:val="00BF34FA"/>
    <w:rsid w:val="00C004B6"/>
    <w:rsid w:val="00C019FD"/>
    <w:rsid w:val="00C047A7"/>
    <w:rsid w:val="00C05DE5"/>
    <w:rsid w:val="00C06AD3"/>
    <w:rsid w:val="00C07EB0"/>
    <w:rsid w:val="00C119BF"/>
    <w:rsid w:val="00C15372"/>
    <w:rsid w:val="00C33027"/>
    <w:rsid w:val="00C37667"/>
    <w:rsid w:val="00C42934"/>
    <w:rsid w:val="00C435DB"/>
    <w:rsid w:val="00C44430"/>
    <w:rsid w:val="00C44D73"/>
    <w:rsid w:val="00C50B42"/>
    <w:rsid w:val="00C516FF"/>
    <w:rsid w:val="00C52BFA"/>
    <w:rsid w:val="00C53447"/>
    <w:rsid w:val="00C53D1D"/>
    <w:rsid w:val="00C53F26"/>
    <w:rsid w:val="00C540BC"/>
    <w:rsid w:val="00C54DC8"/>
    <w:rsid w:val="00C55273"/>
    <w:rsid w:val="00C64F7D"/>
    <w:rsid w:val="00C66EAF"/>
    <w:rsid w:val="00C67309"/>
    <w:rsid w:val="00C7614E"/>
    <w:rsid w:val="00C77BF1"/>
    <w:rsid w:val="00C80D60"/>
    <w:rsid w:val="00C82FBD"/>
    <w:rsid w:val="00C843C0"/>
    <w:rsid w:val="00C84E92"/>
    <w:rsid w:val="00C85267"/>
    <w:rsid w:val="00C8721B"/>
    <w:rsid w:val="00C90EA1"/>
    <w:rsid w:val="00C9372C"/>
    <w:rsid w:val="00C9470E"/>
    <w:rsid w:val="00C95CEB"/>
    <w:rsid w:val="00CA1054"/>
    <w:rsid w:val="00CA342B"/>
    <w:rsid w:val="00CA52AC"/>
    <w:rsid w:val="00CA63EB"/>
    <w:rsid w:val="00CA69F1"/>
    <w:rsid w:val="00CB6991"/>
    <w:rsid w:val="00CC6194"/>
    <w:rsid w:val="00CC6305"/>
    <w:rsid w:val="00CC78A5"/>
    <w:rsid w:val="00CD0516"/>
    <w:rsid w:val="00CD756B"/>
    <w:rsid w:val="00CE37E9"/>
    <w:rsid w:val="00CE734F"/>
    <w:rsid w:val="00CF112E"/>
    <w:rsid w:val="00CF5F4F"/>
    <w:rsid w:val="00D163F9"/>
    <w:rsid w:val="00D17A6B"/>
    <w:rsid w:val="00D218DC"/>
    <w:rsid w:val="00D22716"/>
    <w:rsid w:val="00D2472B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56FDF"/>
    <w:rsid w:val="00D6066A"/>
    <w:rsid w:val="00D62643"/>
    <w:rsid w:val="00D64C0F"/>
    <w:rsid w:val="00D67EF7"/>
    <w:rsid w:val="00D72EFE"/>
    <w:rsid w:val="00D7555D"/>
    <w:rsid w:val="00D76227"/>
    <w:rsid w:val="00D77DF1"/>
    <w:rsid w:val="00D82334"/>
    <w:rsid w:val="00D84096"/>
    <w:rsid w:val="00D869E5"/>
    <w:rsid w:val="00D86AFF"/>
    <w:rsid w:val="00D871BD"/>
    <w:rsid w:val="00D87FC2"/>
    <w:rsid w:val="00D91B99"/>
    <w:rsid w:val="00D949C1"/>
    <w:rsid w:val="00D95A44"/>
    <w:rsid w:val="00D95D16"/>
    <w:rsid w:val="00D97C76"/>
    <w:rsid w:val="00DA672B"/>
    <w:rsid w:val="00DB02B4"/>
    <w:rsid w:val="00DB28B5"/>
    <w:rsid w:val="00DB538D"/>
    <w:rsid w:val="00DC275C"/>
    <w:rsid w:val="00DC4B0D"/>
    <w:rsid w:val="00DC569A"/>
    <w:rsid w:val="00DC708F"/>
    <w:rsid w:val="00DC7FE1"/>
    <w:rsid w:val="00DD3F3F"/>
    <w:rsid w:val="00DD5572"/>
    <w:rsid w:val="00DE3122"/>
    <w:rsid w:val="00DE45E4"/>
    <w:rsid w:val="00DE5D80"/>
    <w:rsid w:val="00DE724F"/>
    <w:rsid w:val="00DF58CD"/>
    <w:rsid w:val="00DF65DE"/>
    <w:rsid w:val="00E019A5"/>
    <w:rsid w:val="00E02287"/>
    <w:rsid w:val="00E02EC8"/>
    <w:rsid w:val="00E037F5"/>
    <w:rsid w:val="00E04ECB"/>
    <w:rsid w:val="00E05178"/>
    <w:rsid w:val="00E05A09"/>
    <w:rsid w:val="00E06CA1"/>
    <w:rsid w:val="00E11E1F"/>
    <w:rsid w:val="00E12EAE"/>
    <w:rsid w:val="00E14D81"/>
    <w:rsid w:val="00E172B8"/>
    <w:rsid w:val="00E17FB4"/>
    <w:rsid w:val="00E20B75"/>
    <w:rsid w:val="00E213A4"/>
    <w:rsid w:val="00E214F2"/>
    <w:rsid w:val="00E219A4"/>
    <w:rsid w:val="00E219A7"/>
    <w:rsid w:val="00E2371E"/>
    <w:rsid w:val="00E24BD7"/>
    <w:rsid w:val="00E26523"/>
    <w:rsid w:val="00E26809"/>
    <w:rsid w:val="00E33F2C"/>
    <w:rsid w:val="00E3412D"/>
    <w:rsid w:val="00E504EB"/>
    <w:rsid w:val="00E5581E"/>
    <w:rsid w:val="00E57322"/>
    <w:rsid w:val="00E628CB"/>
    <w:rsid w:val="00E62AD9"/>
    <w:rsid w:val="00E638C8"/>
    <w:rsid w:val="00E7509B"/>
    <w:rsid w:val="00E7651E"/>
    <w:rsid w:val="00E86590"/>
    <w:rsid w:val="00E907FF"/>
    <w:rsid w:val="00E9101C"/>
    <w:rsid w:val="00E973CA"/>
    <w:rsid w:val="00EA42D1"/>
    <w:rsid w:val="00EA42EF"/>
    <w:rsid w:val="00EA5948"/>
    <w:rsid w:val="00EA7AE1"/>
    <w:rsid w:val="00EB21A7"/>
    <w:rsid w:val="00EB2DD1"/>
    <w:rsid w:val="00EB56AA"/>
    <w:rsid w:val="00EB6B37"/>
    <w:rsid w:val="00EC087C"/>
    <w:rsid w:val="00EC29FE"/>
    <w:rsid w:val="00EC3C70"/>
    <w:rsid w:val="00EC61FF"/>
    <w:rsid w:val="00ED1475"/>
    <w:rsid w:val="00ED3A3D"/>
    <w:rsid w:val="00ED538A"/>
    <w:rsid w:val="00ED6FBC"/>
    <w:rsid w:val="00EE2F16"/>
    <w:rsid w:val="00EE2F3B"/>
    <w:rsid w:val="00EE3861"/>
    <w:rsid w:val="00EF2E73"/>
    <w:rsid w:val="00EF7683"/>
    <w:rsid w:val="00EF7A2D"/>
    <w:rsid w:val="00F037DB"/>
    <w:rsid w:val="00F04F8D"/>
    <w:rsid w:val="00F10AD0"/>
    <w:rsid w:val="00F116CC"/>
    <w:rsid w:val="00F12BD1"/>
    <w:rsid w:val="00F15327"/>
    <w:rsid w:val="00F1585E"/>
    <w:rsid w:val="00F168CF"/>
    <w:rsid w:val="00F17632"/>
    <w:rsid w:val="00F20EB8"/>
    <w:rsid w:val="00F21578"/>
    <w:rsid w:val="00F24226"/>
    <w:rsid w:val="00F2555C"/>
    <w:rsid w:val="00F31DF3"/>
    <w:rsid w:val="00F33AE5"/>
    <w:rsid w:val="00F33D0F"/>
    <w:rsid w:val="00F3597D"/>
    <w:rsid w:val="00F4376D"/>
    <w:rsid w:val="00F45399"/>
    <w:rsid w:val="00F45763"/>
    <w:rsid w:val="00F465EA"/>
    <w:rsid w:val="00F51E67"/>
    <w:rsid w:val="00F54B72"/>
    <w:rsid w:val="00F54E7B"/>
    <w:rsid w:val="00F55A88"/>
    <w:rsid w:val="00F5629E"/>
    <w:rsid w:val="00F64814"/>
    <w:rsid w:val="00F64D89"/>
    <w:rsid w:val="00F679E6"/>
    <w:rsid w:val="00F74005"/>
    <w:rsid w:val="00F76884"/>
    <w:rsid w:val="00F81B17"/>
    <w:rsid w:val="00F81C44"/>
    <w:rsid w:val="00F83B5F"/>
    <w:rsid w:val="00F83D24"/>
    <w:rsid w:val="00F83DD9"/>
    <w:rsid w:val="00F83F40"/>
    <w:rsid w:val="00F878EF"/>
    <w:rsid w:val="00FA0655"/>
    <w:rsid w:val="00FA117A"/>
    <w:rsid w:val="00FA3B9F"/>
    <w:rsid w:val="00FA69D5"/>
    <w:rsid w:val="00FA6C69"/>
    <w:rsid w:val="00FB386A"/>
    <w:rsid w:val="00FC0786"/>
    <w:rsid w:val="00FC49EF"/>
    <w:rsid w:val="00FC754C"/>
    <w:rsid w:val="00FC7857"/>
    <w:rsid w:val="00FD126D"/>
    <w:rsid w:val="00FD361E"/>
    <w:rsid w:val="00FD597A"/>
    <w:rsid w:val="00FE1E38"/>
    <w:rsid w:val="00FE36E2"/>
    <w:rsid w:val="00FF11AD"/>
    <w:rsid w:val="00FF2971"/>
    <w:rsid w:val="00FF34D4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4C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F037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2F1B-D941-4FA3-AED8-40F04B4C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3483</Words>
  <Characters>20898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2022-02-11T14:03:00Z</dcterms:created>
  <dcterms:modified xsi:type="dcterms:W3CDTF">2022-02-11T14:03:00Z</dcterms:modified>
</cp:coreProperties>
</file>