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0CC2" w14:textId="77777777" w:rsidR="00555DC0" w:rsidRPr="0040535D" w:rsidRDefault="00555DC0" w:rsidP="00C3452D">
      <w:pPr>
        <w:pStyle w:val="OZNRODZAKTUtznustawalubrozporzdzenieiorganwydajcy"/>
        <w:rPr>
          <w:rFonts w:ascii="Times New Roman" w:hAnsi="Times New Roman"/>
        </w:rPr>
      </w:pPr>
      <w:r w:rsidRPr="0040535D">
        <w:rPr>
          <w:rFonts w:ascii="Times New Roman" w:hAnsi="Times New Roman"/>
        </w:rPr>
        <w:t xml:space="preserve">Uzasadnienie </w:t>
      </w:r>
    </w:p>
    <w:p w14:paraId="31E87726" w14:textId="77777777" w:rsidR="00184FB5" w:rsidRPr="0040535D" w:rsidRDefault="00555DC0" w:rsidP="008D4E79">
      <w:pPr>
        <w:spacing w:after="0" w:line="360" w:lineRule="auto"/>
        <w:jc w:val="both"/>
        <w:rPr>
          <w:rFonts w:ascii="Times New Roman" w:hAnsi="Times New Roman"/>
          <w:sz w:val="24"/>
          <w:szCs w:val="24"/>
        </w:rPr>
      </w:pPr>
      <w:r w:rsidRPr="0040535D">
        <w:rPr>
          <w:rFonts w:ascii="Times New Roman" w:hAnsi="Times New Roman"/>
          <w:sz w:val="24"/>
          <w:szCs w:val="24"/>
        </w:rPr>
        <w:t xml:space="preserve">Zgodnie z art. 146 </w:t>
      </w:r>
      <w:r w:rsidR="00203DE2" w:rsidRPr="0040535D">
        <w:rPr>
          <w:rFonts w:ascii="Times New Roman" w:hAnsi="Times New Roman"/>
          <w:sz w:val="24"/>
          <w:szCs w:val="24"/>
        </w:rPr>
        <w:t xml:space="preserve">ust. 1 </w:t>
      </w:r>
      <w:r w:rsidRPr="0040535D">
        <w:rPr>
          <w:rFonts w:ascii="Times New Roman" w:hAnsi="Times New Roman"/>
          <w:sz w:val="24"/>
          <w:szCs w:val="24"/>
        </w:rPr>
        <w:t>Konstytucji Rzeczypospolitej Polskiej, Rada Ministrów prowadzi politykę wewnętrzną. Składa się na nią polityka odzwierciedlająca działania państwa na różnych płaszczyznach społecznych i gospodarczych, między innymi polityka bezpieczeństwa, polityka zdrowotna oraz polityka rozwoju. Projektowana ustawa zawiera regulacje z zakresu polityki rozwoju realizowanej przy współudziale środków finansowych pochodzących z</w:t>
      </w:r>
      <w:r w:rsidR="009B39F4" w:rsidRPr="0040535D">
        <w:rPr>
          <w:rFonts w:ascii="Times New Roman" w:hAnsi="Times New Roman"/>
          <w:sz w:val="24"/>
          <w:szCs w:val="24"/>
        </w:rPr>
        <w:t xml:space="preserve">e środków europejskich </w:t>
      </w:r>
      <w:r w:rsidRPr="0040535D">
        <w:rPr>
          <w:rFonts w:ascii="Times New Roman" w:hAnsi="Times New Roman"/>
          <w:sz w:val="24"/>
          <w:szCs w:val="24"/>
        </w:rPr>
        <w:t>służących realizacji unijnej polityki regionalnej.</w:t>
      </w:r>
      <w:r w:rsidR="00184FB5" w:rsidRPr="0040535D">
        <w:rPr>
          <w:rFonts w:ascii="Times New Roman" w:hAnsi="Times New Roman"/>
          <w:sz w:val="24"/>
          <w:szCs w:val="24"/>
        </w:rPr>
        <w:t xml:space="preserve"> Projekt stanowi kluczową regulację mającą umożliwić dokonanie skutecznej absorpcji całej przysługującej Polsce alokacji z nowego budżetu wieloletniego Unii Europejskiej, jak również ze środków unijnego Instrumentu na rzecz Odbudowy i Zwiększania Odporności. </w:t>
      </w:r>
    </w:p>
    <w:p w14:paraId="3E2FAC45" w14:textId="77777777" w:rsidR="00555DC0" w:rsidRPr="0040535D" w:rsidRDefault="00184FB5" w:rsidP="008D4E79">
      <w:pPr>
        <w:spacing w:after="0" w:line="360" w:lineRule="auto"/>
        <w:jc w:val="both"/>
        <w:rPr>
          <w:rFonts w:ascii="Times New Roman" w:hAnsi="Times New Roman"/>
          <w:sz w:val="24"/>
          <w:szCs w:val="24"/>
        </w:rPr>
      </w:pPr>
      <w:r w:rsidRPr="0040535D">
        <w:rPr>
          <w:rFonts w:ascii="Times New Roman" w:hAnsi="Times New Roman"/>
          <w:sz w:val="24"/>
          <w:szCs w:val="24"/>
        </w:rPr>
        <w:t>Projekt ustawy określa kompleksowe rozwiązania wdrożeniowe dedykowane zarządzaniu programami z zakresu polityki spójności, opisanymi w tzw. umowie partnerstwa (przepisy w tym zakresie są co do zasady analogiczne do rozwiązań stosowanych już obecnie w programach polityki spójności, określonych w ustawie z dnia 11 lipca 2014 r. o zasadach realizacji programów w zakresie polityki spójności w perspektywie finansowej 2014-2020).</w:t>
      </w:r>
    </w:p>
    <w:p w14:paraId="45F0A723" w14:textId="77777777" w:rsidR="00555DC0" w:rsidRPr="0040535D" w:rsidRDefault="00555DC0" w:rsidP="008D4E79">
      <w:pPr>
        <w:spacing w:after="0" w:line="360" w:lineRule="auto"/>
        <w:jc w:val="both"/>
        <w:rPr>
          <w:rFonts w:ascii="Times New Roman" w:hAnsi="Times New Roman"/>
          <w:sz w:val="24"/>
          <w:szCs w:val="24"/>
        </w:rPr>
      </w:pPr>
      <w:r w:rsidRPr="0040535D">
        <w:rPr>
          <w:rFonts w:ascii="Times New Roman" w:hAnsi="Times New Roman"/>
          <w:sz w:val="24"/>
          <w:szCs w:val="24"/>
        </w:rPr>
        <w:t>Konieczność opracowania nowej ustawy wynika z rozpoczęcia w 2021 roku nowej, siedmioletniej perspektywy finansowania polityki spójności z budżetu Unii Europejskiej, w oparciu o nowy pakiet unijnych aktów prawnych regulujących zasady wdrażania tej polityki.</w:t>
      </w:r>
    </w:p>
    <w:p w14:paraId="3C48BBE9" w14:textId="77777777" w:rsidR="00555DC0" w:rsidRPr="0040535D" w:rsidRDefault="00555DC0" w:rsidP="008D4E79">
      <w:pPr>
        <w:spacing w:after="0" w:line="360" w:lineRule="auto"/>
        <w:jc w:val="both"/>
        <w:rPr>
          <w:rFonts w:ascii="Times New Roman" w:hAnsi="Times New Roman"/>
          <w:sz w:val="24"/>
          <w:szCs w:val="24"/>
        </w:rPr>
      </w:pPr>
      <w:r w:rsidRPr="0040535D">
        <w:rPr>
          <w:rFonts w:ascii="Times New Roman" w:hAnsi="Times New Roman"/>
          <w:sz w:val="24"/>
          <w:szCs w:val="24"/>
        </w:rPr>
        <w:t xml:space="preserve">Poszczególne </w:t>
      </w:r>
      <w:r w:rsidR="00203DE2" w:rsidRPr="0040535D">
        <w:rPr>
          <w:rFonts w:ascii="Times New Roman" w:hAnsi="Times New Roman"/>
          <w:sz w:val="24"/>
          <w:szCs w:val="24"/>
        </w:rPr>
        <w:t xml:space="preserve">przepisy </w:t>
      </w:r>
      <w:r w:rsidRPr="0040535D">
        <w:rPr>
          <w:rFonts w:ascii="Times New Roman" w:hAnsi="Times New Roman"/>
          <w:sz w:val="24"/>
          <w:szCs w:val="24"/>
        </w:rPr>
        <w:t>projektu ustawy</w:t>
      </w:r>
      <w:r w:rsidR="0060178C" w:rsidRPr="0040535D">
        <w:rPr>
          <w:rFonts w:ascii="Times New Roman" w:hAnsi="Times New Roman"/>
          <w:sz w:val="24"/>
          <w:szCs w:val="24"/>
        </w:rPr>
        <w:t xml:space="preserve"> w zakresie wdrożenia programów w zakresie polityki spójności </w:t>
      </w:r>
      <w:r w:rsidRPr="0040535D">
        <w:rPr>
          <w:rFonts w:ascii="Times New Roman" w:hAnsi="Times New Roman"/>
          <w:sz w:val="24"/>
          <w:szCs w:val="24"/>
        </w:rPr>
        <w:t xml:space="preserve"> opracowane zostały w oparciu o:</w:t>
      </w:r>
    </w:p>
    <w:p w14:paraId="4D5DBD73" w14:textId="77777777" w:rsidR="00555DC0" w:rsidRPr="0040535D" w:rsidRDefault="00555DC0" w:rsidP="008D4E79">
      <w:pPr>
        <w:numPr>
          <w:ilvl w:val="0"/>
          <w:numId w:val="2"/>
        </w:numPr>
        <w:spacing w:after="0" w:line="360" w:lineRule="auto"/>
        <w:jc w:val="both"/>
        <w:rPr>
          <w:rFonts w:ascii="Times New Roman" w:hAnsi="Times New Roman"/>
          <w:sz w:val="24"/>
          <w:szCs w:val="24"/>
        </w:rPr>
      </w:pPr>
      <w:r w:rsidRPr="0040535D">
        <w:rPr>
          <w:rFonts w:ascii="Times New Roman" w:hAnsi="Times New Roman"/>
          <w:sz w:val="24"/>
          <w:szCs w:val="24"/>
        </w:rPr>
        <w:t xml:space="preserve">rozporządzenie ogólne – rozporządzenie Parlamentu Europejskiego i Rady (UE) nr </w:t>
      </w:r>
      <w:r w:rsidR="00C0629B" w:rsidRPr="0040535D">
        <w:rPr>
          <w:rFonts w:ascii="Times New Roman" w:hAnsi="Times New Roman"/>
          <w:sz w:val="24"/>
          <w:szCs w:val="24"/>
        </w:rPr>
        <w:t>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w:t>
      </w:r>
      <w:r w:rsidRPr="0040535D">
        <w:rPr>
          <w:rFonts w:ascii="Times New Roman" w:hAnsi="Times New Roman"/>
          <w:sz w:val="24"/>
          <w:szCs w:val="24"/>
        </w:rPr>
        <w:t>;</w:t>
      </w:r>
    </w:p>
    <w:p w14:paraId="2039BC85" w14:textId="77777777" w:rsidR="00555DC0" w:rsidRPr="0040535D" w:rsidRDefault="00555DC0" w:rsidP="008D4E79">
      <w:pPr>
        <w:numPr>
          <w:ilvl w:val="0"/>
          <w:numId w:val="2"/>
        </w:numPr>
        <w:spacing w:after="0" w:line="360" w:lineRule="auto"/>
        <w:jc w:val="both"/>
        <w:rPr>
          <w:rFonts w:ascii="Times New Roman" w:hAnsi="Times New Roman"/>
          <w:sz w:val="24"/>
          <w:szCs w:val="24"/>
        </w:rPr>
      </w:pPr>
      <w:r w:rsidRPr="0040535D">
        <w:rPr>
          <w:rFonts w:ascii="Times New Roman" w:hAnsi="Times New Roman"/>
          <w:sz w:val="24"/>
          <w:szCs w:val="24"/>
        </w:rPr>
        <w:t xml:space="preserve">rozporządzenie EFRR i Funduszu Spójności - rozporządzenie Parlamentu Europejskiego i Rady (UE) nr </w:t>
      </w:r>
      <w:r w:rsidR="00C0629B" w:rsidRPr="0040535D">
        <w:rPr>
          <w:rFonts w:ascii="Times New Roman" w:hAnsi="Times New Roman"/>
          <w:sz w:val="24"/>
          <w:szCs w:val="24"/>
        </w:rPr>
        <w:t>2021/1058 z dnia 24 czerwca 2021 r. w sprawie Europejskiego Funduszu Rozwoju Regionalnego i Funduszu Spójności (Dz. Urz. UE L 231 z 30.06.2021, str. 60)</w:t>
      </w:r>
      <w:r w:rsidRPr="0040535D">
        <w:rPr>
          <w:rFonts w:ascii="Times New Roman" w:hAnsi="Times New Roman"/>
          <w:sz w:val="24"/>
          <w:szCs w:val="24"/>
        </w:rPr>
        <w:t>;</w:t>
      </w:r>
    </w:p>
    <w:p w14:paraId="620208B1" w14:textId="77777777" w:rsidR="00555DC0" w:rsidRPr="0040535D" w:rsidRDefault="00555DC0" w:rsidP="008D4E79">
      <w:pPr>
        <w:numPr>
          <w:ilvl w:val="0"/>
          <w:numId w:val="2"/>
        </w:numPr>
        <w:spacing w:after="0" w:line="360" w:lineRule="auto"/>
        <w:jc w:val="both"/>
        <w:rPr>
          <w:rFonts w:ascii="Times New Roman" w:hAnsi="Times New Roman"/>
          <w:sz w:val="24"/>
          <w:szCs w:val="24"/>
        </w:rPr>
      </w:pPr>
      <w:r w:rsidRPr="0040535D">
        <w:rPr>
          <w:rFonts w:ascii="Times New Roman" w:hAnsi="Times New Roman"/>
          <w:sz w:val="24"/>
          <w:szCs w:val="24"/>
        </w:rPr>
        <w:t>rozporządzenie EFS</w:t>
      </w:r>
      <w:r w:rsidR="00E14F40" w:rsidRPr="0040535D">
        <w:rPr>
          <w:rFonts w:ascii="Times New Roman" w:hAnsi="Times New Roman"/>
          <w:sz w:val="24"/>
          <w:szCs w:val="24"/>
        </w:rPr>
        <w:t>+</w:t>
      </w:r>
      <w:r w:rsidRPr="0040535D">
        <w:rPr>
          <w:rFonts w:ascii="Times New Roman" w:hAnsi="Times New Roman"/>
          <w:sz w:val="24"/>
          <w:szCs w:val="24"/>
        </w:rPr>
        <w:t xml:space="preserve"> – rozporządzenie Parlamentu Europejskiego i Rady (UE) nr </w:t>
      </w:r>
      <w:r w:rsidR="00C0629B" w:rsidRPr="0040535D">
        <w:rPr>
          <w:rFonts w:ascii="Times New Roman" w:hAnsi="Times New Roman"/>
          <w:sz w:val="24"/>
          <w:szCs w:val="24"/>
        </w:rPr>
        <w:t xml:space="preserve">2021/1057 z dnia 24 czerwca 2021 r. ustanawiające Europejski Fundusz Społeczny Plus </w:t>
      </w:r>
      <w:r w:rsidR="00C0629B" w:rsidRPr="0040535D">
        <w:rPr>
          <w:rFonts w:ascii="Times New Roman" w:hAnsi="Times New Roman"/>
          <w:sz w:val="24"/>
          <w:szCs w:val="24"/>
        </w:rPr>
        <w:lastRenderedPageBreak/>
        <w:t>(EFS+) oraz uchylające rozporządzenie (UE) nr 1296/2013 (Dz. Urz. UE L 231 z 30.06.2021, str. 21</w:t>
      </w:r>
      <w:r w:rsidR="001D64B0">
        <w:rPr>
          <w:rFonts w:ascii="Times New Roman" w:hAnsi="Times New Roman"/>
          <w:sz w:val="24"/>
          <w:szCs w:val="24"/>
        </w:rPr>
        <w:t xml:space="preserve">, z </w:t>
      </w:r>
      <w:proofErr w:type="spellStart"/>
      <w:r w:rsidR="001D64B0">
        <w:rPr>
          <w:rFonts w:ascii="Times New Roman" w:hAnsi="Times New Roman"/>
          <w:sz w:val="24"/>
          <w:szCs w:val="24"/>
        </w:rPr>
        <w:t>późn</w:t>
      </w:r>
      <w:proofErr w:type="spellEnd"/>
      <w:r w:rsidR="001D64B0">
        <w:rPr>
          <w:rFonts w:ascii="Times New Roman" w:hAnsi="Times New Roman"/>
          <w:sz w:val="24"/>
          <w:szCs w:val="24"/>
        </w:rPr>
        <w:t>. zm.</w:t>
      </w:r>
      <w:r w:rsidR="00C0629B" w:rsidRPr="0040535D">
        <w:rPr>
          <w:rFonts w:ascii="Times New Roman" w:hAnsi="Times New Roman"/>
          <w:sz w:val="24"/>
          <w:szCs w:val="24"/>
        </w:rPr>
        <w:t>)</w:t>
      </w:r>
      <w:r w:rsidRPr="0040535D">
        <w:rPr>
          <w:rFonts w:ascii="Times New Roman" w:hAnsi="Times New Roman"/>
          <w:sz w:val="24"/>
          <w:szCs w:val="24"/>
        </w:rPr>
        <w:t>;</w:t>
      </w:r>
    </w:p>
    <w:p w14:paraId="031447FE" w14:textId="77777777" w:rsidR="00555DC0" w:rsidRPr="0040535D" w:rsidRDefault="00555DC0" w:rsidP="008D4E79">
      <w:pPr>
        <w:numPr>
          <w:ilvl w:val="0"/>
          <w:numId w:val="2"/>
        </w:numPr>
        <w:spacing w:after="0" w:line="360" w:lineRule="auto"/>
        <w:jc w:val="both"/>
        <w:rPr>
          <w:rFonts w:ascii="Times New Roman" w:hAnsi="Times New Roman"/>
          <w:sz w:val="24"/>
          <w:szCs w:val="24"/>
        </w:rPr>
      </w:pPr>
      <w:r w:rsidRPr="0040535D">
        <w:rPr>
          <w:rFonts w:ascii="Times New Roman" w:hAnsi="Times New Roman"/>
          <w:sz w:val="24"/>
          <w:szCs w:val="24"/>
        </w:rPr>
        <w:t xml:space="preserve">rozporządzenie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 rozporządzenie Parlamentu Europejskiego i Rady (UE) nr </w:t>
      </w:r>
      <w:r w:rsidR="00C0629B" w:rsidRPr="0040535D">
        <w:rPr>
          <w:rFonts w:ascii="Times New Roman" w:hAnsi="Times New Roman"/>
          <w:sz w:val="24"/>
          <w:szCs w:val="24"/>
        </w:rPr>
        <w:t>2021/1059 z dnia 24 czerwca 2021 r. w sprawie przepisów szczegółowych dotyczących celu „Europejska współpraca terytorialna” (</w:t>
      </w:r>
      <w:proofErr w:type="spellStart"/>
      <w:r w:rsidR="00C0629B" w:rsidRPr="0040535D">
        <w:rPr>
          <w:rFonts w:ascii="Times New Roman" w:hAnsi="Times New Roman"/>
          <w:sz w:val="24"/>
          <w:szCs w:val="24"/>
        </w:rPr>
        <w:t>Interreg</w:t>
      </w:r>
      <w:proofErr w:type="spellEnd"/>
      <w:r w:rsidR="00C0629B" w:rsidRPr="0040535D">
        <w:rPr>
          <w:rFonts w:ascii="Times New Roman" w:hAnsi="Times New Roman"/>
          <w:sz w:val="24"/>
          <w:szCs w:val="24"/>
        </w:rPr>
        <w:t>) wspieranego w ramach Europejskiego Funduszu Rozwoju Regionalnego oraz instrumentów finansowania zewnętrznego (Dz. Urz. UE L 231 z 30.06.2021, str. 94)</w:t>
      </w:r>
      <w:r w:rsidRPr="0040535D">
        <w:rPr>
          <w:rFonts w:ascii="Times New Roman" w:hAnsi="Times New Roman"/>
          <w:sz w:val="24"/>
          <w:szCs w:val="24"/>
        </w:rPr>
        <w:t>;</w:t>
      </w:r>
    </w:p>
    <w:p w14:paraId="3C1A9F02" w14:textId="77777777" w:rsidR="00555DC0" w:rsidRPr="0040535D" w:rsidRDefault="00DF2099" w:rsidP="008D4E79">
      <w:pPr>
        <w:numPr>
          <w:ilvl w:val="0"/>
          <w:numId w:val="2"/>
        </w:numPr>
        <w:spacing w:after="0" w:line="360" w:lineRule="auto"/>
        <w:jc w:val="both"/>
        <w:rPr>
          <w:rFonts w:ascii="Times New Roman" w:hAnsi="Times New Roman"/>
          <w:sz w:val="24"/>
          <w:szCs w:val="24"/>
        </w:rPr>
      </w:pPr>
      <w:r w:rsidRPr="0040535D">
        <w:rPr>
          <w:rFonts w:ascii="Times New Roman" w:hAnsi="Times New Roman"/>
          <w:sz w:val="24"/>
          <w:szCs w:val="24"/>
        </w:rPr>
        <w:t>r</w:t>
      </w:r>
      <w:r w:rsidR="00555DC0" w:rsidRPr="0040535D">
        <w:rPr>
          <w:rFonts w:ascii="Times New Roman" w:hAnsi="Times New Roman"/>
          <w:sz w:val="24"/>
          <w:szCs w:val="24"/>
        </w:rPr>
        <w:t>ozporządzenie FST – rozporządzenie Parlamentu Europejskiego i Rady (UE)</w:t>
      </w:r>
      <w:r w:rsidR="00373D9D" w:rsidRPr="0040535D">
        <w:rPr>
          <w:rFonts w:ascii="Times New Roman" w:hAnsi="Times New Roman"/>
          <w:sz w:val="24"/>
          <w:szCs w:val="24"/>
        </w:rPr>
        <w:t xml:space="preserve"> nr </w:t>
      </w:r>
      <w:r w:rsidR="00C0629B" w:rsidRPr="0040535D">
        <w:rPr>
          <w:rFonts w:ascii="Times New Roman" w:hAnsi="Times New Roman"/>
          <w:sz w:val="24"/>
          <w:szCs w:val="24"/>
        </w:rPr>
        <w:t>2021/1056 z dnia 24 czerwca 2021 r. ustanawiające Fundusz na rzecz Sprawiedliwej Transformacji (Dz. Urz. UE L 231 z 30.06.2021, str. 1</w:t>
      </w:r>
      <w:r w:rsidR="001D64B0">
        <w:rPr>
          <w:rFonts w:ascii="Times New Roman" w:hAnsi="Times New Roman"/>
          <w:sz w:val="24"/>
          <w:szCs w:val="24"/>
        </w:rPr>
        <w:t xml:space="preserve">, z </w:t>
      </w:r>
      <w:proofErr w:type="spellStart"/>
      <w:r w:rsidR="001D64B0">
        <w:rPr>
          <w:rFonts w:ascii="Times New Roman" w:hAnsi="Times New Roman"/>
          <w:sz w:val="24"/>
          <w:szCs w:val="24"/>
        </w:rPr>
        <w:t>późn</w:t>
      </w:r>
      <w:proofErr w:type="spellEnd"/>
      <w:r w:rsidR="001D64B0">
        <w:rPr>
          <w:rFonts w:ascii="Times New Roman" w:hAnsi="Times New Roman"/>
          <w:sz w:val="24"/>
          <w:szCs w:val="24"/>
        </w:rPr>
        <w:t>. zm.</w:t>
      </w:r>
      <w:r w:rsidR="00C0629B" w:rsidRPr="0040535D">
        <w:rPr>
          <w:rFonts w:ascii="Times New Roman" w:hAnsi="Times New Roman"/>
          <w:sz w:val="24"/>
          <w:szCs w:val="24"/>
        </w:rPr>
        <w:t>)</w:t>
      </w:r>
      <w:r w:rsidR="002535AF" w:rsidRPr="0040535D">
        <w:rPr>
          <w:rFonts w:ascii="Times New Roman" w:hAnsi="Times New Roman"/>
          <w:sz w:val="24"/>
          <w:szCs w:val="24"/>
        </w:rPr>
        <w:t>.</w:t>
      </w:r>
    </w:p>
    <w:p w14:paraId="6452F15C" w14:textId="77777777" w:rsidR="00555DC0" w:rsidRPr="0040535D" w:rsidRDefault="00555DC0" w:rsidP="008D4E79">
      <w:pPr>
        <w:spacing w:after="0" w:line="360" w:lineRule="auto"/>
        <w:jc w:val="both"/>
        <w:rPr>
          <w:rFonts w:ascii="Times New Roman" w:hAnsi="Times New Roman"/>
          <w:sz w:val="24"/>
          <w:szCs w:val="24"/>
        </w:rPr>
      </w:pPr>
    </w:p>
    <w:p w14:paraId="5D023AE6" w14:textId="77777777" w:rsidR="00555DC0" w:rsidRPr="0040535D" w:rsidRDefault="00555DC0" w:rsidP="00A01FB5">
      <w:pPr>
        <w:spacing w:after="0" w:line="360" w:lineRule="auto"/>
        <w:jc w:val="both"/>
        <w:rPr>
          <w:rFonts w:ascii="Times New Roman" w:hAnsi="Times New Roman"/>
          <w:sz w:val="24"/>
          <w:szCs w:val="24"/>
        </w:rPr>
      </w:pPr>
      <w:r w:rsidRPr="0040535D">
        <w:rPr>
          <w:rFonts w:ascii="Times New Roman" w:hAnsi="Times New Roman"/>
          <w:sz w:val="24"/>
          <w:szCs w:val="24"/>
        </w:rPr>
        <w:t>W projekcie ustawy wprowadza się przepisy szczegółowe zapewniające pewność prawną w zakresie, w jakim przepisy unijne są nieprecyzyjne lub niewystarczające z punktu widzenia systemu prawa krajowego, m.in. w zakresie definiowania nieprawidłowości, systemu korekt, czy kontroli. Ustawa przewiduje także uproszczenia w systemie rozliczeń z beneficjentami oraz zmiany ustawy o finansach publicznych upraszczające wdrażanie funduszy polityki spójności.</w:t>
      </w:r>
    </w:p>
    <w:p w14:paraId="399A79A6" w14:textId="77777777" w:rsidR="00555DC0" w:rsidRPr="0040535D" w:rsidRDefault="00555DC0" w:rsidP="00892DB5">
      <w:pPr>
        <w:spacing w:after="0" w:line="360" w:lineRule="auto"/>
        <w:jc w:val="both"/>
        <w:rPr>
          <w:rFonts w:ascii="Times New Roman" w:hAnsi="Times New Roman"/>
          <w:sz w:val="24"/>
          <w:szCs w:val="24"/>
        </w:rPr>
      </w:pPr>
      <w:r w:rsidRPr="0040535D">
        <w:rPr>
          <w:rFonts w:ascii="Times New Roman" w:hAnsi="Times New Roman"/>
          <w:sz w:val="24"/>
          <w:szCs w:val="24"/>
        </w:rPr>
        <w:t>Głównym celem projektowanej ustawy jest:</w:t>
      </w:r>
    </w:p>
    <w:p w14:paraId="7639A4F3" w14:textId="77777777" w:rsidR="00555DC0" w:rsidRPr="0040535D" w:rsidRDefault="00555DC0" w:rsidP="002B30D0">
      <w:pPr>
        <w:numPr>
          <w:ilvl w:val="0"/>
          <w:numId w:val="3"/>
        </w:numPr>
        <w:spacing w:after="0" w:line="360" w:lineRule="auto"/>
        <w:jc w:val="both"/>
        <w:rPr>
          <w:rFonts w:ascii="Times New Roman" w:hAnsi="Times New Roman"/>
          <w:sz w:val="24"/>
          <w:szCs w:val="24"/>
        </w:rPr>
      </w:pPr>
      <w:r w:rsidRPr="0040535D">
        <w:rPr>
          <w:rFonts w:ascii="Times New Roman" w:hAnsi="Times New Roman"/>
          <w:sz w:val="24"/>
          <w:szCs w:val="24"/>
        </w:rPr>
        <w:t>wprowadzenie mechanizmów koordynacji realizacji programów wspófinansowanych ze środków funduszy strukturalnych, Funduszu na rzecz Sprawiedliwej Transformacji i Funduszu Spójności;</w:t>
      </w:r>
    </w:p>
    <w:p w14:paraId="1C7A01B4" w14:textId="77777777" w:rsidR="00555DC0" w:rsidRPr="0040535D" w:rsidRDefault="00555DC0" w:rsidP="00EC2541">
      <w:pPr>
        <w:numPr>
          <w:ilvl w:val="0"/>
          <w:numId w:val="3"/>
        </w:numPr>
        <w:spacing w:after="0" w:line="360" w:lineRule="auto"/>
        <w:jc w:val="both"/>
        <w:rPr>
          <w:rFonts w:ascii="Times New Roman" w:hAnsi="Times New Roman"/>
          <w:sz w:val="24"/>
          <w:szCs w:val="24"/>
        </w:rPr>
      </w:pPr>
      <w:r w:rsidRPr="0040535D">
        <w:rPr>
          <w:rFonts w:ascii="Times New Roman" w:hAnsi="Times New Roman"/>
          <w:sz w:val="24"/>
          <w:szCs w:val="24"/>
        </w:rPr>
        <w:t>określenie podmiotów zaangażowanych w proces wdrażania funduszy strukturalnych, Funduszu na rzecz Sprawiedliwej Transformacji i Funduszu Spójności, ich zadań i trybu współpracy między nimi;</w:t>
      </w:r>
    </w:p>
    <w:p w14:paraId="0FA020F3" w14:textId="77777777" w:rsidR="00555DC0" w:rsidRPr="0040535D" w:rsidRDefault="00555DC0" w:rsidP="004B71D0">
      <w:pPr>
        <w:numPr>
          <w:ilvl w:val="0"/>
          <w:numId w:val="3"/>
        </w:numPr>
        <w:spacing w:after="0" w:line="360" w:lineRule="auto"/>
        <w:jc w:val="both"/>
        <w:rPr>
          <w:rFonts w:ascii="Times New Roman" w:hAnsi="Times New Roman"/>
          <w:sz w:val="24"/>
          <w:szCs w:val="24"/>
        </w:rPr>
      </w:pPr>
      <w:r w:rsidRPr="0040535D">
        <w:rPr>
          <w:rFonts w:ascii="Times New Roman" w:hAnsi="Times New Roman"/>
          <w:sz w:val="24"/>
          <w:szCs w:val="24"/>
        </w:rPr>
        <w:t>zdefiniowanie zasad wdrażania funduszy strukturalnych, Funduszu na rzecz Sprawiedliwej Transformacji i Funduszu Spójności;</w:t>
      </w:r>
    </w:p>
    <w:p w14:paraId="0D1CB37E" w14:textId="77777777" w:rsidR="00555DC0" w:rsidRPr="0040535D" w:rsidRDefault="00555DC0" w:rsidP="00312C3F">
      <w:pPr>
        <w:numPr>
          <w:ilvl w:val="0"/>
          <w:numId w:val="3"/>
        </w:numPr>
        <w:spacing w:after="0" w:line="360" w:lineRule="auto"/>
        <w:jc w:val="both"/>
        <w:rPr>
          <w:rFonts w:ascii="Times New Roman" w:hAnsi="Times New Roman"/>
          <w:sz w:val="24"/>
          <w:szCs w:val="24"/>
        </w:rPr>
      </w:pPr>
      <w:r w:rsidRPr="0040535D">
        <w:rPr>
          <w:rFonts w:ascii="Times New Roman" w:hAnsi="Times New Roman"/>
          <w:sz w:val="24"/>
          <w:szCs w:val="24"/>
        </w:rPr>
        <w:t>zdefiniowanie podstawowych dokumentów służących wdrażaniu funduszy strukturalnych, Funduszu na rzecz Sprawiedliwej Transformacji i Funduszu Spójności.</w:t>
      </w:r>
    </w:p>
    <w:p w14:paraId="211E9881" w14:textId="77777777" w:rsidR="00555DC0" w:rsidRPr="0040535D" w:rsidRDefault="00555DC0" w:rsidP="00100244">
      <w:pPr>
        <w:spacing w:after="0" w:line="360" w:lineRule="auto"/>
        <w:jc w:val="both"/>
        <w:rPr>
          <w:rFonts w:ascii="Times New Roman" w:hAnsi="Times New Roman"/>
          <w:sz w:val="24"/>
          <w:szCs w:val="24"/>
        </w:rPr>
      </w:pPr>
      <w:r w:rsidRPr="0040535D">
        <w:rPr>
          <w:rFonts w:ascii="Times New Roman" w:hAnsi="Times New Roman"/>
          <w:sz w:val="24"/>
          <w:szCs w:val="24"/>
        </w:rPr>
        <w:t>Projekt ustawy określa m.in.:</w:t>
      </w:r>
    </w:p>
    <w:p w14:paraId="2DCD5B64" w14:textId="77777777" w:rsidR="00555DC0" w:rsidRPr="0040535D" w:rsidRDefault="00555DC0" w:rsidP="00100244">
      <w:pPr>
        <w:numPr>
          <w:ilvl w:val="0"/>
          <w:numId w:val="3"/>
        </w:numPr>
        <w:spacing w:after="0" w:line="360" w:lineRule="auto"/>
        <w:jc w:val="both"/>
        <w:rPr>
          <w:rFonts w:ascii="Times New Roman" w:hAnsi="Times New Roman"/>
          <w:sz w:val="24"/>
          <w:szCs w:val="24"/>
        </w:rPr>
      </w:pPr>
      <w:r w:rsidRPr="0040535D">
        <w:rPr>
          <w:rFonts w:ascii="Times New Roman" w:hAnsi="Times New Roman"/>
          <w:sz w:val="24"/>
          <w:szCs w:val="24"/>
        </w:rPr>
        <w:t>system instytucjonalny;</w:t>
      </w:r>
    </w:p>
    <w:p w14:paraId="3A37CC97" w14:textId="77777777" w:rsidR="00555DC0" w:rsidRPr="0040535D" w:rsidRDefault="00555DC0" w:rsidP="00B603B4">
      <w:pPr>
        <w:numPr>
          <w:ilvl w:val="0"/>
          <w:numId w:val="3"/>
        </w:numPr>
        <w:spacing w:after="0" w:line="360" w:lineRule="auto"/>
        <w:jc w:val="both"/>
        <w:rPr>
          <w:rFonts w:ascii="Times New Roman" w:hAnsi="Times New Roman"/>
          <w:sz w:val="24"/>
          <w:szCs w:val="24"/>
        </w:rPr>
      </w:pPr>
      <w:r w:rsidRPr="0040535D">
        <w:rPr>
          <w:rFonts w:ascii="Times New Roman" w:hAnsi="Times New Roman"/>
          <w:sz w:val="24"/>
          <w:szCs w:val="24"/>
        </w:rPr>
        <w:t>kwestie finansowe związane m.in. z rozliczeniami z Komisją Europejską;</w:t>
      </w:r>
    </w:p>
    <w:p w14:paraId="09B09EB7" w14:textId="77777777" w:rsidR="00555DC0" w:rsidRPr="0040535D" w:rsidRDefault="00555DC0" w:rsidP="00523EA5">
      <w:pPr>
        <w:numPr>
          <w:ilvl w:val="0"/>
          <w:numId w:val="3"/>
        </w:numPr>
        <w:spacing w:after="0" w:line="360" w:lineRule="auto"/>
        <w:jc w:val="both"/>
        <w:rPr>
          <w:rFonts w:ascii="Times New Roman" w:hAnsi="Times New Roman"/>
          <w:sz w:val="24"/>
          <w:szCs w:val="24"/>
        </w:rPr>
      </w:pPr>
      <w:r w:rsidRPr="0040535D">
        <w:rPr>
          <w:rFonts w:ascii="Times New Roman" w:hAnsi="Times New Roman"/>
          <w:sz w:val="24"/>
          <w:szCs w:val="24"/>
        </w:rPr>
        <w:t>kwestie dotyczące kontroli, nieprawidłowości i nakładania korekt;</w:t>
      </w:r>
    </w:p>
    <w:p w14:paraId="57C58E7F" w14:textId="77777777" w:rsidR="00555DC0" w:rsidRPr="0040535D" w:rsidRDefault="00555DC0" w:rsidP="00523EA5">
      <w:pPr>
        <w:numPr>
          <w:ilvl w:val="0"/>
          <w:numId w:val="3"/>
        </w:numPr>
        <w:spacing w:after="0" w:line="360" w:lineRule="auto"/>
        <w:jc w:val="both"/>
        <w:rPr>
          <w:rFonts w:ascii="Times New Roman" w:hAnsi="Times New Roman"/>
          <w:sz w:val="24"/>
          <w:szCs w:val="24"/>
        </w:rPr>
      </w:pPr>
      <w:r w:rsidRPr="0040535D">
        <w:rPr>
          <w:rFonts w:ascii="Times New Roman" w:hAnsi="Times New Roman"/>
          <w:sz w:val="24"/>
          <w:szCs w:val="24"/>
        </w:rPr>
        <w:t>zasady wyboru projektów i procedurę odwoławczą;</w:t>
      </w:r>
    </w:p>
    <w:p w14:paraId="50F88AEF" w14:textId="77777777" w:rsidR="00555DC0" w:rsidRPr="0040535D" w:rsidRDefault="00555DC0" w:rsidP="00F53118">
      <w:pPr>
        <w:numPr>
          <w:ilvl w:val="0"/>
          <w:numId w:val="3"/>
        </w:numPr>
        <w:spacing w:after="0" w:line="360" w:lineRule="auto"/>
        <w:jc w:val="both"/>
        <w:rPr>
          <w:rFonts w:ascii="Times New Roman" w:hAnsi="Times New Roman"/>
          <w:sz w:val="24"/>
          <w:szCs w:val="24"/>
        </w:rPr>
      </w:pPr>
      <w:r w:rsidRPr="0040535D">
        <w:rPr>
          <w:rFonts w:ascii="Times New Roman" w:hAnsi="Times New Roman"/>
          <w:sz w:val="24"/>
          <w:szCs w:val="24"/>
        </w:rPr>
        <w:t>obowiązki związane z unijną polityką e-</w:t>
      </w:r>
      <w:proofErr w:type="spellStart"/>
      <w:r w:rsidRPr="0040535D">
        <w:rPr>
          <w:rFonts w:ascii="Times New Roman" w:hAnsi="Times New Roman"/>
          <w:sz w:val="24"/>
          <w:szCs w:val="24"/>
        </w:rPr>
        <w:t>Cohesion</w:t>
      </w:r>
      <w:proofErr w:type="spellEnd"/>
      <w:r w:rsidRPr="0040535D">
        <w:rPr>
          <w:rFonts w:ascii="Times New Roman" w:hAnsi="Times New Roman"/>
          <w:sz w:val="24"/>
          <w:szCs w:val="24"/>
        </w:rPr>
        <w:t>;</w:t>
      </w:r>
    </w:p>
    <w:p w14:paraId="69F6C2C5" w14:textId="77777777" w:rsidR="00555DC0" w:rsidRPr="0040535D" w:rsidRDefault="00555DC0" w:rsidP="00285FCD">
      <w:pPr>
        <w:numPr>
          <w:ilvl w:val="0"/>
          <w:numId w:val="3"/>
        </w:numPr>
        <w:spacing w:after="0" w:line="360" w:lineRule="auto"/>
        <w:jc w:val="both"/>
        <w:rPr>
          <w:rFonts w:ascii="Times New Roman" w:hAnsi="Times New Roman"/>
          <w:sz w:val="24"/>
          <w:szCs w:val="24"/>
        </w:rPr>
      </w:pPr>
      <w:r w:rsidRPr="0040535D">
        <w:rPr>
          <w:rFonts w:ascii="Times New Roman" w:hAnsi="Times New Roman"/>
          <w:sz w:val="24"/>
          <w:szCs w:val="24"/>
        </w:rPr>
        <w:lastRenderedPageBreak/>
        <w:t>mechanizmy umożliwiające realizację instrumentów terytorialnych wynikających z rozporządzeń K</w:t>
      </w:r>
      <w:r w:rsidR="00D07F9D" w:rsidRPr="0040535D">
        <w:rPr>
          <w:rFonts w:ascii="Times New Roman" w:hAnsi="Times New Roman"/>
          <w:sz w:val="24"/>
          <w:szCs w:val="24"/>
        </w:rPr>
        <w:t xml:space="preserve">omisji </w:t>
      </w:r>
      <w:r w:rsidRPr="0040535D">
        <w:rPr>
          <w:rFonts w:ascii="Times New Roman" w:hAnsi="Times New Roman"/>
          <w:sz w:val="24"/>
          <w:szCs w:val="24"/>
        </w:rPr>
        <w:t>E</w:t>
      </w:r>
      <w:r w:rsidR="00D07F9D" w:rsidRPr="0040535D">
        <w:rPr>
          <w:rFonts w:ascii="Times New Roman" w:hAnsi="Times New Roman"/>
          <w:sz w:val="24"/>
          <w:szCs w:val="24"/>
        </w:rPr>
        <w:t>uropejskiej</w:t>
      </w:r>
      <w:r w:rsidRPr="0040535D">
        <w:rPr>
          <w:rFonts w:ascii="Times New Roman" w:hAnsi="Times New Roman"/>
          <w:sz w:val="24"/>
          <w:szCs w:val="24"/>
        </w:rPr>
        <w:t xml:space="preserve"> (Zintegrowane Inwestycje Terytorialne, Inne Instrumenty Terytorialne);</w:t>
      </w:r>
    </w:p>
    <w:p w14:paraId="3A9AF880" w14:textId="77777777" w:rsidR="00555DC0" w:rsidRPr="0040535D" w:rsidRDefault="00555DC0" w:rsidP="00B32507">
      <w:pPr>
        <w:numPr>
          <w:ilvl w:val="0"/>
          <w:numId w:val="3"/>
        </w:numPr>
        <w:spacing w:after="0" w:line="360" w:lineRule="auto"/>
        <w:jc w:val="both"/>
        <w:rPr>
          <w:rFonts w:ascii="Times New Roman" w:hAnsi="Times New Roman"/>
          <w:sz w:val="24"/>
          <w:szCs w:val="24"/>
        </w:rPr>
      </w:pPr>
      <w:r w:rsidRPr="0040535D">
        <w:rPr>
          <w:rFonts w:ascii="Times New Roman" w:hAnsi="Times New Roman"/>
          <w:sz w:val="24"/>
          <w:szCs w:val="24"/>
        </w:rPr>
        <w:t>zasady monitorowania postępu i sprawozdawczości z realizacji programów oraz projektów.</w:t>
      </w:r>
    </w:p>
    <w:p w14:paraId="663C26C8" w14:textId="77777777" w:rsidR="00555DC0" w:rsidRPr="0040535D" w:rsidRDefault="00555DC0" w:rsidP="00155913">
      <w:pPr>
        <w:spacing w:after="0" w:line="360" w:lineRule="auto"/>
        <w:jc w:val="both"/>
        <w:rPr>
          <w:rFonts w:ascii="Times New Roman" w:hAnsi="Times New Roman"/>
          <w:sz w:val="24"/>
          <w:szCs w:val="24"/>
        </w:rPr>
      </w:pPr>
      <w:r w:rsidRPr="0040535D">
        <w:rPr>
          <w:rFonts w:ascii="Times New Roman" w:hAnsi="Times New Roman"/>
          <w:sz w:val="24"/>
          <w:szCs w:val="24"/>
        </w:rPr>
        <w:t>Projekt przewiduje także zmianę ustawy z dnia 27 sierpnia 2009 r. o finansach publicznych, w celu lepszego dostosowania zawartych w niej regulacji do potrzeb związanych z realizacją polityki spójności w Polsce oraz innych ustaw, w tym</w:t>
      </w:r>
      <w:r w:rsidR="00DD19CC" w:rsidRPr="0040535D">
        <w:rPr>
          <w:rFonts w:ascii="Times New Roman" w:hAnsi="Times New Roman"/>
          <w:sz w:val="24"/>
          <w:szCs w:val="24"/>
        </w:rPr>
        <w:t>:</w:t>
      </w:r>
      <w:r w:rsidRPr="0040535D">
        <w:rPr>
          <w:rFonts w:ascii="Times New Roman" w:hAnsi="Times New Roman"/>
          <w:sz w:val="24"/>
          <w:szCs w:val="24"/>
        </w:rPr>
        <w:t xml:space="preserve"> </w:t>
      </w:r>
      <w:r w:rsidR="00652293" w:rsidRPr="0040535D">
        <w:rPr>
          <w:rFonts w:ascii="Times New Roman" w:hAnsi="Times New Roman"/>
          <w:sz w:val="24"/>
          <w:szCs w:val="24"/>
        </w:rPr>
        <w:t>ustawy z dnia 8 marca 1990 r o samorządzi</w:t>
      </w:r>
      <w:r w:rsidR="00F83364" w:rsidRPr="0040535D">
        <w:rPr>
          <w:rFonts w:ascii="Times New Roman" w:hAnsi="Times New Roman"/>
          <w:sz w:val="24"/>
          <w:szCs w:val="24"/>
        </w:rPr>
        <w:t>e</w:t>
      </w:r>
      <w:r w:rsidR="00652293" w:rsidRPr="0040535D">
        <w:rPr>
          <w:rFonts w:ascii="Times New Roman" w:hAnsi="Times New Roman"/>
          <w:sz w:val="24"/>
          <w:szCs w:val="24"/>
        </w:rPr>
        <w:t xml:space="preserve"> gminnym, </w:t>
      </w:r>
      <w:r w:rsidR="005D244B" w:rsidRPr="0040535D">
        <w:rPr>
          <w:rFonts w:ascii="Times New Roman" w:hAnsi="Times New Roman"/>
          <w:sz w:val="24"/>
          <w:szCs w:val="24"/>
        </w:rPr>
        <w:t xml:space="preserve">ustawy z dnia 21 marca 1991 r. o obszarach morskich Rzeczypospolitej Polskiej i administracji morskiej, </w:t>
      </w:r>
      <w:r w:rsidRPr="0040535D">
        <w:rPr>
          <w:rFonts w:ascii="Times New Roman" w:hAnsi="Times New Roman"/>
          <w:sz w:val="24"/>
          <w:szCs w:val="24"/>
        </w:rPr>
        <w:t>ustawy z dnia 26 lipca 1991 r. o podatku dochodowym od osób fizycznych, ustawy z dnia 15 lutego 1992 r. o podatku dochodowym od osób prawnych</w:t>
      </w:r>
      <w:r w:rsidR="0041117E" w:rsidRPr="0040535D">
        <w:rPr>
          <w:rFonts w:ascii="Times New Roman" w:hAnsi="Times New Roman"/>
          <w:sz w:val="24"/>
          <w:szCs w:val="24"/>
        </w:rPr>
        <w:t>. ustawy z dnia 27 października 1994 r. o autostradach płatnych oraz o Krajowym Funduszu Drogowym</w:t>
      </w:r>
      <w:r w:rsidRPr="0040535D">
        <w:rPr>
          <w:rFonts w:ascii="Times New Roman" w:hAnsi="Times New Roman"/>
          <w:sz w:val="24"/>
          <w:szCs w:val="24"/>
        </w:rPr>
        <w:t xml:space="preserve">, </w:t>
      </w:r>
      <w:r w:rsidR="00C03C10" w:rsidRPr="0040535D">
        <w:rPr>
          <w:rFonts w:ascii="Times New Roman" w:hAnsi="Times New Roman"/>
          <w:sz w:val="24"/>
          <w:szCs w:val="24"/>
        </w:rPr>
        <w:t>ustawy z dnia 8 maja 1997 r. o poręczeniach i gwarancjach udzielanych przez Skarb Państwa oraz niektóre osoby prawne,</w:t>
      </w:r>
      <w:r w:rsidR="00272895" w:rsidRPr="0040535D">
        <w:rPr>
          <w:rFonts w:ascii="Times New Roman" w:hAnsi="Times New Roman"/>
          <w:sz w:val="24"/>
          <w:szCs w:val="24"/>
        </w:rPr>
        <w:t xml:space="preserve"> </w:t>
      </w:r>
      <w:r w:rsidRPr="0040535D">
        <w:rPr>
          <w:rFonts w:ascii="Times New Roman" w:hAnsi="Times New Roman"/>
          <w:sz w:val="24"/>
          <w:szCs w:val="24"/>
        </w:rPr>
        <w:t xml:space="preserve">ustawy z dnia 13 października 1998 r. o systemie ubezpieczeń społecznych, ustawy z dnia 9 listopada 2000 r. o utworzeniu Polskiej Agencji Rozwoju Przedsiębiorczości, </w:t>
      </w:r>
      <w:r w:rsidR="00B043E1" w:rsidRPr="0040535D">
        <w:rPr>
          <w:rFonts w:ascii="Times New Roman" w:hAnsi="Times New Roman"/>
          <w:sz w:val="24"/>
          <w:szCs w:val="24"/>
        </w:rPr>
        <w:t>ustawy z dnia 21 grudnia 2000 r. o jakości handlowej artykułów rolno-spożywczych, u</w:t>
      </w:r>
      <w:r w:rsidRPr="0040535D">
        <w:rPr>
          <w:rFonts w:ascii="Times New Roman" w:hAnsi="Times New Roman"/>
          <w:sz w:val="24"/>
          <w:szCs w:val="24"/>
        </w:rPr>
        <w:t>stawy z dnia 27 kwietnia 2001 r. P</w:t>
      </w:r>
      <w:r w:rsidRPr="0040535D">
        <w:rPr>
          <w:rFonts w:ascii="Times New Roman" w:eastAsia="Times New Roman" w:hAnsi="Times New Roman"/>
          <w:kern w:val="36"/>
          <w:sz w:val="24"/>
          <w:szCs w:val="24"/>
          <w:lang w:eastAsia="pl-PL"/>
        </w:rPr>
        <w:t xml:space="preserve">rawo ochrony środowiska, </w:t>
      </w:r>
      <w:r w:rsidRPr="0040535D">
        <w:rPr>
          <w:rFonts w:ascii="Times New Roman" w:hAnsi="Times New Roman"/>
          <w:sz w:val="24"/>
          <w:szCs w:val="24"/>
        </w:rPr>
        <w:t>ustawy</w:t>
      </w:r>
      <w:r w:rsidRPr="0040535D">
        <w:rPr>
          <w:rFonts w:ascii="Times New Roman" w:hAnsi="Times New Roman"/>
          <w:sz w:val="24"/>
          <w:szCs w:val="24"/>
          <w:lang w:eastAsia="pl-PL"/>
        </w:rPr>
        <w:t xml:space="preserve"> z dnia 24 kwietnia 2003 r. </w:t>
      </w:r>
      <w:r w:rsidRPr="0040535D">
        <w:rPr>
          <w:rFonts w:ascii="Times New Roman" w:eastAsia="Times New Roman" w:hAnsi="Times New Roman"/>
          <w:kern w:val="36"/>
          <w:sz w:val="24"/>
          <w:szCs w:val="24"/>
          <w:lang w:eastAsia="pl-PL"/>
        </w:rPr>
        <w:t xml:space="preserve">o działalności pożytku publicznego i o wolontariacie, </w:t>
      </w:r>
      <w:r w:rsidR="002D37EB" w:rsidRPr="0040535D">
        <w:rPr>
          <w:rFonts w:ascii="Times New Roman" w:hAnsi="Times New Roman"/>
          <w:sz w:val="24"/>
          <w:szCs w:val="24"/>
        </w:rPr>
        <w:t>ustawy z dnia 12 marca 2004 r. o pomocy społecznej</w:t>
      </w:r>
      <w:r w:rsidR="003A5032" w:rsidRPr="0040535D">
        <w:rPr>
          <w:rFonts w:ascii="Times New Roman" w:hAnsi="Times New Roman"/>
          <w:sz w:val="24"/>
          <w:szCs w:val="24"/>
        </w:rPr>
        <w:t>,</w:t>
      </w:r>
      <w:r w:rsidR="002D37EB" w:rsidRPr="0040535D">
        <w:rPr>
          <w:rFonts w:ascii="Times New Roman" w:hAnsi="Times New Roman"/>
          <w:sz w:val="24"/>
          <w:szCs w:val="24"/>
        </w:rPr>
        <w:t xml:space="preserve"> </w:t>
      </w:r>
      <w:r w:rsidRPr="0040535D">
        <w:rPr>
          <w:rFonts w:ascii="Times New Roman" w:hAnsi="Times New Roman"/>
          <w:sz w:val="24"/>
          <w:szCs w:val="24"/>
        </w:rPr>
        <w:t>ustawy</w:t>
      </w:r>
      <w:r w:rsidRPr="0040535D">
        <w:rPr>
          <w:rFonts w:ascii="Times New Roman" w:eastAsia="Times New Roman" w:hAnsi="Times New Roman"/>
          <w:kern w:val="36"/>
          <w:sz w:val="24"/>
          <w:szCs w:val="24"/>
          <w:lang w:eastAsia="pl-PL"/>
        </w:rPr>
        <w:t xml:space="preserve"> z </w:t>
      </w:r>
      <w:r w:rsidRPr="0040535D">
        <w:rPr>
          <w:rFonts w:ascii="Times New Roman" w:hAnsi="Times New Roman"/>
          <w:sz w:val="24"/>
          <w:szCs w:val="24"/>
          <w:lang w:eastAsia="pl-PL"/>
        </w:rPr>
        <w:t xml:space="preserve">dnia 20 kwietnia 2004 r. </w:t>
      </w:r>
      <w:r w:rsidRPr="0040535D">
        <w:rPr>
          <w:rFonts w:ascii="Times New Roman" w:eastAsia="Times New Roman" w:hAnsi="Times New Roman"/>
          <w:kern w:val="36"/>
          <w:sz w:val="24"/>
          <w:szCs w:val="24"/>
          <w:lang w:eastAsia="pl-PL"/>
        </w:rPr>
        <w:t xml:space="preserve">o promocji zatrudnienia i instytucjach rynku pracy, </w:t>
      </w:r>
      <w:r w:rsidRPr="0040535D">
        <w:rPr>
          <w:rFonts w:ascii="Times New Roman" w:hAnsi="Times New Roman"/>
          <w:sz w:val="24"/>
          <w:szCs w:val="24"/>
        </w:rPr>
        <w:t>ustawy</w:t>
      </w:r>
      <w:r w:rsidRPr="0040535D">
        <w:rPr>
          <w:rFonts w:ascii="Times New Roman" w:hAnsi="Times New Roman"/>
          <w:sz w:val="24"/>
          <w:szCs w:val="24"/>
          <w:lang w:eastAsia="pl-PL"/>
        </w:rPr>
        <w:t xml:space="preserve"> z dnia 27 sierpnia 2004 r.</w:t>
      </w:r>
      <w:r w:rsidRPr="0040535D">
        <w:rPr>
          <w:rFonts w:ascii="Times New Roman" w:eastAsia="Times New Roman" w:hAnsi="Times New Roman"/>
          <w:kern w:val="36"/>
          <w:sz w:val="24"/>
          <w:szCs w:val="24"/>
          <w:lang w:eastAsia="pl-PL"/>
        </w:rPr>
        <w:t xml:space="preserve"> o świadczeniach opieki zdrowotnej finansowanych ze środków publicznych, </w:t>
      </w:r>
      <w:r w:rsidR="003A329B" w:rsidRPr="0040535D">
        <w:rPr>
          <w:rStyle w:val="Ppogrubienie"/>
          <w:rFonts w:ascii="Times New Roman" w:hAnsi="Times New Roman"/>
          <w:b w:val="0"/>
          <w:sz w:val="24"/>
          <w:szCs w:val="24"/>
        </w:rPr>
        <w:t xml:space="preserve">ustawy z dnia 6 grudnia 2006 r. o zasadach prowadzenia polityki rozwoju, </w:t>
      </w:r>
      <w:r w:rsidR="00C433E6" w:rsidRPr="0040535D">
        <w:rPr>
          <w:rStyle w:val="Ppogrubienie"/>
          <w:rFonts w:ascii="Times New Roman" w:hAnsi="Times New Roman"/>
          <w:b w:val="0"/>
          <w:sz w:val="24"/>
          <w:szCs w:val="24"/>
        </w:rPr>
        <w:t>ustawy z dnia 13 kwietnia 2007 r. o Państwowej Inspekcji Pracy</w:t>
      </w:r>
      <w:r w:rsidR="00DD19CC" w:rsidRPr="0040535D">
        <w:rPr>
          <w:rStyle w:val="Ppogrubienie"/>
          <w:rFonts w:ascii="Times New Roman" w:hAnsi="Times New Roman"/>
          <w:b w:val="0"/>
          <w:sz w:val="24"/>
          <w:szCs w:val="24"/>
        </w:rPr>
        <w:t>,</w:t>
      </w:r>
      <w:r w:rsidR="00385663" w:rsidRPr="0040535D">
        <w:rPr>
          <w:rFonts w:ascii="Times New Roman" w:hAnsi="Times New Roman"/>
          <w:sz w:val="24"/>
          <w:szCs w:val="24"/>
        </w:rPr>
        <w:t xml:space="preserve"> </w:t>
      </w:r>
      <w:r w:rsidR="00385663" w:rsidRPr="0040535D">
        <w:rPr>
          <w:rStyle w:val="Ppogrubienie"/>
          <w:rFonts w:ascii="Times New Roman" w:hAnsi="Times New Roman"/>
          <w:b w:val="0"/>
          <w:sz w:val="24"/>
          <w:szCs w:val="24"/>
        </w:rPr>
        <w:t>ustawy z dnia 9 maja 2008 r. o Agencji Restrukturyzacji i Modernizacji Rolnictwa,</w:t>
      </w:r>
      <w:r w:rsidR="00C433E6" w:rsidRPr="0040535D" w:rsidDel="00303C0E">
        <w:rPr>
          <w:rStyle w:val="Ppogrubienie"/>
          <w:rFonts w:ascii="Times New Roman" w:hAnsi="Times New Roman"/>
          <w:b w:val="0"/>
          <w:sz w:val="24"/>
          <w:szCs w:val="24"/>
        </w:rPr>
        <w:t xml:space="preserve"> </w:t>
      </w:r>
      <w:r w:rsidRPr="0040535D">
        <w:rPr>
          <w:rFonts w:ascii="Times New Roman" w:hAnsi="Times New Roman"/>
          <w:sz w:val="24"/>
          <w:szCs w:val="24"/>
        </w:rPr>
        <w:t>ustawy</w:t>
      </w:r>
      <w:r w:rsidRPr="0040535D">
        <w:rPr>
          <w:rFonts w:ascii="Times New Roman" w:eastAsia="Times New Roman" w:hAnsi="Times New Roman"/>
          <w:sz w:val="24"/>
          <w:szCs w:val="24"/>
          <w:lang w:eastAsia="pl-PL"/>
        </w:rPr>
        <w:t xml:space="preserve"> z</w:t>
      </w:r>
      <w:r w:rsidRPr="0040535D">
        <w:rPr>
          <w:rFonts w:ascii="Times New Roman" w:eastAsia="Times New Roman" w:hAnsi="Times New Roman"/>
          <w:kern w:val="36"/>
          <w:sz w:val="24"/>
          <w:szCs w:val="24"/>
          <w:lang w:eastAsia="pl-PL"/>
        </w:rPr>
        <w:t xml:space="preserve"> dnia 19 grudnia 2008 r. o partnerstwie publiczno-prywatnym, </w:t>
      </w:r>
      <w:r w:rsidRPr="0040535D">
        <w:rPr>
          <w:rFonts w:ascii="Times New Roman" w:hAnsi="Times New Roman"/>
          <w:sz w:val="24"/>
          <w:szCs w:val="24"/>
        </w:rPr>
        <w:t>ustawy</w:t>
      </w:r>
      <w:r w:rsidRPr="0040535D">
        <w:rPr>
          <w:rFonts w:ascii="Times New Roman" w:hAnsi="Times New Roman"/>
          <w:kern w:val="36"/>
          <w:sz w:val="24"/>
          <w:szCs w:val="24"/>
          <w:lang w:eastAsia="pl-PL"/>
        </w:rPr>
        <w:t xml:space="preserve"> z </w:t>
      </w:r>
      <w:r w:rsidRPr="0040535D">
        <w:rPr>
          <w:rFonts w:ascii="Times New Roman" w:hAnsi="Times New Roman"/>
          <w:sz w:val="24"/>
          <w:szCs w:val="24"/>
        </w:rPr>
        <w:t xml:space="preserve">dnia 30 kwietnia 2010 r. </w:t>
      </w:r>
      <w:r w:rsidRPr="0040535D">
        <w:rPr>
          <w:rFonts w:ascii="Times New Roman" w:eastAsia="Times New Roman" w:hAnsi="Times New Roman"/>
          <w:kern w:val="36"/>
          <w:sz w:val="24"/>
          <w:szCs w:val="24"/>
          <w:lang w:eastAsia="pl-PL"/>
        </w:rPr>
        <w:t xml:space="preserve">o Narodowym Centrum Nauki, </w:t>
      </w:r>
      <w:r w:rsidRPr="0040535D">
        <w:rPr>
          <w:rFonts w:ascii="Times New Roman" w:hAnsi="Times New Roman"/>
          <w:sz w:val="24"/>
          <w:szCs w:val="24"/>
        </w:rPr>
        <w:t xml:space="preserve">ustawy z dnia 30 kwietnia 2010 r. </w:t>
      </w:r>
      <w:r w:rsidRPr="0040535D">
        <w:rPr>
          <w:rFonts w:ascii="Times New Roman" w:eastAsia="Times New Roman" w:hAnsi="Times New Roman"/>
          <w:kern w:val="36"/>
          <w:sz w:val="24"/>
          <w:szCs w:val="24"/>
          <w:lang w:eastAsia="pl-PL"/>
        </w:rPr>
        <w:t xml:space="preserve">o Narodowym Centrum Badań i Rozwoju, </w:t>
      </w:r>
      <w:r w:rsidRPr="0040535D">
        <w:rPr>
          <w:rFonts w:ascii="Times New Roman" w:hAnsi="Times New Roman"/>
          <w:sz w:val="24"/>
          <w:szCs w:val="24"/>
        </w:rPr>
        <w:t>ustawy</w:t>
      </w:r>
      <w:r w:rsidRPr="0040535D">
        <w:rPr>
          <w:rFonts w:ascii="Times New Roman" w:hAnsi="Times New Roman"/>
          <w:sz w:val="24"/>
          <w:szCs w:val="24"/>
          <w:lang w:eastAsia="pl-PL"/>
        </w:rPr>
        <w:t xml:space="preserve"> z dnia 15 kwietnia 2011 r. o </w:t>
      </w:r>
      <w:r w:rsidRPr="0040535D">
        <w:rPr>
          <w:rFonts w:ascii="Times New Roman" w:eastAsia="Times New Roman" w:hAnsi="Times New Roman"/>
          <w:kern w:val="36"/>
          <w:sz w:val="24"/>
          <w:szCs w:val="24"/>
          <w:lang w:eastAsia="pl-PL"/>
        </w:rPr>
        <w:t xml:space="preserve">działalności leczniczej, </w:t>
      </w:r>
      <w:r w:rsidRPr="0040535D">
        <w:rPr>
          <w:rFonts w:ascii="Times New Roman" w:hAnsi="Times New Roman"/>
          <w:sz w:val="24"/>
          <w:szCs w:val="24"/>
        </w:rPr>
        <w:t xml:space="preserve">ustawy z dnia 10 lipca 2015 r. o </w:t>
      </w:r>
      <w:r w:rsidRPr="0040535D">
        <w:rPr>
          <w:rFonts w:ascii="Times New Roman" w:hAnsi="Times New Roman"/>
          <w:kern w:val="36"/>
          <w:sz w:val="24"/>
          <w:szCs w:val="24"/>
          <w:lang w:eastAsia="pl-PL"/>
        </w:rPr>
        <w:t xml:space="preserve">Agencji Mienia Wojskowego, </w:t>
      </w:r>
      <w:r w:rsidR="007C006C" w:rsidRPr="0040535D">
        <w:rPr>
          <w:rFonts w:ascii="Times New Roman" w:hAnsi="Times New Roman"/>
          <w:kern w:val="36"/>
          <w:sz w:val="24"/>
          <w:szCs w:val="24"/>
          <w:lang w:eastAsia="pl-PL"/>
        </w:rPr>
        <w:t xml:space="preserve">ustawy z dnia 16 listopada 2016 r. o Krajowej Administracji Skarbowej, </w:t>
      </w:r>
      <w:r w:rsidRPr="0040535D">
        <w:rPr>
          <w:rFonts w:ascii="Times New Roman" w:hAnsi="Times New Roman"/>
          <w:sz w:val="24"/>
          <w:szCs w:val="24"/>
        </w:rPr>
        <w:t>ustawy</w:t>
      </w:r>
      <w:r w:rsidRPr="0040535D">
        <w:rPr>
          <w:rFonts w:ascii="Times New Roman" w:hAnsi="Times New Roman"/>
          <w:sz w:val="24"/>
          <w:szCs w:val="24"/>
          <w:lang w:eastAsia="pl-PL"/>
        </w:rPr>
        <w:t xml:space="preserve"> z dnia 14 grudnia 2016 r. </w:t>
      </w:r>
      <w:r w:rsidRPr="0040535D">
        <w:rPr>
          <w:rFonts w:ascii="Times New Roman" w:hAnsi="Times New Roman"/>
          <w:kern w:val="36"/>
          <w:sz w:val="24"/>
          <w:szCs w:val="24"/>
          <w:lang w:eastAsia="pl-PL"/>
        </w:rPr>
        <w:t xml:space="preserve">Prawo oświatowe, </w:t>
      </w:r>
      <w:r w:rsidR="006A02F2" w:rsidRPr="0040535D">
        <w:rPr>
          <w:rFonts w:ascii="Times New Roman" w:hAnsi="Times New Roman"/>
          <w:kern w:val="36"/>
          <w:sz w:val="24"/>
          <w:szCs w:val="24"/>
          <w:lang w:eastAsia="pl-PL"/>
        </w:rPr>
        <w:t xml:space="preserve">ustawy dnia 10 lutego 2017 r. o Krajowym Ośrodku Wsparcia Rolnictwa, </w:t>
      </w:r>
      <w:r w:rsidRPr="0040535D">
        <w:rPr>
          <w:rFonts w:ascii="Times New Roman" w:hAnsi="Times New Roman"/>
          <w:sz w:val="24"/>
          <w:szCs w:val="24"/>
        </w:rPr>
        <w:t>ustawy</w:t>
      </w:r>
      <w:r w:rsidRPr="0040535D">
        <w:rPr>
          <w:rFonts w:ascii="Times New Roman" w:hAnsi="Times New Roman"/>
          <w:sz w:val="24"/>
          <w:szCs w:val="24"/>
          <w:lang w:eastAsia="pl-PL"/>
        </w:rPr>
        <w:t xml:space="preserve"> z dnia 7 lipca 2017 r. </w:t>
      </w:r>
      <w:r w:rsidRPr="0040535D">
        <w:rPr>
          <w:rFonts w:ascii="Times New Roman" w:eastAsia="Times New Roman" w:hAnsi="Times New Roman"/>
          <w:kern w:val="36"/>
          <w:sz w:val="24"/>
          <w:szCs w:val="24"/>
          <w:lang w:eastAsia="pl-PL"/>
        </w:rPr>
        <w:t xml:space="preserve">o wykonywaniu zadań z zakresu promocji polskiej gospodarki przez Polską Agencję Inwestycji i Handlu Spółka Akcyjna, </w:t>
      </w:r>
      <w:r w:rsidRPr="0040535D">
        <w:rPr>
          <w:rFonts w:ascii="Times New Roman" w:hAnsi="Times New Roman"/>
          <w:sz w:val="24"/>
          <w:szCs w:val="24"/>
        </w:rPr>
        <w:t>ustawy z dnia 20 lipca 2017 r. Prawo wodne, ustawy</w:t>
      </w:r>
      <w:r w:rsidRPr="0040535D">
        <w:rPr>
          <w:rFonts w:ascii="Times New Roman" w:hAnsi="Times New Roman"/>
          <w:sz w:val="24"/>
          <w:szCs w:val="24"/>
          <w:lang w:eastAsia="pl-PL"/>
        </w:rPr>
        <w:t xml:space="preserve"> z dnia 10 maja 2018 r. </w:t>
      </w:r>
      <w:r w:rsidRPr="0040535D">
        <w:rPr>
          <w:rFonts w:ascii="Times New Roman" w:eastAsia="Times New Roman" w:hAnsi="Times New Roman"/>
          <w:kern w:val="36"/>
          <w:sz w:val="24"/>
          <w:szCs w:val="24"/>
          <w:lang w:eastAsia="pl-PL"/>
        </w:rPr>
        <w:t xml:space="preserve">o Centralnym Porcie Komunikacyjnym, </w:t>
      </w:r>
      <w:r w:rsidRPr="0040535D">
        <w:rPr>
          <w:rFonts w:ascii="Times New Roman" w:hAnsi="Times New Roman"/>
          <w:sz w:val="24"/>
          <w:szCs w:val="24"/>
        </w:rPr>
        <w:t>ustawy</w:t>
      </w:r>
      <w:r w:rsidRPr="0040535D">
        <w:rPr>
          <w:rFonts w:ascii="Times New Roman" w:eastAsia="Times New Roman" w:hAnsi="Times New Roman"/>
          <w:sz w:val="24"/>
          <w:szCs w:val="24"/>
          <w:lang w:eastAsia="pl-PL"/>
        </w:rPr>
        <w:t xml:space="preserve"> z dnia 20 lipca 2018 r. </w:t>
      </w:r>
      <w:r w:rsidRPr="0040535D">
        <w:rPr>
          <w:rFonts w:ascii="Times New Roman" w:eastAsia="Times New Roman" w:hAnsi="Times New Roman"/>
          <w:kern w:val="36"/>
          <w:sz w:val="24"/>
          <w:szCs w:val="24"/>
          <w:lang w:eastAsia="pl-PL"/>
        </w:rPr>
        <w:t>Prawo o szkolnictwie wyższym i nauce,</w:t>
      </w:r>
      <w:r w:rsidR="007C006C" w:rsidRPr="0040535D">
        <w:rPr>
          <w:rFonts w:ascii="Times New Roman" w:hAnsi="Times New Roman"/>
          <w:sz w:val="24"/>
          <w:szCs w:val="24"/>
        </w:rPr>
        <w:t xml:space="preserve"> </w:t>
      </w:r>
      <w:r w:rsidR="004D07AD" w:rsidRPr="0040535D">
        <w:rPr>
          <w:rFonts w:ascii="Times New Roman" w:hAnsi="Times New Roman"/>
          <w:sz w:val="24"/>
          <w:szCs w:val="24"/>
        </w:rPr>
        <w:t xml:space="preserve">ustawy z dnia 4 października 2018 r. o pracowniczych planach kapitałowych, </w:t>
      </w:r>
      <w:r w:rsidR="007C006C" w:rsidRPr="0040535D">
        <w:rPr>
          <w:rFonts w:ascii="Times New Roman" w:eastAsia="Times New Roman" w:hAnsi="Times New Roman"/>
          <w:kern w:val="36"/>
          <w:sz w:val="24"/>
          <w:szCs w:val="24"/>
          <w:lang w:eastAsia="pl-PL"/>
        </w:rPr>
        <w:t xml:space="preserve">ustawy z dnia 4 lipca 2019 r. o systemie instytucji </w:t>
      </w:r>
      <w:r w:rsidR="007C006C" w:rsidRPr="0040535D">
        <w:rPr>
          <w:rFonts w:ascii="Times New Roman" w:eastAsia="Times New Roman" w:hAnsi="Times New Roman"/>
          <w:kern w:val="36"/>
          <w:sz w:val="24"/>
          <w:szCs w:val="24"/>
          <w:lang w:eastAsia="pl-PL"/>
        </w:rPr>
        <w:lastRenderedPageBreak/>
        <w:t>rozwoju,</w:t>
      </w:r>
      <w:r w:rsidRPr="0040535D">
        <w:rPr>
          <w:rFonts w:ascii="Times New Roman" w:eastAsia="Times New Roman" w:hAnsi="Times New Roman"/>
          <w:kern w:val="36"/>
          <w:sz w:val="24"/>
          <w:szCs w:val="24"/>
          <w:lang w:eastAsia="pl-PL"/>
        </w:rPr>
        <w:t xml:space="preserve"> </w:t>
      </w:r>
      <w:r w:rsidRPr="0040535D">
        <w:rPr>
          <w:rFonts w:ascii="Times New Roman" w:hAnsi="Times New Roman"/>
          <w:sz w:val="24"/>
          <w:szCs w:val="24"/>
        </w:rPr>
        <w:t xml:space="preserve">ustawy z dnia 19 lipca 2019 r. </w:t>
      </w:r>
      <w:r w:rsidRPr="0040535D">
        <w:rPr>
          <w:rFonts w:ascii="Times New Roman" w:eastAsia="Times New Roman" w:hAnsi="Times New Roman"/>
          <w:kern w:val="36"/>
          <w:sz w:val="24"/>
          <w:szCs w:val="24"/>
          <w:lang w:eastAsia="pl-PL"/>
        </w:rPr>
        <w:t>o zapewnianiu dostępności osobom ze szczególnymi potrzebami</w:t>
      </w:r>
      <w:r w:rsidR="00DD19CC" w:rsidRPr="0040535D">
        <w:rPr>
          <w:rFonts w:ascii="Times New Roman" w:eastAsia="Times New Roman" w:hAnsi="Times New Roman"/>
          <w:kern w:val="36"/>
          <w:sz w:val="24"/>
          <w:szCs w:val="24"/>
          <w:lang w:eastAsia="pl-PL"/>
        </w:rPr>
        <w:t xml:space="preserve"> oraz </w:t>
      </w:r>
      <w:r w:rsidR="00DD19CC" w:rsidRPr="0040535D">
        <w:rPr>
          <w:rFonts w:ascii="Times New Roman" w:hAnsi="Times New Roman"/>
          <w:sz w:val="24"/>
          <w:szCs w:val="24"/>
        </w:rPr>
        <w:t>ustawy z dnia 11 września 2019 r. Prawo zamówień publicznych</w:t>
      </w:r>
      <w:r w:rsidR="009859F7" w:rsidRPr="000E7408">
        <w:rPr>
          <w:rFonts w:ascii="Times New Roman" w:hAnsi="Times New Roman"/>
          <w:sz w:val="24"/>
          <w:szCs w:val="24"/>
        </w:rPr>
        <w:t>,</w:t>
      </w:r>
      <w:r w:rsidR="00400B59" w:rsidRPr="000E7408">
        <w:rPr>
          <w:rFonts w:ascii="Times New Roman" w:hAnsi="Times New Roman"/>
          <w:sz w:val="24"/>
          <w:szCs w:val="24"/>
        </w:rPr>
        <w:t xml:space="preserve"> </w:t>
      </w:r>
      <w:r w:rsidR="00400B59" w:rsidRPr="009F6287">
        <w:rPr>
          <w:rFonts w:ascii="Times New Roman" w:hAnsi="Times New Roman"/>
          <w:color w:val="000000"/>
          <w:sz w:val="24"/>
          <w:szCs w:val="24"/>
          <w:lang w:eastAsia="pl-PL"/>
        </w:rPr>
        <w:t>ustawy z dnia 15 lipca 2020 r. o zmianie ustawy o zasadach prowadzenia polityki rozwoju oraz niektórych innych ustaw</w:t>
      </w:r>
      <w:r w:rsidR="00DD19CC" w:rsidRPr="000E7408">
        <w:rPr>
          <w:rFonts w:ascii="Times New Roman" w:hAnsi="Times New Roman"/>
          <w:sz w:val="24"/>
          <w:szCs w:val="24"/>
        </w:rPr>
        <w:t>.</w:t>
      </w:r>
      <w:r w:rsidRPr="0040535D">
        <w:rPr>
          <w:rFonts w:ascii="Times New Roman" w:eastAsia="Times New Roman" w:hAnsi="Times New Roman"/>
          <w:kern w:val="36"/>
          <w:sz w:val="24"/>
          <w:szCs w:val="24"/>
          <w:lang w:eastAsia="pl-PL"/>
        </w:rPr>
        <w:t xml:space="preserve"> </w:t>
      </w:r>
      <w:r w:rsidRPr="0040535D">
        <w:rPr>
          <w:rFonts w:ascii="Times New Roman" w:hAnsi="Times New Roman"/>
          <w:sz w:val="24"/>
          <w:szCs w:val="24"/>
        </w:rPr>
        <w:t>Regulacje powyższych aktów prawnych rozszerzono m.in. o odwołanie do przepisów projektowanej ustawy, tak aby umożliwić finansowanie działań określonych w poszczególnych ustawach również ze środków polityki spójności w ramach perspektywy finansowej 2021–2027.</w:t>
      </w:r>
    </w:p>
    <w:p w14:paraId="2CA8B028" w14:textId="77777777" w:rsidR="00555DC0" w:rsidRPr="0040535D" w:rsidRDefault="00555DC0" w:rsidP="00155913">
      <w:pPr>
        <w:spacing w:after="0" w:line="360" w:lineRule="auto"/>
        <w:jc w:val="both"/>
        <w:rPr>
          <w:rFonts w:ascii="Times New Roman" w:hAnsi="Times New Roman"/>
          <w:sz w:val="24"/>
          <w:szCs w:val="24"/>
        </w:rPr>
      </w:pPr>
    </w:p>
    <w:p w14:paraId="5E7ABEC7" w14:textId="77777777" w:rsidR="00555DC0" w:rsidRPr="00737D91" w:rsidRDefault="00555DC0" w:rsidP="009A0EE5">
      <w:pPr>
        <w:spacing w:after="0" w:line="360" w:lineRule="auto"/>
        <w:jc w:val="both"/>
        <w:rPr>
          <w:rFonts w:ascii="Times New Roman" w:hAnsi="Times New Roman"/>
          <w:b/>
          <w:sz w:val="24"/>
          <w:szCs w:val="24"/>
        </w:rPr>
      </w:pPr>
      <w:r w:rsidRPr="00737D91">
        <w:rPr>
          <w:rFonts w:ascii="Times New Roman" w:hAnsi="Times New Roman"/>
          <w:b/>
          <w:sz w:val="24"/>
          <w:szCs w:val="24"/>
        </w:rPr>
        <w:t>Uzasadnienie szczegółowe</w:t>
      </w:r>
    </w:p>
    <w:p w14:paraId="25F5C6BD" w14:textId="77777777" w:rsidR="0034005B" w:rsidRPr="0040535D" w:rsidRDefault="0034005B" w:rsidP="009A0EE5">
      <w:pPr>
        <w:spacing w:after="0" w:line="360" w:lineRule="auto"/>
        <w:jc w:val="both"/>
        <w:rPr>
          <w:rFonts w:ascii="Times New Roman" w:hAnsi="Times New Roman"/>
          <w:b/>
          <w:sz w:val="24"/>
          <w:szCs w:val="24"/>
        </w:rPr>
      </w:pPr>
    </w:p>
    <w:p w14:paraId="60D61075" w14:textId="77777777" w:rsidR="00555DC0" w:rsidRPr="0040535D" w:rsidRDefault="00555DC0" w:rsidP="008D25C4">
      <w:pPr>
        <w:spacing w:after="0" w:line="360" w:lineRule="auto"/>
        <w:jc w:val="both"/>
        <w:rPr>
          <w:rFonts w:ascii="Times New Roman" w:hAnsi="Times New Roman"/>
          <w:b/>
          <w:sz w:val="24"/>
          <w:szCs w:val="24"/>
        </w:rPr>
      </w:pPr>
      <w:r w:rsidRPr="0040535D">
        <w:rPr>
          <w:rFonts w:ascii="Times New Roman" w:hAnsi="Times New Roman"/>
          <w:b/>
          <w:sz w:val="24"/>
          <w:szCs w:val="24"/>
        </w:rPr>
        <w:t>Rozdział 1. Przepisy ogólne.</w:t>
      </w:r>
    </w:p>
    <w:p w14:paraId="0F424381" w14:textId="77777777" w:rsidR="00555DC0" w:rsidRPr="0040535D" w:rsidRDefault="00555DC0" w:rsidP="008D4E79">
      <w:pPr>
        <w:spacing w:after="0" w:line="360" w:lineRule="auto"/>
        <w:jc w:val="both"/>
        <w:rPr>
          <w:rFonts w:ascii="Times New Roman" w:hAnsi="Times New Roman"/>
          <w:sz w:val="24"/>
          <w:szCs w:val="24"/>
        </w:rPr>
      </w:pPr>
      <w:r w:rsidRPr="0040535D">
        <w:rPr>
          <w:rFonts w:ascii="Times New Roman" w:hAnsi="Times New Roman"/>
          <w:sz w:val="24"/>
          <w:szCs w:val="24"/>
        </w:rPr>
        <w:t xml:space="preserve">W Rozdziale 1 (art. 1 – 3) zawarto szereg regulacji o ogólnym charakterze, między innymi </w:t>
      </w:r>
      <w:r w:rsidR="00D07F9D" w:rsidRPr="0040535D">
        <w:rPr>
          <w:rFonts w:ascii="Times New Roman" w:hAnsi="Times New Roman"/>
          <w:sz w:val="24"/>
          <w:szCs w:val="24"/>
        </w:rPr>
        <w:t xml:space="preserve">przepis </w:t>
      </w:r>
      <w:r w:rsidRPr="0040535D">
        <w:rPr>
          <w:rFonts w:ascii="Times New Roman" w:hAnsi="Times New Roman"/>
          <w:sz w:val="24"/>
          <w:szCs w:val="24"/>
        </w:rPr>
        <w:t xml:space="preserve">określający przedmiot regulacji (art. 1). </w:t>
      </w:r>
      <w:r w:rsidR="00A64E06" w:rsidRPr="0040535D">
        <w:rPr>
          <w:rFonts w:ascii="Times New Roman" w:hAnsi="Times New Roman"/>
          <w:sz w:val="24"/>
          <w:szCs w:val="24"/>
        </w:rPr>
        <w:t xml:space="preserve">W </w:t>
      </w:r>
      <w:r w:rsidR="00DD19CC" w:rsidRPr="0040535D">
        <w:rPr>
          <w:rFonts w:ascii="Times New Roman" w:hAnsi="Times New Roman"/>
          <w:b/>
          <w:sz w:val="24"/>
          <w:szCs w:val="24"/>
        </w:rPr>
        <w:t>art. 1</w:t>
      </w:r>
      <w:r w:rsidR="00DD19CC" w:rsidRPr="0040535D">
        <w:rPr>
          <w:rFonts w:ascii="Times New Roman" w:hAnsi="Times New Roman"/>
          <w:sz w:val="24"/>
          <w:szCs w:val="24"/>
        </w:rPr>
        <w:t xml:space="preserve"> </w:t>
      </w:r>
      <w:r w:rsidR="00A64E06" w:rsidRPr="0040535D">
        <w:rPr>
          <w:rFonts w:ascii="Times New Roman" w:hAnsi="Times New Roman"/>
          <w:sz w:val="24"/>
          <w:szCs w:val="24"/>
        </w:rPr>
        <w:t xml:space="preserve">ust. 2 pkt 1 i 2 wskazano wyłączenia </w:t>
      </w:r>
      <w:r w:rsidR="00DD19CC" w:rsidRPr="0040535D">
        <w:rPr>
          <w:rFonts w:ascii="Times New Roman" w:hAnsi="Times New Roman"/>
          <w:sz w:val="24"/>
          <w:szCs w:val="24"/>
        </w:rPr>
        <w:t xml:space="preserve">spod </w:t>
      </w:r>
      <w:r w:rsidR="00A64E06" w:rsidRPr="0040535D">
        <w:rPr>
          <w:rFonts w:ascii="Times New Roman" w:hAnsi="Times New Roman"/>
          <w:sz w:val="24"/>
          <w:szCs w:val="24"/>
        </w:rPr>
        <w:t>ustawy program</w:t>
      </w:r>
      <w:r w:rsidR="00DD19CC" w:rsidRPr="0040535D">
        <w:rPr>
          <w:rFonts w:ascii="Times New Roman" w:hAnsi="Times New Roman"/>
          <w:sz w:val="24"/>
          <w:szCs w:val="24"/>
        </w:rPr>
        <w:t>ów</w:t>
      </w:r>
      <w:r w:rsidR="00A64E06" w:rsidRPr="0040535D">
        <w:rPr>
          <w:rFonts w:ascii="Times New Roman" w:hAnsi="Times New Roman"/>
          <w:sz w:val="24"/>
          <w:szCs w:val="24"/>
        </w:rPr>
        <w:t xml:space="preserve">, o których mowa w art. 15 ust. 4 ustawy z dnia 6 grudnia 2006 r. o zasadach prowadzenia polityki rozwoju oraz </w:t>
      </w:r>
      <w:r w:rsidR="00DD19CC" w:rsidRPr="0040535D">
        <w:rPr>
          <w:rFonts w:ascii="Times New Roman" w:hAnsi="Times New Roman"/>
          <w:sz w:val="24"/>
          <w:szCs w:val="24"/>
        </w:rPr>
        <w:t>programów</w:t>
      </w:r>
      <w:r w:rsidR="00A64E06" w:rsidRPr="0040535D">
        <w:rPr>
          <w:rFonts w:ascii="Times New Roman" w:hAnsi="Times New Roman"/>
          <w:sz w:val="24"/>
          <w:szCs w:val="24"/>
        </w:rPr>
        <w:t>, o których mowa w art. 2 pkt 17 ustawy z dnia 11 lipca 2014 r. o zasadach realizacji programów w</w:t>
      </w:r>
      <w:r w:rsidR="00962FA5" w:rsidRPr="0040535D">
        <w:rPr>
          <w:rFonts w:ascii="Times New Roman" w:hAnsi="Times New Roman"/>
          <w:sz w:val="24"/>
          <w:szCs w:val="24"/>
        </w:rPr>
        <w:t xml:space="preserve"> zakresie polityki spójności fi</w:t>
      </w:r>
      <w:r w:rsidR="00A64E06" w:rsidRPr="0040535D">
        <w:rPr>
          <w:rFonts w:ascii="Times New Roman" w:hAnsi="Times New Roman"/>
          <w:sz w:val="24"/>
          <w:szCs w:val="24"/>
        </w:rPr>
        <w:t>nansowa</w:t>
      </w:r>
      <w:r w:rsidR="00962FA5" w:rsidRPr="0040535D">
        <w:rPr>
          <w:rFonts w:ascii="Times New Roman" w:hAnsi="Times New Roman"/>
          <w:sz w:val="24"/>
          <w:szCs w:val="24"/>
        </w:rPr>
        <w:t>n</w:t>
      </w:r>
      <w:r w:rsidR="00A64E06" w:rsidRPr="0040535D">
        <w:rPr>
          <w:rFonts w:ascii="Times New Roman" w:hAnsi="Times New Roman"/>
          <w:sz w:val="24"/>
          <w:szCs w:val="24"/>
        </w:rPr>
        <w:t>ych w perspektywie finansowej 2014-202</w:t>
      </w:r>
      <w:r w:rsidR="00264167" w:rsidRPr="0040535D">
        <w:rPr>
          <w:rFonts w:ascii="Times New Roman" w:hAnsi="Times New Roman"/>
          <w:sz w:val="24"/>
          <w:szCs w:val="24"/>
        </w:rPr>
        <w:t>0</w:t>
      </w:r>
      <w:r w:rsidR="00A64E06" w:rsidRPr="0040535D">
        <w:rPr>
          <w:rFonts w:ascii="Times New Roman" w:hAnsi="Times New Roman"/>
          <w:sz w:val="24"/>
          <w:szCs w:val="24"/>
        </w:rPr>
        <w:t>.</w:t>
      </w:r>
      <w:r w:rsidR="00264167" w:rsidRPr="0040535D">
        <w:rPr>
          <w:rFonts w:ascii="Times New Roman" w:hAnsi="Times New Roman"/>
          <w:sz w:val="24"/>
          <w:szCs w:val="24"/>
        </w:rPr>
        <w:t xml:space="preserve"> </w:t>
      </w:r>
      <w:r w:rsidR="00A64E06" w:rsidRPr="0040535D">
        <w:rPr>
          <w:rFonts w:ascii="Times New Roman" w:hAnsi="Times New Roman"/>
          <w:sz w:val="24"/>
          <w:szCs w:val="24"/>
        </w:rPr>
        <w:t>Natomiast w</w:t>
      </w:r>
      <w:r w:rsidRPr="0040535D">
        <w:rPr>
          <w:rFonts w:ascii="Times New Roman" w:hAnsi="Times New Roman"/>
          <w:sz w:val="24"/>
          <w:szCs w:val="24"/>
        </w:rPr>
        <w:t xml:space="preserve"> </w:t>
      </w:r>
      <w:r w:rsidR="00D07F9D" w:rsidRPr="0040535D">
        <w:rPr>
          <w:rFonts w:ascii="Times New Roman" w:hAnsi="Times New Roman"/>
          <w:sz w:val="24"/>
          <w:szCs w:val="24"/>
        </w:rPr>
        <w:t>ust. 2 pkt</w:t>
      </w:r>
      <w:r w:rsidRPr="0040535D">
        <w:rPr>
          <w:rFonts w:ascii="Times New Roman" w:hAnsi="Times New Roman"/>
          <w:sz w:val="24"/>
          <w:szCs w:val="24"/>
        </w:rPr>
        <w:t xml:space="preserve"> 3 art. 1 </w:t>
      </w:r>
      <w:r w:rsidR="00A64E06" w:rsidRPr="0040535D">
        <w:rPr>
          <w:rFonts w:ascii="Times New Roman" w:hAnsi="Times New Roman"/>
          <w:sz w:val="24"/>
          <w:szCs w:val="24"/>
        </w:rPr>
        <w:t xml:space="preserve">wyłączono </w:t>
      </w:r>
      <w:r w:rsidRPr="0040535D">
        <w:rPr>
          <w:rFonts w:ascii="Times New Roman" w:hAnsi="Times New Roman"/>
          <w:sz w:val="24"/>
          <w:szCs w:val="24"/>
        </w:rPr>
        <w:t xml:space="preserve"> program</w:t>
      </w:r>
      <w:r w:rsidR="007C006C" w:rsidRPr="0040535D">
        <w:rPr>
          <w:rFonts w:ascii="Times New Roman" w:hAnsi="Times New Roman"/>
          <w:sz w:val="24"/>
          <w:szCs w:val="24"/>
        </w:rPr>
        <w:t xml:space="preserve">y </w:t>
      </w:r>
      <w:r w:rsidRPr="0040535D">
        <w:rPr>
          <w:rFonts w:ascii="Times New Roman" w:hAnsi="Times New Roman"/>
          <w:sz w:val="24"/>
          <w:szCs w:val="24"/>
        </w:rPr>
        <w:t>w zakresie polityki spójności finansowanych w perspektywie finansowej 2021-2027 z EFS+ dotyczących wsparcia na przeciwdziałanie depr</w:t>
      </w:r>
      <w:r w:rsidR="006671BE" w:rsidRPr="0040535D">
        <w:rPr>
          <w:rFonts w:ascii="Times New Roman" w:hAnsi="Times New Roman"/>
          <w:sz w:val="24"/>
          <w:szCs w:val="24"/>
        </w:rPr>
        <w:t>y</w:t>
      </w:r>
      <w:r w:rsidRPr="0040535D">
        <w:rPr>
          <w:rFonts w:ascii="Times New Roman" w:hAnsi="Times New Roman"/>
          <w:sz w:val="24"/>
          <w:szCs w:val="24"/>
        </w:rPr>
        <w:t>wacji materialnej. Koniecznoś</w:t>
      </w:r>
      <w:r w:rsidR="006671BE" w:rsidRPr="0040535D">
        <w:rPr>
          <w:rFonts w:ascii="Times New Roman" w:hAnsi="Times New Roman"/>
          <w:sz w:val="24"/>
          <w:szCs w:val="24"/>
        </w:rPr>
        <w:t>ć</w:t>
      </w:r>
      <w:r w:rsidRPr="0040535D">
        <w:rPr>
          <w:rFonts w:ascii="Times New Roman" w:hAnsi="Times New Roman"/>
          <w:sz w:val="24"/>
          <w:szCs w:val="24"/>
        </w:rPr>
        <w:t xml:space="preserve"> uregulowania zasad dotyczących wykorzystania środków europejskich na przeciwdziałanie deprywacji materialnej wynika z połączenia dawnego Europejskiego Funduszu Pomocy Najbardziej Potrzebującym (FEAD) z Europejskim Funduszem Społecznym w jeden instrument, tj. Europejski Fundusz Społeczny </w:t>
      </w:r>
      <w:r w:rsidR="00A940A8" w:rsidRPr="0040535D">
        <w:rPr>
          <w:rFonts w:ascii="Times New Roman" w:hAnsi="Times New Roman"/>
          <w:sz w:val="24"/>
          <w:szCs w:val="24"/>
        </w:rPr>
        <w:t>Plus</w:t>
      </w:r>
      <w:r w:rsidRPr="0040535D">
        <w:rPr>
          <w:rFonts w:ascii="Times New Roman" w:hAnsi="Times New Roman"/>
          <w:sz w:val="24"/>
          <w:szCs w:val="24"/>
        </w:rPr>
        <w:t>, który będzie wdrażany w latach 2021-2027 w ramach polityki spójności. W związku z tym, że Europejski Fundusz Pomocy Najbardziej Potrzebującym w latach 2014-2020 był odrębnym instrumentem koordynowanym przez ministra właściwego d</w:t>
      </w:r>
      <w:r w:rsidR="00D07F9D" w:rsidRPr="0040535D">
        <w:rPr>
          <w:rFonts w:ascii="Times New Roman" w:hAnsi="Times New Roman"/>
          <w:sz w:val="24"/>
          <w:szCs w:val="24"/>
        </w:rPr>
        <w:t>o spraw</w:t>
      </w:r>
      <w:r w:rsidRPr="0040535D">
        <w:rPr>
          <w:rFonts w:ascii="Times New Roman" w:hAnsi="Times New Roman"/>
          <w:sz w:val="24"/>
          <w:szCs w:val="24"/>
        </w:rPr>
        <w:t xml:space="preserve"> zabezpieczenia społecznego, co pozwoliło na wypracowanie i wdrożenie odpowiedniej struktury i systemu wdrażania dla tego instrumentu, zakłada się, że po połączeniu tego funduszu z E</w:t>
      </w:r>
      <w:r w:rsidR="00AC51FA" w:rsidRPr="0040535D">
        <w:rPr>
          <w:rFonts w:ascii="Times New Roman" w:hAnsi="Times New Roman"/>
          <w:sz w:val="24"/>
          <w:szCs w:val="24"/>
        </w:rPr>
        <w:t xml:space="preserve">uropejskim </w:t>
      </w:r>
      <w:r w:rsidRPr="0040535D">
        <w:rPr>
          <w:rFonts w:ascii="Times New Roman" w:hAnsi="Times New Roman"/>
          <w:sz w:val="24"/>
          <w:szCs w:val="24"/>
        </w:rPr>
        <w:t>F</w:t>
      </w:r>
      <w:r w:rsidR="00AC51FA" w:rsidRPr="0040535D">
        <w:rPr>
          <w:rFonts w:ascii="Times New Roman" w:hAnsi="Times New Roman"/>
          <w:sz w:val="24"/>
          <w:szCs w:val="24"/>
        </w:rPr>
        <w:t xml:space="preserve">unduszem </w:t>
      </w:r>
      <w:r w:rsidRPr="0040535D">
        <w:rPr>
          <w:rFonts w:ascii="Times New Roman" w:hAnsi="Times New Roman"/>
          <w:sz w:val="24"/>
          <w:szCs w:val="24"/>
        </w:rPr>
        <w:t>S</w:t>
      </w:r>
      <w:r w:rsidR="00AC51FA" w:rsidRPr="0040535D">
        <w:rPr>
          <w:rFonts w:ascii="Times New Roman" w:hAnsi="Times New Roman"/>
          <w:sz w:val="24"/>
          <w:szCs w:val="24"/>
        </w:rPr>
        <w:t>połecznym (dalej: EFS)</w:t>
      </w:r>
      <w:r w:rsidRPr="0040535D">
        <w:rPr>
          <w:rFonts w:ascii="Times New Roman" w:hAnsi="Times New Roman"/>
          <w:sz w:val="24"/>
          <w:szCs w:val="24"/>
        </w:rPr>
        <w:t xml:space="preserve"> w perspektywie finansowej 2021-2027 należy utrzymać odrębne zasady jego realizacji, które zostały określone ramowo w ustawie z dnia 12 marca 2004 r. o pomocy </w:t>
      </w:r>
      <w:r w:rsidR="00E14F40" w:rsidRPr="0040535D">
        <w:rPr>
          <w:rFonts w:ascii="Times New Roman" w:hAnsi="Times New Roman"/>
          <w:sz w:val="24"/>
          <w:szCs w:val="24"/>
        </w:rPr>
        <w:t>społecznej (Dz. U. z 202</w:t>
      </w:r>
      <w:r w:rsidR="004611B8">
        <w:rPr>
          <w:rFonts w:ascii="Times New Roman" w:hAnsi="Times New Roman"/>
          <w:sz w:val="24"/>
          <w:szCs w:val="24"/>
        </w:rPr>
        <w:t>1</w:t>
      </w:r>
      <w:r w:rsidR="00E14F40" w:rsidRPr="0040535D">
        <w:rPr>
          <w:rFonts w:ascii="Times New Roman" w:hAnsi="Times New Roman"/>
          <w:sz w:val="24"/>
          <w:szCs w:val="24"/>
        </w:rPr>
        <w:t xml:space="preserve"> r. poz. </w:t>
      </w:r>
      <w:r w:rsidR="004611B8">
        <w:rPr>
          <w:rFonts w:ascii="Times New Roman" w:hAnsi="Times New Roman"/>
          <w:sz w:val="24"/>
          <w:szCs w:val="24"/>
        </w:rPr>
        <w:t>2268</w:t>
      </w:r>
      <w:r w:rsidR="00D07F9D" w:rsidRPr="0040535D">
        <w:rPr>
          <w:rFonts w:ascii="Times New Roman" w:hAnsi="Times New Roman"/>
          <w:sz w:val="24"/>
          <w:szCs w:val="24"/>
        </w:rPr>
        <w:t xml:space="preserve">, z </w:t>
      </w:r>
      <w:proofErr w:type="spellStart"/>
      <w:r w:rsidR="00D07F9D" w:rsidRPr="0040535D">
        <w:rPr>
          <w:rFonts w:ascii="Times New Roman" w:hAnsi="Times New Roman"/>
          <w:sz w:val="24"/>
          <w:szCs w:val="24"/>
        </w:rPr>
        <w:t>pó</w:t>
      </w:r>
      <w:r w:rsidR="00AB0E8A" w:rsidRPr="0040535D">
        <w:rPr>
          <w:rFonts w:ascii="Times New Roman" w:hAnsi="Times New Roman"/>
          <w:sz w:val="24"/>
          <w:szCs w:val="24"/>
        </w:rPr>
        <w:t>ź</w:t>
      </w:r>
      <w:r w:rsidR="00D07F9D" w:rsidRPr="0040535D">
        <w:rPr>
          <w:rFonts w:ascii="Times New Roman" w:hAnsi="Times New Roman"/>
          <w:sz w:val="24"/>
          <w:szCs w:val="24"/>
        </w:rPr>
        <w:t>n</w:t>
      </w:r>
      <w:proofErr w:type="spellEnd"/>
      <w:r w:rsidR="003A5032" w:rsidRPr="0040535D">
        <w:rPr>
          <w:rFonts w:ascii="Times New Roman" w:hAnsi="Times New Roman"/>
          <w:sz w:val="24"/>
          <w:szCs w:val="24"/>
        </w:rPr>
        <w:t>.</w:t>
      </w:r>
      <w:r w:rsidR="00D07F9D" w:rsidRPr="0040535D">
        <w:rPr>
          <w:rFonts w:ascii="Times New Roman" w:hAnsi="Times New Roman"/>
          <w:sz w:val="24"/>
          <w:szCs w:val="24"/>
        </w:rPr>
        <w:t xml:space="preserve"> zm.</w:t>
      </w:r>
      <w:r w:rsidR="00E14F40" w:rsidRPr="0040535D">
        <w:rPr>
          <w:rFonts w:ascii="Times New Roman" w:hAnsi="Times New Roman"/>
          <w:sz w:val="24"/>
          <w:szCs w:val="24"/>
        </w:rPr>
        <w:t>)</w:t>
      </w:r>
      <w:r w:rsidRPr="0040535D">
        <w:rPr>
          <w:rFonts w:ascii="Times New Roman" w:hAnsi="Times New Roman"/>
          <w:sz w:val="24"/>
          <w:szCs w:val="24"/>
        </w:rPr>
        <w:t>.</w:t>
      </w:r>
    </w:p>
    <w:p w14:paraId="7C246E06" w14:textId="77777777" w:rsidR="000C4B9B" w:rsidRPr="0040535D" w:rsidRDefault="007E45F7" w:rsidP="008D4E79">
      <w:pPr>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00753847" w:rsidRPr="0040535D">
        <w:rPr>
          <w:rFonts w:ascii="Times New Roman" w:hAnsi="Times New Roman"/>
          <w:sz w:val="24"/>
          <w:szCs w:val="24"/>
        </w:rPr>
        <w:t xml:space="preserve">art. 1 </w:t>
      </w:r>
      <w:r w:rsidR="00983155" w:rsidRPr="0040535D">
        <w:rPr>
          <w:rFonts w:ascii="Times New Roman" w:hAnsi="Times New Roman"/>
          <w:sz w:val="24"/>
          <w:szCs w:val="24"/>
        </w:rPr>
        <w:t xml:space="preserve">ust. </w:t>
      </w:r>
      <w:r w:rsidR="00D07F9D" w:rsidRPr="0040535D">
        <w:rPr>
          <w:rFonts w:ascii="Times New Roman" w:hAnsi="Times New Roman"/>
          <w:sz w:val="24"/>
          <w:szCs w:val="24"/>
        </w:rPr>
        <w:t xml:space="preserve">2 pkt 4 </w:t>
      </w:r>
      <w:r w:rsidR="00753847" w:rsidRPr="0040535D">
        <w:rPr>
          <w:rFonts w:ascii="Times New Roman" w:hAnsi="Times New Roman"/>
          <w:sz w:val="24"/>
          <w:szCs w:val="24"/>
        </w:rPr>
        <w:t xml:space="preserve">wskazano wyłączenie w zakresie środków </w:t>
      </w:r>
      <w:r w:rsidR="00DD19CC" w:rsidRPr="0040535D">
        <w:rPr>
          <w:rFonts w:ascii="Times New Roman" w:hAnsi="Times New Roman"/>
          <w:sz w:val="24"/>
          <w:szCs w:val="24"/>
        </w:rPr>
        <w:t>p</w:t>
      </w:r>
      <w:r w:rsidR="00753847" w:rsidRPr="0040535D">
        <w:rPr>
          <w:rFonts w:ascii="Times New Roman" w:hAnsi="Times New Roman"/>
          <w:sz w:val="24"/>
          <w:szCs w:val="24"/>
        </w:rPr>
        <w:t xml:space="preserve">omocy </w:t>
      </w:r>
      <w:r w:rsidR="00DD19CC" w:rsidRPr="0040535D">
        <w:rPr>
          <w:rFonts w:ascii="Times New Roman" w:hAnsi="Times New Roman"/>
          <w:sz w:val="24"/>
          <w:szCs w:val="24"/>
        </w:rPr>
        <w:t>t</w:t>
      </w:r>
      <w:r w:rsidR="00753847" w:rsidRPr="0040535D">
        <w:rPr>
          <w:rFonts w:ascii="Times New Roman" w:hAnsi="Times New Roman"/>
          <w:sz w:val="24"/>
          <w:szCs w:val="24"/>
        </w:rPr>
        <w:t xml:space="preserve">echnicznej w programach </w:t>
      </w:r>
      <w:proofErr w:type="spellStart"/>
      <w:r w:rsidR="00753847" w:rsidRPr="0040535D">
        <w:rPr>
          <w:rFonts w:ascii="Times New Roman" w:hAnsi="Times New Roman"/>
          <w:sz w:val="24"/>
          <w:szCs w:val="24"/>
        </w:rPr>
        <w:t>Interreg</w:t>
      </w:r>
      <w:proofErr w:type="spellEnd"/>
      <w:r w:rsidR="000C4B9B" w:rsidRPr="0040535D">
        <w:rPr>
          <w:rFonts w:ascii="Times New Roman" w:hAnsi="Times New Roman"/>
          <w:sz w:val="24"/>
          <w:szCs w:val="24"/>
        </w:rPr>
        <w:t xml:space="preserve">. Zgodnie z rozporządzeniem </w:t>
      </w:r>
      <w:proofErr w:type="spellStart"/>
      <w:r w:rsidR="000C4B9B" w:rsidRPr="0040535D">
        <w:rPr>
          <w:rFonts w:ascii="Times New Roman" w:hAnsi="Times New Roman"/>
          <w:sz w:val="24"/>
          <w:szCs w:val="24"/>
        </w:rPr>
        <w:t>Interreg</w:t>
      </w:r>
      <w:proofErr w:type="spellEnd"/>
      <w:r w:rsidR="000C4B9B" w:rsidRPr="0040535D">
        <w:rPr>
          <w:rFonts w:ascii="Times New Roman" w:hAnsi="Times New Roman"/>
          <w:sz w:val="24"/>
          <w:szCs w:val="24"/>
        </w:rPr>
        <w:t xml:space="preserve"> środki </w:t>
      </w:r>
      <w:r w:rsidR="00EC06F1" w:rsidRPr="0040535D">
        <w:rPr>
          <w:rFonts w:ascii="Times New Roman" w:hAnsi="Times New Roman"/>
          <w:sz w:val="24"/>
          <w:szCs w:val="24"/>
        </w:rPr>
        <w:t xml:space="preserve">te </w:t>
      </w:r>
      <w:r w:rsidR="00753847" w:rsidRPr="0040535D">
        <w:rPr>
          <w:rFonts w:ascii="Times New Roman" w:hAnsi="Times New Roman"/>
          <w:sz w:val="24"/>
          <w:szCs w:val="24"/>
        </w:rPr>
        <w:t xml:space="preserve">nie są operacjami ani </w:t>
      </w:r>
      <w:r w:rsidR="00753847" w:rsidRPr="0040535D">
        <w:rPr>
          <w:rFonts w:ascii="Times New Roman" w:hAnsi="Times New Roman"/>
          <w:sz w:val="24"/>
          <w:szCs w:val="24"/>
        </w:rPr>
        <w:lastRenderedPageBreak/>
        <w:t>projektami</w:t>
      </w:r>
      <w:r w:rsidR="000C4B9B" w:rsidRPr="0040535D">
        <w:rPr>
          <w:rFonts w:ascii="Times New Roman" w:hAnsi="Times New Roman"/>
          <w:sz w:val="24"/>
          <w:szCs w:val="24"/>
        </w:rPr>
        <w:t xml:space="preserve">. Środki </w:t>
      </w:r>
      <w:r w:rsidR="00DD19CC" w:rsidRPr="0040535D">
        <w:rPr>
          <w:rFonts w:ascii="Times New Roman" w:hAnsi="Times New Roman"/>
          <w:sz w:val="24"/>
          <w:szCs w:val="24"/>
        </w:rPr>
        <w:t>p</w:t>
      </w:r>
      <w:r w:rsidR="000C4B9B" w:rsidRPr="0040535D">
        <w:rPr>
          <w:rFonts w:ascii="Times New Roman" w:hAnsi="Times New Roman"/>
          <w:sz w:val="24"/>
          <w:szCs w:val="24"/>
        </w:rPr>
        <w:t xml:space="preserve">omocy </w:t>
      </w:r>
      <w:r w:rsidR="00EC06F1" w:rsidRPr="0040535D">
        <w:rPr>
          <w:rFonts w:ascii="Times New Roman" w:hAnsi="Times New Roman"/>
          <w:sz w:val="24"/>
          <w:szCs w:val="24"/>
        </w:rPr>
        <w:t>t</w:t>
      </w:r>
      <w:r w:rsidR="000C4B9B" w:rsidRPr="0040535D">
        <w:rPr>
          <w:rFonts w:ascii="Times New Roman" w:hAnsi="Times New Roman"/>
          <w:sz w:val="24"/>
          <w:szCs w:val="24"/>
        </w:rPr>
        <w:t xml:space="preserve">echnicznej są stawką ryczałtową naliczaną w procesie certyfikacji wydatków do Komisji Europejskiej. Ten sposób rozliczeń pomiędzy Instytucją Zarządzającą a Komisją Europejską jest obligatoryjny. Zmiana sposobu rozliczeń środków </w:t>
      </w:r>
      <w:r w:rsidR="00EC06F1" w:rsidRPr="0040535D">
        <w:rPr>
          <w:rFonts w:ascii="Times New Roman" w:hAnsi="Times New Roman"/>
          <w:sz w:val="24"/>
          <w:szCs w:val="24"/>
        </w:rPr>
        <w:t>p</w:t>
      </w:r>
      <w:r w:rsidR="000C4B9B" w:rsidRPr="0040535D">
        <w:rPr>
          <w:rFonts w:ascii="Times New Roman" w:hAnsi="Times New Roman"/>
          <w:sz w:val="24"/>
          <w:szCs w:val="24"/>
        </w:rPr>
        <w:t xml:space="preserve">omocy </w:t>
      </w:r>
      <w:r w:rsidR="00EC06F1" w:rsidRPr="0040535D">
        <w:rPr>
          <w:rFonts w:ascii="Times New Roman" w:hAnsi="Times New Roman"/>
          <w:sz w:val="24"/>
          <w:szCs w:val="24"/>
        </w:rPr>
        <w:t>t</w:t>
      </w:r>
      <w:r w:rsidR="000C4B9B" w:rsidRPr="0040535D">
        <w:rPr>
          <w:rFonts w:ascii="Times New Roman" w:hAnsi="Times New Roman"/>
          <w:sz w:val="24"/>
          <w:szCs w:val="24"/>
        </w:rPr>
        <w:t xml:space="preserve">echnicznej w programach </w:t>
      </w:r>
      <w:proofErr w:type="spellStart"/>
      <w:r w:rsidR="000C4B9B" w:rsidRPr="0040535D">
        <w:rPr>
          <w:rFonts w:ascii="Times New Roman" w:hAnsi="Times New Roman"/>
          <w:sz w:val="24"/>
          <w:szCs w:val="24"/>
        </w:rPr>
        <w:t>Interreg</w:t>
      </w:r>
      <w:proofErr w:type="spellEnd"/>
      <w:r w:rsidR="000C4B9B" w:rsidRPr="0040535D">
        <w:rPr>
          <w:rFonts w:ascii="Times New Roman" w:hAnsi="Times New Roman"/>
          <w:sz w:val="24"/>
          <w:szCs w:val="24"/>
        </w:rPr>
        <w:t xml:space="preserve">, w tym rezygnacja z projektowego podejścia do obsługi Pomocy Technicznej, nie pozwalają aby do tych środków stosowane były przepisy ustawy np. w zakresie kontroli, nieprawidłowości, audytów itd. Obsługa </w:t>
      </w:r>
      <w:r w:rsidR="00EC06F1" w:rsidRPr="0040535D">
        <w:rPr>
          <w:rFonts w:ascii="Times New Roman" w:hAnsi="Times New Roman"/>
          <w:sz w:val="24"/>
          <w:szCs w:val="24"/>
        </w:rPr>
        <w:t>p</w:t>
      </w:r>
      <w:r w:rsidR="000C4B9B" w:rsidRPr="0040535D">
        <w:rPr>
          <w:rFonts w:ascii="Times New Roman" w:hAnsi="Times New Roman"/>
          <w:sz w:val="24"/>
          <w:szCs w:val="24"/>
        </w:rPr>
        <w:t xml:space="preserve">omocy </w:t>
      </w:r>
      <w:r w:rsidR="00EC06F1" w:rsidRPr="0040535D">
        <w:rPr>
          <w:rFonts w:ascii="Times New Roman" w:hAnsi="Times New Roman"/>
          <w:sz w:val="24"/>
          <w:szCs w:val="24"/>
        </w:rPr>
        <w:t>t</w:t>
      </w:r>
      <w:r w:rsidR="000C4B9B" w:rsidRPr="0040535D">
        <w:rPr>
          <w:rFonts w:ascii="Times New Roman" w:hAnsi="Times New Roman"/>
          <w:sz w:val="24"/>
          <w:szCs w:val="24"/>
        </w:rPr>
        <w:t xml:space="preserve">echnicznej w programach </w:t>
      </w:r>
      <w:proofErr w:type="spellStart"/>
      <w:r w:rsidR="000C4B9B" w:rsidRPr="0040535D">
        <w:rPr>
          <w:rFonts w:ascii="Times New Roman" w:hAnsi="Times New Roman"/>
          <w:sz w:val="24"/>
          <w:szCs w:val="24"/>
        </w:rPr>
        <w:t>Interreg</w:t>
      </w:r>
      <w:proofErr w:type="spellEnd"/>
      <w:r w:rsidR="000C4B9B" w:rsidRPr="0040535D">
        <w:rPr>
          <w:rFonts w:ascii="Times New Roman" w:hAnsi="Times New Roman"/>
          <w:sz w:val="24"/>
          <w:szCs w:val="24"/>
        </w:rPr>
        <w:t xml:space="preserve"> będzie realizowana wyłącznie w oparciu o obowiązujące wprost przepisy rozporządzenia </w:t>
      </w:r>
      <w:proofErr w:type="spellStart"/>
      <w:r w:rsidR="000C4B9B" w:rsidRPr="0040535D">
        <w:rPr>
          <w:rFonts w:ascii="Times New Roman" w:hAnsi="Times New Roman"/>
          <w:sz w:val="24"/>
          <w:szCs w:val="24"/>
        </w:rPr>
        <w:t>Interreg</w:t>
      </w:r>
      <w:proofErr w:type="spellEnd"/>
      <w:r w:rsidR="000C4B9B" w:rsidRPr="0040535D">
        <w:rPr>
          <w:rFonts w:ascii="Times New Roman" w:hAnsi="Times New Roman"/>
          <w:sz w:val="24"/>
          <w:szCs w:val="24"/>
        </w:rPr>
        <w:t xml:space="preserve">. Podmioty wykonujące zadania na rzecz programu </w:t>
      </w:r>
      <w:proofErr w:type="spellStart"/>
      <w:r w:rsidR="000C4B9B" w:rsidRPr="0040535D">
        <w:rPr>
          <w:rFonts w:ascii="Times New Roman" w:hAnsi="Times New Roman"/>
          <w:sz w:val="24"/>
          <w:szCs w:val="24"/>
        </w:rPr>
        <w:t>Interreg</w:t>
      </w:r>
      <w:proofErr w:type="spellEnd"/>
      <w:r w:rsidR="000C4B9B" w:rsidRPr="0040535D">
        <w:rPr>
          <w:rFonts w:ascii="Times New Roman" w:hAnsi="Times New Roman"/>
          <w:sz w:val="24"/>
          <w:szCs w:val="24"/>
        </w:rPr>
        <w:t xml:space="preserve"> i finansowane ze środków </w:t>
      </w:r>
      <w:r w:rsidR="00EC06F1" w:rsidRPr="0040535D">
        <w:rPr>
          <w:rFonts w:ascii="Times New Roman" w:hAnsi="Times New Roman"/>
          <w:sz w:val="24"/>
          <w:szCs w:val="24"/>
        </w:rPr>
        <w:t>p</w:t>
      </w:r>
      <w:r w:rsidR="000C4B9B" w:rsidRPr="0040535D">
        <w:rPr>
          <w:rFonts w:ascii="Times New Roman" w:hAnsi="Times New Roman"/>
          <w:sz w:val="24"/>
          <w:szCs w:val="24"/>
        </w:rPr>
        <w:t xml:space="preserve">omocy </w:t>
      </w:r>
      <w:r w:rsidR="00EC06F1" w:rsidRPr="0040535D">
        <w:rPr>
          <w:rFonts w:ascii="Times New Roman" w:hAnsi="Times New Roman"/>
          <w:sz w:val="24"/>
          <w:szCs w:val="24"/>
        </w:rPr>
        <w:t>t</w:t>
      </w:r>
      <w:r w:rsidR="000C4B9B" w:rsidRPr="0040535D">
        <w:rPr>
          <w:rFonts w:ascii="Times New Roman" w:hAnsi="Times New Roman"/>
          <w:sz w:val="24"/>
          <w:szCs w:val="24"/>
        </w:rPr>
        <w:t>echnicznej, będą wymienione w dokumencie programowym, zatwierdzanym przez K</w:t>
      </w:r>
      <w:r w:rsidR="00E16353" w:rsidRPr="0040535D">
        <w:rPr>
          <w:rFonts w:ascii="Times New Roman" w:hAnsi="Times New Roman"/>
          <w:sz w:val="24"/>
          <w:szCs w:val="24"/>
        </w:rPr>
        <w:t xml:space="preserve">omisję </w:t>
      </w:r>
      <w:r w:rsidR="000C4B9B" w:rsidRPr="0040535D">
        <w:rPr>
          <w:rFonts w:ascii="Times New Roman" w:hAnsi="Times New Roman"/>
          <w:sz w:val="24"/>
          <w:szCs w:val="24"/>
        </w:rPr>
        <w:t>E</w:t>
      </w:r>
      <w:r w:rsidR="00E16353" w:rsidRPr="0040535D">
        <w:rPr>
          <w:rFonts w:ascii="Times New Roman" w:hAnsi="Times New Roman"/>
          <w:sz w:val="24"/>
          <w:szCs w:val="24"/>
        </w:rPr>
        <w:t>uropejską.</w:t>
      </w:r>
      <w:r w:rsidR="000C4B9B" w:rsidRPr="0040535D">
        <w:rPr>
          <w:rFonts w:ascii="Times New Roman" w:hAnsi="Times New Roman"/>
          <w:sz w:val="24"/>
          <w:szCs w:val="24"/>
        </w:rPr>
        <w:t xml:space="preserve"> Wszystkie niezbędne regulacje pomiędzy Instytucją Zarządzającą a instytucjami działającymi na rzecz programu </w:t>
      </w:r>
      <w:proofErr w:type="spellStart"/>
      <w:r w:rsidR="000C4B9B" w:rsidRPr="0040535D">
        <w:rPr>
          <w:rFonts w:ascii="Times New Roman" w:hAnsi="Times New Roman"/>
          <w:sz w:val="24"/>
          <w:szCs w:val="24"/>
        </w:rPr>
        <w:t>Interreg</w:t>
      </w:r>
      <w:proofErr w:type="spellEnd"/>
      <w:r w:rsidR="000C4B9B" w:rsidRPr="0040535D">
        <w:rPr>
          <w:rFonts w:ascii="Times New Roman" w:hAnsi="Times New Roman"/>
          <w:sz w:val="24"/>
          <w:szCs w:val="24"/>
        </w:rPr>
        <w:t xml:space="preserve"> zostaną określone w dokumentach przyznających środki.</w:t>
      </w:r>
    </w:p>
    <w:p w14:paraId="1C9DC4EF" w14:textId="77777777" w:rsidR="00555DC0" w:rsidRPr="0040535D" w:rsidRDefault="00555DC0" w:rsidP="00A01FB5">
      <w:pPr>
        <w:spacing w:after="0" w:line="360" w:lineRule="auto"/>
        <w:jc w:val="both"/>
        <w:rPr>
          <w:rFonts w:ascii="Times New Roman" w:hAnsi="Times New Roman"/>
          <w:sz w:val="24"/>
          <w:szCs w:val="24"/>
        </w:rPr>
      </w:pPr>
    </w:p>
    <w:p w14:paraId="6B98B5E6" w14:textId="77777777" w:rsidR="00555DC0" w:rsidRPr="0040535D" w:rsidRDefault="00555DC0" w:rsidP="00892DB5">
      <w:pPr>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art. 2</w:t>
      </w:r>
      <w:r w:rsidRPr="0040535D">
        <w:rPr>
          <w:rFonts w:ascii="Times New Roman" w:hAnsi="Times New Roman"/>
          <w:sz w:val="24"/>
          <w:szCs w:val="24"/>
        </w:rPr>
        <w:t>, w celu zapewnienia czytelności i jednoznaczności projektowanych regulacji ustawowych, zawarto definicje najważniejszych pojęć używanych w projektowanej ustawie.</w:t>
      </w:r>
    </w:p>
    <w:p w14:paraId="5C8737C8" w14:textId="77777777" w:rsidR="00555DC0" w:rsidRPr="0040535D" w:rsidRDefault="00555DC0" w:rsidP="002B30D0">
      <w:pPr>
        <w:spacing w:after="0" w:line="360" w:lineRule="auto"/>
        <w:jc w:val="both"/>
        <w:rPr>
          <w:rFonts w:ascii="Times New Roman" w:hAnsi="Times New Roman"/>
          <w:sz w:val="24"/>
          <w:szCs w:val="24"/>
        </w:rPr>
      </w:pPr>
    </w:p>
    <w:p w14:paraId="4A73DDFB" w14:textId="77777777" w:rsidR="00555DC0" w:rsidRPr="0040535D" w:rsidRDefault="00555DC0" w:rsidP="00EC2541">
      <w:pPr>
        <w:spacing w:after="0" w:line="360" w:lineRule="auto"/>
        <w:jc w:val="both"/>
        <w:rPr>
          <w:rFonts w:ascii="Times New Roman" w:hAnsi="Times New Roman"/>
          <w:sz w:val="24"/>
          <w:szCs w:val="24"/>
        </w:rPr>
      </w:pPr>
      <w:r w:rsidRPr="0040535D">
        <w:rPr>
          <w:rFonts w:ascii="Times New Roman" w:hAnsi="Times New Roman"/>
          <w:sz w:val="24"/>
          <w:szCs w:val="24"/>
        </w:rPr>
        <w:t xml:space="preserve">Wśród definiowanych pojęć znalazła się m.in. kluczowa z punktu widzenia przedmiotu regulacji definicja „umowy partnerstwa”. W celu zdefiniowania tego pojęcia posłużono się odwołaniem do </w:t>
      </w:r>
      <w:r w:rsidR="005177BD" w:rsidRPr="0040535D">
        <w:rPr>
          <w:rFonts w:ascii="Times New Roman" w:hAnsi="Times New Roman"/>
          <w:sz w:val="24"/>
          <w:szCs w:val="24"/>
        </w:rPr>
        <w:t>art. 5 pkt 9a ustawy z dnia 6 grudnia 2006 r. o zasadach prowadzenia polityki rozwoju</w:t>
      </w:r>
      <w:r w:rsidR="004F2EE9" w:rsidRPr="0040535D">
        <w:rPr>
          <w:rFonts w:ascii="Times New Roman" w:hAnsi="Times New Roman"/>
          <w:sz w:val="24"/>
          <w:szCs w:val="24"/>
        </w:rPr>
        <w:t xml:space="preserve"> (Dz. U. z 2021 r. poz. 1057)</w:t>
      </w:r>
      <w:r w:rsidRPr="0040535D">
        <w:rPr>
          <w:rFonts w:ascii="Times New Roman" w:hAnsi="Times New Roman"/>
          <w:sz w:val="24"/>
          <w:szCs w:val="24"/>
        </w:rPr>
        <w:t xml:space="preserve">, </w:t>
      </w:r>
      <w:r w:rsidR="004F2EE9" w:rsidRPr="0040535D">
        <w:rPr>
          <w:rFonts w:ascii="Times New Roman" w:hAnsi="Times New Roman"/>
          <w:sz w:val="24"/>
          <w:szCs w:val="24"/>
        </w:rPr>
        <w:t xml:space="preserve">(dalej: </w:t>
      </w:r>
      <w:proofErr w:type="spellStart"/>
      <w:r w:rsidR="004F2EE9" w:rsidRPr="0040535D">
        <w:rPr>
          <w:rFonts w:ascii="Times New Roman" w:hAnsi="Times New Roman"/>
          <w:sz w:val="24"/>
          <w:szCs w:val="24"/>
        </w:rPr>
        <w:t>uzppr</w:t>
      </w:r>
      <w:proofErr w:type="spellEnd"/>
      <w:r w:rsidR="004F2EE9" w:rsidRPr="0040535D">
        <w:rPr>
          <w:rFonts w:ascii="Times New Roman" w:hAnsi="Times New Roman"/>
          <w:sz w:val="24"/>
          <w:szCs w:val="24"/>
        </w:rPr>
        <w:t xml:space="preserve">), </w:t>
      </w:r>
      <w:r w:rsidRPr="0040535D">
        <w:rPr>
          <w:rFonts w:ascii="Times New Roman" w:hAnsi="Times New Roman"/>
          <w:sz w:val="24"/>
          <w:szCs w:val="24"/>
        </w:rPr>
        <w:t xml:space="preserve">na gruncie którego przez umowę partnerstwa rozumie się </w:t>
      </w:r>
      <w:r w:rsidR="00E16353" w:rsidRPr="0040535D">
        <w:rPr>
          <w:rFonts w:ascii="Times New Roman" w:hAnsi="Times New Roman"/>
          <w:sz w:val="24"/>
          <w:szCs w:val="24"/>
        </w:rPr>
        <w:t>umowę określającą uwarunkowania, cele i kierunki wykorzystania środków pochodzących z budżetu Unii Europejskiej, przygotowaną z udziałem partnerów społecznych i gospodarczych oraz zatwierdzoną przez Komisję Europejską</w:t>
      </w:r>
      <w:r w:rsidR="00695CEA" w:rsidRPr="0040535D">
        <w:rPr>
          <w:rFonts w:ascii="Times New Roman" w:hAnsi="Times New Roman"/>
          <w:sz w:val="24"/>
          <w:szCs w:val="24"/>
        </w:rPr>
        <w:t>.</w:t>
      </w:r>
      <w:r w:rsidR="00E16353" w:rsidRPr="0040535D" w:rsidDel="00E16353">
        <w:rPr>
          <w:rFonts w:ascii="Times New Roman" w:hAnsi="Times New Roman"/>
          <w:sz w:val="24"/>
          <w:szCs w:val="24"/>
        </w:rPr>
        <w:t xml:space="preserve"> </w:t>
      </w:r>
    </w:p>
    <w:p w14:paraId="5A17B65B" w14:textId="77777777" w:rsidR="00555DC0" w:rsidRPr="0040535D" w:rsidRDefault="00555DC0" w:rsidP="004B71D0">
      <w:pPr>
        <w:spacing w:before="120" w:line="360" w:lineRule="auto"/>
        <w:jc w:val="both"/>
        <w:rPr>
          <w:rFonts w:ascii="Times New Roman" w:hAnsi="Times New Roman"/>
          <w:sz w:val="24"/>
          <w:szCs w:val="24"/>
        </w:rPr>
      </w:pPr>
      <w:r w:rsidRPr="0040535D">
        <w:rPr>
          <w:rFonts w:ascii="Times New Roman" w:hAnsi="Times New Roman"/>
          <w:sz w:val="24"/>
          <w:szCs w:val="24"/>
        </w:rPr>
        <w:t>W ustawie wskazano również, że pod pojęciem „fundusze strukturalne” należy rozumieć Europejski Fundusz Rozwoju Regionalnego oraz Europejski Fundusz Społeczny</w:t>
      </w:r>
      <w:r w:rsidR="00A940A8" w:rsidRPr="0040535D">
        <w:rPr>
          <w:rFonts w:ascii="Times New Roman" w:hAnsi="Times New Roman"/>
          <w:sz w:val="24"/>
          <w:szCs w:val="24"/>
        </w:rPr>
        <w:t xml:space="preserve"> Plus</w:t>
      </w:r>
      <w:r w:rsidRPr="0040535D">
        <w:rPr>
          <w:rFonts w:ascii="Times New Roman" w:hAnsi="Times New Roman"/>
          <w:sz w:val="24"/>
          <w:szCs w:val="24"/>
        </w:rPr>
        <w:t>, o których mowa w art. 1 rozporządzenia ogólnego.</w:t>
      </w:r>
    </w:p>
    <w:p w14:paraId="5ABBA889" w14:textId="77777777" w:rsidR="00555DC0" w:rsidRPr="0040535D" w:rsidRDefault="00555DC0" w:rsidP="00312C3F">
      <w:pPr>
        <w:spacing w:before="120" w:line="360" w:lineRule="auto"/>
        <w:jc w:val="both"/>
        <w:rPr>
          <w:rFonts w:ascii="Times New Roman" w:hAnsi="Times New Roman"/>
          <w:sz w:val="24"/>
          <w:szCs w:val="24"/>
        </w:rPr>
      </w:pPr>
      <w:r w:rsidRPr="0040535D">
        <w:rPr>
          <w:rFonts w:ascii="Times New Roman" w:hAnsi="Times New Roman"/>
          <w:sz w:val="24"/>
          <w:szCs w:val="24"/>
        </w:rPr>
        <w:t xml:space="preserve">Pod pojęciem „program” należy rozumieć krajowy program, program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i regionalny program. Oznacza to, </w:t>
      </w:r>
      <w:r w:rsidR="003A5032" w:rsidRPr="0040535D">
        <w:rPr>
          <w:rFonts w:ascii="Times New Roman" w:hAnsi="Times New Roman"/>
          <w:sz w:val="24"/>
          <w:szCs w:val="24"/>
        </w:rPr>
        <w:t>ż</w:t>
      </w:r>
      <w:r w:rsidRPr="0040535D">
        <w:rPr>
          <w:rFonts w:ascii="Times New Roman" w:hAnsi="Times New Roman"/>
          <w:sz w:val="24"/>
          <w:szCs w:val="24"/>
        </w:rPr>
        <w:t>e każdy przepis ustawy dotyczący programu odnosi się do wszystkich ww. programów.</w:t>
      </w:r>
    </w:p>
    <w:p w14:paraId="6C3D63B0" w14:textId="77777777" w:rsidR="00555DC0" w:rsidRPr="0040535D" w:rsidRDefault="00555DC0" w:rsidP="00100244">
      <w:pPr>
        <w:spacing w:before="120" w:line="360" w:lineRule="auto"/>
        <w:jc w:val="both"/>
        <w:rPr>
          <w:rFonts w:ascii="Times New Roman" w:hAnsi="Times New Roman"/>
          <w:sz w:val="24"/>
          <w:szCs w:val="24"/>
        </w:rPr>
      </w:pPr>
      <w:r w:rsidRPr="0040535D">
        <w:rPr>
          <w:rFonts w:ascii="Times New Roman" w:hAnsi="Times New Roman"/>
          <w:sz w:val="24"/>
          <w:szCs w:val="24"/>
        </w:rPr>
        <w:t xml:space="preserve">Zgodnie z definicją zawartą w art. 2 pkt </w:t>
      </w:r>
      <w:r w:rsidR="00C36A54">
        <w:rPr>
          <w:rFonts w:ascii="Times New Roman" w:hAnsi="Times New Roman"/>
          <w:sz w:val="24"/>
          <w:szCs w:val="24"/>
        </w:rPr>
        <w:t>1</w:t>
      </w:r>
      <w:r w:rsidR="004611B8">
        <w:rPr>
          <w:rFonts w:ascii="Times New Roman" w:hAnsi="Times New Roman"/>
          <w:sz w:val="24"/>
          <w:szCs w:val="24"/>
        </w:rPr>
        <w:t>5</w:t>
      </w:r>
      <w:r w:rsidR="00C36A54" w:rsidRPr="0040535D">
        <w:rPr>
          <w:rFonts w:ascii="Times New Roman" w:hAnsi="Times New Roman"/>
          <w:sz w:val="24"/>
          <w:szCs w:val="24"/>
        </w:rPr>
        <w:t xml:space="preserve"> </w:t>
      </w:r>
      <w:r w:rsidRPr="0040535D">
        <w:rPr>
          <w:rFonts w:ascii="Times New Roman" w:hAnsi="Times New Roman"/>
          <w:sz w:val="24"/>
          <w:szCs w:val="24"/>
        </w:rPr>
        <w:t xml:space="preserve">projektu ustawy </w:t>
      </w:r>
      <w:r w:rsidR="004611B8">
        <w:rPr>
          <w:rFonts w:ascii="Times New Roman" w:hAnsi="Times New Roman"/>
          <w:sz w:val="24"/>
          <w:szCs w:val="24"/>
        </w:rPr>
        <w:t>„</w:t>
      </w:r>
      <w:r w:rsidRPr="0040535D">
        <w:rPr>
          <w:rFonts w:ascii="Times New Roman" w:hAnsi="Times New Roman"/>
          <w:sz w:val="24"/>
          <w:szCs w:val="24"/>
        </w:rPr>
        <w:t>krajowym programem</w:t>
      </w:r>
      <w:r w:rsidR="004611B8">
        <w:rPr>
          <w:rFonts w:ascii="Times New Roman" w:hAnsi="Times New Roman"/>
          <w:sz w:val="24"/>
          <w:szCs w:val="24"/>
        </w:rPr>
        <w:t>”</w:t>
      </w:r>
      <w:r w:rsidRPr="0040535D">
        <w:rPr>
          <w:rFonts w:ascii="Times New Roman" w:hAnsi="Times New Roman"/>
          <w:sz w:val="24"/>
          <w:szCs w:val="24"/>
        </w:rPr>
        <w:t xml:space="preserve"> jest program służący realizacji umowy partnerstwa w zakresie polityki spójności w rozumieniu art. 5 pkt 7a lit. a</w:t>
      </w:r>
      <w:r w:rsidR="004F2EE9" w:rsidRPr="0040535D">
        <w:rPr>
          <w:rFonts w:ascii="Times New Roman" w:hAnsi="Times New Roman"/>
          <w:sz w:val="24"/>
          <w:szCs w:val="24"/>
        </w:rPr>
        <w:t xml:space="preserve"> </w:t>
      </w:r>
      <w:proofErr w:type="spellStart"/>
      <w:r w:rsidR="004F2EE9" w:rsidRPr="0040535D">
        <w:rPr>
          <w:rFonts w:ascii="Times New Roman" w:hAnsi="Times New Roman"/>
          <w:sz w:val="24"/>
          <w:szCs w:val="24"/>
        </w:rPr>
        <w:t>uzppr</w:t>
      </w:r>
      <w:proofErr w:type="spellEnd"/>
      <w:r w:rsidR="00F058AF" w:rsidRPr="0040535D">
        <w:rPr>
          <w:rFonts w:ascii="Times New Roman" w:hAnsi="Times New Roman"/>
          <w:sz w:val="24"/>
          <w:szCs w:val="24"/>
        </w:rPr>
        <w:t xml:space="preserve"> </w:t>
      </w:r>
      <w:r w:rsidRPr="0040535D">
        <w:rPr>
          <w:rFonts w:ascii="Times New Roman" w:hAnsi="Times New Roman"/>
          <w:sz w:val="24"/>
          <w:szCs w:val="24"/>
        </w:rPr>
        <w:t xml:space="preserve">uchwalony przez Radę Ministrów i przyjęty przez Komisję Europejską, </w:t>
      </w:r>
      <w:r w:rsidRPr="0040535D">
        <w:rPr>
          <w:rFonts w:ascii="Times New Roman" w:hAnsi="Times New Roman"/>
          <w:sz w:val="24"/>
          <w:szCs w:val="24"/>
        </w:rPr>
        <w:lastRenderedPageBreak/>
        <w:t xml:space="preserve">odzwierciedlający cele zawarte w umowie partnerstwa, które mają być osiągnięte za pomocą funduszy strukturalnych lub Funduszu Spójności lub Funduszu </w:t>
      </w:r>
      <w:r w:rsidR="005C7481" w:rsidRPr="0040535D">
        <w:rPr>
          <w:rFonts w:ascii="Times New Roman" w:hAnsi="Times New Roman"/>
          <w:sz w:val="24"/>
          <w:szCs w:val="24"/>
        </w:rPr>
        <w:t xml:space="preserve">na rzecz </w:t>
      </w:r>
      <w:r w:rsidRPr="0040535D">
        <w:rPr>
          <w:rFonts w:ascii="Times New Roman" w:hAnsi="Times New Roman"/>
          <w:sz w:val="24"/>
          <w:szCs w:val="24"/>
        </w:rPr>
        <w:t xml:space="preserve">Sprawiedliwej Transformacji, będący podstawą realizacji określonych w nim działań, stanowiący program, o którym mowa w art. </w:t>
      </w:r>
      <w:r w:rsidR="005177BD" w:rsidRPr="0040535D">
        <w:rPr>
          <w:rFonts w:ascii="Times New Roman" w:hAnsi="Times New Roman"/>
          <w:sz w:val="24"/>
          <w:szCs w:val="24"/>
        </w:rPr>
        <w:t>22</w:t>
      </w:r>
      <w:r w:rsidR="004F2EE9" w:rsidRPr="0040535D">
        <w:rPr>
          <w:rFonts w:ascii="Times New Roman" w:hAnsi="Times New Roman"/>
          <w:sz w:val="24"/>
          <w:szCs w:val="24"/>
        </w:rPr>
        <w:t xml:space="preserve"> </w:t>
      </w:r>
      <w:r w:rsidRPr="0040535D">
        <w:rPr>
          <w:rFonts w:ascii="Times New Roman" w:hAnsi="Times New Roman"/>
          <w:sz w:val="24"/>
          <w:szCs w:val="24"/>
        </w:rPr>
        <w:t>rozporządzenia ogólnego.</w:t>
      </w:r>
    </w:p>
    <w:p w14:paraId="0A264190" w14:textId="77777777" w:rsidR="00555DC0" w:rsidRPr="0040535D" w:rsidRDefault="00555DC0" w:rsidP="00100244">
      <w:pPr>
        <w:spacing w:before="120" w:line="360" w:lineRule="auto"/>
        <w:jc w:val="both"/>
        <w:rPr>
          <w:rFonts w:ascii="Times New Roman" w:hAnsi="Times New Roman"/>
          <w:sz w:val="24"/>
          <w:szCs w:val="24"/>
        </w:rPr>
      </w:pPr>
      <w:r w:rsidRPr="0040535D">
        <w:rPr>
          <w:rFonts w:ascii="Times New Roman" w:hAnsi="Times New Roman"/>
          <w:sz w:val="24"/>
          <w:szCs w:val="24"/>
        </w:rPr>
        <w:t xml:space="preserve">Definicja „regionalnego programu” jest analogiczna do definicji „krajowego programu”. Różnica polega na tym, że program </w:t>
      </w:r>
      <w:r w:rsidR="004F2EE9" w:rsidRPr="0040535D">
        <w:rPr>
          <w:rFonts w:ascii="Times New Roman" w:hAnsi="Times New Roman"/>
          <w:sz w:val="24"/>
          <w:szCs w:val="24"/>
        </w:rPr>
        <w:t xml:space="preserve">ten </w:t>
      </w:r>
      <w:r w:rsidRPr="0040535D">
        <w:rPr>
          <w:rFonts w:ascii="Times New Roman" w:hAnsi="Times New Roman"/>
          <w:sz w:val="24"/>
          <w:szCs w:val="24"/>
        </w:rPr>
        <w:t>jest uchwalany i przedkładany Komisji Europejskiej przez zarząd województwa.</w:t>
      </w:r>
      <w:r w:rsidR="003A329B" w:rsidRPr="0040535D">
        <w:rPr>
          <w:rFonts w:ascii="Times New Roman" w:hAnsi="Times New Roman"/>
          <w:sz w:val="24"/>
          <w:szCs w:val="24"/>
        </w:rPr>
        <w:t xml:space="preserve"> Natomiast </w:t>
      </w:r>
      <w:r w:rsidR="004611B8">
        <w:rPr>
          <w:rFonts w:ascii="Times New Roman" w:hAnsi="Times New Roman"/>
          <w:sz w:val="24"/>
          <w:szCs w:val="24"/>
        </w:rPr>
        <w:t>„</w:t>
      </w:r>
      <w:r w:rsidR="003A329B" w:rsidRPr="0040535D">
        <w:rPr>
          <w:rFonts w:ascii="Times New Roman" w:hAnsi="Times New Roman"/>
          <w:sz w:val="24"/>
          <w:szCs w:val="24"/>
        </w:rPr>
        <w:t xml:space="preserve">program </w:t>
      </w:r>
      <w:proofErr w:type="spellStart"/>
      <w:r w:rsidR="003A329B" w:rsidRPr="0040535D">
        <w:rPr>
          <w:rFonts w:ascii="Times New Roman" w:hAnsi="Times New Roman"/>
          <w:sz w:val="24"/>
          <w:szCs w:val="24"/>
        </w:rPr>
        <w:t>Interreg</w:t>
      </w:r>
      <w:proofErr w:type="spellEnd"/>
      <w:r w:rsidR="004611B8">
        <w:rPr>
          <w:rFonts w:ascii="Times New Roman" w:hAnsi="Times New Roman"/>
          <w:sz w:val="24"/>
          <w:szCs w:val="24"/>
        </w:rPr>
        <w:t>”</w:t>
      </w:r>
      <w:r w:rsidR="003A329B" w:rsidRPr="0040535D">
        <w:rPr>
          <w:rFonts w:ascii="Times New Roman" w:hAnsi="Times New Roman"/>
          <w:sz w:val="24"/>
          <w:szCs w:val="24"/>
        </w:rPr>
        <w:t xml:space="preserve"> został zdefiniowany jako program, o którym mowa w art. 8 rozporządzenia </w:t>
      </w:r>
      <w:proofErr w:type="spellStart"/>
      <w:r w:rsidR="003A329B" w:rsidRPr="0040535D">
        <w:rPr>
          <w:rFonts w:ascii="Times New Roman" w:hAnsi="Times New Roman"/>
          <w:sz w:val="24"/>
          <w:szCs w:val="24"/>
        </w:rPr>
        <w:t>Interreg</w:t>
      </w:r>
      <w:proofErr w:type="spellEnd"/>
      <w:r w:rsidR="003A329B" w:rsidRPr="0040535D">
        <w:rPr>
          <w:rFonts w:ascii="Times New Roman" w:hAnsi="Times New Roman"/>
          <w:sz w:val="24"/>
          <w:szCs w:val="24"/>
        </w:rPr>
        <w:t>, na przystąpienie do którego wyraziła zgodę Rada Ministrów, przyjęty przez Komisję Europejską, będący podstawą realizacji działań w nim określonych. W przypadku programów realizowanych na granicach zewnętrznych U</w:t>
      </w:r>
      <w:r w:rsidR="00695CEA" w:rsidRPr="0040535D">
        <w:rPr>
          <w:rFonts w:ascii="Times New Roman" w:hAnsi="Times New Roman"/>
          <w:sz w:val="24"/>
          <w:szCs w:val="24"/>
        </w:rPr>
        <w:t xml:space="preserve">nii </w:t>
      </w:r>
      <w:r w:rsidR="003A329B" w:rsidRPr="0040535D">
        <w:rPr>
          <w:rFonts w:ascii="Times New Roman" w:hAnsi="Times New Roman"/>
          <w:sz w:val="24"/>
          <w:szCs w:val="24"/>
        </w:rPr>
        <w:t>E</w:t>
      </w:r>
      <w:r w:rsidR="00695CEA" w:rsidRPr="0040535D">
        <w:rPr>
          <w:rFonts w:ascii="Times New Roman" w:hAnsi="Times New Roman"/>
          <w:sz w:val="24"/>
          <w:szCs w:val="24"/>
        </w:rPr>
        <w:t>uropejskiej</w:t>
      </w:r>
      <w:r w:rsidR="003A329B" w:rsidRPr="0040535D">
        <w:rPr>
          <w:rFonts w:ascii="Times New Roman" w:hAnsi="Times New Roman"/>
          <w:sz w:val="24"/>
          <w:szCs w:val="24"/>
        </w:rPr>
        <w:t xml:space="preserve"> zgoda Rady Ministrów dotyczy również umowy finansowej, o której mowa w art. 59 rozporządzenia </w:t>
      </w:r>
      <w:proofErr w:type="spellStart"/>
      <w:r w:rsidR="003A329B" w:rsidRPr="0040535D">
        <w:rPr>
          <w:rFonts w:ascii="Times New Roman" w:hAnsi="Times New Roman"/>
          <w:sz w:val="24"/>
          <w:szCs w:val="24"/>
        </w:rPr>
        <w:t>Interreg</w:t>
      </w:r>
      <w:proofErr w:type="spellEnd"/>
      <w:r w:rsidR="003A329B" w:rsidRPr="0040535D">
        <w:rPr>
          <w:rFonts w:ascii="Times New Roman" w:hAnsi="Times New Roman"/>
          <w:sz w:val="24"/>
          <w:szCs w:val="24"/>
        </w:rPr>
        <w:t>.</w:t>
      </w:r>
    </w:p>
    <w:p w14:paraId="78ADF711" w14:textId="77777777" w:rsidR="00555DC0" w:rsidRPr="0040535D" w:rsidRDefault="00555DC0" w:rsidP="00100244">
      <w:pPr>
        <w:spacing w:before="120" w:line="360" w:lineRule="auto"/>
        <w:jc w:val="both"/>
        <w:rPr>
          <w:rFonts w:ascii="Times New Roman" w:hAnsi="Times New Roman"/>
          <w:sz w:val="24"/>
          <w:szCs w:val="24"/>
        </w:rPr>
      </w:pPr>
      <w:r w:rsidRPr="0040535D">
        <w:rPr>
          <w:rFonts w:ascii="Times New Roman" w:hAnsi="Times New Roman"/>
          <w:sz w:val="24"/>
          <w:szCs w:val="24"/>
        </w:rPr>
        <w:t xml:space="preserve">W art. 2 zdefiniowano również pojęcie „beneficjent”, oznaczające podmiot, o którym mowa w art. 2 </w:t>
      </w:r>
      <w:r w:rsidR="00B51D71" w:rsidRPr="0040535D">
        <w:rPr>
          <w:rFonts w:ascii="Times New Roman" w:hAnsi="Times New Roman"/>
          <w:sz w:val="24"/>
          <w:szCs w:val="24"/>
        </w:rPr>
        <w:t>pkt</w:t>
      </w:r>
      <w:r w:rsidR="00877B7B" w:rsidRPr="0040535D">
        <w:rPr>
          <w:rFonts w:ascii="Times New Roman" w:hAnsi="Times New Roman"/>
          <w:sz w:val="24"/>
          <w:szCs w:val="24"/>
        </w:rPr>
        <w:t xml:space="preserve"> </w:t>
      </w:r>
      <w:r w:rsidR="005177BD" w:rsidRPr="0040535D">
        <w:rPr>
          <w:rFonts w:ascii="Times New Roman" w:hAnsi="Times New Roman"/>
          <w:sz w:val="24"/>
          <w:szCs w:val="24"/>
        </w:rPr>
        <w:t xml:space="preserve">9 </w:t>
      </w:r>
      <w:r w:rsidRPr="0040535D">
        <w:rPr>
          <w:rFonts w:ascii="Times New Roman" w:hAnsi="Times New Roman"/>
          <w:sz w:val="24"/>
          <w:szCs w:val="24"/>
        </w:rPr>
        <w:t xml:space="preserve">rozporządzenia ogólnego. W art. 2 rozporządzenia ogólnego przewidziano, iż „beneficjent” oznacza podmiot </w:t>
      </w:r>
      <w:r w:rsidR="002E555E" w:rsidRPr="0040535D">
        <w:rPr>
          <w:rFonts w:ascii="Times New Roman" w:hAnsi="Times New Roman"/>
          <w:sz w:val="24"/>
          <w:szCs w:val="24"/>
        </w:rPr>
        <w:t>publiczny lub prywatny</w:t>
      </w:r>
      <w:r w:rsidRPr="0040535D">
        <w:rPr>
          <w:rFonts w:ascii="Times New Roman" w:hAnsi="Times New Roman"/>
          <w:sz w:val="24"/>
          <w:szCs w:val="24"/>
        </w:rPr>
        <w:t xml:space="preserve">, podmiot </w:t>
      </w:r>
      <w:r w:rsidR="002E555E" w:rsidRPr="0040535D">
        <w:rPr>
          <w:rFonts w:ascii="Times New Roman" w:hAnsi="Times New Roman"/>
          <w:sz w:val="24"/>
          <w:szCs w:val="24"/>
        </w:rPr>
        <w:t xml:space="preserve">mający </w:t>
      </w:r>
      <w:r w:rsidRPr="0040535D">
        <w:rPr>
          <w:rFonts w:ascii="Times New Roman" w:hAnsi="Times New Roman"/>
          <w:sz w:val="24"/>
          <w:szCs w:val="24"/>
        </w:rPr>
        <w:t xml:space="preserve"> osobowość prawną lub</w:t>
      </w:r>
      <w:r w:rsidR="002E555E" w:rsidRPr="0040535D">
        <w:rPr>
          <w:rFonts w:ascii="Times New Roman" w:hAnsi="Times New Roman"/>
          <w:sz w:val="24"/>
          <w:szCs w:val="24"/>
        </w:rPr>
        <w:t xml:space="preserve"> niemający</w:t>
      </w:r>
      <w:r w:rsidRPr="0040535D">
        <w:rPr>
          <w:rFonts w:ascii="Times New Roman" w:hAnsi="Times New Roman"/>
          <w:sz w:val="24"/>
          <w:szCs w:val="24"/>
        </w:rPr>
        <w:t xml:space="preserve"> osobowości prawnej bądź osobę fizyczną, odpowiedzialne za inicjowanie lub inicjowanie i wdrażanie operacji; w kontekście programów pomocy państwa (pomocy publicznej) „beneficjent” oznacza przedsiębiorstwo, które otrzymuje pomoc; w kontekście instrumentów finansowych „beneficjent” oznacza podmiot, który wdraża fundusz </w:t>
      </w:r>
      <w:r w:rsidR="002E555E" w:rsidRPr="0040535D">
        <w:rPr>
          <w:rFonts w:ascii="Times New Roman" w:hAnsi="Times New Roman"/>
          <w:sz w:val="24"/>
          <w:szCs w:val="24"/>
        </w:rPr>
        <w:t>powierniczy</w:t>
      </w:r>
      <w:r w:rsidRPr="0040535D">
        <w:rPr>
          <w:rFonts w:ascii="Times New Roman" w:hAnsi="Times New Roman"/>
          <w:sz w:val="24"/>
          <w:szCs w:val="24"/>
        </w:rPr>
        <w:t xml:space="preserve">, lub, </w:t>
      </w:r>
      <w:r w:rsidR="002E555E" w:rsidRPr="0040535D">
        <w:rPr>
          <w:rFonts w:ascii="Times New Roman" w:hAnsi="Times New Roman"/>
          <w:sz w:val="24"/>
          <w:szCs w:val="24"/>
        </w:rPr>
        <w:t xml:space="preserve">jeżeli </w:t>
      </w:r>
      <w:r w:rsidRPr="0040535D">
        <w:rPr>
          <w:rFonts w:ascii="Times New Roman" w:hAnsi="Times New Roman"/>
          <w:sz w:val="24"/>
          <w:szCs w:val="24"/>
        </w:rPr>
        <w:t xml:space="preserve"> nie istnieje struktura </w:t>
      </w:r>
      <w:r w:rsidR="002E555E" w:rsidRPr="0040535D">
        <w:rPr>
          <w:rFonts w:ascii="Times New Roman" w:hAnsi="Times New Roman"/>
          <w:sz w:val="24"/>
          <w:szCs w:val="24"/>
        </w:rPr>
        <w:t xml:space="preserve">z </w:t>
      </w:r>
      <w:r w:rsidRPr="0040535D">
        <w:rPr>
          <w:rFonts w:ascii="Times New Roman" w:hAnsi="Times New Roman"/>
          <w:sz w:val="24"/>
          <w:szCs w:val="24"/>
        </w:rPr>
        <w:t>fundusz</w:t>
      </w:r>
      <w:r w:rsidR="002E555E" w:rsidRPr="0040535D">
        <w:rPr>
          <w:rFonts w:ascii="Times New Roman" w:hAnsi="Times New Roman"/>
          <w:sz w:val="24"/>
          <w:szCs w:val="24"/>
        </w:rPr>
        <w:t>em</w:t>
      </w:r>
      <w:r w:rsidRPr="0040535D">
        <w:rPr>
          <w:rFonts w:ascii="Times New Roman" w:hAnsi="Times New Roman"/>
          <w:sz w:val="24"/>
          <w:szCs w:val="24"/>
        </w:rPr>
        <w:t xml:space="preserve"> </w:t>
      </w:r>
      <w:r w:rsidR="002E555E" w:rsidRPr="0040535D">
        <w:rPr>
          <w:rFonts w:ascii="Times New Roman" w:hAnsi="Times New Roman"/>
          <w:sz w:val="24"/>
          <w:szCs w:val="24"/>
        </w:rPr>
        <w:t xml:space="preserve">powierniczym </w:t>
      </w:r>
      <w:r w:rsidRPr="0040535D">
        <w:rPr>
          <w:rFonts w:ascii="Times New Roman" w:hAnsi="Times New Roman"/>
          <w:sz w:val="24"/>
          <w:szCs w:val="24"/>
        </w:rPr>
        <w:t xml:space="preserve"> podmiot wdrażający fundusz szczegółowy, lub, je</w:t>
      </w:r>
      <w:r w:rsidR="002E555E" w:rsidRPr="0040535D">
        <w:rPr>
          <w:rFonts w:ascii="Times New Roman" w:hAnsi="Times New Roman"/>
          <w:sz w:val="24"/>
          <w:szCs w:val="24"/>
        </w:rPr>
        <w:t>żeli</w:t>
      </w:r>
      <w:r w:rsidRPr="0040535D">
        <w:rPr>
          <w:rFonts w:ascii="Times New Roman" w:hAnsi="Times New Roman"/>
          <w:sz w:val="24"/>
          <w:szCs w:val="24"/>
        </w:rPr>
        <w:t xml:space="preserve"> instytucja zarządzająca zarządza instrumentem finansowym, instytucję zarządzającą. Natomiast „beneficjentem” w kontekście partnerstwa publiczno-prywatnego jest </w:t>
      </w:r>
      <w:r w:rsidR="002E555E" w:rsidRPr="0040535D">
        <w:rPr>
          <w:rFonts w:ascii="Times New Roman" w:hAnsi="Times New Roman"/>
          <w:sz w:val="24"/>
          <w:szCs w:val="24"/>
        </w:rPr>
        <w:t xml:space="preserve">podmiot publiczny </w:t>
      </w:r>
      <w:r w:rsidRPr="0040535D">
        <w:rPr>
          <w:rFonts w:ascii="Times New Roman" w:hAnsi="Times New Roman"/>
          <w:sz w:val="24"/>
          <w:szCs w:val="24"/>
        </w:rPr>
        <w:t xml:space="preserve"> inicjujący operację PPP lub partner </w:t>
      </w:r>
      <w:r w:rsidR="000C4484" w:rsidRPr="0040535D">
        <w:rPr>
          <w:rFonts w:ascii="Times New Roman" w:hAnsi="Times New Roman"/>
          <w:sz w:val="24"/>
          <w:szCs w:val="24"/>
        </w:rPr>
        <w:t xml:space="preserve">prywatny wybrany </w:t>
      </w:r>
      <w:r w:rsidRPr="0040535D">
        <w:rPr>
          <w:rFonts w:ascii="Times New Roman" w:hAnsi="Times New Roman"/>
          <w:sz w:val="24"/>
          <w:szCs w:val="24"/>
        </w:rPr>
        <w:t xml:space="preserve">do jej </w:t>
      </w:r>
      <w:r w:rsidR="003F13DC" w:rsidRPr="0040535D">
        <w:rPr>
          <w:rFonts w:ascii="Times New Roman" w:hAnsi="Times New Roman"/>
          <w:sz w:val="24"/>
          <w:szCs w:val="24"/>
        </w:rPr>
        <w:t>wdrażania.</w:t>
      </w:r>
      <w:r w:rsidR="00E76C99" w:rsidRPr="0040535D">
        <w:rPr>
          <w:rFonts w:ascii="Times New Roman" w:hAnsi="Times New Roman"/>
          <w:sz w:val="24"/>
          <w:szCs w:val="24"/>
        </w:rPr>
        <w:t xml:space="preserve"> </w:t>
      </w:r>
      <w:r w:rsidR="00E279CC" w:rsidRPr="0040535D">
        <w:rPr>
          <w:rFonts w:ascii="Times New Roman" w:hAnsi="Times New Roman"/>
          <w:sz w:val="24"/>
          <w:szCs w:val="24"/>
        </w:rPr>
        <w:t xml:space="preserve">Z kolei w kontekście pomocy de </w:t>
      </w:r>
      <w:proofErr w:type="spellStart"/>
      <w:r w:rsidR="00E279CC" w:rsidRPr="0040535D">
        <w:rPr>
          <w:rFonts w:ascii="Times New Roman" w:hAnsi="Times New Roman"/>
          <w:sz w:val="24"/>
          <w:szCs w:val="24"/>
        </w:rPr>
        <w:t>minimis</w:t>
      </w:r>
      <w:proofErr w:type="spellEnd"/>
      <w:r w:rsidR="00E279CC" w:rsidRPr="0040535D">
        <w:rPr>
          <w:rFonts w:ascii="Times New Roman" w:hAnsi="Times New Roman"/>
          <w:sz w:val="24"/>
          <w:szCs w:val="24"/>
        </w:rPr>
        <w:t xml:space="preserve"> udzielanej zgodne z rozporządzeniami Komisji (UE) nr 1407/2013 lub (UE) nr 717/2014 państwo członkowskie może zdecydować, że beneficjentem do celów rozporządzenia ogólnego jest podmiot udzielający pomocy, w przypadku gdy jest on odpowiedzialny za inicjowanie operacji lub za inicjowanie i wdrażanie operacji. </w:t>
      </w:r>
      <w:r w:rsidRPr="0040535D">
        <w:rPr>
          <w:rFonts w:ascii="Times New Roman" w:hAnsi="Times New Roman"/>
          <w:sz w:val="24"/>
          <w:szCs w:val="24"/>
        </w:rPr>
        <w:t>W ustawie zdefiniowano także pojęcie „wnioskodawca”, oznaczające podmiot, który złożył wniosek o dofinansowanie projektu.</w:t>
      </w:r>
    </w:p>
    <w:p w14:paraId="44EC4B80" w14:textId="77777777" w:rsidR="00555DC0" w:rsidRPr="0040535D" w:rsidRDefault="00555DC0" w:rsidP="00B603B4">
      <w:pPr>
        <w:pStyle w:val="PKTpunkt"/>
        <w:ind w:left="0" w:firstLine="0"/>
        <w:rPr>
          <w:rFonts w:ascii="Times New Roman" w:hAnsi="Times New Roman" w:cs="Times New Roman"/>
          <w:szCs w:val="24"/>
        </w:rPr>
      </w:pPr>
      <w:r w:rsidRPr="0040535D">
        <w:rPr>
          <w:rFonts w:ascii="Times New Roman" w:hAnsi="Times New Roman" w:cs="Times New Roman"/>
          <w:szCs w:val="24"/>
        </w:rPr>
        <w:t>W celu zapewnienia przejrzystości przepisów ustawy wprowadzono pojęcia „rozporządzenia ogólnego”, „rozporządzenia EFRR i Funduszu Spójności”, „rozporządzenia EFS</w:t>
      </w:r>
      <w:r w:rsidR="00752D0C" w:rsidRPr="0040535D">
        <w:rPr>
          <w:rFonts w:ascii="Times New Roman" w:hAnsi="Times New Roman" w:cs="Times New Roman"/>
          <w:szCs w:val="24"/>
        </w:rPr>
        <w:t>+</w:t>
      </w:r>
      <w:r w:rsidRPr="0040535D">
        <w:rPr>
          <w:rFonts w:ascii="Times New Roman" w:hAnsi="Times New Roman" w:cs="Times New Roman"/>
          <w:szCs w:val="24"/>
        </w:rPr>
        <w:t>”</w:t>
      </w:r>
      <w:r w:rsidR="00A12824" w:rsidRPr="0040535D">
        <w:rPr>
          <w:rFonts w:ascii="Times New Roman" w:hAnsi="Times New Roman" w:cs="Times New Roman"/>
          <w:szCs w:val="24"/>
        </w:rPr>
        <w:t xml:space="preserve">, </w:t>
      </w:r>
      <w:r w:rsidR="00A12824" w:rsidRPr="0040535D">
        <w:rPr>
          <w:rFonts w:ascii="Times New Roman" w:hAnsi="Times New Roman" w:cs="Times New Roman"/>
          <w:szCs w:val="24"/>
        </w:rPr>
        <w:lastRenderedPageBreak/>
        <w:t>„rozporządzenia FST”</w:t>
      </w:r>
      <w:r w:rsidRPr="0040535D">
        <w:rPr>
          <w:rFonts w:ascii="Times New Roman" w:hAnsi="Times New Roman" w:cs="Times New Roman"/>
          <w:szCs w:val="24"/>
        </w:rPr>
        <w:t xml:space="preserve"> oraz „rozporządzenia </w:t>
      </w:r>
      <w:proofErr w:type="spellStart"/>
      <w:r w:rsidRPr="0040535D">
        <w:rPr>
          <w:rFonts w:ascii="Times New Roman" w:hAnsi="Times New Roman" w:cs="Times New Roman"/>
          <w:szCs w:val="24"/>
        </w:rPr>
        <w:t>Interreg</w:t>
      </w:r>
      <w:proofErr w:type="spellEnd"/>
      <w:r w:rsidRPr="0040535D">
        <w:rPr>
          <w:rFonts w:ascii="Times New Roman" w:hAnsi="Times New Roman" w:cs="Times New Roman"/>
          <w:szCs w:val="24"/>
        </w:rPr>
        <w:t xml:space="preserve">”. Przez „rozporządzenie ogólne” rozumie się rozporządzenie Parlamentu Europejskiego i Rady (UE) </w:t>
      </w:r>
      <w:r w:rsidR="003C425F" w:rsidRPr="0040535D">
        <w:rPr>
          <w:rFonts w:ascii="Times New Roman" w:hAnsi="Times New Roman" w:cs="Times New Roman"/>
          <w:szCs w:val="24"/>
        </w:rPr>
        <w:t>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w:t>
      </w:r>
      <w:r w:rsidR="004611B8">
        <w:rPr>
          <w:rFonts w:ascii="Times New Roman" w:hAnsi="Times New Roman" w:cs="Times New Roman"/>
          <w:szCs w:val="24"/>
        </w:rPr>
        <w:t xml:space="preserve">, </w:t>
      </w:r>
      <w:r w:rsidR="004611B8">
        <w:rPr>
          <w:rFonts w:ascii="Times New Roman" w:hAnsi="Times New Roman"/>
          <w:szCs w:val="24"/>
        </w:rPr>
        <w:t xml:space="preserve">z </w:t>
      </w:r>
      <w:proofErr w:type="spellStart"/>
      <w:r w:rsidR="004611B8">
        <w:rPr>
          <w:rFonts w:ascii="Times New Roman" w:hAnsi="Times New Roman"/>
          <w:szCs w:val="24"/>
        </w:rPr>
        <w:t>późn</w:t>
      </w:r>
      <w:proofErr w:type="spellEnd"/>
      <w:r w:rsidR="004611B8">
        <w:rPr>
          <w:rFonts w:ascii="Times New Roman" w:hAnsi="Times New Roman"/>
          <w:szCs w:val="24"/>
        </w:rPr>
        <w:t>. zm.</w:t>
      </w:r>
      <w:r w:rsidR="003C425F" w:rsidRPr="0040535D">
        <w:rPr>
          <w:rFonts w:ascii="Times New Roman" w:hAnsi="Times New Roman" w:cs="Times New Roman"/>
          <w:szCs w:val="24"/>
        </w:rPr>
        <w:t>),</w:t>
      </w:r>
      <w:r w:rsidR="003C425F" w:rsidRPr="0040535D" w:rsidDel="003C425F">
        <w:rPr>
          <w:rFonts w:ascii="Times New Roman" w:hAnsi="Times New Roman" w:cs="Times New Roman"/>
          <w:szCs w:val="24"/>
        </w:rPr>
        <w:t xml:space="preserve"> </w:t>
      </w:r>
      <w:r w:rsidRPr="0040535D">
        <w:rPr>
          <w:rFonts w:ascii="Times New Roman" w:hAnsi="Times New Roman" w:cs="Times New Roman"/>
          <w:szCs w:val="24"/>
        </w:rPr>
        <w:t xml:space="preserve"> „rozporządzenie EFRR i Funduszu Spójności” oznacza rozporządzenie Parlamentu Europejskiego i Rady (UE)</w:t>
      </w:r>
      <w:r w:rsidR="003C425F" w:rsidRPr="0040535D">
        <w:rPr>
          <w:rFonts w:ascii="Times New Roman" w:hAnsi="Times New Roman" w:cs="Times New Roman"/>
          <w:szCs w:val="24"/>
        </w:rPr>
        <w:t xml:space="preserve">  nr 2021/1058 z dnia 24 czerwca 2021 r. w sprawie Europejskiego Funduszu Rozwoju Regionalnego i Funduszu Spójności (Dz. Urz. UE L 231 z 30.06.2021, str. 60)</w:t>
      </w:r>
      <w:r w:rsidRPr="0040535D">
        <w:rPr>
          <w:rFonts w:ascii="Times New Roman" w:hAnsi="Times New Roman" w:cs="Times New Roman"/>
          <w:szCs w:val="24"/>
        </w:rPr>
        <w:t>, „rozporządzenie EFS</w:t>
      </w:r>
      <w:r w:rsidR="00A940A8" w:rsidRPr="0040535D">
        <w:rPr>
          <w:rFonts w:ascii="Times New Roman" w:hAnsi="Times New Roman" w:cs="Times New Roman"/>
          <w:szCs w:val="24"/>
        </w:rPr>
        <w:t>+</w:t>
      </w:r>
      <w:r w:rsidRPr="0040535D">
        <w:rPr>
          <w:rFonts w:ascii="Times New Roman" w:hAnsi="Times New Roman" w:cs="Times New Roman"/>
          <w:szCs w:val="24"/>
        </w:rPr>
        <w:t>” – rozporządzenie Parlamentu Europejskiego i Rady (UE)</w:t>
      </w:r>
      <w:r w:rsidR="003C425F" w:rsidRPr="0040535D">
        <w:rPr>
          <w:rFonts w:ascii="Times New Roman" w:hAnsi="Times New Roman" w:cs="Times New Roman"/>
          <w:szCs w:val="24"/>
        </w:rPr>
        <w:t xml:space="preserve"> nr 2021/1057 z dnia 24 czerwca 2021 r. ustanawiające Europejski Fundusz Społeczny Plus (EFS+) oraz uchylające rozporządzenie (UE) nr 1296/2013 (Dz. Urz. UE L 231 z 30.06.2021, str. 21</w:t>
      </w:r>
      <w:r w:rsidR="004611B8">
        <w:rPr>
          <w:rFonts w:ascii="Times New Roman" w:hAnsi="Times New Roman" w:cs="Times New Roman"/>
          <w:szCs w:val="24"/>
        </w:rPr>
        <w:t xml:space="preserve">, </w:t>
      </w:r>
      <w:r w:rsidR="004611B8">
        <w:rPr>
          <w:rFonts w:ascii="Times New Roman" w:hAnsi="Times New Roman"/>
          <w:szCs w:val="24"/>
        </w:rPr>
        <w:t xml:space="preserve">z </w:t>
      </w:r>
      <w:proofErr w:type="spellStart"/>
      <w:r w:rsidR="004611B8">
        <w:rPr>
          <w:rFonts w:ascii="Times New Roman" w:hAnsi="Times New Roman"/>
          <w:szCs w:val="24"/>
        </w:rPr>
        <w:t>późn</w:t>
      </w:r>
      <w:proofErr w:type="spellEnd"/>
      <w:r w:rsidR="004611B8">
        <w:rPr>
          <w:rFonts w:ascii="Times New Roman" w:hAnsi="Times New Roman"/>
          <w:szCs w:val="24"/>
        </w:rPr>
        <w:t>. zm.</w:t>
      </w:r>
      <w:r w:rsidR="003C425F" w:rsidRPr="0040535D">
        <w:rPr>
          <w:rFonts w:ascii="Times New Roman" w:hAnsi="Times New Roman" w:cs="Times New Roman"/>
          <w:szCs w:val="24"/>
        </w:rPr>
        <w:t>),</w:t>
      </w:r>
      <w:r w:rsidR="00752D0C" w:rsidRPr="0040535D">
        <w:rPr>
          <w:rFonts w:ascii="Times New Roman" w:hAnsi="Times New Roman" w:cs="Times New Roman"/>
          <w:szCs w:val="24"/>
        </w:rPr>
        <w:t xml:space="preserve"> </w:t>
      </w:r>
      <w:r w:rsidR="00A12824" w:rsidRPr="0040535D">
        <w:rPr>
          <w:rFonts w:ascii="Times New Roman" w:hAnsi="Times New Roman" w:cs="Times New Roman"/>
          <w:szCs w:val="24"/>
        </w:rPr>
        <w:t>„rozporządzenie FST” - rozporządzenie Parlamentu Europejskiego i Rady (UE) nr 2021/1056 z dnia 24 czerwca 2021 r. ustanawiające Fundusz na rzecz Sprawiedliwej Transformacji (Dz. Urz. UE L 231 z 30.06.2021, str. 1</w:t>
      </w:r>
      <w:r w:rsidR="004611B8">
        <w:rPr>
          <w:rFonts w:ascii="Times New Roman" w:hAnsi="Times New Roman" w:cs="Times New Roman"/>
          <w:szCs w:val="24"/>
        </w:rPr>
        <w:t xml:space="preserve">, </w:t>
      </w:r>
      <w:r w:rsidR="004611B8">
        <w:rPr>
          <w:rFonts w:ascii="Times New Roman" w:hAnsi="Times New Roman"/>
          <w:szCs w:val="24"/>
        </w:rPr>
        <w:t xml:space="preserve">z </w:t>
      </w:r>
      <w:proofErr w:type="spellStart"/>
      <w:r w:rsidR="004611B8">
        <w:rPr>
          <w:rFonts w:ascii="Times New Roman" w:hAnsi="Times New Roman"/>
          <w:szCs w:val="24"/>
        </w:rPr>
        <w:t>późn</w:t>
      </w:r>
      <w:proofErr w:type="spellEnd"/>
      <w:r w:rsidR="004611B8">
        <w:rPr>
          <w:rFonts w:ascii="Times New Roman" w:hAnsi="Times New Roman"/>
          <w:szCs w:val="24"/>
        </w:rPr>
        <w:t>. zm.</w:t>
      </w:r>
      <w:r w:rsidR="00A12824" w:rsidRPr="0040535D">
        <w:rPr>
          <w:rFonts w:ascii="Times New Roman" w:hAnsi="Times New Roman" w:cs="Times New Roman"/>
          <w:szCs w:val="24"/>
        </w:rPr>
        <w:t xml:space="preserve">) </w:t>
      </w:r>
      <w:r w:rsidRPr="0040535D">
        <w:rPr>
          <w:rFonts w:ascii="Times New Roman" w:hAnsi="Times New Roman" w:cs="Times New Roman"/>
          <w:szCs w:val="24"/>
        </w:rPr>
        <w:t xml:space="preserve">natomiast „rozporządzenie </w:t>
      </w:r>
      <w:proofErr w:type="spellStart"/>
      <w:r w:rsidRPr="0040535D">
        <w:rPr>
          <w:rFonts w:ascii="Times New Roman" w:hAnsi="Times New Roman" w:cs="Times New Roman"/>
          <w:szCs w:val="24"/>
        </w:rPr>
        <w:t>Interreg</w:t>
      </w:r>
      <w:proofErr w:type="spellEnd"/>
      <w:r w:rsidRPr="0040535D">
        <w:rPr>
          <w:rFonts w:ascii="Times New Roman" w:hAnsi="Times New Roman" w:cs="Times New Roman"/>
          <w:szCs w:val="24"/>
        </w:rPr>
        <w:t>” oznacza rozporządzenie Parlamentu Europejskiego i Rady</w:t>
      </w:r>
      <w:r w:rsidR="003C425F" w:rsidRPr="0040535D">
        <w:rPr>
          <w:rFonts w:ascii="Times New Roman" w:hAnsi="Times New Roman" w:cs="Times New Roman"/>
          <w:szCs w:val="24"/>
        </w:rPr>
        <w:t xml:space="preserve"> nr 2021/1059 z dnia 24 czerwca 2021 r. w sprawie przepisów szczegółowych dotyczących celu „Europejska współpraca terytorialna” (</w:t>
      </w:r>
      <w:proofErr w:type="spellStart"/>
      <w:r w:rsidR="003C425F" w:rsidRPr="0040535D">
        <w:rPr>
          <w:rFonts w:ascii="Times New Roman" w:hAnsi="Times New Roman" w:cs="Times New Roman"/>
          <w:szCs w:val="24"/>
        </w:rPr>
        <w:t>Interreg</w:t>
      </w:r>
      <w:proofErr w:type="spellEnd"/>
      <w:r w:rsidR="003C425F" w:rsidRPr="0040535D">
        <w:rPr>
          <w:rFonts w:ascii="Times New Roman" w:hAnsi="Times New Roman" w:cs="Times New Roman"/>
          <w:szCs w:val="24"/>
        </w:rPr>
        <w:t>) wspieranego w ramach Europejskiego Funduszu Rozwoju Regionalnego oraz instrumentów finansowania zewnętrznego (Dz. Urz. UE L 231 z 30.06.2021, str. 94).</w:t>
      </w:r>
    </w:p>
    <w:p w14:paraId="38193EF3" w14:textId="77777777" w:rsidR="00555DC0" w:rsidRPr="0040535D" w:rsidRDefault="00555DC0" w:rsidP="00B603B4">
      <w:pPr>
        <w:spacing w:before="120" w:line="360" w:lineRule="auto"/>
        <w:jc w:val="both"/>
        <w:rPr>
          <w:rFonts w:ascii="Times New Roman" w:hAnsi="Times New Roman"/>
          <w:sz w:val="24"/>
          <w:szCs w:val="24"/>
        </w:rPr>
      </w:pPr>
      <w:r w:rsidRPr="0040535D">
        <w:rPr>
          <w:rFonts w:ascii="Times New Roman" w:hAnsi="Times New Roman"/>
          <w:sz w:val="24"/>
          <w:szCs w:val="24"/>
        </w:rPr>
        <w:t xml:space="preserve">W słowniczku znajdują się ponadto definicje instytucji zaangażowanych w proces realizacji programów polityki spójności, tj. </w:t>
      </w:r>
      <w:r w:rsidR="004611B8">
        <w:rPr>
          <w:rFonts w:ascii="Times New Roman" w:hAnsi="Times New Roman"/>
          <w:sz w:val="24"/>
          <w:szCs w:val="24"/>
        </w:rPr>
        <w:t>„</w:t>
      </w:r>
      <w:r w:rsidRPr="0040535D">
        <w:rPr>
          <w:rFonts w:ascii="Times New Roman" w:hAnsi="Times New Roman"/>
          <w:sz w:val="24"/>
          <w:szCs w:val="24"/>
        </w:rPr>
        <w:t>instytucji zarządzającej</w:t>
      </w:r>
      <w:r w:rsidR="004611B8">
        <w:rPr>
          <w:rFonts w:ascii="Times New Roman" w:hAnsi="Times New Roman"/>
          <w:sz w:val="24"/>
          <w:szCs w:val="24"/>
        </w:rPr>
        <w:t>”</w:t>
      </w:r>
      <w:r w:rsidRPr="0040535D">
        <w:rPr>
          <w:rFonts w:ascii="Times New Roman" w:hAnsi="Times New Roman"/>
          <w:sz w:val="24"/>
          <w:szCs w:val="24"/>
        </w:rPr>
        <w:t xml:space="preserve"> (instytucja, o której mowa w art. </w:t>
      </w:r>
      <w:r w:rsidR="005177BD" w:rsidRPr="0040535D">
        <w:rPr>
          <w:rFonts w:ascii="Times New Roman" w:hAnsi="Times New Roman"/>
          <w:sz w:val="24"/>
          <w:szCs w:val="24"/>
        </w:rPr>
        <w:t xml:space="preserve">71 </w:t>
      </w:r>
      <w:r w:rsidRPr="0040535D">
        <w:rPr>
          <w:rFonts w:ascii="Times New Roman" w:hAnsi="Times New Roman"/>
          <w:sz w:val="24"/>
          <w:szCs w:val="24"/>
        </w:rPr>
        <w:t>rozporządzenia ogólnego lub w art. 4</w:t>
      </w:r>
      <w:r w:rsidR="003C425F" w:rsidRPr="0040535D">
        <w:rPr>
          <w:rFonts w:ascii="Times New Roman" w:hAnsi="Times New Roman"/>
          <w:sz w:val="24"/>
          <w:szCs w:val="24"/>
        </w:rPr>
        <w:t>6</w:t>
      </w:r>
      <w:r w:rsidRPr="0040535D">
        <w:rPr>
          <w:rFonts w:ascii="Times New Roman" w:hAnsi="Times New Roman"/>
          <w:sz w:val="24"/>
          <w:szCs w:val="24"/>
        </w:rPr>
        <w:t xml:space="preserve"> rozporządzenia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w:t>
      </w:r>
      <w:r w:rsidR="004611B8">
        <w:rPr>
          <w:rFonts w:ascii="Times New Roman" w:hAnsi="Times New Roman"/>
          <w:sz w:val="24"/>
          <w:szCs w:val="24"/>
        </w:rPr>
        <w:t xml:space="preserve">„instytucji </w:t>
      </w:r>
      <w:r w:rsidRPr="0040535D">
        <w:rPr>
          <w:rFonts w:ascii="Times New Roman" w:hAnsi="Times New Roman"/>
          <w:sz w:val="24"/>
          <w:szCs w:val="24"/>
        </w:rPr>
        <w:t>pośredniczącej</w:t>
      </w:r>
      <w:r w:rsidR="004611B8">
        <w:rPr>
          <w:rFonts w:ascii="Times New Roman" w:hAnsi="Times New Roman"/>
          <w:sz w:val="24"/>
          <w:szCs w:val="24"/>
        </w:rPr>
        <w:t>”</w:t>
      </w:r>
      <w:r w:rsidRPr="0040535D">
        <w:rPr>
          <w:rFonts w:ascii="Times New Roman" w:hAnsi="Times New Roman"/>
          <w:sz w:val="24"/>
          <w:szCs w:val="24"/>
        </w:rPr>
        <w:t xml:space="preserve"> (podmiot, któremu została powierzona, w drodze porozumienia albo umowy zawartej z instytucją zarządzającą, realizacja zadań w ramach programu), </w:t>
      </w:r>
      <w:r w:rsidR="004611B8">
        <w:rPr>
          <w:rFonts w:ascii="Times New Roman" w:hAnsi="Times New Roman"/>
          <w:sz w:val="24"/>
          <w:szCs w:val="24"/>
        </w:rPr>
        <w:t xml:space="preserve">„instytucji </w:t>
      </w:r>
      <w:r w:rsidRPr="0040535D">
        <w:rPr>
          <w:rFonts w:ascii="Times New Roman" w:hAnsi="Times New Roman"/>
          <w:sz w:val="24"/>
          <w:szCs w:val="24"/>
        </w:rPr>
        <w:t>wdrażającej</w:t>
      </w:r>
      <w:r w:rsidR="004611B8">
        <w:rPr>
          <w:rFonts w:ascii="Times New Roman" w:hAnsi="Times New Roman"/>
          <w:sz w:val="24"/>
          <w:szCs w:val="24"/>
        </w:rPr>
        <w:t>”</w:t>
      </w:r>
      <w:r w:rsidRPr="0040535D">
        <w:rPr>
          <w:rFonts w:ascii="Times New Roman" w:hAnsi="Times New Roman"/>
          <w:sz w:val="24"/>
          <w:szCs w:val="24"/>
        </w:rPr>
        <w:t xml:space="preserve"> (podmiot, któremu została powierzona w drodze porozumienia albo umowy zawartej z instytucją pośredniczącą, realizacja zadań w ramach programu) i </w:t>
      </w:r>
      <w:r w:rsidR="004611B8">
        <w:rPr>
          <w:rFonts w:ascii="Times New Roman" w:hAnsi="Times New Roman"/>
          <w:sz w:val="24"/>
          <w:szCs w:val="24"/>
        </w:rPr>
        <w:t>„</w:t>
      </w:r>
      <w:r w:rsidRPr="0040535D">
        <w:rPr>
          <w:rFonts w:ascii="Times New Roman" w:hAnsi="Times New Roman"/>
          <w:sz w:val="24"/>
          <w:szCs w:val="24"/>
        </w:rPr>
        <w:t>instytucji audytowej</w:t>
      </w:r>
      <w:r w:rsidR="004611B8">
        <w:rPr>
          <w:rFonts w:ascii="Times New Roman" w:hAnsi="Times New Roman"/>
          <w:sz w:val="24"/>
          <w:szCs w:val="24"/>
        </w:rPr>
        <w:t>”</w:t>
      </w:r>
      <w:r w:rsidRPr="0040535D">
        <w:rPr>
          <w:rFonts w:ascii="Times New Roman" w:hAnsi="Times New Roman"/>
          <w:sz w:val="24"/>
          <w:szCs w:val="24"/>
        </w:rPr>
        <w:t xml:space="preserve"> (instytucja, o której mowa w art. 71 rozporządzenia ogólnego lub w art. </w:t>
      </w:r>
      <w:r w:rsidR="00AE1909" w:rsidRPr="0040535D">
        <w:rPr>
          <w:rFonts w:ascii="Times New Roman" w:hAnsi="Times New Roman"/>
          <w:sz w:val="24"/>
          <w:szCs w:val="24"/>
        </w:rPr>
        <w:t>45</w:t>
      </w:r>
      <w:r w:rsidR="003C425F" w:rsidRPr="0040535D">
        <w:rPr>
          <w:rFonts w:ascii="Times New Roman" w:hAnsi="Times New Roman"/>
          <w:sz w:val="24"/>
          <w:szCs w:val="24"/>
        </w:rPr>
        <w:t xml:space="preserve"> i art. 46</w:t>
      </w:r>
      <w:r w:rsidR="00AE1909" w:rsidRPr="0040535D">
        <w:rPr>
          <w:rFonts w:ascii="Times New Roman" w:hAnsi="Times New Roman"/>
          <w:sz w:val="24"/>
          <w:szCs w:val="24"/>
        </w:rPr>
        <w:t xml:space="preserve"> </w:t>
      </w:r>
      <w:r w:rsidRPr="0040535D">
        <w:rPr>
          <w:rFonts w:ascii="Times New Roman" w:hAnsi="Times New Roman"/>
          <w:sz w:val="24"/>
          <w:szCs w:val="24"/>
        </w:rPr>
        <w:t xml:space="preserve">rozporządzenia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Należy mieć na względzie, że w przypadku programu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pojęcie instytucji zarządzającej odnosi się jedynie do sytuacji, w której instytucja zarządzająca została </w:t>
      </w:r>
      <w:r w:rsidRPr="0040535D">
        <w:rPr>
          <w:rFonts w:ascii="Times New Roman" w:hAnsi="Times New Roman"/>
          <w:sz w:val="24"/>
          <w:szCs w:val="24"/>
        </w:rPr>
        <w:lastRenderedPageBreak/>
        <w:t xml:space="preserve">ustanowiona na terytorium Rzeczypospolitej Polskiej, natomiast pojęcie instytucji pośredniczącej i wdrażającej dotyczy krajowego i regionalnego programu. </w:t>
      </w:r>
    </w:p>
    <w:p w14:paraId="3B90B4C3" w14:textId="77777777" w:rsidR="00555DC0" w:rsidRPr="0040535D" w:rsidRDefault="00555DC0" w:rsidP="00523EA5">
      <w:pPr>
        <w:spacing w:before="120" w:line="360" w:lineRule="auto"/>
        <w:jc w:val="both"/>
        <w:rPr>
          <w:rFonts w:ascii="Times New Roman" w:hAnsi="Times New Roman"/>
          <w:sz w:val="24"/>
          <w:szCs w:val="24"/>
        </w:rPr>
      </w:pPr>
      <w:r w:rsidRPr="0040535D">
        <w:rPr>
          <w:rFonts w:ascii="Times New Roman" w:hAnsi="Times New Roman"/>
          <w:sz w:val="24"/>
          <w:szCs w:val="24"/>
        </w:rPr>
        <w:t xml:space="preserve">Ponadto, ze względu na specyfikę programu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wprowadzono definicje </w:t>
      </w:r>
      <w:r w:rsidR="004611B8">
        <w:rPr>
          <w:rFonts w:ascii="Times New Roman" w:hAnsi="Times New Roman"/>
          <w:sz w:val="24"/>
          <w:szCs w:val="24"/>
        </w:rPr>
        <w:t>„</w:t>
      </w:r>
      <w:r w:rsidRPr="0040535D">
        <w:rPr>
          <w:rFonts w:ascii="Times New Roman" w:hAnsi="Times New Roman"/>
          <w:sz w:val="24"/>
          <w:szCs w:val="24"/>
        </w:rPr>
        <w:t>wspólnego sekretariatu</w:t>
      </w:r>
      <w:r w:rsidR="004611B8">
        <w:rPr>
          <w:rFonts w:ascii="Times New Roman" w:hAnsi="Times New Roman"/>
          <w:sz w:val="24"/>
          <w:szCs w:val="24"/>
        </w:rPr>
        <w:t>”</w:t>
      </w:r>
      <w:r w:rsidRPr="0040535D">
        <w:rPr>
          <w:rFonts w:ascii="Times New Roman" w:hAnsi="Times New Roman"/>
          <w:sz w:val="24"/>
          <w:szCs w:val="24"/>
        </w:rPr>
        <w:t xml:space="preserve"> oraz </w:t>
      </w:r>
      <w:r w:rsidR="004611B8">
        <w:rPr>
          <w:rFonts w:ascii="Times New Roman" w:hAnsi="Times New Roman"/>
          <w:sz w:val="24"/>
          <w:szCs w:val="24"/>
        </w:rPr>
        <w:t>„</w:t>
      </w:r>
      <w:r w:rsidRPr="0040535D">
        <w:rPr>
          <w:rFonts w:ascii="Times New Roman" w:hAnsi="Times New Roman"/>
          <w:sz w:val="24"/>
          <w:szCs w:val="24"/>
        </w:rPr>
        <w:t>krajowego kontrolera</w:t>
      </w:r>
      <w:r w:rsidR="004611B8">
        <w:rPr>
          <w:rFonts w:ascii="Times New Roman" w:hAnsi="Times New Roman"/>
          <w:sz w:val="24"/>
          <w:szCs w:val="24"/>
        </w:rPr>
        <w:t>”</w:t>
      </w:r>
      <w:r w:rsidRPr="0040535D">
        <w:rPr>
          <w:rFonts w:ascii="Times New Roman" w:hAnsi="Times New Roman"/>
          <w:sz w:val="24"/>
          <w:szCs w:val="24"/>
        </w:rPr>
        <w:t>, które zdefiniowano przez odwołanie się odpowiednio</w:t>
      </w:r>
      <w:r w:rsidR="001F42E5" w:rsidRPr="0040535D">
        <w:rPr>
          <w:rFonts w:ascii="Times New Roman" w:hAnsi="Times New Roman"/>
          <w:sz w:val="24"/>
          <w:szCs w:val="24"/>
        </w:rPr>
        <w:t xml:space="preserve"> </w:t>
      </w:r>
      <w:r w:rsidRPr="0040535D">
        <w:rPr>
          <w:rFonts w:ascii="Times New Roman" w:hAnsi="Times New Roman"/>
          <w:sz w:val="24"/>
          <w:szCs w:val="24"/>
        </w:rPr>
        <w:t xml:space="preserve">do art. </w:t>
      </w:r>
      <w:r w:rsidR="00652293" w:rsidRPr="0040535D">
        <w:rPr>
          <w:rFonts w:ascii="Times New Roman" w:hAnsi="Times New Roman"/>
          <w:sz w:val="24"/>
          <w:szCs w:val="24"/>
        </w:rPr>
        <w:t xml:space="preserve">46 ust. </w:t>
      </w:r>
      <w:r w:rsidR="001F42E5" w:rsidRPr="0040535D">
        <w:rPr>
          <w:rFonts w:ascii="Times New Roman" w:hAnsi="Times New Roman"/>
          <w:sz w:val="24"/>
          <w:szCs w:val="24"/>
        </w:rPr>
        <w:t xml:space="preserve">2 i </w:t>
      </w:r>
      <w:r w:rsidR="00652293" w:rsidRPr="0040535D">
        <w:rPr>
          <w:rFonts w:ascii="Times New Roman" w:hAnsi="Times New Roman"/>
          <w:sz w:val="24"/>
          <w:szCs w:val="24"/>
        </w:rPr>
        <w:t xml:space="preserve">4 </w:t>
      </w:r>
      <w:r w:rsidRPr="0040535D">
        <w:rPr>
          <w:rFonts w:ascii="Times New Roman" w:hAnsi="Times New Roman"/>
          <w:sz w:val="24"/>
          <w:szCs w:val="24"/>
        </w:rPr>
        <w:t xml:space="preserve">rozporządzenia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w:t>
      </w:r>
    </w:p>
    <w:p w14:paraId="3973776E" w14:textId="77777777" w:rsidR="00555DC0" w:rsidRPr="0040535D" w:rsidRDefault="00555DC0" w:rsidP="00523EA5">
      <w:pPr>
        <w:spacing w:before="120" w:line="360" w:lineRule="auto"/>
        <w:jc w:val="both"/>
        <w:rPr>
          <w:rFonts w:ascii="Times New Roman" w:hAnsi="Times New Roman"/>
          <w:sz w:val="24"/>
          <w:szCs w:val="24"/>
        </w:rPr>
      </w:pPr>
      <w:r w:rsidRPr="0040535D">
        <w:rPr>
          <w:rFonts w:ascii="Times New Roman" w:hAnsi="Times New Roman"/>
          <w:sz w:val="24"/>
          <w:szCs w:val="24"/>
        </w:rPr>
        <w:t xml:space="preserve">W art. 2 zdefiniowano również pojęcie „projekt”, jako przedsięwzięcie zmierzające do osiągnięcia założonego celu określonego wskaźnikami, z określonym początkiem i końcem realizacji, zgłoszone do objęcia albo objęte finansowaniem UE jednego z funduszy strukturalnych Funduszu Spójności </w:t>
      </w:r>
      <w:r w:rsidR="00C838FA" w:rsidRPr="0040535D">
        <w:rPr>
          <w:rFonts w:ascii="Times New Roman" w:hAnsi="Times New Roman"/>
          <w:sz w:val="24"/>
          <w:szCs w:val="24"/>
        </w:rPr>
        <w:t xml:space="preserve">albo Funduszu na rzecz Sprawiedliwej Transformacji </w:t>
      </w:r>
      <w:r w:rsidRPr="0040535D">
        <w:rPr>
          <w:rFonts w:ascii="Times New Roman" w:hAnsi="Times New Roman"/>
          <w:sz w:val="24"/>
          <w:szCs w:val="24"/>
        </w:rPr>
        <w:t>w ramach programu.</w:t>
      </w:r>
    </w:p>
    <w:p w14:paraId="1DB98198" w14:textId="77777777" w:rsidR="00555DC0" w:rsidRPr="0040535D" w:rsidRDefault="00555DC0" w:rsidP="00F53118">
      <w:pPr>
        <w:spacing w:before="120" w:line="360" w:lineRule="auto"/>
        <w:jc w:val="both"/>
        <w:rPr>
          <w:rFonts w:ascii="Times New Roman" w:hAnsi="Times New Roman"/>
          <w:sz w:val="24"/>
          <w:szCs w:val="24"/>
        </w:rPr>
      </w:pPr>
      <w:r w:rsidRPr="0040535D">
        <w:rPr>
          <w:rFonts w:ascii="Times New Roman" w:hAnsi="Times New Roman"/>
          <w:sz w:val="24"/>
          <w:szCs w:val="24"/>
        </w:rPr>
        <w:t>Wśród definiowanych pojęć wyjaśniono także pojęcia „finansowania UE” i „współfinansowania krajowego z budżetu państwa”.</w:t>
      </w:r>
    </w:p>
    <w:p w14:paraId="70AD5465" w14:textId="77777777" w:rsidR="00555DC0" w:rsidRPr="0040535D" w:rsidRDefault="00555DC0" w:rsidP="00285FCD">
      <w:pPr>
        <w:spacing w:before="120" w:line="360" w:lineRule="auto"/>
        <w:jc w:val="both"/>
        <w:rPr>
          <w:rFonts w:ascii="Times New Roman" w:hAnsi="Times New Roman"/>
          <w:sz w:val="24"/>
          <w:szCs w:val="24"/>
        </w:rPr>
      </w:pPr>
      <w:r w:rsidRPr="0040535D">
        <w:rPr>
          <w:rFonts w:ascii="Times New Roman" w:hAnsi="Times New Roman"/>
          <w:sz w:val="24"/>
          <w:szCs w:val="24"/>
        </w:rPr>
        <w:t xml:space="preserve">Ilekroć w projektowanej ustawie jest mowa o „finansowaniu UE”, należy rozumieć, że w odniesieniu do krajowego i regionalnego programu są to środki pochodzące z budżetu środków europejskich oraz podlegające refundacji przez Komisję Europejską środki budżetu państwa przeznaczone na realizację projektów pomocy technicznej wypłacane na rzecz beneficjenta albo wydatkowane przez państwową jednostkę budżetową w ramach projektu. W przypadku programu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są to środki Europejskiego Funduszu Rozwoju Regionalnego lub Instrumentu Sąsiedztwa</w:t>
      </w:r>
      <w:r w:rsidR="003C2A43">
        <w:rPr>
          <w:rFonts w:ascii="Times New Roman" w:hAnsi="Times New Roman"/>
          <w:sz w:val="24"/>
          <w:szCs w:val="24"/>
        </w:rPr>
        <w:t xml:space="preserve"> oraz</w:t>
      </w:r>
      <w:r w:rsidRPr="0040535D">
        <w:rPr>
          <w:rFonts w:ascii="Times New Roman" w:hAnsi="Times New Roman"/>
          <w:sz w:val="24"/>
          <w:szCs w:val="24"/>
        </w:rPr>
        <w:t xml:space="preserve"> Współpracy Międzynarodowej</w:t>
      </w:r>
      <w:r w:rsidR="003C2A43" w:rsidRPr="003C2A43">
        <w:rPr>
          <w:rFonts w:ascii="Times New Roman" w:hAnsi="Times New Roman"/>
          <w:sz w:val="24"/>
          <w:szCs w:val="24"/>
        </w:rPr>
        <w:t xml:space="preserve"> i Rozwojowej</w:t>
      </w:r>
      <w:r w:rsidR="0055674D" w:rsidRPr="0040535D">
        <w:rPr>
          <w:rFonts w:ascii="Times New Roman" w:hAnsi="Times New Roman"/>
          <w:sz w:val="24"/>
          <w:szCs w:val="24"/>
        </w:rPr>
        <w:t xml:space="preserve">, pochodzące z budżetu programu </w:t>
      </w:r>
      <w:proofErr w:type="spellStart"/>
      <w:r w:rsidR="0055674D" w:rsidRPr="0040535D">
        <w:rPr>
          <w:rFonts w:ascii="Times New Roman" w:hAnsi="Times New Roman"/>
          <w:sz w:val="24"/>
          <w:szCs w:val="24"/>
        </w:rPr>
        <w:t>Interreg</w:t>
      </w:r>
      <w:proofErr w:type="spellEnd"/>
      <w:r w:rsidR="0055674D" w:rsidRPr="0040535D">
        <w:rPr>
          <w:rFonts w:ascii="Times New Roman" w:hAnsi="Times New Roman"/>
          <w:sz w:val="24"/>
          <w:szCs w:val="24"/>
        </w:rPr>
        <w:t xml:space="preserve">, </w:t>
      </w:r>
      <w:r w:rsidRPr="0040535D">
        <w:rPr>
          <w:rFonts w:ascii="Times New Roman" w:hAnsi="Times New Roman"/>
          <w:sz w:val="24"/>
          <w:szCs w:val="24"/>
        </w:rPr>
        <w:t>wypłacane na rzecz beneficjenta w ramach projektu.</w:t>
      </w:r>
    </w:p>
    <w:p w14:paraId="448B9F07" w14:textId="77777777" w:rsidR="00555DC0" w:rsidRPr="0040535D" w:rsidRDefault="00555DC0" w:rsidP="00B32507">
      <w:pPr>
        <w:spacing w:before="120" w:line="360" w:lineRule="auto"/>
        <w:jc w:val="both"/>
        <w:rPr>
          <w:rFonts w:ascii="Times New Roman" w:hAnsi="Times New Roman"/>
          <w:sz w:val="24"/>
          <w:szCs w:val="24"/>
        </w:rPr>
      </w:pPr>
      <w:r w:rsidRPr="0040535D">
        <w:rPr>
          <w:rFonts w:ascii="Times New Roman" w:hAnsi="Times New Roman"/>
          <w:sz w:val="24"/>
          <w:szCs w:val="24"/>
        </w:rPr>
        <w:t xml:space="preserve">„Współfinansowanie krajowe z budżetu państwa” oznacza środki budżetu państwa niepochodzące z budżetu środków europejskich, wypłacane na rzecz beneficjenta albo wydatkowane przez państwową jednostkę budżetową w ramach projektu, z wyłączeniem podlegających refundacji przez Komisję Europejską środków budżetu państwa przeznaczonych na realizację projektów pomocy technicznej i projektów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w:t>
      </w:r>
    </w:p>
    <w:p w14:paraId="3B609E98" w14:textId="77777777" w:rsidR="00555DC0" w:rsidRPr="0040535D" w:rsidRDefault="00555DC0" w:rsidP="00B32507">
      <w:pPr>
        <w:spacing w:before="120" w:line="360" w:lineRule="auto"/>
        <w:jc w:val="both"/>
        <w:rPr>
          <w:rFonts w:ascii="Times New Roman" w:hAnsi="Times New Roman"/>
          <w:sz w:val="24"/>
          <w:szCs w:val="24"/>
        </w:rPr>
      </w:pPr>
      <w:r w:rsidRPr="0040535D">
        <w:rPr>
          <w:rFonts w:ascii="Times New Roman" w:hAnsi="Times New Roman"/>
          <w:sz w:val="24"/>
          <w:szCs w:val="24"/>
        </w:rPr>
        <w:t xml:space="preserve">W art. 2 zawarto także definicję </w:t>
      </w:r>
      <w:r w:rsidR="000E0A37">
        <w:rPr>
          <w:rFonts w:ascii="Times New Roman" w:hAnsi="Times New Roman"/>
          <w:sz w:val="24"/>
          <w:szCs w:val="24"/>
        </w:rPr>
        <w:t>„</w:t>
      </w:r>
      <w:r w:rsidRPr="0040535D">
        <w:rPr>
          <w:rFonts w:ascii="Times New Roman" w:hAnsi="Times New Roman"/>
          <w:sz w:val="24"/>
          <w:szCs w:val="24"/>
        </w:rPr>
        <w:t>umowy o dofinansowanie projektu</w:t>
      </w:r>
      <w:r w:rsidR="000E0A37">
        <w:rPr>
          <w:rFonts w:ascii="Times New Roman" w:hAnsi="Times New Roman"/>
          <w:sz w:val="24"/>
          <w:szCs w:val="24"/>
        </w:rPr>
        <w:t>”</w:t>
      </w:r>
      <w:r w:rsidRPr="0040535D">
        <w:rPr>
          <w:rFonts w:ascii="Times New Roman" w:hAnsi="Times New Roman"/>
          <w:sz w:val="24"/>
          <w:szCs w:val="24"/>
        </w:rPr>
        <w:t xml:space="preserve">, przez którą rozumie się umowę zawartą pomiędzy właściwą instytucją </w:t>
      </w:r>
      <w:r w:rsidR="006406BB" w:rsidRPr="0040535D">
        <w:rPr>
          <w:rFonts w:ascii="Times New Roman" w:hAnsi="Times New Roman"/>
          <w:sz w:val="24"/>
          <w:szCs w:val="24"/>
        </w:rPr>
        <w:t>a</w:t>
      </w:r>
      <w:r w:rsidRPr="0040535D">
        <w:rPr>
          <w:rFonts w:ascii="Times New Roman" w:hAnsi="Times New Roman"/>
          <w:sz w:val="24"/>
          <w:szCs w:val="24"/>
        </w:rPr>
        <w:t xml:space="preserve"> wnioskodawcą, którego projekt został wybrany do dofinansowania, albo porozumienie zawarte pomiędzy właściwą instytucją </w:t>
      </w:r>
      <w:r w:rsidR="006406BB" w:rsidRPr="0040535D">
        <w:rPr>
          <w:rFonts w:ascii="Times New Roman" w:hAnsi="Times New Roman"/>
          <w:sz w:val="24"/>
          <w:szCs w:val="24"/>
        </w:rPr>
        <w:t>a</w:t>
      </w:r>
      <w:r w:rsidRPr="0040535D">
        <w:rPr>
          <w:rFonts w:ascii="Times New Roman" w:hAnsi="Times New Roman"/>
          <w:sz w:val="24"/>
          <w:szCs w:val="24"/>
        </w:rPr>
        <w:t xml:space="preserve"> wnioskodawcą, będącym państwową jednostką budżetową, którego projekt został wybrany do dofinansowania, zawierającą co najmniej elementy, o których mowa w art. 206 ust. 2 ustawy z </w:t>
      </w:r>
      <w:r w:rsidRPr="0040535D">
        <w:rPr>
          <w:rFonts w:ascii="Times New Roman" w:hAnsi="Times New Roman"/>
          <w:sz w:val="24"/>
          <w:szCs w:val="24"/>
        </w:rPr>
        <w:lastRenderedPageBreak/>
        <w:t>dnia 27 sierpnia 2009 r. o finansach publicznych</w:t>
      </w:r>
      <w:r w:rsidR="00021220" w:rsidRPr="0040535D">
        <w:rPr>
          <w:rFonts w:ascii="Times New Roman" w:hAnsi="Times New Roman"/>
          <w:sz w:val="24"/>
          <w:szCs w:val="24"/>
        </w:rPr>
        <w:t xml:space="preserve"> (Dz. U. z 2021 r. poz. 305</w:t>
      </w:r>
      <w:r w:rsidR="006F0C1F" w:rsidRPr="0040535D">
        <w:rPr>
          <w:rFonts w:ascii="Times New Roman" w:hAnsi="Times New Roman"/>
          <w:sz w:val="24"/>
          <w:szCs w:val="24"/>
        </w:rPr>
        <w:t xml:space="preserve">, z </w:t>
      </w:r>
      <w:proofErr w:type="spellStart"/>
      <w:r w:rsidR="006F0C1F" w:rsidRPr="0040535D">
        <w:rPr>
          <w:rFonts w:ascii="Times New Roman" w:hAnsi="Times New Roman"/>
          <w:sz w:val="24"/>
          <w:szCs w:val="24"/>
        </w:rPr>
        <w:t>późn</w:t>
      </w:r>
      <w:proofErr w:type="spellEnd"/>
      <w:r w:rsidR="006F0C1F" w:rsidRPr="0040535D">
        <w:rPr>
          <w:rFonts w:ascii="Times New Roman" w:hAnsi="Times New Roman"/>
          <w:sz w:val="24"/>
          <w:szCs w:val="24"/>
        </w:rPr>
        <w:t>. zm.</w:t>
      </w:r>
      <w:r w:rsidR="00021220" w:rsidRPr="0040535D">
        <w:rPr>
          <w:rFonts w:ascii="Times New Roman" w:hAnsi="Times New Roman"/>
          <w:sz w:val="24"/>
          <w:szCs w:val="24"/>
        </w:rPr>
        <w:t>)</w:t>
      </w:r>
      <w:r w:rsidR="00DD083B" w:rsidRPr="0040535D">
        <w:rPr>
          <w:rFonts w:ascii="Times New Roman" w:hAnsi="Times New Roman"/>
          <w:sz w:val="24"/>
          <w:szCs w:val="24"/>
        </w:rPr>
        <w:t xml:space="preserve">, (dalej: </w:t>
      </w:r>
      <w:proofErr w:type="spellStart"/>
      <w:r w:rsidR="00DD083B" w:rsidRPr="0040535D">
        <w:rPr>
          <w:rFonts w:ascii="Times New Roman" w:hAnsi="Times New Roman"/>
          <w:sz w:val="24"/>
          <w:szCs w:val="24"/>
        </w:rPr>
        <w:t>ufp</w:t>
      </w:r>
      <w:proofErr w:type="spellEnd"/>
      <w:r w:rsidR="00DD083B" w:rsidRPr="0040535D">
        <w:rPr>
          <w:rFonts w:ascii="Times New Roman" w:hAnsi="Times New Roman"/>
          <w:sz w:val="24"/>
          <w:szCs w:val="24"/>
        </w:rPr>
        <w:t>)</w:t>
      </w:r>
      <w:r w:rsidRPr="0040535D">
        <w:rPr>
          <w:rFonts w:ascii="Times New Roman" w:hAnsi="Times New Roman"/>
          <w:sz w:val="24"/>
          <w:szCs w:val="24"/>
        </w:rPr>
        <w:t xml:space="preserve">. Definicja uwzględnia również specyfikę programów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wskazując odrębnie, co należy rozumieć przez umowę w przypadku tych programów.</w:t>
      </w:r>
    </w:p>
    <w:p w14:paraId="04B0F8E6" w14:textId="77777777" w:rsidR="00555DC0" w:rsidRPr="0040535D" w:rsidRDefault="00555DC0" w:rsidP="00155913">
      <w:pPr>
        <w:spacing w:before="120" w:line="360" w:lineRule="auto"/>
        <w:jc w:val="both"/>
        <w:rPr>
          <w:rFonts w:ascii="Times New Roman" w:hAnsi="Times New Roman"/>
          <w:sz w:val="24"/>
          <w:szCs w:val="24"/>
        </w:rPr>
      </w:pPr>
      <w:r w:rsidRPr="0040535D">
        <w:rPr>
          <w:rFonts w:ascii="Times New Roman" w:hAnsi="Times New Roman"/>
          <w:sz w:val="24"/>
          <w:szCs w:val="24"/>
        </w:rPr>
        <w:t xml:space="preserve">Inną podstawą dofinansowania, która również została zdefiniowana w art. 2, jest </w:t>
      </w:r>
      <w:r w:rsidR="004B1B88" w:rsidRPr="0040535D">
        <w:rPr>
          <w:rFonts w:ascii="Times New Roman" w:hAnsi="Times New Roman"/>
          <w:sz w:val="24"/>
          <w:szCs w:val="24"/>
        </w:rPr>
        <w:t>„</w:t>
      </w:r>
      <w:r w:rsidRPr="0040535D">
        <w:rPr>
          <w:rFonts w:ascii="Times New Roman" w:hAnsi="Times New Roman"/>
          <w:sz w:val="24"/>
          <w:szCs w:val="24"/>
        </w:rPr>
        <w:t>decyzja o dofinansowaniu projektu</w:t>
      </w:r>
      <w:r w:rsidR="004B1B88" w:rsidRPr="0040535D">
        <w:rPr>
          <w:rFonts w:ascii="Times New Roman" w:hAnsi="Times New Roman"/>
          <w:sz w:val="24"/>
          <w:szCs w:val="24"/>
        </w:rPr>
        <w:t>”</w:t>
      </w:r>
      <w:r w:rsidRPr="0040535D">
        <w:rPr>
          <w:rFonts w:ascii="Times New Roman" w:hAnsi="Times New Roman"/>
          <w:sz w:val="24"/>
          <w:szCs w:val="24"/>
        </w:rPr>
        <w:t>. Jest to decyzja podjęta przez jednostkę sektora finansów publicznych, która stanowi podstawę dofinansowania projektu, w przypadku gdy ta jednostka jest jednocześnie instytucją udzielającą dofinansowania oraz wnioskodawcą.</w:t>
      </w:r>
    </w:p>
    <w:p w14:paraId="14495491" w14:textId="77777777" w:rsidR="00555DC0" w:rsidRPr="0040535D" w:rsidRDefault="00555DC0" w:rsidP="00B41B1A">
      <w:pPr>
        <w:spacing w:before="120" w:line="360" w:lineRule="auto"/>
        <w:jc w:val="both"/>
        <w:rPr>
          <w:rFonts w:ascii="Times New Roman" w:hAnsi="Times New Roman"/>
          <w:sz w:val="24"/>
          <w:szCs w:val="24"/>
        </w:rPr>
      </w:pPr>
      <w:r w:rsidRPr="0040535D">
        <w:rPr>
          <w:rFonts w:ascii="Times New Roman" w:hAnsi="Times New Roman"/>
          <w:sz w:val="24"/>
          <w:szCs w:val="24"/>
        </w:rPr>
        <w:t xml:space="preserve">W art. 2 znajduje się także definicja </w:t>
      </w:r>
      <w:r w:rsidR="006671B9">
        <w:rPr>
          <w:rFonts w:ascii="Times New Roman" w:hAnsi="Times New Roman"/>
          <w:sz w:val="24"/>
          <w:szCs w:val="24"/>
        </w:rPr>
        <w:t>„</w:t>
      </w:r>
      <w:r w:rsidRPr="0040535D">
        <w:rPr>
          <w:rFonts w:ascii="Times New Roman" w:hAnsi="Times New Roman"/>
          <w:sz w:val="24"/>
          <w:szCs w:val="24"/>
        </w:rPr>
        <w:t>korekty finansowej</w:t>
      </w:r>
      <w:r w:rsidR="006671B9">
        <w:rPr>
          <w:rFonts w:ascii="Times New Roman" w:hAnsi="Times New Roman"/>
          <w:sz w:val="24"/>
          <w:szCs w:val="24"/>
        </w:rPr>
        <w:t>”</w:t>
      </w:r>
      <w:r w:rsidRPr="0040535D">
        <w:rPr>
          <w:rFonts w:ascii="Times New Roman" w:hAnsi="Times New Roman"/>
          <w:sz w:val="24"/>
          <w:szCs w:val="24"/>
        </w:rPr>
        <w:t xml:space="preserve">, </w:t>
      </w:r>
      <w:r w:rsidR="006671B9">
        <w:rPr>
          <w:rFonts w:ascii="Times New Roman" w:hAnsi="Times New Roman"/>
          <w:sz w:val="24"/>
          <w:szCs w:val="24"/>
        </w:rPr>
        <w:t>„</w:t>
      </w:r>
      <w:r w:rsidRPr="0040535D">
        <w:rPr>
          <w:rFonts w:ascii="Times New Roman" w:hAnsi="Times New Roman"/>
          <w:sz w:val="24"/>
          <w:szCs w:val="24"/>
        </w:rPr>
        <w:t>nieprawidłowości systemowej</w:t>
      </w:r>
      <w:r w:rsidR="006671B9">
        <w:rPr>
          <w:rFonts w:ascii="Times New Roman" w:hAnsi="Times New Roman"/>
          <w:sz w:val="24"/>
          <w:szCs w:val="24"/>
        </w:rPr>
        <w:t>”</w:t>
      </w:r>
      <w:r w:rsidRPr="0040535D">
        <w:rPr>
          <w:rFonts w:ascii="Times New Roman" w:hAnsi="Times New Roman"/>
          <w:sz w:val="24"/>
          <w:szCs w:val="24"/>
        </w:rPr>
        <w:t xml:space="preserve"> i </w:t>
      </w:r>
      <w:r w:rsidR="006671B9">
        <w:rPr>
          <w:rFonts w:ascii="Times New Roman" w:hAnsi="Times New Roman"/>
          <w:sz w:val="24"/>
          <w:szCs w:val="24"/>
        </w:rPr>
        <w:t>„</w:t>
      </w:r>
      <w:r w:rsidRPr="0040535D">
        <w:rPr>
          <w:rFonts w:ascii="Times New Roman" w:hAnsi="Times New Roman"/>
          <w:sz w:val="24"/>
          <w:szCs w:val="24"/>
        </w:rPr>
        <w:t>nieprawidłowości indywidualnej</w:t>
      </w:r>
      <w:r w:rsidR="006671B9">
        <w:rPr>
          <w:rFonts w:ascii="Times New Roman" w:hAnsi="Times New Roman"/>
          <w:sz w:val="24"/>
          <w:szCs w:val="24"/>
        </w:rPr>
        <w:t>”</w:t>
      </w:r>
      <w:r w:rsidRPr="0040535D">
        <w:rPr>
          <w:rFonts w:ascii="Times New Roman" w:hAnsi="Times New Roman"/>
          <w:sz w:val="24"/>
          <w:szCs w:val="24"/>
        </w:rPr>
        <w:t xml:space="preserve">, jak również </w:t>
      </w:r>
      <w:r w:rsidR="006671B9">
        <w:rPr>
          <w:rFonts w:ascii="Times New Roman" w:hAnsi="Times New Roman"/>
          <w:sz w:val="24"/>
          <w:szCs w:val="24"/>
        </w:rPr>
        <w:t>„</w:t>
      </w:r>
      <w:r w:rsidRPr="0040535D">
        <w:rPr>
          <w:rFonts w:ascii="Times New Roman" w:hAnsi="Times New Roman"/>
          <w:sz w:val="24"/>
          <w:szCs w:val="24"/>
        </w:rPr>
        <w:t>szczegółowego opisu priorytetów programu</w:t>
      </w:r>
      <w:r w:rsidR="006671B9">
        <w:rPr>
          <w:rFonts w:ascii="Times New Roman" w:hAnsi="Times New Roman"/>
          <w:sz w:val="24"/>
          <w:szCs w:val="24"/>
        </w:rPr>
        <w:t>”</w:t>
      </w:r>
      <w:r w:rsidRPr="0040535D">
        <w:rPr>
          <w:rFonts w:ascii="Times New Roman" w:hAnsi="Times New Roman"/>
          <w:sz w:val="24"/>
          <w:szCs w:val="24"/>
        </w:rPr>
        <w:t>. W dokumencie tym w precyzyjny sposób opisano zakres działań możliwych do realizacji w ramach każdego priorytetu, katalog beneficjentów pomocy, przykładowe koszty kwalifikowalne, możliwość wystąpienia pomocy publicznej, itd. Ogólny, zwięzły opis priorytetów znajduje się w programie.</w:t>
      </w:r>
      <w:r w:rsidR="003A329B" w:rsidRPr="0040535D">
        <w:rPr>
          <w:rFonts w:ascii="Times New Roman" w:hAnsi="Times New Roman"/>
          <w:sz w:val="24"/>
          <w:szCs w:val="24"/>
        </w:rPr>
        <w:t xml:space="preserve"> </w:t>
      </w:r>
    </w:p>
    <w:p w14:paraId="5C3DFD50" w14:textId="77777777" w:rsidR="00555DC0" w:rsidRDefault="00555DC0" w:rsidP="005D004E">
      <w:pPr>
        <w:spacing w:after="0" w:line="360" w:lineRule="auto"/>
        <w:jc w:val="both"/>
        <w:rPr>
          <w:rFonts w:ascii="Times New Roman" w:eastAsia="Times New Roman" w:hAnsi="Times New Roman"/>
          <w:bCs/>
          <w:sz w:val="24"/>
          <w:szCs w:val="24"/>
          <w:lang w:eastAsia="pl-PL"/>
        </w:rPr>
      </w:pPr>
      <w:r w:rsidRPr="0040535D">
        <w:rPr>
          <w:rFonts w:ascii="Times New Roman" w:eastAsia="Times New Roman" w:hAnsi="Times New Roman"/>
          <w:bCs/>
          <w:sz w:val="24"/>
          <w:szCs w:val="24"/>
          <w:lang w:eastAsia="pl-PL"/>
        </w:rPr>
        <w:t xml:space="preserve">Wśród definiowanych pojęć wyjaśniono także pojęcie </w:t>
      </w:r>
      <w:r w:rsidR="006671B9">
        <w:rPr>
          <w:rFonts w:ascii="Times New Roman" w:eastAsia="Times New Roman" w:hAnsi="Times New Roman"/>
          <w:bCs/>
          <w:sz w:val="24"/>
          <w:szCs w:val="24"/>
          <w:lang w:eastAsia="pl-PL"/>
        </w:rPr>
        <w:t>„</w:t>
      </w:r>
      <w:r w:rsidRPr="0040535D">
        <w:rPr>
          <w:rFonts w:ascii="Times New Roman" w:eastAsia="Times New Roman" w:hAnsi="Times New Roman"/>
          <w:bCs/>
          <w:sz w:val="24"/>
          <w:szCs w:val="24"/>
          <w:lang w:eastAsia="pl-PL"/>
        </w:rPr>
        <w:t>wytycznych</w:t>
      </w:r>
      <w:r w:rsidR="006671B9">
        <w:rPr>
          <w:rFonts w:ascii="Times New Roman" w:eastAsia="Times New Roman" w:hAnsi="Times New Roman"/>
          <w:bCs/>
          <w:sz w:val="24"/>
          <w:szCs w:val="24"/>
          <w:lang w:eastAsia="pl-PL"/>
        </w:rPr>
        <w:t>”</w:t>
      </w:r>
      <w:r w:rsidRPr="0040535D">
        <w:rPr>
          <w:rFonts w:ascii="Times New Roman" w:eastAsia="Times New Roman" w:hAnsi="Times New Roman"/>
          <w:bCs/>
          <w:sz w:val="24"/>
          <w:szCs w:val="24"/>
          <w:lang w:eastAsia="pl-PL"/>
        </w:rPr>
        <w:t xml:space="preserve">, wskazując, że jest to </w:t>
      </w:r>
      <w:r w:rsidRPr="0040535D">
        <w:rPr>
          <w:rFonts w:ascii="Times New Roman" w:eastAsia="Times New Roman" w:hAnsi="Times New Roman"/>
          <w:sz w:val="24"/>
          <w:szCs w:val="24"/>
          <w:lang w:eastAsia="ar-SA"/>
        </w:rPr>
        <w:t>i</w:t>
      </w:r>
      <w:r w:rsidRPr="0040535D">
        <w:rPr>
          <w:rFonts w:ascii="Times New Roman" w:eastAsia="Times New Roman" w:hAnsi="Times New Roman"/>
          <w:bCs/>
          <w:sz w:val="24"/>
          <w:szCs w:val="24"/>
          <w:lang w:eastAsia="pl-PL"/>
        </w:rPr>
        <w:t>nstrument prawny określający ujednolicone warunki i procedury wdrażania funduszy strukturalnych</w:t>
      </w:r>
      <w:r w:rsidR="00054CC6" w:rsidRPr="0040535D">
        <w:rPr>
          <w:rFonts w:ascii="Times New Roman" w:eastAsia="Times New Roman" w:hAnsi="Times New Roman"/>
          <w:bCs/>
          <w:sz w:val="24"/>
          <w:szCs w:val="24"/>
          <w:lang w:eastAsia="pl-PL"/>
        </w:rPr>
        <w:t>,</w:t>
      </w:r>
      <w:r w:rsidRPr="0040535D">
        <w:rPr>
          <w:rFonts w:ascii="Times New Roman" w:eastAsia="Times New Roman" w:hAnsi="Times New Roman"/>
          <w:bCs/>
          <w:sz w:val="24"/>
          <w:szCs w:val="24"/>
          <w:lang w:eastAsia="pl-PL"/>
        </w:rPr>
        <w:t xml:space="preserve"> Funduszu Spójności </w:t>
      </w:r>
      <w:r w:rsidR="00054CC6" w:rsidRPr="0040535D">
        <w:rPr>
          <w:rFonts w:ascii="Times New Roman" w:eastAsia="Times New Roman" w:hAnsi="Times New Roman"/>
          <w:bCs/>
          <w:sz w:val="24"/>
          <w:szCs w:val="24"/>
          <w:lang w:eastAsia="pl-PL"/>
        </w:rPr>
        <w:t xml:space="preserve">i Funduszu na rzecz Sprawiedliwej Transformacji </w:t>
      </w:r>
      <w:r w:rsidRPr="0040535D">
        <w:rPr>
          <w:rFonts w:ascii="Times New Roman" w:eastAsia="Times New Roman" w:hAnsi="Times New Roman"/>
          <w:bCs/>
          <w:sz w:val="24"/>
          <w:szCs w:val="24"/>
          <w:lang w:eastAsia="pl-PL"/>
        </w:rPr>
        <w:t xml:space="preserve">skierowane do instytucji uczestniczących w realizacji programów oraz stosowane przez te instytucje na podstawie właściwego porozumienia, kontraktu programowego, o którym mowa w art. 5 pkt 4d </w:t>
      </w:r>
      <w:proofErr w:type="spellStart"/>
      <w:r w:rsidR="002535AF" w:rsidRPr="0040535D">
        <w:rPr>
          <w:rFonts w:ascii="Times New Roman" w:eastAsia="Times New Roman" w:hAnsi="Times New Roman"/>
          <w:bCs/>
          <w:sz w:val="24"/>
          <w:szCs w:val="24"/>
          <w:lang w:eastAsia="pl-PL"/>
        </w:rPr>
        <w:t>uzppr</w:t>
      </w:r>
      <w:proofErr w:type="spellEnd"/>
      <w:r w:rsidRPr="0040535D">
        <w:rPr>
          <w:rFonts w:ascii="Times New Roman" w:eastAsia="Times New Roman" w:hAnsi="Times New Roman"/>
          <w:bCs/>
          <w:sz w:val="24"/>
          <w:szCs w:val="24"/>
          <w:lang w:eastAsia="pl-PL"/>
        </w:rPr>
        <w:t>, albo umowy oraz przez beneficjentów na podstawie umowy o dofinansowanie projektu albo decyzji o dofinansowaniu projektu.</w:t>
      </w:r>
    </w:p>
    <w:p w14:paraId="512BE092" w14:textId="77777777" w:rsidR="005731DF" w:rsidRDefault="005731DF" w:rsidP="005D004E">
      <w:pPr>
        <w:spacing w:after="0" w:line="360" w:lineRule="auto"/>
        <w:jc w:val="both"/>
        <w:rPr>
          <w:rFonts w:ascii="Times New Roman" w:eastAsia="Times New Roman" w:hAnsi="Times New Roman"/>
          <w:bCs/>
          <w:sz w:val="24"/>
          <w:szCs w:val="24"/>
          <w:lang w:eastAsia="pl-PL"/>
        </w:rPr>
      </w:pPr>
    </w:p>
    <w:p w14:paraId="1B531A35" w14:textId="77777777" w:rsidR="00427C9B" w:rsidRPr="005F3CAB" w:rsidRDefault="005731DF" w:rsidP="00697676">
      <w:pPr>
        <w:spacing w:after="0" w:line="360" w:lineRule="auto"/>
        <w:jc w:val="both"/>
        <w:rPr>
          <w:rFonts w:ascii="Times New Roman" w:hAnsi="Times New Roman"/>
          <w:sz w:val="24"/>
          <w:szCs w:val="24"/>
        </w:rPr>
      </w:pPr>
      <w:r w:rsidRPr="004C50F0">
        <w:rPr>
          <w:rFonts w:ascii="Times New Roman" w:eastAsia="Times New Roman" w:hAnsi="Times New Roman"/>
          <w:bCs/>
          <w:sz w:val="24"/>
          <w:szCs w:val="24"/>
          <w:lang w:eastAsia="pl-PL"/>
        </w:rPr>
        <w:t xml:space="preserve">W art. 2 </w:t>
      </w:r>
      <w:r w:rsidRPr="005F3CAB">
        <w:rPr>
          <w:rFonts w:ascii="Times New Roman" w:eastAsia="Times New Roman" w:hAnsi="Times New Roman"/>
          <w:bCs/>
          <w:sz w:val="24"/>
          <w:szCs w:val="24"/>
          <w:lang w:eastAsia="pl-PL"/>
        </w:rPr>
        <w:t xml:space="preserve">zdefiniowano również </w:t>
      </w:r>
      <w:r w:rsidRPr="006671B9">
        <w:rPr>
          <w:rFonts w:ascii="Times New Roman" w:eastAsia="Times New Roman" w:hAnsi="Times New Roman"/>
          <w:bCs/>
          <w:sz w:val="24"/>
          <w:szCs w:val="24"/>
          <w:lang w:eastAsia="pl-PL"/>
        </w:rPr>
        <w:t xml:space="preserve">pojęcie </w:t>
      </w:r>
      <w:r w:rsidR="006671B9">
        <w:rPr>
          <w:rFonts w:ascii="Times New Roman" w:eastAsia="Times New Roman" w:hAnsi="Times New Roman"/>
          <w:bCs/>
          <w:sz w:val="24"/>
          <w:szCs w:val="24"/>
          <w:lang w:eastAsia="pl-PL"/>
        </w:rPr>
        <w:t>„</w:t>
      </w:r>
      <w:r w:rsidRPr="009F6287">
        <w:rPr>
          <w:rFonts w:ascii="Times New Roman" w:eastAsia="Times New Roman" w:hAnsi="Times New Roman"/>
          <w:bCs/>
          <w:sz w:val="24"/>
          <w:szCs w:val="24"/>
          <w:lang w:eastAsia="pl-PL"/>
        </w:rPr>
        <w:t>systemu teleinformatycznego</w:t>
      </w:r>
      <w:r w:rsidR="006671B9">
        <w:rPr>
          <w:rFonts w:ascii="Times New Roman" w:eastAsia="Times New Roman" w:hAnsi="Times New Roman"/>
          <w:bCs/>
          <w:sz w:val="24"/>
          <w:szCs w:val="24"/>
          <w:lang w:eastAsia="pl-PL"/>
        </w:rPr>
        <w:t>”</w:t>
      </w:r>
      <w:r w:rsidRPr="006671B9">
        <w:rPr>
          <w:rFonts w:ascii="Times New Roman" w:eastAsia="Times New Roman" w:hAnsi="Times New Roman"/>
          <w:bCs/>
          <w:sz w:val="24"/>
          <w:szCs w:val="24"/>
          <w:lang w:eastAsia="pl-PL"/>
        </w:rPr>
        <w:t>,</w:t>
      </w:r>
      <w:r w:rsidRPr="005F3CAB">
        <w:rPr>
          <w:rFonts w:ascii="Times New Roman" w:eastAsia="Times New Roman" w:hAnsi="Times New Roman"/>
          <w:bCs/>
          <w:sz w:val="24"/>
          <w:szCs w:val="24"/>
          <w:lang w:eastAsia="pl-PL"/>
        </w:rPr>
        <w:t xml:space="preserve"> przez który należy rozumieć </w:t>
      </w:r>
      <w:r w:rsidRPr="00F432FD">
        <w:rPr>
          <w:rFonts w:ascii="Times New Roman" w:hAnsi="Times New Roman"/>
          <w:sz w:val="24"/>
          <w:szCs w:val="24"/>
        </w:rPr>
        <w:t xml:space="preserve">system, </w:t>
      </w:r>
      <w:r w:rsidR="000E0A37" w:rsidRPr="000E0A37">
        <w:rPr>
          <w:rFonts w:ascii="Times New Roman" w:hAnsi="Times New Roman"/>
          <w:sz w:val="24"/>
          <w:szCs w:val="24"/>
        </w:rPr>
        <w:t xml:space="preserve">w którym rejestruje się i przechowuje w formie elektronicznej dane, zgodnie </w:t>
      </w:r>
      <w:r w:rsidR="000E0A37">
        <w:rPr>
          <w:rFonts w:ascii="Times New Roman" w:hAnsi="Times New Roman"/>
          <w:sz w:val="24"/>
          <w:szCs w:val="24"/>
        </w:rPr>
        <w:t xml:space="preserve">z </w:t>
      </w:r>
      <w:r w:rsidRPr="00F432FD">
        <w:rPr>
          <w:rFonts w:ascii="Times New Roman" w:hAnsi="Times New Roman"/>
          <w:sz w:val="24"/>
          <w:szCs w:val="24"/>
        </w:rPr>
        <w:t xml:space="preserve">art. 72 ust. 1 lit. e rozporządzenia ogólnego, w tym centralny system teleinformatyczny. </w:t>
      </w:r>
      <w:r w:rsidR="004C50F0">
        <w:rPr>
          <w:rFonts w:ascii="Times New Roman" w:hAnsi="Times New Roman"/>
          <w:sz w:val="24"/>
          <w:szCs w:val="24"/>
        </w:rPr>
        <w:t xml:space="preserve"> </w:t>
      </w:r>
      <w:r w:rsidR="00FF2B4D" w:rsidRPr="00F432FD">
        <w:rPr>
          <w:rFonts w:ascii="Times New Roman" w:hAnsi="Times New Roman"/>
          <w:sz w:val="24"/>
          <w:szCs w:val="24"/>
        </w:rPr>
        <w:t xml:space="preserve">Mówiąc o </w:t>
      </w:r>
      <w:r w:rsidR="006671B9">
        <w:rPr>
          <w:rFonts w:ascii="Times New Roman" w:hAnsi="Times New Roman"/>
          <w:sz w:val="24"/>
          <w:szCs w:val="24"/>
        </w:rPr>
        <w:t>„</w:t>
      </w:r>
      <w:r w:rsidR="00FF2B4D" w:rsidRPr="009F6287">
        <w:rPr>
          <w:rFonts w:ascii="Times New Roman" w:hAnsi="Times New Roman"/>
          <w:sz w:val="24"/>
          <w:szCs w:val="24"/>
        </w:rPr>
        <w:t>centralnym  systemie teleinformatycznym</w:t>
      </w:r>
      <w:r w:rsidR="006671B9">
        <w:rPr>
          <w:rFonts w:ascii="Times New Roman" w:hAnsi="Times New Roman"/>
          <w:sz w:val="24"/>
          <w:szCs w:val="24"/>
        </w:rPr>
        <w:t>”</w:t>
      </w:r>
      <w:r w:rsidR="00FF2B4D" w:rsidRPr="00F432FD">
        <w:rPr>
          <w:rFonts w:ascii="Times New Roman" w:hAnsi="Times New Roman"/>
          <w:sz w:val="24"/>
          <w:szCs w:val="24"/>
        </w:rPr>
        <w:t xml:space="preserve"> należy  </w:t>
      </w:r>
      <w:r w:rsidR="00275029" w:rsidRPr="00F432FD">
        <w:rPr>
          <w:rFonts w:ascii="Times New Roman" w:hAnsi="Times New Roman"/>
          <w:sz w:val="24"/>
          <w:szCs w:val="24"/>
        </w:rPr>
        <w:t xml:space="preserve">wyjaśnić,  że </w:t>
      </w:r>
      <w:r w:rsidR="00FF2B4D" w:rsidRPr="00F432FD">
        <w:rPr>
          <w:rFonts w:ascii="Times New Roman" w:hAnsi="Times New Roman"/>
          <w:sz w:val="24"/>
          <w:szCs w:val="24"/>
        </w:rPr>
        <w:t xml:space="preserve"> </w:t>
      </w:r>
      <w:r w:rsidR="00275029" w:rsidRPr="00F432FD">
        <w:rPr>
          <w:rFonts w:ascii="Times New Roman" w:hAnsi="Times New Roman"/>
          <w:iCs/>
          <w:color w:val="000000"/>
          <w:sz w:val="24"/>
          <w:szCs w:val="24"/>
          <w:lang w:eastAsia="pl-PL"/>
        </w:rPr>
        <w:t>o</w:t>
      </w:r>
      <w:r w:rsidRPr="00F432FD">
        <w:rPr>
          <w:rFonts w:ascii="Times New Roman" w:hAnsi="Times New Roman"/>
          <w:iCs/>
          <w:color w:val="000000"/>
          <w:sz w:val="24"/>
          <w:szCs w:val="24"/>
          <w:lang w:eastAsia="pl-PL"/>
        </w:rPr>
        <w:t>d perspektywy 2007-20</w:t>
      </w:r>
      <w:r w:rsidR="00275029" w:rsidRPr="00F432FD">
        <w:rPr>
          <w:rFonts w:ascii="Times New Roman" w:hAnsi="Times New Roman"/>
          <w:iCs/>
          <w:color w:val="000000"/>
          <w:sz w:val="24"/>
          <w:szCs w:val="24"/>
          <w:lang w:eastAsia="pl-PL"/>
        </w:rPr>
        <w:t xml:space="preserve">13 w Polsce funkcjonuje </w:t>
      </w:r>
      <w:r w:rsidRPr="00F432FD">
        <w:rPr>
          <w:rFonts w:ascii="Times New Roman" w:hAnsi="Times New Roman"/>
          <w:iCs/>
          <w:color w:val="000000"/>
          <w:sz w:val="24"/>
          <w:szCs w:val="24"/>
          <w:lang w:eastAsia="pl-PL"/>
        </w:rPr>
        <w:t>jeden system teleinformatyczny do obsługi funkcji instytucji zarządzającej</w:t>
      </w:r>
      <w:r w:rsidR="00275029" w:rsidRPr="00F432FD">
        <w:rPr>
          <w:rFonts w:ascii="Times New Roman" w:hAnsi="Times New Roman"/>
          <w:iCs/>
          <w:color w:val="000000"/>
          <w:sz w:val="24"/>
          <w:szCs w:val="24"/>
          <w:lang w:eastAsia="pl-PL"/>
        </w:rPr>
        <w:t xml:space="preserve">. </w:t>
      </w:r>
      <w:r w:rsidRPr="00F432FD">
        <w:rPr>
          <w:rFonts w:ascii="Times New Roman" w:hAnsi="Times New Roman"/>
          <w:iCs/>
          <w:color w:val="000000"/>
          <w:sz w:val="24"/>
          <w:szCs w:val="24"/>
          <w:lang w:eastAsia="pl-PL"/>
        </w:rPr>
        <w:t>Instytucja zarządzająca odpowiada za zarządzanie programem z myślą o osiągnięciu celów programu. W szczególności</w:t>
      </w:r>
      <w:r w:rsidR="00427C9B" w:rsidRPr="00F432FD">
        <w:rPr>
          <w:rFonts w:ascii="Times New Roman" w:hAnsi="Times New Roman"/>
          <w:iCs/>
          <w:color w:val="000000"/>
          <w:sz w:val="24"/>
          <w:szCs w:val="24"/>
          <w:lang w:eastAsia="pl-PL"/>
        </w:rPr>
        <w:t xml:space="preserve"> pełni ona następujące funkcje:</w:t>
      </w:r>
      <w:r w:rsidR="004C50F0" w:rsidRPr="005F3CAB">
        <w:rPr>
          <w:rFonts w:ascii="Times New Roman" w:hAnsi="Times New Roman"/>
          <w:sz w:val="24"/>
          <w:szCs w:val="24"/>
        </w:rPr>
        <w:t xml:space="preserve"> </w:t>
      </w:r>
      <w:r w:rsidRPr="00F432FD">
        <w:rPr>
          <w:rFonts w:ascii="Times New Roman" w:hAnsi="Times New Roman"/>
          <w:iCs/>
          <w:color w:val="000000"/>
          <w:sz w:val="24"/>
          <w:szCs w:val="24"/>
          <w:lang w:eastAsia="pl-PL"/>
        </w:rPr>
        <w:t xml:space="preserve">rejestruje i przechowuje w formie elektronicznej dane dotyczące każdej operacji, niezbędne do monitorowania, ewaluacji, zarządzania finansowego, weryfikacji i audytów, zgodnie z </w:t>
      </w:r>
      <w:r w:rsidRPr="00F432FD">
        <w:rPr>
          <w:rFonts w:ascii="Times New Roman" w:hAnsi="Times New Roman"/>
          <w:iCs/>
          <w:color w:val="000000"/>
          <w:sz w:val="24"/>
          <w:szCs w:val="24"/>
          <w:lang w:eastAsia="pl-PL"/>
        </w:rPr>
        <w:lastRenderedPageBreak/>
        <w:t>załącznikiem XVII, a także zapewnia bezpieczeństwo, integralność i poufno</w:t>
      </w:r>
      <w:r w:rsidR="004C50F0" w:rsidRPr="00F432FD">
        <w:rPr>
          <w:rFonts w:ascii="Times New Roman" w:hAnsi="Times New Roman"/>
          <w:iCs/>
          <w:color w:val="000000"/>
          <w:sz w:val="24"/>
          <w:szCs w:val="24"/>
          <w:lang w:eastAsia="pl-PL"/>
        </w:rPr>
        <w:t xml:space="preserve">ść danych oraz uwierzytelnianie </w:t>
      </w:r>
      <w:r w:rsidR="00427C9B" w:rsidRPr="00F432FD">
        <w:rPr>
          <w:rFonts w:ascii="Times New Roman" w:hAnsi="Times New Roman"/>
          <w:iCs/>
          <w:color w:val="000000"/>
          <w:sz w:val="24"/>
          <w:szCs w:val="24"/>
          <w:lang w:eastAsia="pl-PL"/>
        </w:rPr>
        <w:t>użytkowników.</w:t>
      </w:r>
      <w:r w:rsidR="00427C9B" w:rsidRPr="005F3CAB">
        <w:rPr>
          <w:rFonts w:ascii="Times New Roman" w:hAnsi="Times New Roman"/>
          <w:sz w:val="24"/>
          <w:szCs w:val="24"/>
        </w:rPr>
        <w:t xml:space="preserve"> </w:t>
      </w:r>
    </w:p>
    <w:p w14:paraId="5E211C93" w14:textId="77777777" w:rsidR="00555DC0" w:rsidRDefault="00427C9B" w:rsidP="00697676">
      <w:pPr>
        <w:spacing w:after="0" w:line="360" w:lineRule="auto"/>
        <w:jc w:val="both"/>
        <w:rPr>
          <w:rFonts w:ascii="Times New Roman" w:hAnsi="Times New Roman"/>
          <w:sz w:val="24"/>
          <w:szCs w:val="24"/>
        </w:rPr>
      </w:pPr>
      <w:r w:rsidRPr="004C50F0">
        <w:rPr>
          <w:rFonts w:ascii="Times New Roman" w:hAnsi="Times New Roman"/>
          <w:sz w:val="24"/>
          <w:szCs w:val="24"/>
        </w:rPr>
        <w:t xml:space="preserve">Funkcjonowanie centralnego systemu teleinformatycznego zapewnia minister właściwy do spraw  rozwoju regionalnego </w:t>
      </w:r>
      <w:r w:rsidR="004C50F0">
        <w:rPr>
          <w:rFonts w:ascii="Times New Roman" w:hAnsi="Times New Roman"/>
          <w:sz w:val="24"/>
          <w:szCs w:val="24"/>
        </w:rPr>
        <w:t xml:space="preserve"> koordynujący realizację</w:t>
      </w:r>
      <w:r w:rsidRPr="00F432FD">
        <w:rPr>
          <w:rFonts w:ascii="Times New Roman" w:hAnsi="Times New Roman"/>
          <w:sz w:val="24"/>
          <w:szCs w:val="24"/>
        </w:rPr>
        <w:t xml:space="preserve"> </w:t>
      </w:r>
      <w:r w:rsidR="004C50F0" w:rsidRPr="00F432FD">
        <w:rPr>
          <w:rFonts w:ascii="Times New Roman" w:hAnsi="Times New Roman"/>
          <w:sz w:val="24"/>
          <w:szCs w:val="24"/>
        </w:rPr>
        <w:t>projektów</w:t>
      </w:r>
      <w:r w:rsidRPr="00F432FD">
        <w:rPr>
          <w:rFonts w:ascii="Times New Roman" w:hAnsi="Times New Roman"/>
          <w:sz w:val="24"/>
          <w:szCs w:val="24"/>
        </w:rPr>
        <w:t xml:space="preserve"> w ramach wykonywania   zadań państwa członkowskiego (art.</w:t>
      </w:r>
      <w:r w:rsidR="006671B9">
        <w:rPr>
          <w:rFonts w:ascii="Times New Roman" w:hAnsi="Times New Roman"/>
          <w:sz w:val="24"/>
          <w:szCs w:val="24"/>
        </w:rPr>
        <w:t xml:space="preserve"> </w:t>
      </w:r>
      <w:r w:rsidRPr="00F432FD">
        <w:rPr>
          <w:rFonts w:ascii="Times New Roman" w:hAnsi="Times New Roman"/>
          <w:sz w:val="24"/>
          <w:szCs w:val="24"/>
        </w:rPr>
        <w:t>4 ust.</w:t>
      </w:r>
      <w:r w:rsidR="006671B9">
        <w:rPr>
          <w:rFonts w:ascii="Times New Roman" w:hAnsi="Times New Roman"/>
          <w:sz w:val="24"/>
          <w:szCs w:val="24"/>
        </w:rPr>
        <w:t xml:space="preserve"> </w:t>
      </w:r>
      <w:r w:rsidRPr="00F432FD">
        <w:rPr>
          <w:rFonts w:ascii="Times New Roman" w:hAnsi="Times New Roman"/>
          <w:sz w:val="24"/>
          <w:szCs w:val="24"/>
        </w:rPr>
        <w:t xml:space="preserve">2 pkt </w:t>
      </w:r>
      <w:r w:rsidR="004C50F0" w:rsidRPr="00F432FD">
        <w:rPr>
          <w:rFonts w:ascii="Times New Roman" w:hAnsi="Times New Roman"/>
          <w:sz w:val="24"/>
          <w:szCs w:val="24"/>
        </w:rPr>
        <w:t>6).</w:t>
      </w:r>
    </w:p>
    <w:p w14:paraId="37520B85" w14:textId="77777777" w:rsidR="004C50F0" w:rsidRPr="004C50F0" w:rsidRDefault="004C50F0" w:rsidP="00697676">
      <w:pPr>
        <w:spacing w:after="0" w:line="360" w:lineRule="auto"/>
        <w:jc w:val="both"/>
        <w:rPr>
          <w:rFonts w:ascii="Times New Roman" w:hAnsi="Times New Roman"/>
          <w:sz w:val="24"/>
          <w:szCs w:val="24"/>
        </w:rPr>
      </w:pPr>
    </w:p>
    <w:p w14:paraId="6190B82B" w14:textId="77777777" w:rsidR="00555DC0" w:rsidRPr="0040535D" w:rsidRDefault="00555DC0" w:rsidP="00697676">
      <w:pPr>
        <w:spacing w:after="0" w:line="360" w:lineRule="auto"/>
        <w:jc w:val="both"/>
        <w:rPr>
          <w:rFonts w:ascii="Times New Roman" w:hAnsi="Times New Roman"/>
          <w:sz w:val="24"/>
          <w:szCs w:val="24"/>
        </w:rPr>
      </w:pPr>
      <w:r w:rsidRPr="004C50F0">
        <w:rPr>
          <w:rFonts w:ascii="Times New Roman" w:hAnsi="Times New Roman"/>
          <w:sz w:val="24"/>
          <w:szCs w:val="24"/>
        </w:rPr>
        <w:t xml:space="preserve">W </w:t>
      </w:r>
      <w:r w:rsidRPr="004C50F0">
        <w:rPr>
          <w:rFonts w:ascii="Times New Roman" w:hAnsi="Times New Roman"/>
          <w:b/>
          <w:sz w:val="24"/>
          <w:szCs w:val="24"/>
        </w:rPr>
        <w:t>art. 3</w:t>
      </w:r>
      <w:r w:rsidRPr="004C50F0">
        <w:rPr>
          <w:rFonts w:ascii="Times New Roman" w:hAnsi="Times New Roman"/>
          <w:sz w:val="24"/>
          <w:szCs w:val="24"/>
        </w:rPr>
        <w:t xml:space="preserve"> wskazano, że, o ile ustawa nie stanowi inaczej,</w:t>
      </w:r>
      <w:r w:rsidRPr="0040535D">
        <w:rPr>
          <w:rFonts w:ascii="Times New Roman" w:hAnsi="Times New Roman"/>
          <w:sz w:val="24"/>
          <w:szCs w:val="24"/>
        </w:rPr>
        <w:t xml:space="preserve"> zadania państwa członkowskiego określone w przepisach rozporządzenia ogólnego wykonuje minister właściwy do spraw rozwoju regionalnego. Wprowadzenie do ustawy pojęcia państwa członkowskiego wiąże się przede wszystkim z faktem, iż na mocy art. </w:t>
      </w:r>
      <w:r w:rsidR="000C4484" w:rsidRPr="0040535D">
        <w:rPr>
          <w:rFonts w:ascii="Times New Roman" w:hAnsi="Times New Roman"/>
          <w:sz w:val="24"/>
          <w:szCs w:val="24"/>
        </w:rPr>
        <w:t>10</w:t>
      </w:r>
      <w:r w:rsidRPr="0040535D">
        <w:rPr>
          <w:rFonts w:ascii="Times New Roman" w:hAnsi="Times New Roman"/>
          <w:sz w:val="24"/>
          <w:szCs w:val="24"/>
        </w:rPr>
        <w:t xml:space="preserve"> rozporządzenia ogólnego, umowa partnerstwa zawierana jest pomiędzy Komisją Europejską a państwem członkowskim, a nie z określonym podmiotem funkcjonującym w systemie władzy wykonawczej państw członkowskich. Oznacza to, iż w perspektywie finansowej 2021-2027 (podobnie, jak w perspektywie finansowej 2014-2020) minister właściwy do spraw rozwoju regionalnego będzie pełnił więcej niż jedną funkcję w systemie realizacji polityki spójności:</w:t>
      </w:r>
    </w:p>
    <w:p w14:paraId="07F63512" w14:textId="77777777" w:rsidR="00555DC0" w:rsidRPr="0040535D" w:rsidRDefault="00555DC0" w:rsidP="00697676">
      <w:pPr>
        <w:numPr>
          <w:ilvl w:val="0"/>
          <w:numId w:val="4"/>
        </w:numPr>
        <w:spacing w:after="0" w:line="360" w:lineRule="auto"/>
        <w:jc w:val="both"/>
        <w:rPr>
          <w:rFonts w:ascii="Times New Roman" w:hAnsi="Times New Roman"/>
          <w:sz w:val="24"/>
          <w:szCs w:val="24"/>
        </w:rPr>
      </w:pPr>
      <w:r w:rsidRPr="0040535D">
        <w:rPr>
          <w:rFonts w:ascii="Times New Roman" w:hAnsi="Times New Roman"/>
          <w:sz w:val="24"/>
          <w:szCs w:val="24"/>
        </w:rPr>
        <w:t>w krajowych programach będą to funkcje państwa członkowskiego</w:t>
      </w:r>
      <w:r w:rsidR="00D17753" w:rsidRPr="0040535D">
        <w:rPr>
          <w:rFonts w:ascii="Times New Roman" w:hAnsi="Times New Roman"/>
          <w:sz w:val="24"/>
          <w:szCs w:val="24"/>
        </w:rPr>
        <w:t>,</w:t>
      </w:r>
      <w:r w:rsidRPr="0040535D">
        <w:rPr>
          <w:rFonts w:ascii="Times New Roman" w:hAnsi="Times New Roman"/>
          <w:sz w:val="24"/>
          <w:szCs w:val="24"/>
        </w:rPr>
        <w:t xml:space="preserve"> w rozumieniu rozporządzenia ogólnego</w:t>
      </w:r>
      <w:r w:rsidR="00D17753" w:rsidRPr="0040535D">
        <w:rPr>
          <w:rFonts w:ascii="Times New Roman" w:hAnsi="Times New Roman"/>
          <w:sz w:val="24"/>
          <w:szCs w:val="24"/>
        </w:rPr>
        <w:t>,</w:t>
      </w:r>
      <w:r w:rsidRPr="0040535D">
        <w:rPr>
          <w:rFonts w:ascii="Times New Roman" w:hAnsi="Times New Roman"/>
          <w:sz w:val="24"/>
          <w:szCs w:val="24"/>
        </w:rPr>
        <w:t xml:space="preserve"> oraz instytucji zarządzającej (która będzie również wykonywała funkcje księgowe</w:t>
      </w:r>
      <w:r w:rsidR="00877B7B" w:rsidRPr="0040535D">
        <w:rPr>
          <w:rFonts w:ascii="Times New Roman" w:hAnsi="Times New Roman"/>
          <w:sz w:val="24"/>
          <w:szCs w:val="24"/>
        </w:rPr>
        <w:t>)</w:t>
      </w:r>
      <w:r w:rsidR="00D17753" w:rsidRPr="0040535D">
        <w:rPr>
          <w:rFonts w:ascii="Times New Roman" w:hAnsi="Times New Roman"/>
          <w:sz w:val="24"/>
          <w:szCs w:val="24"/>
        </w:rPr>
        <w:t>,</w:t>
      </w:r>
    </w:p>
    <w:p w14:paraId="0B5EB927" w14:textId="77777777" w:rsidR="00555DC0" w:rsidRPr="0040535D" w:rsidRDefault="00555DC0" w:rsidP="00697676">
      <w:pPr>
        <w:numPr>
          <w:ilvl w:val="0"/>
          <w:numId w:val="4"/>
        </w:numPr>
        <w:spacing w:after="0" w:line="360" w:lineRule="auto"/>
        <w:jc w:val="both"/>
        <w:rPr>
          <w:rFonts w:ascii="Times New Roman" w:hAnsi="Times New Roman"/>
          <w:sz w:val="24"/>
          <w:szCs w:val="24"/>
        </w:rPr>
      </w:pPr>
      <w:r w:rsidRPr="0040535D">
        <w:rPr>
          <w:rFonts w:ascii="Times New Roman" w:hAnsi="Times New Roman"/>
          <w:sz w:val="24"/>
          <w:szCs w:val="24"/>
        </w:rPr>
        <w:t>w regionalnych programach będzie to funkcja państwa członkowskiego</w:t>
      </w:r>
      <w:r w:rsidR="00D17753" w:rsidRPr="0040535D">
        <w:rPr>
          <w:rFonts w:ascii="Times New Roman" w:hAnsi="Times New Roman"/>
          <w:sz w:val="24"/>
          <w:szCs w:val="24"/>
        </w:rPr>
        <w:t>,</w:t>
      </w:r>
    </w:p>
    <w:p w14:paraId="4BF1B6D4" w14:textId="77777777" w:rsidR="00555DC0" w:rsidRPr="0040535D" w:rsidRDefault="00555DC0" w:rsidP="00697676">
      <w:pPr>
        <w:numPr>
          <w:ilvl w:val="0"/>
          <w:numId w:val="4"/>
        </w:numPr>
        <w:spacing w:after="0" w:line="360" w:lineRule="auto"/>
        <w:jc w:val="both"/>
        <w:rPr>
          <w:rFonts w:ascii="Times New Roman" w:hAnsi="Times New Roman"/>
          <w:sz w:val="24"/>
          <w:szCs w:val="24"/>
        </w:rPr>
      </w:pPr>
      <w:r w:rsidRPr="0040535D">
        <w:rPr>
          <w:rFonts w:ascii="Times New Roman" w:hAnsi="Times New Roman"/>
          <w:sz w:val="24"/>
          <w:szCs w:val="24"/>
        </w:rPr>
        <w:t xml:space="preserve">w programach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będą to funkcje państwa członkowskiego w rozumieniu rozporządzenia ogólnego.</w:t>
      </w:r>
    </w:p>
    <w:p w14:paraId="12FFBC8F" w14:textId="77777777" w:rsidR="00555DC0" w:rsidRPr="0040535D" w:rsidRDefault="00555DC0" w:rsidP="00697676">
      <w:pPr>
        <w:spacing w:after="0" w:line="360" w:lineRule="auto"/>
        <w:jc w:val="both"/>
        <w:rPr>
          <w:rFonts w:ascii="Times New Roman" w:hAnsi="Times New Roman"/>
          <w:sz w:val="24"/>
          <w:szCs w:val="24"/>
        </w:rPr>
      </w:pPr>
      <w:r w:rsidRPr="0040535D">
        <w:rPr>
          <w:rFonts w:ascii="Times New Roman" w:hAnsi="Times New Roman"/>
          <w:sz w:val="24"/>
          <w:szCs w:val="24"/>
        </w:rPr>
        <w:t>Przyjęte rozwiązanie pozwoli zapewnić sprawną, opartą na doświadczeniach zdobytych w poprzednich perspektywach finansowych, reprezentację Polski w kontaktach z Komisją Europejską i innymi instytucjami Unii Europejskiej w sprawach związanych z realizacją programów oraz zapewnieniem właściwej koordynacji w obszarze realizacji polityki spójności na poziomie całego państwa, w tym stworzenie jednolitych zasad wdrażania programów z uwzględnieniem wymogów prawa unijnego oraz wytycznych Komisji Europejskiej.</w:t>
      </w:r>
    </w:p>
    <w:p w14:paraId="77F16FBF"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Ponadto, w kontekście samego sformułowania „</w:t>
      </w:r>
      <w:r w:rsidR="00D17753" w:rsidRPr="0040535D">
        <w:rPr>
          <w:rFonts w:ascii="Times New Roman" w:hAnsi="Times New Roman"/>
          <w:sz w:val="24"/>
          <w:szCs w:val="24"/>
        </w:rPr>
        <w:t>p</w:t>
      </w:r>
      <w:r w:rsidRPr="0040535D">
        <w:rPr>
          <w:rFonts w:ascii="Times New Roman" w:hAnsi="Times New Roman"/>
          <w:sz w:val="24"/>
          <w:szCs w:val="24"/>
        </w:rPr>
        <w:t xml:space="preserve">aństwo </w:t>
      </w:r>
      <w:r w:rsidR="00D17753" w:rsidRPr="0040535D">
        <w:rPr>
          <w:rFonts w:ascii="Times New Roman" w:hAnsi="Times New Roman"/>
          <w:sz w:val="24"/>
          <w:szCs w:val="24"/>
        </w:rPr>
        <w:t>c</w:t>
      </w:r>
      <w:r w:rsidRPr="0040535D">
        <w:rPr>
          <w:rFonts w:ascii="Times New Roman" w:hAnsi="Times New Roman"/>
          <w:sz w:val="24"/>
          <w:szCs w:val="24"/>
        </w:rPr>
        <w:t xml:space="preserve">złonkowskie”, należy mieć na względzie różnice w sposobie rozumienia tego pojęcia na gruncie przepisów rozporządzenia ogólnego oraz rozporządzenia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W odniesieniu do programów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państwo członkowskie może być rozumiane dwojako – jako podmiot koordynujący, organizujący i odpowiedzialny za realizację programu albo jako strona umowy, na mocy której realizowany jest program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Aby zróżnicować dwojaką rolę, jaką państwo członkowskie pełni w </w:t>
      </w:r>
      <w:r w:rsidRPr="0040535D">
        <w:rPr>
          <w:rFonts w:ascii="Times New Roman" w:hAnsi="Times New Roman"/>
          <w:sz w:val="24"/>
          <w:szCs w:val="24"/>
        </w:rPr>
        <w:lastRenderedPageBreak/>
        <w:t xml:space="preserve">ramach programów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w ustawie wprowadzono </w:t>
      </w:r>
      <w:r w:rsidR="00D17753" w:rsidRPr="0040535D">
        <w:rPr>
          <w:rFonts w:ascii="Times New Roman" w:hAnsi="Times New Roman"/>
          <w:sz w:val="24"/>
          <w:szCs w:val="24"/>
        </w:rPr>
        <w:t>–</w:t>
      </w:r>
      <w:r w:rsidRPr="0040535D">
        <w:rPr>
          <w:rFonts w:ascii="Times New Roman" w:hAnsi="Times New Roman"/>
          <w:sz w:val="24"/>
          <w:szCs w:val="24"/>
        </w:rPr>
        <w:t xml:space="preserve">- poza ogólnym pojęciem państwa członkowskiego, wspólnym dla wszystkich programów – instytucję koordynatora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który wykonuje na terytorium Rzeczypospolitej Polskiej zadania państwa członkowskiego związane z realizacją programu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w:t>
      </w:r>
    </w:p>
    <w:p w14:paraId="0458DC44" w14:textId="77777777" w:rsidR="00555DC0" w:rsidRPr="0040535D" w:rsidRDefault="00555DC0" w:rsidP="009A0EE5">
      <w:pPr>
        <w:spacing w:after="0" w:line="360" w:lineRule="auto"/>
        <w:jc w:val="both"/>
        <w:rPr>
          <w:rFonts w:ascii="Times New Roman" w:hAnsi="Times New Roman"/>
          <w:b/>
          <w:bCs/>
          <w:sz w:val="24"/>
          <w:szCs w:val="24"/>
        </w:rPr>
      </w:pPr>
    </w:p>
    <w:p w14:paraId="6006C324" w14:textId="77777777" w:rsidR="00555DC0" w:rsidRPr="0040535D" w:rsidRDefault="00555DC0" w:rsidP="009A0EE5">
      <w:pPr>
        <w:spacing w:after="0" w:line="360" w:lineRule="auto"/>
        <w:jc w:val="both"/>
        <w:rPr>
          <w:rFonts w:ascii="Times New Roman" w:hAnsi="Times New Roman"/>
          <w:b/>
          <w:bCs/>
          <w:sz w:val="24"/>
          <w:szCs w:val="24"/>
        </w:rPr>
      </w:pPr>
      <w:r w:rsidRPr="0040535D">
        <w:rPr>
          <w:rFonts w:ascii="Times New Roman" w:hAnsi="Times New Roman"/>
          <w:b/>
          <w:bCs/>
          <w:sz w:val="24"/>
          <w:szCs w:val="24"/>
        </w:rPr>
        <w:t>Rozdział 2. Koordynacja realizacji programów.</w:t>
      </w:r>
    </w:p>
    <w:p w14:paraId="7E791CE2"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W Rozdziale 2 (art. 4 </w:t>
      </w:r>
      <w:r w:rsidR="00877B7B" w:rsidRPr="0040535D">
        <w:rPr>
          <w:rFonts w:ascii="Times New Roman" w:hAnsi="Times New Roman"/>
          <w:bCs/>
          <w:sz w:val="24"/>
          <w:szCs w:val="24"/>
        </w:rPr>
        <w:t xml:space="preserve">i art. </w:t>
      </w:r>
      <w:r w:rsidRPr="0040535D">
        <w:rPr>
          <w:rFonts w:ascii="Times New Roman" w:hAnsi="Times New Roman"/>
          <w:bCs/>
          <w:sz w:val="24"/>
          <w:szCs w:val="24"/>
        </w:rPr>
        <w:t>5) uregulowano kwestie związane z koordynacją realizacji programów polityki spójności, stanowiących instrument realizacji umowy partnerstwa.</w:t>
      </w:r>
    </w:p>
    <w:p w14:paraId="0755FE05"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W związku z faktem, że minister właściwy do spraw rozwoju regionalnego odpowiada za całokształt realizacji postanowień umowy partnerstwa, przyznano mu funkcję koordynacyjną związaną z realizacją wszystkich programów polityki spójności (</w:t>
      </w:r>
      <w:r w:rsidRPr="0040535D">
        <w:rPr>
          <w:rFonts w:ascii="Times New Roman" w:hAnsi="Times New Roman"/>
          <w:b/>
          <w:bCs/>
          <w:sz w:val="24"/>
          <w:szCs w:val="24"/>
        </w:rPr>
        <w:t>art. 4</w:t>
      </w:r>
      <w:r w:rsidRPr="0040535D">
        <w:rPr>
          <w:rFonts w:ascii="Times New Roman" w:hAnsi="Times New Roman"/>
          <w:bCs/>
          <w:sz w:val="24"/>
          <w:szCs w:val="24"/>
        </w:rPr>
        <w:t xml:space="preserve">). W art. 4 wskazano katalog przykładowych zadań realizowanych przez </w:t>
      </w:r>
      <w:r w:rsidR="00877B7B" w:rsidRPr="0040535D">
        <w:rPr>
          <w:rFonts w:ascii="Times New Roman" w:hAnsi="Times New Roman"/>
          <w:bCs/>
          <w:sz w:val="24"/>
          <w:szCs w:val="24"/>
        </w:rPr>
        <w:t xml:space="preserve">tego </w:t>
      </w:r>
      <w:r w:rsidRPr="0040535D">
        <w:rPr>
          <w:rFonts w:ascii="Times New Roman" w:hAnsi="Times New Roman"/>
          <w:bCs/>
          <w:sz w:val="24"/>
          <w:szCs w:val="24"/>
        </w:rPr>
        <w:t>ministra w związku z pełnieniem przez niego funkcji koordynacyjnej.</w:t>
      </w:r>
    </w:p>
    <w:p w14:paraId="08FEB94C"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Zdecentralizowany system realizacji polityki spójności w Polsce, na który składają się krajowe programy oraz 16 regionalnych programów wymagają wzmocnionej, skutecznej koordynacji wdrażania programów sprawowanej przez ministra właściwego d</w:t>
      </w:r>
      <w:r w:rsidR="00877B7B" w:rsidRPr="0040535D">
        <w:rPr>
          <w:rFonts w:ascii="Times New Roman" w:hAnsi="Times New Roman"/>
          <w:sz w:val="24"/>
          <w:szCs w:val="24"/>
        </w:rPr>
        <w:t>o spraw</w:t>
      </w:r>
      <w:r w:rsidRPr="0040535D">
        <w:rPr>
          <w:rFonts w:ascii="Times New Roman" w:hAnsi="Times New Roman"/>
          <w:sz w:val="24"/>
          <w:szCs w:val="24"/>
        </w:rPr>
        <w:t xml:space="preserve"> rozwoju regionalnego. Art. 14</w:t>
      </w:r>
      <w:r w:rsidR="00877B7B" w:rsidRPr="0040535D">
        <w:rPr>
          <w:rFonts w:ascii="Times New Roman" w:hAnsi="Times New Roman"/>
          <w:sz w:val="24"/>
          <w:szCs w:val="24"/>
        </w:rPr>
        <w:t>g</w:t>
      </w:r>
      <w:r w:rsidRPr="0040535D">
        <w:rPr>
          <w:rFonts w:ascii="Times New Roman" w:hAnsi="Times New Roman"/>
          <w:sz w:val="24"/>
          <w:szCs w:val="24"/>
        </w:rPr>
        <w:t xml:space="preserve"> </w:t>
      </w:r>
      <w:proofErr w:type="spellStart"/>
      <w:r w:rsidR="002535AF" w:rsidRPr="0040535D">
        <w:rPr>
          <w:rFonts w:ascii="Times New Roman" w:hAnsi="Times New Roman"/>
          <w:sz w:val="24"/>
          <w:szCs w:val="24"/>
        </w:rPr>
        <w:t>uzppr</w:t>
      </w:r>
      <w:proofErr w:type="spellEnd"/>
      <w:r w:rsidRPr="0040535D">
        <w:rPr>
          <w:rFonts w:ascii="Times New Roman" w:hAnsi="Times New Roman"/>
          <w:sz w:val="24"/>
          <w:szCs w:val="24"/>
        </w:rPr>
        <w:t xml:space="preserve"> nakreśla ogólnie rolę ministra </w:t>
      </w:r>
      <w:r w:rsidR="0039093B" w:rsidRPr="0040535D">
        <w:rPr>
          <w:rFonts w:ascii="Times New Roman" w:hAnsi="Times New Roman"/>
          <w:sz w:val="24"/>
          <w:szCs w:val="24"/>
        </w:rPr>
        <w:t xml:space="preserve">właściwego do spraw rozwoju regionalnego </w:t>
      </w:r>
      <w:r w:rsidRPr="0040535D">
        <w:rPr>
          <w:rFonts w:ascii="Times New Roman" w:hAnsi="Times New Roman"/>
          <w:sz w:val="24"/>
          <w:szCs w:val="24"/>
        </w:rPr>
        <w:t xml:space="preserve">jako </w:t>
      </w:r>
      <w:r w:rsidR="00197CA1" w:rsidRPr="0040535D">
        <w:rPr>
          <w:rFonts w:ascii="Times New Roman" w:hAnsi="Times New Roman"/>
          <w:sz w:val="24"/>
          <w:szCs w:val="24"/>
        </w:rPr>
        <w:t>p</w:t>
      </w:r>
      <w:r w:rsidRPr="0040535D">
        <w:rPr>
          <w:rFonts w:ascii="Times New Roman" w:hAnsi="Times New Roman"/>
          <w:sz w:val="24"/>
          <w:szCs w:val="24"/>
        </w:rPr>
        <w:t xml:space="preserve">aństwa </w:t>
      </w:r>
      <w:r w:rsidR="00197CA1" w:rsidRPr="0040535D">
        <w:rPr>
          <w:rFonts w:ascii="Times New Roman" w:hAnsi="Times New Roman"/>
          <w:sz w:val="24"/>
          <w:szCs w:val="24"/>
        </w:rPr>
        <w:t>c</w:t>
      </w:r>
      <w:r w:rsidRPr="0040535D">
        <w:rPr>
          <w:rFonts w:ascii="Times New Roman" w:hAnsi="Times New Roman"/>
          <w:sz w:val="24"/>
          <w:szCs w:val="24"/>
        </w:rPr>
        <w:t xml:space="preserve">złonkowskiego w odniesieniu do dokumentów programowych. Istnieje jednak zasadność doprecyzowania funkcji koordynacyjnych </w:t>
      </w:r>
      <w:r w:rsidR="0039093B" w:rsidRPr="0040535D">
        <w:rPr>
          <w:rFonts w:ascii="Times New Roman" w:hAnsi="Times New Roman"/>
          <w:sz w:val="24"/>
          <w:szCs w:val="24"/>
        </w:rPr>
        <w:t xml:space="preserve">tego </w:t>
      </w:r>
      <w:r w:rsidRPr="0040535D">
        <w:rPr>
          <w:rFonts w:ascii="Times New Roman" w:hAnsi="Times New Roman"/>
          <w:sz w:val="24"/>
          <w:szCs w:val="24"/>
        </w:rPr>
        <w:t xml:space="preserve">ministra. Główne kompetencje i uprawnienia ministra </w:t>
      </w:r>
      <w:r w:rsidR="0039093B" w:rsidRPr="0040535D">
        <w:rPr>
          <w:rFonts w:ascii="Times New Roman" w:hAnsi="Times New Roman"/>
          <w:sz w:val="24"/>
          <w:szCs w:val="24"/>
        </w:rPr>
        <w:t xml:space="preserve">właściwego do spraw rozwoju regionalnego </w:t>
      </w:r>
      <w:r w:rsidRPr="0040535D">
        <w:rPr>
          <w:rFonts w:ascii="Times New Roman" w:hAnsi="Times New Roman"/>
          <w:sz w:val="24"/>
          <w:szCs w:val="24"/>
        </w:rPr>
        <w:t>dotyczące koordynacji zostały wskazane w art. 4.</w:t>
      </w:r>
    </w:p>
    <w:p w14:paraId="2F1743EB"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Minister</w:t>
      </w:r>
      <w:r w:rsidR="0039093B" w:rsidRPr="0040535D">
        <w:rPr>
          <w:rFonts w:ascii="Times New Roman" w:hAnsi="Times New Roman"/>
          <w:sz w:val="24"/>
          <w:szCs w:val="24"/>
        </w:rPr>
        <w:t xml:space="preserve"> właściwy do spraw rozwoju regionalnego</w:t>
      </w:r>
      <w:r w:rsidRPr="0040535D">
        <w:rPr>
          <w:rFonts w:ascii="Times New Roman" w:hAnsi="Times New Roman"/>
          <w:sz w:val="24"/>
          <w:szCs w:val="24"/>
        </w:rPr>
        <w:t xml:space="preserve">, podobnie jak w perspektywie 2014-2020, zapewnia zgodność programów </w:t>
      </w:r>
      <w:r w:rsidR="002535AF" w:rsidRPr="0040535D">
        <w:rPr>
          <w:rFonts w:ascii="Times New Roman" w:hAnsi="Times New Roman"/>
          <w:sz w:val="24"/>
          <w:szCs w:val="24"/>
        </w:rPr>
        <w:t xml:space="preserve">i </w:t>
      </w:r>
      <w:r w:rsidRPr="0040535D">
        <w:rPr>
          <w:rFonts w:ascii="Times New Roman" w:hAnsi="Times New Roman"/>
          <w:sz w:val="24"/>
          <w:szCs w:val="24"/>
        </w:rPr>
        <w:t xml:space="preserve">ich zmian z </w:t>
      </w:r>
      <w:r w:rsidR="0039093B" w:rsidRPr="0040535D">
        <w:rPr>
          <w:rFonts w:ascii="Times New Roman" w:hAnsi="Times New Roman"/>
          <w:sz w:val="24"/>
          <w:szCs w:val="24"/>
        </w:rPr>
        <w:t>umową partnerstwa</w:t>
      </w:r>
      <w:r w:rsidRPr="0040535D">
        <w:rPr>
          <w:rFonts w:ascii="Times New Roman" w:hAnsi="Times New Roman"/>
          <w:sz w:val="24"/>
          <w:szCs w:val="24"/>
        </w:rPr>
        <w:t xml:space="preserve">, wydaje wytyczne dotyczące wdrażania funduszy strukturalnych, Funduszu na rzecz Sprawiedliwej Transformacji i Funduszu Spójności oraz monitoruje realizację programów. Minister </w:t>
      </w:r>
      <w:r w:rsidR="0039093B" w:rsidRPr="0040535D">
        <w:rPr>
          <w:rFonts w:ascii="Times New Roman" w:hAnsi="Times New Roman"/>
          <w:sz w:val="24"/>
          <w:szCs w:val="24"/>
        </w:rPr>
        <w:t xml:space="preserve">właściwy do spraw rozwoju regionalnego </w:t>
      </w:r>
      <w:r w:rsidRPr="0040535D">
        <w:rPr>
          <w:rFonts w:ascii="Times New Roman" w:hAnsi="Times New Roman"/>
          <w:sz w:val="24"/>
          <w:szCs w:val="24"/>
        </w:rPr>
        <w:t xml:space="preserve">pełniący funkcję </w:t>
      </w:r>
      <w:r w:rsidR="00A02E36" w:rsidRPr="0040535D">
        <w:rPr>
          <w:rFonts w:ascii="Times New Roman" w:hAnsi="Times New Roman"/>
          <w:sz w:val="24"/>
          <w:szCs w:val="24"/>
        </w:rPr>
        <w:t>p</w:t>
      </w:r>
      <w:r w:rsidRPr="0040535D">
        <w:rPr>
          <w:rFonts w:ascii="Times New Roman" w:hAnsi="Times New Roman"/>
          <w:sz w:val="24"/>
          <w:szCs w:val="24"/>
        </w:rPr>
        <w:t xml:space="preserve">aństwa </w:t>
      </w:r>
      <w:r w:rsidR="00A02E36" w:rsidRPr="0040535D">
        <w:rPr>
          <w:rFonts w:ascii="Times New Roman" w:hAnsi="Times New Roman"/>
          <w:sz w:val="24"/>
          <w:szCs w:val="24"/>
        </w:rPr>
        <w:t>c</w:t>
      </w:r>
      <w:r w:rsidRPr="0040535D">
        <w:rPr>
          <w:rFonts w:ascii="Times New Roman" w:hAnsi="Times New Roman"/>
          <w:sz w:val="24"/>
          <w:szCs w:val="24"/>
        </w:rPr>
        <w:t xml:space="preserve">złonkowskiego zapewnia sprawną realizację wszystkich programów. W tym celu ustanawia cele finansowe i rzeczowe dla programów oraz weryfikuje ich wykonanie. W razie potrzeby wydaje stosowne </w:t>
      </w:r>
      <w:r w:rsidR="006671B9">
        <w:rPr>
          <w:rFonts w:ascii="Times New Roman" w:hAnsi="Times New Roman"/>
          <w:sz w:val="24"/>
          <w:szCs w:val="24"/>
        </w:rPr>
        <w:t>wytyczne</w:t>
      </w:r>
      <w:r w:rsidR="002F2C43">
        <w:rPr>
          <w:rFonts w:ascii="Times New Roman" w:hAnsi="Times New Roman"/>
          <w:sz w:val="24"/>
          <w:szCs w:val="24"/>
        </w:rPr>
        <w:t xml:space="preserve"> </w:t>
      </w:r>
      <w:r w:rsidRPr="0040535D">
        <w:rPr>
          <w:rFonts w:ascii="Times New Roman" w:hAnsi="Times New Roman"/>
          <w:sz w:val="24"/>
          <w:szCs w:val="24"/>
        </w:rPr>
        <w:t>i może podejmować działania mające na celu zapewnienie sprawnej realizacji programów – np. wprowadzenie mechanizmów efektywnościowych, inicjowanie i wprowadzanie uproszczeń i zmian w prawie), bez uszczerbku dla kompetencji instytucji zarządzających, które odpowiadają za realizację programów.</w:t>
      </w:r>
    </w:p>
    <w:p w14:paraId="2A9567C3"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lastRenderedPageBreak/>
        <w:t xml:space="preserve">Ponadto minister </w:t>
      </w:r>
      <w:r w:rsidR="0039093B" w:rsidRPr="0040535D">
        <w:rPr>
          <w:rFonts w:ascii="Times New Roman" w:hAnsi="Times New Roman"/>
          <w:sz w:val="24"/>
          <w:szCs w:val="24"/>
        </w:rPr>
        <w:t>właściwy do spraw rozwoju regionalnego</w:t>
      </w:r>
      <w:r w:rsidR="00A02E36" w:rsidRPr="0040535D">
        <w:rPr>
          <w:rFonts w:ascii="Times New Roman" w:hAnsi="Times New Roman"/>
          <w:sz w:val="24"/>
          <w:szCs w:val="24"/>
        </w:rPr>
        <w:t xml:space="preserve"> reprezentuje </w:t>
      </w:r>
      <w:r w:rsidR="00374044" w:rsidRPr="0040535D">
        <w:rPr>
          <w:rFonts w:ascii="Times New Roman" w:hAnsi="Times New Roman"/>
          <w:sz w:val="24"/>
          <w:szCs w:val="24"/>
        </w:rPr>
        <w:t>Rzeczpospolitą</w:t>
      </w:r>
      <w:r w:rsidR="00A02E36" w:rsidRPr="0040535D">
        <w:rPr>
          <w:rFonts w:ascii="Times New Roman" w:hAnsi="Times New Roman"/>
          <w:sz w:val="24"/>
          <w:szCs w:val="24"/>
        </w:rPr>
        <w:t xml:space="preserve"> Polską w kontaktach z Komisją Europejską w zakresie związanym z realizacją programów,</w:t>
      </w:r>
      <w:r w:rsidR="0039093B" w:rsidRPr="0040535D">
        <w:rPr>
          <w:rFonts w:ascii="Times New Roman" w:hAnsi="Times New Roman"/>
          <w:sz w:val="24"/>
          <w:szCs w:val="24"/>
        </w:rPr>
        <w:t xml:space="preserve"> </w:t>
      </w:r>
      <w:r w:rsidRPr="0040535D">
        <w:rPr>
          <w:rFonts w:ascii="Times New Roman" w:hAnsi="Times New Roman"/>
          <w:sz w:val="24"/>
          <w:szCs w:val="24"/>
        </w:rPr>
        <w:t xml:space="preserve">uczestniczy w charakterze członka w komitetach monitorujących </w:t>
      </w:r>
      <w:r w:rsidR="0039093B" w:rsidRPr="0040535D">
        <w:rPr>
          <w:rFonts w:ascii="Times New Roman" w:hAnsi="Times New Roman"/>
          <w:sz w:val="24"/>
          <w:szCs w:val="24"/>
        </w:rPr>
        <w:t>regionaln</w:t>
      </w:r>
      <w:r w:rsidR="006406BB" w:rsidRPr="0040535D">
        <w:rPr>
          <w:rFonts w:ascii="Times New Roman" w:hAnsi="Times New Roman"/>
          <w:sz w:val="24"/>
          <w:szCs w:val="24"/>
        </w:rPr>
        <w:t>e</w:t>
      </w:r>
      <w:r w:rsidR="0039093B" w:rsidRPr="0040535D">
        <w:rPr>
          <w:rFonts w:ascii="Times New Roman" w:hAnsi="Times New Roman"/>
          <w:sz w:val="24"/>
          <w:szCs w:val="24"/>
        </w:rPr>
        <w:t xml:space="preserve"> program</w:t>
      </w:r>
      <w:r w:rsidR="006406BB" w:rsidRPr="0040535D">
        <w:rPr>
          <w:rFonts w:ascii="Times New Roman" w:hAnsi="Times New Roman"/>
          <w:sz w:val="24"/>
          <w:szCs w:val="24"/>
        </w:rPr>
        <w:t>y</w:t>
      </w:r>
      <w:r w:rsidR="0039093B" w:rsidRPr="0040535D">
        <w:rPr>
          <w:rFonts w:ascii="Times New Roman" w:hAnsi="Times New Roman"/>
          <w:sz w:val="24"/>
          <w:szCs w:val="24"/>
        </w:rPr>
        <w:t xml:space="preserve"> </w:t>
      </w:r>
      <w:r w:rsidR="00264167" w:rsidRPr="0040535D">
        <w:rPr>
          <w:rFonts w:ascii="Times New Roman" w:hAnsi="Times New Roman"/>
          <w:sz w:val="24"/>
          <w:szCs w:val="24"/>
        </w:rPr>
        <w:t xml:space="preserve"> </w:t>
      </w:r>
      <w:r w:rsidRPr="0040535D">
        <w:rPr>
          <w:rFonts w:ascii="Times New Roman" w:hAnsi="Times New Roman"/>
          <w:sz w:val="24"/>
          <w:szCs w:val="24"/>
        </w:rPr>
        <w:t>oraz zapewnia system informacji i promocji w zakresie programów, w tym prowadzeni</w:t>
      </w:r>
      <w:r w:rsidR="00983155" w:rsidRPr="0040535D">
        <w:rPr>
          <w:rFonts w:ascii="Times New Roman" w:hAnsi="Times New Roman"/>
          <w:sz w:val="24"/>
          <w:szCs w:val="24"/>
        </w:rPr>
        <w:t>e</w:t>
      </w:r>
      <w:r w:rsidRPr="0040535D">
        <w:rPr>
          <w:rFonts w:ascii="Times New Roman" w:hAnsi="Times New Roman"/>
          <w:sz w:val="24"/>
          <w:szCs w:val="24"/>
        </w:rPr>
        <w:t xml:space="preserve"> portalu, o którym mowa w art. </w:t>
      </w:r>
      <w:r w:rsidR="00E76C99" w:rsidRPr="0040535D">
        <w:rPr>
          <w:rFonts w:ascii="Times New Roman" w:hAnsi="Times New Roman"/>
          <w:sz w:val="24"/>
          <w:szCs w:val="24"/>
        </w:rPr>
        <w:t xml:space="preserve">46 </w:t>
      </w:r>
      <w:r w:rsidR="001F42E5" w:rsidRPr="0040535D">
        <w:rPr>
          <w:rFonts w:ascii="Times New Roman" w:hAnsi="Times New Roman"/>
          <w:sz w:val="24"/>
          <w:szCs w:val="24"/>
        </w:rPr>
        <w:t xml:space="preserve">rozporządzenia </w:t>
      </w:r>
      <w:r w:rsidRPr="0040535D">
        <w:rPr>
          <w:rFonts w:ascii="Times New Roman" w:hAnsi="Times New Roman"/>
          <w:sz w:val="24"/>
          <w:szCs w:val="24"/>
        </w:rPr>
        <w:t>ogólnego.</w:t>
      </w:r>
    </w:p>
    <w:p w14:paraId="40BA7211"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art. 5</w:t>
      </w:r>
      <w:r w:rsidRPr="0040535D">
        <w:rPr>
          <w:rFonts w:ascii="Times New Roman" w:hAnsi="Times New Roman"/>
          <w:sz w:val="24"/>
          <w:szCs w:val="24"/>
        </w:rPr>
        <w:t xml:space="preserve"> uregulowano jedno z narzędzi koordynacji realizacji programów, tj. kwestie związane z wydawaniem przez ministra właściwego do spraw rozwoju regionalnego wytycznych, których rolą jest zapewnienie jednolitych mechanizmów wdrażania funkcjonujących we wszystkich programach, zgodnych z prawem Unii Europejskiej oraz wymaganiami określanymi przez Komisję Europejską (np. w formie indykatywnych wytycznych). </w:t>
      </w:r>
      <w:r w:rsidR="007C2906" w:rsidRPr="007C2906">
        <w:rPr>
          <w:rFonts w:ascii="Times New Roman" w:hAnsi="Times New Roman"/>
          <w:sz w:val="24"/>
          <w:szCs w:val="24"/>
        </w:rPr>
        <w:t xml:space="preserve">W definicji wytycznych </w:t>
      </w:r>
      <w:r w:rsidR="007C2906">
        <w:rPr>
          <w:rFonts w:ascii="Times New Roman" w:hAnsi="Times New Roman"/>
          <w:sz w:val="24"/>
          <w:szCs w:val="24"/>
        </w:rPr>
        <w:t>w</w:t>
      </w:r>
      <w:r w:rsidRPr="0040535D">
        <w:rPr>
          <w:rFonts w:ascii="Times New Roman" w:hAnsi="Times New Roman"/>
          <w:sz w:val="24"/>
          <w:szCs w:val="24"/>
        </w:rPr>
        <w:t>yraźnie wskazano, że wytyczne kierowane są wyłącznie do instytucji uczestniczących w realizacji wszystkich programów lub wybranych programów. Z regulacji tej wynika, że wytyczne nie mogą stanowić samoistnej podstawy praw i obowiązków wnioskodawców ani beneficjentów. W art. 5 opisano również procedurę opiniowania projektu wytycznych i ich zmian.</w:t>
      </w:r>
    </w:p>
    <w:p w14:paraId="4BB6C1EE" w14:textId="77777777" w:rsidR="00555DC0" w:rsidRPr="0040535D" w:rsidRDefault="00555DC0" w:rsidP="009A0EE5">
      <w:pPr>
        <w:spacing w:after="0" w:line="360" w:lineRule="auto"/>
        <w:jc w:val="both"/>
        <w:rPr>
          <w:rFonts w:ascii="Times New Roman" w:hAnsi="Times New Roman"/>
          <w:sz w:val="24"/>
          <w:szCs w:val="24"/>
        </w:rPr>
      </w:pPr>
    </w:p>
    <w:p w14:paraId="3D3A9370" w14:textId="77777777" w:rsidR="00555DC0" w:rsidRPr="0040535D" w:rsidRDefault="00555DC0" w:rsidP="009A0EE5">
      <w:pPr>
        <w:spacing w:after="0" w:line="360" w:lineRule="auto"/>
        <w:jc w:val="both"/>
        <w:rPr>
          <w:rFonts w:ascii="Times New Roman" w:hAnsi="Times New Roman"/>
          <w:b/>
          <w:sz w:val="24"/>
          <w:szCs w:val="24"/>
        </w:rPr>
      </w:pPr>
      <w:r w:rsidRPr="0040535D">
        <w:rPr>
          <w:rFonts w:ascii="Times New Roman" w:hAnsi="Times New Roman"/>
          <w:b/>
          <w:sz w:val="24"/>
          <w:szCs w:val="24"/>
        </w:rPr>
        <w:t>Rozdział 3. System realizacji programu.</w:t>
      </w:r>
    </w:p>
    <w:p w14:paraId="0B371093" w14:textId="77777777" w:rsidR="00CF02DB"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Rozdziale 3 (art. 6 </w:t>
      </w:r>
      <w:r w:rsidR="005C5261" w:rsidRPr="0040535D">
        <w:rPr>
          <w:rFonts w:ascii="Times New Roman" w:hAnsi="Times New Roman"/>
          <w:sz w:val="24"/>
          <w:szCs w:val="24"/>
        </w:rPr>
        <w:t xml:space="preserve">i art. </w:t>
      </w:r>
      <w:r w:rsidRPr="0040535D">
        <w:rPr>
          <w:rFonts w:ascii="Times New Roman" w:hAnsi="Times New Roman"/>
          <w:sz w:val="24"/>
          <w:szCs w:val="24"/>
        </w:rPr>
        <w:t xml:space="preserve">7) zawarto postanowienia dotyczące systemu realizacji programu. </w:t>
      </w:r>
    </w:p>
    <w:p w14:paraId="5A83858F" w14:textId="77777777" w:rsidR="00CE70FF"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art. 6</w:t>
      </w:r>
      <w:r w:rsidRPr="0040535D">
        <w:rPr>
          <w:rFonts w:ascii="Times New Roman" w:hAnsi="Times New Roman"/>
          <w:sz w:val="24"/>
          <w:szCs w:val="24"/>
        </w:rPr>
        <w:t xml:space="preserve"> zawarto regulację definiującą system realizacji programu, tj. wskazano, że system realizacji programu zawiera warunki i procedury obowiązujące instytucje uczestniczące w realizacji programów, obejmujące w szczególności zarządzanie, monitorowanie, ewaluację, kontrolę i sprawozdawczość </w:t>
      </w:r>
      <w:r w:rsidR="00446600" w:rsidRPr="0040535D">
        <w:rPr>
          <w:rFonts w:ascii="Times New Roman" w:hAnsi="Times New Roman"/>
          <w:sz w:val="24"/>
          <w:szCs w:val="24"/>
        </w:rPr>
        <w:t xml:space="preserve">nakładanie korekt finansowych, odzyskiwanie kwot podlegających zwrotowi </w:t>
      </w:r>
      <w:r w:rsidRPr="0040535D">
        <w:rPr>
          <w:rFonts w:ascii="Times New Roman" w:hAnsi="Times New Roman"/>
          <w:sz w:val="24"/>
          <w:szCs w:val="24"/>
        </w:rPr>
        <w:t>oraz sposób koordynacji działań tych instytucji</w:t>
      </w:r>
      <w:r w:rsidR="00DB2CF8" w:rsidRPr="0040535D">
        <w:rPr>
          <w:rFonts w:ascii="Times New Roman" w:hAnsi="Times New Roman"/>
          <w:sz w:val="24"/>
          <w:szCs w:val="24"/>
        </w:rPr>
        <w:t xml:space="preserve">. </w:t>
      </w:r>
      <w:r w:rsidRPr="0040535D">
        <w:rPr>
          <w:rFonts w:ascii="Times New Roman" w:hAnsi="Times New Roman"/>
          <w:sz w:val="24"/>
          <w:szCs w:val="24"/>
        </w:rPr>
        <w:t xml:space="preserve"> </w:t>
      </w:r>
      <w:r w:rsidR="00DB2CF8" w:rsidRPr="0040535D">
        <w:rPr>
          <w:rFonts w:ascii="Times New Roman" w:hAnsi="Times New Roman"/>
          <w:sz w:val="24"/>
          <w:szCs w:val="24"/>
        </w:rPr>
        <w:t>U</w:t>
      </w:r>
      <w:r w:rsidRPr="0040535D">
        <w:rPr>
          <w:rFonts w:ascii="Times New Roman" w:hAnsi="Times New Roman"/>
          <w:sz w:val="24"/>
          <w:szCs w:val="24"/>
        </w:rPr>
        <w:t xml:space="preserve">życie </w:t>
      </w:r>
      <w:r w:rsidR="00DB2CF8" w:rsidRPr="0040535D">
        <w:rPr>
          <w:rFonts w:ascii="Times New Roman" w:hAnsi="Times New Roman"/>
          <w:sz w:val="24"/>
          <w:szCs w:val="24"/>
        </w:rPr>
        <w:t xml:space="preserve">w przepisie </w:t>
      </w:r>
      <w:r w:rsidRPr="0040535D">
        <w:rPr>
          <w:rFonts w:ascii="Times New Roman" w:hAnsi="Times New Roman"/>
          <w:sz w:val="24"/>
          <w:szCs w:val="24"/>
        </w:rPr>
        <w:t>pojęcia „w szczególności” oznacza</w:t>
      </w:r>
      <w:r w:rsidR="008D5EAE" w:rsidRPr="0040535D">
        <w:rPr>
          <w:rFonts w:ascii="Times New Roman" w:hAnsi="Times New Roman"/>
          <w:sz w:val="24"/>
          <w:szCs w:val="24"/>
        </w:rPr>
        <w:t>,</w:t>
      </w:r>
      <w:r w:rsidRPr="0040535D">
        <w:rPr>
          <w:rFonts w:ascii="Times New Roman" w:hAnsi="Times New Roman"/>
          <w:sz w:val="24"/>
          <w:szCs w:val="24"/>
        </w:rPr>
        <w:t xml:space="preserve"> że </w:t>
      </w:r>
      <w:r w:rsidR="00DB2CF8" w:rsidRPr="0040535D">
        <w:rPr>
          <w:rFonts w:ascii="Times New Roman" w:hAnsi="Times New Roman"/>
          <w:sz w:val="24"/>
          <w:szCs w:val="24"/>
        </w:rPr>
        <w:t>zdecydowano się na przytoczenie w ustawie jedynie najistotniejszych kwestii opisanych w systemie realizacji</w:t>
      </w:r>
      <w:r w:rsidR="008D5EAE" w:rsidRPr="0040535D">
        <w:rPr>
          <w:rFonts w:ascii="Times New Roman" w:hAnsi="Times New Roman"/>
          <w:sz w:val="24"/>
          <w:szCs w:val="24"/>
        </w:rPr>
        <w:t>.  S</w:t>
      </w:r>
      <w:r w:rsidRPr="0040535D">
        <w:rPr>
          <w:rFonts w:ascii="Times New Roman" w:hAnsi="Times New Roman"/>
          <w:sz w:val="24"/>
          <w:szCs w:val="24"/>
        </w:rPr>
        <w:t xml:space="preserve">ystem realizacji może </w:t>
      </w:r>
      <w:r w:rsidR="00DB2CF8" w:rsidRPr="0040535D">
        <w:rPr>
          <w:rFonts w:ascii="Times New Roman" w:hAnsi="Times New Roman"/>
          <w:sz w:val="24"/>
          <w:szCs w:val="24"/>
        </w:rPr>
        <w:t xml:space="preserve">zatem </w:t>
      </w:r>
      <w:r w:rsidRPr="0040535D">
        <w:rPr>
          <w:rFonts w:ascii="Times New Roman" w:hAnsi="Times New Roman"/>
          <w:sz w:val="24"/>
          <w:szCs w:val="24"/>
        </w:rPr>
        <w:t>dotyczyć również innych zagadnień (np. kwesti</w:t>
      </w:r>
      <w:r w:rsidR="00804AE4">
        <w:rPr>
          <w:rFonts w:ascii="Times New Roman" w:hAnsi="Times New Roman"/>
          <w:sz w:val="24"/>
          <w:szCs w:val="24"/>
        </w:rPr>
        <w:t>i</w:t>
      </w:r>
      <w:r w:rsidRPr="0040535D">
        <w:rPr>
          <w:rFonts w:ascii="Times New Roman" w:hAnsi="Times New Roman"/>
          <w:sz w:val="24"/>
          <w:szCs w:val="24"/>
        </w:rPr>
        <w:t xml:space="preserve"> nieprawidłowości, informacji i promocji itd.). Pojęcie systemu realizacji programu wprowadza się w celu objęcia jednym terminem oraz usankcjonowania w akcie prawa powszechnie obowiązującego dokumentów, które są </w:t>
      </w:r>
      <w:r w:rsidR="005C5261" w:rsidRPr="0040535D">
        <w:rPr>
          <w:rFonts w:ascii="Times New Roman" w:hAnsi="Times New Roman"/>
          <w:sz w:val="24"/>
          <w:szCs w:val="24"/>
        </w:rPr>
        <w:t xml:space="preserve">opracowywane </w:t>
      </w:r>
      <w:r w:rsidRPr="0040535D">
        <w:rPr>
          <w:rFonts w:ascii="Times New Roman" w:hAnsi="Times New Roman"/>
          <w:sz w:val="24"/>
          <w:szCs w:val="24"/>
        </w:rPr>
        <w:t xml:space="preserve">przez właściwe podmioty zaangażowane w proces realizacji programów. </w:t>
      </w:r>
    </w:p>
    <w:p w14:paraId="02A79499"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projekcie ustawy wskazano również, że podstawę systemu realizacji programu mogą stanowić w szczególności przepisy prawa powszechnie obowiązującego, wytyczne, szczegółowy opis priorytetów programu, opis systemu zarządzania i kontroli, który zawiera opis funkcji i procedur obowiązujących w instytucji, o którym mowa w art. </w:t>
      </w:r>
      <w:r w:rsidR="004C4C81" w:rsidRPr="0040535D">
        <w:rPr>
          <w:rFonts w:ascii="Times New Roman" w:hAnsi="Times New Roman"/>
          <w:sz w:val="24"/>
          <w:szCs w:val="24"/>
        </w:rPr>
        <w:t xml:space="preserve">72 </w:t>
      </w:r>
      <w:r w:rsidRPr="0040535D">
        <w:rPr>
          <w:rFonts w:ascii="Times New Roman" w:hAnsi="Times New Roman"/>
          <w:sz w:val="24"/>
          <w:szCs w:val="24"/>
        </w:rPr>
        <w:t xml:space="preserve">rozporządzenia </w:t>
      </w:r>
      <w:r w:rsidRPr="0040535D">
        <w:rPr>
          <w:rFonts w:ascii="Times New Roman" w:hAnsi="Times New Roman"/>
          <w:sz w:val="24"/>
          <w:szCs w:val="24"/>
        </w:rPr>
        <w:lastRenderedPageBreak/>
        <w:t>ogólnego</w:t>
      </w:r>
      <w:r w:rsidR="00CE70FF" w:rsidRPr="0040535D">
        <w:rPr>
          <w:rFonts w:ascii="Times New Roman" w:hAnsi="Times New Roman"/>
          <w:sz w:val="24"/>
          <w:szCs w:val="24"/>
        </w:rPr>
        <w:t>,</w:t>
      </w:r>
      <w:r w:rsidRPr="0040535D">
        <w:rPr>
          <w:rFonts w:ascii="Times New Roman" w:hAnsi="Times New Roman"/>
          <w:sz w:val="24"/>
          <w:szCs w:val="24"/>
        </w:rPr>
        <w:t xml:space="preserve"> oraz instrukcje wykonawcze zawierające procedury działania właściwych instytucji. Jednocześnie należy mieć na względzie, że zasady realizacji programów określone będą </w:t>
      </w:r>
      <w:r w:rsidR="005C5261" w:rsidRPr="0040535D">
        <w:rPr>
          <w:rFonts w:ascii="Times New Roman" w:hAnsi="Times New Roman"/>
          <w:sz w:val="24"/>
          <w:szCs w:val="24"/>
        </w:rPr>
        <w:t xml:space="preserve">wyłącznie </w:t>
      </w:r>
      <w:r w:rsidRPr="0040535D">
        <w:rPr>
          <w:rFonts w:ascii="Times New Roman" w:hAnsi="Times New Roman"/>
          <w:sz w:val="24"/>
          <w:szCs w:val="24"/>
        </w:rPr>
        <w:t xml:space="preserve">w tych elementach systemu realizacji, które będą </w:t>
      </w:r>
      <w:r w:rsidR="005C5261" w:rsidRPr="0040535D">
        <w:rPr>
          <w:rFonts w:ascii="Times New Roman" w:hAnsi="Times New Roman"/>
          <w:sz w:val="24"/>
          <w:szCs w:val="24"/>
        </w:rPr>
        <w:t xml:space="preserve">określone </w:t>
      </w:r>
      <w:r w:rsidRPr="0040535D">
        <w:rPr>
          <w:rFonts w:ascii="Times New Roman" w:hAnsi="Times New Roman"/>
          <w:sz w:val="24"/>
          <w:szCs w:val="24"/>
        </w:rPr>
        <w:t>w przepisach prawa powszechnie obowiązującego, natomiast elementy systemu realizacji niemające normatywnego charakteru będą określać kierunki realizacji tych zasad. System realizacji programu nie będzie samoistną podstawą praw i obowiązków beneficjentów funduszy UE ani nie będzie tworzył zasad wdrażania programów, z wyjątkiem tych elementów, które ujęte będą w aktach prawa powszechnie obowiązującego lub – w przypadku praw i obowiązków beneficjentów – w umowach o dofinansowanie projektu albo decyzjach o dofinansowaniu projektu.</w:t>
      </w:r>
    </w:p>
    <w:p w14:paraId="71FC564B"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art. 7</w:t>
      </w:r>
      <w:r w:rsidRPr="0040535D">
        <w:rPr>
          <w:rFonts w:ascii="Times New Roman" w:hAnsi="Times New Roman"/>
          <w:sz w:val="24"/>
          <w:szCs w:val="24"/>
        </w:rPr>
        <w:t xml:space="preserve"> określono obowiązki instytucji zarządzającej w zakresie ogłaszania treści szczegółowego opisu priorytetów programu oraz terminu od którego ww. dokument lub jego zmiany są stosowane.</w:t>
      </w:r>
    </w:p>
    <w:p w14:paraId="78877B99" w14:textId="77777777" w:rsidR="000734EA" w:rsidRPr="0040535D" w:rsidRDefault="000734EA" w:rsidP="009A0EE5">
      <w:pPr>
        <w:spacing w:after="0" w:line="360" w:lineRule="auto"/>
        <w:jc w:val="both"/>
        <w:rPr>
          <w:rFonts w:ascii="Times New Roman" w:hAnsi="Times New Roman"/>
          <w:b/>
          <w:sz w:val="24"/>
          <w:szCs w:val="24"/>
        </w:rPr>
      </w:pPr>
    </w:p>
    <w:p w14:paraId="009D9333" w14:textId="77777777" w:rsidR="00555DC0" w:rsidRPr="0040535D" w:rsidRDefault="00555DC0" w:rsidP="009A0EE5">
      <w:pPr>
        <w:spacing w:after="0" w:line="360" w:lineRule="auto"/>
        <w:jc w:val="both"/>
        <w:rPr>
          <w:rFonts w:ascii="Times New Roman" w:hAnsi="Times New Roman"/>
          <w:b/>
          <w:sz w:val="24"/>
          <w:szCs w:val="24"/>
        </w:rPr>
      </w:pPr>
      <w:r w:rsidRPr="0040535D">
        <w:rPr>
          <w:rFonts w:ascii="Times New Roman" w:hAnsi="Times New Roman"/>
          <w:b/>
          <w:sz w:val="24"/>
          <w:szCs w:val="24"/>
        </w:rPr>
        <w:t>Rozdział 4. System instytucjonalny.</w:t>
      </w:r>
    </w:p>
    <w:p w14:paraId="3824AD52" w14:textId="77777777" w:rsidR="00CF02DB"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Rozdziale 4 (art. 8 – </w:t>
      </w:r>
      <w:r w:rsidR="0096250E" w:rsidRPr="0040535D">
        <w:rPr>
          <w:rFonts w:ascii="Times New Roman" w:hAnsi="Times New Roman"/>
          <w:sz w:val="24"/>
          <w:szCs w:val="24"/>
        </w:rPr>
        <w:t xml:space="preserve">art. </w:t>
      </w:r>
      <w:r w:rsidRPr="0040535D">
        <w:rPr>
          <w:rFonts w:ascii="Times New Roman" w:hAnsi="Times New Roman"/>
          <w:sz w:val="24"/>
          <w:szCs w:val="24"/>
        </w:rPr>
        <w:t>1</w:t>
      </w:r>
      <w:r w:rsidR="00D85BBA" w:rsidRPr="0040535D">
        <w:rPr>
          <w:rFonts w:ascii="Times New Roman" w:hAnsi="Times New Roman"/>
          <w:sz w:val="24"/>
          <w:szCs w:val="24"/>
        </w:rPr>
        <w:t>4</w:t>
      </w:r>
      <w:r w:rsidRPr="0040535D">
        <w:rPr>
          <w:rFonts w:ascii="Times New Roman" w:hAnsi="Times New Roman"/>
          <w:sz w:val="24"/>
          <w:szCs w:val="24"/>
        </w:rPr>
        <w:t xml:space="preserve">) określono instytucjonalny system wdrażania programów. </w:t>
      </w:r>
    </w:p>
    <w:p w14:paraId="7219F98E"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art. 8</w:t>
      </w:r>
      <w:r w:rsidRPr="0040535D">
        <w:rPr>
          <w:rFonts w:ascii="Times New Roman" w:hAnsi="Times New Roman"/>
          <w:sz w:val="24"/>
          <w:szCs w:val="24"/>
        </w:rPr>
        <w:t xml:space="preserve"> ust. 1 wskazano, kto pełni funkcję instytucji zarządzającej w przypadku krajowego programu, programu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oraz regionalnego programu.</w:t>
      </w:r>
    </w:p>
    <w:p w14:paraId="6987AEED"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art. 8 ust. 2 opisano część zadań, za realizację których odpowiada instytucja zarządzająca. </w:t>
      </w:r>
      <w:r w:rsidR="00B56BA7" w:rsidRPr="0040535D">
        <w:rPr>
          <w:rFonts w:ascii="Times New Roman" w:hAnsi="Times New Roman"/>
          <w:sz w:val="24"/>
          <w:szCs w:val="24"/>
        </w:rPr>
        <w:t>Należą do</w:t>
      </w:r>
      <w:r w:rsidRPr="0040535D">
        <w:rPr>
          <w:rFonts w:ascii="Times New Roman" w:hAnsi="Times New Roman"/>
          <w:sz w:val="24"/>
          <w:szCs w:val="24"/>
        </w:rPr>
        <w:t xml:space="preserve"> </w:t>
      </w:r>
      <w:r w:rsidR="001C2262" w:rsidRPr="0040535D">
        <w:rPr>
          <w:rFonts w:ascii="Times New Roman" w:hAnsi="Times New Roman"/>
          <w:sz w:val="24"/>
          <w:szCs w:val="24"/>
        </w:rPr>
        <w:t xml:space="preserve">nich </w:t>
      </w:r>
      <w:r w:rsidRPr="0040535D">
        <w:rPr>
          <w:rFonts w:ascii="Times New Roman" w:hAnsi="Times New Roman"/>
          <w:sz w:val="24"/>
          <w:szCs w:val="24"/>
        </w:rPr>
        <w:t>m.in. nakładanie korekt, oraz odzyskiwanie kwot podlegających zwrotowi, w tym:</w:t>
      </w:r>
    </w:p>
    <w:p w14:paraId="154E9B22" w14:textId="77777777" w:rsidR="00555DC0" w:rsidRPr="0040535D" w:rsidRDefault="00555DC0" w:rsidP="009A0EE5">
      <w:pPr>
        <w:numPr>
          <w:ilvl w:val="0"/>
          <w:numId w:val="5"/>
        </w:numPr>
        <w:spacing w:after="0" w:line="360" w:lineRule="auto"/>
        <w:jc w:val="both"/>
        <w:rPr>
          <w:rFonts w:ascii="Times New Roman" w:hAnsi="Times New Roman"/>
          <w:sz w:val="24"/>
          <w:szCs w:val="24"/>
        </w:rPr>
      </w:pPr>
      <w:r w:rsidRPr="0040535D">
        <w:rPr>
          <w:rFonts w:ascii="Times New Roman" w:hAnsi="Times New Roman"/>
          <w:sz w:val="24"/>
          <w:szCs w:val="24"/>
        </w:rPr>
        <w:t xml:space="preserve">wydawanie decyzji o zwrocie środków przeznaczonych na realizację programów, projektów lub zadań oraz decyzji o zapłacie odsetek, o których mowa odpowiednio w przepisach art. 207 ust. 9 i art. 189 ust. 3b </w:t>
      </w:r>
      <w:proofErr w:type="spellStart"/>
      <w:r w:rsidR="00DD083B" w:rsidRPr="0040535D">
        <w:rPr>
          <w:rFonts w:ascii="Times New Roman" w:hAnsi="Times New Roman"/>
          <w:sz w:val="24"/>
          <w:szCs w:val="24"/>
        </w:rPr>
        <w:t>ufp</w:t>
      </w:r>
      <w:proofErr w:type="spellEnd"/>
      <w:r w:rsidRPr="0040535D">
        <w:rPr>
          <w:rFonts w:ascii="Times New Roman" w:hAnsi="Times New Roman"/>
          <w:sz w:val="24"/>
          <w:szCs w:val="24"/>
        </w:rPr>
        <w:t xml:space="preserve"> – w tym również wydawanie decyzji w przypadku złożenia wniosku o ponowne rozpatrzenie sprawy w powyższym zakresie,</w:t>
      </w:r>
    </w:p>
    <w:p w14:paraId="03A22373" w14:textId="77777777" w:rsidR="00555DC0" w:rsidRPr="0040535D" w:rsidRDefault="00244250" w:rsidP="00244250">
      <w:pPr>
        <w:numPr>
          <w:ilvl w:val="0"/>
          <w:numId w:val="5"/>
        </w:numPr>
        <w:spacing w:after="0" w:line="360" w:lineRule="auto"/>
        <w:jc w:val="both"/>
        <w:rPr>
          <w:rFonts w:ascii="Times New Roman" w:hAnsi="Times New Roman"/>
          <w:sz w:val="24"/>
          <w:szCs w:val="24"/>
        </w:rPr>
      </w:pPr>
      <w:r w:rsidRPr="0040535D">
        <w:rPr>
          <w:rFonts w:ascii="Times New Roman" w:hAnsi="Times New Roman"/>
          <w:sz w:val="24"/>
          <w:szCs w:val="24"/>
        </w:rPr>
        <w:t>wydawanie decyzji o umorzeniu w całości albo w części oraz o odroczeniu albo rozłożeniu na raty spłaty należności wynikających z obowiązku zwrotu środków przeznaczonych na realizację programów, projektów lub zadań, o których mowa w art. 61 ustawy z dnia 27 sierpnia 2009 r. o finansach publicznych,</w:t>
      </w:r>
    </w:p>
    <w:p w14:paraId="7E3699D0" w14:textId="77777777" w:rsidR="00555DC0" w:rsidRPr="0040535D" w:rsidRDefault="00555DC0" w:rsidP="009A0EE5">
      <w:pPr>
        <w:numPr>
          <w:ilvl w:val="0"/>
          <w:numId w:val="5"/>
        </w:numPr>
        <w:spacing w:after="0" w:line="360" w:lineRule="auto"/>
        <w:jc w:val="both"/>
        <w:rPr>
          <w:rFonts w:ascii="Times New Roman" w:hAnsi="Times New Roman"/>
          <w:sz w:val="24"/>
          <w:szCs w:val="24"/>
        </w:rPr>
      </w:pPr>
      <w:r w:rsidRPr="0040535D">
        <w:rPr>
          <w:rFonts w:ascii="Times New Roman" w:hAnsi="Times New Roman"/>
          <w:sz w:val="24"/>
          <w:szCs w:val="24"/>
        </w:rPr>
        <w:t xml:space="preserve">rozpatrywanie </w:t>
      </w:r>
      <w:proofErr w:type="spellStart"/>
      <w:r w:rsidRPr="0040535D">
        <w:rPr>
          <w:rFonts w:ascii="Times New Roman" w:hAnsi="Times New Roman"/>
          <w:sz w:val="24"/>
          <w:szCs w:val="24"/>
        </w:rPr>
        <w:t>odwołań</w:t>
      </w:r>
      <w:proofErr w:type="spellEnd"/>
      <w:r w:rsidRPr="0040535D">
        <w:rPr>
          <w:rFonts w:ascii="Times New Roman" w:hAnsi="Times New Roman"/>
          <w:sz w:val="24"/>
          <w:szCs w:val="24"/>
        </w:rPr>
        <w:t xml:space="preserve"> od decyzji, o których mowa w lit. a i b, wydawanych w pierwszej instancji przez instytucję pośredniczącą albo instytucję wdrażającą.</w:t>
      </w:r>
    </w:p>
    <w:p w14:paraId="0FB7B2C2"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002C75D5" w:rsidRPr="0040535D">
        <w:rPr>
          <w:rFonts w:ascii="Times New Roman" w:hAnsi="Times New Roman"/>
          <w:sz w:val="24"/>
          <w:szCs w:val="24"/>
        </w:rPr>
        <w:t>omawianym przepisie</w:t>
      </w:r>
      <w:r w:rsidRPr="0040535D">
        <w:rPr>
          <w:rFonts w:ascii="Times New Roman" w:hAnsi="Times New Roman"/>
          <w:sz w:val="24"/>
          <w:szCs w:val="24"/>
        </w:rPr>
        <w:t xml:space="preserve"> do zadań instytucji zarządzającej </w:t>
      </w:r>
      <w:r w:rsidR="00552F04" w:rsidRPr="0040535D">
        <w:rPr>
          <w:rFonts w:ascii="Times New Roman" w:hAnsi="Times New Roman"/>
          <w:sz w:val="24"/>
          <w:szCs w:val="24"/>
        </w:rPr>
        <w:t>regionalnym programem</w:t>
      </w:r>
      <w:r w:rsidRPr="0040535D">
        <w:rPr>
          <w:rFonts w:ascii="Times New Roman" w:hAnsi="Times New Roman"/>
          <w:sz w:val="24"/>
          <w:szCs w:val="24"/>
        </w:rPr>
        <w:t xml:space="preserve"> zostało dodatkow</w:t>
      </w:r>
      <w:r w:rsidR="00A01290" w:rsidRPr="0040535D">
        <w:rPr>
          <w:rFonts w:ascii="Times New Roman" w:hAnsi="Times New Roman"/>
          <w:sz w:val="24"/>
          <w:szCs w:val="24"/>
        </w:rPr>
        <w:t>o</w:t>
      </w:r>
      <w:r w:rsidRPr="0040535D">
        <w:rPr>
          <w:rFonts w:ascii="Times New Roman" w:hAnsi="Times New Roman"/>
          <w:sz w:val="24"/>
          <w:szCs w:val="24"/>
        </w:rPr>
        <w:t xml:space="preserve"> przypisane zadanie polegające na zapewnieniu środków stanowiących równowartość dofinansowania w przypadku nałożenia korekt finansowych będących efektem </w:t>
      </w:r>
      <w:r w:rsidRPr="0040535D">
        <w:rPr>
          <w:rFonts w:ascii="Times New Roman" w:hAnsi="Times New Roman"/>
          <w:sz w:val="24"/>
          <w:szCs w:val="24"/>
        </w:rPr>
        <w:lastRenderedPageBreak/>
        <w:t>działań lub zaniechań instytucji zarządzającej, instytucji pośredniczącej lub instytucji wdrażającej. Przepis nie będzie miał zastosowania w sytuacji, gdy wspomniane okoliczności wystąpiły na skutek działania lub zaniechania organów państwa. Brak przedmiotowej regulacji oznaczałby konieczność nieuzasadnionego pokrywania kosztów działań lub zaniechań instytucji regionalnych ze środków budżetu państwa lub budżetu środków europejskich.</w:t>
      </w:r>
    </w:p>
    <w:p w14:paraId="15516910"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W ślad za rozwiązaniami prawa unijnego w tym zakresie przyjęto, że pełną odpowiedzialność za prawidłowość realizacji programu ponosi instytucja zarządzająca (</w:t>
      </w:r>
      <w:r w:rsidRPr="0040535D">
        <w:rPr>
          <w:rFonts w:ascii="Times New Roman" w:hAnsi="Times New Roman"/>
          <w:b/>
          <w:sz w:val="24"/>
          <w:szCs w:val="24"/>
        </w:rPr>
        <w:t>art. 9</w:t>
      </w:r>
      <w:r w:rsidRPr="0040535D">
        <w:rPr>
          <w:rFonts w:ascii="Times New Roman" w:hAnsi="Times New Roman"/>
          <w:sz w:val="24"/>
          <w:szCs w:val="24"/>
        </w:rPr>
        <w:t xml:space="preserve"> ust. 8). Zgodnie z treścią art. 9 ust. 1, instytucja zarządzająca krajowym </w:t>
      </w:r>
      <w:r w:rsidR="007C2906" w:rsidRPr="007C2906">
        <w:rPr>
          <w:rFonts w:ascii="Times New Roman" w:hAnsi="Times New Roman"/>
          <w:sz w:val="24"/>
          <w:szCs w:val="24"/>
        </w:rPr>
        <w:t xml:space="preserve">programem </w:t>
      </w:r>
      <w:r w:rsidRPr="0040535D">
        <w:rPr>
          <w:rFonts w:ascii="Times New Roman" w:hAnsi="Times New Roman"/>
          <w:sz w:val="24"/>
          <w:szCs w:val="24"/>
        </w:rPr>
        <w:t>albo regionalnym programem może powierzyć realizację części zadań instytucji pośredniczącej.</w:t>
      </w:r>
    </w:p>
    <w:p w14:paraId="6F384135"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Instytucja pośrednicząca może, za zgodą instytucji zarządzającej, powierzyć realizację wybranych zadań związanych z wdrażaniem programów instytucji wdrażającej (art. 9 ust. 2). Jednocześnie, powierzenie instytucji wdrażającej części zadań, nie zwalnia instytucji pośredniczącej z odpowiedzialności za ich realizację (art. 9 ust. 4).</w:t>
      </w:r>
    </w:p>
    <w:p w14:paraId="5C2A8982"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W zależności od charakteru instytucji pośredniczącej/wdrażającej powierzenie kompetencji będzie się odbywać w drodze porozumienia administracyjnego (jednostka z sektora finansów publicznych) albo umowy (jednostka spoza sektora finansów publicznych).</w:t>
      </w:r>
    </w:p>
    <w:p w14:paraId="66EA38C9"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art. 9 ust. 5 wskazano również, że instytucja zarządzająca lub, za jej zgodą, instytucja pośrednicząca lub instytucja wdrażająca może nabywać usługi związane z realizacją swoich zadań od innych podmiotów, przy czym pod pojęciem „swoje zadania” należy rozumieć zadania powierzone odpowiednio przez instytucję zarządzająca lub </w:t>
      </w:r>
      <w:r w:rsidR="007C2906" w:rsidRPr="007C2906">
        <w:rPr>
          <w:rFonts w:ascii="Times New Roman" w:hAnsi="Times New Roman"/>
          <w:sz w:val="24"/>
          <w:szCs w:val="24"/>
        </w:rPr>
        <w:t xml:space="preserve">instytucję </w:t>
      </w:r>
      <w:r w:rsidRPr="0040535D">
        <w:rPr>
          <w:rFonts w:ascii="Times New Roman" w:hAnsi="Times New Roman"/>
          <w:sz w:val="24"/>
          <w:szCs w:val="24"/>
        </w:rPr>
        <w:t>pośredniczącą na podstawie porozumienia albo umowy. Jednocześnie fakt zlecenia usługi nie wyłączą odpowiedzialności instytucji zlecającej za jej prawidłową realizację (ust. 6). Instytucja zarządzająca nie może zlecać usług polegających na prowadzeniu kontroli systemowych. Instytucja zarządzająca nie może dodatkowo powierzyć zadań związanych z tworzeniem i przesyłaniem do KE wniosków o płatność okresową oraz rocznych zestawień wydatków, czyli pełnieniem tzw. funkcji księgowej, ani zlecać usług polegających na realizacji tych zadań (ust. 7).</w:t>
      </w:r>
    </w:p>
    <w:p w14:paraId="42915AD3"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Zgodnie z </w:t>
      </w:r>
      <w:r w:rsidRPr="0040535D">
        <w:rPr>
          <w:rFonts w:ascii="Times New Roman" w:hAnsi="Times New Roman"/>
          <w:b/>
          <w:sz w:val="24"/>
          <w:szCs w:val="24"/>
        </w:rPr>
        <w:t>art. 10</w:t>
      </w:r>
      <w:r w:rsidRPr="0040535D">
        <w:rPr>
          <w:rFonts w:ascii="Times New Roman" w:hAnsi="Times New Roman"/>
          <w:sz w:val="24"/>
          <w:szCs w:val="24"/>
        </w:rPr>
        <w:t xml:space="preserve"> instytucja zarządzająca programem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może powierzyć, w drodze porozumienia albo umowy, zadania związane z realizacją programu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wspólnemu sekretariatowi lub instytucji pośredniczącej</w:t>
      </w:r>
      <w:r w:rsidR="007C2906" w:rsidRPr="007C2906">
        <w:t xml:space="preserve"> </w:t>
      </w:r>
      <w:r w:rsidR="007C2906" w:rsidRPr="007C2906">
        <w:rPr>
          <w:rFonts w:ascii="Times New Roman" w:hAnsi="Times New Roman"/>
          <w:sz w:val="24"/>
          <w:szCs w:val="24"/>
        </w:rPr>
        <w:t xml:space="preserve">, o której mowa w art. 45 ust. 5 rozporządzenia </w:t>
      </w:r>
      <w:proofErr w:type="spellStart"/>
      <w:r w:rsidR="007C2906" w:rsidRPr="007C2906">
        <w:rPr>
          <w:rFonts w:ascii="Times New Roman" w:hAnsi="Times New Roman"/>
          <w:sz w:val="24"/>
          <w:szCs w:val="24"/>
        </w:rPr>
        <w:t>Interreg</w:t>
      </w:r>
      <w:proofErr w:type="spellEnd"/>
      <w:r w:rsidR="007C2906" w:rsidRPr="007C2906">
        <w:rPr>
          <w:rFonts w:ascii="Times New Roman" w:hAnsi="Times New Roman"/>
          <w:sz w:val="24"/>
          <w:szCs w:val="24"/>
        </w:rPr>
        <w:t xml:space="preserve">, zwanej dalej "instytucją pośredniczącą </w:t>
      </w:r>
      <w:proofErr w:type="spellStart"/>
      <w:r w:rsidR="007C2906" w:rsidRPr="007C2906">
        <w:rPr>
          <w:rFonts w:ascii="Times New Roman" w:hAnsi="Times New Roman"/>
          <w:sz w:val="24"/>
          <w:szCs w:val="24"/>
        </w:rPr>
        <w:t>Interreg</w:t>
      </w:r>
      <w:proofErr w:type="spellEnd"/>
      <w:r w:rsidR="007C2906" w:rsidRPr="007C2906">
        <w:rPr>
          <w:rFonts w:ascii="Times New Roman" w:hAnsi="Times New Roman"/>
          <w:sz w:val="24"/>
          <w:szCs w:val="24"/>
        </w:rPr>
        <w:t>”</w:t>
      </w:r>
      <w:r w:rsidR="007C2906">
        <w:rPr>
          <w:rFonts w:ascii="Times New Roman" w:hAnsi="Times New Roman"/>
          <w:sz w:val="24"/>
          <w:szCs w:val="24"/>
        </w:rPr>
        <w:t>.</w:t>
      </w:r>
    </w:p>
    <w:p w14:paraId="5D562864"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art. 11</w:t>
      </w:r>
      <w:r w:rsidRPr="0040535D">
        <w:rPr>
          <w:rFonts w:ascii="Times New Roman" w:hAnsi="Times New Roman"/>
          <w:sz w:val="24"/>
          <w:szCs w:val="24"/>
        </w:rPr>
        <w:t xml:space="preserve"> wprowadzona została regulacja dotycząca odpowiedzialności instytucji pośredniczącej i </w:t>
      </w:r>
      <w:r w:rsidR="007C2906">
        <w:rPr>
          <w:rFonts w:ascii="Times New Roman" w:hAnsi="Times New Roman"/>
          <w:sz w:val="24"/>
          <w:szCs w:val="24"/>
        </w:rPr>
        <w:t xml:space="preserve">instytucji </w:t>
      </w:r>
      <w:r w:rsidRPr="0040535D">
        <w:rPr>
          <w:rFonts w:ascii="Times New Roman" w:hAnsi="Times New Roman"/>
          <w:sz w:val="24"/>
          <w:szCs w:val="24"/>
        </w:rPr>
        <w:t>wdrażającej</w:t>
      </w:r>
      <w:r w:rsidR="007C2906">
        <w:rPr>
          <w:rFonts w:ascii="Times New Roman" w:hAnsi="Times New Roman"/>
          <w:sz w:val="24"/>
          <w:szCs w:val="24"/>
        </w:rPr>
        <w:t xml:space="preserve">, instytucji pośredniczącej </w:t>
      </w:r>
      <w:proofErr w:type="spellStart"/>
      <w:r w:rsidR="007C2906">
        <w:rPr>
          <w:rFonts w:ascii="Times New Roman" w:hAnsi="Times New Roman"/>
          <w:sz w:val="24"/>
          <w:szCs w:val="24"/>
        </w:rPr>
        <w:t>Interreg</w:t>
      </w:r>
      <w:proofErr w:type="spellEnd"/>
      <w:r w:rsidR="004B3ACF">
        <w:rPr>
          <w:rFonts w:ascii="Times New Roman" w:hAnsi="Times New Roman"/>
          <w:sz w:val="24"/>
          <w:szCs w:val="24"/>
        </w:rPr>
        <w:t xml:space="preserve">, krajowego </w:t>
      </w:r>
      <w:r w:rsidR="004B3ACF">
        <w:rPr>
          <w:rFonts w:ascii="Times New Roman" w:hAnsi="Times New Roman"/>
          <w:sz w:val="24"/>
          <w:szCs w:val="24"/>
        </w:rPr>
        <w:lastRenderedPageBreak/>
        <w:t>kontrolera</w:t>
      </w:r>
      <w:r w:rsidRPr="0040535D">
        <w:rPr>
          <w:rFonts w:ascii="Times New Roman" w:hAnsi="Times New Roman"/>
          <w:sz w:val="24"/>
          <w:szCs w:val="24"/>
        </w:rPr>
        <w:t xml:space="preserve"> oraz </w:t>
      </w:r>
      <w:r w:rsidRPr="0040535D">
        <w:rPr>
          <w:rFonts w:ascii="Times New Roman" w:eastAsia="Times New Roman" w:hAnsi="Times New Roman"/>
          <w:sz w:val="24"/>
          <w:szCs w:val="24"/>
          <w:lang w:eastAsia="pl-PL"/>
        </w:rPr>
        <w:t xml:space="preserve">wspólnego sekretariatu </w:t>
      </w:r>
      <w:r w:rsidRPr="0040535D">
        <w:rPr>
          <w:rFonts w:ascii="Times New Roman" w:hAnsi="Times New Roman"/>
          <w:sz w:val="24"/>
          <w:szCs w:val="24"/>
        </w:rPr>
        <w:t xml:space="preserve">za nieprawidłową realizację powierzonych zadań. Instytucja powierzająca, lub – w odniesieniu do instytucji wdrażającej – również instytucja zarządzająca, może, w zależności od powagi uchybienia, wydać </w:t>
      </w:r>
      <w:r w:rsidR="00143314" w:rsidRPr="0040535D">
        <w:rPr>
          <w:rFonts w:ascii="Times New Roman" w:hAnsi="Times New Roman"/>
          <w:sz w:val="24"/>
          <w:szCs w:val="24"/>
        </w:rPr>
        <w:t xml:space="preserve">zalecenia </w:t>
      </w:r>
      <w:r w:rsidRPr="0040535D">
        <w:rPr>
          <w:rFonts w:ascii="Times New Roman" w:hAnsi="Times New Roman"/>
          <w:sz w:val="24"/>
          <w:szCs w:val="24"/>
        </w:rPr>
        <w:t>dotycząc</w:t>
      </w:r>
      <w:r w:rsidR="00143314" w:rsidRPr="0040535D">
        <w:rPr>
          <w:rFonts w:ascii="Times New Roman" w:hAnsi="Times New Roman"/>
          <w:sz w:val="24"/>
          <w:szCs w:val="24"/>
        </w:rPr>
        <w:t>e</w:t>
      </w:r>
      <w:r w:rsidRPr="0040535D">
        <w:rPr>
          <w:rFonts w:ascii="Times New Roman" w:hAnsi="Times New Roman"/>
          <w:sz w:val="24"/>
          <w:szCs w:val="24"/>
        </w:rPr>
        <w:t xml:space="preserve"> poprawy w zakresie nieprawidłowo realizowanych zadań, nieprzestrzegania przepisów prawa lub działania niezgodnie z systemem realizacji programu oraz wskazać termin ich usunięcia, zobowiązać instytucję do podjęcia określonych działań naprawczych wraz ze wskazaniem terminu ich wykonania</w:t>
      </w:r>
      <w:r w:rsidR="009F0879">
        <w:rPr>
          <w:rFonts w:ascii="Times New Roman" w:hAnsi="Times New Roman"/>
          <w:sz w:val="24"/>
          <w:szCs w:val="24"/>
        </w:rPr>
        <w:t>,</w:t>
      </w:r>
      <w:r w:rsidRPr="0040535D">
        <w:rPr>
          <w:rFonts w:ascii="Times New Roman" w:hAnsi="Times New Roman"/>
          <w:sz w:val="24"/>
          <w:szCs w:val="24"/>
        </w:rPr>
        <w:t xml:space="preserve"> a nawet anulować część albo całość dofinansowania przyznanego instytucji z pomocy technicznej. Jednocześnie, </w:t>
      </w:r>
      <w:r w:rsidR="00143314" w:rsidRPr="0040535D">
        <w:rPr>
          <w:rFonts w:ascii="Times New Roman" w:hAnsi="Times New Roman"/>
          <w:sz w:val="24"/>
          <w:szCs w:val="24"/>
        </w:rPr>
        <w:t xml:space="preserve">zalecenia </w:t>
      </w:r>
      <w:r w:rsidRPr="0040535D">
        <w:rPr>
          <w:rFonts w:ascii="Times New Roman" w:hAnsi="Times New Roman"/>
          <w:sz w:val="24"/>
          <w:szCs w:val="24"/>
        </w:rPr>
        <w:t>wydane instytucji, której powierzono zadania są wiążące co do celu, natomiast plan działań naprawczych zarówno co do celu, jak i sposobu jego realizacji.</w:t>
      </w:r>
    </w:p>
    <w:p w14:paraId="4D587911"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Dodatkowym czynnikiem dyscyplinującym instytucje, którym została powierzona realizacja zadań jest regulacja zawarta w art. 11 ust. 2 i 3 stanowiąca, że w przypadku nałożenia korekty finansowej w wyniku uchybienia instytucji pośredniczącej lub wdrażającej, anulowanie części albo całości dofinansowania nie zwalnia instytucji, która dopuściła się uchybień lub instytucji zobowiązanej do wypłaty dofinansowania, z obowiązku wypłaty równowartości dofinansowania należnego beneficjentowi. Oznacza to, że każda instytucja będzie zobowiązana pokryć należność wobec beneficjenta ze środków znajdujących się w jej budżecie albo w inny sposób zapewnić środki na wypłatę równowartości dofinansowania należnego beneficjentowi. W przypadku, gdy należne beneficjentom dofinansowanie zostało już wypłacone, instytucja będzie zobowiązana do zwrotu stosowanych kwot do budżetu środków europejskich lub budżetu państwa, w zależności od źródła pochodzenia środków przekazanych beneficjentom. Zasady odpowiedzialności finansowej poszczególnych podmiotów będą określone w odpowiednim porozumieniu/umowie o powierzeniu zadań (art. </w:t>
      </w:r>
      <w:r w:rsidR="003C326C" w:rsidRPr="0040535D">
        <w:rPr>
          <w:rFonts w:ascii="Times New Roman" w:hAnsi="Times New Roman"/>
          <w:sz w:val="24"/>
          <w:szCs w:val="24"/>
        </w:rPr>
        <w:t>11</w:t>
      </w:r>
      <w:r w:rsidRPr="0040535D">
        <w:rPr>
          <w:rFonts w:ascii="Times New Roman" w:hAnsi="Times New Roman"/>
          <w:sz w:val="24"/>
          <w:szCs w:val="24"/>
        </w:rPr>
        <w:t xml:space="preserve"> ust. 4).</w:t>
      </w:r>
    </w:p>
    <w:p w14:paraId="56295ADD" w14:textId="77777777" w:rsidR="00B26B0D"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art. 12</w:t>
      </w:r>
      <w:r w:rsidRPr="0040535D">
        <w:rPr>
          <w:rFonts w:ascii="Times New Roman" w:hAnsi="Times New Roman"/>
          <w:sz w:val="24"/>
          <w:szCs w:val="24"/>
        </w:rPr>
        <w:t xml:space="preserve"> ust. 1 w odniesieniu do realizacji programu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wskazano </w:t>
      </w:r>
      <w:r w:rsidR="003C326C" w:rsidRPr="0040535D">
        <w:rPr>
          <w:rFonts w:ascii="Times New Roman" w:hAnsi="Times New Roman"/>
          <w:sz w:val="24"/>
          <w:szCs w:val="24"/>
        </w:rPr>
        <w:t>podmiot pełniący</w:t>
      </w:r>
      <w:r w:rsidRPr="0040535D">
        <w:rPr>
          <w:rFonts w:ascii="Times New Roman" w:hAnsi="Times New Roman"/>
          <w:sz w:val="24"/>
          <w:szCs w:val="24"/>
        </w:rPr>
        <w:t xml:space="preserve"> funkcję koordynatora</w:t>
      </w:r>
      <w:r w:rsidR="007C2906" w:rsidRPr="007C2906">
        <w:t xml:space="preserve"> </w:t>
      </w:r>
      <w:r w:rsidR="007C2906" w:rsidRPr="007C2906">
        <w:rPr>
          <w:rFonts w:ascii="Times New Roman" w:hAnsi="Times New Roman"/>
          <w:sz w:val="24"/>
          <w:szCs w:val="24"/>
        </w:rPr>
        <w:t>programów</w:t>
      </w:r>
      <w:r w:rsidRPr="0040535D">
        <w:rPr>
          <w:rFonts w:ascii="Times New Roman" w:hAnsi="Times New Roman"/>
          <w:sz w:val="24"/>
          <w:szCs w:val="24"/>
        </w:rPr>
        <w:t xml:space="preserve">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Ilekroć w ustawie mowa jest o koordynatorze</w:t>
      </w:r>
      <w:r w:rsidR="007C2906" w:rsidRPr="007C2906">
        <w:t xml:space="preserve"> </w:t>
      </w:r>
      <w:r w:rsidR="007C2906" w:rsidRPr="007C2906">
        <w:rPr>
          <w:rFonts w:ascii="Times New Roman" w:hAnsi="Times New Roman"/>
          <w:sz w:val="24"/>
          <w:szCs w:val="24"/>
        </w:rPr>
        <w:t>programów</w:t>
      </w:r>
      <w:r w:rsidRPr="0040535D">
        <w:rPr>
          <w:rFonts w:ascii="Times New Roman" w:hAnsi="Times New Roman"/>
          <w:sz w:val="24"/>
          <w:szCs w:val="24"/>
        </w:rPr>
        <w:t xml:space="preserve">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pod tym pojęciem należy rozumieć ministra właściwego do spraw rozwoju regionalnego wykonującego w celu realizacji programu </w:t>
      </w:r>
      <w:proofErr w:type="spellStart"/>
      <w:r w:rsidRPr="0040535D">
        <w:rPr>
          <w:rFonts w:ascii="Times New Roman" w:hAnsi="Times New Roman"/>
          <w:sz w:val="24"/>
          <w:szCs w:val="24"/>
        </w:rPr>
        <w:t>Interreg</w:t>
      </w:r>
      <w:proofErr w:type="spellEnd"/>
      <w:r w:rsidR="009A4239" w:rsidRPr="0040535D">
        <w:rPr>
          <w:rFonts w:ascii="Times New Roman" w:hAnsi="Times New Roman"/>
          <w:sz w:val="24"/>
          <w:szCs w:val="24"/>
        </w:rPr>
        <w:t xml:space="preserve"> </w:t>
      </w:r>
      <w:r w:rsidRPr="0040535D">
        <w:rPr>
          <w:rFonts w:ascii="Times New Roman" w:hAnsi="Times New Roman"/>
          <w:sz w:val="24"/>
          <w:szCs w:val="24"/>
        </w:rPr>
        <w:t xml:space="preserve">na terytorium Rzeczypospolitej Polskiej zadania państwa członkowskiego określone w rozporządzeniu ogólnym i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Definicja ta została wprowadzona do ustawy w celu odróżnienia zadań państwa członkowskiego wynikających z bycia jednym z państw (państwem – stroną o równorzędnych prawach i obowiązkach) realizujących program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od zadań związanych z koordynacją realizacji polityki spójności wskazanych w rozporządzeniu ogólnym. W ustawie wskazano również, że koordynator </w:t>
      </w:r>
      <w:r w:rsidR="007C2906" w:rsidRPr="007C2906">
        <w:rPr>
          <w:rFonts w:ascii="Times New Roman" w:hAnsi="Times New Roman"/>
          <w:sz w:val="24"/>
          <w:szCs w:val="24"/>
        </w:rPr>
        <w:t xml:space="preserve">programów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może powierzyć krajowemu </w:t>
      </w:r>
      <w:r w:rsidRPr="0040535D">
        <w:rPr>
          <w:rFonts w:ascii="Times New Roman" w:hAnsi="Times New Roman"/>
          <w:sz w:val="24"/>
          <w:szCs w:val="24"/>
        </w:rPr>
        <w:lastRenderedPageBreak/>
        <w:t xml:space="preserve">kontrolerowi część zadań związanych z realizacją programu </w:t>
      </w:r>
      <w:proofErr w:type="spellStart"/>
      <w:r w:rsidRPr="0040535D">
        <w:rPr>
          <w:rFonts w:ascii="Times New Roman" w:hAnsi="Times New Roman"/>
          <w:sz w:val="24"/>
          <w:szCs w:val="24"/>
        </w:rPr>
        <w:t>Interreg</w:t>
      </w:r>
      <w:proofErr w:type="spellEnd"/>
      <w:r w:rsidRPr="0040535D" w:rsidDel="00F1303F">
        <w:rPr>
          <w:rFonts w:ascii="Times New Roman" w:hAnsi="Times New Roman"/>
          <w:sz w:val="24"/>
          <w:szCs w:val="24"/>
        </w:rPr>
        <w:t xml:space="preserve"> </w:t>
      </w:r>
      <w:r w:rsidRPr="0040535D">
        <w:rPr>
          <w:rFonts w:ascii="Times New Roman" w:hAnsi="Times New Roman"/>
          <w:sz w:val="24"/>
          <w:szCs w:val="24"/>
        </w:rPr>
        <w:t xml:space="preserve">(art. 12 ust. </w:t>
      </w:r>
      <w:r w:rsidR="00232010" w:rsidRPr="0040535D">
        <w:rPr>
          <w:rFonts w:ascii="Times New Roman" w:hAnsi="Times New Roman"/>
          <w:sz w:val="24"/>
          <w:szCs w:val="24"/>
        </w:rPr>
        <w:t>2</w:t>
      </w:r>
      <w:r w:rsidRPr="0040535D">
        <w:rPr>
          <w:rFonts w:ascii="Times New Roman" w:hAnsi="Times New Roman"/>
          <w:sz w:val="24"/>
          <w:szCs w:val="24"/>
        </w:rPr>
        <w:t xml:space="preserve">). W ustawie przewidziano możliwość powierzenia przez koordynatora programów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zadań krajowemu kontrolerowi, ponieważ zgodnie z art. </w:t>
      </w:r>
      <w:r w:rsidR="001F42E5" w:rsidRPr="0040535D">
        <w:rPr>
          <w:rFonts w:ascii="Times New Roman" w:hAnsi="Times New Roman"/>
          <w:sz w:val="24"/>
          <w:szCs w:val="24"/>
        </w:rPr>
        <w:t xml:space="preserve">46 </w:t>
      </w:r>
      <w:r w:rsidRPr="0040535D">
        <w:rPr>
          <w:rFonts w:ascii="Times New Roman" w:hAnsi="Times New Roman"/>
          <w:sz w:val="24"/>
          <w:szCs w:val="24"/>
        </w:rPr>
        <w:t xml:space="preserve">rozporządzenia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państwo członkowskie może wyznaczyć podmiot odpowiedzialny za prowadzenie kontroli wydatków beneficjentów na jego terytorium. </w:t>
      </w:r>
    </w:p>
    <w:p w14:paraId="0B8FBA63"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art. 13</w:t>
      </w:r>
      <w:r w:rsidRPr="0040535D">
        <w:rPr>
          <w:rFonts w:ascii="Times New Roman" w:hAnsi="Times New Roman"/>
          <w:sz w:val="24"/>
          <w:szCs w:val="24"/>
        </w:rPr>
        <w:t xml:space="preserve"> wskazano, że </w:t>
      </w:r>
      <w:r w:rsidRPr="0040535D">
        <w:rPr>
          <w:rFonts w:ascii="Times New Roman" w:eastAsia="Times New Roman" w:hAnsi="Times New Roman"/>
          <w:sz w:val="24"/>
          <w:szCs w:val="24"/>
          <w:lang w:eastAsia="pl-PL"/>
        </w:rPr>
        <w:t>Instytucją audytową jest Szef Krajowej Administracji Skarbowej</w:t>
      </w:r>
      <w:r w:rsidR="007F52CD" w:rsidRPr="0040535D">
        <w:rPr>
          <w:rFonts w:ascii="Times New Roman" w:eastAsia="Times New Roman" w:hAnsi="Times New Roman"/>
          <w:sz w:val="24"/>
          <w:szCs w:val="24"/>
          <w:lang w:eastAsia="pl-PL"/>
        </w:rPr>
        <w:t xml:space="preserve">, z wyłączeniem programu </w:t>
      </w:r>
      <w:proofErr w:type="spellStart"/>
      <w:r w:rsidR="007F52CD" w:rsidRPr="0040535D">
        <w:rPr>
          <w:rFonts w:ascii="Times New Roman" w:eastAsia="Times New Roman" w:hAnsi="Times New Roman"/>
          <w:sz w:val="24"/>
          <w:szCs w:val="24"/>
          <w:lang w:eastAsia="pl-PL"/>
        </w:rPr>
        <w:t>Interreg</w:t>
      </w:r>
      <w:proofErr w:type="spellEnd"/>
      <w:r w:rsidR="007F52CD" w:rsidRPr="0040535D">
        <w:rPr>
          <w:rFonts w:ascii="Times New Roman" w:eastAsia="Times New Roman" w:hAnsi="Times New Roman"/>
          <w:sz w:val="24"/>
          <w:szCs w:val="24"/>
          <w:lang w:eastAsia="pl-PL"/>
        </w:rPr>
        <w:t xml:space="preserve"> Polska-Rosja, gdzie funkcję instytucji audytowej będzie pełnił Wojewoda Lubelski</w:t>
      </w:r>
      <w:r w:rsidRPr="0040535D">
        <w:rPr>
          <w:rFonts w:ascii="Times New Roman" w:eastAsia="Times New Roman" w:hAnsi="Times New Roman"/>
          <w:sz w:val="24"/>
          <w:szCs w:val="24"/>
          <w:lang w:eastAsia="pl-PL"/>
        </w:rPr>
        <w:t>.</w:t>
      </w:r>
    </w:p>
    <w:p w14:paraId="23EE233C" w14:textId="77777777" w:rsidR="00555DC0" w:rsidRPr="0040535D" w:rsidRDefault="00555DC0" w:rsidP="009A0EE5">
      <w:p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art. 14</w:t>
      </w:r>
      <w:r w:rsidRPr="0040535D">
        <w:rPr>
          <w:rFonts w:ascii="Times New Roman" w:hAnsi="Times New Roman"/>
          <w:sz w:val="24"/>
          <w:szCs w:val="24"/>
        </w:rPr>
        <w:t xml:space="preserve"> zawarto analogiczną do obowiązującej w perspektywie 2014-2020, regulację dotyczącą instytucji Rzecznika Funduszy Europejskich. Zgodnie z art. 14 projektu ustawy Rzecznik jest obowiązkowo powoływany na poziomie każdej instytucji zarządzającej - ust. 1, natomiast jego powołanie na poziomie instytucji pośredniczącej i wdrażającej jest dobrowolne - ust. 2. Ustawa nie przesądza, czy Rzecznik może w ramach danej instytucji realizować inne zadania jej przypisane, nie może natomiast dochodzić do konfliktu interesów polegającego na tym, że Rzecznik rozpatruje sprawy dotyczące czynności wykonywanych przez niego samego w ramach innych obowiązków służbowych. Ust. 3 wskazuje otwarty katalog zadań Rzecznika, który obejmuje zarówno rozpatrywanie zgłoszeń przyjmujących charakter skarg, rozpatrywanie postulatów odnoszących się do działalności danej instytucji/realizacji programu, jak i udzielanie stosownych wyjaśnień. W tym zakresie Rzecznik może realizować także funkcję mediacyjną pomiędzy </w:t>
      </w:r>
      <w:proofErr w:type="spellStart"/>
      <w:r w:rsidRPr="0040535D">
        <w:rPr>
          <w:rFonts w:ascii="Times New Roman" w:hAnsi="Times New Roman"/>
          <w:sz w:val="24"/>
          <w:szCs w:val="24"/>
        </w:rPr>
        <w:t>zgłoszeniodawcą</w:t>
      </w:r>
      <w:proofErr w:type="spellEnd"/>
      <w:r w:rsidRPr="0040535D">
        <w:rPr>
          <w:rFonts w:ascii="Times New Roman" w:hAnsi="Times New Roman"/>
          <w:sz w:val="24"/>
          <w:szCs w:val="24"/>
        </w:rPr>
        <w:t xml:space="preserve"> a daną instytucją. Ponadto podejmuje również działania zmierzające do usprawnienia realizacji poszczególnych programów. Do zadań realizowanych przez Rzecznika oraz czynności podejmowanych przed nim przez zainteresowane podmioty nie będą stosowane przepisy ustawy z dnia 14 czerwca 1960 r. - Kodeks postępowania administracyjnego</w:t>
      </w:r>
      <w:r w:rsidR="00C52A62" w:rsidRPr="0040535D">
        <w:rPr>
          <w:rFonts w:ascii="Times New Roman" w:hAnsi="Times New Roman"/>
          <w:sz w:val="24"/>
          <w:szCs w:val="24"/>
        </w:rPr>
        <w:t xml:space="preserve"> (Dz.</w:t>
      </w:r>
      <w:r w:rsidR="00B26B0D" w:rsidRPr="0040535D">
        <w:rPr>
          <w:rFonts w:ascii="Times New Roman" w:hAnsi="Times New Roman"/>
          <w:sz w:val="24"/>
          <w:szCs w:val="24"/>
        </w:rPr>
        <w:t xml:space="preserve"> </w:t>
      </w:r>
      <w:r w:rsidR="00C52A62" w:rsidRPr="0040535D">
        <w:rPr>
          <w:rFonts w:ascii="Times New Roman" w:hAnsi="Times New Roman"/>
          <w:sz w:val="24"/>
          <w:szCs w:val="24"/>
        </w:rPr>
        <w:t xml:space="preserve">U. z </w:t>
      </w:r>
      <w:r w:rsidR="00B26B0D" w:rsidRPr="0040535D">
        <w:rPr>
          <w:rFonts w:ascii="Times New Roman" w:hAnsi="Times New Roman"/>
          <w:sz w:val="24"/>
          <w:szCs w:val="24"/>
        </w:rPr>
        <w:t xml:space="preserve">2021 </w:t>
      </w:r>
      <w:r w:rsidR="00C52A62" w:rsidRPr="0040535D">
        <w:rPr>
          <w:rFonts w:ascii="Times New Roman" w:hAnsi="Times New Roman"/>
          <w:sz w:val="24"/>
          <w:szCs w:val="24"/>
        </w:rPr>
        <w:t xml:space="preserve">r. poz. </w:t>
      </w:r>
      <w:r w:rsidR="00B26B0D" w:rsidRPr="0040535D">
        <w:rPr>
          <w:rFonts w:ascii="Times New Roman" w:hAnsi="Times New Roman"/>
          <w:sz w:val="24"/>
          <w:szCs w:val="24"/>
        </w:rPr>
        <w:t>735</w:t>
      </w:r>
      <w:r w:rsidR="00CF02DB" w:rsidRPr="0040535D">
        <w:rPr>
          <w:rFonts w:ascii="Times New Roman" w:hAnsi="Times New Roman"/>
          <w:sz w:val="24"/>
          <w:szCs w:val="24"/>
        </w:rPr>
        <w:t xml:space="preserve">, z </w:t>
      </w:r>
      <w:proofErr w:type="spellStart"/>
      <w:r w:rsidR="00CF02DB" w:rsidRPr="0040535D">
        <w:rPr>
          <w:rFonts w:ascii="Times New Roman" w:hAnsi="Times New Roman"/>
          <w:sz w:val="24"/>
          <w:szCs w:val="24"/>
        </w:rPr>
        <w:t>późn</w:t>
      </w:r>
      <w:proofErr w:type="spellEnd"/>
      <w:r w:rsidR="00CF02DB" w:rsidRPr="0040535D">
        <w:rPr>
          <w:rFonts w:ascii="Times New Roman" w:hAnsi="Times New Roman"/>
          <w:sz w:val="24"/>
          <w:szCs w:val="24"/>
        </w:rPr>
        <w:t>. zm.</w:t>
      </w:r>
      <w:r w:rsidR="00C52A62" w:rsidRPr="0040535D">
        <w:rPr>
          <w:rFonts w:ascii="Times New Roman" w:hAnsi="Times New Roman"/>
          <w:sz w:val="24"/>
          <w:szCs w:val="24"/>
        </w:rPr>
        <w:t>)</w:t>
      </w:r>
      <w:r w:rsidRPr="0040535D">
        <w:rPr>
          <w:rFonts w:ascii="Times New Roman" w:hAnsi="Times New Roman"/>
          <w:sz w:val="24"/>
          <w:szCs w:val="24"/>
        </w:rPr>
        <w:t xml:space="preserve">, </w:t>
      </w:r>
      <w:r w:rsidR="000154C2" w:rsidRPr="0040535D">
        <w:rPr>
          <w:rFonts w:ascii="Times New Roman" w:hAnsi="Times New Roman"/>
          <w:sz w:val="24"/>
          <w:szCs w:val="24"/>
        </w:rPr>
        <w:t>(dalej</w:t>
      </w:r>
      <w:r w:rsidR="007D14BB" w:rsidRPr="0040535D">
        <w:rPr>
          <w:rFonts w:ascii="Times New Roman" w:hAnsi="Times New Roman"/>
          <w:sz w:val="24"/>
          <w:szCs w:val="24"/>
        </w:rPr>
        <w:t>:</w:t>
      </w:r>
      <w:r w:rsidR="000154C2" w:rsidRPr="0040535D">
        <w:rPr>
          <w:rFonts w:ascii="Times New Roman" w:hAnsi="Times New Roman"/>
          <w:sz w:val="24"/>
          <w:szCs w:val="24"/>
        </w:rPr>
        <w:t xml:space="preserve"> kpa), </w:t>
      </w:r>
      <w:r w:rsidRPr="0040535D">
        <w:rPr>
          <w:rFonts w:ascii="Times New Roman" w:hAnsi="Times New Roman"/>
          <w:sz w:val="24"/>
          <w:szCs w:val="24"/>
        </w:rPr>
        <w:t xml:space="preserve">z wyjątkiem działu VIII – skargi i wnioski, który znajdzie odpowiednie zastosowanie. </w:t>
      </w:r>
      <w:r w:rsidR="007255D3" w:rsidRPr="0040535D">
        <w:rPr>
          <w:rFonts w:ascii="Times New Roman" w:hAnsi="Times New Roman"/>
          <w:sz w:val="24"/>
          <w:szCs w:val="24"/>
        </w:rPr>
        <w:t>Przepisów dotyczących</w:t>
      </w:r>
      <w:r w:rsidRPr="0040535D">
        <w:rPr>
          <w:rFonts w:ascii="Times New Roman" w:hAnsi="Times New Roman"/>
          <w:sz w:val="24"/>
          <w:szCs w:val="24"/>
        </w:rPr>
        <w:t xml:space="preserve"> postępowania przed Rzecznikiem nie stosuje się w zakresie procedury odwoławczej ponieważ w przepisach tych uregulowano szczegółowo postępowanie wobec wnioskodawców, którzy otrzymali negatywną ocenę projektu wybieranego w </w:t>
      </w:r>
      <w:r w:rsidR="00B26B0D" w:rsidRPr="0040535D">
        <w:rPr>
          <w:rFonts w:ascii="Times New Roman" w:hAnsi="Times New Roman"/>
          <w:sz w:val="24"/>
          <w:szCs w:val="24"/>
        </w:rPr>
        <w:t xml:space="preserve">sposób </w:t>
      </w:r>
      <w:r w:rsidR="009C1216" w:rsidRPr="0040535D">
        <w:rPr>
          <w:rFonts w:ascii="Times New Roman" w:hAnsi="Times New Roman"/>
          <w:sz w:val="24"/>
          <w:szCs w:val="24"/>
        </w:rPr>
        <w:t>konkurencyjny</w:t>
      </w:r>
      <w:r w:rsidRPr="0040535D">
        <w:rPr>
          <w:rFonts w:ascii="Times New Roman" w:hAnsi="Times New Roman"/>
          <w:sz w:val="24"/>
          <w:szCs w:val="24"/>
        </w:rPr>
        <w:t>. Rzecznik nie będzie powoływany dla programów Europejskiej Współpracy Terytorialnej, w związku z ich międzynarodowym charakterem.</w:t>
      </w:r>
    </w:p>
    <w:p w14:paraId="01CA8247" w14:textId="77777777" w:rsidR="00555DC0" w:rsidRPr="0040535D" w:rsidRDefault="00555DC0" w:rsidP="009A0EE5">
      <w:pPr>
        <w:autoSpaceDE w:val="0"/>
        <w:autoSpaceDN w:val="0"/>
        <w:adjustRightInd w:val="0"/>
        <w:spacing w:after="0" w:line="360" w:lineRule="auto"/>
        <w:jc w:val="both"/>
        <w:rPr>
          <w:rFonts w:ascii="Times New Roman" w:hAnsi="Times New Roman"/>
          <w:sz w:val="24"/>
          <w:szCs w:val="24"/>
        </w:rPr>
      </w:pPr>
    </w:p>
    <w:p w14:paraId="50F48A3A" w14:textId="77777777" w:rsidR="00555DC0" w:rsidRPr="0040535D" w:rsidRDefault="00555DC0" w:rsidP="009A0EE5">
      <w:pPr>
        <w:spacing w:after="0" w:line="360" w:lineRule="auto"/>
        <w:jc w:val="both"/>
        <w:rPr>
          <w:rFonts w:ascii="Times New Roman" w:hAnsi="Times New Roman"/>
          <w:b/>
          <w:sz w:val="24"/>
          <w:szCs w:val="24"/>
        </w:rPr>
      </w:pPr>
      <w:r w:rsidRPr="0040535D">
        <w:rPr>
          <w:rFonts w:ascii="Times New Roman" w:hAnsi="Times New Roman"/>
          <w:b/>
          <w:sz w:val="24"/>
          <w:szCs w:val="24"/>
        </w:rPr>
        <w:t xml:space="preserve">Rozdział 5. Komitet </w:t>
      </w:r>
      <w:r w:rsidR="00A77A39" w:rsidRPr="0040535D">
        <w:rPr>
          <w:rFonts w:ascii="Times New Roman" w:hAnsi="Times New Roman"/>
          <w:b/>
          <w:sz w:val="24"/>
          <w:szCs w:val="24"/>
        </w:rPr>
        <w:t>monitorujący</w:t>
      </w:r>
      <w:r w:rsidRPr="0040535D">
        <w:rPr>
          <w:rFonts w:ascii="Times New Roman" w:hAnsi="Times New Roman"/>
          <w:b/>
          <w:sz w:val="24"/>
          <w:szCs w:val="24"/>
        </w:rPr>
        <w:t>.</w:t>
      </w:r>
    </w:p>
    <w:p w14:paraId="5067A1E6"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art. 15 </w:t>
      </w:r>
      <w:r w:rsidR="00E87D78" w:rsidRPr="0040535D">
        <w:rPr>
          <w:rFonts w:ascii="Times New Roman" w:hAnsi="Times New Roman"/>
          <w:sz w:val="24"/>
          <w:szCs w:val="24"/>
        </w:rPr>
        <w:t>–</w:t>
      </w:r>
      <w:r w:rsidRPr="0040535D">
        <w:rPr>
          <w:rFonts w:ascii="Times New Roman" w:hAnsi="Times New Roman"/>
          <w:sz w:val="24"/>
          <w:szCs w:val="24"/>
        </w:rPr>
        <w:t xml:space="preserve"> </w:t>
      </w:r>
      <w:r w:rsidR="00E87D78" w:rsidRPr="0040535D">
        <w:rPr>
          <w:rFonts w:ascii="Times New Roman" w:hAnsi="Times New Roman"/>
          <w:sz w:val="24"/>
          <w:szCs w:val="24"/>
        </w:rPr>
        <w:t xml:space="preserve">art. </w:t>
      </w:r>
      <w:r w:rsidR="00E600A5" w:rsidRPr="0040535D">
        <w:rPr>
          <w:rFonts w:ascii="Times New Roman" w:hAnsi="Times New Roman"/>
          <w:sz w:val="24"/>
          <w:szCs w:val="24"/>
        </w:rPr>
        <w:t xml:space="preserve">20 </w:t>
      </w:r>
      <w:r w:rsidRPr="0040535D">
        <w:rPr>
          <w:rFonts w:ascii="Times New Roman" w:hAnsi="Times New Roman"/>
          <w:sz w:val="24"/>
          <w:szCs w:val="24"/>
        </w:rPr>
        <w:t>zawarto regulacj</w:t>
      </w:r>
      <w:r w:rsidR="00AB0E8A" w:rsidRPr="0040535D">
        <w:rPr>
          <w:rFonts w:ascii="Times New Roman" w:hAnsi="Times New Roman"/>
          <w:sz w:val="24"/>
          <w:szCs w:val="24"/>
        </w:rPr>
        <w:t>e</w:t>
      </w:r>
      <w:r w:rsidRPr="0040535D">
        <w:rPr>
          <w:rFonts w:ascii="Times New Roman" w:hAnsi="Times New Roman"/>
          <w:sz w:val="24"/>
          <w:szCs w:val="24"/>
        </w:rPr>
        <w:t xml:space="preserve"> dotycząc</w:t>
      </w:r>
      <w:r w:rsidR="00AB0E8A" w:rsidRPr="0040535D">
        <w:rPr>
          <w:rFonts w:ascii="Times New Roman" w:hAnsi="Times New Roman"/>
          <w:sz w:val="24"/>
          <w:szCs w:val="24"/>
        </w:rPr>
        <w:t>e</w:t>
      </w:r>
      <w:r w:rsidRPr="0040535D">
        <w:rPr>
          <w:rFonts w:ascii="Times New Roman" w:hAnsi="Times New Roman"/>
          <w:sz w:val="24"/>
          <w:szCs w:val="24"/>
        </w:rPr>
        <w:t xml:space="preserve"> komitet</w:t>
      </w:r>
      <w:r w:rsidR="00AB0E8A" w:rsidRPr="0040535D">
        <w:rPr>
          <w:rFonts w:ascii="Times New Roman" w:hAnsi="Times New Roman"/>
          <w:sz w:val="24"/>
          <w:szCs w:val="24"/>
        </w:rPr>
        <w:t>ów</w:t>
      </w:r>
      <w:r w:rsidRPr="0040535D">
        <w:rPr>
          <w:rFonts w:ascii="Times New Roman" w:hAnsi="Times New Roman"/>
          <w:sz w:val="24"/>
          <w:szCs w:val="24"/>
        </w:rPr>
        <w:t xml:space="preserve"> monitorując</w:t>
      </w:r>
      <w:r w:rsidR="00AB0E8A" w:rsidRPr="0040535D">
        <w:rPr>
          <w:rFonts w:ascii="Times New Roman" w:hAnsi="Times New Roman"/>
          <w:sz w:val="24"/>
          <w:szCs w:val="24"/>
        </w:rPr>
        <w:t>ych</w:t>
      </w:r>
      <w:r w:rsidRPr="0040535D">
        <w:rPr>
          <w:rFonts w:ascii="Times New Roman" w:hAnsi="Times New Roman"/>
          <w:sz w:val="24"/>
          <w:szCs w:val="24"/>
        </w:rPr>
        <w:t xml:space="preserve"> program</w:t>
      </w:r>
      <w:r w:rsidR="00C677EA" w:rsidRPr="0040535D">
        <w:rPr>
          <w:rFonts w:ascii="Times New Roman" w:hAnsi="Times New Roman"/>
          <w:sz w:val="24"/>
          <w:szCs w:val="24"/>
        </w:rPr>
        <w:t>y</w:t>
      </w:r>
      <w:r w:rsidRPr="0040535D">
        <w:rPr>
          <w:rFonts w:ascii="Times New Roman" w:hAnsi="Times New Roman"/>
          <w:sz w:val="24"/>
          <w:szCs w:val="24"/>
        </w:rPr>
        <w:t>.</w:t>
      </w:r>
    </w:p>
    <w:p w14:paraId="32BAC255"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lastRenderedPageBreak/>
        <w:t>Regulacje zawarte w ww. przepisach mają na celu ujednolicenie struktury komitet</w:t>
      </w:r>
      <w:r w:rsidR="00C677EA" w:rsidRPr="0040535D">
        <w:rPr>
          <w:rFonts w:ascii="Times New Roman" w:hAnsi="Times New Roman"/>
          <w:sz w:val="24"/>
          <w:szCs w:val="24"/>
        </w:rPr>
        <w:t>ów</w:t>
      </w:r>
      <w:r w:rsidRPr="0040535D">
        <w:rPr>
          <w:rFonts w:ascii="Times New Roman" w:hAnsi="Times New Roman"/>
          <w:sz w:val="24"/>
          <w:szCs w:val="24"/>
        </w:rPr>
        <w:t xml:space="preserve"> monitorując</w:t>
      </w:r>
      <w:r w:rsidR="00C677EA" w:rsidRPr="0040535D">
        <w:rPr>
          <w:rFonts w:ascii="Times New Roman" w:hAnsi="Times New Roman"/>
          <w:sz w:val="24"/>
          <w:szCs w:val="24"/>
        </w:rPr>
        <w:t>ych</w:t>
      </w:r>
      <w:r w:rsidRPr="0040535D">
        <w:rPr>
          <w:rFonts w:ascii="Times New Roman" w:hAnsi="Times New Roman"/>
          <w:sz w:val="24"/>
          <w:szCs w:val="24"/>
        </w:rPr>
        <w:t xml:space="preserve"> oraz pojęcia partnerów z regulacjami unijnymi. Wzmacniają także kompetencje instytucji zarządzającej w kształtowaniu składu komitetu monitorującego.</w:t>
      </w:r>
    </w:p>
    <w:p w14:paraId="41BDFF2F"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kontekście art. </w:t>
      </w:r>
      <w:r w:rsidR="00C677EA" w:rsidRPr="0040535D">
        <w:rPr>
          <w:rFonts w:ascii="Times New Roman" w:hAnsi="Times New Roman"/>
          <w:sz w:val="24"/>
          <w:szCs w:val="24"/>
        </w:rPr>
        <w:t xml:space="preserve">38 </w:t>
      </w:r>
      <w:r w:rsidRPr="0040535D">
        <w:rPr>
          <w:rFonts w:ascii="Times New Roman" w:hAnsi="Times New Roman"/>
          <w:sz w:val="24"/>
          <w:szCs w:val="24"/>
        </w:rPr>
        <w:t>ust. 1 rozporządzenia ogólnego w ustawie przesądzone zostało, że dla każdego programu powoływany jest komitet monitorujący (</w:t>
      </w:r>
      <w:r w:rsidRPr="0040535D">
        <w:rPr>
          <w:rFonts w:ascii="Times New Roman" w:hAnsi="Times New Roman"/>
          <w:b/>
          <w:sz w:val="24"/>
          <w:szCs w:val="24"/>
        </w:rPr>
        <w:t>art. 16</w:t>
      </w:r>
      <w:r w:rsidRPr="0040535D">
        <w:rPr>
          <w:rFonts w:ascii="Times New Roman" w:hAnsi="Times New Roman"/>
          <w:sz w:val="24"/>
          <w:szCs w:val="24"/>
        </w:rPr>
        <w:t xml:space="preserve"> ust. 1), zaś w </w:t>
      </w:r>
      <w:r w:rsidR="00745E18" w:rsidRPr="0040535D">
        <w:rPr>
          <w:rFonts w:ascii="Times New Roman" w:hAnsi="Times New Roman"/>
          <w:sz w:val="24"/>
          <w:szCs w:val="24"/>
        </w:rPr>
        <w:t xml:space="preserve">związku z </w:t>
      </w:r>
      <w:r w:rsidRPr="0040535D">
        <w:rPr>
          <w:rFonts w:ascii="Times New Roman" w:hAnsi="Times New Roman"/>
          <w:sz w:val="24"/>
          <w:szCs w:val="24"/>
        </w:rPr>
        <w:t>art. 3</w:t>
      </w:r>
      <w:r w:rsidR="00C677EA" w:rsidRPr="0040535D">
        <w:rPr>
          <w:rFonts w:ascii="Times New Roman" w:hAnsi="Times New Roman"/>
          <w:sz w:val="24"/>
          <w:szCs w:val="24"/>
        </w:rPr>
        <w:t>9</w:t>
      </w:r>
      <w:r w:rsidRPr="0040535D">
        <w:rPr>
          <w:rFonts w:ascii="Times New Roman" w:hAnsi="Times New Roman"/>
          <w:sz w:val="24"/>
          <w:szCs w:val="24"/>
        </w:rPr>
        <w:t xml:space="preserve"> ust. 1 </w:t>
      </w:r>
      <w:r w:rsidR="009C1216" w:rsidRPr="0040535D">
        <w:rPr>
          <w:rFonts w:ascii="Times New Roman" w:hAnsi="Times New Roman"/>
          <w:sz w:val="24"/>
          <w:szCs w:val="24"/>
        </w:rPr>
        <w:t>tego</w:t>
      </w:r>
      <w:r w:rsidRPr="0040535D">
        <w:rPr>
          <w:rFonts w:ascii="Times New Roman" w:hAnsi="Times New Roman"/>
          <w:sz w:val="24"/>
          <w:szCs w:val="24"/>
        </w:rPr>
        <w:t xml:space="preserve"> rozporządzenia uregulowano, że komitetowi monitorującemu przewodniczy przedstawiciel instytucji zarządzającej (art. 16 ust. 3). Dodatkowo przyjęto rozwiązanie, zgodnie z którym minister do spraw rozwoju regionalnego wchodzi w skład komitetu monitorującego obligatoryjnie (instytucja zarządzająca nie zaprasza go do składu) (art. 16 ust. 2 pkt 1). Zapewni to efektywną realizację zadania dotyczącego koordynacji wdrażania programów i czuwania nad zapewnieniem osiągnięcia celów </w:t>
      </w:r>
      <w:r w:rsidR="007E59DF" w:rsidRPr="0040535D">
        <w:rPr>
          <w:rFonts w:ascii="Times New Roman" w:hAnsi="Times New Roman"/>
          <w:sz w:val="24"/>
          <w:szCs w:val="24"/>
        </w:rPr>
        <w:t xml:space="preserve">umowy partnerstwa </w:t>
      </w:r>
      <w:r w:rsidRPr="0040535D">
        <w:rPr>
          <w:rFonts w:ascii="Times New Roman" w:hAnsi="Times New Roman"/>
          <w:sz w:val="24"/>
          <w:szCs w:val="24"/>
        </w:rPr>
        <w:t>i zgodności z nią programów.</w:t>
      </w:r>
    </w:p>
    <w:p w14:paraId="30F392C7" w14:textId="77777777" w:rsidR="00555DC0" w:rsidRPr="0040535D" w:rsidRDefault="00555DC0" w:rsidP="009A0EE5">
      <w:p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W przedmiotowym projekcie zrezygnowano z przyjętego w poprzednich perspektywach finansowych podziału składu komitetu monitorującego na trzy grupy przedstawicieli</w:t>
      </w:r>
      <w:r w:rsidR="00717C2A" w:rsidRPr="0040535D">
        <w:rPr>
          <w:rFonts w:ascii="Times New Roman" w:hAnsi="Times New Roman"/>
          <w:sz w:val="24"/>
          <w:szCs w:val="24"/>
        </w:rPr>
        <w:t>:</w:t>
      </w:r>
      <w:r w:rsidRPr="0040535D">
        <w:rPr>
          <w:rFonts w:ascii="Times New Roman" w:hAnsi="Times New Roman"/>
          <w:sz w:val="24"/>
          <w:szCs w:val="24"/>
        </w:rPr>
        <w:t xml:space="preserve"> strony rządowej, samorządowej i partnerów. Wprowadzono model zgodny z rozporządzeniem ogólnym, w którym wyróżniono trzy kategorie podmiotów, tj.: </w:t>
      </w:r>
      <w:r w:rsidR="00F808E6" w:rsidRPr="0040535D">
        <w:rPr>
          <w:rFonts w:ascii="Times New Roman" w:hAnsi="Times New Roman"/>
          <w:sz w:val="24"/>
          <w:szCs w:val="24"/>
        </w:rPr>
        <w:t xml:space="preserve">instytucje </w:t>
      </w:r>
      <w:r w:rsidRPr="0040535D">
        <w:rPr>
          <w:rFonts w:ascii="Times New Roman" w:hAnsi="Times New Roman"/>
          <w:sz w:val="24"/>
          <w:szCs w:val="24"/>
        </w:rPr>
        <w:t>państw</w:t>
      </w:r>
      <w:r w:rsidR="00F808E6" w:rsidRPr="0040535D">
        <w:rPr>
          <w:rFonts w:ascii="Times New Roman" w:hAnsi="Times New Roman"/>
          <w:sz w:val="24"/>
          <w:szCs w:val="24"/>
        </w:rPr>
        <w:t>a</w:t>
      </w:r>
      <w:r w:rsidRPr="0040535D">
        <w:rPr>
          <w:rFonts w:ascii="Times New Roman" w:hAnsi="Times New Roman"/>
          <w:sz w:val="24"/>
          <w:szCs w:val="24"/>
        </w:rPr>
        <w:t xml:space="preserve"> członkowskie</w:t>
      </w:r>
      <w:r w:rsidR="00F808E6" w:rsidRPr="0040535D">
        <w:rPr>
          <w:rFonts w:ascii="Times New Roman" w:hAnsi="Times New Roman"/>
          <w:sz w:val="24"/>
          <w:szCs w:val="24"/>
        </w:rPr>
        <w:t>go</w:t>
      </w:r>
      <w:r w:rsidRPr="0040535D">
        <w:rPr>
          <w:rFonts w:ascii="Times New Roman" w:hAnsi="Times New Roman"/>
          <w:sz w:val="24"/>
          <w:szCs w:val="24"/>
        </w:rPr>
        <w:t xml:space="preserve"> (na gruncie ustawy: minister właściwy do spraw rozwoju regionalnego</w:t>
      </w:r>
      <w:r w:rsidR="00F808E6" w:rsidRPr="0040535D">
        <w:rPr>
          <w:rFonts w:ascii="Times New Roman" w:hAnsi="Times New Roman"/>
          <w:sz w:val="24"/>
          <w:szCs w:val="24"/>
        </w:rPr>
        <w:t>, minister właściwy do spraw finansów publicznych</w:t>
      </w:r>
      <w:r w:rsidRPr="0040535D">
        <w:rPr>
          <w:rFonts w:ascii="Times New Roman" w:hAnsi="Times New Roman"/>
          <w:sz w:val="24"/>
          <w:szCs w:val="24"/>
        </w:rPr>
        <w:t>), instytucję zarządzającą wraz z instytucjami pośredniczącymi i wdrażającymi oraz partnerów w rozszerzonej definicji, zgodnej z podejściem wyrażonym w rozporządzeniu ogólnym</w:t>
      </w:r>
      <w:r w:rsidR="00717C2A" w:rsidRPr="0040535D">
        <w:rPr>
          <w:rFonts w:ascii="Times New Roman" w:hAnsi="Times New Roman"/>
          <w:sz w:val="24"/>
          <w:szCs w:val="24"/>
        </w:rPr>
        <w:t xml:space="preserve"> </w:t>
      </w:r>
      <w:r w:rsidRPr="0040535D">
        <w:rPr>
          <w:rFonts w:ascii="Times New Roman" w:hAnsi="Times New Roman"/>
          <w:sz w:val="24"/>
          <w:szCs w:val="24"/>
        </w:rPr>
        <w:t>i rozporządzeniu delegowanym Komisji (UE) Nr 240/2014 z dnia 7 stycznia 2014 r. w sprawie europejskiego kodeksu postępowania w zakresie partnerstwa w ramach europejskich funduszy strukturalnych i inwestycyjnych] (art. 16 ust. 2).</w:t>
      </w:r>
    </w:p>
    <w:p w14:paraId="0B52BAEE"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odniesieniu do reprezentacji instytucji zaangażowanych w realizację programów w komitecie monitorującym zaproponowano podejście zapewniające instytucji zarządzającej możliwość wyboru, które instytucje pośredniczące i wdrażające znajdą się w składzie komitetu monitorującego (art. 16 ust. 2 pkt </w:t>
      </w:r>
      <w:r w:rsidR="009C1216" w:rsidRPr="0040535D">
        <w:rPr>
          <w:rFonts w:ascii="Times New Roman" w:hAnsi="Times New Roman"/>
          <w:sz w:val="24"/>
          <w:szCs w:val="24"/>
        </w:rPr>
        <w:t>3</w:t>
      </w:r>
      <w:r w:rsidRPr="0040535D">
        <w:rPr>
          <w:rFonts w:ascii="Times New Roman" w:hAnsi="Times New Roman"/>
          <w:sz w:val="24"/>
          <w:szCs w:val="24"/>
        </w:rPr>
        <w:t xml:space="preserve">). W przypadku programów o dużej liczbie instytucji pośredniczących i wdrażających podobnego typu instytucja zarządzająca może zdecydować, czy konieczne jest zapraszanie wszystkich instytucji do składu komitetu monitorującego. Jednocześnie ustawa pozwala instytucjom zarządzającym w szerokim zakresie swobodnie kształtować skład </w:t>
      </w:r>
      <w:r w:rsidR="009C1216" w:rsidRPr="0040535D">
        <w:rPr>
          <w:rFonts w:ascii="Times New Roman" w:hAnsi="Times New Roman"/>
          <w:sz w:val="24"/>
          <w:szCs w:val="24"/>
        </w:rPr>
        <w:t xml:space="preserve">komitetu monitorującego </w:t>
      </w:r>
      <w:r w:rsidRPr="0040535D">
        <w:rPr>
          <w:rFonts w:ascii="Times New Roman" w:hAnsi="Times New Roman"/>
          <w:sz w:val="24"/>
          <w:szCs w:val="24"/>
        </w:rPr>
        <w:t>(</w:t>
      </w:r>
      <w:r w:rsidRPr="0040535D">
        <w:rPr>
          <w:rFonts w:ascii="Times New Roman" w:hAnsi="Times New Roman"/>
          <w:b/>
          <w:sz w:val="24"/>
          <w:szCs w:val="24"/>
        </w:rPr>
        <w:t>art. 17</w:t>
      </w:r>
      <w:r w:rsidRPr="0040535D">
        <w:rPr>
          <w:rFonts w:ascii="Times New Roman" w:hAnsi="Times New Roman"/>
          <w:sz w:val="24"/>
          <w:szCs w:val="24"/>
        </w:rPr>
        <w:t xml:space="preserve"> ust. 3). </w:t>
      </w:r>
    </w:p>
    <w:p w14:paraId="7FD9FFBE"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Ustawa zmienia zasady wyboru organizacji pozarządowych w stosunku do rozwiązań funkcjonujących w perspektywie finansowej 2014-2020. Ponieważ w myśl rozwiązań unijnych </w:t>
      </w:r>
      <w:r w:rsidRPr="0040535D">
        <w:rPr>
          <w:rFonts w:ascii="Times New Roman" w:hAnsi="Times New Roman"/>
          <w:sz w:val="24"/>
          <w:szCs w:val="24"/>
        </w:rPr>
        <w:lastRenderedPageBreak/>
        <w:t xml:space="preserve">stroną dialogu nie może być osoba fizyczna, zrezygnowano z wyboru konkretnych przedstawicieli organizacji pozarządowych do składu komitetu monitorującego na rzecz wyboru organizacji pozarządowych. Przewidziano, że </w:t>
      </w:r>
      <w:r w:rsidR="00C677EA" w:rsidRPr="0040535D">
        <w:rPr>
          <w:rFonts w:ascii="Times New Roman" w:hAnsi="Times New Roman"/>
          <w:sz w:val="24"/>
          <w:szCs w:val="24"/>
        </w:rPr>
        <w:t xml:space="preserve">organizacje pozarządowe zostaną wyłonione w </w:t>
      </w:r>
      <w:r w:rsidR="003D3E3A" w:rsidRPr="0040535D">
        <w:rPr>
          <w:rFonts w:ascii="Times New Roman" w:hAnsi="Times New Roman"/>
          <w:sz w:val="24"/>
          <w:szCs w:val="24"/>
        </w:rPr>
        <w:t xml:space="preserve">postepowaniach </w:t>
      </w:r>
      <w:r w:rsidR="00C677EA" w:rsidRPr="0040535D">
        <w:rPr>
          <w:rFonts w:ascii="Times New Roman" w:hAnsi="Times New Roman"/>
          <w:sz w:val="24"/>
          <w:szCs w:val="24"/>
        </w:rPr>
        <w:t>prowadzony</w:t>
      </w:r>
      <w:r w:rsidR="003D3E3A" w:rsidRPr="0040535D">
        <w:rPr>
          <w:rFonts w:ascii="Times New Roman" w:hAnsi="Times New Roman"/>
          <w:sz w:val="24"/>
          <w:szCs w:val="24"/>
        </w:rPr>
        <w:t>ch</w:t>
      </w:r>
      <w:r w:rsidR="00C677EA" w:rsidRPr="0040535D">
        <w:rPr>
          <w:rFonts w:ascii="Times New Roman" w:hAnsi="Times New Roman"/>
          <w:sz w:val="24"/>
          <w:szCs w:val="24"/>
        </w:rPr>
        <w:t xml:space="preserve"> przez Radę Działalności Pożytku Publicznego </w:t>
      </w:r>
      <w:r w:rsidR="003D3E3A" w:rsidRPr="0040535D">
        <w:rPr>
          <w:rFonts w:ascii="Times New Roman" w:hAnsi="Times New Roman"/>
          <w:sz w:val="24"/>
          <w:szCs w:val="24"/>
        </w:rPr>
        <w:t xml:space="preserve">lub </w:t>
      </w:r>
      <w:r w:rsidR="00C677EA" w:rsidRPr="0040535D">
        <w:rPr>
          <w:rFonts w:ascii="Times New Roman" w:hAnsi="Times New Roman"/>
          <w:sz w:val="24"/>
          <w:szCs w:val="24"/>
        </w:rPr>
        <w:t>właściwe Wojewódzkie Rady Działalności Pożytku Publicznego</w:t>
      </w:r>
      <w:r w:rsidR="00CA02B7" w:rsidRPr="0040535D">
        <w:rPr>
          <w:rFonts w:ascii="Times New Roman" w:hAnsi="Times New Roman"/>
          <w:sz w:val="24"/>
          <w:szCs w:val="24"/>
        </w:rPr>
        <w:t xml:space="preserve"> </w:t>
      </w:r>
      <w:r w:rsidR="00C677EA" w:rsidRPr="0040535D">
        <w:rPr>
          <w:rFonts w:ascii="Times New Roman" w:hAnsi="Times New Roman"/>
          <w:sz w:val="24"/>
          <w:szCs w:val="24"/>
        </w:rPr>
        <w:t>(art. 17 ust</w:t>
      </w:r>
      <w:r w:rsidR="00AD77D4" w:rsidRPr="0040535D">
        <w:rPr>
          <w:rFonts w:ascii="Times New Roman" w:hAnsi="Times New Roman"/>
          <w:sz w:val="24"/>
          <w:szCs w:val="24"/>
        </w:rPr>
        <w:t xml:space="preserve">. </w:t>
      </w:r>
      <w:r w:rsidR="00094D14" w:rsidRPr="0040535D">
        <w:rPr>
          <w:rFonts w:ascii="Times New Roman" w:hAnsi="Times New Roman"/>
          <w:sz w:val="24"/>
          <w:szCs w:val="24"/>
        </w:rPr>
        <w:t xml:space="preserve">1 pkt </w:t>
      </w:r>
      <w:r w:rsidR="00C677EA" w:rsidRPr="0040535D">
        <w:rPr>
          <w:rFonts w:ascii="Times New Roman" w:hAnsi="Times New Roman"/>
          <w:sz w:val="24"/>
          <w:szCs w:val="24"/>
        </w:rPr>
        <w:t xml:space="preserve">3). W </w:t>
      </w:r>
      <w:r w:rsidR="00C677EA" w:rsidRPr="0040535D">
        <w:rPr>
          <w:rFonts w:ascii="Times New Roman" w:hAnsi="Times New Roman"/>
          <w:b/>
          <w:sz w:val="24"/>
          <w:szCs w:val="24"/>
        </w:rPr>
        <w:t xml:space="preserve">art. </w:t>
      </w:r>
      <w:r w:rsidR="00E600A5" w:rsidRPr="0040535D">
        <w:rPr>
          <w:rFonts w:ascii="Times New Roman" w:hAnsi="Times New Roman"/>
          <w:b/>
          <w:sz w:val="24"/>
          <w:szCs w:val="24"/>
        </w:rPr>
        <w:t>18</w:t>
      </w:r>
      <w:r w:rsidR="00E600A5" w:rsidRPr="0040535D">
        <w:rPr>
          <w:rFonts w:ascii="Times New Roman" w:hAnsi="Times New Roman"/>
          <w:sz w:val="24"/>
          <w:szCs w:val="24"/>
        </w:rPr>
        <w:t xml:space="preserve"> </w:t>
      </w:r>
      <w:r w:rsidR="00C677EA" w:rsidRPr="0040535D">
        <w:rPr>
          <w:rFonts w:ascii="Times New Roman" w:hAnsi="Times New Roman"/>
          <w:sz w:val="24"/>
          <w:szCs w:val="24"/>
        </w:rPr>
        <w:t xml:space="preserve">określono podstawowe założenia i terminy dotyczące procedury wyłaniania organizacji pozarządowych oraz zasad współpracy </w:t>
      </w:r>
      <w:r w:rsidR="00C22B35" w:rsidRPr="0040535D">
        <w:rPr>
          <w:rFonts w:ascii="Times New Roman" w:hAnsi="Times New Roman"/>
          <w:sz w:val="24"/>
          <w:szCs w:val="24"/>
        </w:rPr>
        <w:t>R</w:t>
      </w:r>
      <w:r w:rsidR="00C677EA" w:rsidRPr="0040535D">
        <w:rPr>
          <w:rFonts w:ascii="Times New Roman" w:hAnsi="Times New Roman"/>
          <w:sz w:val="24"/>
          <w:szCs w:val="24"/>
        </w:rPr>
        <w:t xml:space="preserve">ad </w:t>
      </w:r>
      <w:r w:rsidR="00C22B35" w:rsidRPr="0040535D">
        <w:rPr>
          <w:rFonts w:ascii="Times New Roman" w:hAnsi="Times New Roman"/>
          <w:sz w:val="24"/>
          <w:szCs w:val="24"/>
        </w:rPr>
        <w:t>D</w:t>
      </w:r>
      <w:r w:rsidR="00C677EA" w:rsidRPr="0040535D">
        <w:rPr>
          <w:rFonts w:ascii="Times New Roman" w:hAnsi="Times New Roman"/>
          <w:sz w:val="24"/>
          <w:szCs w:val="24"/>
        </w:rPr>
        <w:t xml:space="preserve">ziałalności </w:t>
      </w:r>
      <w:r w:rsidR="00C22B35" w:rsidRPr="0040535D">
        <w:rPr>
          <w:rFonts w:ascii="Times New Roman" w:hAnsi="Times New Roman"/>
          <w:sz w:val="24"/>
          <w:szCs w:val="24"/>
        </w:rPr>
        <w:t>P</w:t>
      </w:r>
      <w:r w:rsidR="00C677EA" w:rsidRPr="0040535D">
        <w:rPr>
          <w:rFonts w:ascii="Times New Roman" w:hAnsi="Times New Roman"/>
          <w:sz w:val="24"/>
          <w:szCs w:val="24"/>
        </w:rPr>
        <w:t xml:space="preserve">ożytku </w:t>
      </w:r>
      <w:r w:rsidR="00C22B35" w:rsidRPr="0040535D">
        <w:rPr>
          <w:rFonts w:ascii="Times New Roman" w:hAnsi="Times New Roman"/>
          <w:sz w:val="24"/>
          <w:szCs w:val="24"/>
        </w:rPr>
        <w:t>P</w:t>
      </w:r>
      <w:r w:rsidR="00C677EA" w:rsidRPr="0040535D">
        <w:rPr>
          <w:rFonts w:ascii="Times New Roman" w:hAnsi="Times New Roman"/>
          <w:sz w:val="24"/>
          <w:szCs w:val="24"/>
        </w:rPr>
        <w:t>ublicznego z właściwymi instytucjami zarządzającymi.</w:t>
      </w:r>
      <w:r w:rsidR="00E600A5" w:rsidRPr="0040535D">
        <w:rPr>
          <w:rFonts w:ascii="Times New Roman" w:hAnsi="Times New Roman"/>
          <w:sz w:val="24"/>
          <w:szCs w:val="24"/>
        </w:rPr>
        <w:t xml:space="preserve"> </w:t>
      </w:r>
      <w:r w:rsidRPr="0040535D">
        <w:rPr>
          <w:rFonts w:ascii="Times New Roman" w:hAnsi="Times New Roman"/>
          <w:sz w:val="24"/>
          <w:szCs w:val="24"/>
        </w:rPr>
        <w:t>W ustawie wprowadzono</w:t>
      </w:r>
      <w:r w:rsidRPr="0040535D">
        <w:rPr>
          <w:rFonts w:ascii="Times New Roman" w:hAnsi="Times New Roman"/>
          <w:sz w:val="24"/>
          <w:szCs w:val="24"/>
          <w:lang w:eastAsia="pl-PL"/>
        </w:rPr>
        <w:t xml:space="preserve"> przepis mówiący o konieczności unormowania w regulaminie komitetu monitorującego szczegółowych kwestii dotyczących możliwości wyłączenia podmiotu ze składu komitetu monitorującego lub zmiany jego przedstawiciela w komitecie monitorującym (art. 17 ust. 8). W ten sposób przepisy jednoznacznie wskazują, że podstawę dla zmian w składzie komitetu monitorującego, tj. wyłączenia podmiotu ze składu komitetu monitorującego, lub zmiany przedstawiciela w komitecie monitorującym, stanowi regulamin komitetu monitorującego. </w:t>
      </w:r>
      <w:r w:rsidRPr="0040535D">
        <w:rPr>
          <w:rFonts w:ascii="Times New Roman" w:hAnsi="Times New Roman"/>
          <w:sz w:val="24"/>
          <w:szCs w:val="24"/>
        </w:rPr>
        <w:t xml:space="preserve">Regulacji dotyczących komitetów monitorujących nie stosuje się do programów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w:t>
      </w:r>
      <w:r w:rsidRPr="0040535D">
        <w:rPr>
          <w:rFonts w:ascii="Times New Roman" w:hAnsi="Times New Roman"/>
          <w:b/>
          <w:sz w:val="24"/>
          <w:szCs w:val="24"/>
        </w:rPr>
        <w:t xml:space="preserve">art. </w:t>
      </w:r>
      <w:r w:rsidR="00E600A5" w:rsidRPr="0040535D">
        <w:rPr>
          <w:rFonts w:ascii="Times New Roman" w:hAnsi="Times New Roman"/>
          <w:b/>
          <w:sz w:val="24"/>
          <w:szCs w:val="24"/>
        </w:rPr>
        <w:t>20</w:t>
      </w:r>
      <w:r w:rsidRPr="0040535D">
        <w:rPr>
          <w:rFonts w:ascii="Times New Roman" w:hAnsi="Times New Roman"/>
          <w:sz w:val="24"/>
          <w:szCs w:val="24"/>
        </w:rPr>
        <w:t>).</w:t>
      </w:r>
    </w:p>
    <w:p w14:paraId="69352092" w14:textId="77777777" w:rsidR="00E75AE2" w:rsidRPr="0040535D" w:rsidRDefault="00E75AE2" w:rsidP="009A0EE5">
      <w:pPr>
        <w:spacing w:after="0" w:line="360" w:lineRule="auto"/>
        <w:jc w:val="both"/>
        <w:rPr>
          <w:rFonts w:ascii="Times New Roman" w:hAnsi="Times New Roman"/>
          <w:sz w:val="24"/>
          <w:szCs w:val="24"/>
        </w:rPr>
      </w:pPr>
    </w:p>
    <w:p w14:paraId="362F6751" w14:textId="77777777" w:rsidR="00555DC0" w:rsidRPr="0040535D" w:rsidRDefault="00555DC0" w:rsidP="009A0EE5">
      <w:pPr>
        <w:spacing w:after="0" w:line="360" w:lineRule="auto"/>
        <w:jc w:val="both"/>
        <w:rPr>
          <w:rFonts w:ascii="Times New Roman" w:hAnsi="Times New Roman"/>
          <w:b/>
          <w:sz w:val="24"/>
          <w:szCs w:val="24"/>
        </w:rPr>
      </w:pPr>
      <w:r w:rsidRPr="0040535D">
        <w:rPr>
          <w:rFonts w:ascii="Times New Roman" w:hAnsi="Times New Roman"/>
          <w:b/>
          <w:sz w:val="24"/>
          <w:szCs w:val="24"/>
        </w:rPr>
        <w:t>Rozdział 6. Przepływy finansowe i system rozliczeń.</w:t>
      </w:r>
    </w:p>
    <w:p w14:paraId="539B65F1" w14:textId="77777777" w:rsidR="00555DC0" w:rsidRPr="0040535D" w:rsidRDefault="00E0306C" w:rsidP="008D25C4">
      <w:pPr>
        <w:spacing w:before="120" w:after="120" w:line="360" w:lineRule="auto"/>
        <w:jc w:val="both"/>
        <w:rPr>
          <w:rFonts w:ascii="Times New Roman" w:hAnsi="Times New Roman"/>
          <w:sz w:val="24"/>
          <w:szCs w:val="24"/>
        </w:rPr>
      </w:pPr>
      <w:r w:rsidRPr="0040535D">
        <w:rPr>
          <w:rFonts w:ascii="Times New Roman" w:hAnsi="Times New Roman"/>
          <w:sz w:val="24"/>
          <w:szCs w:val="24"/>
        </w:rPr>
        <w:t>W</w:t>
      </w:r>
      <w:r w:rsidR="00555DC0" w:rsidRPr="0040535D">
        <w:rPr>
          <w:rFonts w:ascii="Times New Roman" w:hAnsi="Times New Roman"/>
          <w:sz w:val="24"/>
          <w:szCs w:val="24"/>
        </w:rPr>
        <w:t xml:space="preserve"> art. 2</w:t>
      </w:r>
      <w:r w:rsidR="00E600A5" w:rsidRPr="0040535D">
        <w:rPr>
          <w:rFonts w:ascii="Times New Roman" w:hAnsi="Times New Roman"/>
          <w:sz w:val="24"/>
          <w:szCs w:val="24"/>
        </w:rPr>
        <w:t>1</w:t>
      </w:r>
      <w:r w:rsidR="00555DC0" w:rsidRPr="0040535D">
        <w:rPr>
          <w:rFonts w:ascii="Times New Roman" w:hAnsi="Times New Roman"/>
          <w:sz w:val="24"/>
          <w:szCs w:val="24"/>
        </w:rPr>
        <w:t xml:space="preserve"> – </w:t>
      </w:r>
      <w:r w:rsidR="003C15E4" w:rsidRPr="0040535D">
        <w:rPr>
          <w:rFonts w:ascii="Times New Roman" w:hAnsi="Times New Roman"/>
          <w:sz w:val="24"/>
          <w:szCs w:val="24"/>
        </w:rPr>
        <w:t xml:space="preserve">art. </w:t>
      </w:r>
      <w:r w:rsidR="00555DC0" w:rsidRPr="0040535D">
        <w:rPr>
          <w:rFonts w:ascii="Times New Roman" w:hAnsi="Times New Roman"/>
          <w:sz w:val="24"/>
          <w:szCs w:val="24"/>
        </w:rPr>
        <w:t>2</w:t>
      </w:r>
      <w:r w:rsidR="00E600A5" w:rsidRPr="0040535D">
        <w:rPr>
          <w:rFonts w:ascii="Times New Roman" w:hAnsi="Times New Roman"/>
          <w:sz w:val="24"/>
          <w:szCs w:val="24"/>
        </w:rPr>
        <w:t>3</w:t>
      </w:r>
      <w:r w:rsidR="00555DC0" w:rsidRPr="0040535D">
        <w:rPr>
          <w:rFonts w:ascii="Times New Roman" w:hAnsi="Times New Roman"/>
          <w:sz w:val="24"/>
          <w:szCs w:val="24"/>
        </w:rPr>
        <w:t xml:space="preserve"> określ</w:t>
      </w:r>
      <w:r w:rsidRPr="0040535D">
        <w:rPr>
          <w:rFonts w:ascii="Times New Roman" w:hAnsi="Times New Roman"/>
          <w:sz w:val="24"/>
          <w:szCs w:val="24"/>
        </w:rPr>
        <w:t xml:space="preserve">one zostały </w:t>
      </w:r>
      <w:r w:rsidR="00555DC0" w:rsidRPr="0040535D">
        <w:rPr>
          <w:rFonts w:ascii="Times New Roman" w:hAnsi="Times New Roman"/>
          <w:sz w:val="24"/>
          <w:szCs w:val="24"/>
        </w:rPr>
        <w:t>zasady funkcjonowania systemu przepływów i rozliczeń finansowych pomiędzy Polsk</w:t>
      </w:r>
      <w:r w:rsidR="00E14F40" w:rsidRPr="0040535D">
        <w:rPr>
          <w:rFonts w:ascii="Times New Roman" w:hAnsi="Times New Roman"/>
          <w:sz w:val="24"/>
          <w:szCs w:val="24"/>
        </w:rPr>
        <w:t>ą</w:t>
      </w:r>
      <w:r w:rsidR="00555DC0" w:rsidRPr="0040535D">
        <w:rPr>
          <w:rFonts w:ascii="Times New Roman" w:hAnsi="Times New Roman"/>
          <w:sz w:val="24"/>
          <w:szCs w:val="24"/>
        </w:rPr>
        <w:t xml:space="preserve"> a Komisją Europejską. Podkreślić należy, iż powyższe kwestie są w dużej mierze uregulowane w dwóch innych aktach prawnych, tj. </w:t>
      </w:r>
      <w:proofErr w:type="spellStart"/>
      <w:r w:rsidR="00DD083B" w:rsidRPr="0040535D">
        <w:rPr>
          <w:rFonts w:ascii="Times New Roman" w:hAnsi="Times New Roman"/>
          <w:sz w:val="24"/>
          <w:szCs w:val="24"/>
        </w:rPr>
        <w:t>ufp</w:t>
      </w:r>
      <w:proofErr w:type="spellEnd"/>
      <w:r w:rsidR="00555DC0" w:rsidRPr="0040535D">
        <w:rPr>
          <w:rFonts w:ascii="Times New Roman" w:hAnsi="Times New Roman"/>
          <w:sz w:val="24"/>
          <w:szCs w:val="24"/>
        </w:rPr>
        <w:t xml:space="preserve"> oraz w rozporządzeniu ogólnym. Omawiany rozdział reguluje tym samym jedynie kwestie nieuregulowane w żadnym z powyższych aktów prawnych.</w:t>
      </w:r>
    </w:p>
    <w:p w14:paraId="0BA2AE63" w14:textId="77777777" w:rsidR="00555DC0" w:rsidRPr="0040535D" w:rsidRDefault="00555DC0" w:rsidP="008D4E79">
      <w:pPr>
        <w:spacing w:before="120" w:after="120" w:line="360" w:lineRule="auto"/>
        <w:jc w:val="both"/>
        <w:rPr>
          <w:rFonts w:ascii="Times New Roman" w:hAnsi="Times New Roman"/>
          <w:sz w:val="24"/>
          <w:szCs w:val="24"/>
        </w:rPr>
      </w:pPr>
      <w:r w:rsidRPr="0040535D">
        <w:rPr>
          <w:rFonts w:ascii="Times New Roman" w:hAnsi="Times New Roman"/>
          <w:sz w:val="24"/>
          <w:szCs w:val="24"/>
        </w:rPr>
        <w:t>Co do zasady system przepływów finansowych oraz rozliczania programów w ramach perspektywy finansowej 2021-2027 nie ulegnie większym zmianom w stosunku do rozwiązań funkcjonujących w perspektywie finansowej 2014-2020.</w:t>
      </w:r>
    </w:p>
    <w:p w14:paraId="7B08CBA7" w14:textId="77777777" w:rsidR="00555DC0" w:rsidRPr="0040535D" w:rsidRDefault="00555DC0" w:rsidP="00A01FB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Utrzymano przepis </w:t>
      </w:r>
      <w:r w:rsidRPr="0040535D">
        <w:rPr>
          <w:rFonts w:ascii="Times New Roman" w:hAnsi="Times New Roman"/>
          <w:b/>
          <w:sz w:val="24"/>
          <w:szCs w:val="24"/>
        </w:rPr>
        <w:t>(art. 2</w:t>
      </w:r>
      <w:r w:rsidR="00E600A5" w:rsidRPr="0040535D">
        <w:rPr>
          <w:rFonts w:ascii="Times New Roman" w:hAnsi="Times New Roman"/>
          <w:b/>
          <w:sz w:val="24"/>
          <w:szCs w:val="24"/>
        </w:rPr>
        <w:t>1</w:t>
      </w:r>
      <w:r w:rsidRPr="0040535D">
        <w:rPr>
          <w:rFonts w:ascii="Times New Roman" w:hAnsi="Times New Roman"/>
          <w:b/>
          <w:sz w:val="24"/>
          <w:szCs w:val="24"/>
        </w:rPr>
        <w:t>)</w:t>
      </w:r>
      <w:r w:rsidRPr="0040535D">
        <w:rPr>
          <w:rFonts w:ascii="Times New Roman" w:hAnsi="Times New Roman"/>
          <w:sz w:val="24"/>
          <w:szCs w:val="24"/>
        </w:rPr>
        <w:t xml:space="preserve"> przesądzający, że podstawą do wyliczenia wkładu unijnego, o której mowa w art. </w:t>
      </w:r>
      <w:r w:rsidR="00E75AE2" w:rsidRPr="0040535D">
        <w:rPr>
          <w:rFonts w:ascii="Times New Roman" w:hAnsi="Times New Roman"/>
          <w:sz w:val="24"/>
          <w:szCs w:val="24"/>
        </w:rPr>
        <w:t xml:space="preserve">112 </w:t>
      </w:r>
      <w:r w:rsidRPr="0040535D">
        <w:rPr>
          <w:rFonts w:ascii="Times New Roman" w:hAnsi="Times New Roman"/>
          <w:sz w:val="24"/>
          <w:szCs w:val="24"/>
        </w:rPr>
        <w:t>ust. 2 rozporządzenia ogólnego, są całkowite wydatki kwalifikowa</w:t>
      </w:r>
      <w:r w:rsidR="006671BE" w:rsidRPr="0040535D">
        <w:rPr>
          <w:rFonts w:ascii="Times New Roman" w:hAnsi="Times New Roman"/>
          <w:sz w:val="24"/>
          <w:szCs w:val="24"/>
        </w:rPr>
        <w:t>l</w:t>
      </w:r>
      <w:r w:rsidRPr="0040535D">
        <w:rPr>
          <w:rFonts w:ascii="Times New Roman" w:hAnsi="Times New Roman"/>
          <w:sz w:val="24"/>
          <w:szCs w:val="24"/>
        </w:rPr>
        <w:t xml:space="preserve">ne, przy czym, zgodnie z ust. 2, w przypadku programów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podstawą do wyliczenia wkładu unijnego mogą być tylko </w:t>
      </w:r>
      <w:r w:rsidR="002D2C50" w:rsidRPr="0040535D">
        <w:rPr>
          <w:rFonts w:ascii="Times New Roman" w:hAnsi="Times New Roman"/>
          <w:sz w:val="24"/>
          <w:szCs w:val="24"/>
        </w:rPr>
        <w:t xml:space="preserve">kwalifikowalne </w:t>
      </w:r>
      <w:r w:rsidRPr="0040535D">
        <w:rPr>
          <w:rFonts w:ascii="Times New Roman" w:hAnsi="Times New Roman"/>
          <w:sz w:val="24"/>
          <w:szCs w:val="24"/>
        </w:rPr>
        <w:t>wydatki publiczne. Wybranie jako podstawy wyliczenia wkładu unijnego całkowitych wydatków kwalifikowalnych (tj. wydatków publicznych i prywatnych łącznie) przyczyni się do ograniczenia wydatków publicznych – w tym przede wszystkim wydatków budżetu państwa – na realizację projektów.</w:t>
      </w:r>
    </w:p>
    <w:p w14:paraId="1B79AEA5" w14:textId="77777777" w:rsidR="00555DC0" w:rsidRPr="0040535D" w:rsidRDefault="00555DC0" w:rsidP="00892DB5">
      <w:pPr>
        <w:spacing w:before="120" w:after="120" w:line="360" w:lineRule="auto"/>
        <w:jc w:val="both"/>
        <w:rPr>
          <w:rFonts w:ascii="Times New Roman" w:hAnsi="Times New Roman"/>
          <w:sz w:val="24"/>
          <w:szCs w:val="24"/>
        </w:rPr>
      </w:pPr>
      <w:r w:rsidRPr="0040535D">
        <w:rPr>
          <w:rFonts w:ascii="Times New Roman" w:hAnsi="Times New Roman"/>
          <w:b/>
          <w:sz w:val="24"/>
          <w:szCs w:val="24"/>
        </w:rPr>
        <w:lastRenderedPageBreak/>
        <w:t>Art. 2</w:t>
      </w:r>
      <w:r w:rsidR="00E600A5" w:rsidRPr="0040535D">
        <w:rPr>
          <w:rFonts w:ascii="Times New Roman" w:hAnsi="Times New Roman"/>
          <w:b/>
          <w:sz w:val="24"/>
          <w:szCs w:val="24"/>
        </w:rPr>
        <w:t>2</w:t>
      </w:r>
      <w:r w:rsidRPr="0040535D">
        <w:rPr>
          <w:rFonts w:ascii="Times New Roman" w:hAnsi="Times New Roman"/>
          <w:sz w:val="24"/>
          <w:szCs w:val="24"/>
        </w:rPr>
        <w:t xml:space="preserve"> określa tryb </w:t>
      </w:r>
      <w:r w:rsidR="002D2C50" w:rsidRPr="0040535D">
        <w:rPr>
          <w:rFonts w:ascii="Times New Roman" w:hAnsi="Times New Roman"/>
          <w:sz w:val="24"/>
          <w:szCs w:val="24"/>
        </w:rPr>
        <w:t>oraz</w:t>
      </w:r>
      <w:r w:rsidRPr="0040535D">
        <w:rPr>
          <w:rFonts w:ascii="Times New Roman" w:hAnsi="Times New Roman"/>
          <w:sz w:val="24"/>
          <w:szCs w:val="24"/>
        </w:rPr>
        <w:t xml:space="preserve"> terminy opracowywania i przekazywania przez instytucje krajowe (tj. instytucje zarządzające oraz instytucję audytową) dokumentów wymaganych przez Komisję Europejską w ramach procedury rocznego rozliczania wydatków. Biorąc pod uwagę kluczowy charakter omawianego procesu, którego rezultatem są transfery środków do państw członkowskich (a popełnione błędy skutkować mogą potencjalnie utratą części przyznanych środków), wskazane jest ustandaryzowanie na poziomie ustawowym trybu i terminów opracowywania i przekazywania przez instytucje krajowe wspomnianych dokumentów, co przyczyni się do usprawnienia omawianego procesu.</w:t>
      </w:r>
    </w:p>
    <w:p w14:paraId="262DB5DA" w14:textId="77777777" w:rsidR="00555DC0" w:rsidRPr="0040535D" w:rsidRDefault="00555DC0" w:rsidP="002B30D0">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Zgodnie z przyjętym rozwiązaniem, instytucja audytowa przekazuje instytucji zarządzającej wyniki zakończonych audytów systemów, audytów projektów i audytów zestawień wydatków. Instytucja zarządzająca uwzględnia w projekcie rocznego zestawienia wydatków ostateczne wyniki audytów przekazane do dnia 15 listopada roku w którym kończy się rok obrachunkowy, a następnie przekazuje instytucji audytowej projekt rocznego zestawienia wydatków w terminie do dnia 30 listopada roku, w którym kończy się rok obrachunkowy, którego dotyczy ten projekt. W kolejnym kroku instytucja audytowa przekazuje instytucji zarządzającej projekt sprawozdania, o którym mowa art. </w:t>
      </w:r>
      <w:r w:rsidR="00E600A5" w:rsidRPr="0040535D">
        <w:rPr>
          <w:rFonts w:ascii="Times New Roman" w:hAnsi="Times New Roman"/>
          <w:sz w:val="24"/>
          <w:szCs w:val="24"/>
        </w:rPr>
        <w:t xml:space="preserve">77 </w:t>
      </w:r>
      <w:r w:rsidRPr="0040535D">
        <w:rPr>
          <w:rFonts w:ascii="Times New Roman" w:hAnsi="Times New Roman"/>
          <w:sz w:val="24"/>
          <w:szCs w:val="24"/>
        </w:rPr>
        <w:t xml:space="preserve">ust. 3 lit. b rozporządzenia ogólnego oraz art. </w:t>
      </w:r>
      <w:r w:rsidR="00C05AEB" w:rsidRPr="0040535D">
        <w:rPr>
          <w:rFonts w:ascii="Times New Roman" w:hAnsi="Times New Roman"/>
          <w:sz w:val="24"/>
          <w:szCs w:val="24"/>
        </w:rPr>
        <w:t>48</w:t>
      </w:r>
      <w:r w:rsidR="002D2C50" w:rsidRPr="0040535D">
        <w:rPr>
          <w:rFonts w:ascii="Times New Roman" w:hAnsi="Times New Roman"/>
          <w:sz w:val="24"/>
          <w:szCs w:val="24"/>
        </w:rPr>
        <w:t xml:space="preserve"> ust. 6</w:t>
      </w:r>
      <w:r w:rsidR="00C05AEB" w:rsidRPr="0040535D">
        <w:rPr>
          <w:rFonts w:ascii="Times New Roman" w:hAnsi="Times New Roman"/>
          <w:sz w:val="24"/>
          <w:szCs w:val="24"/>
        </w:rPr>
        <w:t xml:space="preserve"> </w:t>
      </w:r>
      <w:r w:rsidRPr="0040535D">
        <w:rPr>
          <w:rFonts w:ascii="Times New Roman" w:hAnsi="Times New Roman"/>
          <w:sz w:val="24"/>
          <w:szCs w:val="24"/>
        </w:rPr>
        <w:t xml:space="preserve">rozporządzenia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do 15 stycznia roku następującego po roku obrachunkowym, którego dotyczą te dokumenty.</w:t>
      </w:r>
    </w:p>
    <w:p w14:paraId="42A631BB" w14:textId="77777777" w:rsidR="00D63CC2" w:rsidRPr="0040535D" w:rsidRDefault="00555DC0" w:rsidP="002B30D0">
      <w:pPr>
        <w:spacing w:before="120" w:after="120" w:line="360" w:lineRule="auto"/>
        <w:jc w:val="both"/>
        <w:rPr>
          <w:rFonts w:ascii="Times New Roman" w:hAnsi="Times New Roman"/>
          <w:sz w:val="24"/>
          <w:szCs w:val="24"/>
        </w:rPr>
      </w:pPr>
      <w:r w:rsidRPr="0040535D">
        <w:rPr>
          <w:rFonts w:ascii="Times New Roman" w:hAnsi="Times New Roman"/>
          <w:sz w:val="24"/>
          <w:szCs w:val="24"/>
        </w:rPr>
        <w:t>Następnie instytucja zarządzająca przekazuje instytucji audytowej ostateczną wersję rocznego zestawienia wydatków oraz deklaracji zarządczej w terminie do dnia 31 stycznia roku następującego po roku obrachunkowym, którego dotyczą te dokumenty.</w:t>
      </w:r>
      <w:r w:rsidR="00D63CC2" w:rsidRPr="0040535D">
        <w:rPr>
          <w:rFonts w:ascii="Times New Roman" w:hAnsi="Times New Roman"/>
          <w:sz w:val="24"/>
          <w:szCs w:val="24"/>
        </w:rPr>
        <w:t xml:space="preserve"> </w:t>
      </w:r>
      <w:r w:rsidR="00D63CC2" w:rsidRPr="0040535D">
        <w:rPr>
          <w:rFonts w:ascii="Times New Roman" w:hAnsi="Times New Roman"/>
          <w:sz w:val="24"/>
          <w:szCs w:val="24"/>
          <w:shd w:val="clear" w:color="auto" w:fill="FFFFFF"/>
        </w:rPr>
        <w:t>W uzasadnionych przypadkach, w szczególności z uwagi na istotność ustaleń lub potrzebę zasięgnięcia opinii właściwego organu lub instytucji Instytucja zarządzająca i instytucja audytowa mogą ustalić inne terminy na przekazanie dokumentów, niż określone w art. 22 ust. 4 i 5.</w:t>
      </w:r>
    </w:p>
    <w:p w14:paraId="7CCE9BFC" w14:textId="77777777" w:rsidR="00555DC0" w:rsidRPr="0040535D" w:rsidRDefault="00555DC0" w:rsidP="00EC2541">
      <w:pPr>
        <w:spacing w:before="120" w:after="120" w:line="360" w:lineRule="auto"/>
        <w:jc w:val="both"/>
        <w:rPr>
          <w:rFonts w:ascii="Times New Roman" w:hAnsi="Times New Roman"/>
          <w:sz w:val="24"/>
          <w:szCs w:val="24"/>
        </w:rPr>
      </w:pPr>
      <w:r w:rsidRPr="0040535D">
        <w:rPr>
          <w:rFonts w:ascii="Times New Roman" w:hAnsi="Times New Roman"/>
          <w:b/>
          <w:sz w:val="24"/>
          <w:szCs w:val="24"/>
        </w:rPr>
        <w:t xml:space="preserve">Art. </w:t>
      </w:r>
      <w:r w:rsidR="00E600A5" w:rsidRPr="0040535D">
        <w:rPr>
          <w:rFonts w:ascii="Times New Roman" w:hAnsi="Times New Roman"/>
          <w:b/>
          <w:sz w:val="24"/>
          <w:szCs w:val="24"/>
        </w:rPr>
        <w:t>23</w:t>
      </w:r>
      <w:r w:rsidR="00E600A5" w:rsidRPr="0040535D">
        <w:rPr>
          <w:rFonts w:ascii="Times New Roman" w:hAnsi="Times New Roman"/>
          <w:sz w:val="24"/>
          <w:szCs w:val="24"/>
        </w:rPr>
        <w:t xml:space="preserve"> </w:t>
      </w:r>
      <w:r w:rsidRPr="0040535D">
        <w:rPr>
          <w:rFonts w:ascii="Times New Roman" w:hAnsi="Times New Roman"/>
          <w:sz w:val="24"/>
          <w:szCs w:val="24"/>
        </w:rPr>
        <w:t>wprowadza ograniczenie zaangażowania środków współfinansowania krajowego z budżetu państwa w realizację projektów w ramach krajowego</w:t>
      </w:r>
      <w:r w:rsidR="007C2906" w:rsidRPr="007C2906">
        <w:rPr>
          <w:rFonts w:ascii="Times New Roman" w:hAnsi="Times New Roman"/>
          <w:sz w:val="24"/>
          <w:szCs w:val="24"/>
        </w:rPr>
        <w:t xml:space="preserve"> </w:t>
      </w:r>
      <w:r w:rsidR="007C2906">
        <w:rPr>
          <w:rFonts w:ascii="Times New Roman" w:hAnsi="Times New Roman"/>
          <w:sz w:val="24"/>
          <w:szCs w:val="24"/>
        </w:rPr>
        <w:t>programu</w:t>
      </w:r>
      <w:r w:rsidRPr="0040535D">
        <w:rPr>
          <w:rFonts w:ascii="Times New Roman" w:hAnsi="Times New Roman"/>
          <w:sz w:val="24"/>
          <w:szCs w:val="24"/>
        </w:rPr>
        <w:t xml:space="preserve"> albo regionalnego programu pomocowego. Procentowy udział wspomnianych środków nie będzie przekraczać minimalnego procentowego udziału środków współfinansowania krajowego dla dane</w:t>
      </w:r>
      <w:r w:rsidR="009F7CC9" w:rsidRPr="0040535D">
        <w:rPr>
          <w:rFonts w:ascii="Times New Roman" w:hAnsi="Times New Roman"/>
          <w:sz w:val="24"/>
          <w:szCs w:val="24"/>
        </w:rPr>
        <w:t>go</w:t>
      </w:r>
      <w:r w:rsidRPr="0040535D">
        <w:rPr>
          <w:rFonts w:ascii="Times New Roman" w:hAnsi="Times New Roman"/>
          <w:sz w:val="24"/>
          <w:szCs w:val="24"/>
        </w:rPr>
        <w:t xml:space="preserve"> priorytet</w:t>
      </w:r>
      <w:r w:rsidR="009F7CC9" w:rsidRPr="0040535D">
        <w:rPr>
          <w:rFonts w:ascii="Times New Roman" w:hAnsi="Times New Roman"/>
          <w:sz w:val="24"/>
          <w:szCs w:val="24"/>
        </w:rPr>
        <w:t>u</w:t>
      </w:r>
      <w:r w:rsidRPr="0040535D">
        <w:rPr>
          <w:rFonts w:ascii="Times New Roman" w:hAnsi="Times New Roman"/>
          <w:sz w:val="24"/>
          <w:szCs w:val="24"/>
        </w:rPr>
        <w:t xml:space="preserve"> wynikającego z art. </w:t>
      </w:r>
      <w:r w:rsidR="004C4C81" w:rsidRPr="0040535D">
        <w:rPr>
          <w:rFonts w:ascii="Times New Roman" w:hAnsi="Times New Roman"/>
          <w:sz w:val="24"/>
          <w:szCs w:val="24"/>
        </w:rPr>
        <w:t xml:space="preserve">112 </w:t>
      </w:r>
      <w:r w:rsidRPr="0040535D">
        <w:rPr>
          <w:rFonts w:ascii="Times New Roman" w:hAnsi="Times New Roman"/>
          <w:sz w:val="24"/>
          <w:szCs w:val="24"/>
        </w:rPr>
        <w:t>ust. 3 rozporządzenia ogólnego. Zastosowanie wyższego procentowego udziału środków współfinansowania krajowego z budżetu państwa w kosztach kwalifikowalnych wymagać będzie zgody ministra właściwego do spraw rozwoju regionalnego oraz ministra właściwego do spraw finansów publicznych.</w:t>
      </w:r>
    </w:p>
    <w:p w14:paraId="1D431693" w14:textId="77777777" w:rsidR="00555DC0" w:rsidRPr="0040535D" w:rsidRDefault="00555DC0" w:rsidP="004B71D0">
      <w:pPr>
        <w:spacing w:before="120" w:after="120" w:line="360" w:lineRule="auto"/>
        <w:jc w:val="both"/>
        <w:rPr>
          <w:rFonts w:ascii="Times New Roman" w:hAnsi="Times New Roman"/>
          <w:sz w:val="24"/>
          <w:szCs w:val="24"/>
        </w:rPr>
      </w:pPr>
      <w:r w:rsidRPr="0040535D">
        <w:rPr>
          <w:rFonts w:ascii="Times New Roman" w:hAnsi="Times New Roman"/>
          <w:sz w:val="24"/>
          <w:szCs w:val="24"/>
        </w:rPr>
        <w:lastRenderedPageBreak/>
        <w:t xml:space="preserve">Powyższe zasady nie będą obejmować sytuacji, w przypadku których przepisy odrębne, jak np. regulacje unijne dotyczące pomocy publicznej, będą stanowić w tej kwestii inaczej i nadkładać odmienne niż wskazane powyżej ograniczenia odnośnie </w:t>
      </w:r>
      <w:r w:rsidR="00CC2AF4" w:rsidRPr="0040535D">
        <w:rPr>
          <w:rFonts w:ascii="Times New Roman" w:hAnsi="Times New Roman"/>
          <w:sz w:val="24"/>
          <w:szCs w:val="24"/>
        </w:rPr>
        <w:t xml:space="preserve">do </w:t>
      </w:r>
      <w:r w:rsidRPr="0040535D">
        <w:rPr>
          <w:rFonts w:ascii="Times New Roman" w:hAnsi="Times New Roman"/>
          <w:sz w:val="24"/>
          <w:szCs w:val="24"/>
        </w:rPr>
        <w:t xml:space="preserve">poziomu zaangażowania środków budżetu państwa w realizację projektów. W programach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ma zastosowanie odrębna zasada podziału współfinansowania krajowego z budżetu państwa w wydatkach kwalifikowalnych. Wynika to z międzynarodowej specyfiki tych programów i możliwości przyjęcia w poszczególnych państwach członkowskich zróżnicowanych poziomów dofinansowania.</w:t>
      </w:r>
    </w:p>
    <w:p w14:paraId="31C5BAFA" w14:textId="77777777" w:rsidR="000734EA" w:rsidRPr="0040535D" w:rsidRDefault="00555DC0" w:rsidP="00312C3F">
      <w:pPr>
        <w:spacing w:after="0" w:line="360" w:lineRule="auto"/>
        <w:jc w:val="both"/>
        <w:rPr>
          <w:rFonts w:ascii="Times New Roman" w:hAnsi="Times New Roman"/>
          <w:sz w:val="24"/>
          <w:szCs w:val="24"/>
        </w:rPr>
      </w:pPr>
      <w:r w:rsidRPr="0040535D">
        <w:rPr>
          <w:rFonts w:ascii="Times New Roman" w:hAnsi="Times New Roman"/>
          <w:sz w:val="24"/>
          <w:szCs w:val="24"/>
        </w:rPr>
        <w:t>Celem wspomnianego rozwiązania jest ograniczenie do niezbędnego minimum obciążania budżetu państwa z tytułu realizacji projektów unijnych.</w:t>
      </w:r>
    </w:p>
    <w:p w14:paraId="09A2DDCB" w14:textId="77777777" w:rsidR="00E600A5" w:rsidRPr="0040535D" w:rsidRDefault="00E600A5" w:rsidP="00100244">
      <w:pPr>
        <w:autoSpaceDE w:val="0"/>
        <w:autoSpaceDN w:val="0"/>
        <w:adjustRightInd w:val="0"/>
        <w:spacing w:after="0" w:line="360" w:lineRule="auto"/>
        <w:jc w:val="both"/>
        <w:rPr>
          <w:rFonts w:ascii="Times New Roman" w:hAnsi="Times New Roman"/>
          <w:sz w:val="24"/>
          <w:szCs w:val="24"/>
          <w:lang w:eastAsia="pl-PL"/>
        </w:rPr>
      </w:pPr>
    </w:p>
    <w:p w14:paraId="48236779" w14:textId="77777777" w:rsidR="00555DC0" w:rsidRPr="0040535D" w:rsidRDefault="00555DC0" w:rsidP="00B603B4">
      <w:pPr>
        <w:spacing w:after="0" w:line="360" w:lineRule="auto"/>
        <w:jc w:val="both"/>
        <w:rPr>
          <w:rFonts w:ascii="Times New Roman" w:hAnsi="Times New Roman"/>
          <w:b/>
          <w:bCs/>
          <w:sz w:val="24"/>
          <w:szCs w:val="24"/>
        </w:rPr>
      </w:pPr>
      <w:r w:rsidRPr="0040535D">
        <w:rPr>
          <w:rFonts w:ascii="Times New Roman" w:hAnsi="Times New Roman"/>
          <w:b/>
          <w:bCs/>
          <w:sz w:val="24"/>
          <w:szCs w:val="24"/>
        </w:rPr>
        <w:t xml:space="preserve">Rozdział </w:t>
      </w:r>
      <w:r w:rsidR="0090611F" w:rsidRPr="0040535D">
        <w:rPr>
          <w:rFonts w:ascii="Times New Roman" w:hAnsi="Times New Roman"/>
          <w:b/>
          <w:bCs/>
          <w:sz w:val="24"/>
          <w:szCs w:val="24"/>
        </w:rPr>
        <w:t>7</w:t>
      </w:r>
      <w:r w:rsidRPr="0040535D">
        <w:rPr>
          <w:rFonts w:ascii="Times New Roman" w:hAnsi="Times New Roman"/>
          <w:b/>
          <w:bCs/>
          <w:sz w:val="24"/>
          <w:szCs w:val="24"/>
        </w:rPr>
        <w:t xml:space="preserve">. Kontrola i </w:t>
      </w:r>
      <w:r w:rsidR="001A65EF" w:rsidRPr="0040535D">
        <w:rPr>
          <w:rFonts w:ascii="Times New Roman" w:hAnsi="Times New Roman"/>
          <w:b/>
          <w:bCs/>
          <w:sz w:val="24"/>
          <w:szCs w:val="24"/>
        </w:rPr>
        <w:t>niepraw</w:t>
      </w:r>
      <w:r w:rsidR="00E600A5" w:rsidRPr="0040535D">
        <w:rPr>
          <w:rFonts w:ascii="Times New Roman" w:hAnsi="Times New Roman"/>
          <w:b/>
          <w:bCs/>
          <w:sz w:val="24"/>
          <w:szCs w:val="24"/>
        </w:rPr>
        <w:t>i</w:t>
      </w:r>
      <w:r w:rsidR="001A65EF" w:rsidRPr="0040535D">
        <w:rPr>
          <w:rFonts w:ascii="Times New Roman" w:hAnsi="Times New Roman"/>
          <w:b/>
          <w:bCs/>
          <w:sz w:val="24"/>
          <w:szCs w:val="24"/>
        </w:rPr>
        <w:t>dłowości</w:t>
      </w:r>
      <w:r w:rsidRPr="0040535D">
        <w:rPr>
          <w:rFonts w:ascii="Times New Roman" w:hAnsi="Times New Roman"/>
          <w:b/>
          <w:bCs/>
          <w:sz w:val="24"/>
          <w:szCs w:val="24"/>
        </w:rPr>
        <w:t>.</w:t>
      </w:r>
    </w:p>
    <w:p w14:paraId="114565AD" w14:textId="77777777" w:rsidR="00555DC0" w:rsidRPr="0040535D" w:rsidRDefault="00555DC0" w:rsidP="00523EA5">
      <w:pPr>
        <w:spacing w:after="0" w:line="360" w:lineRule="auto"/>
        <w:jc w:val="both"/>
        <w:rPr>
          <w:rFonts w:ascii="Times New Roman" w:hAnsi="Times New Roman"/>
          <w:sz w:val="24"/>
          <w:szCs w:val="24"/>
        </w:rPr>
      </w:pPr>
      <w:r w:rsidRPr="0040535D">
        <w:rPr>
          <w:rFonts w:ascii="Times New Roman" w:hAnsi="Times New Roman"/>
          <w:sz w:val="24"/>
          <w:szCs w:val="24"/>
        </w:rPr>
        <w:t xml:space="preserve">Rozdział </w:t>
      </w:r>
      <w:r w:rsidR="0090611F" w:rsidRPr="0040535D">
        <w:rPr>
          <w:rFonts w:ascii="Times New Roman" w:hAnsi="Times New Roman"/>
          <w:sz w:val="24"/>
          <w:szCs w:val="24"/>
        </w:rPr>
        <w:t>7</w:t>
      </w:r>
      <w:r w:rsidR="00B91F07" w:rsidRPr="0040535D">
        <w:rPr>
          <w:rFonts w:ascii="Times New Roman" w:hAnsi="Times New Roman"/>
          <w:sz w:val="24"/>
          <w:szCs w:val="24"/>
        </w:rPr>
        <w:t xml:space="preserve"> Kontrola i audyt </w:t>
      </w:r>
      <w:r w:rsidRPr="0040535D">
        <w:rPr>
          <w:rFonts w:ascii="Times New Roman" w:hAnsi="Times New Roman"/>
          <w:sz w:val="24"/>
          <w:szCs w:val="24"/>
        </w:rPr>
        <w:t>(art. 2</w:t>
      </w:r>
      <w:r w:rsidR="0090611F" w:rsidRPr="0040535D">
        <w:rPr>
          <w:rFonts w:ascii="Times New Roman" w:hAnsi="Times New Roman"/>
          <w:sz w:val="24"/>
          <w:szCs w:val="24"/>
        </w:rPr>
        <w:t>4</w:t>
      </w:r>
      <w:r w:rsidR="0084355B" w:rsidRPr="0040535D">
        <w:rPr>
          <w:rFonts w:ascii="Times New Roman" w:hAnsi="Times New Roman"/>
          <w:sz w:val="24"/>
          <w:szCs w:val="24"/>
        </w:rPr>
        <w:t xml:space="preserve"> – art.</w:t>
      </w:r>
      <w:r w:rsidR="00EE2D77" w:rsidRPr="0040535D" w:rsidDel="00EE2D77">
        <w:rPr>
          <w:rFonts w:ascii="Times New Roman" w:hAnsi="Times New Roman"/>
          <w:sz w:val="24"/>
          <w:szCs w:val="24"/>
        </w:rPr>
        <w:t xml:space="preserve"> </w:t>
      </w:r>
      <w:r w:rsidRPr="0040535D">
        <w:rPr>
          <w:rFonts w:ascii="Times New Roman" w:hAnsi="Times New Roman"/>
          <w:sz w:val="24"/>
          <w:szCs w:val="24"/>
        </w:rPr>
        <w:t>2</w:t>
      </w:r>
      <w:r w:rsidR="0090611F" w:rsidRPr="0040535D">
        <w:rPr>
          <w:rFonts w:ascii="Times New Roman" w:hAnsi="Times New Roman"/>
          <w:sz w:val="24"/>
          <w:szCs w:val="24"/>
        </w:rPr>
        <w:t>7</w:t>
      </w:r>
      <w:r w:rsidRPr="0040535D">
        <w:rPr>
          <w:rFonts w:ascii="Times New Roman" w:hAnsi="Times New Roman"/>
          <w:sz w:val="24"/>
          <w:szCs w:val="24"/>
        </w:rPr>
        <w:t xml:space="preserve">) poświęcony jest głównie kontroli funduszy strukturalnych i Funduszu Spójności, a także zagadnieniu nieprawidłowości, które mogą wystąpić w procesie realizacji programów, oraz ich korygowaniu. Z uwagi na fakt, że audyt gospodarowania środkami pochodzącymi z budżetu Unii Europejskiej wykonywany </w:t>
      </w:r>
      <w:r w:rsidR="00E16F44" w:rsidRPr="0040535D">
        <w:rPr>
          <w:rFonts w:ascii="Times New Roman" w:hAnsi="Times New Roman"/>
          <w:sz w:val="24"/>
          <w:szCs w:val="24"/>
        </w:rPr>
        <w:t xml:space="preserve">jest </w:t>
      </w:r>
      <w:r w:rsidRPr="0040535D">
        <w:rPr>
          <w:rFonts w:ascii="Times New Roman" w:hAnsi="Times New Roman"/>
          <w:sz w:val="24"/>
          <w:szCs w:val="24"/>
        </w:rPr>
        <w:t>przez Instytucję Audytową, czyli Szefa Krajowej Administracji Skarbowej</w:t>
      </w:r>
      <w:r w:rsidR="006B0C91" w:rsidRPr="0040535D">
        <w:rPr>
          <w:rFonts w:ascii="Times New Roman" w:hAnsi="Times New Roman"/>
          <w:sz w:val="24"/>
          <w:szCs w:val="24"/>
        </w:rPr>
        <w:t>, z wyłączeniem przypadku, o którym mowa w art. 13 ust. 2;</w:t>
      </w:r>
      <w:r w:rsidRPr="0040535D">
        <w:rPr>
          <w:rFonts w:ascii="Times New Roman" w:hAnsi="Times New Roman"/>
          <w:sz w:val="24"/>
          <w:szCs w:val="24"/>
        </w:rPr>
        <w:t xml:space="preserve"> został szczegółowo uregulowany w ustawie o </w:t>
      </w:r>
      <w:r w:rsidR="00CB5C9F">
        <w:rPr>
          <w:rFonts w:ascii="Times New Roman" w:hAnsi="Times New Roman"/>
          <w:sz w:val="24"/>
          <w:szCs w:val="24"/>
        </w:rPr>
        <w:t>K</w:t>
      </w:r>
      <w:r w:rsidRPr="0040535D">
        <w:rPr>
          <w:rFonts w:ascii="Times New Roman" w:hAnsi="Times New Roman"/>
          <w:sz w:val="24"/>
          <w:szCs w:val="24"/>
        </w:rPr>
        <w:t xml:space="preserve">rajowej </w:t>
      </w:r>
      <w:r w:rsidR="00CB5C9F">
        <w:rPr>
          <w:rFonts w:ascii="Times New Roman" w:hAnsi="Times New Roman"/>
          <w:sz w:val="24"/>
          <w:szCs w:val="24"/>
        </w:rPr>
        <w:t>A</w:t>
      </w:r>
      <w:r w:rsidRPr="0040535D">
        <w:rPr>
          <w:rFonts w:ascii="Times New Roman" w:hAnsi="Times New Roman"/>
          <w:sz w:val="24"/>
          <w:szCs w:val="24"/>
        </w:rPr>
        <w:t xml:space="preserve">dministracji </w:t>
      </w:r>
      <w:r w:rsidR="00CB5C9F">
        <w:rPr>
          <w:rFonts w:ascii="Times New Roman" w:hAnsi="Times New Roman"/>
          <w:sz w:val="24"/>
          <w:szCs w:val="24"/>
        </w:rPr>
        <w:t>S</w:t>
      </w:r>
      <w:r w:rsidRPr="0040535D">
        <w:rPr>
          <w:rFonts w:ascii="Times New Roman" w:hAnsi="Times New Roman"/>
          <w:sz w:val="24"/>
          <w:szCs w:val="24"/>
        </w:rPr>
        <w:t xml:space="preserve">karbowej, w rozdziale </w:t>
      </w:r>
      <w:r w:rsidR="00E250D4" w:rsidRPr="0040535D">
        <w:rPr>
          <w:rFonts w:ascii="Times New Roman" w:hAnsi="Times New Roman"/>
          <w:sz w:val="24"/>
          <w:szCs w:val="24"/>
        </w:rPr>
        <w:t>7</w:t>
      </w:r>
      <w:r w:rsidRPr="0040535D">
        <w:rPr>
          <w:rFonts w:ascii="Times New Roman" w:hAnsi="Times New Roman"/>
          <w:sz w:val="24"/>
          <w:szCs w:val="24"/>
        </w:rPr>
        <w:t xml:space="preserve"> </w:t>
      </w:r>
      <w:r w:rsidR="00525920" w:rsidRPr="0040535D">
        <w:rPr>
          <w:rFonts w:ascii="Times New Roman" w:hAnsi="Times New Roman"/>
          <w:sz w:val="24"/>
          <w:szCs w:val="24"/>
        </w:rPr>
        <w:t xml:space="preserve">wzmiankuje się </w:t>
      </w:r>
      <w:r w:rsidRPr="0040535D">
        <w:rPr>
          <w:rFonts w:ascii="Times New Roman" w:hAnsi="Times New Roman"/>
          <w:sz w:val="24"/>
          <w:szCs w:val="24"/>
        </w:rPr>
        <w:t>o nim jedynie ogólnie.</w:t>
      </w:r>
    </w:p>
    <w:p w14:paraId="2E5A53B9" w14:textId="77777777" w:rsidR="00B91F07" w:rsidRPr="0040535D" w:rsidRDefault="00B91F07" w:rsidP="00523EA5">
      <w:pPr>
        <w:spacing w:after="0" w:line="360" w:lineRule="auto"/>
        <w:jc w:val="both"/>
        <w:rPr>
          <w:rFonts w:ascii="Times New Roman" w:hAnsi="Times New Roman"/>
          <w:sz w:val="24"/>
          <w:szCs w:val="24"/>
        </w:rPr>
      </w:pPr>
      <w:r w:rsidRPr="0040535D">
        <w:rPr>
          <w:rFonts w:ascii="Times New Roman" w:hAnsi="Times New Roman"/>
          <w:sz w:val="24"/>
          <w:szCs w:val="24"/>
        </w:rPr>
        <w:t>Kontrola i audyt środków europejskich to tematyka, która podlega regulacjom unijnym, w szczególności w ramach rozporządzenia ogólnego. Przepisy unijne nie precyzują jednak i nie narzucają państwom członkowskim szczegółowych rozwiązań, pozostawiając w gestii władz krajowych kwestie dotyczące przypisania poszczególnym instytucjom kompetencji w zakresie prowadzonych przez nie działań kontrolnych, a także szczegółowego zakresu weryfikowanego w trakcie czynności kontrolnych.</w:t>
      </w:r>
    </w:p>
    <w:p w14:paraId="5A4AAAAF" w14:textId="77777777" w:rsidR="00555DC0" w:rsidRPr="0040535D" w:rsidRDefault="00555DC0" w:rsidP="00F53118">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Podstawową zasadą, którą kierowano się przy tworzeniu przepisów w zakresie kontroli w perspektywie finansowej 2021-2027 było zachowanie ciągłości rozwiązań sprawdzonych w systemie kontroli perspektywy 2014-2020 (wraz z ich uzupełnieniem) oraz rozwiązań, których ciągłość jest wymagana przez Komisję Europejską ze względu na wymogi rozporządzeń </w:t>
      </w:r>
      <w:r w:rsidR="000007A3" w:rsidRPr="0040535D">
        <w:rPr>
          <w:rFonts w:ascii="Times New Roman" w:hAnsi="Times New Roman"/>
          <w:sz w:val="24"/>
          <w:szCs w:val="24"/>
        </w:rPr>
        <w:t xml:space="preserve">unijnych </w:t>
      </w:r>
      <w:r w:rsidRPr="0040535D">
        <w:rPr>
          <w:rFonts w:ascii="Times New Roman" w:hAnsi="Times New Roman"/>
          <w:sz w:val="24"/>
          <w:szCs w:val="24"/>
        </w:rPr>
        <w:t>oraz ustalenia przeprowadzonych audytów.</w:t>
      </w:r>
    </w:p>
    <w:p w14:paraId="7D82EA8A" w14:textId="77777777" w:rsidR="00B91F07" w:rsidRPr="0040535D" w:rsidRDefault="00B91F07" w:rsidP="00285FCD">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art. 2</w:t>
      </w:r>
      <w:r w:rsidR="00E250D4" w:rsidRPr="0040535D">
        <w:rPr>
          <w:rFonts w:ascii="Times New Roman" w:hAnsi="Times New Roman"/>
          <w:b/>
          <w:sz w:val="24"/>
          <w:szCs w:val="24"/>
        </w:rPr>
        <w:t>4</w:t>
      </w:r>
      <w:r w:rsidRPr="0040535D">
        <w:rPr>
          <w:rFonts w:ascii="Times New Roman" w:hAnsi="Times New Roman"/>
          <w:sz w:val="24"/>
          <w:szCs w:val="24"/>
        </w:rPr>
        <w:t xml:space="preserve"> ust. 1 wskazano, że na kontrolę i audyt programów polityki spójności składają się: </w:t>
      </w:r>
    </w:p>
    <w:p w14:paraId="226CB0B6" w14:textId="77777777" w:rsidR="00B91F07" w:rsidRPr="0040535D" w:rsidRDefault="00B91F07" w:rsidP="00B32507">
      <w:pPr>
        <w:widowControl w:val="0"/>
        <w:numPr>
          <w:ilvl w:val="0"/>
          <w:numId w:val="22"/>
        </w:num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kontrole realizacji programu, </w:t>
      </w:r>
    </w:p>
    <w:p w14:paraId="3EC40445" w14:textId="77777777" w:rsidR="00743A2C" w:rsidRPr="0040535D" w:rsidRDefault="00B91F07" w:rsidP="00155913">
      <w:pPr>
        <w:widowControl w:val="0"/>
        <w:numPr>
          <w:ilvl w:val="0"/>
          <w:numId w:val="22"/>
        </w:num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audyty, o których mowa w art. </w:t>
      </w:r>
      <w:r w:rsidR="00E75AE2" w:rsidRPr="0040535D">
        <w:rPr>
          <w:rFonts w:ascii="Times New Roman" w:hAnsi="Times New Roman"/>
          <w:sz w:val="24"/>
          <w:szCs w:val="24"/>
        </w:rPr>
        <w:t xml:space="preserve">77 </w:t>
      </w:r>
      <w:r w:rsidR="00525920" w:rsidRPr="0040535D">
        <w:rPr>
          <w:rFonts w:ascii="Times New Roman" w:hAnsi="Times New Roman"/>
          <w:sz w:val="24"/>
          <w:szCs w:val="24"/>
        </w:rPr>
        <w:t xml:space="preserve">ust. 1 </w:t>
      </w:r>
      <w:r w:rsidRPr="0040535D">
        <w:rPr>
          <w:rFonts w:ascii="Times New Roman" w:hAnsi="Times New Roman"/>
          <w:sz w:val="24"/>
          <w:szCs w:val="24"/>
        </w:rPr>
        <w:t xml:space="preserve">rozporządzenia ogólnego oraz art. </w:t>
      </w:r>
      <w:r w:rsidR="00C05AEB" w:rsidRPr="0040535D">
        <w:rPr>
          <w:rFonts w:ascii="Times New Roman" w:hAnsi="Times New Roman"/>
          <w:sz w:val="24"/>
          <w:szCs w:val="24"/>
        </w:rPr>
        <w:t xml:space="preserve">48 </w:t>
      </w:r>
      <w:r w:rsidR="00525920" w:rsidRPr="0040535D">
        <w:rPr>
          <w:rFonts w:ascii="Times New Roman" w:hAnsi="Times New Roman"/>
          <w:sz w:val="24"/>
          <w:szCs w:val="24"/>
        </w:rPr>
        <w:t xml:space="preserve">ust. 2 </w:t>
      </w:r>
      <w:r w:rsidRPr="0040535D">
        <w:rPr>
          <w:rFonts w:ascii="Times New Roman" w:hAnsi="Times New Roman"/>
          <w:sz w:val="24"/>
          <w:szCs w:val="24"/>
        </w:rPr>
        <w:lastRenderedPageBreak/>
        <w:t xml:space="preserve">rozporządzenia </w:t>
      </w:r>
      <w:proofErr w:type="spellStart"/>
      <w:r w:rsidRPr="0040535D">
        <w:rPr>
          <w:rFonts w:ascii="Times New Roman" w:hAnsi="Times New Roman"/>
          <w:sz w:val="24"/>
          <w:szCs w:val="24"/>
        </w:rPr>
        <w:t>Interreg</w:t>
      </w:r>
      <w:proofErr w:type="spellEnd"/>
      <w:r w:rsidR="00CB5C9F">
        <w:rPr>
          <w:rFonts w:ascii="Times New Roman" w:hAnsi="Times New Roman"/>
          <w:sz w:val="24"/>
          <w:szCs w:val="24"/>
        </w:rPr>
        <w:t>,</w:t>
      </w:r>
      <w:r w:rsidRPr="0040535D">
        <w:rPr>
          <w:rFonts w:ascii="Times New Roman" w:hAnsi="Times New Roman"/>
          <w:sz w:val="24"/>
          <w:szCs w:val="24"/>
        </w:rPr>
        <w:t xml:space="preserve"> oraz</w:t>
      </w:r>
    </w:p>
    <w:p w14:paraId="00E48FDB" w14:textId="77777777" w:rsidR="00743A2C" w:rsidRPr="0040535D" w:rsidRDefault="00743A2C" w:rsidP="00B41B1A">
      <w:pPr>
        <w:widowControl w:val="0"/>
        <w:numPr>
          <w:ilvl w:val="0"/>
          <w:numId w:val="22"/>
        </w:num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kontrole wykonywane przez ministra właściwego do spraw rozwoju regionalnego działającego jako państwo członkowskie - rozwiązanie nowe wobec funkcjonujących w perspektywie finansowej 2014-2020, wprowadzone ze względu na rezygnację w perspektywie finansowej 2021-2027 z mechanizmu udzielania desygnacji (oraz corocznej weryfikacji spełniania kryteriów z nią związanych).</w:t>
      </w:r>
    </w:p>
    <w:p w14:paraId="5B6F6E4B" w14:textId="77777777" w:rsidR="00555DC0" w:rsidRPr="0040535D" w:rsidRDefault="00B91F07" w:rsidP="005D004E">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Kontrole wykonywane przez </w:t>
      </w:r>
      <w:r w:rsidR="00555DC0" w:rsidRPr="0040535D">
        <w:rPr>
          <w:rFonts w:ascii="Times New Roman" w:hAnsi="Times New Roman"/>
          <w:sz w:val="24"/>
          <w:szCs w:val="24"/>
        </w:rPr>
        <w:t>ministra właściwego d</w:t>
      </w:r>
      <w:r w:rsidR="000007A3" w:rsidRPr="0040535D">
        <w:rPr>
          <w:rFonts w:ascii="Times New Roman" w:hAnsi="Times New Roman"/>
          <w:sz w:val="24"/>
          <w:szCs w:val="24"/>
        </w:rPr>
        <w:t>o spraw</w:t>
      </w:r>
      <w:r w:rsidR="00555DC0" w:rsidRPr="0040535D">
        <w:rPr>
          <w:rFonts w:ascii="Times New Roman" w:hAnsi="Times New Roman"/>
          <w:sz w:val="24"/>
          <w:szCs w:val="24"/>
        </w:rPr>
        <w:t xml:space="preserve"> rozwoju regionalnego</w:t>
      </w:r>
      <w:r w:rsidRPr="0040535D">
        <w:rPr>
          <w:rFonts w:ascii="Times New Roman" w:hAnsi="Times New Roman"/>
          <w:sz w:val="24"/>
          <w:szCs w:val="24"/>
        </w:rPr>
        <w:t xml:space="preserve"> działającego jako państwo członkowskie mają na</w:t>
      </w:r>
      <w:r w:rsidR="00555DC0" w:rsidRPr="0040535D">
        <w:rPr>
          <w:rFonts w:ascii="Times New Roman" w:hAnsi="Times New Roman"/>
          <w:sz w:val="24"/>
          <w:szCs w:val="24"/>
        </w:rPr>
        <w:t xml:space="preserve"> celu zapewnieni</w:t>
      </w:r>
      <w:r w:rsidRPr="0040535D">
        <w:rPr>
          <w:rFonts w:ascii="Times New Roman" w:hAnsi="Times New Roman"/>
          <w:sz w:val="24"/>
          <w:szCs w:val="24"/>
        </w:rPr>
        <w:t>e</w:t>
      </w:r>
      <w:r w:rsidR="00555DC0" w:rsidRPr="0040535D">
        <w:rPr>
          <w:rFonts w:ascii="Times New Roman" w:hAnsi="Times New Roman"/>
          <w:sz w:val="24"/>
          <w:szCs w:val="24"/>
        </w:rPr>
        <w:t xml:space="preserve"> zgodności realizacji programów z przepisami unijnymi i krajowymi, w tym z ustawą, umową partnerstwa oraz kontraktem programowym</w:t>
      </w:r>
      <w:r w:rsidR="000007A3" w:rsidRPr="0040535D">
        <w:rPr>
          <w:rFonts w:ascii="Times New Roman" w:hAnsi="Times New Roman"/>
          <w:sz w:val="24"/>
          <w:szCs w:val="24"/>
        </w:rPr>
        <w:t xml:space="preserve">, o którym mowa w </w:t>
      </w:r>
      <w:proofErr w:type="spellStart"/>
      <w:r w:rsidR="000007A3" w:rsidRPr="0040535D">
        <w:rPr>
          <w:rFonts w:ascii="Times New Roman" w:hAnsi="Times New Roman"/>
          <w:sz w:val="24"/>
          <w:szCs w:val="24"/>
        </w:rPr>
        <w:t>uzppr</w:t>
      </w:r>
      <w:proofErr w:type="spellEnd"/>
      <w:r w:rsidR="00555DC0" w:rsidRPr="0040535D">
        <w:rPr>
          <w:rFonts w:ascii="Times New Roman" w:hAnsi="Times New Roman"/>
          <w:sz w:val="24"/>
          <w:szCs w:val="24"/>
        </w:rPr>
        <w:t>. Doświadczenia dotychczasowych trzech perspektyw wykorzystania środków unijnych pokazują, że w przypadku Polski, (tj. kraju ze stosunkowo dużą alokacją</w:t>
      </w:r>
      <w:r w:rsidR="00743A2C" w:rsidRPr="0040535D">
        <w:rPr>
          <w:rFonts w:ascii="Times New Roman" w:hAnsi="Times New Roman"/>
          <w:sz w:val="24"/>
          <w:szCs w:val="24"/>
        </w:rPr>
        <w:t>,</w:t>
      </w:r>
      <w:r w:rsidR="00555DC0" w:rsidRPr="0040535D">
        <w:rPr>
          <w:rFonts w:ascii="Times New Roman" w:hAnsi="Times New Roman"/>
          <w:sz w:val="24"/>
          <w:szCs w:val="24"/>
        </w:rPr>
        <w:t xml:space="preserve"> a co za tym idzie </w:t>
      </w:r>
      <w:r w:rsidR="00743A2C" w:rsidRPr="0040535D">
        <w:rPr>
          <w:rFonts w:ascii="Times New Roman" w:hAnsi="Times New Roman"/>
          <w:sz w:val="24"/>
          <w:szCs w:val="24"/>
        </w:rPr>
        <w:t xml:space="preserve">z </w:t>
      </w:r>
      <w:r w:rsidR="00555DC0" w:rsidRPr="0040535D">
        <w:rPr>
          <w:rFonts w:ascii="Times New Roman" w:hAnsi="Times New Roman"/>
          <w:sz w:val="24"/>
          <w:szCs w:val="24"/>
        </w:rPr>
        <w:t xml:space="preserve">dość rozbudowaną strukturą instytucjonalną powołaną do dystrybucji funduszy unijnych), </w:t>
      </w:r>
      <w:r w:rsidRPr="0040535D">
        <w:rPr>
          <w:rFonts w:ascii="Times New Roman" w:hAnsi="Times New Roman"/>
          <w:sz w:val="24"/>
          <w:szCs w:val="24"/>
        </w:rPr>
        <w:t>czynnikiem sprzyjającym</w:t>
      </w:r>
      <w:r w:rsidR="00555DC0" w:rsidRPr="0040535D">
        <w:rPr>
          <w:rFonts w:ascii="Times New Roman" w:hAnsi="Times New Roman"/>
          <w:sz w:val="24"/>
          <w:szCs w:val="24"/>
        </w:rPr>
        <w:t xml:space="preserve"> sprawnej i prawidłowej realizacji programów</w:t>
      </w:r>
      <w:r w:rsidR="000007A3" w:rsidRPr="0040535D">
        <w:rPr>
          <w:rFonts w:ascii="Times New Roman" w:hAnsi="Times New Roman"/>
          <w:sz w:val="24"/>
          <w:szCs w:val="24"/>
        </w:rPr>
        <w:t xml:space="preserve"> </w:t>
      </w:r>
      <w:r w:rsidR="00555DC0" w:rsidRPr="0040535D">
        <w:rPr>
          <w:rFonts w:ascii="Times New Roman" w:hAnsi="Times New Roman"/>
          <w:sz w:val="24"/>
          <w:szCs w:val="24"/>
        </w:rPr>
        <w:t>i projektów jest zapewnienie właściwej kontroli realizowanej z poziomu ministra właściwego d</w:t>
      </w:r>
      <w:r w:rsidR="000007A3" w:rsidRPr="0040535D">
        <w:rPr>
          <w:rFonts w:ascii="Times New Roman" w:hAnsi="Times New Roman"/>
          <w:sz w:val="24"/>
          <w:szCs w:val="24"/>
        </w:rPr>
        <w:t>o spraw</w:t>
      </w:r>
      <w:r w:rsidR="00555DC0" w:rsidRPr="0040535D">
        <w:rPr>
          <w:rFonts w:ascii="Times New Roman" w:hAnsi="Times New Roman"/>
          <w:sz w:val="24"/>
          <w:szCs w:val="24"/>
        </w:rPr>
        <w:t xml:space="preserve"> rozwoju regionalnego działającego jako państwo członkowskie</w:t>
      </w:r>
      <w:r w:rsidR="003F218D" w:rsidRPr="0040535D">
        <w:rPr>
          <w:rFonts w:ascii="Times New Roman" w:hAnsi="Times New Roman"/>
          <w:sz w:val="24"/>
          <w:szCs w:val="24"/>
        </w:rPr>
        <w:t>.</w:t>
      </w:r>
      <w:r w:rsidRPr="0040535D">
        <w:rPr>
          <w:rFonts w:ascii="Times New Roman" w:hAnsi="Times New Roman"/>
          <w:sz w:val="24"/>
          <w:szCs w:val="24"/>
        </w:rPr>
        <w:t xml:space="preserve"> Kontroli będą podlegały instytucje </w:t>
      </w:r>
      <w:r w:rsidR="00764979" w:rsidRPr="0040535D">
        <w:rPr>
          <w:rFonts w:ascii="Times New Roman" w:hAnsi="Times New Roman"/>
          <w:sz w:val="24"/>
          <w:szCs w:val="24"/>
        </w:rPr>
        <w:t>zarządzające</w:t>
      </w:r>
      <w:r w:rsidRPr="0040535D">
        <w:rPr>
          <w:rFonts w:ascii="Times New Roman" w:hAnsi="Times New Roman"/>
          <w:sz w:val="24"/>
          <w:szCs w:val="24"/>
        </w:rPr>
        <w:t>, instytucje pośredniczące, instytucje wdrażające, krajowy kontroler oraz wspólny sekretariat.</w:t>
      </w:r>
    </w:p>
    <w:p w14:paraId="5CE713C1" w14:textId="77777777" w:rsidR="00B91F07" w:rsidRPr="0040535D" w:rsidRDefault="00555DC0" w:rsidP="00697676">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W ustawie </w:t>
      </w:r>
      <w:r w:rsidR="00B91F07" w:rsidRPr="0040535D">
        <w:rPr>
          <w:rFonts w:ascii="Times New Roman" w:hAnsi="Times New Roman"/>
          <w:sz w:val="24"/>
          <w:szCs w:val="24"/>
        </w:rPr>
        <w:t xml:space="preserve">(art. </w:t>
      </w:r>
      <w:r w:rsidR="00E600A5" w:rsidRPr="0040535D">
        <w:rPr>
          <w:rFonts w:ascii="Times New Roman" w:hAnsi="Times New Roman"/>
          <w:sz w:val="24"/>
          <w:szCs w:val="24"/>
        </w:rPr>
        <w:t>2</w:t>
      </w:r>
      <w:r w:rsidR="0090611F" w:rsidRPr="0040535D">
        <w:rPr>
          <w:rFonts w:ascii="Times New Roman" w:hAnsi="Times New Roman"/>
          <w:sz w:val="24"/>
          <w:szCs w:val="24"/>
        </w:rPr>
        <w:t>4</w:t>
      </w:r>
      <w:r w:rsidR="00E600A5" w:rsidRPr="0040535D">
        <w:rPr>
          <w:rFonts w:ascii="Times New Roman" w:hAnsi="Times New Roman"/>
          <w:sz w:val="24"/>
          <w:szCs w:val="24"/>
        </w:rPr>
        <w:t xml:space="preserve"> </w:t>
      </w:r>
      <w:r w:rsidR="00B91F07" w:rsidRPr="0040535D">
        <w:rPr>
          <w:rFonts w:ascii="Times New Roman" w:hAnsi="Times New Roman"/>
          <w:sz w:val="24"/>
          <w:szCs w:val="24"/>
        </w:rPr>
        <w:t xml:space="preserve">ust. </w:t>
      </w:r>
      <w:r w:rsidR="001A65EF" w:rsidRPr="0040535D">
        <w:rPr>
          <w:rFonts w:ascii="Times New Roman" w:hAnsi="Times New Roman"/>
          <w:sz w:val="24"/>
          <w:szCs w:val="24"/>
        </w:rPr>
        <w:t>6</w:t>
      </w:r>
      <w:r w:rsidR="00E600A5" w:rsidRPr="0040535D">
        <w:rPr>
          <w:rFonts w:ascii="Times New Roman" w:hAnsi="Times New Roman"/>
          <w:sz w:val="24"/>
          <w:szCs w:val="24"/>
        </w:rPr>
        <w:t>)</w:t>
      </w:r>
      <w:r w:rsidR="00B91F07" w:rsidRPr="0040535D">
        <w:rPr>
          <w:rFonts w:ascii="Times New Roman" w:hAnsi="Times New Roman"/>
          <w:sz w:val="24"/>
          <w:szCs w:val="24"/>
        </w:rPr>
        <w:t xml:space="preserve"> </w:t>
      </w:r>
      <w:r w:rsidR="00E94EC2" w:rsidRPr="0040535D">
        <w:rPr>
          <w:rFonts w:ascii="Times New Roman" w:hAnsi="Times New Roman"/>
          <w:sz w:val="24"/>
          <w:szCs w:val="24"/>
        </w:rPr>
        <w:t xml:space="preserve">określono </w:t>
      </w:r>
      <w:r w:rsidR="00B91F07" w:rsidRPr="0040535D">
        <w:rPr>
          <w:rFonts w:ascii="Times New Roman" w:hAnsi="Times New Roman"/>
          <w:sz w:val="24"/>
          <w:szCs w:val="24"/>
        </w:rPr>
        <w:t xml:space="preserve">również </w:t>
      </w:r>
      <w:r w:rsidRPr="0040535D">
        <w:rPr>
          <w:rFonts w:ascii="Times New Roman" w:hAnsi="Times New Roman"/>
          <w:sz w:val="24"/>
          <w:szCs w:val="24"/>
        </w:rPr>
        <w:t xml:space="preserve">możliwe działania jakie minister właściwy do spraw rozwoju regionalnego podejmuje w sytuacji stwierdzenia uchybień lub nieprawidłowości podczas ww. kontroli, tj. wydawanie </w:t>
      </w:r>
      <w:r w:rsidR="00525920" w:rsidRPr="0040535D">
        <w:rPr>
          <w:rFonts w:ascii="Times New Roman" w:hAnsi="Times New Roman"/>
          <w:sz w:val="24"/>
          <w:szCs w:val="24"/>
        </w:rPr>
        <w:t xml:space="preserve">zaleceń </w:t>
      </w:r>
      <w:r w:rsidRPr="0040535D">
        <w:rPr>
          <w:rFonts w:ascii="Times New Roman" w:hAnsi="Times New Roman"/>
          <w:sz w:val="24"/>
          <w:szCs w:val="24"/>
        </w:rPr>
        <w:t xml:space="preserve">lub zobowiązanie do wdrożenia działań naprawczych. </w:t>
      </w:r>
      <w:r w:rsidR="00525920" w:rsidRPr="0040535D">
        <w:rPr>
          <w:rFonts w:ascii="Times New Roman" w:hAnsi="Times New Roman"/>
          <w:sz w:val="24"/>
          <w:szCs w:val="24"/>
        </w:rPr>
        <w:t xml:space="preserve">Zalecenia </w:t>
      </w:r>
      <w:r w:rsidRPr="0040535D">
        <w:rPr>
          <w:rFonts w:ascii="Times New Roman" w:hAnsi="Times New Roman"/>
          <w:sz w:val="24"/>
          <w:szCs w:val="24"/>
        </w:rPr>
        <w:t>odnoszą się do uchybień lub nieprawidłowości, które kontrolowana instytucja powinna usunąć, a działania naprawcze do długofalowych i systemowych czynności, które instytucja jest zobowiązana wdrożyć.</w:t>
      </w:r>
    </w:p>
    <w:p w14:paraId="27EDB69F" w14:textId="77777777" w:rsidR="00B91F07" w:rsidRPr="0040535D" w:rsidRDefault="00B91F07" w:rsidP="00697676">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E600A5" w:rsidRPr="0040535D">
        <w:rPr>
          <w:rFonts w:ascii="Times New Roman" w:hAnsi="Times New Roman"/>
          <w:sz w:val="24"/>
          <w:szCs w:val="24"/>
        </w:rPr>
        <w:t>2</w:t>
      </w:r>
      <w:r w:rsidR="0090611F" w:rsidRPr="0040535D">
        <w:rPr>
          <w:rFonts w:ascii="Times New Roman" w:hAnsi="Times New Roman"/>
          <w:sz w:val="24"/>
          <w:szCs w:val="24"/>
        </w:rPr>
        <w:t>4</w:t>
      </w:r>
      <w:r w:rsidR="00E600A5" w:rsidRPr="0040535D">
        <w:rPr>
          <w:rFonts w:ascii="Times New Roman" w:hAnsi="Times New Roman"/>
          <w:sz w:val="24"/>
          <w:szCs w:val="24"/>
        </w:rPr>
        <w:t xml:space="preserve"> </w:t>
      </w:r>
      <w:r w:rsidRPr="0040535D">
        <w:rPr>
          <w:rFonts w:ascii="Times New Roman" w:hAnsi="Times New Roman"/>
          <w:sz w:val="24"/>
          <w:szCs w:val="24"/>
        </w:rPr>
        <w:t xml:space="preserve">ust. 2 systematyzuje i omawia pokrótce kontrole realizacji programu, za których realizację odpowiada instytucja zarządzająca (z wyłączeniem kontroli krzyżowych, o których mowa w art. </w:t>
      </w:r>
      <w:r w:rsidR="00E600A5" w:rsidRPr="0040535D">
        <w:rPr>
          <w:rFonts w:ascii="Times New Roman" w:hAnsi="Times New Roman"/>
          <w:sz w:val="24"/>
          <w:szCs w:val="24"/>
        </w:rPr>
        <w:t>2</w:t>
      </w:r>
      <w:r w:rsidR="0090611F" w:rsidRPr="0040535D">
        <w:rPr>
          <w:rFonts w:ascii="Times New Roman" w:hAnsi="Times New Roman"/>
          <w:sz w:val="24"/>
          <w:szCs w:val="24"/>
        </w:rPr>
        <w:t>4</w:t>
      </w:r>
      <w:r w:rsidR="00E600A5" w:rsidRPr="0040535D">
        <w:rPr>
          <w:rFonts w:ascii="Times New Roman" w:hAnsi="Times New Roman"/>
          <w:sz w:val="24"/>
          <w:szCs w:val="24"/>
        </w:rPr>
        <w:t xml:space="preserve"> </w:t>
      </w:r>
      <w:r w:rsidRPr="0040535D">
        <w:rPr>
          <w:rFonts w:ascii="Times New Roman" w:hAnsi="Times New Roman"/>
          <w:sz w:val="24"/>
          <w:szCs w:val="24"/>
        </w:rPr>
        <w:t xml:space="preserve">ust. 2 pkt 2 lit. d </w:t>
      </w:r>
      <w:proofErr w:type="spellStart"/>
      <w:r w:rsidRPr="0040535D">
        <w:rPr>
          <w:rFonts w:ascii="Times New Roman" w:hAnsi="Times New Roman"/>
          <w:sz w:val="24"/>
          <w:szCs w:val="24"/>
        </w:rPr>
        <w:t>tiret</w:t>
      </w:r>
      <w:proofErr w:type="spellEnd"/>
      <w:r w:rsidRPr="0040535D">
        <w:rPr>
          <w:rFonts w:ascii="Times New Roman" w:hAnsi="Times New Roman"/>
          <w:sz w:val="24"/>
          <w:szCs w:val="24"/>
        </w:rPr>
        <w:t xml:space="preserve"> drugie, służących weryfikacji podwójnego finansowania wydatków z kilku różnych funduszy lub instrumentów finansowych bądź z tego samego funduszu w ramach różnych programów, za których prowadzenie odpowiada minister właściwy d</w:t>
      </w:r>
      <w:r w:rsidR="000007A3" w:rsidRPr="0040535D">
        <w:rPr>
          <w:rFonts w:ascii="Times New Roman" w:hAnsi="Times New Roman"/>
          <w:sz w:val="24"/>
          <w:szCs w:val="24"/>
        </w:rPr>
        <w:t>o spraw</w:t>
      </w:r>
      <w:r w:rsidRPr="0040535D">
        <w:rPr>
          <w:rFonts w:ascii="Times New Roman" w:hAnsi="Times New Roman"/>
          <w:sz w:val="24"/>
          <w:szCs w:val="24"/>
        </w:rPr>
        <w:t xml:space="preserve"> rozwoju regionalnego). Składają się na nie kontrole systemowe (art. </w:t>
      </w:r>
      <w:r w:rsidR="00E600A5" w:rsidRPr="0040535D">
        <w:rPr>
          <w:rFonts w:ascii="Times New Roman" w:hAnsi="Times New Roman"/>
          <w:sz w:val="24"/>
          <w:szCs w:val="24"/>
        </w:rPr>
        <w:t>2</w:t>
      </w:r>
      <w:r w:rsidR="0090611F" w:rsidRPr="0040535D">
        <w:rPr>
          <w:rFonts w:ascii="Times New Roman" w:hAnsi="Times New Roman"/>
          <w:sz w:val="24"/>
          <w:szCs w:val="24"/>
        </w:rPr>
        <w:t>4</w:t>
      </w:r>
      <w:r w:rsidR="00E600A5" w:rsidRPr="0040535D">
        <w:rPr>
          <w:rFonts w:ascii="Times New Roman" w:hAnsi="Times New Roman"/>
          <w:sz w:val="24"/>
          <w:szCs w:val="24"/>
        </w:rPr>
        <w:t xml:space="preserve"> </w:t>
      </w:r>
      <w:r w:rsidRPr="0040535D">
        <w:rPr>
          <w:rFonts w:ascii="Times New Roman" w:hAnsi="Times New Roman"/>
          <w:sz w:val="24"/>
          <w:szCs w:val="24"/>
        </w:rPr>
        <w:t xml:space="preserve">ust. 2 pkt 1) oraz kontrole projektów (art. </w:t>
      </w:r>
      <w:r w:rsidR="0090611F" w:rsidRPr="0040535D">
        <w:rPr>
          <w:rFonts w:ascii="Times New Roman" w:hAnsi="Times New Roman"/>
          <w:sz w:val="24"/>
          <w:szCs w:val="24"/>
        </w:rPr>
        <w:t xml:space="preserve">24 </w:t>
      </w:r>
      <w:r w:rsidRPr="0040535D">
        <w:rPr>
          <w:rFonts w:ascii="Times New Roman" w:hAnsi="Times New Roman"/>
          <w:sz w:val="24"/>
          <w:szCs w:val="24"/>
        </w:rPr>
        <w:t>ust. 2 pkt 2).</w:t>
      </w:r>
      <w:r w:rsidR="000D2ECA" w:rsidRPr="0040535D">
        <w:rPr>
          <w:rFonts w:ascii="Times New Roman" w:hAnsi="Times New Roman"/>
          <w:sz w:val="24"/>
          <w:szCs w:val="24"/>
        </w:rPr>
        <w:t xml:space="preserve"> </w:t>
      </w:r>
      <w:r w:rsidRPr="0040535D">
        <w:rPr>
          <w:rFonts w:ascii="Times New Roman" w:hAnsi="Times New Roman"/>
          <w:sz w:val="24"/>
          <w:szCs w:val="24"/>
        </w:rPr>
        <w:t>Do tych ostatnich zaliczono szereg weryfikacji i sprawdzeń, takich jak weryfikacje wniosków o płatność, kontrole w miejscu realizacji projektu lub w siedzibie podmiotu kontrolowanego, kontrole w zakresie pomocy publicznej, kontrole krzyżowe, kontrole na zakończenie realizacji projektu (rozumiane tak jak w perspektywie 2014-</w:t>
      </w:r>
      <w:r w:rsidRPr="0040535D">
        <w:rPr>
          <w:rFonts w:ascii="Times New Roman" w:hAnsi="Times New Roman"/>
          <w:sz w:val="24"/>
          <w:szCs w:val="24"/>
        </w:rPr>
        <w:lastRenderedPageBreak/>
        <w:t>2020 - jako obligatoryjne kontrole ścieżki audytu) czy kontrole trwałości. Nie jest to jednak katalog zamknięty.</w:t>
      </w:r>
    </w:p>
    <w:p w14:paraId="6583ADA1" w14:textId="77777777" w:rsidR="00B91F07" w:rsidRPr="0040535D" w:rsidRDefault="00B91F07" w:rsidP="00697676">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Kierując się dotychczasową praktyką w procesach kontroli, zdecydowano, aby w ustawie ująć kontrolę „zamówień” (art. </w:t>
      </w:r>
      <w:r w:rsidR="0090611F" w:rsidRPr="0040535D">
        <w:rPr>
          <w:rFonts w:ascii="Times New Roman" w:hAnsi="Times New Roman"/>
          <w:sz w:val="24"/>
          <w:szCs w:val="24"/>
        </w:rPr>
        <w:t xml:space="preserve">24 </w:t>
      </w:r>
      <w:r w:rsidRPr="0040535D">
        <w:rPr>
          <w:rFonts w:ascii="Times New Roman" w:hAnsi="Times New Roman"/>
          <w:sz w:val="24"/>
          <w:szCs w:val="24"/>
        </w:rPr>
        <w:t xml:space="preserve">ust. 2 pkt 2 lit. c) zamiast „zamówień publicznych”, gdyż drugie pojęcie wskazuje na zamówienia realizowane w trybie ustawy </w:t>
      </w:r>
      <w:r w:rsidR="00AF080D" w:rsidRPr="0040535D">
        <w:rPr>
          <w:rFonts w:ascii="Times New Roman" w:hAnsi="Times New Roman"/>
          <w:sz w:val="24"/>
          <w:szCs w:val="24"/>
        </w:rPr>
        <w:t>z dnia 11 wrze</w:t>
      </w:r>
      <w:r w:rsidR="00E14F40" w:rsidRPr="0040535D">
        <w:rPr>
          <w:rFonts w:ascii="Times New Roman" w:hAnsi="Times New Roman"/>
          <w:sz w:val="24"/>
          <w:szCs w:val="24"/>
        </w:rPr>
        <w:t>ś</w:t>
      </w:r>
      <w:r w:rsidR="00AF080D" w:rsidRPr="0040535D">
        <w:rPr>
          <w:rFonts w:ascii="Times New Roman" w:hAnsi="Times New Roman"/>
          <w:sz w:val="24"/>
          <w:szCs w:val="24"/>
        </w:rPr>
        <w:t>nia 2019 r.</w:t>
      </w:r>
      <w:r w:rsidR="00343174" w:rsidRPr="0040535D">
        <w:rPr>
          <w:rFonts w:ascii="Times New Roman" w:hAnsi="Times New Roman"/>
          <w:sz w:val="24"/>
          <w:szCs w:val="24"/>
        </w:rPr>
        <w:t xml:space="preserve"> - </w:t>
      </w:r>
      <w:r w:rsidRPr="0040535D">
        <w:rPr>
          <w:rFonts w:ascii="Times New Roman" w:hAnsi="Times New Roman"/>
          <w:sz w:val="24"/>
          <w:szCs w:val="24"/>
        </w:rPr>
        <w:t>P</w:t>
      </w:r>
      <w:r w:rsidR="00764979" w:rsidRPr="0040535D">
        <w:rPr>
          <w:rFonts w:ascii="Times New Roman" w:hAnsi="Times New Roman"/>
          <w:sz w:val="24"/>
          <w:szCs w:val="24"/>
        </w:rPr>
        <w:t>rawo zamówień publicznych</w:t>
      </w:r>
      <w:r w:rsidR="00AF080D" w:rsidRPr="0040535D">
        <w:rPr>
          <w:rFonts w:ascii="Times New Roman" w:hAnsi="Times New Roman"/>
          <w:sz w:val="24"/>
          <w:szCs w:val="24"/>
        </w:rPr>
        <w:t xml:space="preserve"> (Dz.U. </w:t>
      </w:r>
      <w:r w:rsidR="00A437E7" w:rsidRPr="0040535D">
        <w:rPr>
          <w:rFonts w:ascii="Times New Roman" w:hAnsi="Times New Roman"/>
          <w:sz w:val="24"/>
          <w:szCs w:val="24"/>
        </w:rPr>
        <w:t>z 2021 r. poz. 1129</w:t>
      </w:r>
      <w:r w:rsidR="000D52CA">
        <w:rPr>
          <w:rFonts w:ascii="Times New Roman" w:hAnsi="Times New Roman"/>
          <w:sz w:val="24"/>
          <w:szCs w:val="24"/>
        </w:rPr>
        <w:t xml:space="preserve">, z </w:t>
      </w:r>
      <w:proofErr w:type="spellStart"/>
      <w:r w:rsidR="000D52CA">
        <w:rPr>
          <w:rFonts w:ascii="Times New Roman" w:hAnsi="Times New Roman"/>
          <w:sz w:val="24"/>
          <w:szCs w:val="24"/>
        </w:rPr>
        <w:t>późn</w:t>
      </w:r>
      <w:proofErr w:type="spellEnd"/>
      <w:r w:rsidR="000D52CA">
        <w:rPr>
          <w:rFonts w:ascii="Times New Roman" w:hAnsi="Times New Roman"/>
          <w:sz w:val="24"/>
          <w:szCs w:val="24"/>
        </w:rPr>
        <w:t>. zm.</w:t>
      </w:r>
      <w:r w:rsidR="00A437E7" w:rsidRPr="0040535D">
        <w:rPr>
          <w:rFonts w:ascii="Times New Roman" w:hAnsi="Times New Roman"/>
          <w:sz w:val="24"/>
          <w:szCs w:val="24"/>
        </w:rPr>
        <w:t xml:space="preserve">), </w:t>
      </w:r>
      <w:r w:rsidR="00AF080D" w:rsidRPr="0040535D">
        <w:rPr>
          <w:rFonts w:ascii="Times New Roman" w:hAnsi="Times New Roman"/>
          <w:sz w:val="24"/>
          <w:szCs w:val="24"/>
        </w:rPr>
        <w:t xml:space="preserve">(dalej: </w:t>
      </w:r>
      <w:proofErr w:type="spellStart"/>
      <w:r w:rsidR="00AF080D" w:rsidRPr="0040535D">
        <w:rPr>
          <w:rFonts w:ascii="Times New Roman" w:hAnsi="Times New Roman"/>
          <w:sz w:val="24"/>
          <w:szCs w:val="24"/>
        </w:rPr>
        <w:t>pzp</w:t>
      </w:r>
      <w:proofErr w:type="spellEnd"/>
      <w:r w:rsidR="00AF080D" w:rsidRPr="0040535D">
        <w:rPr>
          <w:rFonts w:ascii="Times New Roman" w:hAnsi="Times New Roman"/>
          <w:sz w:val="24"/>
          <w:szCs w:val="24"/>
        </w:rPr>
        <w:t>)</w:t>
      </w:r>
      <w:r w:rsidRPr="0040535D">
        <w:rPr>
          <w:rFonts w:ascii="Times New Roman" w:hAnsi="Times New Roman"/>
          <w:sz w:val="24"/>
          <w:szCs w:val="24"/>
        </w:rPr>
        <w:t xml:space="preserve">, a zamysłem zmiany jest umożliwienie instytucjom przeprowadzanie na podstawie </w:t>
      </w:r>
      <w:r w:rsidR="000007A3" w:rsidRPr="0040535D">
        <w:rPr>
          <w:rFonts w:ascii="Times New Roman" w:hAnsi="Times New Roman"/>
          <w:sz w:val="24"/>
          <w:szCs w:val="24"/>
        </w:rPr>
        <w:t xml:space="preserve">projektowanej </w:t>
      </w:r>
      <w:r w:rsidRPr="0040535D">
        <w:rPr>
          <w:rFonts w:ascii="Times New Roman" w:hAnsi="Times New Roman"/>
          <w:sz w:val="24"/>
          <w:szCs w:val="24"/>
        </w:rPr>
        <w:t>ustawy kontroli zarówno zamówień publicznych, jak i innych zamówień - publikow</w:t>
      </w:r>
      <w:r w:rsidR="00373D9D" w:rsidRPr="0040535D">
        <w:rPr>
          <w:rFonts w:ascii="Times New Roman" w:hAnsi="Times New Roman"/>
          <w:sz w:val="24"/>
          <w:szCs w:val="24"/>
        </w:rPr>
        <w:t>anych w Bazie Konkurencyjności.</w:t>
      </w:r>
    </w:p>
    <w:p w14:paraId="07A8D85A" w14:textId="77777777" w:rsidR="00555DC0" w:rsidRPr="0040535D" w:rsidRDefault="00B91F07" w:rsidP="00697676">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Przepis art. </w:t>
      </w:r>
      <w:r w:rsidR="00E600A5" w:rsidRPr="0040535D">
        <w:rPr>
          <w:rFonts w:ascii="Times New Roman" w:hAnsi="Times New Roman"/>
          <w:sz w:val="24"/>
          <w:szCs w:val="24"/>
        </w:rPr>
        <w:t>2</w:t>
      </w:r>
      <w:r w:rsidR="0090611F" w:rsidRPr="0040535D">
        <w:rPr>
          <w:rFonts w:ascii="Times New Roman" w:hAnsi="Times New Roman"/>
          <w:sz w:val="24"/>
          <w:szCs w:val="24"/>
        </w:rPr>
        <w:t>4</w:t>
      </w:r>
      <w:r w:rsidR="00E600A5" w:rsidRPr="0040535D">
        <w:rPr>
          <w:rFonts w:ascii="Times New Roman" w:hAnsi="Times New Roman"/>
          <w:sz w:val="24"/>
          <w:szCs w:val="24"/>
        </w:rPr>
        <w:t xml:space="preserve"> </w:t>
      </w:r>
      <w:r w:rsidRPr="0040535D">
        <w:rPr>
          <w:rFonts w:ascii="Times New Roman" w:hAnsi="Times New Roman"/>
          <w:sz w:val="24"/>
          <w:szCs w:val="24"/>
        </w:rPr>
        <w:t xml:space="preserve">ust. 2 pkt 2 lit. d </w:t>
      </w:r>
      <w:r w:rsidR="00555DC0" w:rsidRPr="0040535D">
        <w:rPr>
          <w:rFonts w:ascii="Times New Roman" w:hAnsi="Times New Roman"/>
          <w:sz w:val="24"/>
          <w:szCs w:val="24"/>
        </w:rPr>
        <w:t xml:space="preserve">dotyczący kontroli krzyżowych z projektami </w:t>
      </w:r>
      <w:r w:rsidRPr="0040535D">
        <w:rPr>
          <w:rFonts w:ascii="Times New Roman" w:hAnsi="Times New Roman"/>
          <w:sz w:val="24"/>
          <w:szCs w:val="24"/>
        </w:rPr>
        <w:t xml:space="preserve">dotychczasowego </w:t>
      </w:r>
      <w:r w:rsidR="00555DC0" w:rsidRPr="0040535D">
        <w:rPr>
          <w:rFonts w:ascii="Times New Roman" w:hAnsi="Times New Roman"/>
          <w:sz w:val="24"/>
          <w:szCs w:val="24"/>
        </w:rPr>
        <w:t xml:space="preserve">Programu Rozwoju Obszarów Wiejskich oraz dotychczasowego Programu „Rybactwo i Morze” został </w:t>
      </w:r>
      <w:r w:rsidRPr="0040535D">
        <w:rPr>
          <w:rFonts w:ascii="Times New Roman" w:hAnsi="Times New Roman"/>
          <w:sz w:val="24"/>
          <w:szCs w:val="24"/>
        </w:rPr>
        <w:t xml:space="preserve">sformułowany </w:t>
      </w:r>
      <w:r w:rsidR="00555DC0" w:rsidRPr="0040535D">
        <w:rPr>
          <w:rFonts w:ascii="Times New Roman" w:hAnsi="Times New Roman"/>
          <w:sz w:val="24"/>
          <w:szCs w:val="24"/>
        </w:rPr>
        <w:t xml:space="preserve">przez odwołanie do nazw funduszy, z których pochodzą </w:t>
      </w:r>
      <w:r w:rsidRPr="0040535D">
        <w:rPr>
          <w:rFonts w:ascii="Times New Roman" w:hAnsi="Times New Roman"/>
          <w:sz w:val="24"/>
          <w:szCs w:val="24"/>
        </w:rPr>
        <w:t xml:space="preserve">środki </w:t>
      </w:r>
      <w:r w:rsidR="00555DC0" w:rsidRPr="0040535D">
        <w:rPr>
          <w:rFonts w:ascii="Times New Roman" w:hAnsi="Times New Roman"/>
          <w:sz w:val="24"/>
          <w:szCs w:val="24"/>
        </w:rPr>
        <w:t>na te programy</w:t>
      </w:r>
      <w:r w:rsidR="00F61995" w:rsidRPr="0040535D">
        <w:rPr>
          <w:rFonts w:ascii="Times New Roman" w:hAnsi="Times New Roman"/>
          <w:sz w:val="24"/>
          <w:szCs w:val="24"/>
        </w:rPr>
        <w:t>.</w:t>
      </w:r>
    </w:p>
    <w:p w14:paraId="7380A685" w14:textId="77777777" w:rsidR="00B91F07" w:rsidRPr="0040535D" w:rsidRDefault="00B91F07" w:rsidP="00697676">
      <w:p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W art. </w:t>
      </w:r>
      <w:r w:rsidR="00E600A5" w:rsidRPr="0040535D">
        <w:rPr>
          <w:rFonts w:ascii="Times New Roman" w:hAnsi="Times New Roman"/>
          <w:bCs/>
          <w:sz w:val="24"/>
          <w:szCs w:val="24"/>
        </w:rPr>
        <w:t>2</w:t>
      </w:r>
      <w:r w:rsidR="0090611F" w:rsidRPr="0040535D">
        <w:rPr>
          <w:rFonts w:ascii="Times New Roman" w:hAnsi="Times New Roman"/>
          <w:bCs/>
          <w:sz w:val="24"/>
          <w:szCs w:val="24"/>
        </w:rPr>
        <w:t>4</w:t>
      </w:r>
      <w:r w:rsidR="00E600A5" w:rsidRPr="0040535D">
        <w:rPr>
          <w:rFonts w:ascii="Times New Roman" w:hAnsi="Times New Roman"/>
          <w:bCs/>
          <w:sz w:val="24"/>
          <w:szCs w:val="24"/>
        </w:rPr>
        <w:t xml:space="preserve"> </w:t>
      </w:r>
      <w:r w:rsidRPr="0040535D">
        <w:rPr>
          <w:rFonts w:ascii="Times New Roman" w:hAnsi="Times New Roman"/>
          <w:bCs/>
          <w:sz w:val="24"/>
          <w:szCs w:val="24"/>
        </w:rPr>
        <w:t>ust. 3 przewidziano możliwość przeprowadzenia kontroli zdolności wnioskodawców ubiegających się o dofinansowanie</w:t>
      </w:r>
      <w:r w:rsidR="00E54024" w:rsidRPr="0040535D">
        <w:rPr>
          <w:rFonts w:ascii="Times New Roman" w:hAnsi="Times New Roman"/>
          <w:sz w:val="24"/>
          <w:szCs w:val="24"/>
        </w:rPr>
        <w:t xml:space="preserve"> </w:t>
      </w:r>
      <w:r w:rsidR="00E54024" w:rsidRPr="0040535D">
        <w:rPr>
          <w:rFonts w:ascii="Times New Roman" w:hAnsi="Times New Roman"/>
          <w:bCs/>
          <w:sz w:val="24"/>
          <w:szCs w:val="24"/>
        </w:rPr>
        <w:t>projektu</w:t>
      </w:r>
      <w:r w:rsidRPr="0040535D">
        <w:rPr>
          <w:rFonts w:ascii="Times New Roman" w:hAnsi="Times New Roman"/>
          <w:bCs/>
          <w:sz w:val="24"/>
          <w:szCs w:val="24"/>
        </w:rPr>
        <w:t xml:space="preserve"> w sposób niekonkurencyjny oraz beneficjentów realizujących projekty w taki sposób, do prawidłowej i efektywnej realizacji</w:t>
      </w:r>
      <w:r w:rsidR="00E54024" w:rsidRPr="0040535D">
        <w:rPr>
          <w:rFonts w:ascii="Times New Roman" w:hAnsi="Times New Roman"/>
          <w:bCs/>
          <w:sz w:val="24"/>
          <w:szCs w:val="24"/>
        </w:rPr>
        <w:t xml:space="preserve"> projektu</w:t>
      </w:r>
      <w:r w:rsidRPr="0040535D">
        <w:rPr>
          <w:rFonts w:ascii="Times New Roman" w:hAnsi="Times New Roman"/>
          <w:bCs/>
          <w:sz w:val="24"/>
          <w:szCs w:val="24"/>
        </w:rPr>
        <w:t xml:space="preserve">. Podobnie jak w perspektywie 2014-2020 kontrole te są nieobligatoryjne i mają służyć zapewnieniu, że wnioskodawcy ubiegający się o dofinansowanie projektów o kluczowym znaczeniu dla kraju lub regionu (co do zasady takie projekty wybierane będą w </w:t>
      </w:r>
      <w:r w:rsidR="00596FDC" w:rsidRPr="0040535D">
        <w:rPr>
          <w:rFonts w:ascii="Times New Roman" w:hAnsi="Times New Roman"/>
          <w:bCs/>
          <w:sz w:val="24"/>
          <w:szCs w:val="24"/>
        </w:rPr>
        <w:t>sposób niekonkurencyjny</w:t>
      </w:r>
      <w:r w:rsidRPr="0040535D">
        <w:rPr>
          <w:rFonts w:ascii="Times New Roman" w:hAnsi="Times New Roman"/>
          <w:bCs/>
          <w:sz w:val="24"/>
          <w:szCs w:val="24"/>
        </w:rPr>
        <w:t>) lub beneficjenci realizujący takie projekty dysponują odpowiednim potencjałem. Kontrole te będą tym samym miały na celu minimalizację ryzyka niezrealizowania projektów ważnych z punkt</w:t>
      </w:r>
      <w:r w:rsidR="00373D9D" w:rsidRPr="0040535D">
        <w:rPr>
          <w:rFonts w:ascii="Times New Roman" w:hAnsi="Times New Roman"/>
          <w:bCs/>
          <w:sz w:val="24"/>
          <w:szCs w:val="24"/>
        </w:rPr>
        <w:t>u widzenia polskiej gospodarki.</w:t>
      </w:r>
    </w:p>
    <w:p w14:paraId="29813481" w14:textId="77777777" w:rsidR="00555DC0" w:rsidRPr="0040535D" w:rsidRDefault="00555DC0" w:rsidP="009A0EE5">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W art. </w:t>
      </w:r>
      <w:r w:rsidR="00E600A5" w:rsidRPr="0040535D">
        <w:rPr>
          <w:rFonts w:ascii="Times New Roman" w:hAnsi="Times New Roman"/>
          <w:sz w:val="24"/>
          <w:szCs w:val="24"/>
        </w:rPr>
        <w:t>2</w:t>
      </w:r>
      <w:r w:rsidR="00706EE6" w:rsidRPr="0040535D">
        <w:rPr>
          <w:rFonts w:ascii="Times New Roman" w:hAnsi="Times New Roman"/>
          <w:sz w:val="24"/>
          <w:szCs w:val="24"/>
        </w:rPr>
        <w:t>4</w:t>
      </w:r>
      <w:r w:rsidR="00E600A5" w:rsidRPr="0040535D">
        <w:rPr>
          <w:rFonts w:ascii="Times New Roman" w:hAnsi="Times New Roman"/>
          <w:sz w:val="24"/>
          <w:szCs w:val="24"/>
        </w:rPr>
        <w:t xml:space="preserve"> </w:t>
      </w:r>
      <w:r w:rsidRPr="0040535D">
        <w:rPr>
          <w:rFonts w:ascii="Times New Roman" w:hAnsi="Times New Roman"/>
          <w:sz w:val="24"/>
          <w:szCs w:val="24"/>
        </w:rPr>
        <w:t xml:space="preserve">ust. </w:t>
      </w:r>
      <w:r w:rsidR="00B91F07" w:rsidRPr="0040535D">
        <w:rPr>
          <w:rFonts w:ascii="Times New Roman" w:hAnsi="Times New Roman"/>
          <w:sz w:val="24"/>
          <w:szCs w:val="24"/>
        </w:rPr>
        <w:t xml:space="preserve">4 </w:t>
      </w:r>
      <w:r w:rsidRPr="0040535D">
        <w:rPr>
          <w:rFonts w:ascii="Times New Roman" w:hAnsi="Times New Roman"/>
          <w:sz w:val="24"/>
          <w:szCs w:val="24"/>
        </w:rPr>
        <w:t xml:space="preserve">dopuszczono możliwość prowadzenia kontroli realizacji programu na próbie. Zgodnie z tym przepisem, częstotliwość i zakres kontroli są proporcjonalne do </w:t>
      </w:r>
      <w:proofErr w:type="spellStart"/>
      <w:r w:rsidRPr="0040535D">
        <w:rPr>
          <w:rFonts w:ascii="Times New Roman" w:hAnsi="Times New Roman"/>
          <w:sz w:val="24"/>
          <w:szCs w:val="24"/>
        </w:rPr>
        <w:t>ryzyk</w:t>
      </w:r>
      <w:proofErr w:type="spellEnd"/>
      <w:r w:rsidRPr="0040535D">
        <w:rPr>
          <w:rFonts w:ascii="Times New Roman" w:hAnsi="Times New Roman"/>
          <w:sz w:val="24"/>
          <w:szCs w:val="24"/>
        </w:rPr>
        <w:t xml:space="preserve"> zidentyfikowanych uprzednio przez instytucję zarządzającą lub Koordynatora Programów </w:t>
      </w:r>
      <w:proofErr w:type="spellStart"/>
      <w:r w:rsidRPr="0040535D">
        <w:rPr>
          <w:rFonts w:ascii="Times New Roman" w:hAnsi="Times New Roman"/>
          <w:sz w:val="24"/>
          <w:szCs w:val="24"/>
        </w:rPr>
        <w:t>Interreg</w:t>
      </w:r>
      <w:proofErr w:type="spellEnd"/>
      <w:r w:rsidR="00B91F07" w:rsidRPr="0040535D">
        <w:rPr>
          <w:rFonts w:ascii="Times New Roman" w:hAnsi="Times New Roman"/>
          <w:sz w:val="24"/>
          <w:szCs w:val="24"/>
        </w:rPr>
        <w:t xml:space="preserve"> (zgodnie z art. </w:t>
      </w:r>
      <w:r w:rsidR="0090611F" w:rsidRPr="0040535D">
        <w:rPr>
          <w:rFonts w:ascii="Times New Roman" w:hAnsi="Times New Roman"/>
          <w:sz w:val="24"/>
          <w:szCs w:val="24"/>
        </w:rPr>
        <w:t xml:space="preserve">24 </w:t>
      </w:r>
      <w:r w:rsidR="00B91F07" w:rsidRPr="0040535D">
        <w:rPr>
          <w:rFonts w:ascii="Times New Roman" w:hAnsi="Times New Roman"/>
          <w:sz w:val="24"/>
          <w:szCs w:val="24"/>
        </w:rPr>
        <w:t xml:space="preserve">ust. </w:t>
      </w:r>
      <w:r w:rsidR="001A65EF" w:rsidRPr="0040535D">
        <w:rPr>
          <w:rFonts w:ascii="Times New Roman" w:hAnsi="Times New Roman"/>
          <w:sz w:val="24"/>
          <w:szCs w:val="24"/>
        </w:rPr>
        <w:t>5</w:t>
      </w:r>
      <w:r w:rsidR="00B91F07" w:rsidRPr="0040535D">
        <w:rPr>
          <w:rFonts w:ascii="Times New Roman" w:hAnsi="Times New Roman"/>
          <w:sz w:val="24"/>
          <w:szCs w:val="24"/>
        </w:rPr>
        <w:t xml:space="preserve">, identyfikacja i ocena </w:t>
      </w:r>
      <w:proofErr w:type="spellStart"/>
      <w:r w:rsidR="00B91F07" w:rsidRPr="0040535D">
        <w:rPr>
          <w:rFonts w:ascii="Times New Roman" w:hAnsi="Times New Roman"/>
          <w:sz w:val="24"/>
          <w:szCs w:val="24"/>
        </w:rPr>
        <w:t>ryzyk</w:t>
      </w:r>
      <w:proofErr w:type="spellEnd"/>
      <w:r w:rsidR="00B91F07" w:rsidRPr="0040535D">
        <w:rPr>
          <w:rFonts w:ascii="Times New Roman" w:hAnsi="Times New Roman"/>
          <w:sz w:val="24"/>
          <w:szCs w:val="24"/>
        </w:rPr>
        <w:t xml:space="preserve"> prowadzona jest co najmniej raz w roku).</w:t>
      </w:r>
      <w:r w:rsidRPr="0040535D">
        <w:rPr>
          <w:rFonts w:ascii="Times New Roman" w:hAnsi="Times New Roman"/>
          <w:sz w:val="24"/>
          <w:szCs w:val="24"/>
        </w:rPr>
        <w:t xml:space="preserve"> Powyższe oznacza </w:t>
      </w:r>
      <w:r w:rsidRPr="0040535D">
        <w:rPr>
          <w:rFonts w:ascii="Times New Roman" w:hAnsi="Times New Roman"/>
          <w:i/>
          <w:sz w:val="24"/>
          <w:szCs w:val="24"/>
        </w:rPr>
        <w:t>de facto</w:t>
      </w:r>
      <w:r w:rsidRPr="0040535D">
        <w:rPr>
          <w:rFonts w:ascii="Times New Roman" w:hAnsi="Times New Roman"/>
          <w:sz w:val="24"/>
          <w:szCs w:val="24"/>
        </w:rPr>
        <w:t>, że stosownie do oszacowanego ryzyka, zarówno kontrole systemowe</w:t>
      </w:r>
      <w:r w:rsidR="001527A6" w:rsidRPr="0040535D">
        <w:rPr>
          <w:rFonts w:ascii="Times New Roman" w:hAnsi="Times New Roman"/>
          <w:sz w:val="24"/>
          <w:szCs w:val="24"/>
        </w:rPr>
        <w:t>,</w:t>
      </w:r>
      <w:r w:rsidRPr="0040535D">
        <w:rPr>
          <w:rFonts w:ascii="Times New Roman" w:hAnsi="Times New Roman"/>
          <w:sz w:val="24"/>
          <w:szCs w:val="24"/>
        </w:rPr>
        <w:t xml:space="preserve"> jak i pozostałe kontrole odnoszące się do projektów lub wydatków mogą odbywać się na próbie. Z możliwości prowadzenia kontroli na próbie wyłączone zostały kontrole na zakończenie realizacji projektu dotyczące ścieżki audytu – te będą realizowane w odniesieniu do wszystkich projektów.</w:t>
      </w:r>
    </w:p>
    <w:p w14:paraId="5CC7F9D3" w14:textId="77777777" w:rsidR="00555DC0" w:rsidRPr="0040535D" w:rsidRDefault="00555DC0" w:rsidP="009A0EE5">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W celu wzmocnienia współpracy pomiędzy instytucjami kontrolującymi, tj. instytucjami zarządzającymi, </w:t>
      </w:r>
      <w:r w:rsidR="007C2906">
        <w:rPr>
          <w:rFonts w:ascii="Times New Roman" w:hAnsi="Times New Roman"/>
          <w:sz w:val="24"/>
          <w:szCs w:val="24"/>
        </w:rPr>
        <w:t xml:space="preserve">instytucjami </w:t>
      </w:r>
      <w:r w:rsidRPr="0040535D">
        <w:rPr>
          <w:rFonts w:ascii="Times New Roman" w:hAnsi="Times New Roman"/>
          <w:sz w:val="24"/>
          <w:szCs w:val="24"/>
        </w:rPr>
        <w:t xml:space="preserve">pośredniczącymi, </w:t>
      </w:r>
      <w:r w:rsidR="007C2906">
        <w:rPr>
          <w:rFonts w:ascii="Times New Roman" w:hAnsi="Times New Roman"/>
          <w:sz w:val="24"/>
          <w:szCs w:val="24"/>
        </w:rPr>
        <w:t xml:space="preserve">instytucjami </w:t>
      </w:r>
      <w:r w:rsidRPr="0040535D">
        <w:rPr>
          <w:rFonts w:ascii="Times New Roman" w:hAnsi="Times New Roman"/>
          <w:sz w:val="24"/>
          <w:szCs w:val="24"/>
        </w:rPr>
        <w:t xml:space="preserve">wdrażającymi, </w:t>
      </w:r>
      <w:r w:rsidR="007C2906">
        <w:rPr>
          <w:rFonts w:ascii="Times New Roman" w:hAnsi="Times New Roman"/>
          <w:sz w:val="24"/>
          <w:szCs w:val="24"/>
        </w:rPr>
        <w:t xml:space="preserve">instytucją </w:t>
      </w:r>
      <w:r w:rsidR="007C2906">
        <w:rPr>
          <w:rFonts w:ascii="Times New Roman" w:hAnsi="Times New Roman"/>
          <w:sz w:val="24"/>
          <w:szCs w:val="24"/>
        </w:rPr>
        <w:lastRenderedPageBreak/>
        <w:t xml:space="preserve">pośrednicząca </w:t>
      </w:r>
      <w:proofErr w:type="spellStart"/>
      <w:r w:rsidR="007C2906">
        <w:rPr>
          <w:rFonts w:ascii="Times New Roman" w:hAnsi="Times New Roman"/>
          <w:sz w:val="24"/>
          <w:szCs w:val="24"/>
        </w:rPr>
        <w:t>Interreg</w:t>
      </w:r>
      <w:proofErr w:type="spellEnd"/>
      <w:r w:rsidR="007C2906">
        <w:rPr>
          <w:rFonts w:ascii="Times New Roman" w:hAnsi="Times New Roman"/>
          <w:sz w:val="24"/>
          <w:szCs w:val="24"/>
        </w:rPr>
        <w:t>, k</w:t>
      </w:r>
      <w:r w:rsidRPr="0040535D">
        <w:rPr>
          <w:rFonts w:ascii="Times New Roman" w:hAnsi="Times New Roman"/>
          <w:sz w:val="24"/>
          <w:szCs w:val="24"/>
        </w:rPr>
        <w:t xml:space="preserve">oordynatorem </w:t>
      </w:r>
      <w:r w:rsidR="007C2906">
        <w:rPr>
          <w:rFonts w:ascii="Times New Roman" w:hAnsi="Times New Roman"/>
          <w:sz w:val="24"/>
          <w:szCs w:val="24"/>
        </w:rPr>
        <w:t>p</w:t>
      </w:r>
      <w:r w:rsidRPr="0040535D">
        <w:rPr>
          <w:rFonts w:ascii="Times New Roman" w:hAnsi="Times New Roman"/>
          <w:sz w:val="24"/>
          <w:szCs w:val="24"/>
        </w:rPr>
        <w:t xml:space="preserve">rogramów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krajowym kontrolerem, wspólnym sekretariatem a także </w:t>
      </w:r>
      <w:r w:rsidRPr="0040535D">
        <w:rPr>
          <w:rFonts w:ascii="Times New Roman" w:eastAsia="Times New Roman" w:hAnsi="Times New Roman"/>
          <w:sz w:val="24"/>
          <w:szCs w:val="24"/>
        </w:rPr>
        <w:t xml:space="preserve">ministrem właściwym do spraw rozwoju regionalnego, w art. </w:t>
      </w:r>
      <w:r w:rsidR="0090611F" w:rsidRPr="0040535D">
        <w:rPr>
          <w:rFonts w:ascii="Times New Roman" w:eastAsia="Times New Roman" w:hAnsi="Times New Roman"/>
          <w:sz w:val="24"/>
          <w:szCs w:val="24"/>
        </w:rPr>
        <w:t xml:space="preserve">24 </w:t>
      </w:r>
      <w:r w:rsidRPr="0040535D">
        <w:rPr>
          <w:rFonts w:ascii="Times New Roman" w:eastAsia="Times New Roman" w:hAnsi="Times New Roman"/>
          <w:sz w:val="24"/>
          <w:szCs w:val="24"/>
        </w:rPr>
        <w:t xml:space="preserve">ust. </w:t>
      </w:r>
      <w:r w:rsidR="00B91F07" w:rsidRPr="0040535D">
        <w:rPr>
          <w:rFonts w:ascii="Times New Roman" w:eastAsia="Times New Roman" w:hAnsi="Times New Roman"/>
          <w:sz w:val="24"/>
          <w:szCs w:val="24"/>
        </w:rPr>
        <w:t xml:space="preserve">12 </w:t>
      </w:r>
      <w:r w:rsidRPr="0040535D">
        <w:rPr>
          <w:rFonts w:ascii="Times New Roman" w:eastAsia="Times New Roman" w:hAnsi="Times New Roman"/>
          <w:sz w:val="24"/>
          <w:szCs w:val="24"/>
        </w:rPr>
        <w:t>wprowadzono przepis, zgodnie z którym instytucje te wymieniają się na wniosek</w:t>
      </w:r>
      <w:r w:rsidRPr="0040535D">
        <w:rPr>
          <w:rFonts w:ascii="Times New Roman" w:hAnsi="Times New Roman"/>
          <w:sz w:val="24"/>
          <w:szCs w:val="24"/>
        </w:rPr>
        <w:t>, nie tylko informacjami o przeprowadzonych kontrolach i ich wynikach, lecz również informacjami pokontrolnymi oraz dokumentacją kontroli.</w:t>
      </w:r>
    </w:p>
    <w:p w14:paraId="7EC7FFFF" w14:textId="77777777" w:rsidR="00B91F07" w:rsidRPr="0040535D" w:rsidRDefault="00B91F07" w:rsidP="009A0EE5">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b/>
          <w:sz w:val="24"/>
          <w:szCs w:val="24"/>
        </w:rPr>
        <w:t xml:space="preserve">Art. </w:t>
      </w:r>
      <w:r w:rsidR="00E600A5" w:rsidRPr="0040535D">
        <w:rPr>
          <w:rFonts w:ascii="Times New Roman" w:hAnsi="Times New Roman"/>
          <w:b/>
          <w:sz w:val="24"/>
          <w:szCs w:val="24"/>
        </w:rPr>
        <w:t>2</w:t>
      </w:r>
      <w:r w:rsidR="00706EE6" w:rsidRPr="0040535D">
        <w:rPr>
          <w:rFonts w:ascii="Times New Roman" w:hAnsi="Times New Roman"/>
          <w:b/>
          <w:sz w:val="24"/>
          <w:szCs w:val="24"/>
        </w:rPr>
        <w:t>5</w:t>
      </w:r>
      <w:r w:rsidR="00E600A5" w:rsidRPr="0040535D">
        <w:rPr>
          <w:rFonts w:ascii="Times New Roman" w:hAnsi="Times New Roman"/>
          <w:sz w:val="24"/>
          <w:szCs w:val="24"/>
        </w:rPr>
        <w:t xml:space="preserve"> </w:t>
      </w:r>
      <w:r w:rsidRPr="0040535D">
        <w:rPr>
          <w:rFonts w:ascii="Times New Roman" w:hAnsi="Times New Roman"/>
          <w:sz w:val="24"/>
          <w:szCs w:val="24"/>
        </w:rPr>
        <w:t xml:space="preserve">reguluje obowiązki podmiotów kontrolowanych, to jest beneficjentów oraz wnioskodawców i uprawnienia instytucji kontrolujących w zakresie kontroli. Zgodnie z art. </w:t>
      </w:r>
      <w:r w:rsidR="0090611F" w:rsidRPr="0040535D">
        <w:rPr>
          <w:rFonts w:ascii="Times New Roman" w:hAnsi="Times New Roman"/>
          <w:sz w:val="24"/>
          <w:szCs w:val="24"/>
        </w:rPr>
        <w:t xml:space="preserve">25 </w:t>
      </w:r>
      <w:r w:rsidRPr="0040535D">
        <w:rPr>
          <w:rFonts w:ascii="Times New Roman" w:hAnsi="Times New Roman"/>
          <w:sz w:val="24"/>
          <w:szCs w:val="24"/>
        </w:rPr>
        <w:t xml:space="preserve">ust. 1 – 3, do podstawowych obowiązków podmiotów kontrolowanych należy poddanie się kontrolom wykonywanym przez </w:t>
      </w:r>
      <w:r w:rsidR="002333F0" w:rsidRPr="0040535D">
        <w:rPr>
          <w:rFonts w:ascii="Times New Roman" w:hAnsi="Times New Roman"/>
          <w:sz w:val="24"/>
          <w:szCs w:val="24"/>
        </w:rPr>
        <w:t>instytucję kontrolującą</w:t>
      </w:r>
      <w:r w:rsidRPr="0040535D">
        <w:rPr>
          <w:rFonts w:ascii="Times New Roman" w:hAnsi="Times New Roman"/>
          <w:sz w:val="24"/>
          <w:szCs w:val="24"/>
        </w:rPr>
        <w:t xml:space="preserve">, tj. instytucję zarządzającą, instytucję pośredniczącą, instytucję wdrażającą, Koordynatora Programów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krajowego kontrolera, wspólny sekretariat, ministra właściwego do spraw rozwoju regionalnego wykonującego zadania państwa członkowskiego lub na zlecenie tych instytucji. Instytucją kontrolującą jest, co do zasady, instytucja, z którą beneficjent zawarł umowę o dofinansowanie projektu – jest nią najczęściej instytucja wdr</w:t>
      </w:r>
      <w:r w:rsidR="00C36A54">
        <w:rPr>
          <w:rFonts w:ascii="Times New Roman" w:hAnsi="Times New Roman"/>
          <w:sz w:val="24"/>
          <w:szCs w:val="24"/>
        </w:rPr>
        <w:t>a</w:t>
      </w:r>
      <w:r w:rsidRPr="0040535D">
        <w:rPr>
          <w:rFonts w:ascii="Times New Roman" w:hAnsi="Times New Roman"/>
          <w:sz w:val="24"/>
          <w:szCs w:val="24"/>
        </w:rPr>
        <w:t xml:space="preserve">żająca lub pośrednicząca. Jeśli chodzi o wnioskodawców, zakres kontroli którym są oni zobligowani się poddać został zawężony do kontroli w zakresie zasad udzielania pomocy publicznej oraz w zakresie stosowania właściwych procedur dotyczących udzielania zamówień, o których mowa w art. </w:t>
      </w:r>
      <w:r w:rsidR="0090611F" w:rsidRPr="0040535D">
        <w:rPr>
          <w:rFonts w:ascii="Times New Roman" w:hAnsi="Times New Roman"/>
          <w:sz w:val="24"/>
          <w:szCs w:val="24"/>
        </w:rPr>
        <w:t xml:space="preserve">24 </w:t>
      </w:r>
      <w:r w:rsidRPr="0040535D">
        <w:rPr>
          <w:rFonts w:ascii="Times New Roman" w:hAnsi="Times New Roman"/>
          <w:sz w:val="24"/>
          <w:szCs w:val="24"/>
        </w:rPr>
        <w:t xml:space="preserve">ust. 2 pkt 2 lit c oraz kontroli zdolności wnioskodawców ubiegających się o dofinansowanie projektu w sposób niekonkurencyjny, o </w:t>
      </w:r>
      <w:r w:rsidR="008D269B" w:rsidRPr="0040535D">
        <w:rPr>
          <w:rFonts w:ascii="Times New Roman" w:hAnsi="Times New Roman"/>
          <w:sz w:val="24"/>
          <w:szCs w:val="24"/>
        </w:rPr>
        <w:t xml:space="preserve">których mowa w art. </w:t>
      </w:r>
      <w:r w:rsidR="0090611F" w:rsidRPr="0040535D">
        <w:rPr>
          <w:rFonts w:ascii="Times New Roman" w:hAnsi="Times New Roman"/>
          <w:sz w:val="24"/>
          <w:szCs w:val="24"/>
        </w:rPr>
        <w:t xml:space="preserve">24 </w:t>
      </w:r>
      <w:r w:rsidR="008D269B" w:rsidRPr="0040535D">
        <w:rPr>
          <w:rFonts w:ascii="Times New Roman" w:hAnsi="Times New Roman"/>
          <w:sz w:val="24"/>
          <w:szCs w:val="24"/>
        </w:rPr>
        <w:t xml:space="preserve">ust. 3. </w:t>
      </w:r>
      <w:r w:rsidRPr="0040535D">
        <w:rPr>
          <w:rFonts w:ascii="Times New Roman" w:hAnsi="Times New Roman"/>
          <w:sz w:val="24"/>
          <w:szCs w:val="24"/>
        </w:rPr>
        <w:t>Ponadto, beneficjent jest obowiązany poddać się kontrolom</w:t>
      </w:r>
      <w:r w:rsidR="008D269B" w:rsidRPr="0040535D">
        <w:rPr>
          <w:rFonts w:ascii="Times New Roman" w:hAnsi="Times New Roman"/>
          <w:sz w:val="24"/>
          <w:szCs w:val="24"/>
        </w:rPr>
        <w:t xml:space="preserve"> lub audytom wykonywanym przez </w:t>
      </w:r>
      <w:r w:rsidRPr="0040535D">
        <w:rPr>
          <w:rFonts w:ascii="Times New Roman" w:hAnsi="Times New Roman"/>
          <w:sz w:val="24"/>
          <w:szCs w:val="24"/>
        </w:rPr>
        <w:t>instytucję audytową, Komisję Europejską,</w:t>
      </w:r>
      <w:r w:rsidR="00E606C0" w:rsidRPr="0040535D">
        <w:rPr>
          <w:rFonts w:ascii="Times New Roman" w:hAnsi="Times New Roman"/>
          <w:iCs/>
          <w:sz w:val="24"/>
          <w:szCs w:val="24"/>
        </w:rPr>
        <w:t xml:space="preserve"> Europejski Urząd ds. Zwalczania Nadużyć Finansowych (OLAF),</w:t>
      </w:r>
      <w:r w:rsidRPr="0040535D">
        <w:rPr>
          <w:rFonts w:ascii="Times New Roman" w:hAnsi="Times New Roman"/>
          <w:sz w:val="24"/>
          <w:szCs w:val="24"/>
        </w:rPr>
        <w:t xml:space="preserve"> Europejski Trybunał Obrachunkowy, inne podmioty do tego uprawnione na podstawie odrębnych przepisów (np. Najwyższą Izbę Kontroli) lub </w:t>
      </w:r>
      <w:r w:rsidR="00925A5A" w:rsidRPr="0040535D">
        <w:rPr>
          <w:rFonts w:ascii="Times New Roman" w:hAnsi="Times New Roman"/>
          <w:sz w:val="24"/>
          <w:szCs w:val="24"/>
        </w:rPr>
        <w:t xml:space="preserve">podmioty </w:t>
      </w:r>
      <w:r w:rsidRPr="0040535D">
        <w:rPr>
          <w:rFonts w:ascii="Times New Roman" w:hAnsi="Times New Roman"/>
          <w:sz w:val="24"/>
          <w:szCs w:val="24"/>
        </w:rPr>
        <w:t xml:space="preserve">przeprowadzające kontrolę lub audyt na zlecenie tych instytucji. W ustawie przewidziano także możliwość prowadzenia czynności kontrolnych przez osoby niebędące pracownikami instytucji kontrolującej – stosowny przepis został wprowadzony art. </w:t>
      </w:r>
      <w:r w:rsidR="0090611F" w:rsidRPr="0040535D">
        <w:rPr>
          <w:rFonts w:ascii="Times New Roman" w:hAnsi="Times New Roman"/>
          <w:sz w:val="24"/>
          <w:szCs w:val="24"/>
        </w:rPr>
        <w:t xml:space="preserve">25 </w:t>
      </w:r>
      <w:r w:rsidRPr="0040535D">
        <w:rPr>
          <w:rFonts w:ascii="Times New Roman" w:hAnsi="Times New Roman"/>
          <w:sz w:val="24"/>
          <w:szCs w:val="24"/>
        </w:rPr>
        <w:t>ust. 4.</w:t>
      </w:r>
    </w:p>
    <w:p w14:paraId="59B4CC80" w14:textId="77777777" w:rsidR="00B91F07" w:rsidRPr="0040535D" w:rsidRDefault="00B91F07" w:rsidP="009A0EE5">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Lista obowiązków podmiotów kontrolowanych obejmuje również udostępnianie instytucji kontrolującej dokumentów związanych bezpośrednio lub pośrednio z realizacją projektu, zapewnienie dostępu do pomieszczeń i terenu realizacji projektu lub pomieszczeń kontrolowanego</w:t>
      </w:r>
      <w:r w:rsidR="007F55FB" w:rsidRPr="0040535D">
        <w:rPr>
          <w:rFonts w:ascii="Times New Roman" w:hAnsi="Times New Roman"/>
          <w:sz w:val="24"/>
          <w:szCs w:val="24"/>
        </w:rPr>
        <w:t xml:space="preserve"> projektu</w:t>
      </w:r>
      <w:r w:rsidRPr="0040535D">
        <w:rPr>
          <w:rFonts w:ascii="Times New Roman" w:hAnsi="Times New Roman"/>
          <w:sz w:val="24"/>
          <w:szCs w:val="24"/>
        </w:rPr>
        <w:t xml:space="preserve">, zapewnienie dostępu do związanych z projektem systemów teleinformatycznych, w tym baz danych, kodów źródłowych i innych dokumentów elektronicznych wytworzonych w ramach projektu i udzielanie wszelkich możliwych wyjaśnień dotyczących realizacji projektu (art. </w:t>
      </w:r>
      <w:r w:rsidR="0090611F" w:rsidRPr="0040535D">
        <w:rPr>
          <w:rFonts w:ascii="Times New Roman" w:hAnsi="Times New Roman"/>
          <w:sz w:val="24"/>
          <w:szCs w:val="24"/>
        </w:rPr>
        <w:t xml:space="preserve">25 </w:t>
      </w:r>
      <w:r w:rsidRPr="0040535D">
        <w:rPr>
          <w:rFonts w:ascii="Times New Roman" w:hAnsi="Times New Roman"/>
          <w:sz w:val="24"/>
          <w:szCs w:val="24"/>
        </w:rPr>
        <w:t>ust. 8 i 9). Instytucja kontrolująca</w:t>
      </w:r>
      <w:r w:rsidR="000A6721" w:rsidRPr="0040535D">
        <w:rPr>
          <w:rFonts w:ascii="Times New Roman" w:hAnsi="Times New Roman"/>
          <w:sz w:val="24"/>
          <w:szCs w:val="24"/>
        </w:rPr>
        <w:t xml:space="preserve">, w związku </w:t>
      </w:r>
      <w:r w:rsidR="000A6721" w:rsidRPr="0040535D">
        <w:rPr>
          <w:rFonts w:ascii="Times New Roman" w:hAnsi="Times New Roman"/>
          <w:sz w:val="24"/>
          <w:szCs w:val="24"/>
        </w:rPr>
        <w:lastRenderedPageBreak/>
        <w:t>z podejrzeniem wystąpienia nadużycia finansowego lub złożenia przez beneficjenta niewystarczających wyjaśnień,</w:t>
      </w:r>
      <w:r w:rsidRPr="0040535D">
        <w:rPr>
          <w:rFonts w:ascii="Times New Roman" w:hAnsi="Times New Roman"/>
          <w:sz w:val="24"/>
          <w:szCs w:val="24"/>
        </w:rPr>
        <w:t xml:space="preserve"> może zwrócić się o złożenie wyjaśnień także do innych niż beneficjent podmiotów lub osób zaangażowanych w realizację projektu (art. </w:t>
      </w:r>
      <w:r w:rsidR="0090611F" w:rsidRPr="0040535D">
        <w:rPr>
          <w:rFonts w:ascii="Times New Roman" w:hAnsi="Times New Roman"/>
          <w:sz w:val="24"/>
          <w:szCs w:val="24"/>
        </w:rPr>
        <w:t>25</w:t>
      </w:r>
      <w:r w:rsidR="007D74B7" w:rsidRPr="0040535D">
        <w:rPr>
          <w:rFonts w:ascii="Times New Roman" w:hAnsi="Times New Roman"/>
          <w:sz w:val="24"/>
          <w:szCs w:val="24"/>
        </w:rPr>
        <w:t xml:space="preserve"> </w:t>
      </w:r>
      <w:r w:rsidRPr="0040535D">
        <w:rPr>
          <w:rFonts w:ascii="Times New Roman" w:hAnsi="Times New Roman"/>
          <w:sz w:val="24"/>
          <w:szCs w:val="24"/>
        </w:rPr>
        <w:t xml:space="preserve">ust. 10). </w:t>
      </w:r>
      <w:r w:rsidR="001A65EF" w:rsidRPr="0040535D">
        <w:rPr>
          <w:rFonts w:ascii="Times New Roman" w:hAnsi="Times New Roman"/>
          <w:sz w:val="24"/>
          <w:szCs w:val="24"/>
        </w:rPr>
        <w:t>Na te podmioty lub osoby nałożono obowiązek udzielenia wyjaśnień i udostępnienia dokumentów związanych z realizacją projekt</w:t>
      </w:r>
      <w:r w:rsidR="009E0E4A">
        <w:rPr>
          <w:rFonts w:ascii="Times New Roman" w:hAnsi="Times New Roman"/>
          <w:sz w:val="24"/>
          <w:szCs w:val="24"/>
        </w:rPr>
        <w:t>u</w:t>
      </w:r>
      <w:r w:rsidR="001A65EF" w:rsidRPr="0040535D">
        <w:rPr>
          <w:rFonts w:ascii="Times New Roman" w:hAnsi="Times New Roman"/>
          <w:sz w:val="24"/>
          <w:szCs w:val="24"/>
        </w:rPr>
        <w:t xml:space="preserve">. </w:t>
      </w:r>
      <w:r w:rsidRPr="0040535D">
        <w:rPr>
          <w:rFonts w:ascii="Times New Roman" w:hAnsi="Times New Roman"/>
          <w:sz w:val="24"/>
          <w:szCs w:val="24"/>
        </w:rPr>
        <w:t xml:space="preserve">Ustawa zawiera otwarty katalog tych podmiotów lub osób, do którego zaliczono uczestników projektu, </w:t>
      </w:r>
      <w:proofErr w:type="spellStart"/>
      <w:r w:rsidRPr="0040535D">
        <w:rPr>
          <w:rFonts w:ascii="Times New Roman" w:hAnsi="Times New Roman"/>
          <w:sz w:val="24"/>
          <w:szCs w:val="24"/>
        </w:rPr>
        <w:t>grantobiorców</w:t>
      </w:r>
      <w:proofErr w:type="spellEnd"/>
      <w:r w:rsidRPr="0040535D">
        <w:rPr>
          <w:rFonts w:ascii="Times New Roman" w:hAnsi="Times New Roman"/>
          <w:sz w:val="24"/>
          <w:szCs w:val="24"/>
        </w:rPr>
        <w:t>, ostatecznych odbiorców, wykonawców oraz podwykonawców.</w:t>
      </w:r>
    </w:p>
    <w:p w14:paraId="081635E0" w14:textId="77777777" w:rsidR="00B91F07" w:rsidRPr="0040535D" w:rsidRDefault="00B91F07" w:rsidP="009A0EE5">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Dodatkowo, listę obowiązków podmiotów kontrolowanych rozszerzono o obowiązek sporządzenia - na żądanie kontrolerów - kopii dokumentów, wyciągów ze wskazanych dokumentów oraz zestawień lub obliczeń, które związane są z kontrolowanym projektem. Przepis ma na celu ułatwienie gromadzenia materiału dowodowego podczas kontroli (art. </w:t>
      </w:r>
      <w:r w:rsidR="0090611F" w:rsidRPr="0040535D">
        <w:rPr>
          <w:rFonts w:ascii="Times New Roman" w:hAnsi="Times New Roman"/>
          <w:sz w:val="24"/>
          <w:szCs w:val="24"/>
        </w:rPr>
        <w:t xml:space="preserve">25 </w:t>
      </w:r>
      <w:r w:rsidRPr="0040535D">
        <w:rPr>
          <w:rFonts w:ascii="Times New Roman" w:hAnsi="Times New Roman"/>
          <w:sz w:val="24"/>
          <w:szCs w:val="24"/>
        </w:rPr>
        <w:t>ust. 8 pkt 3).</w:t>
      </w:r>
    </w:p>
    <w:p w14:paraId="571D9104" w14:textId="77777777" w:rsidR="00555DC0" w:rsidRPr="0040535D" w:rsidRDefault="00555DC0" w:rsidP="009A0EE5">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Dotychczasowe doświadczenia wskazują, że zdefiniowanie terminu, w którym może być przeprowadzona kontrola wiązało się z koniecznością analizy projektu w kontekście wielu aktów prawa, co prowadziło do trudności w ostatecznym ustaleniu tego terminu. Ze względu na to zdecydowano się wprowadzić ułatwienie dla beneficjenta zobowiązując instytucje do określenia, do którego dnia kontrola może być prowadzona, w umowie o dofinansowanie projektu (art. </w:t>
      </w:r>
      <w:r w:rsidR="0090611F" w:rsidRPr="0040535D">
        <w:rPr>
          <w:rFonts w:ascii="Times New Roman" w:hAnsi="Times New Roman"/>
          <w:sz w:val="24"/>
          <w:szCs w:val="24"/>
        </w:rPr>
        <w:t xml:space="preserve">25 </w:t>
      </w:r>
      <w:r w:rsidRPr="0040535D">
        <w:rPr>
          <w:rFonts w:ascii="Times New Roman" w:hAnsi="Times New Roman"/>
          <w:sz w:val="24"/>
          <w:szCs w:val="24"/>
        </w:rPr>
        <w:t>ust. 6).</w:t>
      </w:r>
    </w:p>
    <w:p w14:paraId="24511A9A" w14:textId="77777777" w:rsidR="00B91F07" w:rsidRPr="0040535D" w:rsidRDefault="00B91F07" w:rsidP="009A0EE5">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Zgodnie z art. </w:t>
      </w:r>
      <w:r w:rsidR="0090611F" w:rsidRPr="0040535D">
        <w:rPr>
          <w:rFonts w:ascii="Times New Roman" w:hAnsi="Times New Roman"/>
          <w:sz w:val="24"/>
          <w:szCs w:val="24"/>
        </w:rPr>
        <w:t xml:space="preserve">25 </w:t>
      </w:r>
      <w:r w:rsidRPr="0040535D">
        <w:rPr>
          <w:rFonts w:ascii="Times New Roman" w:hAnsi="Times New Roman"/>
          <w:sz w:val="24"/>
          <w:szCs w:val="24"/>
        </w:rPr>
        <w:t xml:space="preserve">ust. 7, kontrole mogą być przeprowadzane zarówno w siedzibie instytucji kontrolującej (tzw. kontrole na dokumentach), jak również w siedzibie podmiotu kontrolowanego lub w każdym miejscu związanym z realizacją projektu (w tym w miejscu jego realizacji), przy czym w tych dwóch ostatnich przypadkach kontrole przeprowadza się na podstawie pisemnego, imiennego upoważnienia (art. </w:t>
      </w:r>
      <w:r w:rsidR="0090611F" w:rsidRPr="0040535D">
        <w:rPr>
          <w:rFonts w:ascii="Times New Roman" w:hAnsi="Times New Roman"/>
          <w:sz w:val="24"/>
          <w:szCs w:val="24"/>
        </w:rPr>
        <w:t xml:space="preserve">25 </w:t>
      </w:r>
      <w:r w:rsidRPr="0040535D">
        <w:rPr>
          <w:rFonts w:ascii="Times New Roman" w:hAnsi="Times New Roman"/>
          <w:sz w:val="24"/>
          <w:szCs w:val="24"/>
        </w:rPr>
        <w:t xml:space="preserve">ust. </w:t>
      </w:r>
      <w:r w:rsidR="00373D9D" w:rsidRPr="0040535D">
        <w:rPr>
          <w:rFonts w:ascii="Times New Roman" w:hAnsi="Times New Roman"/>
          <w:sz w:val="24"/>
          <w:szCs w:val="24"/>
        </w:rPr>
        <w:t>5) do przeprowadzenia kontroli.</w:t>
      </w:r>
    </w:p>
    <w:p w14:paraId="567638BF" w14:textId="77777777" w:rsidR="00555DC0" w:rsidRPr="0040535D" w:rsidRDefault="00555DC0" w:rsidP="009A0EE5">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W art. </w:t>
      </w:r>
      <w:r w:rsidR="0090611F" w:rsidRPr="0040535D">
        <w:rPr>
          <w:rFonts w:ascii="Times New Roman" w:hAnsi="Times New Roman"/>
          <w:sz w:val="24"/>
          <w:szCs w:val="24"/>
        </w:rPr>
        <w:t>2</w:t>
      </w:r>
      <w:r w:rsidR="007E4887" w:rsidRPr="0040535D">
        <w:rPr>
          <w:rFonts w:ascii="Times New Roman" w:hAnsi="Times New Roman"/>
          <w:sz w:val="24"/>
          <w:szCs w:val="24"/>
        </w:rPr>
        <w:t>5</w:t>
      </w:r>
      <w:r w:rsidR="0090611F" w:rsidRPr="0040535D">
        <w:rPr>
          <w:rFonts w:ascii="Times New Roman" w:hAnsi="Times New Roman"/>
          <w:sz w:val="24"/>
          <w:szCs w:val="24"/>
        </w:rPr>
        <w:t xml:space="preserve"> </w:t>
      </w:r>
      <w:r w:rsidRPr="0040535D">
        <w:rPr>
          <w:rFonts w:ascii="Times New Roman" w:hAnsi="Times New Roman"/>
          <w:sz w:val="24"/>
          <w:szCs w:val="24"/>
        </w:rPr>
        <w:t xml:space="preserve">ust. 11 </w:t>
      </w:r>
      <w:r w:rsidR="00B91F07" w:rsidRPr="0040535D">
        <w:rPr>
          <w:rFonts w:ascii="Times New Roman" w:hAnsi="Times New Roman"/>
          <w:sz w:val="24"/>
          <w:szCs w:val="24"/>
        </w:rPr>
        <w:t>przewidziano możliwość przeprowadzenia oględzin w miejscu realizacji projektu. Zarówno wynik oględzin, jak i przyjmowanie podczas kontroli ustnych wyjaśnień i oświadczeń dokumentowane będzie protokołem</w:t>
      </w:r>
      <w:r w:rsidR="00DA5938" w:rsidRPr="0040535D">
        <w:rPr>
          <w:rFonts w:ascii="Times New Roman" w:hAnsi="Times New Roman"/>
          <w:sz w:val="24"/>
          <w:szCs w:val="24"/>
        </w:rPr>
        <w:t xml:space="preserve"> podpisywanym przez osobę kontrolującą i pozostałe osoby uczestniczące w tej czynności</w:t>
      </w:r>
      <w:r w:rsidR="003904C8" w:rsidRPr="0040535D">
        <w:rPr>
          <w:rFonts w:ascii="Times New Roman" w:hAnsi="Times New Roman"/>
          <w:sz w:val="24"/>
          <w:szCs w:val="24"/>
        </w:rPr>
        <w:t xml:space="preserve"> (ust.</w:t>
      </w:r>
      <w:r w:rsidR="009030D4">
        <w:rPr>
          <w:rFonts w:ascii="Times New Roman" w:hAnsi="Times New Roman"/>
          <w:sz w:val="24"/>
          <w:szCs w:val="24"/>
        </w:rPr>
        <w:t xml:space="preserve"> </w:t>
      </w:r>
      <w:r w:rsidR="003904C8" w:rsidRPr="0040535D">
        <w:rPr>
          <w:rFonts w:ascii="Times New Roman" w:hAnsi="Times New Roman"/>
          <w:sz w:val="24"/>
          <w:szCs w:val="24"/>
        </w:rPr>
        <w:t>12)</w:t>
      </w:r>
      <w:r w:rsidR="00DA5938" w:rsidRPr="0040535D">
        <w:rPr>
          <w:rFonts w:ascii="Times New Roman" w:hAnsi="Times New Roman"/>
          <w:sz w:val="24"/>
          <w:szCs w:val="24"/>
        </w:rPr>
        <w:t>.</w:t>
      </w:r>
      <w:r w:rsidR="00B91F07" w:rsidRPr="0040535D">
        <w:rPr>
          <w:rFonts w:ascii="Times New Roman" w:hAnsi="Times New Roman"/>
          <w:sz w:val="24"/>
          <w:szCs w:val="24"/>
        </w:rPr>
        <w:t xml:space="preserve"> </w:t>
      </w:r>
      <w:r w:rsidR="00F81533" w:rsidRPr="0040535D">
        <w:rPr>
          <w:rFonts w:ascii="Times New Roman" w:hAnsi="Times New Roman"/>
          <w:sz w:val="24"/>
          <w:szCs w:val="24"/>
        </w:rPr>
        <w:t>W przypadku odmowy podpisania protokołu przez osoby uczestniczące w tej czynności, osoba kontrolująca umieści w protokole adnotację o przyczynach odmowy podpis</w:t>
      </w:r>
      <w:r w:rsidR="003904C8" w:rsidRPr="0040535D">
        <w:rPr>
          <w:rFonts w:ascii="Times New Roman" w:hAnsi="Times New Roman"/>
          <w:sz w:val="24"/>
          <w:szCs w:val="24"/>
        </w:rPr>
        <w:t>ania protokołu</w:t>
      </w:r>
      <w:r w:rsidR="00B91F07" w:rsidRPr="0040535D">
        <w:rPr>
          <w:rFonts w:ascii="Times New Roman" w:hAnsi="Times New Roman"/>
          <w:sz w:val="24"/>
          <w:szCs w:val="24"/>
        </w:rPr>
        <w:t xml:space="preserve">. Natomiast inne czynności kontrolne mające istotne znaczenie dla ustaleń kontroli będą dokumentowane notatką kontrolera (ust. 13). W stosunku do perspektywy 2014-2020 </w:t>
      </w:r>
      <w:r w:rsidRPr="0040535D">
        <w:rPr>
          <w:rFonts w:ascii="Times New Roman" w:hAnsi="Times New Roman"/>
          <w:sz w:val="24"/>
          <w:szCs w:val="24"/>
        </w:rPr>
        <w:t>dokonano rozszerzenia możliwości przeprowadzania oględzin pod nieobecność beneficjenta lub osoby go reprezentującej,</w:t>
      </w:r>
      <w:r w:rsidRPr="0040535D" w:rsidDel="00725953">
        <w:rPr>
          <w:rFonts w:ascii="Times New Roman" w:hAnsi="Times New Roman"/>
          <w:sz w:val="24"/>
          <w:szCs w:val="24"/>
        </w:rPr>
        <w:t xml:space="preserve"> </w:t>
      </w:r>
      <w:r w:rsidRPr="0040535D">
        <w:rPr>
          <w:rFonts w:ascii="Times New Roman" w:hAnsi="Times New Roman"/>
          <w:sz w:val="24"/>
          <w:szCs w:val="24"/>
        </w:rPr>
        <w:t xml:space="preserve">w sytuacji gdy instytucja dysponuje informacjami wskazującymi na możliwość wystąpienia nadużycia finansowego lub </w:t>
      </w:r>
      <w:r w:rsidRPr="0040535D">
        <w:rPr>
          <w:rFonts w:ascii="Times New Roman" w:hAnsi="Times New Roman"/>
          <w:sz w:val="24"/>
          <w:szCs w:val="24"/>
        </w:rPr>
        <w:lastRenderedPageBreak/>
        <w:t xml:space="preserve">gdy beneficjent nie stawił się na czynność oględzin pomimo powiadomienia lub gdy zgodził się na przeprowadzenie oględzin bez swego udziału. </w:t>
      </w:r>
      <w:r w:rsidR="003B0DB8" w:rsidRPr="0040535D">
        <w:rPr>
          <w:rFonts w:ascii="Times New Roman" w:hAnsi="Times New Roman"/>
          <w:sz w:val="24"/>
          <w:szCs w:val="24"/>
        </w:rPr>
        <w:t>W ostatnim przypadku i</w:t>
      </w:r>
      <w:r w:rsidRPr="0040535D">
        <w:rPr>
          <w:rFonts w:ascii="Times New Roman" w:hAnsi="Times New Roman"/>
          <w:sz w:val="24"/>
          <w:szCs w:val="24"/>
        </w:rPr>
        <w:t>nstytucja kontrolująca została zobowiązana do odnotowania w protokole przyczyny przeprowadzenia oględzin bez udziału beneficjenta lub jego reprezentanta.</w:t>
      </w:r>
    </w:p>
    <w:p w14:paraId="106BD713" w14:textId="77777777" w:rsidR="00555DC0" w:rsidRPr="0040535D" w:rsidRDefault="00555DC0" w:rsidP="009A0EE5">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Konieczność rozszerzenia funkcjonującej regulacji dot</w:t>
      </w:r>
      <w:r w:rsidR="001527A6" w:rsidRPr="0040535D">
        <w:rPr>
          <w:rFonts w:ascii="Times New Roman" w:hAnsi="Times New Roman"/>
          <w:sz w:val="24"/>
          <w:szCs w:val="24"/>
        </w:rPr>
        <w:t>yczącej</w:t>
      </w:r>
      <w:r w:rsidRPr="0040535D">
        <w:rPr>
          <w:rFonts w:ascii="Times New Roman" w:hAnsi="Times New Roman"/>
          <w:sz w:val="24"/>
          <w:szCs w:val="24"/>
        </w:rPr>
        <w:t xml:space="preserve"> oględzin wynika z dotychczasowej praktyki w kontrolach, kiedy to instytucja kontrolująca dysponowała informacjami wskazującymi na możliwość popełnienia przez podmiot kontrolowany czynu zabronionego, który należało udokumentować pomimo nieobecności beneficjenta (podwójne deklarowanie do rozliczenia zakupionego sprzętu, niestawianie się na oględziny).</w:t>
      </w:r>
    </w:p>
    <w:p w14:paraId="1426A5A8" w14:textId="77777777" w:rsidR="00555DC0" w:rsidRPr="0040535D" w:rsidRDefault="00555DC0" w:rsidP="009A0EE5">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Ponadto, wprowadzono w ustawie możliwość zwrócenia się przez instytucję kontrolującą do Komendanta Policji z wnioskiem o pomoc w przeprowadzeniu kontroli. </w:t>
      </w:r>
      <w:r w:rsidR="00B91F07" w:rsidRPr="0040535D">
        <w:rPr>
          <w:rFonts w:ascii="Times New Roman" w:hAnsi="Times New Roman"/>
          <w:sz w:val="24"/>
          <w:szCs w:val="24"/>
        </w:rPr>
        <w:t xml:space="preserve">Wzięto bowiem pod uwagę, że oględziny mogą wiązać się z koniecznością wejścia na teren prywatny również pod nieobecność podmiotu kontrolowanego, więc zdecydowano się przy podjęciu takiego kroku zapewnić towarzyszenie/asystę podmiotu uprawnionego. </w:t>
      </w:r>
      <w:r w:rsidRPr="0040535D">
        <w:rPr>
          <w:rFonts w:ascii="Times New Roman" w:hAnsi="Times New Roman"/>
          <w:sz w:val="24"/>
          <w:szCs w:val="24"/>
        </w:rPr>
        <w:t xml:space="preserve">Możliwość taka została przewidziana </w:t>
      </w:r>
      <w:r w:rsidR="000D2ECA" w:rsidRPr="0040535D">
        <w:rPr>
          <w:rFonts w:ascii="Times New Roman" w:hAnsi="Times New Roman"/>
          <w:sz w:val="24"/>
          <w:szCs w:val="24"/>
        </w:rPr>
        <w:t xml:space="preserve">także </w:t>
      </w:r>
      <w:r w:rsidRPr="0040535D">
        <w:rPr>
          <w:rFonts w:ascii="Times New Roman" w:hAnsi="Times New Roman"/>
          <w:sz w:val="24"/>
          <w:szCs w:val="24"/>
        </w:rPr>
        <w:t xml:space="preserve">ze względu na pojawiające się wyjątkowo okoliczności, z którymi wiąże się konieczność zapewnienia kontrolerom bezpieczeństwa lub sprawnej identyfikacji osób podejrzewanych o wykonywanie czynności w projekcie (lub w miejscu jego realizacji) w sposób naruszający obowiązujące prawo (art. </w:t>
      </w:r>
      <w:r w:rsidR="00E600A5" w:rsidRPr="0040535D">
        <w:rPr>
          <w:rFonts w:ascii="Times New Roman" w:hAnsi="Times New Roman"/>
          <w:sz w:val="24"/>
          <w:szCs w:val="24"/>
        </w:rPr>
        <w:t>2</w:t>
      </w:r>
      <w:r w:rsidR="007E4887" w:rsidRPr="0040535D">
        <w:rPr>
          <w:rFonts w:ascii="Times New Roman" w:hAnsi="Times New Roman"/>
          <w:sz w:val="24"/>
          <w:szCs w:val="24"/>
        </w:rPr>
        <w:t>5</w:t>
      </w:r>
      <w:r w:rsidR="00E600A5" w:rsidRPr="0040535D">
        <w:rPr>
          <w:rFonts w:ascii="Times New Roman" w:hAnsi="Times New Roman"/>
          <w:sz w:val="24"/>
          <w:szCs w:val="24"/>
        </w:rPr>
        <w:t xml:space="preserve"> </w:t>
      </w:r>
      <w:r w:rsidRPr="0040535D">
        <w:rPr>
          <w:rFonts w:ascii="Times New Roman" w:hAnsi="Times New Roman"/>
          <w:sz w:val="24"/>
          <w:szCs w:val="24"/>
        </w:rPr>
        <w:t>ust. 14).</w:t>
      </w:r>
    </w:p>
    <w:p w14:paraId="29ADE8E3" w14:textId="77777777" w:rsidR="00555DC0" w:rsidRPr="0040535D" w:rsidRDefault="00555DC0" w:rsidP="009A0EE5">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W art. </w:t>
      </w:r>
      <w:r w:rsidR="0090611F" w:rsidRPr="0040535D">
        <w:rPr>
          <w:rFonts w:ascii="Times New Roman" w:hAnsi="Times New Roman"/>
          <w:sz w:val="24"/>
          <w:szCs w:val="24"/>
        </w:rPr>
        <w:t>25</w:t>
      </w:r>
      <w:r w:rsidR="007E4887" w:rsidRPr="0040535D">
        <w:rPr>
          <w:rFonts w:ascii="Times New Roman" w:hAnsi="Times New Roman"/>
          <w:sz w:val="24"/>
          <w:szCs w:val="24"/>
        </w:rPr>
        <w:t xml:space="preserve"> </w:t>
      </w:r>
      <w:r w:rsidRPr="0040535D">
        <w:rPr>
          <w:rFonts w:ascii="Times New Roman" w:hAnsi="Times New Roman"/>
          <w:sz w:val="24"/>
          <w:szCs w:val="24"/>
        </w:rPr>
        <w:t xml:space="preserve">ust. </w:t>
      </w:r>
      <w:r w:rsidR="00943E8B" w:rsidRPr="0040535D">
        <w:rPr>
          <w:rFonts w:ascii="Times New Roman" w:hAnsi="Times New Roman"/>
          <w:sz w:val="24"/>
          <w:szCs w:val="24"/>
        </w:rPr>
        <w:t xml:space="preserve">15 </w:t>
      </w:r>
      <w:r w:rsidRPr="0040535D">
        <w:rPr>
          <w:rFonts w:ascii="Times New Roman" w:hAnsi="Times New Roman"/>
          <w:sz w:val="24"/>
          <w:szCs w:val="24"/>
        </w:rPr>
        <w:t>zawarta została regulacja dotycząca możliwości wykorzystania</w:t>
      </w:r>
      <w:r w:rsidR="00CF1BDB" w:rsidRPr="0040535D">
        <w:rPr>
          <w:rFonts w:ascii="Times New Roman" w:hAnsi="Times New Roman"/>
          <w:sz w:val="24"/>
          <w:szCs w:val="24"/>
        </w:rPr>
        <w:t xml:space="preserve"> podczas kontroli zaawansowanych technologicznie narzędzi analitycznych oraz narzędzi rejestrujących obraz i dźwięk</w:t>
      </w:r>
      <w:r w:rsidRPr="0040535D">
        <w:rPr>
          <w:rFonts w:ascii="Times New Roman" w:hAnsi="Times New Roman"/>
          <w:sz w:val="24"/>
          <w:szCs w:val="24"/>
        </w:rPr>
        <w:t>. Pozwoli to na sprawne zebranie materiału dowodowego przykładowo przy budowie autostrad (lot dronem nad wybudowanym odcinkiem drogowym) lub przy potwierdzaniu za pośrednictwem historycznych zdjęć satelitarnych momentu pojawienia się elementu infrastruktury, który jest deklarowany do rozliczenia jako nowo wybudowany.</w:t>
      </w:r>
    </w:p>
    <w:p w14:paraId="0FCC118D" w14:textId="77777777" w:rsidR="00C81745" w:rsidRPr="0040535D" w:rsidRDefault="00C81745" w:rsidP="009A0EE5">
      <w:pPr>
        <w:spacing w:before="120" w:after="120" w:line="360" w:lineRule="auto"/>
        <w:jc w:val="both"/>
        <w:rPr>
          <w:rFonts w:ascii="Times New Roman" w:eastAsia="Times New Roman" w:hAnsi="Times New Roman"/>
          <w:sz w:val="24"/>
          <w:szCs w:val="24"/>
          <w:lang w:eastAsia="x-none"/>
        </w:rPr>
      </w:pPr>
      <w:r w:rsidRPr="0040535D">
        <w:rPr>
          <w:rFonts w:ascii="Times New Roman" w:hAnsi="Times New Roman"/>
          <w:sz w:val="24"/>
          <w:szCs w:val="24"/>
        </w:rPr>
        <w:t xml:space="preserve">Przepisy zawarte w </w:t>
      </w:r>
      <w:r w:rsidRPr="0040535D">
        <w:rPr>
          <w:rFonts w:ascii="Times New Roman" w:hAnsi="Times New Roman"/>
          <w:b/>
          <w:sz w:val="24"/>
          <w:szCs w:val="24"/>
        </w:rPr>
        <w:t xml:space="preserve">art. </w:t>
      </w:r>
      <w:r w:rsidR="0090611F" w:rsidRPr="0040535D">
        <w:rPr>
          <w:rFonts w:ascii="Times New Roman" w:hAnsi="Times New Roman"/>
          <w:b/>
          <w:sz w:val="24"/>
          <w:szCs w:val="24"/>
        </w:rPr>
        <w:t>26</w:t>
      </w:r>
      <w:r w:rsidR="0090611F" w:rsidRPr="0040535D">
        <w:rPr>
          <w:rFonts w:ascii="Times New Roman" w:hAnsi="Times New Roman"/>
          <w:sz w:val="24"/>
          <w:szCs w:val="24"/>
        </w:rPr>
        <w:t xml:space="preserve"> </w:t>
      </w:r>
      <w:r w:rsidRPr="0040535D">
        <w:rPr>
          <w:rFonts w:ascii="Times New Roman" w:hAnsi="Times New Roman"/>
          <w:sz w:val="24"/>
          <w:szCs w:val="24"/>
        </w:rPr>
        <w:t xml:space="preserve">dotyczą zagadnień związanych z nieprawidłowościami stwierdzanymi w związku z realizacją projektów dofinansowanych ze środków funduszy UE. Przepisy odwołują się do dwóch rodzajów nieprawidłowości wskazanych w art. 2 ustawy, tj. nieprawidłowości indywidualnej oraz nieprawidłowości systemowej. </w:t>
      </w:r>
      <w:r w:rsidRPr="0040535D">
        <w:rPr>
          <w:rFonts w:ascii="Times New Roman" w:eastAsia="Times New Roman" w:hAnsi="Times New Roman"/>
          <w:sz w:val="24"/>
          <w:szCs w:val="24"/>
          <w:lang w:val="x-none" w:eastAsia="x-none"/>
        </w:rPr>
        <w:t xml:space="preserve">Przepisy art. </w:t>
      </w:r>
      <w:r w:rsidR="0090611F" w:rsidRPr="0040535D">
        <w:rPr>
          <w:rFonts w:ascii="Times New Roman" w:eastAsia="Times New Roman" w:hAnsi="Times New Roman"/>
          <w:sz w:val="24"/>
          <w:szCs w:val="24"/>
          <w:lang w:val="x-none" w:eastAsia="x-none"/>
        </w:rPr>
        <w:t>2</w:t>
      </w:r>
      <w:r w:rsidR="0090611F" w:rsidRPr="0040535D">
        <w:rPr>
          <w:rFonts w:ascii="Times New Roman" w:eastAsia="Times New Roman" w:hAnsi="Times New Roman"/>
          <w:sz w:val="24"/>
          <w:szCs w:val="24"/>
          <w:lang w:eastAsia="x-none"/>
        </w:rPr>
        <w:t>6</w:t>
      </w:r>
      <w:r w:rsidR="0090611F" w:rsidRPr="0040535D">
        <w:rPr>
          <w:rFonts w:ascii="Times New Roman" w:eastAsia="Times New Roman" w:hAnsi="Times New Roman"/>
          <w:sz w:val="24"/>
          <w:szCs w:val="24"/>
          <w:lang w:val="x-none" w:eastAsia="x-none"/>
        </w:rPr>
        <w:t xml:space="preserve"> </w:t>
      </w:r>
      <w:r w:rsidRPr="0040535D">
        <w:rPr>
          <w:rFonts w:ascii="Times New Roman" w:eastAsia="Times New Roman" w:hAnsi="Times New Roman"/>
          <w:sz w:val="24"/>
          <w:szCs w:val="24"/>
          <w:lang w:val="x-none" w:eastAsia="x-none"/>
        </w:rPr>
        <w:t>określają sposób postępowania w przypadku stwierdzenia nieprawidłowości w zależności od momentu jej wykrycia. Stwierdzenie nieprawidłowości przed zatwierdzeniem wniosku o płatność wiąże się z koniecznością pomniejszenia kwoty wydatków kwalifikowalnych ujętych we wniosku beneficjenta o płatność o kwotę wydatków nieprawidłowych. Natomiast stwierdzenie nieprawidłowości po zatwierdzeniu wniosku o płatność wymaga nałożenia korekty finansowej</w:t>
      </w:r>
      <w:r w:rsidR="00384700" w:rsidRPr="0040535D">
        <w:rPr>
          <w:rFonts w:ascii="Times New Roman" w:eastAsia="Times New Roman" w:hAnsi="Times New Roman"/>
          <w:sz w:val="24"/>
          <w:szCs w:val="24"/>
          <w:lang w:eastAsia="x-none"/>
        </w:rPr>
        <w:t>.</w:t>
      </w:r>
    </w:p>
    <w:p w14:paraId="22CA13D5" w14:textId="77777777" w:rsidR="00C81745" w:rsidRPr="0040535D" w:rsidRDefault="00C81745" w:rsidP="009A0EE5">
      <w:pPr>
        <w:widowControl w:val="0"/>
        <w:autoSpaceDE w:val="0"/>
        <w:autoSpaceDN w:val="0"/>
        <w:adjustRightInd w:val="0"/>
        <w:spacing w:after="0" w:line="360" w:lineRule="auto"/>
        <w:jc w:val="both"/>
        <w:rPr>
          <w:rFonts w:ascii="Times New Roman" w:eastAsia="Times New Roman" w:hAnsi="Times New Roman"/>
          <w:sz w:val="24"/>
          <w:szCs w:val="24"/>
          <w:lang w:eastAsia="x-none"/>
        </w:rPr>
      </w:pPr>
      <w:r w:rsidRPr="0040535D">
        <w:rPr>
          <w:rFonts w:ascii="Times New Roman" w:eastAsia="Times New Roman" w:hAnsi="Times New Roman"/>
          <w:sz w:val="24"/>
          <w:szCs w:val="24"/>
          <w:lang w:val="x-none" w:eastAsia="x-none"/>
        </w:rPr>
        <w:lastRenderedPageBreak/>
        <w:t>Wartość korekty finansowej określona została jako kwota wydatków poniesionych nieprawidłowo w części odpowiadającej kwocie finansowania UE.</w:t>
      </w:r>
      <w:r w:rsidRPr="0040535D">
        <w:rPr>
          <w:rFonts w:ascii="Times New Roman" w:eastAsia="Times New Roman" w:hAnsi="Times New Roman"/>
          <w:sz w:val="24"/>
          <w:szCs w:val="24"/>
          <w:lang w:eastAsia="x-none"/>
        </w:rPr>
        <w:t xml:space="preserve"> </w:t>
      </w:r>
      <w:r w:rsidRPr="0040535D">
        <w:rPr>
          <w:rFonts w:ascii="Times New Roman" w:eastAsia="Times New Roman" w:hAnsi="Times New Roman"/>
          <w:sz w:val="24"/>
          <w:szCs w:val="24"/>
          <w:lang w:val="x-none" w:eastAsia="x-none"/>
        </w:rPr>
        <w:t xml:space="preserve">Takie zdefiniowanie wartości korekty finansowej wynika bezpośrednio z przepisów rozporządzenia ogólnego, które w art. </w:t>
      </w:r>
      <w:r w:rsidR="00E61C78" w:rsidRPr="0040535D">
        <w:rPr>
          <w:rFonts w:ascii="Times New Roman" w:eastAsia="Times New Roman" w:hAnsi="Times New Roman"/>
          <w:sz w:val="24"/>
          <w:szCs w:val="24"/>
          <w:lang w:eastAsia="x-none"/>
        </w:rPr>
        <w:t>103</w:t>
      </w:r>
      <w:r w:rsidR="00E61C78" w:rsidRPr="0040535D">
        <w:rPr>
          <w:rFonts w:ascii="Times New Roman" w:eastAsia="Times New Roman" w:hAnsi="Times New Roman"/>
          <w:sz w:val="24"/>
          <w:szCs w:val="24"/>
          <w:lang w:val="x-none" w:eastAsia="x-none"/>
        </w:rPr>
        <w:t xml:space="preserve"> </w:t>
      </w:r>
      <w:r w:rsidRPr="0040535D">
        <w:rPr>
          <w:rFonts w:ascii="Times New Roman" w:eastAsia="Times New Roman" w:hAnsi="Times New Roman"/>
          <w:sz w:val="24"/>
          <w:szCs w:val="24"/>
          <w:lang w:val="x-none" w:eastAsia="x-none"/>
        </w:rPr>
        <w:t>ust. 1 określają korektę finansową jako anulowanie przez państwo członkowskie wkładu z funduszy UE dla operacji lub programu.</w:t>
      </w:r>
    </w:p>
    <w:p w14:paraId="3D67A267" w14:textId="77777777" w:rsidR="00C81745" w:rsidRPr="0040535D" w:rsidRDefault="00C81745"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Odzyskiwanie środków odbywa się w trybie art. 207 </w:t>
      </w:r>
      <w:proofErr w:type="spellStart"/>
      <w:r w:rsidRPr="0040535D">
        <w:rPr>
          <w:rFonts w:ascii="Times New Roman" w:hAnsi="Times New Roman"/>
          <w:sz w:val="24"/>
          <w:szCs w:val="24"/>
        </w:rPr>
        <w:t>ufp</w:t>
      </w:r>
      <w:proofErr w:type="spellEnd"/>
      <w:r w:rsidRPr="0040535D">
        <w:rPr>
          <w:rFonts w:ascii="Times New Roman" w:hAnsi="Times New Roman"/>
          <w:sz w:val="24"/>
          <w:szCs w:val="24"/>
        </w:rPr>
        <w:t xml:space="preserve">, a w przypadku programów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xml:space="preserve"> zgodnie z procedurą wskazaną w umowie o dofinansowanie albo decyzji o dofinansowaniu projektu, na co wskazano w art. 8 ust. 2 pkt 10 ustawy.</w:t>
      </w:r>
    </w:p>
    <w:p w14:paraId="4BCE22F5" w14:textId="77777777" w:rsidR="00C81745" w:rsidRPr="0040535D" w:rsidRDefault="00C81745"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Przepisy art. </w:t>
      </w:r>
      <w:r w:rsidR="0090611F" w:rsidRPr="0040535D">
        <w:rPr>
          <w:rFonts w:ascii="Times New Roman" w:hAnsi="Times New Roman"/>
          <w:sz w:val="24"/>
          <w:szCs w:val="24"/>
        </w:rPr>
        <w:t xml:space="preserve">26 </w:t>
      </w:r>
      <w:r w:rsidRPr="0040535D">
        <w:rPr>
          <w:rFonts w:ascii="Times New Roman" w:hAnsi="Times New Roman"/>
          <w:sz w:val="24"/>
          <w:szCs w:val="24"/>
        </w:rPr>
        <w:t xml:space="preserve">regulują tryb zgłaszania zastrzeżeń przez beneficjentów w przypadku, gdy beneficjent nie zgadza się ze stwierdzeniem nieprawidłowości indywidualnej oraz pomniejszeniem kwoty wydatków kwalifikowalnych ujętych w złożonym wniosku o płatność. Zastosowanie znajdują tu przepisy art. </w:t>
      </w:r>
      <w:r w:rsidR="0090611F" w:rsidRPr="0040535D">
        <w:rPr>
          <w:rFonts w:ascii="Times New Roman" w:hAnsi="Times New Roman"/>
          <w:sz w:val="24"/>
          <w:szCs w:val="24"/>
        </w:rPr>
        <w:t xml:space="preserve">27 </w:t>
      </w:r>
      <w:r w:rsidRPr="0040535D">
        <w:rPr>
          <w:rFonts w:ascii="Times New Roman" w:hAnsi="Times New Roman"/>
          <w:sz w:val="24"/>
          <w:szCs w:val="24"/>
        </w:rPr>
        <w:t xml:space="preserve">ustawy, zawarte w ust. 2 – 12, dotyczące sporządzania informacji pokontrolnej. Natomiast w przypadku zaistnienia konieczności podjęcia przez właściwą instytucję działań zmierzających do odzyskania środków, zastosowanie znajdzie procedura opisana w art. 207 </w:t>
      </w:r>
      <w:proofErr w:type="spellStart"/>
      <w:r w:rsidRPr="0040535D">
        <w:rPr>
          <w:rFonts w:ascii="Times New Roman" w:hAnsi="Times New Roman"/>
          <w:sz w:val="24"/>
          <w:szCs w:val="24"/>
        </w:rPr>
        <w:t>ufp</w:t>
      </w:r>
      <w:proofErr w:type="spellEnd"/>
      <w:r w:rsidRPr="0040535D">
        <w:rPr>
          <w:rFonts w:ascii="Times New Roman" w:hAnsi="Times New Roman"/>
          <w:sz w:val="24"/>
          <w:szCs w:val="24"/>
        </w:rPr>
        <w:t>.</w:t>
      </w:r>
    </w:p>
    <w:p w14:paraId="3E1FED2B" w14:textId="77777777" w:rsidR="00C81745" w:rsidRPr="0040535D" w:rsidRDefault="00C81745"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Należy podkreślić, że do następujących czynności: stwierdzenia wystąpienia nieprawidłowości, pomniejszenia wartości wydatków kwalifikowalnych ujętych we wniosku o płatność, nałożenia korekty finansowej oraz do stwierdzenia, że nieprawidłowość indywidualna jest wynikiem działania lub zaniechania właściwej instytucji lub organów państwa, nie stosuje się przepisów kpa. Oznacza to, że realizacja ww. działań nie następuje w drodze decyzji administracyjnej.</w:t>
      </w:r>
    </w:p>
    <w:p w14:paraId="69DA4E21" w14:textId="77777777" w:rsidR="00C81745" w:rsidRPr="0040535D" w:rsidRDefault="00C81745"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Art. </w:t>
      </w:r>
      <w:r w:rsidR="0090611F" w:rsidRPr="0040535D">
        <w:rPr>
          <w:rFonts w:ascii="Times New Roman" w:hAnsi="Times New Roman"/>
          <w:sz w:val="24"/>
          <w:szCs w:val="24"/>
        </w:rPr>
        <w:t xml:space="preserve">26 </w:t>
      </w:r>
      <w:r w:rsidR="00D35F0C" w:rsidRPr="0040535D">
        <w:rPr>
          <w:rFonts w:ascii="Times New Roman" w:hAnsi="Times New Roman"/>
          <w:sz w:val="24"/>
          <w:szCs w:val="24"/>
        </w:rPr>
        <w:t xml:space="preserve">ust. 10 </w:t>
      </w:r>
      <w:r w:rsidRPr="0040535D">
        <w:rPr>
          <w:rFonts w:ascii="Times New Roman" w:hAnsi="Times New Roman"/>
          <w:sz w:val="24"/>
          <w:szCs w:val="24"/>
        </w:rPr>
        <w:t>określa także sposób postępowania w przypadku, gdy nieprawidłowość nie wynika z działania ani zaniechania beneficjenta, lecz właściwej instytucji lub organów państwa. W takiej sytuacji skutki finansowe nieprawidłowości nie obciążają beneficjenta.</w:t>
      </w:r>
    </w:p>
    <w:p w14:paraId="76F43B13" w14:textId="77777777" w:rsidR="00C81745" w:rsidRPr="0040535D" w:rsidRDefault="00C81745"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Ponadto, przepisy ustawy wprowadzają nowe uprawnienie kontrolne dla ministra właściwego do spraw rozwoju regionalnego w sytuacji, gdy zaistniało uzasadnione podejrzenie, że nieprawidłowość indywidualna była wynikiem działania lub zaniechania właściwej instytucji</w:t>
      </w:r>
      <w:r w:rsidR="00D35F0C" w:rsidRPr="0040535D">
        <w:rPr>
          <w:rFonts w:ascii="Times New Roman" w:hAnsi="Times New Roman"/>
          <w:sz w:val="24"/>
          <w:szCs w:val="24"/>
        </w:rPr>
        <w:t xml:space="preserve"> (art. 26 ust. 11)</w:t>
      </w:r>
      <w:r w:rsidRPr="0040535D">
        <w:rPr>
          <w:rFonts w:ascii="Times New Roman" w:hAnsi="Times New Roman"/>
          <w:sz w:val="24"/>
          <w:szCs w:val="24"/>
        </w:rPr>
        <w:t>.</w:t>
      </w:r>
    </w:p>
    <w:p w14:paraId="128B481C" w14:textId="77777777" w:rsidR="00943E8B" w:rsidRPr="0040535D" w:rsidRDefault="00943E8B" w:rsidP="009A0EE5">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b/>
          <w:sz w:val="24"/>
          <w:szCs w:val="24"/>
        </w:rPr>
        <w:t xml:space="preserve">Art. </w:t>
      </w:r>
      <w:r w:rsidR="0090611F" w:rsidRPr="0040535D">
        <w:rPr>
          <w:rFonts w:ascii="Times New Roman" w:hAnsi="Times New Roman"/>
          <w:b/>
          <w:sz w:val="24"/>
          <w:szCs w:val="24"/>
        </w:rPr>
        <w:t>27</w:t>
      </w:r>
      <w:r w:rsidR="0090611F" w:rsidRPr="0040535D">
        <w:rPr>
          <w:rFonts w:ascii="Times New Roman" w:hAnsi="Times New Roman"/>
          <w:sz w:val="24"/>
          <w:szCs w:val="24"/>
        </w:rPr>
        <w:t xml:space="preserve"> </w:t>
      </w:r>
      <w:r w:rsidRPr="0040535D">
        <w:rPr>
          <w:rFonts w:ascii="Times New Roman" w:hAnsi="Times New Roman"/>
          <w:sz w:val="24"/>
          <w:szCs w:val="24"/>
        </w:rPr>
        <w:t xml:space="preserve">reguluje zasady sporządzania informacji pokontrolnej oraz zgłaszania przez podmiot kontrolowany zastrzeżeń do niej, czyli tzw. procedurę kontradyktoryjną. </w:t>
      </w:r>
    </w:p>
    <w:p w14:paraId="045A058F" w14:textId="77777777" w:rsidR="00943E8B" w:rsidRPr="0040535D" w:rsidRDefault="00943E8B" w:rsidP="009A0EE5">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Przepisy art. </w:t>
      </w:r>
      <w:r w:rsidR="0090611F" w:rsidRPr="0040535D">
        <w:rPr>
          <w:rFonts w:ascii="Times New Roman" w:hAnsi="Times New Roman"/>
          <w:sz w:val="24"/>
          <w:szCs w:val="24"/>
        </w:rPr>
        <w:t>27</w:t>
      </w:r>
      <w:r w:rsidR="007E4887" w:rsidRPr="0040535D">
        <w:rPr>
          <w:rFonts w:ascii="Times New Roman" w:hAnsi="Times New Roman"/>
          <w:sz w:val="24"/>
          <w:szCs w:val="24"/>
        </w:rPr>
        <w:t xml:space="preserve"> </w:t>
      </w:r>
      <w:r w:rsidRPr="0040535D">
        <w:rPr>
          <w:rFonts w:ascii="Times New Roman" w:hAnsi="Times New Roman"/>
          <w:sz w:val="24"/>
          <w:szCs w:val="24"/>
        </w:rPr>
        <w:t xml:space="preserve">mają zastosowanie do wszystkich kontroli realizacji programu, o których mowa w art. </w:t>
      </w:r>
      <w:r w:rsidR="0090611F" w:rsidRPr="0040535D">
        <w:rPr>
          <w:rFonts w:ascii="Times New Roman" w:hAnsi="Times New Roman"/>
          <w:sz w:val="24"/>
          <w:szCs w:val="24"/>
        </w:rPr>
        <w:t xml:space="preserve">24 </w:t>
      </w:r>
      <w:r w:rsidRPr="0040535D">
        <w:rPr>
          <w:rFonts w:ascii="Times New Roman" w:hAnsi="Times New Roman"/>
          <w:sz w:val="24"/>
          <w:szCs w:val="24"/>
        </w:rPr>
        <w:t>ust. 1 pkt 1, z wyłączeniem weryfikacji wniosków o płatność, kontroli krzyżowych</w:t>
      </w:r>
      <w:r w:rsidR="00EF7CC9" w:rsidRPr="0040535D">
        <w:rPr>
          <w:rFonts w:ascii="Times New Roman" w:hAnsi="Times New Roman"/>
          <w:sz w:val="24"/>
          <w:szCs w:val="24"/>
        </w:rPr>
        <w:t xml:space="preserve">, </w:t>
      </w:r>
      <w:r w:rsidR="00EF7CC9" w:rsidRPr="0040535D">
        <w:rPr>
          <w:rFonts w:ascii="Times New Roman" w:hAnsi="Times New Roman"/>
          <w:sz w:val="24"/>
          <w:szCs w:val="24"/>
        </w:rPr>
        <w:lastRenderedPageBreak/>
        <w:t>kontroli na zakończenie realizacji projektu</w:t>
      </w:r>
      <w:r w:rsidRPr="0040535D">
        <w:rPr>
          <w:rFonts w:ascii="Times New Roman" w:hAnsi="Times New Roman"/>
          <w:sz w:val="24"/>
          <w:szCs w:val="24"/>
        </w:rPr>
        <w:t xml:space="preserve"> oraz kontroli zasad udzielania pomocy publicznej oraz w zakresie stosowania właściwych procedur dotyczących udzielania zamówień przeprowadzonych w trakcie procedury oceny projektu (art. </w:t>
      </w:r>
      <w:r w:rsidR="0090611F" w:rsidRPr="0040535D">
        <w:rPr>
          <w:rFonts w:ascii="Times New Roman" w:hAnsi="Times New Roman"/>
          <w:sz w:val="24"/>
          <w:szCs w:val="24"/>
        </w:rPr>
        <w:t xml:space="preserve">24 </w:t>
      </w:r>
      <w:r w:rsidRPr="0040535D">
        <w:rPr>
          <w:rFonts w:ascii="Times New Roman" w:hAnsi="Times New Roman"/>
          <w:sz w:val="24"/>
          <w:szCs w:val="24"/>
        </w:rPr>
        <w:t xml:space="preserve">ust. 10). Oznacza to, że dla tych kontroli nie ma obowiązku sporządzania informacji pokontrolnej i przeprowadzenia procedury kontradyktoryjnej. Wyjątkiem od tej zasady jest sytuacja, gdy </w:t>
      </w:r>
      <w:r w:rsidR="00232FE4">
        <w:rPr>
          <w:rFonts w:ascii="Times New Roman" w:hAnsi="Times New Roman"/>
          <w:sz w:val="24"/>
          <w:szCs w:val="24"/>
        </w:rPr>
        <w:t>podmiot kontrolowany</w:t>
      </w:r>
      <w:r w:rsidRPr="0040535D">
        <w:rPr>
          <w:rFonts w:ascii="Times New Roman" w:hAnsi="Times New Roman"/>
          <w:sz w:val="24"/>
          <w:szCs w:val="24"/>
        </w:rPr>
        <w:t xml:space="preserve"> nie zgadza się ze stwierdzeniem wystąpienia nieprawidłowości indywidualnej oraz pomniejszeniem wartości wydatków kwalifikowalnych ujętych w złożonym wniosku o płatność (art. </w:t>
      </w:r>
      <w:r w:rsidR="0090611F" w:rsidRPr="0040535D">
        <w:rPr>
          <w:rFonts w:ascii="Times New Roman" w:hAnsi="Times New Roman"/>
          <w:sz w:val="24"/>
          <w:szCs w:val="24"/>
        </w:rPr>
        <w:t xml:space="preserve">26 </w:t>
      </w:r>
      <w:r w:rsidRPr="0040535D">
        <w:rPr>
          <w:rFonts w:ascii="Times New Roman" w:hAnsi="Times New Roman"/>
          <w:sz w:val="24"/>
          <w:szCs w:val="24"/>
        </w:rPr>
        <w:t xml:space="preserve">ust. 9). Może wówczas zgłosić umotywowane zastrzeżenia, w odniesieniu do których stosuje się odpowiednio procedurę opisaną w art. </w:t>
      </w:r>
      <w:r w:rsidR="0090611F" w:rsidRPr="0040535D">
        <w:rPr>
          <w:rFonts w:ascii="Times New Roman" w:hAnsi="Times New Roman"/>
          <w:sz w:val="24"/>
          <w:szCs w:val="24"/>
        </w:rPr>
        <w:t xml:space="preserve">27 </w:t>
      </w:r>
      <w:r w:rsidRPr="0040535D">
        <w:rPr>
          <w:rFonts w:ascii="Times New Roman" w:hAnsi="Times New Roman"/>
          <w:sz w:val="24"/>
          <w:szCs w:val="24"/>
        </w:rPr>
        <w:t>ust. 2</w:t>
      </w:r>
      <w:r w:rsidR="004849C1" w:rsidRPr="0040535D">
        <w:rPr>
          <w:rFonts w:ascii="Times New Roman" w:hAnsi="Times New Roman"/>
          <w:sz w:val="24"/>
          <w:szCs w:val="24"/>
        </w:rPr>
        <w:t xml:space="preserve"> – </w:t>
      </w:r>
      <w:r w:rsidRPr="0040535D">
        <w:rPr>
          <w:rFonts w:ascii="Times New Roman" w:hAnsi="Times New Roman"/>
          <w:sz w:val="24"/>
          <w:szCs w:val="24"/>
        </w:rPr>
        <w:t>12.</w:t>
      </w:r>
    </w:p>
    <w:p w14:paraId="0C93F8F2" w14:textId="77777777" w:rsidR="00232FE4" w:rsidRDefault="00943E8B" w:rsidP="009A0EE5">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Zgodnie z art. </w:t>
      </w:r>
      <w:r w:rsidR="0090611F" w:rsidRPr="0040535D">
        <w:rPr>
          <w:rFonts w:ascii="Times New Roman" w:hAnsi="Times New Roman"/>
          <w:sz w:val="24"/>
          <w:szCs w:val="24"/>
        </w:rPr>
        <w:t xml:space="preserve">27 </w:t>
      </w:r>
      <w:r w:rsidRPr="0040535D">
        <w:rPr>
          <w:rFonts w:ascii="Times New Roman" w:hAnsi="Times New Roman"/>
          <w:sz w:val="24"/>
          <w:szCs w:val="24"/>
        </w:rPr>
        <w:t xml:space="preserve">ust. 1, informacja pokontrolna jest sporządzana po zakończeniu kontroli. Po podpisaniu jest ona </w:t>
      </w:r>
      <w:r w:rsidR="00232FE4">
        <w:rPr>
          <w:rFonts w:ascii="Times New Roman" w:hAnsi="Times New Roman"/>
          <w:sz w:val="24"/>
          <w:szCs w:val="24"/>
        </w:rPr>
        <w:t>doręczana</w:t>
      </w:r>
      <w:r w:rsidRPr="0040535D">
        <w:rPr>
          <w:rFonts w:ascii="Times New Roman" w:hAnsi="Times New Roman"/>
          <w:sz w:val="24"/>
          <w:szCs w:val="24"/>
        </w:rPr>
        <w:t xml:space="preserve"> podmiotowi kontrolowanemu</w:t>
      </w:r>
      <w:r w:rsidR="00232FE4">
        <w:rPr>
          <w:rFonts w:ascii="Times New Roman" w:hAnsi="Times New Roman"/>
          <w:sz w:val="24"/>
          <w:szCs w:val="24"/>
        </w:rPr>
        <w:t>.</w:t>
      </w:r>
      <w:r w:rsidRPr="0040535D">
        <w:rPr>
          <w:rFonts w:ascii="Times New Roman" w:hAnsi="Times New Roman"/>
          <w:sz w:val="24"/>
          <w:szCs w:val="24"/>
        </w:rPr>
        <w:t xml:space="preserve"> </w:t>
      </w:r>
      <w:r w:rsidR="00232FE4">
        <w:rPr>
          <w:rFonts w:ascii="Times New Roman" w:hAnsi="Times New Roman"/>
          <w:sz w:val="24"/>
          <w:szCs w:val="24"/>
        </w:rPr>
        <w:t>Podmiot kontrolowany</w:t>
      </w:r>
      <w:r w:rsidRPr="0040535D">
        <w:rPr>
          <w:rFonts w:ascii="Times New Roman" w:hAnsi="Times New Roman"/>
          <w:sz w:val="24"/>
          <w:szCs w:val="24"/>
        </w:rPr>
        <w:t xml:space="preserve"> ma prawo zgłoszenia zastrzeżeń do tej informacji w terminie 14 dni od jej otrzymania lub – na wniosek podmiotu kontrolowanego i za zgodą instytucji kotrolującej, w terminie dłuższym (art. </w:t>
      </w:r>
      <w:r w:rsidR="0090611F" w:rsidRPr="0040535D">
        <w:rPr>
          <w:rFonts w:ascii="Times New Roman" w:hAnsi="Times New Roman"/>
          <w:sz w:val="24"/>
          <w:szCs w:val="24"/>
        </w:rPr>
        <w:t xml:space="preserve">27 </w:t>
      </w:r>
      <w:r w:rsidRPr="0040535D">
        <w:rPr>
          <w:rFonts w:ascii="Times New Roman" w:hAnsi="Times New Roman"/>
          <w:sz w:val="24"/>
          <w:szCs w:val="24"/>
        </w:rPr>
        <w:t xml:space="preserve">ust. 2 i 3). </w:t>
      </w:r>
      <w:r w:rsidR="00232FE4">
        <w:rPr>
          <w:rFonts w:ascii="Times New Roman" w:hAnsi="Times New Roman"/>
          <w:sz w:val="24"/>
          <w:szCs w:val="24"/>
        </w:rPr>
        <w:t xml:space="preserve">Zastrzeżenia sporządzane są na piśmie w postaci elektronicznej albo papierowej. </w:t>
      </w:r>
      <w:r w:rsidR="00232FE4" w:rsidRPr="00571B39">
        <w:rPr>
          <w:rFonts w:ascii="Times New Roman" w:hAnsi="Times New Roman"/>
          <w:sz w:val="24"/>
          <w:szCs w:val="24"/>
        </w:rPr>
        <w:t>Są one podpisywane podpisem własnoręcznym albo kwalifikowanym podpisem el</w:t>
      </w:r>
      <w:r w:rsidR="00232FE4">
        <w:rPr>
          <w:rFonts w:ascii="Times New Roman" w:hAnsi="Times New Roman"/>
          <w:sz w:val="24"/>
          <w:szCs w:val="24"/>
        </w:rPr>
        <w:t xml:space="preserve">ektronicznym, podpisem zaufanym, </w:t>
      </w:r>
      <w:r w:rsidR="00232FE4" w:rsidRPr="00571B39">
        <w:rPr>
          <w:rFonts w:ascii="Times New Roman" w:hAnsi="Times New Roman"/>
          <w:sz w:val="24"/>
          <w:szCs w:val="24"/>
        </w:rPr>
        <w:t>podpisem osobistym lub kwalifikowaną pieczęcią elektroniczną</w:t>
      </w:r>
      <w:r w:rsidR="00232FE4">
        <w:rPr>
          <w:rFonts w:ascii="Times New Roman" w:hAnsi="Times New Roman"/>
          <w:sz w:val="24"/>
          <w:szCs w:val="24"/>
        </w:rPr>
        <w:t>. Następnie są one</w:t>
      </w:r>
      <w:r w:rsidR="00232FE4" w:rsidRPr="00571B39">
        <w:rPr>
          <w:rFonts w:ascii="Times New Roman" w:hAnsi="Times New Roman"/>
          <w:sz w:val="24"/>
          <w:szCs w:val="24"/>
        </w:rPr>
        <w:t xml:space="preserve"> doręczane instytucji kontrolującej</w:t>
      </w:r>
      <w:r w:rsidR="00232FE4">
        <w:rPr>
          <w:rFonts w:ascii="Times New Roman" w:hAnsi="Times New Roman"/>
          <w:sz w:val="24"/>
          <w:szCs w:val="24"/>
        </w:rPr>
        <w:t>.</w:t>
      </w:r>
    </w:p>
    <w:p w14:paraId="23C22605" w14:textId="77777777" w:rsidR="001A65EF" w:rsidRPr="0040535D" w:rsidRDefault="00943E8B" w:rsidP="009A0EE5">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Zastrzeżenia podlegają rozpatrzeniu przez instytucję kontrolującą w terminie 14 dni od dnia otrzymania tych zastrzeżeń przez instytucję kontrolującą.</w:t>
      </w:r>
      <w:r w:rsidR="001A65EF" w:rsidRPr="0040535D">
        <w:rPr>
          <w:rFonts w:ascii="Times New Roman" w:hAnsi="Times New Roman"/>
          <w:sz w:val="24"/>
          <w:szCs w:val="24"/>
        </w:rPr>
        <w:t xml:space="preserve"> Natomiast ostateczną informację pokontrolną, zawierającą skorygowane ustalenia kontroli </w:t>
      </w:r>
      <w:r w:rsidR="00232FE4">
        <w:rPr>
          <w:rFonts w:ascii="Times New Roman" w:hAnsi="Times New Roman"/>
          <w:sz w:val="24"/>
          <w:szCs w:val="24"/>
        </w:rPr>
        <w:t>albo</w:t>
      </w:r>
      <w:r w:rsidR="00232FE4" w:rsidRPr="0040535D">
        <w:rPr>
          <w:rFonts w:ascii="Times New Roman" w:hAnsi="Times New Roman"/>
          <w:sz w:val="24"/>
          <w:szCs w:val="24"/>
        </w:rPr>
        <w:t xml:space="preserve"> </w:t>
      </w:r>
      <w:r w:rsidR="001A65EF" w:rsidRPr="0040535D">
        <w:rPr>
          <w:rFonts w:ascii="Times New Roman" w:hAnsi="Times New Roman"/>
          <w:sz w:val="24"/>
          <w:szCs w:val="24"/>
        </w:rPr>
        <w:t xml:space="preserve">pisemne stanowisko wobec zgłoszonych zastrzeżeń </w:t>
      </w:r>
      <w:r w:rsidR="00232FE4" w:rsidRPr="00232FE4">
        <w:rPr>
          <w:rFonts w:ascii="Times New Roman" w:hAnsi="Times New Roman"/>
          <w:sz w:val="24"/>
          <w:szCs w:val="24"/>
        </w:rPr>
        <w:t xml:space="preserve">(w przypadku ich nieuwzględnienia) </w:t>
      </w:r>
      <w:r w:rsidR="001A65EF" w:rsidRPr="0040535D">
        <w:rPr>
          <w:rFonts w:ascii="Times New Roman" w:hAnsi="Times New Roman"/>
          <w:sz w:val="24"/>
          <w:szCs w:val="24"/>
        </w:rPr>
        <w:t xml:space="preserve">wraz z uzasadnieniem odmowy skorygowania ustaleń należy sporządzić w terminie do </w:t>
      </w:r>
      <w:r w:rsidR="00232FE4">
        <w:rPr>
          <w:rFonts w:ascii="Times New Roman" w:hAnsi="Times New Roman"/>
          <w:sz w:val="24"/>
          <w:szCs w:val="24"/>
        </w:rPr>
        <w:t>10</w:t>
      </w:r>
      <w:r w:rsidR="00232FE4" w:rsidRPr="0040535D">
        <w:rPr>
          <w:rFonts w:ascii="Times New Roman" w:hAnsi="Times New Roman"/>
          <w:sz w:val="24"/>
          <w:szCs w:val="24"/>
        </w:rPr>
        <w:t xml:space="preserve"> </w:t>
      </w:r>
      <w:r w:rsidR="001A65EF" w:rsidRPr="0040535D">
        <w:rPr>
          <w:rFonts w:ascii="Times New Roman" w:hAnsi="Times New Roman"/>
          <w:sz w:val="24"/>
          <w:szCs w:val="24"/>
        </w:rPr>
        <w:t>dni po rozpatrzeniu zastrzeżeń i przekazać niezwłocznie podmiotowi kontrolowanemu.</w:t>
      </w:r>
    </w:p>
    <w:p w14:paraId="6A3959F1" w14:textId="77777777" w:rsidR="00232FE4" w:rsidRDefault="00943E8B" w:rsidP="009A0EE5">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Zdarzenie wyznaczające początek biegu terminu na rozpatrzenie zastrzeżeń, którym jest otrzymanie zastrzeżeń, zostało określone inaczej niż w perspektywie 2014</w:t>
      </w:r>
      <w:r w:rsidR="004849C1" w:rsidRPr="0040535D">
        <w:rPr>
          <w:rFonts w:ascii="Times New Roman" w:hAnsi="Times New Roman"/>
          <w:sz w:val="24"/>
          <w:szCs w:val="24"/>
        </w:rPr>
        <w:t>–</w:t>
      </w:r>
      <w:r w:rsidRPr="0040535D">
        <w:rPr>
          <w:rFonts w:ascii="Times New Roman" w:hAnsi="Times New Roman"/>
          <w:sz w:val="24"/>
          <w:szCs w:val="24"/>
        </w:rPr>
        <w:t xml:space="preserve">2020 – tam było nim zgłoszenie zastrzeżeń. Wynika to z faktu, że </w:t>
      </w:r>
      <w:r w:rsidR="00232FE4" w:rsidRPr="00232FE4">
        <w:rPr>
          <w:rFonts w:ascii="Times New Roman" w:hAnsi="Times New Roman"/>
          <w:sz w:val="24"/>
          <w:szCs w:val="24"/>
        </w:rPr>
        <w:t>nastąpiło ustawowe doregulowanie kwestii doręczania dokumentów pomiędzy instytucją oraz innym podmiotem publicznym lub niepublicznym, zwłaszcza w kontekście elektronizacji tego procesu</w:t>
      </w:r>
      <w:r w:rsidR="00232FE4">
        <w:rPr>
          <w:rFonts w:ascii="Times New Roman" w:hAnsi="Times New Roman"/>
          <w:sz w:val="24"/>
          <w:szCs w:val="24"/>
        </w:rPr>
        <w:t>.</w:t>
      </w:r>
    </w:p>
    <w:p w14:paraId="353C615F" w14:textId="77777777" w:rsidR="00943E8B" w:rsidRPr="0040535D" w:rsidRDefault="00943E8B" w:rsidP="009A0EE5">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W trakcie rozpatrywania zastrzeżeń instytucja kontrolująca ma prawo przeprowadzić dodatkowe czynności kontrolne lub żądać przedstawienia dokumentów lub złożenia dodatkowych wyjaśnień. Warto mieć tu na uwadze, że podjęcie tych działań powoduje </w:t>
      </w:r>
      <w:r w:rsidR="00232FE4">
        <w:rPr>
          <w:rFonts w:ascii="Times New Roman" w:hAnsi="Times New Roman"/>
          <w:sz w:val="24"/>
          <w:szCs w:val="24"/>
        </w:rPr>
        <w:t>przerwanie</w:t>
      </w:r>
      <w:r w:rsidRPr="0040535D">
        <w:rPr>
          <w:rFonts w:ascii="Times New Roman" w:hAnsi="Times New Roman"/>
          <w:sz w:val="24"/>
          <w:szCs w:val="24"/>
        </w:rPr>
        <w:t xml:space="preserve"> biegu terminu na rozpatrzenie zastrzeżeń (art. </w:t>
      </w:r>
      <w:r w:rsidR="0090611F" w:rsidRPr="0040535D">
        <w:rPr>
          <w:rFonts w:ascii="Times New Roman" w:hAnsi="Times New Roman"/>
          <w:sz w:val="24"/>
          <w:szCs w:val="24"/>
        </w:rPr>
        <w:t xml:space="preserve">27 </w:t>
      </w:r>
      <w:r w:rsidRPr="0040535D">
        <w:rPr>
          <w:rFonts w:ascii="Times New Roman" w:hAnsi="Times New Roman"/>
          <w:sz w:val="24"/>
          <w:szCs w:val="24"/>
        </w:rPr>
        <w:t xml:space="preserve">ust. </w:t>
      </w:r>
      <w:r w:rsidR="00596FDC" w:rsidRPr="0040535D">
        <w:rPr>
          <w:rFonts w:ascii="Times New Roman" w:hAnsi="Times New Roman"/>
          <w:sz w:val="24"/>
          <w:szCs w:val="24"/>
        </w:rPr>
        <w:t xml:space="preserve">5 </w:t>
      </w:r>
      <w:r w:rsidRPr="0040535D">
        <w:rPr>
          <w:rFonts w:ascii="Times New Roman" w:hAnsi="Times New Roman"/>
          <w:sz w:val="24"/>
          <w:szCs w:val="24"/>
        </w:rPr>
        <w:t xml:space="preserve">i 7). </w:t>
      </w:r>
      <w:r w:rsidR="00232FE4">
        <w:rPr>
          <w:rFonts w:ascii="Times New Roman" w:hAnsi="Times New Roman"/>
          <w:sz w:val="24"/>
          <w:szCs w:val="24"/>
        </w:rPr>
        <w:t xml:space="preserve">Przekazywanie dodatkowych wyjaśnień przez podmiot kontrolowany następuje w postaci i w sposób </w:t>
      </w:r>
      <w:r w:rsidR="00232FE4">
        <w:rPr>
          <w:rFonts w:ascii="Times New Roman" w:hAnsi="Times New Roman"/>
          <w:sz w:val="24"/>
          <w:szCs w:val="24"/>
        </w:rPr>
        <w:lastRenderedPageBreak/>
        <w:t xml:space="preserve">analogiczny, jak stosowane przy doręczaniu zastrzeżeń. Wyjaśnienia są też podpisywane, podobnie jak wcześniej zastrzeżenia. </w:t>
      </w:r>
      <w:r w:rsidR="001A58EE" w:rsidRPr="0040535D">
        <w:rPr>
          <w:rFonts w:ascii="Times New Roman" w:hAnsi="Times New Roman"/>
          <w:sz w:val="24"/>
          <w:szCs w:val="24"/>
        </w:rPr>
        <w:t>Rozpatrywanie zastrzeżeń oraz sporządzanie ostatecznej informacji pokontrolnej może odbywać się równolegle</w:t>
      </w:r>
      <w:r w:rsidR="00232FE4">
        <w:rPr>
          <w:rFonts w:ascii="Times New Roman" w:hAnsi="Times New Roman"/>
          <w:sz w:val="24"/>
          <w:szCs w:val="24"/>
        </w:rPr>
        <w:t>.</w:t>
      </w:r>
      <w:r w:rsidR="001A58EE" w:rsidRPr="0040535D">
        <w:rPr>
          <w:rFonts w:ascii="Times New Roman" w:hAnsi="Times New Roman"/>
          <w:sz w:val="24"/>
          <w:szCs w:val="24"/>
        </w:rPr>
        <w:t xml:space="preserve"> </w:t>
      </w:r>
      <w:r w:rsidRPr="0040535D">
        <w:rPr>
          <w:rFonts w:ascii="Times New Roman" w:hAnsi="Times New Roman"/>
          <w:sz w:val="24"/>
          <w:szCs w:val="24"/>
        </w:rPr>
        <w:t xml:space="preserve">Podmiot kontrolowany nie ma prawa zgłoszenia zastrzeżeń do ostatecznej informacji pokontrolnej (art. </w:t>
      </w:r>
      <w:r w:rsidR="0090611F" w:rsidRPr="0040535D">
        <w:rPr>
          <w:rFonts w:ascii="Times New Roman" w:hAnsi="Times New Roman"/>
          <w:sz w:val="24"/>
          <w:szCs w:val="24"/>
        </w:rPr>
        <w:t xml:space="preserve">27 </w:t>
      </w:r>
      <w:r w:rsidRPr="0040535D">
        <w:rPr>
          <w:rFonts w:ascii="Times New Roman" w:hAnsi="Times New Roman"/>
          <w:sz w:val="24"/>
          <w:szCs w:val="24"/>
        </w:rPr>
        <w:t>ust. 11).</w:t>
      </w:r>
      <w:r w:rsidR="00C81745" w:rsidRPr="0040535D">
        <w:rPr>
          <w:rFonts w:ascii="Times New Roman" w:hAnsi="Times New Roman"/>
          <w:sz w:val="24"/>
          <w:szCs w:val="24"/>
        </w:rPr>
        <w:t xml:space="preserve"> </w:t>
      </w:r>
      <w:r w:rsidRPr="0040535D">
        <w:rPr>
          <w:rFonts w:ascii="Times New Roman" w:hAnsi="Times New Roman"/>
          <w:sz w:val="24"/>
          <w:szCs w:val="24"/>
        </w:rPr>
        <w:t xml:space="preserve">Zarówno informacja pokontrolna, jak i ostateczna informacja pokontrolna mogą zawierać zalecenia. Ich wykonanie jest monitorowane przez instytucję kontrolującą, która obliguje podmiot kontrolowany do poinformowania w określonym przez siebie terminie o sposobie wykonania zaleceń (art. </w:t>
      </w:r>
      <w:r w:rsidR="0090611F" w:rsidRPr="0040535D">
        <w:rPr>
          <w:rFonts w:ascii="Times New Roman" w:hAnsi="Times New Roman"/>
          <w:sz w:val="24"/>
          <w:szCs w:val="24"/>
        </w:rPr>
        <w:t xml:space="preserve">27 </w:t>
      </w:r>
      <w:r w:rsidRPr="0040535D">
        <w:rPr>
          <w:rFonts w:ascii="Times New Roman" w:hAnsi="Times New Roman"/>
          <w:sz w:val="24"/>
          <w:szCs w:val="24"/>
        </w:rPr>
        <w:t xml:space="preserve">ust. </w:t>
      </w:r>
      <w:r w:rsidR="00392BDB" w:rsidRPr="0040535D">
        <w:rPr>
          <w:rFonts w:ascii="Times New Roman" w:hAnsi="Times New Roman"/>
          <w:sz w:val="24"/>
          <w:szCs w:val="24"/>
        </w:rPr>
        <w:t>9</w:t>
      </w:r>
      <w:r w:rsidRPr="0040535D">
        <w:rPr>
          <w:rFonts w:ascii="Times New Roman" w:hAnsi="Times New Roman"/>
          <w:sz w:val="24"/>
          <w:szCs w:val="24"/>
        </w:rPr>
        <w:t xml:space="preserve"> i 12).</w:t>
      </w:r>
    </w:p>
    <w:p w14:paraId="687045C9" w14:textId="77777777" w:rsidR="00C81745" w:rsidRPr="0040535D" w:rsidRDefault="00C81745" w:rsidP="009A0EE5">
      <w:pPr>
        <w:widowControl w:val="0"/>
        <w:autoSpaceDE w:val="0"/>
        <w:autoSpaceDN w:val="0"/>
        <w:adjustRightInd w:val="0"/>
        <w:spacing w:after="0" w:line="360" w:lineRule="auto"/>
        <w:jc w:val="both"/>
        <w:rPr>
          <w:rFonts w:ascii="Times New Roman" w:hAnsi="Times New Roman"/>
          <w:sz w:val="24"/>
          <w:szCs w:val="24"/>
        </w:rPr>
      </w:pPr>
    </w:p>
    <w:p w14:paraId="36322CC7" w14:textId="77777777" w:rsidR="00555DC0" w:rsidRPr="0040535D" w:rsidRDefault="00555DC0" w:rsidP="009A0EE5">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b/>
          <w:bCs/>
          <w:sz w:val="24"/>
          <w:szCs w:val="24"/>
        </w:rPr>
        <w:t xml:space="preserve">Rozdział </w:t>
      </w:r>
      <w:r w:rsidR="0090611F" w:rsidRPr="0040535D">
        <w:rPr>
          <w:rFonts w:ascii="Times New Roman" w:hAnsi="Times New Roman"/>
          <w:b/>
          <w:bCs/>
          <w:sz w:val="24"/>
          <w:szCs w:val="24"/>
        </w:rPr>
        <w:t>8</w:t>
      </w:r>
      <w:r w:rsidRPr="0040535D">
        <w:rPr>
          <w:rFonts w:ascii="Times New Roman" w:hAnsi="Times New Roman"/>
          <w:b/>
          <w:bCs/>
          <w:sz w:val="24"/>
          <w:szCs w:val="24"/>
        </w:rPr>
        <w:t>. Monit</w:t>
      </w:r>
      <w:r w:rsidRPr="0040535D">
        <w:rPr>
          <w:rFonts w:ascii="Times New Roman" w:hAnsi="Times New Roman"/>
          <w:b/>
          <w:kern w:val="36"/>
          <w:sz w:val="24"/>
          <w:szCs w:val="24"/>
        </w:rPr>
        <w:t>orowanie postępu finansowego i rzeczowego.</w:t>
      </w:r>
    </w:p>
    <w:p w14:paraId="3DEC9254" w14:textId="77777777" w:rsidR="00555DC0" w:rsidRPr="0040535D" w:rsidRDefault="00555DC0" w:rsidP="009A0EE5">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W Rozdziale </w:t>
      </w:r>
      <w:r w:rsidR="0090611F" w:rsidRPr="0040535D">
        <w:rPr>
          <w:rFonts w:ascii="Times New Roman" w:hAnsi="Times New Roman"/>
          <w:sz w:val="24"/>
          <w:szCs w:val="24"/>
        </w:rPr>
        <w:t xml:space="preserve">8 </w:t>
      </w:r>
      <w:r w:rsidRPr="0040535D">
        <w:rPr>
          <w:rFonts w:ascii="Times New Roman" w:hAnsi="Times New Roman"/>
          <w:sz w:val="24"/>
          <w:szCs w:val="24"/>
        </w:rPr>
        <w:t xml:space="preserve">(art. </w:t>
      </w:r>
      <w:r w:rsidR="0090611F" w:rsidRPr="0040535D">
        <w:rPr>
          <w:rFonts w:ascii="Times New Roman" w:hAnsi="Times New Roman"/>
          <w:sz w:val="24"/>
          <w:szCs w:val="24"/>
        </w:rPr>
        <w:t xml:space="preserve">28 </w:t>
      </w:r>
      <w:r w:rsidR="00470A6D" w:rsidRPr="0040535D">
        <w:rPr>
          <w:rFonts w:ascii="Times New Roman" w:hAnsi="Times New Roman"/>
          <w:sz w:val="24"/>
          <w:szCs w:val="24"/>
        </w:rPr>
        <w:t xml:space="preserve">i art. </w:t>
      </w:r>
      <w:r w:rsidR="0090611F" w:rsidRPr="0040535D">
        <w:rPr>
          <w:rFonts w:ascii="Times New Roman" w:hAnsi="Times New Roman"/>
          <w:sz w:val="24"/>
          <w:szCs w:val="24"/>
        </w:rPr>
        <w:t>29</w:t>
      </w:r>
      <w:r w:rsidRPr="0040535D">
        <w:rPr>
          <w:rFonts w:ascii="Times New Roman" w:hAnsi="Times New Roman"/>
          <w:sz w:val="24"/>
          <w:szCs w:val="24"/>
        </w:rPr>
        <w:t xml:space="preserve">) uregulowano kwestie związane z monitorowaniem postępu rzeczowego. Mając na uwadze rozwiązania przyjęte w rozporządzeniu ogólnym oraz dotychczasową praktykę, w </w:t>
      </w:r>
      <w:r w:rsidRPr="0040535D">
        <w:rPr>
          <w:rFonts w:ascii="Times New Roman" w:hAnsi="Times New Roman"/>
          <w:b/>
          <w:sz w:val="24"/>
          <w:szCs w:val="24"/>
        </w:rPr>
        <w:t>art. 2</w:t>
      </w:r>
      <w:r w:rsidR="0090611F" w:rsidRPr="0040535D">
        <w:rPr>
          <w:rFonts w:ascii="Times New Roman" w:hAnsi="Times New Roman"/>
          <w:b/>
          <w:sz w:val="24"/>
          <w:szCs w:val="24"/>
        </w:rPr>
        <w:t>8</w:t>
      </w:r>
      <w:r w:rsidRPr="0040535D">
        <w:rPr>
          <w:rFonts w:ascii="Times New Roman" w:hAnsi="Times New Roman"/>
          <w:b/>
          <w:sz w:val="24"/>
          <w:szCs w:val="24"/>
        </w:rPr>
        <w:t xml:space="preserve"> </w:t>
      </w:r>
      <w:r w:rsidRPr="0040535D">
        <w:rPr>
          <w:rFonts w:ascii="Times New Roman" w:hAnsi="Times New Roman"/>
          <w:sz w:val="24"/>
          <w:szCs w:val="24"/>
        </w:rPr>
        <w:t xml:space="preserve">wskazano, że postęp rzeczowy podlega analizie w ramach systemu sprawozdawczości w powiązaniu z postępem finansowym (ust. 1). Źródłem danych na temat wartości szacowanych i osiągniętych dla wskaźników są przede wszystkim informacje gromadzone na poziomie projektów (dane zawarte w umowach o dofinansowanie projektu, wartości sprawozdawane we wnioskach o płatność), a także </w:t>
      </w:r>
      <w:r w:rsidR="00FC4FB9" w:rsidRPr="00FC4FB9">
        <w:rPr>
          <w:rFonts w:ascii="Times New Roman" w:hAnsi="Times New Roman"/>
          <w:sz w:val="24"/>
          <w:szCs w:val="24"/>
        </w:rPr>
        <w:t>wyniki badań statystycznych</w:t>
      </w:r>
      <w:r w:rsidRPr="0040535D">
        <w:rPr>
          <w:rFonts w:ascii="Times New Roman" w:hAnsi="Times New Roman"/>
          <w:sz w:val="24"/>
          <w:szCs w:val="24"/>
        </w:rPr>
        <w:t xml:space="preserve">, wyniki analiz oraz ewaluacji </w:t>
      </w:r>
      <w:r w:rsidR="00FC4FB9">
        <w:rPr>
          <w:rFonts w:ascii="Times New Roman" w:hAnsi="Times New Roman"/>
          <w:sz w:val="24"/>
          <w:szCs w:val="24"/>
        </w:rPr>
        <w:t xml:space="preserve">programu </w:t>
      </w:r>
      <w:r w:rsidRPr="0040535D">
        <w:rPr>
          <w:rFonts w:ascii="Times New Roman" w:hAnsi="Times New Roman"/>
          <w:sz w:val="24"/>
          <w:szCs w:val="24"/>
        </w:rPr>
        <w:t xml:space="preserve">(ust. 1). Dla celów monitorowania efektów polityki spójności na poziomie krajowym zostanie określona (ust. 2) i opublikowana (ust. 3) lista wskaźników wspólnych wraz dedykowanym im katalogiem definicji. Lista będzie obligatoryjna i wspólna dla </w:t>
      </w:r>
      <w:r w:rsidR="00546E62" w:rsidRPr="0040535D">
        <w:rPr>
          <w:rFonts w:ascii="Times New Roman" w:hAnsi="Times New Roman"/>
          <w:sz w:val="24"/>
          <w:szCs w:val="24"/>
        </w:rPr>
        <w:t xml:space="preserve">krajowych i regionalnych </w:t>
      </w:r>
      <w:r w:rsidRPr="0040535D">
        <w:rPr>
          <w:rFonts w:ascii="Times New Roman" w:hAnsi="Times New Roman"/>
          <w:sz w:val="24"/>
          <w:szCs w:val="24"/>
        </w:rPr>
        <w:t xml:space="preserve">programów, nie wyłączając jednak możliwości jednoczesnego zastosowania przez instytucję zarządzającą wskaźników specyficznych dla programu, nie ujętych w liście wskaźników kluczowych (ust. 4). Dla umożliwienia oceny postępu rzeczowego na poziomie </w:t>
      </w:r>
      <w:r w:rsidR="00470A6D" w:rsidRPr="0040535D">
        <w:rPr>
          <w:rFonts w:ascii="Times New Roman" w:hAnsi="Times New Roman"/>
          <w:sz w:val="24"/>
          <w:szCs w:val="24"/>
        </w:rPr>
        <w:t>umowy partnerstwa</w:t>
      </w:r>
      <w:r w:rsidRPr="0040535D">
        <w:rPr>
          <w:rFonts w:ascii="Times New Roman" w:hAnsi="Times New Roman"/>
          <w:sz w:val="24"/>
          <w:szCs w:val="24"/>
        </w:rPr>
        <w:t>, instytucja zarządzająca ustala co do zasady wartości docelowe dla wszystkich adekwatnych wskaźników, do realizacji których przyczynia się dany program, przy czym na mocy rozporządzeń unijnych obowiązek ten nie ma zastosowania w przypadku wskaźników pomocy technicznej oraz wybranych wskaźników EFS (ust. 5).</w:t>
      </w:r>
    </w:p>
    <w:p w14:paraId="37B677A8" w14:textId="77777777" w:rsidR="00555DC0" w:rsidRPr="0040535D" w:rsidRDefault="00555DC0" w:rsidP="009A0EE5">
      <w:pPr>
        <w:suppressAutoHyphens/>
        <w:autoSpaceDE w:val="0"/>
        <w:spacing w:after="0" w:line="360" w:lineRule="auto"/>
        <w:jc w:val="both"/>
        <w:rPr>
          <w:rFonts w:ascii="Times New Roman" w:hAnsi="Times New Roman"/>
          <w:sz w:val="24"/>
          <w:szCs w:val="24"/>
        </w:rPr>
      </w:pPr>
      <w:r w:rsidRPr="0040535D">
        <w:rPr>
          <w:rFonts w:ascii="Times New Roman" w:hAnsi="Times New Roman"/>
          <w:sz w:val="24"/>
          <w:szCs w:val="24"/>
          <w:lang w:eastAsia="ar-SA"/>
        </w:rPr>
        <w:t xml:space="preserve">Z kolei w ust. 6 zostały ustalone wartości pośrednie i docelowe dla wskaźników rezultatu. </w:t>
      </w:r>
      <w:r w:rsidRPr="0040535D">
        <w:rPr>
          <w:rFonts w:ascii="Times New Roman" w:hAnsi="Times New Roman"/>
          <w:sz w:val="24"/>
          <w:szCs w:val="24"/>
        </w:rPr>
        <w:t xml:space="preserve">Niewykonanie wskaźnika w projekcie może stanowić przesłankę do stwierdzenia nieprawidłowości </w:t>
      </w:r>
      <w:r w:rsidR="00470A6D" w:rsidRPr="0040535D">
        <w:rPr>
          <w:rFonts w:ascii="Times New Roman" w:hAnsi="Times New Roman"/>
          <w:sz w:val="24"/>
          <w:szCs w:val="24"/>
        </w:rPr>
        <w:t xml:space="preserve">indywidualnej </w:t>
      </w:r>
      <w:r w:rsidRPr="0040535D">
        <w:rPr>
          <w:rFonts w:ascii="Times New Roman" w:hAnsi="Times New Roman"/>
          <w:sz w:val="24"/>
          <w:szCs w:val="24"/>
        </w:rPr>
        <w:t xml:space="preserve">uprawniającej instytucję zarządzającą do nałożenia korekty finansowej (ust. 7) z uwagi na fakt, że beneficjent jest zobowiązany realizować projekt zgodnie z </w:t>
      </w:r>
      <w:r w:rsidR="00470A6D" w:rsidRPr="0040535D">
        <w:rPr>
          <w:rFonts w:ascii="Times New Roman" w:hAnsi="Times New Roman"/>
          <w:sz w:val="24"/>
          <w:szCs w:val="24"/>
        </w:rPr>
        <w:t>postanowieniam</w:t>
      </w:r>
      <w:r w:rsidR="00CD21B3" w:rsidRPr="0040535D">
        <w:rPr>
          <w:rFonts w:ascii="Times New Roman" w:hAnsi="Times New Roman"/>
          <w:sz w:val="24"/>
          <w:szCs w:val="24"/>
        </w:rPr>
        <w:t>i</w:t>
      </w:r>
      <w:r w:rsidR="00470A6D" w:rsidRPr="0040535D">
        <w:rPr>
          <w:rFonts w:ascii="Times New Roman" w:hAnsi="Times New Roman"/>
          <w:sz w:val="24"/>
          <w:szCs w:val="24"/>
        </w:rPr>
        <w:t xml:space="preserve"> </w:t>
      </w:r>
      <w:r w:rsidRPr="0040535D">
        <w:rPr>
          <w:rFonts w:ascii="Times New Roman" w:hAnsi="Times New Roman"/>
          <w:sz w:val="24"/>
          <w:szCs w:val="24"/>
        </w:rPr>
        <w:t xml:space="preserve">umowy/decyzji o dofinansowanie, w tym również w zakresie osiągnięcia </w:t>
      </w:r>
      <w:r w:rsidRPr="0040535D">
        <w:rPr>
          <w:rFonts w:ascii="Times New Roman" w:hAnsi="Times New Roman"/>
          <w:sz w:val="24"/>
          <w:szCs w:val="24"/>
        </w:rPr>
        <w:lastRenderedPageBreak/>
        <w:t xml:space="preserve">wartości docelowych wskaźników określonych w umowie/decyzji. Niemniej, stwierdzenie wystąpienia nieprawidłowości </w:t>
      </w:r>
      <w:r w:rsidR="00470A6D" w:rsidRPr="0040535D">
        <w:rPr>
          <w:rFonts w:ascii="Times New Roman" w:hAnsi="Times New Roman"/>
          <w:sz w:val="24"/>
          <w:szCs w:val="24"/>
        </w:rPr>
        <w:t xml:space="preserve">indywidualnej </w:t>
      </w:r>
      <w:r w:rsidRPr="0040535D">
        <w:rPr>
          <w:rFonts w:ascii="Times New Roman" w:hAnsi="Times New Roman"/>
          <w:sz w:val="24"/>
          <w:szCs w:val="24"/>
        </w:rPr>
        <w:t>przez właściwą instytucję powinno być każdorazowo poprzedzone analizą czynników, które miały wpływ na realizację wskaźnika w projekcie.</w:t>
      </w:r>
    </w:p>
    <w:p w14:paraId="6E194B62" w14:textId="77777777" w:rsidR="00555DC0" w:rsidRPr="0040535D" w:rsidRDefault="00555DC0" w:rsidP="009A0EE5">
      <w:pPr>
        <w:tabs>
          <w:tab w:val="left" w:pos="-720"/>
          <w:tab w:val="left" w:pos="426"/>
          <w:tab w:val="left" w:pos="1440"/>
          <w:tab w:val="left" w:pos="2160"/>
          <w:tab w:val="left" w:pos="2880"/>
          <w:tab w:val="left" w:pos="3600"/>
          <w:tab w:val="left" w:pos="4320"/>
        </w:tabs>
        <w:autoSpaceDE w:val="0"/>
        <w:autoSpaceDN w:val="0"/>
        <w:adjustRightInd w:val="0"/>
        <w:spacing w:after="0" w:line="360" w:lineRule="auto"/>
        <w:jc w:val="both"/>
        <w:rPr>
          <w:rFonts w:ascii="Times New Roman" w:hAnsi="Times New Roman"/>
          <w:sz w:val="24"/>
          <w:szCs w:val="24"/>
          <w:lang w:eastAsia="pl-PL"/>
        </w:rPr>
      </w:pPr>
      <w:r w:rsidRPr="0040535D">
        <w:rPr>
          <w:rFonts w:ascii="Times New Roman" w:hAnsi="Times New Roman"/>
          <w:sz w:val="24"/>
          <w:szCs w:val="24"/>
        </w:rPr>
        <w:t>W</w:t>
      </w:r>
      <w:r w:rsidRPr="0040535D">
        <w:rPr>
          <w:rFonts w:ascii="Times New Roman" w:hAnsi="Times New Roman"/>
          <w:b/>
          <w:sz w:val="24"/>
          <w:szCs w:val="24"/>
        </w:rPr>
        <w:t xml:space="preserve"> art. </w:t>
      </w:r>
      <w:r w:rsidR="0090611F" w:rsidRPr="0040535D">
        <w:rPr>
          <w:rFonts w:ascii="Times New Roman" w:hAnsi="Times New Roman"/>
          <w:b/>
          <w:sz w:val="24"/>
          <w:szCs w:val="24"/>
        </w:rPr>
        <w:t>29</w:t>
      </w:r>
      <w:r w:rsidR="00911FAF" w:rsidRPr="0040535D">
        <w:rPr>
          <w:rFonts w:ascii="Times New Roman" w:hAnsi="Times New Roman"/>
          <w:b/>
          <w:sz w:val="24"/>
          <w:szCs w:val="24"/>
        </w:rPr>
        <w:t xml:space="preserve"> </w:t>
      </w:r>
      <w:r w:rsidRPr="0040535D">
        <w:rPr>
          <w:rFonts w:ascii="Times New Roman" w:hAnsi="Times New Roman"/>
          <w:sz w:val="24"/>
          <w:szCs w:val="24"/>
        </w:rPr>
        <w:t xml:space="preserve">niniejszego rozdziału </w:t>
      </w:r>
      <w:r w:rsidR="00470A6D" w:rsidRPr="0040535D">
        <w:rPr>
          <w:rFonts w:ascii="Times New Roman" w:hAnsi="Times New Roman"/>
          <w:sz w:val="24"/>
          <w:szCs w:val="24"/>
        </w:rPr>
        <w:t xml:space="preserve">projektodawca </w:t>
      </w:r>
      <w:r w:rsidRPr="0040535D">
        <w:rPr>
          <w:rFonts w:ascii="Times New Roman" w:hAnsi="Times New Roman"/>
          <w:sz w:val="24"/>
          <w:szCs w:val="24"/>
        </w:rPr>
        <w:t xml:space="preserve">zobowiązuje beneficjenta do składania wniosku o płatność oraz </w:t>
      </w:r>
      <w:r w:rsidRPr="0040535D">
        <w:rPr>
          <w:rFonts w:ascii="Times New Roman" w:hAnsi="Times New Roman"/>
          <w:sz w:val="24"/>
          <w:szCs w:val="24"/>
          <w:lang w:eastAsia="pl-PL"/>
        </w:rPr>
        <w:t>dokumentów niezbędnych do rozliczenia projektu określonych w umowie o dofinansowanie projektu lub w decyzji o dofinansowaniu projektu, w szczególności w zakresie monitoringu rzeczowo-finansowego, harmonogramów finansowych i trwałości projektu, za pośrednictwem systemu teleinformatycznego.</w:t>
      </w:r>
    </w:p>
    <w:p w14:paraId="5B6DE942" w14:textId="77777777" w:rsidR="00555DC0" w:rsidRPr="0040535D" w:rsidRDefault="00555DC0" w:rsidP="009A0EE5">
      <w:pPr>
        <w:tabs>
          <w:tab w:val="left" w:pos="-720"/>
          <w:tab w:val="left" w:pos="426"/>
          <w:tab w:val="left" w:pos="1440"/>
          <w:tab w:val="left" w:pos="2160"/>
          <w:tab w:val="left" w:pos="2880"/>
          <w:tab w:val="left" w:pos="3600"/>
          <w:tab w:val="left" w:pos="4320"/>
        </w:tabs>
        <w:autoSpaceDE w:val="0"/>
        <w:autoSpaceDN w:val="0"/>
        <w:adjustRightInd w:val="0"/>
        <w:spacing w:after="0" w:line="360" w:lineRule="auto"/>
        <w:jc w:val="both"/>
        <w:rPr>
          <w:rFonts w:ascii="Times New Roman" w:hAnsi="Times New Roman"/>
          <w:sz w:val="24"/>
          <w:szCs w:val="24"/>
          <w:lang w:eastAsia="pl-PL"/>
        </w:rPr>
      </w:pPr>
      <w:r w:rsidRPr="0040535D">
        <w:rPr>
          <w:rFonts w:ascii="Times New Roman" w:hAnsi="Times New Roman"/>
          <w:sz w:val="24"/>
          <w:szCs w:val="24"/>
          <w:lang w:eastAsia="pl-PL"/>
        </w:rPr>
        <w:t>W ramach wniosku o płatność beneficjent m.in. wykazuje wydatki związane z realizacją projektu oraz przekazuje informację o postępie realizacji projektu. Wydatki mogą być udokumentowane fakturami lub dokumentami o równoważnej wartości dowodowej wraz z dowodami ich zapłaty lub rozliczane (w przypadku projektów rozliczanych w oparciu o metody uproszczone) np. w oparciu o osiągnięte wskaźniki postępu rzeczowego. W przypadku, gdy z powodów technicznych nie będzie możliwe złożenie dokumentów za pośrednictwem systemu teleinformatycznego, beneficjent składać je będzie w inny sposób wskazany przez właściwą instytucję.</w:t>
      </w:r>
    </w:p>
    <w:p w14:paraId="229A7028" w14:textId="77777777" w:rsidR="00555DC0" w:rsidRPr="0040535D" w:rsidRDefault="00555DC0" w:rsidP="009A0EE5">
      <w:pPr>
        <w:widowControl w:val="0"/>
        <w:autoSpaceDE w:val="0"/>
        <w:autoSpaceDN w:val="0"/>
        <w:adjustRightInd w:val="0"/>
        <w:spacing w:after="0" w:line="360" w:lineRule="auto"/>
        <w:jc w:val="both"/>
        <w:rPr>
          <w:rFonts w:ascii="Times New Roman" w:hAnsi="Times New Roman"/>
          <w:b/>
          <w:kern w:val="36"/>
          <w:sz w:val="24"/>
          <w:szCs w:val="24"/>
        </w:rPr>
      </w:pPr>
    </w:p>
    <w:p w14:paraId="19CD6695" w14:textId="77777777" w:rsidR="00555DC0" w:rsidRPr="0040535D" w:rsidRDefault="00555DC0" w:rsidP="009A0EE5">
      <w:pPr>
        <w:widowControl w:val="0"/>
        <w:autoSpaceDE w:val="0"/>
        <w:autoSpaceDN w:val="0"/>
        <w:adjustRightInd w:val="0"/>
        <w:spacing w:after="0" w:line="360" w:lineRule="auto"/>
        <w:jc w:val="both"/>
        <w:rPr>
          <w:rFonts w:ascii="Times New Roman" w:hAnsi="Times New Roman"/>
          <w:b/>
          <w:kern w:val="36"/>
          <w:sz w:val="24"/>
          <w:szCs w:val="24"/>
        </w:rPr>
      </w:pPr>
      <w:r w:rsidRPr="0040535D">
        <w:rPr>
          <w:rFonts w:ascii="Times New Roman" w:hAnsi="Times New Roman"/>
          <w:b/>
          <w:kern w:val="36"/>
          <w:sz w:val="24"/>
          <w:szCs w:val="24"/>
        </w:rPr>
        <w:t xml:space="preserve">Rozdział </w:t>
      </w:r>
      <w:r w:rsidR="0090611F" w:rsidRPr="0040535D">
        <w:rPr>
          <w:rFonts w:ascii="Times New Roman" w:hAnsi="Times New Roman"/>
          <w:b/>
          <w:kern w:val="36"/>
          <w:sz w:val="24"/>
          <w:szCs w:val="24"/>
        </w:rPr>
        <w:t>9</w:t>
      </w:r>
      <w:r w:rsidRPr="0040535D">
        <w:rPr>
          <w:rFonts w:ascii="Times New Roman" w:hAnsi="Times New Roman"/>
          <w:b/>
          <w:kern w:val="36"/>
          <w:sz w:val="24"/>
          <w:szCs w:val="24"/>
        </w:rPr>
        <w:t>. Pomoc publiczna.</w:t>
      </w:r>
    </w:p>
    <w:p w14:paraId="77E51082" w14:textId="77777777" w:rsidR="00555DC0" w:rsidRPr="0040535D" w:rsidRDefault="00555DC0" w:rsidP="009A0EE5">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W Rozdziale </w:t>
      </w:r>
      <w:r w:rsidR="0090611F" w:rsidRPr="0040535D">
        <w:rPr>
          <w:rFonts w:ascii="Times New Roman" w:hAnsi="Times New Roman"/>
          <w:sz w:val="24"/>
          <w:szCs w:val="24"/>
        </w:rPr>
        <w:t>9</w:t>
      </w:r>
      <w:r w:rsidRPr="0040535D">
        <w:rPr>
          <w:rFonts w:ascii="Times New Roman" w:hAnsi="Times New Roman"/>
          <w:sz w:val="24"/>
          <w:szCs w:val="24"/>
        </w:rPr>
        <w:t xml:space="preserve"> (</w:t>
      </w:r>
      <w:r w:rsidRPr="0040535D">
        <w:rPr>
          <w:rFonts w:ascii="Times New Roman" w:hAnsi="Times New Roman"/>
          <w:b/>
          <w:sz w:val="24"/>
          <w:szCs w:val="24"/>
        </w:rPr>
        <w:t xml:space="preserve">art. </w:t>
      </w:r>
      <w:r w:rsidR="00911FAF" w:rsidRPr="0040535D">
        <w:rPr>
          <w:rFonts w:ascii="Times New Roman" w:hAnsi="Times New Roman"/>
          <w:b/>
          <w:sz w:val="24"/>
          <w:szCs w:val="24"/>
        </w:rPr>
        <w:t>3</w:t>
      </w:r>
      <w:r w:rsidR="0090611F" w:rsidRPr="0040535D">
        <w:rPr>
          <w:rFonts w:ascii="Times New Roman" w:hAnsi="Times New Roman"/>
          <w:b/>
          <w:sz w:val="24"/>
          <w:szCs w:val="24"/>
        </w:rPr>
        <w:t>0</w:t>
      </w:r>
      <w:r w:rsidRPr="0040535D">
        <w:rPr>
          <w:rFonts w:ascii="Times New Roman" w:hAnsi="Times New Roman"/>
          <w:b/>
          <w:sz w:val="24"/>
          <w:szCs w:val="24"/>
        </w:rPr>
        <w:t>)</w:t>
      </w:r>
      <w:r w:rsidRPr="0040535D">
        <w:rPr>
          <w:rFonts w:ascii="Times New Roman" w:hAnsi="Times New Roman"/>
          <w:sz w:val="24"/>
          <w:szCs w:val="24"/>
        </w:rPr>
        <w:t xml:space="preserve"> wprowadzono regulacje zapewniające zgodność warunków udzielania w ramach programów wsparcia stanowiącego pomoc publiczną z unijnymi przepisami prawa materialnego i proceduralnego w tej dziedzinie. Wprowadzenie do projektowanej ustawy odpowiednich przepisów w tym zakresie jest konieczne, ponieważ niektóre spośród instrumentów realizacji programów będą zawierały elementy pomocy publicznej. W ust. 4 przewidziano, że przeznaczenie, warunki i tryb udzielania pomocy publicznej określą rozporządzenia właściwych ministrów albo ministra właściwego do spraw rozwoju regionalnego.</w:t>
      </w:r>
    </w:p>
    <w:p w14:paraId="29B735C7" w14:textId="77777777" w:rsidR="00555DC0" w:rsidRPr="0040535D" w:rsidRDefault="00555DC0" w:rsidP="009A0EE5">
      <w:pPr>
        <w:widowControl w:val="0"/>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W celu umożliwienia udzielania pomocy w sytuacji, gdy jej udzielanie nie jest regulowane w aktach prawa powszechnie obowiązującego wydawanych na poziomie centralnym, w ust. 5 przewidziano podstawę prawną do udzielania pomocy publicznej w oparciu o inne podstawy prawne, które jednak powinny zapewniać zgodność udzielanej pomocy z obowiązującym prawem.</w:t>
      </w:r>
    </w:p>
    <w:p w14:paraId="7496D228" w14:textId="77777777" w:rsidR="00555DC0" w:rsidRPr="0040535D" w:rsidRDefault="00555DC0" w:rsidP="009A0EE5">
      <w:pPr>
        <w:spacing w:after="0" w:line="360" w:lineRule="auto"/>
        <w:jc w:val="both"/>
        <w:rPr>
          <w:rFonts w:ascii="Times New Roman" w:hAnsi="Times New Roman"/>
          <w:b/>
          <w:bCs/>
          <w:sz w:val="24"/>
          <w:szCs w:val="24"/>
        </w:rPr>
      </w:pPr>
    </w:p>
    <w:p w14:paraId="59093194" w14:textId="77777777" w:rsidR="00555DC0" w:rsidRPr="0040535D" w:rsidRDefault="00555DC0" w:rsidP="009A0EE5">
      <w:pPr>
        <w:spacing w:after="0" w:line="360" w:lineRule="auto"/>
        <w:jc w:val="both"/>
        <w:rPr>
          <w:rFonts w:ascii="Times New Roman" w:hAnsi="Times New Roman"/>
          <w:b/>
          <w:bCs/>
          <w:sz w:val="24"/>
          <w:szCs w:val="24"/>
        </w:rPr>
      </w:pPr>
      <w:r w:rsidRPr="0040535D">
        <w:rPr>
          <w:rFonts w:ascii="Times New Roman" w:hAnsi="Times New Roman"/>
          <w:b/>
          <w:bCs/>
          <w:sz w:val="24"/>
          <w:szCs w:val="24"/>
        </w:rPr>
        <w:lastRenderedPageBreak/>
        <w:t>Rozdział 1</w:t>
      </w:r>
      <w:r w:rsidR="0090611F" w:rsidRPr="0040535D">
        <w:rPr>
          <w:rFonts w:ascii="Times New Roman" w:hAnsi="Times New Roman"/>
          <w:b/>
          <w:bCs/>
          <w:sz w:val="24"/>
          <w:szCs w:val="24"/>
        </w:rPr>
        <w:t>0</w:t>
      </w:r>
      <w:r w:rsidRPr="0040535D">
        <w:rPr>
          <w:rFonts w:ascii="Times New Roman" w:hAnsi="Times New Roman"/>
          <w:b/>
          <w:bCs/>
          <w:sz w:val="24"/>
          <w:szCs w:val="24"/>
        </w:rPr>
        <w:t>. Instrumenty finansowe.</w:t>
      </w:r>
    </w:p>
    <w:p w14:paraId="50BFEE14"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W rozdziale 1</w:t>
      </w:r>
      <w:r w:rsidR="00EB2D4D" w:rsidRPr="0040535D">
        <w:rPr>
          <w:rFonts w:ascii="Times New Roman" w:hAnsi="Times New Roman"/>
          <w:bCs/>
          <w:sz w:val="24"/>
          <w:szCs w:val="24"/>
        </w:rPr>
        <w:t>0</w:t>
      </w:r>
      <w:r w:rsidRPr="0040535D">
        <w:rPr>
          <w:rFonts w:ascii="Times New Roman" w:hAnsi="Times New Roman"/>
          <w:bCs/>
          <w:sz w:val="24"/>
          <w:szCs w:val="24"/>
        </w:rPr>
        <w:t xml:space="preserve"> (</w:t>
      </w:r>
      <w:r w:rsidRPr="00BE4BDF">
        <w:rPr>
          <w:rFonts w:ascii="Times New Roman" w:hAnsi="Times New Roman"/>
          <w:b/>
          <w:bCs/>
          <w:sz w:val="24"/>
          <w:szCs w:val="24"/>
        </w:rPr>
        <w:t xml:space="preserve">art. </w:t>
      </w:r>
      <w:r w:rsidR="00911FAF" w:rsidRPr="00BE4BDF">
        <w:rPr>
          <w:rFonts w:ascii="Times New Roman" w:hAnsi="Times New Roman"/>
          <w:b/>
          <w:bCs/>
          <w:sz w:val="24"/>
          <w:szCs w:val="24"/>
        </w:rPr>
        <w:t>3</w:t>
      </w:r>
      <w:r w:rsidR="0090611F" w:rsidRPr="00BE4BDF">
        <w:rPr>
          <w:rFonts w:ascii="Times New Roman" w:hAnsi="Times New Roman"/>
          <w:b/>
          <w:bCs/>
          <w:sz w:val="24"/>
          <w:szCs w:val="24"/>
        </w:rPr>
        <w:t>1</w:t>
      </w:r>
      <w:r w:rsidR="00C32204" w:rsidRPr="00BE4BDF">
        <w:rPr>
          <w:rFonts w:ascii="Times New Roman" w:hAnsi="Times New Roman"/>
          <w:b/>
          <w:bCs/>
          <w:sz w:val="24"/>
          <w:szCs w:val="24"/>
        </w:rPr>
        <w:t xml:space="preserve"> </w:t>
      </w:r>
      <w:r w:rsidR="00470A6D" w:rsidRPr="00BE4BDF">
        <w:rPr>
          <w:rFonts w:ascii="Times New Roman" w:hAnsi="Times New Roman"/>
          <w:b/>
          <w:bCs/>
          <w:sz w:val="24"/>
          <w:szCs w:val="24"/>
        </w:rPr>
        <w:t xml:space="preserve">i art. </w:t>
      </w:r>
      <w:r w:rsidR="00911FAF" w:rsidRPr="00BE4BDF">
        <w:rPr>
          <w:rFonts w:ascii="Times New Roman" w:hAnsi="Times New Roman"/>
          <w:b/>
          <w:bCs/>
          <w:sz w:val="24"/>
          <w:szCs w:val="24"/>
        </w:rPr>
        <w:t>3</w:t>
      </w:r>
      <w:r w:rsidR="0090611F" w:rsidRPr="00BE4BDF">
        <w:rPr>
          <w:rFonts w:ascii="Times New Roman" w:hAnsi="Times New Roman"/>
          <w:b/>
          <w:bCs/>
          <w:sz w:val="24"/>
          <w:szCs w:val="24"/>
        </w:rPr>
        <w:t>2</w:t>
      </w:r>
      <w:r w:rsidRPr="0040535D">
        <w:rPr>
          <w:rFonts w:ascii="Times New Roman" w:hAnsi="Times New Roman"/>
          <w:bCs/>
          <w:sz w:val="24"/>
          <w:szCs w:val="24"/>
        </w:rPr>
        <w:t xml:space="preserve">) uregulowano kwestie związane z wdrażaniem instrumentów finansowych. Problematyka instrumentów finansowych została szeroko uregulowana w sekcji II w rozdziale II w tytule V rozporządzenia ogólnego. </w:t>
      </w:r>
    </w:p>
    <w:p w14:paraId="6E1D6402" w14:textId="77777777" w:rsidR="00555DC0" w:rsidRPr="0040535D" w:rsidRDefault="00555DC0" w:rsidP="009A0EE5">
      <w:pPr>
        <w:spacing w:after="0" w:line="360" w:lineRule="auto"/>
        <w:jc w:val="both"/>
        <w:rPr>
          <w:rFonts w:ascii="Times New Roman" w:hAnsi="Times New Roman"/>
          <w:bCs/>
          <w:sz w:val="24"/>
          <w:szCs w:val="24"/>
        </w:rPr>
      </w:pPr>
      <w:r w:rsidRPr="00BE4BDF">
        <w:rPr>
          <w:rFonts w:ascii="Times New Roman" w:hAnsi="Times New Roman"/>
          <w:bCs/>
          <w:sz w:val="24"/>
          <w:szCs w:val="24"/>
        </w:rPr>
        <w:t xml:space="preserve">Art. </w:t>
      </w:r>
      <w:r w:rsidR="00911FAF" w:rsidRPr="00BE4BDF">
        <w:rPr>
          <w:rFonts w:ascii="Times New Roman" w:hAnsi="Times New Roman"/>
          <w:bCs/>
          <w:sz w:val="24"/>
          <w:szCs w:val="24"/>
        </w:rPr>
        <w:t>3</w:t>
      </w:r>
      <w:r w:rsidR="0090611F" w:rsidRPr="00BE4BDF">
        <w:rPr>
          <w:rFonts w:ascii="Times New Roman" w:hAnsi="Times New Roman"/>
          <w:bCs/>
          <w:sz w:val="24"/>
          <w:szCs w:val="24"/>
        </w:rPr>
        <w:t>2</w:t>
      </w:r>
      <w:r w:rsidR="00911FAF" w:rsidRPr="0040535D">
        <w:rPr>
          <w:rFonts w:ascii="Times New Roman" w:hAnsi="Times New Roman"/>
          <w:bCs/>
          <w:sz w:val="24"/>
          <w:szCs w:val="24"/>
        </w:rPr>
        <w:t xml:space="preserve"> </w:t>
      </w:r>
      <w:r w:rsidRPr="0040535D">
        <w:rPr>
          <w:rFonts w:ascii="Times New Roman" w:hAnsi="Times New Roman"/>
          <w:bCs/>
          <w:sz w:val="24"/>
          <w:szCs w:val="24"/>
        </w:rPr>
        <w:t xml:space="preserve">ustawy umożliwia każdej instytucji zarządzającej utworzenie w </w:t>
      </w:r>
      <w:r w:rsidR="00C81745" w:rsidRPr="0040535D">
        <w:rPr>
          <w:rFonts w:ascii="Times New Roman" w:hAnsi="Times New Roman"/>
          <w:bCs/>
          <w:sz w:val="24"/>
          <w:szCs w:val="24"/>
        </w:rPr>
        <w:t>BGK</w:t>
      </w:r>
      <w:r w:rsidRPr="0040535D">
        <w:rPr>
          <w:rFonts w:ascii="Times New Roman" w:hAnsi="Times New Roman"/>
          <w:bCs/>
          <w:sz w:val="24"/>
          <w:szCs w:val="24"/>
        </w:rPr>
        <w:t xml:space="preserve"> rachunku do obsługi instrumentów finansowych. Na ten rachunek będą przekazywane środki wycofane przez instytucję zarządzającą z instrumentów finansowych, a następnie na wniosek dysponenta (instytucji zarządzającej) środki te będą uruchamiane jako wkład do innych instrumentów finansowych lub przeznaczane na inne formy wsparcia. Ten pozabudżetowy mechanizm przepływów finansowych pozwoli na monitorowanie wykorzystywania środków publicznych, które zostaną zaangażowane w ramach instrumentów finansowych na cele wskazane w art. </w:t>
      </w:r>
      <w:r w:rsidR="00FA7245" w:rsidRPr="0040535D">
        <w:rPr>
          <w:rFonts w:ascii="Times New Roman" w:hAnsi="Times New Roman"/>
          <w:bCs/>
          <w:sz w:val="24"/>
          <w:szCs w:val="24"/>
        </w:rPr>
        <w:t xml:space="preserve">59 </w:t>
      </w:r>
      <w:r w:rsidRPr="0040535D">
        <w:rPr>
          <w:rFonts w:ascii="Times New Roman" w:hAnsi="Times New Roman"/>
          <w:bCs/>
          <w:sz w:val="24"/>
          <w:szCs w:val="24"/>
        </w:rPr>
        <w:t>rozporządzenia ogólnego, a tym samym spełnienie wymagań określonych dla tych środków w przepisach UE (nie jest to z kolei możliwe w przypadku, gdy środki te zostaną ponownie ujęte w budżecie państwa lub budżecie samorządu województwa, dlatego też konieczne było zapewnienie pozabudżetowego mechanizmu przepływu środków zaangażowanych w instrumenty finansowe).</w:t>
      </w:r>
    </w:p>
    <w:p w14:paraId="78928C65"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W art. </w:t>
      </w:r>
      <w:r w:rsidR="00911FAF" w:rsidRPr="0040535D">
        <w:rPr>
          <w:rFonts w:ascii="Times New Roman" w:hAnsi="Times New Roman"/>
          <w:bCs/>
          <w:sz w:val="24"/>
          <w:szCs w:val="24"/>
        </w:rPr>
        <w:t>3</w:t>
      </w:r>
      <w:r w:rsidR="0090611F" w:rsidRPr="0040535D">
        <w:rPr>
          <w:rFonts w:ascii="Times New Roman" w:hAnsi="Times New Roman"/>
          <w:bCs/>
          <w:sz w:val="24"/>
          <w:szCs w:val="24"/>
        </w:rPr>
        <w:t>2</w:t>
      </w:r>
      <w:r w:rsidR="00911FAF" w:rsidRPr="0040535D">
        <w:rPr>
          <w:rFonts w:ascii="Times New Roman" w:hAnsi="Times New Roman"/>
          <w:bCs/>
          <w:sz w:val="24"/>
          <w:szCs w:val="24"/>
        </w:rPr>
        <w:t xml:space="preserve"> </w:t>
      </w:r>
      <w:r w:rsidRPr="0040535D">
        <w:rPr>
          <w:rFonts w:ascii="Times New Roman" w:hAnsi="Times New Roman"/>
          <w:bCs/>
          <w:sz w:val="24"/>
          <w:szCs w:val="24"/>
        </w:rPr>
        <w:t xml:space="preserve">ust. 1 wprowadzono przepis regulujący kwestię wykorzystania środków przeznaczonych w perspektywie 2021–2027 na realizację instrumentów finansowych, w szczególności uregulowano sposób wydatkowania środków po okresie realizacji zadań na podstawie rozporządzenia ogólnego – środki będą musiały być wydatkowane w formie wsparcia zwrotnego na realizację celów wynikających z programów rozwoju, o których mowa w </w:t>
      </w:r>
      <w:proofErr w:type="spellStart"/>
      <w:r w:rsidR="00C81745" w:rsidRPr="0040535D">
        <w:rPr>
          <w:rFonts w:ascii="Times New Roman" w:hAnsi="Times New Roman"/>
          <w:bCs/>
          <w:sz w:val="24"/>
          <w:szCs w:val="24"/>
        </w:rPr>
        <w:t>uzppr</w:t>
      </w:r>
      <w:proofErr w:type="spellEnd"/>
      <w:r w:rsidRPr="0040535D">
        <w:rPr>
          <w:rFonts w:ascii="Times New Roman" w:hAnsi="Times New Roman"/>
          <w:bCs/>
          <w:sz w:val="24"/>
          <w:szCs w:val="24"/>
        </w:rPr>
        <w:t xml:space="preserve">. Wprowadzona regulacja ma zapewnić trwałość realizacji wsparcia w formie zwrotnej i uniemożliwić rozproszenie środków po wykonaniu zobowiązań wynikających z prawodawstwa unijnego. Jednocześnie w art. </w:t>
      </w:r>
      <w:r w:rsidR="00911FAF" w:rsidRPr="0040535D">
        <w:rPr>
          <w:rFonts w:ascii="Times New Roman" w:hAnsi="Times New Roman"/>
          <w:bCs/>
          <w:sz w:val="24"/>
          <w:szCs w:val="24"/>
        </w:rPr>
        <w:t>3</w:t>
      </w:r>
      <w:r w:rsidR="0090611F" w:rsidRPr="0040535D">
        <w:rPr>
          <w:rFonts w:ascii="Times New Roman" w:hAnsi="Times New Roman"/>
          <w:bCs/>
          <w:sz w:val="24"/>
          <w:szCs w:val="24"/>
        </w:rPr>
        <w:t>2</w:t>
      </w:r>
      <w:r w:rsidR="00911FAF" w:rsidRPr="0040535D">
        <w:rPr>
          <w:rFonts w:ascii="Times New Roman" w:hAnsi="Times New Roman"/>
          <w:bCs/>
          <w:sz w:val="24"/>
          <w:szCs w:val="24"/>
        </w:rPr>
        <w:t xml:space="preserve"> </w:t>
      </w:r>
      <w:r w:rsidRPr="0040535D">
        <w:rPr>
          <w:rFonts w:ascii="Times New Roman" w:hAnsi="Times New Roman"/>
          <w:bCs/>
          <w:sz w:val="24"/>
          <w:szCs w:val="24"/>
        </w:rPr>
        <w:t xml:space="preserve">ust. 1 wskazano zasady wydatkowania ww. środków w odniesieniu do trzech przedziałów czasowych: okresu kwalifikowalności wydatków perspektywy finansowej 2021-2027 (art. </w:t>
      </w:r>
      <w:r w:rsidR="00911FAF" w:rsidRPr="0040535D">
        <w:rPr>
          <w:rFonts w:ascii="Times New Roman" w:hAnsi="Times New Roman"/>
          <w:bCs/>
          <w:sz w:val="24"/>
          <w:szCs w:val="24"/>
        </w:rPr>
        <w:t>3</w:t>
      </w:r>
      <w:r w:rsidR="0090611F" w:rsidRPr="0040535D">
        <w:rPr>
          <w:rFonts w:ascii="Times New Roman" w:hAnsi="Times New Roman"/>
          <w:bCs/>
          <w:sz w:val="24"/>
          <w:szCs w:val="24"/>
        </w:rPr>
        <w:t>2</w:t>
      </w:r>
      <w:r w:rsidR="00911FAF" w:rsidRPr="0040535D">
        <w:rPr>
          <w:rFonts w:ascii="Times New Roman" w:hAnsi="Times New Roman"/>
          <w:bCs/>
          <w:sz w:val="24"/>
          <w:szCs w:val="24"/>
        </w:rPr>
        <w:t xml:space="preserve"> </w:t>
      </w:r>
      <w:r w:rsidRPr="0040535D">
        <w:rPr>
          <w:rFonts w:ascii="Times New Roman" w:hAnsi="Times New Roman"/>
          <w:bCs/>
          <w:sz w:val="24"/>
          <w:szCs w:val="24"/>
        </w:rPr>
        <w:t xml:space="preserve">ust. 1 pkt 1) – warunki wydatkowania środków w tym okresie wynikają z art. </w:t>
      </w:r>
      <w:r w:rsidR="000963D1" w:rsidRPr="0040535D">
        <w:rPr>
          <w:rFonts w:ascii="Times New Roman" w:hAnsi="Times New Roman"/>
          <w:bCs/>
          <w:sz w:val="24"/>
          <w:szCs w:val="24"/>
        </w:rPr>
        <w:t xml:space="preserve">62 </w:t>
      </w:r>
      <w:r w:rsidRPr="0040535D">
        <w:rPr>
          <w:rFonts w:ascii="Times New Roman" w:hAnsi="Times New Roman"/>
          <w:bCs/>
          <w:sz w:val="24"/>
          <w:szCs w:val="24"/>
        </w:rPr>
        <w:t xml:space="preserve">ust. 1 rozporządzenia ogólnego; w okresie co najmniej 8 lat po okresie kwalifikowalności wydatków, na cele określone zgodnie z art. </w:t>
      </w:r>
      <w:r w:rsidR="000963D1" w:rsidRPr="0040535D">
        <w:rPr>
          <w:rFonts w:ascii="Times New Roman" w:hAnsi="Times New Roman"/>
          <w:bCs/>
          <w:sz w:val="24"/>
          <w:szCs w:val="24"/>
        </w:rPr>
        <w:t xml:space="preserve">63 </w:t>
      </w:r>
      <w:r w:rsidRPr="0040535D">
        <w:rPr>
          <w:rFonts w:ascii="Times New Roman" w:hAnsi="Times New Roman"/>
          <w:bCs/>
          <w:sz w:val="24"/>
          <w:szCs w:val="24"/>
        </w:rPr>
        <w:t>ust. 2 rozporządzenia ogólnego</w:t>
      </w:r>
      <w:r w:rsidR="00AF6F91" w:rsidRPr="0040535D">
        <w:rPr>
          <w:rFonts w:ascii="Times New Roman" w:hAnsi="Times New Roman"/>
          <w:bCs/>
          <w:sz w:val="24"/>
          <w:szCs w:val="24"/>
        </w:rPr>
        <w:t xml:space="preserve">, w formie wsparcia zwrotnego, o którym mowa w art. 5 pkt 12 </w:t>
      </w:r>
      <w:proofErr w:type="spellStart"/>
      <w:r w:rsidR="00AF6F91" w:rsidRPr="0040535D">
        <w:rPr>
          <w:rFonts w:ascii="Times New Roman" w:hAnsi="Times New Roman"/>
          <w:bCs/>
          <w:sz w:val="24"/>
          <w:szCs w:val="24"/>
        </w:rPr>
        <w:t>uzppr</w:t>
      </w:r>
      <w:proofErr w:type="spellEnd"/>
      <w:r w:rsidRPr="0040535D">
        <w:rPr>
          <w:rFonts w:ascii="Times New Roman" w:hAnsi="Times New Roman"/>
          <w:bCs/>
          <w:sz w:val="24"/>
          <w:szCs w:val="24"/>
        </w:rPr>
        <w:t xml:space="preserve"> (art. </w:t>
      </w:r>
      <w:r w:rsidR="00911FAF" w:rsidRPr="0040535D">
        <w:rPr>
          <w:rFonts w:ascii="Times New Roman" w:hAnsi="Times New Roman"/>
          <w:bCs/>
          <w:sz w:val="24"/>
          <w:szCs w:val="24"/>
        </w:rPr>
        <w:t>3</w:t>
      </w:r>
      <w:r w:rsidR="0090611F" w:rsidRPr="0040535D">
        <w:rPr>
          <w:rFonts w:ascii="Times New Roman" w:hAnsi="Times New Roman"/>
          <w:bCs/>
          <w:sz w:val="24"/>
          <w:szCs w:val="24"/>
        </w:rPr>
        <w:t>2</w:t>
      </w:r>
      <w:r w:rsidR="00911FAF" w:rsidRPr="0040535D">
        <w:rPr>
          <w:rFonts w:ascii="Times New Roman" w:hAnsi="Times New Roman"/>
          <w:bCs/>
          <w:sz w:val="24"/>
          <w:szCs w:val="24"/>
        </w:rPr>
        <w:t xml:space="preserve"> </w:t>
      </w:r>
      <w:r w:rsidRPr="0040535D">
        <w:rPr>
          <w:rFonts w:ascii="Times New Roman" w:hAnsi="Times New Roman"/>
          <w:bCs/>
          <w:sz w:val="24"/>
          <w:szCs w:val="24"/>
        </w:rPr>
        <w:t xml:space="preserve">ust. 1 pkt 2) – warunki wydatkowania środków wynikają m.in. z ogólnych zasad dysponowania środkami publicznymi oraz np. z umów/porozumień zawieranych przez dysponenta środków z podmiotami, którym mogą być przekazane w celu ponownego wykorzystania; w okresie następującym po okresie wskazanym w pkt 2 (przy czym regulacja nie zakłada automatyzmu </w:t>
      </w:r>
      <w:r w:rsidRPr="0040535D">
        <w:rPr>
          <w:rFonts w:ascii="Times New Roman" w:hAnsi="Times New Roman"/>
          <w:bCs/>
          <w:sz w:val="24"/>
          <w:szCs w:val="24"/>
        </w:rPr>
        <w:lastRenderedPageBreak/>
        <w:t xml:space="preserve">jej stosowania po okresie 8 lat, tylko co najmniej po upływie tego okresu – w zależności od postanowień aktu stanowiącego podstawę do powierzenia zarządzania środkami na podstawie art. </w:t>
      </w:r>
      <w:r w:rsidR="00911FAF" w:rsidRPr="0040535D">
        <w:rPr>
          <w:rFonts w:ascii="Times New Roman" w:hAnsi="Times New Roman"/>
          <w:bCs/>
          <w:sz w:val="24"/>
          <w:szCs w:val="24"/>
        </w:rPr>
        <w:t>3</w:t>
      </w:r>
      <w:r w:rsidR="0090611F" w:rsidRPr="0040535D">
        <w:rPr>
          <w:rFonts w:ascii="Times New Roman" w:hAnsi="Times New Roman"/>
          <w:bCs/>
          <w:sz w:val="24"/>
          <w:szCs w:val="24"/>
        </w:rPr>
        <w:t>2</w:t>
      </w:r>
      <w:r w:rsidR="00911FAF" w:rsidRPr="0040535D">
        <w:rPr>
          <w:rFonts w:ascii="Times New Roman" w:hAnsi="Times New Roman"/>
          <w:bCs/>
          <w:sz w:val="24"/>
          <w:szCs w:val="24"/>
        </w:rPr>
        <w:t xml:space="preserve"> </w:t>
      </w:r>
      <w:r w:rsidRPr="0040535D">
        <w:rPr>
          <w:rFonts w:ascii="Times New Roman" w:hAnsi="Times New Roman"/>
          <w:bCs/>
          <w:sz w:val="24"/>
          <w:szCs w:val="24"/>
        </w:rPr>
        <w:t xml:space="preserve">ust. 1 pkt 2) w formie wsparcia </w:t>
      </w:r>
      <w:r w:rsidR="00AF6F91" w:rsidRPr="0040535D">
        <w:rPr>
          <w:rFonts w:ascii="Times New Roman" w:hAnsi="Times New Roman"/>
          <w:bCs/>
          <w:sz w:val="24"/>
          <w:szCs w:val="24"/>
        </w:rPr>
        <w:t xml:space="preserve">zwrotnego, o którym mowa w art. 5 pkt 12 </w:t>
      </w:r>
      <w:proofErr w:type="spellStart"/>
      <w:r w:rsidR="00AF6F91" w:rsidRPr="0040535D">
        <w:rPr>
          <w:rFonts w:ascii="Times New Roman" w:hAnsi="Times New Roman"/>
          <w:bCs/>
          <w:sz w:val="24"/>
          <w:szCs w:val="24"/>
        </w:rPr>
        <w:t>uzppr</w:t>
      </w:r>
      <w:proofErr w:type="spellEnd"/>
      <w:r w:rsidR="00AF6F91" w:rsidRPr="0040535D">
        <w:rPr>
          <w:rFonts w:ascii="Times New Roman" w:hAnsi="Times New Roman"/>
          <w:bCs/>
          <w:sz w:val="24"/>
          <w:szCs w:val="24"/>
        </w:rPr>
        <w:t xml:space="preserve"> </w:t>
      </w:r>
      <w:r w:rsidRPr="0040535D">
        <w:rPr>
          <w:rFonts w:ascii="Times New Roman" w:hAnsi="Times New Roman"/>
          <w:bCs/>
          <w:sz w:val="24"/>
          <w:szCs w:val="24"/>
        </w:rPr>
        <w:t xml:space="preserve">na realizację celów wynikających z programów rozwoju określonych w </w:t>
      </w:r>
      <w:proofErr w:type="spellStart"/>
      <w:r w:rsidR="00F058AF" w:rsidRPr="0040535D">
        <w:rPr>
          <w:rFonts w:ascii="Times New Roman" w:hAnsi="Times New Roman"/>
          <w:bCs/>
          <w:sz w:val="24"/>
          <w:szCs w:val="24"/>
        </w:rPr>
        <w:t>uzppr</w:t>
      </w:r>
      <w:proofErr w:type="spellEnd"/>
      <w:r w:rsidRPr="0040535D">
        <w:rPr>
          <w:rFonts w:ascii="Times New Roman" w:hAnsi="Times New Roman"/>
          <w:bCs/>
          <w:sz w:val="24"/>
          <w:szCs w:val="24"/>
        </w:rPr>
        <w:t xml:space="preserve"> (art. </w:t>
      </w:r>
      <w:r w:rsidR="00911FAF" w:rsidRPr="0040535D">
        <w:rPr>
          <w:rFonts w:ascii="Times New Roman" w:hAnsi="Times New Roman"/>
          <w:bCs/>
          <w:sz w:val="24"/>
          <w:szCs w:val="24"/>
        </w:rPr>
        <w:t>3</w:t>
      </w:r>
      <w:r w:rsidR="0090611F" w:rsidRPr="0040535D">
        <w:rPr>
          <w:rFonts w:ascii="Times New Roman" w:hAnsi="Times New Roman"/>
          <w:bCs/>
          <w:sz w:val="24"/>
          <w:szCs w:val="24"/>
        </w:rPr>
        <w:t>2</w:t>
      </w:r>
      <w:r w:rsidR="00911FAF" w:rsidRPr="0040535D">
        <w:rPr>
          <w:rFonts w:ascii="Times New Roman" w:hAnsi="Times New Roman"/>
          <w:bCs/>
          <w:sz w:val="24"/>
          <w:szCs w:val="24"/>
        </w:rPr>
        <w:t xml:space="preserve"> </w:t>
      </w:r>
      <w:r w:rsidRPr="0040535D">
        <w:rPr>
          <w:rFonts w:ascii="Times New Roman" w:hAnsi="Times New Roman"/>
          <w:bCs/>
          <w:sz w:val="24"/>
          <w:szCs w:val="24"/>
        </w:rPr>
        <w:t>ust. 1 pkt 3) – zasady wydatkowania tych środków wynikają m.in. z ogólnych zasad dysponowania środkami publicznymi, postanowień konkretnego programu rozwoju oraz z umów/porozumień zawieranych przez dysponenta środków z podmiotami, którym mogą być przekazane w celu ponownego wykorzystania na podstawie przedmiotowej regulacji.</w:t>
      </w:r>
    </w:p>
    <w:p w14:paraId="2920FFA5"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W ust. 2 zawarto regulację wskazującą podmioty będące dysponentem środków, o których mowa w ust. 1 – ministra właściwego d</w:t>
      </w:r>
      <w:r w:rsidR="00470A6D" w:rsidRPr="0040535D">
        <w:rPr>
          <w:rFonts w:ascii="Times New Roman" w:hAnsi="Times New Roman"/>
          <w:bCs/>
          <w:sz w:val="24"/>
          <w:szCs w:val="24"/>
        </w:rPr>
        <w:t>o spraw</w:t>
      </w:r>
      <w:r w:rsidRPr="0040535D">
        <w:rPr>
          <w:rFonts w:ascii="Times New Roman" w:hAnsi="Times New Roman"/>
          <w:bCs/>
          <w:sz w:val="24"/>
          <w:szCs w:val="24"/>
        </w:rPr>
        <w:t xml:space="preserve"> rozwoju regionalnego w odniesieniu do środków krajowych programów i zarząd województwa w odniesieniu do środków regionalnych programów.</w:t>
      </w:r>
    </w:p>
    <w:p w14:paraId="71FC27A4"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W celu uniknięcia wątpliwości w zakresie statusu środków przeznaczonych na realizację instrumentów finansowych zwracanych przez ostatecznych odbiorców, w ust. 3 jednoznacznie przesądzono, że środki, o których mowa w ust. 1, nie stanowią dochodu dysponenta ani jakiegokolwiek podmiotu, któremu dysponent mógłby powierzyć/zlecić wdrażanie instrumentów finansowych/wsparcia zwrotnego. Jednocześnie w ust. 4 zawarto regulację wskazującą, że warunki wydatkowania środków, o których mowa w ust. 1, są wskazane w umowie/porozumieniu podpisywanym przez dysponenta.</w:t>
      </w:r>
    </w:p>
    <w:p w14:paraId="7189C273"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W ust</w:t>
      </w:r>
      <w:r w:rsidR="0090611F" w:rsidRPr="0040535D">
        <w:rPr>
          <w:rFonts w:ascii="Times New Roman" w:hAnsi="Times New Roman"/>
          <w:bCs/>
          <w:sz w:val="24"/>
          <w:szCs w:val="24"/>
        </w:rPr>
        <w:t>.</w:t>
      </w:r>
      <w:r w:rsidRPr="0040535D">
        <w:rPr>
          <w:rFonts w:ascii="Times New Roman" w:hAnsi="Times New Roman"/>
          <w:bCs/>
          <w:sz w:val="24"/>
          <w:szCs w:val="24"/>
        </w:rPr>
        <w:t xml:space="preserve"> 5 wskazano, że środki finansowe, o których mowa w ust. 2 pkt 1, wykorzystywane na działalność poręczeniową lub gwarancyjną w rozumieniu art. 2 ust. 1 pkt 9a ustawy z dnia 8 maja 1997 r. o poręczeniach i gwarancjach udzielanych przez Skarb Państwa oraz niektóre osoby prawne</w:t>
      </w:r>
      <w:r w:rsidR="00AF6F91" w:rsidRPr="0040535D">
        <w:rPr>
          <w:rFonts w:ascii="Times New Roman" w:hAnsi="Times New Roman"/>
          <w:bCs/>
          <w:sz w:val="24"/>
          <w:szCs w:val="24"/>
        </w:rPr>
        <w:t xml:space="preserve"> (Dz. U. z </w:t>
      </w:r>
      <w:r w:rsidR="004F02CD" w:rsidRPr="0040535D">
        <w:rPr>
          <w:rFonts w:ascii="Times New Roman" w:hAnsi="Times New Roman"/>
          <w:bCs/>
          <w:sz w:val="24"/>
          <w:szCs w:val="24"/>
        </w:rPr>
        <w:t xml:space="preserve">2021 </w:t>
      </w:r>
      <w:r w:rsidR="00AF6F91" w:rsidRPr="0040535D">
        <w:rPr>
          <w:rFonts w:ascii="Times New Roman" w:hAnsi="Times New Roman"/>
          <w:bCs/>
          <w:sz w:val="24"/>
          <w:szCs w:val="24"/>
        </w:rPr>
        <w:t xml:space="preserve">r. poz. </w:t>
      </w:r>
      <w:r w:rsidR="004F02CD" w:rsidRPr="0040535D">
        <w:rPr>
          <w:rFonts w:ascii="Times New Roman" w:hAnsi="Times New Roman"/>
          <w:bCs/>
          <w:sz w:val="24"/>
          <w:szCs w:val="24"/>
        </w:rPr>
        <w:t>4</w:t>
      </w:r>
      <w:r w:rsidR="0090611F" w:rsidRPr="0040535D">
        <w:rPr>
          <w:rFonts w:ascii="Times New Roman" w:hAnsi="Times New Roman"/>
          <w:bCs/>
          <w:sz w:val="24"/>
          <w:szCs w:val="24"/>
        </w:rPr>
        <w:t>4</w:t>
      </w:r>
      <w:r w:rsidR="004F02CD" w:rsidRPr="0040535D">
        <w:rPr>
          <w:rFonts w:ascii="Times New Roman" w:hAnsi="Times New Roman"/>
          <w:bCs/>
          <w:sz w:val="24"/>
          <w:szCs w:val="24"/>
        </w:rPr>
        <w:t>2</w:t>
      </w:r>
      <w:r w:rsidR="00A23180">
        <w:rPr>
          <w:rFonts w:ascii="Times New Roman" w:hAnsi="Times New Roman"/>
          <w:bCs/>
          <w:sz w:val="24"/>
          <w:szCs w:val="24"/>
        </w:rPr>
        <w:t xml:space="preserve">, z </w:t>
      </w:r>
      <w:proofErr w:type="spellStart"/>
      <w:r w:rsidR="00A23180">
        <w:rPr>
          <w:rFonts w:ascii="Times New Roman" w:hAnsi="Times New Roman"/>
          <w:bCs/>
          <w:sz w:val="24"/>
          <w:szCs w:val="24"/>
        </w:rPr>
        <w:t>późn</w:t>
      </w:r>
      <w:proofErr w:type="spellEnd"/>
      <w:r w:rsidR="00A23180">
        <w:rPr>
          <w:rFonts w:ascii="Times New Roman" w:hAnsi="Times New Roman"/>
          <w:bCs/>
          <w:sz w:val="24"/>
          <w:szCs w:val="24"/>
        </w:rPr>
        <w:t>. zm.</w:t>
      </w:r>
      <w:r w:rsidR="00AF6F91" w:rsidRPr="0040535D">
        <w:rPr>
          <w:rFonts w:ascii="Times New Roman" w:hAnsi="Times New Roman"/>
          <w:bCs/>
          <w:sz w:val="24"/>
          <w:szCs w:val="24"/>
        </w:rPr>
        <w:t>)</w:t>
      </w:r>
      <w:r w:rsidR="00394BDD" w:rsidRPr="0040535D">
        <w:rPr>
          <w:rFonts w:ascii="Times New Roman" w:hAnsi="Times New Roman"/>
          <w:bCs/>
          <w:sz w:val="24"/>
          <w:szCs w:val="24"/>
        </w:rPr>
        <w:t>, po okresie, o którym mowa w ust. 1 pkt 1, zostają przekazane na pokrycie kosztów i wydatków, o których mowa w art. 34g ust. 2 tej ustawy, z zastrzeżeniem art. 62 ust. 2 rozporządzenia ogólnego</w:t>
      </w:r>
      <w:r w:rsidRPr="0040535D">
        <w:rPr>
          <w:rFonts w:ascii="Times New Roman" w:hAnsi="Times New Roman"/>
          <w:bCs/>
          <w:sz w:val="24"/>
          <w:szCs w:val="24"/>
        </w:rPr>
        <w:t xml:space="preserve">. Takie rozwiązanie, wynikające z nowelizacji </w:t>
      </w:r>
      <w:r w:rsidR="004F02CD" w:rsidRPr="0040535D">
        <w:rPr>
          <w:rFonts w:ascii="Times New Roman" w:hAnsi="Times New Roman"/>
          <w:bCs/>
          <w:sz w:val="24"/>
          <w:szCs w:val="24"/>
        </w:rPr>
        <w:t xml:space="preserve">ww. </w:t>
      </w:r>
      <w:r w:rsidRPr="0040535D">
        <w:rPr>
          <w:rFonts w:ascii="Times New Roman" w:hAnsi="Times New Roman"/>
          <w:bCs/>
          <w:sz w:val="24"/>
          <w:szCs w:val="24"/>
        </w:rPr>
        <w:t xml:space="preserve">ustawy, przyczyni się do zwiększenia efektywności wydatkowania środków w formie wsparcia zwrotnego poprzez ich konsolidację w ramach jednego instrumentu wdrażanego pod kontrolą jednego podmiotu, w tym przypadku BGK, dysponującego odpowiednim doświadczeniem i posiadającym strukturę organizacyjną umożliwiającą realizację tego celu. W ust. 6 wskazano, że w umowie lub porozumieniu zawieranych przez dysponenta środków powinny znaleźć się odpowiednie postanowienia gwarantujące efektywne wydatkowanie środków, o których mowa w ust 1. Konsekwencją zastosowania regulacji będzie obowiązek zawarcia stosownych postanowień również w umowach zawieranych przez </w:t>
      </w:r>
      <w:r w:rsidRPr="0040535D">
        <w:rPr>
          <w:rFonts w:ascii="Times New Roman" w:hAnsi="Times New Roman"/>
          <w:bCs/>
          <w:sz w:val="24"/>
          <w:szCs w:val="24"/>
        </w:rPr>
        <w:lastRenderedPageBreak/>
        <w:t>podmioty, którym dysponent może powierzyć wdrażanie środków z innymi podmiotami (np. pośrednicy finansowi, fundusze powiernicze), jeśli podmioty takie miałyby realizować zadania związane z wdrażaniem wsparcia zwrotnego.</w:t>
      </w:r>
    </w:p>
    <w:p w14:paraId="4CF5A9FE"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Ust. 7–9 zawierają analogiczne do obowiązujących </w:t>
      </w:r>
      <w:r w:rsidR="00CF628F" w:rsidRPr="0040535D">
        <w:rPr>
          <w:rFonts w:ascii="Times New Roman" w:hAnsi="Times New Roman"/>
          <w:bCs/>
          <w:sz w:val="24"/>
          <w:szCs w:val="24"/>
        </w:rPr>
        <w:t xml:space="preserve">w perspektywie finansowej 2014-2020 </w:t>
      </w:r>
      <w:r w:rsidRPr="0040535D">
        <w:rPr>
          <w:rFonts w:ascii="Times New Roman" w:hAnsi="Times New Roman"/>
          <w:bCs/>
          <w:sz w:val="24"/>
          <w:szCs w:val="24"/>
        </w:rPr>
        <w:t>regulacje dotyczące obsługi rachunków, na które są zwracane środki, o których mowa w ust. 1.</w:t>
      </w:r>
      <w:r w:rsidR="008E4E33" w:rsidRPr="0040535D">
        <w:rPr>
          <w:rFonts w:ascii="Times New Roman" w:hAnsi="Times New Roman"/>
          <w:bCs/>
          <w:sz w:val="24"/>
          <w:szCs w:val="24"/>
        </w:rPr>
        <w:t xml:space="preserve"> Nowością jest wprowadzenie możliwości obsługi przedmiotowych rachunków przez inne niż BGK banki wybrane na podstawie przepisów o zamówieniach publicznych.</w:t>
      </w:r>
    </w:p>
    <w:p w14:paraId="078744A0" w14:textId="77777777" w:rsidR="006772F3" w:rsidRPr="0040535D" w:rsidRDefault="006772F3" w:rsidP="009A0EE5">
      <w:pPr>
        <w:spacing w:after="0" w:line="360" w:lineRule="auto"/>
        <w:jc w:val="both"/>
        <w:rPr>
          <w:rFonts w:ascii="Times New Roman" w:hAnsi="Times New Roman"/>
          <w:b/>
          <w:bCs/>
          <w:sz w:val="24"/>
          <w:szCs w:val="24"/>
        </w:rPr>
      </w:pPr>
    </w:p>
    <w:p w14:paraId="6B606F4F" w14:textId="77777777" w:rsidR="00555DC0" w:rsidRPr="0040535D" w:rsidRDefault="00555DC0" w:rsidP="009A0EE5">
      <w:pPr>
        <w:spacing w:after="0" w:line="360" w:lineRule="auto"/>
        <w:jc w:val="both"/>
        <w:rPr>
          <w:rFonts w:ascii="Times New Roman" w:hAnsi="Times New Roman"/>
          <w:b/>
          <w:bCs/>
          <w:sz w:val="24"/>
          <w:szCs w:val="24"/>
        </w:rPr>
      </w:pPr>
      <w:r w:rsidRPr="0040535D">
        <w:rPr>
          <w:rFonts w:ascii="Times New Roman" w:hAnsi="Times New Roman"/>
          <w:b/>
          <w:bCs/>
          <w:sz w:val="24"/>
          <w:szCs w:val="24"/>
        </w:rPr>
        <w:t>Rozdział 1</w:t>
      </w:r>
      <w:r w:rsidR="0090611F" w:rsidRPr="0040535D">
        <w:rPr>
          <w:rFonts w:ascii="Times New Roman" w:hAnsi="Times New Roman"/>
          <w:b/>
          <w:bCs/>
          <w:sz w:val="24"/>
          <w:szCs w:val="24"/>
        </w:rPr>
        <w:t>1</w:t>
      </w:r>
      <w:r w:rsidRPr="0040535D">
        <w:rPr>
          <w:rFonts w:ascii="Times New Roman" w:hAnsi="Times New Roman"/>
          <w:b/>
          <w:bCs/>
          <w:sz w:val="24"/>
          <w:szCs w:val="24"/>
        </w:rPr>
        <w:t xml:space="preserve">. Wsparcie warunkowe. </w:t>
      </w:r>
    </w:p>
    <w:p w14:paraId="6D9B2AF3"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W </w:t>
      </w:r>
      <w:r w:rsidRPr="0040535D">
        <w:rPr>
          <w:rFonts w:ascii="Times New Roman" w:hAnsi="Times New Roman"/>
          <w:b/>
          <w:bCs/>
          <w:sz w:val="24"/>
          <w:szCs w:val="24"/>
        </w:rPr>
        <w:t xml:space="preserve">art. </w:t>
      </w:r>
      <w:r w:rsidR="00911FAF" w:rsidRPr="0040535D">
        <w:rPr>
          <w:rFonts w:ascii="Times New Roman" w:hAnsi="Times New Roman"/>
          <w:b/>
          <w:bCs/>
          <w:sz w:val="24"/>
          <w:szCs w:val="24"/>
        </w:rPr>
        <w:t>3</w:t>
      </w:r>
      <w:r w:rsidR="0090611F" w:rsidRPr="0040535D">
        <w:rPr>
          <w:rFonts w:ascii="Times New Roman" w:hAnsi="Times New Roman"/>
          <w:b/>
          <w:bCs/>
          <w:sz w:val="24"/>
          <w:szCs w:val="24"/>
        </w:rPr>
        <w:t>3</w:t>
      </w:r>
      <w:r w:rsidR="00911FAF" w:rsidRPr="0040535D">
        <w:rPr>
          <w:rFonts w:ascii="Times New Roman" w:hAnsi="Times New Roman"/>
          <w:bCs/>
          <w:sz w:val="24"/>
          <w:szCs w:val="24"/>
        </w:rPr>
        <w:t xml:space="preserve"> </w:t>
      </w:r>
      <w:r w:rsidRPr="0040535D">
        <w:rPr>
          <w:rFonts w:ascii="Times New Roman" w:hAnsi="Times New Roman"/>
          <w:bCs/>
          <w:sz w:val="24"/>
          <w:szCs w:val="24"/>
        </w:rPr>
        <w:t>uregulowany został szczególny typ dotacji – wsparcie warunkowe. Jest to nowa instytucja wprowadzona do rozporządzenia ogólnego w miejsce funkcjonującej w perspektywie 2014-2020 pomocy zwrotnej.</w:t>
      </w:r>
    </w:p>
    <w:p w14:paraId="74CB92DA"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Przepis art. </w:t>
      </w:r>
      <w:r w:rsidR="00911FAF" w:rsidRPr="0040535D">
        <w:rPr>
          <w:rFonts w:ascii="Times New Roman" w:hAnsi="Times New Roman"/>
          <w:bCs/>
          <w:sz w:val="24"/>
          <w:szCs w:val="24"/>
        </w:rPr>
        <w:t>3</w:t>
      </w:r>
      <w:r w:rsidR="0090611F" w:rsidRPr="0040535D">
        <w:rPr>
          <w:rFonts w:ascii="Times New Roman" w:hAnsi="Times New Roman"/>
          <w:bCs/>
          <w:sz w:val="24"/>
          <w:szCs w:val="24"/>
        </w:rPr>
        <w:t>3</w:t>
      </w:r>
      <w:r w:rsidR="00911FAF" w:rsidRPr="0040535D">
        <w:rPr>
          <w:rFonts w:ascii="Times New Roman" w:hAnsi="Times New Roman"/>
          <w:bCs/>
          <w:sz w:val="24"/>
          <w:szCs w:val="24"/>
        </w:rPr>
        <w:t xml:space="preserve"> </w:t>
      </w:r>
      <w:r w:rsidRPr="0040535D">
        <w:rPr>
          <w:rFonts w:ascii="Times New Roman" w:hAnsi="Times New Roman"/>
          <w:bCs/>
          <w:sz w:val="24"/>
          <w:szCs w:val="24"/>
        </w:rPr>
        <w:t xml:space="preserve">ust. 2 nakłada obowiązek dokonania wszystkich zwrotów (ostatecznego rozliczenia projektu) przez beneficjenta realizującego projekt finansowany w formie wsparcia warunkowego oraz ponownego zaangażowania środków w dalsze wsparcie przez dysponenta środków do </w:t>
      </w:r>
      <w:r w:rsidR="001C5ED2" w:rsidRPr="0040535D">
        <w:rPr>
          <w:rFonts w:ascii="Times New Roman" w:hAnsi="Times New Roman"/>
          <w:bCs/>
          <w:sz w:val="24"/>
          <w:szCs w:val="24"/>
        </w:rPr>
        <w:t xml:space="preserve">dnia </w:t>
      </w:r>
      <w:r w:rsidRPr="0040535D">
        <w:rPr>
          <w:rFonts w:ascii="Times New Roman" w:hAnsi="Times New Roman"/>
          <w:bCs/>
          <w:sz w:val="24"/>
          <w:szCs w:val="24"/>
        </w:rPr>
        <w:t xml:space="preserve">31 grudnia 2030 r., a więc do końca okresu kwalifikowalności wydatków (art. </w:t>
      </w:r>
      <w:r w:rsidR="00FA7245" w:rsidRPr="0040535D">
        <w:rPr>
          <w:rFonts w:ascii="Times New Roman" w:hAnsi="Times New Roman"/>
          <w:bCs/>
          <w:sz w:val="24"/>
          <w:szCs w:val="24"/>
        </w:rPr>
        <w:t xml:space="preserve">62 </w:t>
      </w:r>
      <w:r w:rsidRPr="0040535D">
        <w:rPr>
          <w:rFonts w:ascii="Times New Roman" w:hAnsi="Times New Roman"/>
          <w:bCs/>
          <w:sz w:val="24"/>
          <w:szCs w:val="24"/>
        </w:rPr>
        <w:t xml:space="preserve">ust. </w:t>
      </w:r>
      <w:r w:rsidR="00FA7245" w:rsidRPr="0040535D">
        <w:rPr>
          <w:rFonts w:ascii="Times New Roman" w:hAnsi="Times New Roman"/>
          <w:bCs/>
          <w:sz w:val="24"/>
          <w:szCs w:val="24"/>
        </w:rPr>
        <w:t xml:space="preserve">1 </w:t>
      </w:r>
      <w:r w:rsidRPr="0040535D">
        <w:rPr>
          <w:rFonts w:ascii="Times New Roman" w:hAnsi="Times New Roman"/>
          <w:bCs/>
          <w:sz w:val="24"/>
          <w:szCs w:val="24"/>
        </w:rPr>
        <w:t xml:space="preserve">rozporządzenia ogólnego) pod sankcją zwrotu środków do budżetu ogólnego UE (ar. </w:t>
      </w:r>
      <w:r w:rsidR="00FA7245" w:rsidRPr="0040535D">
        <w:rPr>
          <w:rFonts w:ascii="Times New Roman" w:hAnsi="Times New Roman"/>
          <w:bCs/>
          <w:sz w:val="24"/>
          <w:szCs w:val="24"/>
        </w:rPr>
        <w:t xml:space="preserve">62 </w:t>
      </w:r>
      <w:r w:rsidRPr="0040535D">
        <w:rPr>
          <w:rFonts w:ascii="Times New Roman" w:hAnsi="Times New Roman"/>
          <w:bCs/>
          <w:sz w:val="24"/>
          <w:szCs w:val="24"/>
        </w:rPr>
        <w:t xml:space="preserve">ust. </w:t>
      </w:r>
      <w:r w:rsidR="00FA7245" w:rsidRPr="0040535D">
        <w:rPr>
          <w:rFonts w:ascii="Times New Roman" w:hAnsi="Times New Roman"/>
          <w:bCs/>
          <w:sz w:val="24"/>
          <w:szCs w:val="24"/>
        </w:rPr>
        <w:t xml:space="preserve">2 </w:t>
      </w:r>
      <w:r w:rsidRPr="0040535D">
        <w:rPr>
          <w:rFonts w:ascii="Times New Roman" w:hAnsi="Times New Roman"/>
          <w:bCs/>
          <w:sz w:val="24"/>
          <w:szCs w:val="24"/>
        </w:rPr>
        <w:t xml:space="preserve">rozporządzenia ogólnego). Zgodnie z przepisem art. </w:t>
      </w:r>
      <w:r w:rsidR="00911FAF" w:rsidRPr="0040535D">
        <w:rPr>
          <w:rFonts w:ascii="Times New Roman" w:hAnsi="Times New Roman"/>
          <w:bCs/>
          <w:sz w:val="24"/>
          <w:szCs w:val="24"/>
        </w:rPr>
        <w:t>3</w:t>
      </w:r>
      <w:r w:rsidR="0090611F" w:rsidRPr="0040535D">
        <w:rPr>
          <w:rFonts w:ascii="Times New Roman" w:hAnsi="Times New Roman"/>
          <w:bCs/>
          <w:sz w:val="24"/>
          <w:szCs w:val="24"/>
        </w:rPr>
        <w:t>3</w:t>
      </w:r>
      <w:r w:rsidR="00911FAF" w:rsidRPr="0040535D">
        <w:rPr>
          <w:rFonts w:ascii="Times New Roman" w:hAnsi="Times New Roman"/>
          <w:bCs/>
          <w:sz w:val="24"/>
          <w:szCs w:val="24"/>
        </w:rPr>
        <w:t xml:space="preserve"> </w:t>
      </w:r>
      <w:r w:rsidRPr="0040535D">
        <w:rPr>
          <w:rFonts w:ascii="Times New Roman" w:hAnsi="Times New Roman"/>
          <w:bCs/>
          <w:sz w:val="24"/>
          <w:szCs w:val="24"/>
        </w:rPr>
        <w:t>ust. 2 ustawy, zwrot jest dokonywany na rachunek właściwej instytucji wraz z odsetkami i innymi przychodami oraz zyskami powstałymi na skutek obrotu tymi środkami.</w:t>
      </w:r>
    </w:p>
    <w:p w14:paraId="40CDA8A9" w14:textId="77777777" w:rsidR="00652293" w:rsidRPr="0040535D" w:rsidRDefault="00555DC0" w:rsidP="009A0EE5">
      <w:pPr>
        <w:pStyle w:val="USTustnpkodeksu"/>
        <w:ind w:firstLine="0"/>
        <w:rPr>
          <w:rFonts w:ascii="Times New Roman" w:hAnsi="Times New Roman" w:cs="Times New Roman"/>
          <w:szCs w:val="24"/>
        </w:rPr>
      </w:pPr>
      <w:r w:rsidRPr="0040535D">
        <w:rPr>
          <w:rFonts w:ascii="Times New Roman" w:hAnsi="Times New Roman" w:cs="Times New Roman"/>
          <w:szCs w:val="24"/>
        </w:rPr>
        <w:t xml:space="preserve">Środki zwrócone z tytułu wsparcia warunkowego stanowią wsparcie zwrotne, o którym mowa w art. 5 pkt 12 </w:t>
      </w:r>
      <w:proofErr w:type="spellStart"/>
      <w:r w:rsidR="00F058AF" w:rsidRPr="0040535D">
        <w:rPr>
          <w:rFonts w:ascii="Times New Roman" w:hAnsi="Times New Roman" w:cs="Times New Roman"/>
          <w:szCs w:val="24"/>
        </w:rPr>
        <w:t>uzppr</w:t>
      </w:r>
      <w:proofErr w:type="spellEnd"/>
      <w:r w:rsidRPr="0040535D">
        <w:rPr>
          <w:rFonts w:ascii="Times New Roman" w:hAnsi="Times New Roman" w:cs="Times New Roman"/>
          <w:bCs w:val="0"/>
          <w:szCs w:val="24"/>
        </w:rPr>
        <w:t>.</w:t>
      </w:r>
      <w:r w:rsidRPr="0040535D">
        <w:rPr>
          <w:rFonts w:ascii="Times New Roman" w:hAnsi="Times New Roman" w:cs="Times New Roman"/>
          <w:bCs w:val="0"/>
          <w:i/>
          <w:szCs w:val="24"/>
        </w:rPr>
        <w:t xml:space="preserve"> </w:t>
      </w:r>
      <w:r w:rsidRPr="0040535D">
        <w:rPr>
          <w:rFonts w:ascii="Times New Roman" w:hAnsi="Times New Roman" w:cs="Times New Roman"/>
          <w:bCs w:val="0"/>
          <w:szCs w:val="24"/>
        </w:rPr>
        <w:t xml:space="preserve">W ust. </w:t>
      </w:r>
      <w:r w:rsidR="000963D1" w:rsidRPr="0040535D">
        <w:rPr>
          <w:rFonts w:ascii="Times New Roman" w:hAnsi="Times New Roman" w:cs="Times New Roman"/>
          <w:bCs w:val="0"/>
          <w:szCs w:val="24"/>
        </w:rPr>
        <w:t xml:space="preserve">4 </w:t>
      </w:r>
      <w:r w:rsidRPr="0040535D">
        <w:rPr>
          <w:rFonts w:ascii="Times New Roman" w:hAnsi="Times New Roman" w:cs="Times New Roman"/>
          <w:bCs w:val="0"/>
          <w:szCs w:val="24"/>
        </w:rPr>
        <w:t>wskazano, jakie podmioty mogą dalej wykorzystywać środki zwrócone z projektów realizowanych w formule pomocy zwrotnej. Może to być dysponent środków (minister właściwy d</w:t>
      </w:r>
      <w:r w:rsidR="001C5ED2" w:rsidRPr="0040535D">
        <w:rPr>
          <w:rFonts w:ascii="Times New Roman" w:hAnsi="Times New Roman" w:cs="Times New Roman"/>
          <w:bCs w:val="0"/>
          <w:szCs w:val="24"/>
        </w:rPr>
        <w:t>o spraw</w:t>
      </w:r>
      <w:r w:rsidRPr="0040535D">
        <w:rPr>
          <w:rFonts w:ascii="Times New Roman" w:hAnsi="Times New Roman" w:cs="Times New Roman"/>
          <w:bCs w:val="0"/>
          <w:szCs w:val="24"/>
        </w:rPr>
        <w:t xml:space="preserve"> rozwoju regionalnego albo zarząd województwa), właściwa instytucja w systemie wdrażania funduszy UE (jest to ten sam co do tożsamości podmiot, niemniej mając na względzie, że środki powracające z projektów nie są już środkami programu, nie można było posłużyć się wprost pojęciem „właściwej instytucji”, jako tej, która realizuje określone zadania w ramach </w:t>
      </w:r>
      <w:r w:rsidR="001C5ED2" w:rsidRPr="0040535D">
        <w:rPr>
          <w:rFonts w:ascii="Times New Roman" w:hAnsi="Times New Roman" w:cs="Times New Roman"/>
          <w:bCs w:val="0"/>
          <w:szCs w:val="24"/>
        </w:rPr>
        <w:t>programu</w:t>
      </w:r>
      <w:r w:rsidRPr="0040535D">
        <w:rPr>
          <w:rFonts w:ascii="Times New Roman" w:hAnsi="Times New Roman" w:cs="Times New Roman"/>
          <w:bCs w:val="0"/>
          <w:i/>
          <w:szCs w:val="24"/>
        </w:rPr>
        <w:t>)</w:t>
      </w:r>
      <w:r w:rsidRPr="0040535D">
        <w:rPr>
          <w:rFonts w:ascii="Times New Roman" w:hAnsi="Times New Roman" w:cs="Times New Roman"/>
          <w:bCs w:val="0"/>
          <w:szCs w:val="24"/>
        </w:rPr>
        <w:t xml:space="preserve"> albo inny podmiot. Jeżeli środki są wydatkowane przez podmiot, który pełnił funkcję właściwej instytucji albo przez inny podmiot (niebędący dysponentem środków), warunki wydatkowania i rozliczania środków są określane w umowach/porozumieniach zawieranych przez nie z dysponentem środków (art. </w:t>
      </w:r>
      <w:r w:rsidR="00911FAF" w:rsidRPr="0040535D">
        <w:rPr>
          <w:rFonts w:ascii="Times New Roman" w:hAnsi="Times New Roman" w:cs="Times New Roman"/>
          <w:bCs w:val="0"/>
          <w:szCs w:val="24"/>
        </w:rPr>
        <w:t>3</w:t>
      </w:r>
      <w:r w:rsidR="0090611F" w:rsidRPr="0040535D">
        <w:rPr>
          <w:rFonts w:ascii="Times New Roman" w:hAnsi="Times New Roman" w:cs="Times New Roman"/>
          <w:bCs w:val="0"/>
          <w:szCs w:val="24"/>
        </w:rPr>
        <w:t>3</w:t>
      </w:r>
      <w:r w:rsidR="00911FAF" w:rsidRPr="0040535D">
        <w:rPr>
          <w:rFonts w:ascii="Times New Roman" w:hAnsi="Times New Roman" w:cs="Times New Roman"/>
          <w:bCs w:val="0"/>
          <w:szCs w:val="24"/>
        </w:rPr>
        <w:t xml:space="preserve"> </w:t>
      </w:r>
      <w:r w:rsidRPr="0040535D">
        <w:rPr>
          <w:rFonts w:ascii="Times New Roman" w:hAnsi="Times New Roman" w:cs="Times New Roman"/>
          <w:bCs w:val="0"/>
          <w:szCs w:val="24"/>
        </w:rPr>
        <w:t xml:space="preserve">ust. </w:t>
      </w:r>
      <w:r w:rsidR="0056265D" w:rsidRPr="0040535D">
        <w:rPr>
          <w:rFonts w:ascii="Times New Roman" w:hAnsi="Times New Roman" w:cs="Times New Roman"/>
          <w:bCs w:val="0"/>
          <w:szCs w:val="24"/>
        </w:rPr>
        <w:t>6</w:t>
      </w:r>
      <w:r w:rsidRPr="0040535D">
        <w:rPr>
          <w:rFonts w:ascii="Times New Roman" w:hAnsi="Times New Roman" w:cs="Times New Roman"/>
          <w:bCs w:val="0"/>
          <w:szCs w:val="24"/>
        </w:rPr>
        <w:t xml:space="preserve">). Zgodnie z regulacją zawartą w ust. 8, w sytuacji, w której zwrócone środki będą wykorzystywane przez właściwą instytucję albo przez inny podmiot, który nie pełnił funkcji </w:t>
      </w:r>
      <w:r w:rsidRPr="0040535D">
        <w:rPr>
          <w:rFonts w:ascii="Times New Roman" w:hAnsi="Times New Roman" w:cs="Times New Roman"/>
          <w:bCs w:val="0"/>
          <w:szCs w:val="24"/>
        </w:rPr>
        <w:lastRenderedPageBreak/>
        <w:t xml:space="preserve">właściwej instytucji, dysponent otwiera w BGK </w:t>
      </w:r>
      <w:r w:rsidR="008E4E33" w:rsidRPr="0040535D">
        <w:rPr>
          <w:rFonts w:ascii="Times New Roman" w:hAnsi="Times New Roman" w:cs="Times New Roman"/>
          <w:bCs w:val="0"/>
          <w:szCs w:val="24"/>
        </w:rPr>
        <w:t xml:space="preserve">albo w innym banku wybranym na podstawie przepisów o zamówieniach publicznych </w:t>
      </w:r>
      <w:r w:rsidRPr="0040535D">
        <w:rPr>
          <w:rFonts w:ascii="Times New Roman" w:hAnsi="Times New Roman" w:cs="Times New Roman"/>
          <w:bCs w:val="0"/>
          <w:szCs w:val="24"/>
        </w:rPr>
        <w:t>rachunek do obsługi tych środków. Natomiast w sytuacji, w której dalszy obrót środkami zostanie powierzony podmiotowi, który pełnił funkcję właściwej instytucji, środki przechowywane są na rachunku tego podmiotu (oddzielnym rachunku albo wydzielone kodami księgowymi) i nie ma potrzeby ich przekazywania na rachunek BGK</w:t>
      </w:r>
      <w:r w:rsidR="008E4E33" w:rsidRPr="0040535D">
        <w:rPr>
          <w:rFonts w:ascii="Times New Roman" w:hAnsi="Times New Roman" w:cs="Times New Roman"/>
          <w:bCs w:val="0"/>
          <w:szCs w:val="24"/>
        </w:rPr>
        <w:t xml:space="preserve"> albo innego banku</w:t>
      </w:r>
      <w:r w:rsidRPr="0040535D">
        <w:rPr>
          <w:rFonts w:ascii="Times New Roman" w:hAnsi="Times New Roman" w:cs="Times New Roman"/>
          <w:bCs w:val="0"/>
          <w:szCs w:val="24"/>
        </w:rPr>
        <w:t xml:space="preserve"> (ust. 10).</w:t>
      </w:r>
      <w:r w:rsidR="00652293" w:rsidRPr="0040535D">
        <w:rPr>
          <w:rFonts w:ascii="Times New Roman" w:hAnsi="Times New Roman" w:cs="Times New Roman"/>
          <w:bCs w:val="0"/>
          <w:szCs w:val="24"/>
        </w:rPr>
        <w:t xml:space="preserve"> </w:t>
      </w:r>
      <w:r w:rsidR="00652293" w:rsidRPr="0040535D">
        <w:rPr>
          <w:rFonts w:ascii="Times New Roman" w:hAnsi="Times New Roman" w:cs="Times New Roman"/>
          <w:szCs w:val="24"/>
        </w:rPr>
        <w:t xml:space="preserve">Obsługa finansowa rachunku, o którym mowa w ust. 8, jest prowadzona przez BGK </w:t>
      </w:r>
      <w:r w:rsidR="008E4E33" w:rsidRPr="0040535D">
        <w:rPr>
          <w:rFonts w:ascii="Times New Roman" w:hAnsi="Times New Roman" w:cs="Times New Roman"/>
          <w:bCs w:val="0"/>
          <w:szCs w:val="24"/>
        </w:rPr>
        <w:t xml:space="preserve">albo inny bank </w:t>
      </w:r>
      <w:r w:rsidR="00652293" w:rsidRPr="0040535D">
        <w:rPr>
          <w:rFonts w:ascii="Times New Roman" w:hAnsi="Times New Roman" w:cs="Times New Roman"/>
          <w:szCs w:val="24"/>
        </w:rPr>
        <w:t>zgodnie z umową zawartą między dysponentem a BGK</w:t>
      </w:r>
      <w:r w:rsidR="008E4E33" w:rsidRPr="0040535D">
        <w:rPr>
          <w:rFonts w:ascii="Times New Roman" w:hAnsi="Times New Roman" w:cs="Times New Roman"/>
          <w:szCs w:val="24"/>
        </w:rPr>
        <w:t xml:space="preserve"> </w:t>
      </w:r>
      <w:r w:rsidR="008E4E33" w:rsidRPr="0040535D">
        <w:rPr>
          <w:rFonts w:ascii="Times New Roman" w:hAnsi="Times New Roman" w:cs="Times New Roman"/>
          <w:bCs w:val="0"/>
          <w:szCs w:val="24"/>
        </w:rPr>
        <w:t>albo innym bankiem</w:t>
      </w:r>
      <w:r w:rsidR="00652293" w:rsidRPr="0040535D">
        <w:rPr>
          <w:rFonts w:ascii="Times New Roman" w:hAnsi="Times New Roman" w:cs="Times New Roman"/>
          <w:szCs w:val="24"/>
        </w:rPr>
        <w:t xml:space="preserve">, a środki finansowe zgromadzone na tym rachunku są uruchamiane przez BGK </w:t>
      </w:r>
      <w:r w:rsidR="008E4E33" w:rsidRPr="0040535D">
        <w:rPr>
          <w:rFonts w:ascii="Times New Roman" w:hAnsi="Times New Roman" w:cs="Times New Roman"/>
          <w:szCs w:val="24"/>
        </w:rPr>
        <w:t xml:space="preserve">albo inny bank </w:t>
      </w:r>
      <w:r w:rsidR="00652293" w:rsidRPr="0040535D">
        <w:rPr>
          <w:rFonts w:ascii="Times New Roman" w:hAnsi="Times New Roman" w:cs="Times New Roman"/>
          <w:szCs w:val="24"/>
        </w:rPr>
        <w:t>na wniosek dysponenta w celu ich ponownego wykorzystania zgodnie z ust. 4.</w:t>
      </w:r>
    </w:p>
    <w:p w14:paraId="2CCC31CA" w14:textId="77777777" w:rsidR="00555DC0" w:rsidRPr="0040535D" w:rsidRDefault="00555DC0" w:rsidP="009A0EE5">
      <w:pPr>
        <w:spacing w:after="0" w:line="360" w:lineRule="auto"/>
        <w:jc w:val="both"/>
        <w:rPr>
          <w:rFonts w:ascii="Times New Roman" w:hAnsi="Times New Roman"/>
          <w:bCs/>
          <w:sz w:val="24"/>
          <w:szCs w:val="24"/>
        </w:rPr>
      </w:pPr>
    </w:p>
    <w:p w14:paraId="309ED66B" w14:textId="77777777" w:rsidR="00555DC0" w:rsidRPr="0040535D" w:rsidRDefault="00555DC0" w:rsidP="009A0EE5">
      <w:pPr>
        <w:spacing w:after="0" w:line="360" w:lineRule="auto"/>
        <w:jc w:val="both"/>
        <w:rPr>
          <w:rFonts w:ascii="Times New Roman" w:hAnsi="Times New Roman"/>
          <w:b/>
          <w:bCs/>
          <w:sz w:val="24"/>
          <w:szCs w:val="24"/>
        </w:rPr>
      </w:pPr>
      <w:r w:rsidRPr="0040535D">
        <w:rPr>
          <w:rFonts w:ascii="Times New Roman" w:hAnsi="Times New Roman"/>
          <w:b/>
          <w:bCs/>
          <w:sz w:val="24"/>
          <w:szCs w:val="24"/>
        </w:rPr>
        <w:t>Rozdział 1</w:t>
      </w:r>
      <w:r w:rsidR="0090611F" w:rsidRPr="0040535D">
        <w:rPr>
          <w:rFonts w:ascii="Times New Roman" w:hAnsi="Times New Roman"/>
          <w:b/>
          <w:bCs/>
          <w:sz w:val="24"/>
          <w:szCs w:val="24"/>
        </w:rPr>
        <w:t>2</w:t>
      </w:r>
      <w:r w:rsidRPr="0040535D">
        <w:rPr>
          <w:rFonts w:ascii="Times New Roman" w:hAnsi="Times New Roman"/>
          <w:b/>
          <w:bCs/>
          <w:sz w:val="24"/>
          <w:szCs w:val="24"/>
        </w:rPr>
        <w:t>. Szczególne instrumenty realizacji programów.</w:t>
      </w:r>
    </w:p>
    <w:p w14:paraId="58949E03" w14:textId="77777777" w:rsidR="00017D57" w:rsidRPr="0040535D" w:rsidRDefault="00017D57" w:rsidP="009A0EE5">
      <w:pPr>
        <w:spacing w:after="0" w:line="360" w:lineRule="auto"/>
        <w:jc w:val="both"/>
        <w:rPr>
          <w:rFonts w:ascii="Times New Roman" w:hAnsi="Times New Roman"/>
          <w:b/>
          <w:bCs/>
          <w:sz w:val="24"/>
          <w:szCs w:val="24"/>
        </w:rPr>
      </w:pPr>
    </w:p>
    <w:p w14:paraId="587EBC72"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W rozdziale 1</w:t>
      </w:r>
      <w:r w:rsidR="0090611F" w:rsidRPr="0040535D">
        <w:rPr>
          <w:rFonts w:ascii="Times New Roman" w:hAnsi="Times New Roman"/>
          <w:bCs/>
          <w:sz w:val="24"/>
          <w:szCs w:val="24"/>
        </w:rPr>
        <w:t>2</w:t>
      </w:r>
      <w:r w:rsidRPr="0040535D">
        <w:rPr>
          <w:rFonts w:ascii="Times New Roman" w:hAnsi="Times New Roman"/>
          <w:bCs/>
          <w:sz w:val="24"/>
          <w:szCs w:val="24"/>
        </w:rPr>
        <w:t xml:space="preserve"> (art. </w:t>
      </w:r>
      <w:r w:rsidR="00911FAF" w:rsidRPr="0040535D">
        <w:rPr>
          <w:rFonts w:ascii="Times New Roman" w:hAnsi="Times New Roman"/>
          <w:bCs/>
          <w:sz w:val="24"/>
          <w:szCs w:val="24"/>
        </w:rPr>
        <w:t>3</w:t>
      </w:r>
      <w:r w:rsidR="0090611F" w:rsidRPr="0040535D">
        <w:rPr>
          <w:rFonts w:ascii="Times New Roman" w:hAnsi="Times New Roman"/>
          <w:bCs/>
          <w:sz w:val="24"/>
          <w:szCs w:val="24"/>
        </w:rPr>
        <w:t>4</w:t>
      </w:r>
      <w:r w:rsidRPr="0040535D">
        <w:rPr>
          <w:rFonts w:ascii="Times New Roman" w:hAnsi="Times New Roman"/>
          <w:bCs/>
          <w:sz w:val="24"/>
          <w:szCs w:val="24"/>
        </w:rPr>
        <w:t>-</w:t>
      </w:r>
      <w:r w:rsidR="00911FAF" w:rsidRPr="0040535D">
        <w:rPr>
          <w:rFonts w:ascii="Times New Roman" w:hAnsi="Times New Roman"/>
          <w:bCs/>
          <w:sz w:val="24"/>
          <w:szCs w:val="24"/>
        </w:rPr>
        <w:t>3</w:t>
      </w:r>
      <w:r w:rsidR="0090611F" w:rsidRPr="0040535D">
        <w:rPr>
          <w:rFonts w:ascii="Times New Roman" w:hAnsi="Times New Roman"/>
          <w:bCs/>
          <w:sz w:val="24"/>
          <w:szCs w:val="24"/>
        </w:rPr>
        <w:t>7</w:t>
      </w:r>
      <w:r w:rsidRPr="0040535D">
        <w:rPr>
          <w:rFonts w:ascii="Times New Roman" w:hAnsi="Times New Roman"/>
          <w:bCs/>
          <w:sz w:val="24"/>
          <w:szCs w:val="24"/>
        </w:rPr>
        <w:t>) uregulowano kwestie dotyczące szczególnych instrumentów realizacji programów, tj. Zintegrowanych Inwestycji Terytorialnych (ZIT),</w:t>
      </w:r>
      <w:r w:rsidRPr="0040535D">
        <w:rPr>
          <w:rFonts w:ascii="Times New Roman" w:hAnsi="Times New Roman"/>
          <w:sz w:val="24"/>
          <w:szCs w:val="24"/>
        </w:rPr>
        <w:t xml:space="preserve"> </w:t>
      </w:r>
      <w:r w:rsidRPr="0040535D">
        <w:rPr>
          <w:rFonts w:ascii="Times New Roman" w:hAnsi="Times New Roman"/>
          <w:bCs/>
          <w:sz w:val="24"/>
          <w:szCs w:val="24"/>
        </w:rPr>
        <w:t>Rozwoju Lokalnego Kierowanego przez Społeczność (RLKS) oraz tzw. innych instrumentów terytorialnych (IIT).</w:t>
      </w:r>
    </w:p>
    <w:p w14:paraId="111035B6"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ZIT </w:t>
      </w:r>
      <w:r w:rsidRPr="0040535D">
        <w:rPr>
          <w:rFonts w:ascii="Times New Roman" w:hAnsi="Times New Roman"/>
          <w:b/>
          <w:bCs/>
          <w:sz w:val="24"/>
          <w:szCs w:val="24"/>
        </w:rPr>
        <w:t xml:space="preserve">(art. </w:t>
      </w:r>
      <w:r w:rsidR="00911FAF" w:rsidRPr="0040535D">
        <w:rPr>
          <w:rFonts w:ascii="Times New Roman" w:hAnsi="Times New Roman"/>
          <w:b/>
          <w:bCs/>
          <w:sz w:val="24"/>
          <w:szCs w:val="24"/>
        </w:rPr>
        <w:t>3</w:t>
      </w:r>
      <w:r w:rsidR="0090611F" w:rsidRPr="0040535D">
        <w:rPr>
          <w:rFonts w:ascii="Times New Roman" w:hAnsi="Times New Roman"/>
          <w:b/>
          <w:bCs/>
          <w:sz w:val="24"/>
          <w:szCs w:val="24"/>
        </w:rPr>
        <w:t>4</w:t>
      </w:r>
      <w:r w:rsidRPr="0040535D">
        <w:rPr>
          <w:rFonts w:ascii="Times New Roman" w:hAnsi="Times New Roman"/>
          <w:b/>
          <w:bCs/>
          <w:sz w:val="24"/>
          <w:szCs w:val="24"/>
        </w:rPr>
        <w:t>)</w:t>
      </w:r>
      <w:r w:rsidRPr="0040535D">
        <w:rPr>
          <w:rFonts w:ascii="Times New Roman" w:hAnsi="Times New Roman"/>
          <w:bCs/>
          <w:sz w:val="24"/>
          <w:szCs w:val="24"/>
        </w:rPr>
        <w:t xml:space="preserve"> jest instrumentem wspierającym rozwój terytorialny wprowadzonym przez Komisję Europejską w perspektywie finansowej UE na lata 2014-2020, który został ściśle powiązany z wyznaczonym</w:t>
      </w:r>
      <w:r w:rsidR="00AF6F91" w:rsidRPr="0040535D">
        <w:rPr>
          <w:rFonts w:ascii="Times New Roman" w:hAnsi="Times New Roman"/>
          <w:bCs/>
          <w:sz w:val="24"/>
          <w:szCs w:val="24"/>
        </w:rPr>
        <w:t>,</w:t>
      </w:r>
      <w:r w:rsidRPr="0040535D">
        <w:rPr>
          <w:rFonts w:ascii="Times New Roman" w:hAnsi="Times New Roman"/>
          <w:bCs/>
          <w:sz w:val="24"/>
          <w:szCs w:val="24"/>
        </w:rPr>
        <w:t xml:space="preserve"> obligatoryjnym przekazaniem minimum 5% alokacji środków dedykowanych Państwu Członkowskiemu w ramach Europejskiego Funduszu Rozwoju Regionalnego (EFRR) na działania służące rozwiązywaniu problemów gospodarczych, środowiskowych, klimatycznych, demograficznych i społecznych, których doświadczają obszary miejskie, jako jedna z trzech możliwych opcji wdrażania tej dedykowanej alokacji (obok dedykowanego programu lub priorytetów w danym programie.</w:t>
      </w:r>
    </w:p>
    <w:p w14:paraId="35E947DB"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Polska zdecydowała o wsparciu rozwoju obszarów miejskich poprzez wdrożenie ZIT, na których realizację przekazano kwotę zdecydowanie przewyższająca obligatoryjne 5% środków z EFRR, a dodatkowo objęto nią środki EFS, tworząc największy mechanizm wsparcia rozwoju obszarów miejskich o łącznej wartości przekraczającej 6 mld euro. ZIT został ukierunkowany na miejskie obszary funkcjonalne (dalej: MOF) i był realizowany obowiązkowo na terenie miast wojewódzkich i obszarów powiązanych z nimi funkcjonalnie oraz fakultatywnie, na terenie pozostałych miast i obszarów powiązanych z nimi funkcjonalnie, wskazanych przez właściwe samorządy województw.</w:t>
      </w:r>
    </w:p>
    <w:p w14:paraId="51767400"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lastRenderedPageBreak/>
        <w:t>Korzystając z pozytywnych doświadczeń z realizacji ZIT w perspektywie finansowej UE na lata 2014-2020, oraz w związku z art.</w:t>
      </w:r>
      <w:r w:rsidR="005A5F8B" w:rsidRPr="0040535D">
        <w:rPr>
          <w:rFonts w:ascii="Times New Roman" w:hAnsi="Times New Roman"/>
          <w:bCs/>
          <w:sz w:val="24"/>
          <w:szCs w:val="24"/>
        </w:rPr>
        <w:t xml:space="preserve"> </w:t>
      </w:r>
      <w:r w:rsidR="000B019D" w:rsidRPr="0040535D">
        <w:rPr>
          <w:rFonts w:ascii="Times New Roman" w:hAnsi="Times New Roman"/>
          <w:bCs/>
          <w:sz w:val="24"/>
          <w:szCs w:val="24"/>
        </w:rPr>
        <w:t xml:space="preserve">11 </w:t>
      </w:r>
      <w:r w:rsidRPr="0040535D">
        <w:rPr>
          <w:rFonts w:ascii="Times New Roman" w:hAnsi="Times New Roman"/>
          <w:bCs/>
          <w:sz w:val="24"/>
          <w:szCs w:val="24"/>
        </w:rPr>
        <w:t>rozporządzenia EFRR</w:t>
      </w:r>
      <w:r w:rsidR="002C0696" w:rsidRPr="0040535D">
        <w:rPr>
          <w:rFonts w:ascii="Times New Roman" w:hAnsi="Times New Roman"/>
          <w:bCs/>
          <w:sz w:val="24"/>
          <w:szCs w:val="24"/>
        </w:rPr>
        <w:t xml:space="preserve"> i Funduszu Spójności</w:t>
      </w:r>
      <w:r w:rsidRPr="0040535D">
        <w:rPr>
          <w:rFonts w:ascii="Times New Roman" w:hAnsi="Times New Roman"/>
          <w:bCs/>
          <w:sz w:val="24"/>
          <w:szCs w:val="24"/>
        </w:rPr>
        <w:t xml:space="preserve">, w którym zobligowano </w:t>
      </w:r>
      <w:r w:rsidR="001C5ED2" w:rsidRPr="0040535D">
        <w:rPr>
          <w:rFonts w:ascii="Times New Roman" w:hAnsi="Times New Roman"/>
          <w:bCs/>
          <w:sz w:val="24"/>
          <w:szCs w:val="24"/>
        </w:rPr>
        <w:t xml:space="preserve">państwa </w:t>
      </w:r>
      <w:r w:rsidRPr="0040535D">
        <w:rPr>
          <w:rFonts w:ascii="Times New Roman" w:hAnsi="Times New Roman"/>
          <w:bCs/>
          <w:sz w:val="24"/>
          <w:szCs w:val="24"/>
        </w:rPr>
        <w:t xml:space="preserve">członkowskie do przekazania minimum </w:t>
      </w:r>
      <w:r w:rsidR="00680D59" w:rsidRPr="0040535D">
        <w:rPr>
          <w:rFonts w:ascii="Times New Roman" w:hAnsi="Times New Roman"/>
          <w:bCs/>
          <w:sz w:val="24"/>
          <w:szCs w:val="24"/>
        </w:rPr>
        <w:t>8</w:t>
      </w:r>
      <w:r w:rsidRPr="0040535D">
        <w:rPr>
          <w:rFonts w:ascii="Times New Roman" w:hAnsi="Times New Roman"/>
          <w:bCs/>
          <w:sz w:val="24"/>
          <w:szCs w:val="24"/>
        </w:rPr>
        <w:t xml:space="preserve">% alokacji środków dedykowanych w ramach EFRR na zrównoważony rozwój obszarów miejskich z wykorzystaniem instrumentów terytorialnych, zdecydowano o kontynuowaniu w perspektywie finansowej UE na lata 2021-2027 wsparcia rozwoju </w:t>
      </w:r>
      <w:r w:rsidR="00DA695F" w:rsidRPr="0040535D">
        <w:rPr>
          <w:rFonts w:ascii="Times New Roman" w:hAnsi="Times New Roman"/>
          <w:bCs/>
          <w:sz w:val="24"/>
          <w:szCs w:val="24"/>
        </w:rPr>
        <w:t>MOF</w:t>
      </w:r>
      <w:r w:rsidRPr="0040535D">
        <w:rPr>
          <w:rFonts w:ascii="Times New Roman" w:hAnsi="Times New Roman"/>
          <w:bCs/>
          <w:sz w:val="24"/>
          <w:szCs w:val="24"/>
        </w:rPr>
        <w:t xml:space="preserve"> przy wykorzystaniu ZIT, jednakże nie koncentrując się wyłącznie na miejskich obszarach funkcjonalnych ośrodków wojewódzkich jak w perspektywie 2014-2020 lecz rozszerzając go na inne typy ośrodków miejskich i ich obszarów funkcjonalnych, przede wszystkim na miasta średnie tracące funkcje społeczno-gospodarcze, wskazane w Krajowej Strategii Rozwoju Regionalnego 2030 jako jeden z obszarów strategicznej interwencji o znaczeniu krajowym.</w:t>
      </w:r>
    </w:p>
    <w:p w14:paraId="484CFCDD"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ZIT jest instrumentem rozwoju terytorialnego, o którym szczegółowo mowa w art. </w:t>
      </w:r>
      <w:r w:rsidR="000B019D" w:rsidRPr="0040535D">
        <w:rPr>
          <w:rFonts w:ascii="Times New Roman" w:hAnsi="Times New Roman"/>
          <w:bCs/>
          <w:sz w:val="24"/>
          <w:szCs w:val="24"/>
        </w:rPr>
        <w:t>28-30</w:t>
      </w:r>
      <w:r w:rsidRPr="0040535D">
        <w:rPr>
          <w:rFonts w:ascii="Times New Roman" w:hAnsi="Times New Roman"/>
          <w:bCs/>
          <w:sz w:val="24"/>
          <w:szCs w:val="24"/>
        </w:rPr>
        <w:t xml:space="preserve"> rozporządzenia ogólnego, dedykowanym miejskim obszarom funkcjonalnym, które zostaną uprzednio wskazane w strategii rozwoju województwa, o której mowa z w art. 11 ust. 1 ustawy z dnia 5 czerwca 1998 r. o samorządzie województwa</w:t>
      </w:r>
      <w:r w:rsidR="00021220" w:rsidRPr="0040535D">
        <w:rPr>
          <w:rFonts w:ascii="Times New Roman" w:hAnsi="Times New Roman"/>
          <w:bCs/>
          <w:sz w:val="24"/>
          <w:szCs w:val="24"/>
        </w:rPr>
        <w:t xml:space="preserve"> (Dz. U. z 2020 r. poz. 1668</w:t>
      </w:r>
      <w:r w:rsidR="002C250C" w:rsidRPr="0040535D">
        <w:rPr>
          <w:rFonts w:ascii="Times New Roman" w:hAnsi="Times New Roman"/>
          <w:bCs/>
          <w:sz w:val="24"/>
          <w:szCs w:val="24"/>
        </w:rPr>
        <w:t xml:space="preserve">, z </w:t>
      </w:r>
      <w:proofErr w:type="spellStart"/>
      <w:r w:rsidR="002C250C" w:rsidRPr="0040535D">
        <w:rPr>
          <w:rFonts w:ascii="Times New Roman" w:hAnsi="Times New Roman"/>
          <w:bCs/>
          <w:sz w:val="24"/>
          <w:szCs w:val="24"/>
        </w:rPr>
        <w:t>późn</w:t>
      </w:r>
      <w:proofErr w:type="spellEnd"/>
      <w:r w:rsidR="002C250C" w:rsidRPr="0040535D">
        <w:rPr>
          <w:rFonts w:ascii="Times New Roman" w:hAnsi="Times New Roman"/>
          <w:bCs/>
          <w:sz w:val="24"/>
          <w:szCs w:val="24"/>
        </w:rPr>
        <w:t>. zm.</w:t>
      </w:r>
      <w:r w:rsidR="00021220" w:rsidRPr="0040535D">
        <w:rPr>
          <w:rFonts w:ascii="Times New Roman" w:hAnsi="Times New Roman"/>
          <w:bCs/>
          <w:sz w:val="24"/>
          <w:szCs w:val="24"/>
        </w:rPr>
        <w:t>)</w:t>
      </w:r>
      <w:r w:rsidRPr="0040535D">
        <w:rPr>
          <w:rFonts w:ascii="Times New Roman" w:hAnsi="Times New Roman"/>
          <w:bCs/>
          <w:sz w:val="24"/>
          <w:szCs w:val="24"/>
        </w:rPr>
        <w:t>, jako jeden z typów obligatoryjnie wyznaczanych w niej obszarów strategicznej interwencji (</w:t>
      </w:r>
      <w:r w:rsidR="002C250C" w:rsidRPr="0040535D">
        <w:rPr>
          <w:rFonts w:ascii="Times New Roman" w:hAnsi="Times New Roman"/>
          <w:bCs/>
          <w:sz w:val="24"/>
          <w:szCs w:val="24"/>
        </w:rPr>
        <w:t>art. 3</w:t>
      </w:r>
      <w:r w:rsidR="0090611F" w:rsidRPr="0040535D">
        <w:rPr>
          <w:rFonts w:ascii="Times New Roman" w:hAnsi="Times New Roman"/>
          <w:bCs/>
          <w:sz w:val="24"/>
          <w:szCs w:val="24"/>
        </w:rPr>
        <w:t>4</w:t>
      </w:r>
      <w:r w:rsidR="002C250C" w:rsidRPr="0040535D">
        <w:rPr>
          <w:rFonts w:ascii="Times New Roman" w:hAnsi="Times New Roman"/>
          <w:bCs/>
          <w:sz w:val="24"/>
          <w:szCs w:val="24"/>
        </w:rPr>
        <w:t xml:space="preserve"> </w:t>
      </w:r>
      <w:r w:rsidRPr="0040535D">
        <w:rPr>
          <w:rFonts w:ascii="Times New Roman" w:hAnsi="Times New Roman"/>
          <w:bCs/>
          <w:sz w:val="24"/>
          <w:szCs w:val="24"/>
        </w:rPr>
        <w:t>ust. 2</w:t>
      </w:r>
      <w:r w:rsidR="00276399" w:rsidRPr="0040535D">
        <w:rPr>
          <w:rFonts w:ascii="Times New Roman" w:hAnsi="Times New Roman"/>
          <w:bCs/>
          <w:sz w:val="24"/>
          <w:szCs w:val="24"/>
        </w:rPr>
        <w:t xml:space="preserve"> </w:t>
      </w:r>
      <w:r w:rsidR="002C250C" w:rsidRPr="0040535D">
        <w:rPr>
          <w:rFonts w:ascii="Times New Roman" w:hAnsi="Times New Roman"/>
          <w:bCs/>
          <w:sz w:val="24"/>
          <w:szCs w:val="24"/>
        </w:rPr>
        <w:t xml:space="preserve">i </w:t>
      </w:r>
      <w:r w:rsidRPr="0040535D">
        <w:rPr>
          <w:rFonts w:ascii="Times New Roman" w:hAnsi="Times New Roman"/>
          <w:bCs/>
          <w:sz w:val="24"/>
          <w:szCs w:val="24"/>
        </w:rPr>
        <w:t>3).</w:t>
      </w:r>
    </w:p>
    <w:p w14:paraId="4C8D9475" w14:textId="77777777" w:rsidR="00555DC0" w:rsidRPr="0040535D" w:rsidRDefault="00902FEC"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Zakres tematyczny instrumentu ZIT jest wskazywany we właściwych programach, regionalnych lub krajowych, w których przewidziano wsparcie dla realizacji ZIT (art. 34 ust. 4). </w:t>
      </w:r>
      <w:r w:rsidR="00555DC0" w:rsidRPr="0040535D">
        <w:rPr>
          <w:rFonts w:ascii="Times New Roman" w:hAnsi="Times New Roman"/>
          <w:bCs/>
          <w:sz w:val="24"/>
          <w:szCs w:val="24"/>
        </w:rPr>
        <w:t xml:space="preserve">W </w:t>
      </w:r>
      <w:r w:rsidR="00D76CE0" w:rsidRPr="0040535D">
        <w:rPr>
          <w:rFonts w:ascii="Times New Roman" w:hAnsi="Times New Roman"/>
          <w:bCs/>
          <w:sz w:val="24"/>
          <w:szCs w:val="24"/>
        </w:rPr>
        <w:t xml:space="preserve">umowie partnerstwa </w:t>
      </w:r>
      <w:r w:rsidR="00555DC0" w:rsidRPr="0040535D">
        <w:rPr>
          <w:rFonts w:ascii="Times New Roman" w:hAnsi="Times New Roman"/>
          <w:bCs/>
          <w:sz w:val="24"/>
          <w:szCs w:val="24"/>
        </w:rPr>
        <w:t xml:space="preserve">na lata 2021-2027 wskazane zostaną obszary tematyczne, które </w:t>
      </w:r>
      <w:r w:rsidRPr="0040535D">
        <w:rPr>
          <w:rFonts w:ascii="Times New Roman" w:hAnsi="Times New Roman"/>
          <w:bCs/>
          <w:sz w:val="24"/>
          <w:szCs w:val="24"/>
        </w:rPr>
        <w:t>w opinii ministra właściwego d</w:t>
      </w:r>
      <w:r w:rsidR="007C3B13" w:rsidRPr="0040535D">
        <w:rPr>
          <w:rFonts w:ascii="Times New Roman" w:hAnsi="Times New Roman"/>
          <w:bCs/>
          <w:sz w:val="24"/>
          <w:szCs w:val="24"/>
        </w:rPr>
        <w:t>o spraw</w:t>
      </w:r>
      <w:r w:rsidRPr="0040535D">
        <w:rPr>
          <w:rFonts w:ascii="Times New Roman" w:hAnsi="Times New Roman"/>
          <w:bCs/>
          <w:sz w:val="24"/>
          <w:szCs w:val="24"/>
        </w:rPr>
        <w:t xml:space="preserve"> rozwoju regionalnego mogą być </w:t>
      </w:r>
      <w:r w:rsidR="00555DC0" w:rsidRPr="0040535D">
        <w:rPr>
          <w:rFonts w:ascii="Times New Roman" w:hAnsi="Times New Roman"/>
          <w:bCs/>
          <w:sz w:val="24"/>
          <w:szCs w:val="24"/>
        </w:rPr>
        <w:t xml:space="preserve">w szczególności predestynowane do </w:t>
      </w:r>
      <w:r w:rsidR="000B019D" w:rsidRPr="0040535D">
        <w:rPr>
          <w:rFonts w:ascii="Times New Roman" w:hAnsi="Times New Roman"/>
          <w:bCs/>
          <w:sz w:val="24"/>
          <w:szCs w:val="24"/>
        </w:rPr>
        <w:t xml:space="preserve">wdrażania </w:t>
      </w:r>
      <w:r w:rsidR="00555DC0" w:rsidRPr="0040535D">
        <w:rPr>
          <w:rFonts w:ascii="Times New Roman" w:hAnsi="Times New Roman"/>
          <w:bCs/>
          <w:sz w:val="24"/>
          <w:szCs w:val="24"/>
        </w:rPr>
        <w:t>w ramach ZIT.</w:t>
      </w:r>
      <w:r w:rsidR="000B019D" w:rsidRPr="0040535D">
        <w:rPr>
          <w:rFonts w:ascii="Times New Roman" w:hAnsi="Times New Roman"/>
          <w:bCs/>
          <w:sz w:val="24"/>
          <w:szCs w:val="24"/>
        </w:rPr>
        <w:t xml:space="preserve"> Nie jest to równocześnie katalog zamknięty i może zostać decyzją właściwej </w:t>
      </w:r>
      <w:r w:rsidR="005B172D" w:rsidRPr="0040535D">
        <w:rPr>
          <w:rFonts w:ascii="Times New Roman" w:hAnsi="Times New Roman"/>
          <w:bCs/>
          <w:sz w:val="24"/>
          <w:szCs w:val="24"/>
        </w:rPr>
        <w:t>instytucji zarządzającej</w:t>
      </w:r>
      <w:r w:rsidRPr="0040535D">
        <w:rPr>
          <w:rFonts w:ascii="Times New Roman" w:hAnsi="Times New Roman"/>
          <w:bCs/>
          <w:sz w:val="24"/>
          <w:szCs w:val="24"/>
        </w:rPr>
        <w:t>,</w:t>
      </w:r>
      <w:r w:rsidR="005B172D" w:rsidRPr="0040535D">
        <w:rPr>
          <w:rFonts w:ascii="Times New Roman" w:hAnsi="Times New Roman"/>
          <w:bCs/>
          <w:sz w:val="24"/>
          <w:szCs w:val="24"/>
        </w:rPr>
        <w:t xml:space="preserve"> </w:t>
      </w:r>
      <w:r w:rsidRPr="0040535D">
        <w:rPr>
          <w:rFonts w:ascii="Times New Roman" w:hAnsi="Times New Roman"/>
          <w:bCs/>
          <w:sz w:val="24"/>
          <w:szCs w:val="24"/>
        </w:rPr>
        <w:t xml:space="preserve">po konsultacji ze Związkiem ZIT, </w:t>
      </w:r>
      <w:r w:rsidR="000B019D" w:rsidRPr="0040535D">
        <w:rPr>
          <w:rFonts w:ascii="Times New Roman" w:hAnsi="Times New Roman"/>
          <w:bCs/>
          <w:sz w:val="24"/>
          <w:szCs w:val="24"/>
        </w:rPr>
        <w:t>rozszerzony o interwencję z innych obszarów tematycznych.</w:t>
      </w:r>
    </w:p>
    <w:p w14:paraId="6E85351A"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Podobnie jak w perspektywie 2014-2020 ZIT są zarządzane przez związek ZIT, utworzony w formach współpracy jednostek samorządu terytorialnego, o których mowa w ustawie z dnia 8 marca 1990 r. o samorządzie gminnym (Dz. U. </w:t>
      </w:r>
      <w:r w:rsidR="0085784C" w:rsidRPr="00DE4413">
        <w:rPr>
          <w:rFonts w:ascii="Times New Roman" w:hAnsi="Times New Roman"/>
        </w:rPr>
        <w:t>z 2021 r. poz. 1372</w:t>
      </w:r>
      <w:r w:rsidR="0085784C">
        <w:rPr>
          <w:rFonts w:ascii="Times New Roman" w:hAnsi="Times New Roman"/>
        </w:rPr>
        <w:t xml:space="preserve"> , </w:t>
      </w:r>
      <w:r w:rsidR="00D76CE0" w:rsidRPr="0040535D">
        <w:rPr>
          <w:rStyle w:val="Ppogrubienie"/>
          <w:rFonts w:ascii="Times New Roman" w:hAnsi="Times New Roman"/>
          <w:b w:val="0"/>
          <w:sz w:val="24"/>
          <w:szCs w:val="24"/>
        </w:rPr>
        <w:t xml:space="preserve">z </w:t>
      </w:r>
      <w:proofErr w:type="spellStart"/>
      <w:r w:rsidR="00D76CE0" w:rsidRPr="0040535D">
        <w:rPr>
          <w:rStyle w:val="Ppogrubienie"/>
          <w:rFonts w:ascii="Times New Roman" w:hAnsi="Times New Roman"/>
          <w:b w:val="0"/>
          <w:sz w:val="24"/>
          <w:szCs w:val="24"/>
        </w:rPr>
        <w:t>późn</w:t>
      </w:r>
      <w:proofErr w:type="spellEnd"/>
      <w:r w:rsidR="002708B2" w:rsidRPr="0040535D">
        <w:rPr>
          <w:rStyle w:val="Ppogrubienie"/>
          <w:rFonts w:ascii="Times New Roman" w:hAnsi="Times New Roman"/>
          <w:b w:val="0"/>
          <w:sz w:val="24"/>
          <w:szCs w:val="24"/>
        </w:rPr>
        <w:t>.</w:t>
      </w:r>
      <w:r w:rsidR="00D76CE0" w:rsidRPr="0040535D">
        <w:rPr>
          <w:rStyle w:val="Ppogrubienie"/>
          <w:rFonts w:ascii="Times New Roman" w:hAnsi="Times New Roman"/>
          <w:b w:val="0"/>
          <w:sz w:val="24"/>
          <w:szCs w:val="24"/>
        </w:rPr>
        <w:t xml:space="preserve"> zm.</w:t>
      </w:r>
      <w:r w:rsidRPr="0040535D">
        <w:rPr>
          <w:rFonts w:ascii="Times New Roman" w:hAnsi="Times New Roman"/>
          <w:bCs/>
          <w:sz w:val="24"/>
          <w:szCs w:val="24"/>
        </w:rPr>
        <w:t xml:space="preserve">), powołany na podstawie przepisów o związkach i porozumieniach międzygminnych lub stowarzyszeniach gminnych oraz, w związku z powołaniem pierwszego w Polsce związku metropolitalnego, na podstawie przepisów ustawy z dnia 9 marca 2017 r. o związku metropolitalnym w województwie śląskim (Dz.U. </w:t>
      </w:r>
      <w:r w:rsidR="0085784C" w:rsidRPr="007C05B9">
        <w:rPr>
          <w:rFonts w:ascii="Times New Roman" w:hAnsi="Times New Roman"/>
        </w:rPr>
        <w:t>z 2021 r. poz. 1277</w:t>
      </w:r>
      <w:r w:rsidR="00D76CE0" w:rsidRPr="0040535D">
        <w:rPr>
          <w:rFonts w:ascii="Times New Roman" w:hAnsi="Times New Roman"/>
          <w:bCs/>
          <w:sz w:val="24"/>
          <w:szCs w:val="24"/>
        </w:rPr>
        <w:t>, z</w:t>
      </w:r>
      <w:r w:rsidR="00EA44F4" w:rsidRPr="0040535D">
        <w:rPr>
          <w:rFonts w:ascii="Times New Roman" w:hAnsi="Times New Roman"/>
          <w:bCs/>
          <w:sz w:val="24"/>
          <w:szCs w:val="24"/>
        </w:rPr>
        <w:t xml:space="preserve"> </w:t>
      </w:r>
      <w:proofErr w:type="spellStart"/>
      <w:r w:rsidR="00D76CE0" w:rsidRPr="0040535D">
        <w:rPr>
          <w:rFonts w:ascii="Times New Roman" w:hAnsi="Times New Roman"/>
          <w:bCs/>
          <w:sz w:val="24"/>
          <w:szCs w:val="24"/>
        </w:rPr>
        <w:t>późn</w:t>
      </w:r>
      <w:proofErr w:type="spellEnd"/>
      <w:r w:rsidR="002708B2" w:rsidRPr="0040535D">
        <w:rPr>
          <w:rFonts w:ascii="Times New Roman" w:hAnsi="Times New Roman"/>
          <w:bCs/>
          <w:sz w:val="24"/>
          <w:szCs w:val="24"/>
        </w:rPr>
        <w:t>.</w:t>
      </w:r>
      <w:r w:rsidR="00D76CE0" w:rsidRPr="0040535D">
        <w:rPr>
          <w:rFonts w:ascii="Times New Roman" w:hAnsi="Times New Roman"/>
          <w:bCs/>
          <w:sz w:val="24"/>
          <w:szCs w:val="24"/>
        </w:rPr>
        <w:t xml:space="preserve"> zm.</w:t>
      </w:r>
      <w:r w:rsidRPr="0040535D">
        <w:rPr>
          <w:rFonts w:ascii="Times New Roman" w:hAnsi="Times New Roman"/>
          <w:bCs/>
          <w:sz w:val="24"/>
          <w:szCs w:val="24"/>
        </w:rPr>
        <w:t>) (</w:t>
      </w:r>
      <w:r w:rsidR="002C250C" w:rsidRPr="0040535D">
        <w:rPr>
          <w:rFonts w:ascii="Times New Roman" w:hAnsi="Times New Roman"/>
          <w:bCs/>
          <w:sz w:val="24"/>
          <w:szCs w:val="24"/>
        </w:rPr>
        <w:t>art. 3</w:t>
      </w:r>
      <w:r w:rsidR="0090611F" w:rsidRPr="0040535D">
        <w:rPr>
          <w:rFonts w:ascii="Times New Roman" w:hAnsi="Times New Roman"/>
          <w:bCs/>
          <w:sz w:val="24"/>
          <w:szCs w:val="24"/>
        </w:rPr>
        <w:t>4</w:t>
      </w:r>
      <w:r w:rsidR="002C250C" w:rsidRPr="0040535D">
        <w:rPr>
          <w:rFonts w:ascii="Times New Roman" w:hAnsi="Times New Roman"/>
          <w:bCs/>
          <w:sz w:val="24"/>
          <w:szCs w:val="24"/>
        </w:rPr>
        <w:t xml:space="preserve"> </w:t>
      </w:r>
      <w:r w:rsidRPr="0040535D">
        <w:rPr>
          <w:rFonts w:ascii="Times New Roman" w:hAnsi="Times New Roman"/>
          <w:bCs/>
          <w:sz w:val="24"/>
          <w:szCs w:val="24"/>
        </w:rPr>
        <w:t>ust. 5).</w:t>
      </w:r>
      <w:r w:rsidR="000B019D" w:rsidRPr="0040535D">
        <w:rPr>
          <w:rFonts w:ascii="Times New Roman" w:hAnsi="Times New Roman"/>
          <w:bCs/>
          <w:sz w:val="24"/>
          <w:szCs w:val="24"/>
        </w:rPr>
        <w:t xml:space="preserve"> </w:t>
      </w:r>
      <w:r w:rsidR="00055606" w:rsidRPr="0040535D">
        <w:rPr>
          <w:rFonts w:ascii="Times New Roman" w:hAnsi="Times New Roman"/>
          <w:bCs/>
          <w:sz w:val="24"/>
          <w:szCs w:val="24"/>
        </w:rPr>
        <w:t xml:space="preserve">W przypadku udziału w związku ZIT powiatu zastosowanie znajdą właściwe przepisy art. ustawy z dnia 5 czerwca 1998 r. o samorządzie powiatowym (Dz. U. z 2020 r. poz. 920, z </w:t>
      </w:r>
      <w:proofErr w:type="spellStart"/>
      <w:r w:rsidR="0085784C">
        <w:rPr>
          <w:rFonts w:ascii="Times New Roman" w:hAnsi="Times New Roman"/>
          <w:bCs/>
          <w:sz w:val="24"/>
          <w:szCs w:val="24"/>
        </w:rPr>
        <w:t>późn</w:t>
      </w:r>
      <w:proofErr w:type="spellEnd"/>
      <w:r w:rsidR="0085784C">
        <w:rPr>
          <w:rFonts w:ascii="Times New Roman" w:hAnsi="Times New Roman"/>
          <w:bCs/>
          <w:sz w:val="24"/>
          <w:szCs w:val="24"/>
        </w:rPr>
        <w:t>. zm.</w:t>
      </w:r>
      <w:r w:rsidR="00055606" w:rsidRPr="0040535D">
        <w:rPr>
          <w:rFonts w:ascii="Times New Roman" w:hAnsi="Times New Roman"/>
          <w:bCs/>
          <w:sz w:val="24"/>
          <w:szCs w:val="24"/>
        </w:rPr>
        <w:t>)</w:t>
      </w:r>
    </w:p>
    <w:p w14:paraId="0753162B" w14:textId="77777777" w:rsidR="001E47D7"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lastRenderedPageBreak/>
        <w:t xml:space="preserve">Art. </w:t>
      </w:r>
      <w:r w:rsidR="00402B24" w:rsidRPr="0040535D">
        <w:rPr>
          <w:rFonts w:ascii="Times New Roman" w:hAnsi="Times New Roman"/>
          <w:bCs/>
          <w:sz w:val="24"/>
          <w:szCs w:val="24"/>
        </w:rPr>
        <w:t>3</w:t>
      </w:r>
      <w:r w:rsidR="00AC2501" w:rsidRPr="0040535D">
        <w:rPr>
          <w:rFonts w:ascii="Times New Roman" w:hAnsi="Times New Roman"/>
          <w:bCs/>
          <w:sz w:val="24"/>
          <w:szCs w:val="24"/>
        </w:rPr>
        <w:t>4</w:t>
      </w:r>
      <w:r w:rsidR="00402B24" w:rsidRPr="0040535D">
        <w:rPr>
          <w:rFonts w:ascii="Times New Roman" w:hAnsi="Times New Roman"/>
          <w:bCs/>
          <w:sz w:val="24"/>
          <w:szCs w:val="24"/>
        </w:rPr>
        <w:t xml:space="preserve"> </w:t>
      </w:r>
      <w:r w:rsidRPr="0040535D">
        <w:rPr>
          <w:rFonts w:ascii="Times New Roman" w:hAnsi="Times New Roman"/>
          <w:bCs/>
          <w:sz w:val="24"/>
          <w:szCs w:val="24"/>
        </w:rPr>
        <w:t xml:space="preserve">ust. 6 określa warunki niezbędnie dla otrzymania dofinansowania na realizację ZIT, do których należą: powołanie związku ZIT, opracowanie i </w:t>
      </w:r>
      <w:r w:rsidR="001E47D7" w:rsidRPr="0040535D">
        <w:rPr>
          <w:rFonts w:ascii="Times New Roman" w:hAnsi="Times New Roman"/>
          <w:bCs/>
          <w:sz w:val="24"/>
          <w:szCs w:val="24"/>
        </w:rPr>
        <w:t>uchwalenie</w:t>
      </w:r>
      <w:r w:rsidR="001E47D7" w:rsidRPr="0040535D">
        <w:rPr>
          <w:rFonts w:ascii="Times New Roman" w:hAnsi="Times New Roman"/>
          <w:sz w:val="24"/>
          <w:szCs w:val="24"/>
        </w:rPr>
        <w:t xml:space="preserve"> </w:t>
      </w:r>
      <w:r w:rsidRPr="0040535D">
        <w:rPr>
          <w:rFonts w:ascii="Times New Roman" w:hAnsi="Times New Roman"/>
          <w:sz w:val="24"/>
          <w:szCs w:val="24"/>
        </w:rPr>
        <w:t xml:space="preserve">przez związek ZIT </w:t>
      </w:r>
      <w:r w:rsidRPr="0040535D">
        <w:rPr>
          <w:rFonts w:ascii="Times New Roman" w:hAnsi="Times New Roman"/>
          <w:bCs/>
          <w:sz w:val="24"/>
          <w:szCs w:val="24"/>
        </w:rPr>
        <w:t xml:space="preserve">w formie właściwej dla wybranej formy współpracy dokumentu strategicznego – </w:t>
      </w:r>
      <w:r w:rsidR="000B019D" w:rsidRPr="0040535D">
        <w:rPr>
          <w:rFonts w:ascii="Times New Roman" w:hAnsi="Times New Roman"/>
          <w:bCs/>
          <w:sz w:val="24"/>
          <w:szCs w:val="24"/>
        </w:rPr>
        <w:t>strategii</w:t>
      </w:r>
      <w:r w:rsidRPr="0040535D">
        <w:rPr>
          <w:rFonts w:ascii="Times New Roman" w:hAnsi="Times New Roman"/>
          <w:bCs/>
          <w:sz w:val="24"/>
          <w:szCs w:val="24"/>
        </w:rPr>
        <w:t xml:space="preserve"> ZIT – wraz z listą projektów</w:t>
      </w:r>
      <w:r w:rsidR="000B019D" w:rsidRPr="0040535D">
        <w:rPr>
          <w:rFonts w:ascii="Times New Roman" w:hAnsi="Times New Roman"/>
          <w:bCs/>
          <w:sz w:val="24"/>
          <w:szCs w:val="24"/>
        </w:rPr>
        <w:t xml:space="preserve"> oraz wskazano tryb uzyskania przez strategię ZIT,</w:t>
      </w:r>
      <w:r w:rsidR="000B019D" w:rsidRPr="0040535D">
        <w:rPr>
          <w:rFonts w:ascii="Times New Roman" w:hAnsi="Times New Roman"/>
          <w:sz w:val="24"/>
          <w:szCs w:val="24"/>
        </w:rPr>
        <w:t xml:space="preserve"> </w:t>
      </w:r>
      <w:r w:rsidR="000B019D" w:rsidRPr="0040535D">
        <w:rPr>
          <w:rFonts w:ascii="Times New Roman" w:hAnsi="Times New Roman"/>
          <w:bCs/>
          <w:sz w:val="24"/>
          <w:szCs w:val="24"/>
        </w:rPr>
        <w:t>która pełni funkcję „strategii terytorialnej”, o której mowa w art. 29 rozporządzenia ogólnego, pozytywnej opinii właściwej IZ w zakresie możliwości jego finansowania</w:t>
      </w:r>
      <w:r w:rsidRPr="0040535D">
        <w:rPr>
          <w:rFonts w:ascii="Times New Roman" w:hAnsi="Times New Roman"/>
          <w:bCs/>
          <w:sz w:val="24"/>
          <w:szCs w:val="24"/>
        </w:rPr>
        <w:t xml:space="preserve">. </w:t>
      </w:r>
      <w:r w:rsidR="001E47D7" w:rsidRPr="0040535D">
        <w:rPr>
          <w:rFonts w:ascii="Times New Roman" w:hAnsi="Times New Roman"/>
          <w:bCs/>
          <w:sz w:val="24"/>
          <w:szCs w:val="24"/>
        </w:rPr>
        <w:t>Uwzględniając jednak doświadczenia z wdrażania ZIT w perspektywie 2014-2020, w przypadku związków ZIT powołanych dla miejskiego obszaru funkcjonalnego ośrodka wojewódzkiego (dalej: MOF OW), które posiadają wieloletnie doświadczenie w przygotowywaniu i wdrażaniu strategii ZIT, w przypadku ponownego wyznaczenia w strategii rozwoju województwa oraz objęcia ich instrumentem ZIT w perspektywie 2021-2027, wprowadzono osobny warunek, który nakłada na nie obowiązek opracowania i uchwalenia strategii rozwoju ponadlokalnego, o której mowa w art. 10g ustawy z dnia 8 marca 1990 r. o samorządzie gminnym</w:t>
      </w:r>
      <w:r w:rsidR="000B019D" w:rsidRPr="0040535D">
        <w:rPr>
          <w:rFonts w:ascii="Times New Roman" w:hAnsi="Times New Roman"/>
          <w:bCs/>
          <w:sz w:val="24"/>
          <w:szCs w:val="24"/>
        </w:rPr>
        <w:t>.</w:t>
      </w:r>
      <w:r w:rsidR="00F96E27" w:rsidRPr="0040535D">
        <w:rPr>
          <w:rFonts w:ascii="Times New Roman" w:hAnsi="Times New Roman"/>
          <w:bCs/>
          <w:sz w:val="24"/>
          <w:szCs w:val="24"/>
        </w:rPr>
        <w:t xml:space="preserve"> </w:t>
      </w:r>
      <w:r w:rsidR="000B019D" w:rsidRPr="0040535D">
        <w:rPr>
          <w:rFonts w:ascii="Times New Roman" w:hAnsi="Times New Roman"/>
          <w:bCs/>
          <w:sz w:val="24"/>
          <w:szCs w:val="24"/>
        </w:rPr>
        <w:t>W związku z faktem, że strategia rozwoju ponadlokalnego jest stosunkowo nowym</w:t>
      </w:r>
      <w:r w:rsidR="00A41EA7" w:rsidRPr="0040535D">
        <w:rPr>
          <w:rFonts w:ascii="Times New Roman" w:hAnsi="Times New Roman"/>
          <w:bCs/>
          <w:sz w:val="24"/>
          <w:szCs w:val="24"/>
        </w:rPr>
        <w:t xml:space="preserve"> </w:t>
      </w:r>
      <w:r w:rsidR="000B019D" w:rsidRPr="0040535D">
        <w:rPr>
          <w:rFonts w:ascii="Times New Roman" w:hAnsi="Times New Roman"/>
          <w:bCs/>
          <w:sz w:val="24"/>
          <w:szCs w:val="24"/>
        </w:rPr>
        <w:t xml:space="preserve"> typem dokumentu strategicznego, uwzględniającego istotny element planowania przestrzennego jakim jest model funkcjonalno-przestrzenny, który do tej pory nie był przygotowywany dla poziomu ponadlokalnego, wprowadzono równocześnie odroczenie wykonania powyższego warunku przez MOF OW do dnia 31 grudnia 2025 r. </w:t>
      </w:r>
      <w:r w:rsidR="00902FEC" w:rsidRPr="0040535D">
        <w:rPr>
          <w:rFonts w:ascii="Times New Roman" w:hAnsi="Times New Roman"/>
          <w:bCs/>
          <w:sz w:val="24"/>
          <w:szCs w:val="24"/>
        </w:rPr>
        <w:t xml:space="preserve">Do momentu przygotowania strategii rozwoju ponadlokalnego warunkiem realizacji instrumentu ZIT przez MOF OW jest przygotowanie strategii ZIT </w:t>
      </w:r>
      <w:r w:rsidR="00F96E27" w:rsidRPr="0040535D">
        <w:rPr>
          <w:rFonts w:ascii="Times New Roman" w:hAnsi="Times New Roman"/>
          <w:bCs/>
          <w:sz w:val="24"/>
          <w:szCs w:val="24"/>
        </w:rPr>
        <w:t>(</w:t>
      </w:r>
      <w:r w:rsidR="00A41EA7" w:rsidRPr="0040535D">
        <w:rPr>
          <w:rFonts w:ascii="Times New Roman" w:hAnsi="Times New Roman"/>
          <w:bCs/>
          <w:sz w:val="24"/>
          <w:szCs w:val="24"/>
        </w:rPr>
        <w:t xml:space="preserve">ust. 6 </w:t>
      </w:r>
      <w:r w:rsidR="00F96E27" w:rsidRPr="0040535D">
        <w:rPr>
          <w:rFonts w:ascii="Times New Roman" w:hAnsi="Times New Roman"/>
          <w:bCs/>
          <w:sz w:val="24"/>
          <w:szCs w:val="24"/>
        </w:rPr>
        <w:t>pkt 3).</w:t>
      </w:r>
    </w:p>
    <w:p w14:paraId="19861C81" w14:textId="77777777" w:rsidR="000B019D"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Dalej w ust. 7 wskazano tryb uzyskania dla </w:t>
      </w:r>
      <w:r w:rsidR="000B019D" w:rsidRPr="0040535D">
        <w:rPr>
          <w:rFonts w:ascii="Times New Roman" w:hAnsi="Times New Roman"/>
          <w:bCs/>
          <w:sz w:val="24"/>
          <w:szCs w:val="24"/>
        </w:rPr>
        <w:t>strategii</w:t>
      </w:r>
      <w:r w:rsidRPr="0040535D">
        <w:rPr>
          <w:rFonts w:ascii="Times New Roman" w:hAnsi="Times New Roman"/>
          <w:bCs/>
          <w:sz w:val="24"/>
          <w:szCs w:val="24"/>
        </w:rPr>
        <w:t xml:space="preserve"> ZIT pozytywnej opinii </w:t>
      </w:r>
      <w:r w:rsidR="002D588A" w:rsidRPr="0040535D">
        <w:rPr>
          <w:rFonts w:ascii="Times New Roman" w:hAnsi="Times New Roman"/>
          <w:bCs/>
          <w:sz w:val="24"/>
          <w:szCs w:val="24"/>
        </w:rPr>
        <w:t xml:space="preserve"> ministra właściwego do spraw rozwoju regionalnego </w:t>
      </w:r>
      <w:r w:rsidR="000B019D" w:rsidRPr="0040535D">
        <w:rPr>
          <w:rFonts w:ascii="Times New Roman" w:hAnsi="Times New Roman"/>
          <w:bCs/>
          <w:sz w:val="24"/>
          <w:szCs w:val="24"/>
        </w:rPr>
        <w:t xml:space="preserve">pod względem zgodności z umową partnerstwa. W związku z wprowadzeniem do systemu dokumentów strategicznych w ramach nowelizacji </w:t>
      </w:r>
      <w:proofErr w:type="spellStart"/>
      <w:r w:rsidR="00A41EA7" w:rsidRPr="0040535D">
        <w:rPr>
          <w:rFonts w:ascii="Times New Roman" w:hAnsi="Times New Roman"/>
          <w:bCs/>
          <w:sz w:val="24"/>
          <w:szCs w:val="24"/>
        </w:rPr>
        <w:t>uzppr</w:t>
      </w:r>
      <w:proofErr w:type="spellEnd"/>
      <w:r w:rsidR="000B019D" w:rsidRPr="0040535D">
        <w:rPr>
          <w:rFonts w:ascii="Times New Roman" w:hAnsi="Times New Roman"/>
          <w:bCs/>
          <w:sz w:val="24"/>
          <w:szCs w:val="24"/>
        </w:rPr>
        <w:t xml:space="preserve"> nowego typu strategii rozwoju – strategii rozwoju ponadlokalnego – która w założeniu jest odpowiedzią na potrzebę wspólnego planowania rozwoju w obrębie kilku gmin powiązanych ze sobą funkcjonalnie, wprowadza się również zasadę spójności strategii ZIT ze strategią rozwoju ponadlokalnego jeśli taka obowiązuje dla danego MOF</w:t>
      </w:r>
      <w:r w:rsidR="00402B24" w:rsidRPr="0040535D">
        <w:rPr>
          <w:rFonts w:ascii="Times New Roman" w:hAnsi="Times New Roman"/>
          <w:bCs/>
          <w:sz w:val="24"/>
          <w:szCs w:val="24"/>
        </w:rPr>
        <w:t xml:space="preserve"> </w:t>
      </w:r>
      <w:r w:rsidR="00A41EA7" w:rsidRPr="0040535D">
        <w:rPr>
          <w:rFonts w:ascii="Times New Roman" w:hAnsi="Times New Roman"/>
          <w:bCs/>
          <w:sz w:val="24"/>
          <w:szCs w:val="24"/>
        </w:rPr>
        <w:t>(</w:t>
      </w:r>
      <w:r w:rsidR="000B019D" w:rsidRPr="0040535D">
        <w:rPr>
          <w:rFonts w:ascii="Times New Roman" w:hAnsi="Times New Roman"/>
          <w:bCs/>
          <w:sz w:val="24"/>
          <w:szCs w:val="24"/>
        </w:rPr>
        <w:t>ust. 8).</w:t>
      </w:r>
    </w:p>
    <w:p w14:paraId="49005322" w14:textId="77777777" w:rsidR="000B019D" w:rsidRDefault="000B019D"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Dla tych MOF, które nie posiadają jeszcze strategii rozwoju ponadlokalnego, a chciałyby taki kompleksowy dokument strategiczny przygotować istnieje również możliwość przygotowania strategii rozwoju ponadlokalnego, która może pełnić funkcję strategii ZIT, po spełnieniu warunków, o których mowa w art. 3</w:t>
      </w:r>
      <w:r w:rsidR="0090611F" w:rsidRPr="0040535D">
        <w:rPr>
          <w:rFonts w:ascii="Times New Roman" w:hAnsi="Times New Roman"/>
          <w:bCs/>
          <w:sz w:val="24"/>
          <w:szCs w:val="24"/>
        </w:rPr>
        <w:t>4</w:t>
      </w:r>
      <w:r w:rsidRPr="0040535D">
        <w:rPr>
          <w:rFonts w:ascii="Times New Roman" w:hAnsi="Times New Roman"/>
          <w:bCs/>
          <w:sz w:val="24"/>
          <w:szCs w:val="24"/>
        </w:rPr>
        <w:t xml:space="preserve"> ust. 14 ustawy (ust. 9). To oznacza, że w przypadku gdy dla MOF wskazanego w strategii rozwoju województwa, na którego obszarze będzie realizowany ZIT, zgodnie z art. 3</w:t>
      </w:r>
      <w:r w:rsidR="0090611F" w:rsidRPr="0040535D">
        <w:rPr>
          <w:rFonts w:ascii="Times New Roman" w:hAnsi="Times New Roman"/>
          <w:bCs/>
          <w:sz w:val="24"/>
          <w:szCs w:val="24"/>
        </w:rPr>
        <w:t>4</w:t>
      </w:r>
      <w:r w:rsidRPr="0040535D">
        <w:rPr>
          <w:rFonts w:ascii="Times New Roman" w:hAnsi="Times New Roman"/>
          <w:bCs/>
          <w:sz w:val="24"/>
          <w:szCs w:val="24"/>
        </w:rPr>
        <w:t xml:space="preserve"> ust. 2</w:t>
      </w:r>
      <w:r w:rsidR="0090611F" w:rsidRPr="0040535D">
        <w:rPr>
          <w:rFonts w:ascii="Times New Roman" w:hAnsi="Times New Roman"/>
          <w:bCs/>
          <w:sz w:val="24"/>
          <w:szCs w:val="24"/>
        </w:rPr>
        <w:t xml:space="preserve"> </w:t>
      </w:r>
      <w:r w:rsidR="00A41EA7" w:rsidRPr="0040535D">
        <w:rPr>
          <w:rFonts w:ascii="Times New Roman" w:hAnsi="Times New Roman"/>
          <w:bCs/>
          <w:sz w:val="24"/>
          <w:szCs w:val="24"/>
        </w:rPr>
        <w:t xml:space="preserve">i </w:t>
      </w:r>
      <w:r w:rsidRPr="0040535D">
        <w:rPr>
          <w:rFonts w:ascii="Times New Roman" w:hAnsi="Times New Roman"/>
          <w:bCs/>
          <w:sz w:val="24"/>
          <w:szCs w:val="24"/>
        </w:rPr>
        <w:t xml:space="preserve">3, przygotowana została strategia rozwoju </w:t>
      </w:r>
      <w:r w:rsidRPr="0040535D">
        <w:rPr>
          <w:rFonts w:ascii="Times New Roman" w:hAnsi="Times New Roman"/>
          <w:bCs/>
          <w:sz w:val="24"/>
          <w:szCs w:val="24"/>
        </w:rPr>
        <w:lastRenderedPageBreak/>
        <w:t>ponadlokalnego, która spełnia minimalne warunki dla planu działań ZIT przewidzianego w niniejszej ustawie, warunek przygotowania strategii ZIT może zostać uznany za spełniony.</w:t>
      </w:r>
    </w:p>
    <w:p w14:paraId="2C822A20" w14:textId="77777777" w:rsidR="00EC0FC2" w:rsidRPr="0040535D" w:rsidRDefault="00EC0FC2" w:rsidP="009A0EE5">
      <w:pPr>
        <w:spacing w:after="0" w:line="360" w:lineRule="auto"/>
        <w:jc w:val="both"/>
        <w:rPr>
          <w:rFonts w:ascii="Times New Roman" w:hAnsi="Times New Roman"/>
          <w:bCs/>
          <w:sz w:val="24"/>
          <w:szCs w:val="24"/>
        </w:rPr>
      </w:pPr>
      <w:r>
        <w:rPr>
          <w:rFonts w:ascii="Times New Roman" w:hAnsi="Times New Roman"/>
          <w:bCs/>
          <w:sz w:val="24"/>
          <w:szCs w:val="24"/>
        </w:rPr>
        <w:t xml:space="preserve">W związku ze zgłaszanymi przez niektóre podmioty zaangażowane we wdrażanie instrumentu ZIT wątpliwościami związanymi z aktualizacją strategii rozwoju ponadlokalnego pełniącej funkcję strategii ZIT, w zakresie nie wykraczającym poza zmianę listy projektów, która równocześnie nie jest obligatoryjnym elementem strategii rozwoju ponadlokalnego zgodnie z ustawą o samorządzie gminny, wprowadzono możliwość odrębnego przyjęcia ww. listy projektów poprzez przyjęcie stosownej uchwały związku ZIT (ust. 10). </w:t>
      </w:r>
    </w:p>
    <w:p w14:paraId="1896E13F" w14:textId="77777777" w:rsidR="00555DC0" w:rsidRPr="0040535D" w:rsidRDefault="000B019D"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W </w:t>
      </w:r>
      <w:r w:rsidR="00555DC0" w:rsidRPr="0040535D">
        <w:rPr>
          <w:rFonts w:ascii="Times New Roman" w:hAnsi="Times New Roman"/>
          <w:bCs/>
          <w:sz w:val="24"/>
          <w:szCs w:val="24"/>
        </w:rPr>
        <w:t xml:space="preserve">ust. </w:t>
      </w:r>
      <w:r w:rsidR="00EC0FC2" w:rsidRPr="0040535D">
        <w:rPr>
          <w:rFonts w:ascii="Times New Roman" w:hAnsi="Times New Roman"/>
          <w:bCs/>
          <w:sz w:val="24"/>
          <w:szCs w:val="24"/>
        </w:rPr>
        <w:t>1</w:t>
      </w:r>
      <w:r w:rsidR="00EC0FC2">
        <w:rPr>
          <w:rFonts w:ascii="Times New Roman" w:hAnsi="Times New Roman"/>
          <w:bCs/>
          <w:sz w:val="24"/>
          <w:szCs w:val="24"/>
        </w:rPr>
        <w:t>2</w:t>
      </w:r>
      <w:r w:rsidR="00EC0FC2" w:rsidRPr="0040535D">
        <w:rPr>
          <w:rFonts w:ascii="Times New Roman" w:hAnsi="Times New Roman"/>
          <w:bCs/>
          <w:sz w:val="24"/>
          <w:szCs w:val="24"/>
        </w:rPr>
        <w:t xml:space="preserve"> </w:t>
      </w:r>
      <w:r w:rsidR="00555DC0" w:rsidRPr="0040535D">
        <w:rPr>
          <w:rFonts w:ascii="Times New Roman" w:hAnsi="Times New Roman"/>
          <w:bCs/>
          <w:sz w:val="24"/>
          <w:szCs w:val="24"/>
        </w:rPr>
        <w:t xml:space="preserve">określono w jaki sposób zapewniony zostanie podmiotom wchodzącym w skład związku ZIT udział w wyborze do dofinansowania projektów wynikających </w:t>
      </w:r>
      <w:r w:rsidRPr="0040535D">
        <w:rPr>
          <w:rFonts w:ascii="Times New Roman" w:hAnsi="Times New Roman"/>
          <w:bCs/>
          <w:sz w:val="24"/>
          <w:szCs w:val="24"/>
        </w:rPr>
        <w:t>ze strategii ZIT</w:t>
      </w:r>
      <w:r w:rsidR="00BC524B" w:rsidRPr="00BC524B">
        <w:t xml:space="preserve"> </w:t>
      </w:r>
      <w:r w:rsidR="00BC524B" w:rsidRPr="00BC524B">
        <w:rPr>
          <w:rFonts w:ascii="Times New Roman" w:hAnsi="Times New Roman"/>
          <w:bCs/>
          <w:sz w:val="24"/>
          <w:szCs w:val="24"/>
        </w:rPr>
        <w:t>lub strategii rozwoju ponadlokalnego, o której mowa w ust. 9</w:t>
      </w:r>
      <w:r w:rsidR="00555DC0" w:rsidRPr="0040535D">
        <w:rPr>
          <w:rFonts w:ascii="Times New Roman" w:hAnsi="Times New Roman"/>
          <w:bCs/>
          <w:sz w:val="24"/>
          <w:szCs w:val="24"/>
        </w:rPr>
        <w:t xml:space="preserve">, który wynika bezpośrednio z art. </w:t>
      </w:r>
      <w:r w:rsidRPr="0040535D">
        <w:rPr>
          <w:rFonts w:ascii="Times New Roman" w:hAnsi="Times New Roman"/>
          <w:bCs/>
          <w:sz w:val="24"/>
          <w:szCs w:val="24"/>
        </w:rPr>
        <w:t xml:space="preserve">29 </w:t>
      </w:r>
      <w:r w:rsidR="00555DC0" w:rsidRPr="0040535D">
        <w:rPr>
          <w:rFonts w:ascii="Times New Roman" w:hAnsi="Times New Roman"/>
          <w:bCs/>
          <w:sz w:val="24"/>
          <w:szCs w:val="24"/>
        </w:rPr>
        <w:t>rozporządzenia ogólnego</w:t>
      </w:r>
      <w:r w:rsidRPr="0040535D">
        <w:rPr>
          <w:rFonts w:ascii="Times New Roman" w:hAnsi="Times New Roman"/>
          <w:bCs/>
          <w:sz w:val="24"/>
          <w:szCs w:val="24"/>
        </w:rPr>
        <w:t>.</w:t>
      </w:r>
    </w:p>
    <w:p w14:paraId="6F4BFCA2"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Art. </w:t>
      </w:r>
      <w:r w:rsidR="00402B24" w:rsidRPr="0040535D">
        <w:rPr>
          <w:rFonts w:ascii="Times New Roman" w:hAnsi="Times New Roman"/>
          <w:bCs/>
          <w:sz w:val="24"/>
          <w:szCs w:val="24"/>
        </w:rPr>
        <w:t>3</w:t>
      </w:r>
      <w:r w:rsidR="0090611F" w:rsidRPr="0040535D">
        <w:rPr>
          <w:rFonts w:ascii="Times New Roman" w:hAnsi="Times New Roman"/>
          <w:bCs/>
          <w:sz w:val="24"/>
          <w:szCs w:val="24"/>
        </w:rPr>
        <w:t>4</w:t>
      </w:r>
      <w:r w:rsidR="00402B24" w:rsidRPr="0040535D">
        <w:rPr>
          <w:rFonts w:ascii="Times New Roman" w:hAnsi="Times New Roman"/>
          <w:bCs/>
          <w:sz w:val="24"/>
          <w:szCs w:val="24"/>
        </w:rPr>
        <w:t xml:space="preserve"> </w:t>
      </w:r>
      <w:r w:rsidRPr="0040535D">
        <w:rPr>
          <w:rFonts w:ascii="Times New Roman" w:hAnsi="Times New Roman"/>
          <w:bCs/>
          <w:sz w:val="24"/>
          <w:szCs w:val="24"/>
        </w:rPr>
        <w:t xml:space="preserve">ust. </w:t>
      </w:r>
      <w:r w:rsidR="00EC0FC2" w:rsidRPr="0040535D">
        <w:rPr>
          <w:rFonts w:ascii="Times New Roman" w:hAnsi="Times New Roman"/>
          <w:bCs/>
          <w:sz w:val="24"/>
          <w:szCs w:val="24"/>
        </w:rPr>
        <w:t>1</w:t>
      </w:r>
      <w:r w:rsidR="00EC0FC2">
        <w:rPr>
          <w:rFonts w:ascii="Times New Roman" w:hAnsi="Times New Roman"/>
          <w:bCs/>
          <w:sz w:val="24"/>
          <w:szCs w:val="24"/>
        </w:rPr>
        <w:t>5</w:t>
      </w:r>
      <w:r w:rsidR="00EC0FC2" w:rsidRPr="0040535D">
        <w:rPr>
          <w:rFonts w:ascii="Times New Roman" w:hAnsi="Times New Roman"/>
          <w:bCs/>
          <w:sz w:val="24"/>
          <w:szCs w:val="24"/>
        </w:rPr>
        <w:t xml:space="preserve"> </w:t>
      </w:r>
      <w:r w:rsidRPr="0040535D">
        <w:rPr>
          <w:rFonts w:ascii="Times New Roman" w:hAnsi="Times New Roman"/>
          <w:bCs/>
          <w:sz w:val="24"/>
          <w:szCs w:val="24"/>
        </w:rPr>
        <w:t xml:space="preserve">określa minimalne warunki dla </w:t>
      </w:r>
      <w:r w:rsidR="000B019D" w:rsidRPr="0040535D">
        <w:rPr>
          <w:rFonts w:ascii="Times New Roman" w:hAnsi="Times New Roman"/>
          <w:bCs/>
          <w:sz w:val="24"/>
          <w:szCs w:val="24"/>
        </w:rPr>
        <w:t xml:space="preserve">strategii </w:t>
      </w:r>
      <w:r w:rsidRPr="0040535D">
        <w:rPr>
          <w:rFonts w:ascii="Times New Roman" w:hAnsi="Times New Roman"/>
          <w:bCs/>
          <w:sz w:val="24"/>
          <w:szCs w:val="24"/>
        </w:rPr>
        <w:t>ZIT wskazując co powinny zawierać:</w:t>
      </w:r>
    </w:p>
    <w:p w14:paraId="5127CF62" w14:textId="77777777" w:rsidR="00555DC0" w:rsidRPr="0040535D" w:rsidRDefault="00555DC0" w:rsidP="00633C25">
      <w:pPr>
        <w:numPr>
          <w:ilvl w:val="0"/>
          <w:numId w:val="18"/>
        </w:numPr>
        <w:spacing w:after="0" w:line="360" w:lineRule="auto"/>
        <w:jc w:val="both"/>
        <w:rPr>
          <w:rFonts w:ascii="Times New Roman" w:hAnsi="Times New Roman"/>
          <w:bCs/>
          <w:sz w:val="24"/>
          <w:szCs w:val="24"/>
        </w:rPr>
      </w:pPr>
      <w:r w:rsidRPr="0040535D">
        <w:rPr>
          <w:rFonts w:ascii="Times New Roman" w:hAnsi="Times New Roman"/>
          <w:bCs/>
          <w:sz w:val="24"/>
          <w:szCs w:val="24"/>
        </w:rPr>
        <w:t>syntezę diagnozy obszaru realizacji ZIT wraz z analizą problemów, potrzeb i potencjałów rozwojowych</w:t>
      </w:r>
      <w:r w:rsidR="00633C25" w:rsidRPr="0040535D">
        <w:rPr>
          <w:rFonts w:ascii="Times New Roman" w:hAnsi="Times New Roman"/>
          <w:bCs/>
          <w:sz w:val="24"/>
          <w:szCs w:val="24"/>
        </w:rPr>
        <w:t>, w tym wzajemnych powiązań gospodarczych, społecznych i środowiskowych</w:t>
      </w:r>
      <w:r w:rsidRPr="0040535D">
        <w:rPr>
          <w:rFonts w:ascii="Times New Roman" w:hAnsi="Times New Roman"/>
          <w:bCs/>
          <w:sz w:val="24"/>
          <w:szCs w:val="24"/>
        </w:rPr>
        <w:t>;</w:t>
      </w:r>
    </w:p>
    <w:p w14:paraId="7F4BB83E" w14:textId="77777777" w:rsidR="00555DC0" w:rsidRPr="0040535D" w:rsidRDefault="00555DC0" w:rsidP="009A0EE5">
      <w:pPr>
        <w:numPr>
          <w:ilvl w:val="0"/>
          <w:numId w:val="18"/>
        </w:numPr>
        <w:spacing w:after="0" w:line="360" w:lineRule="auto"/>
        <w:jc w:val="both"/>
        <w:rPr>
          <w:rFonts w:ascii="Times New Roman" w:hAnsi="Times New Roman"/>
          <w:bCs/>
          <w:sz w:val="24"/>
          <w:szCs w:val="24"/>
        </w:rPr>
      </w:pPr>
      <w:r w:rsidRPr="0040535D">
        <w:rPr>
          <w:rFonts w:ascii="Times New Roman" w:hAnsi="Times New Roman"/>
          <w:bCs/>
          <w:sz w:val="24"/>
          <w:szCs w:val="24"/>
        </w:rPr>
        <w:t>cele, jakie mają być zrealizowane w ramach ZIT, ze wskazaniem wykorzystanego podejścia zintegrowanego, oczekiwanych wskaźników rezultatu i produktu powiązane z realizacją właściwego programu;</w:t>
      </w:r>
    </w:p>
    <w:p w14:paraId="16E813F8" w14:textId="77777777" w:rsidR="00555DC0" w:rsidRPr="0040535D" w:rsidRDefault="00555DC0" w:rsidP="00913AB2">
      <w:pPr>
        <w:numPr>
          <w:ilvl w:val="0"/>
          <w:numId w:val="18"/>
        </w:numPr>
        <w:spacing w:after="0" w:line="360" w:lineRule="auto"/>
        <w:jc w:val="both"/>
        <w:rPr>
          <w:rFonts w:ascii="Times New Roman" w:hAnsi="Times New Roman"/>
          <w:bCs/>
          <w:sz w:val="24"/>
          <w:szCs w:val="24"/>
        </w:rPr>
      </w:pPr>
      <w:r w:rsidRPr="0040535D">
        <w:rPr>
          <w:rFonts w:ascii="Times New Roman" w:hAnsi="Times New Roman"/>
          <w:bCs/>
          <w:sz w:val="24"/>
          <w:szCs w:val="24"/>
        </w:rPr>
        <w:t>listę projektów</w:t>
      </w:r>
      <w:r w:rsidR="00633C25" w:rsidRPr="0040535D">
        <w:rPr>
          <w:rFonts w:ascii="Times New Roman" w:hAnsi="Times New Roman"/>
          <w:sz w:val="24"/>
          <w:szCs w:val="24"/>
        </w:rPr>
        <w:t xml:space="preserve"> </w:t>
      </w:r>
      <w:r w:rsidR="00633C25" w:rsidRPr="0040535D">
        <w:rPr>
          <w:rFonts w:ascii="Times New Roman" w:hAnsi="Times New Roman"/>
          <w:bCs/>
          <w:sz w:val="24"/>
          <w:szCs w:val="24"/>
        </w:rPr>
        <w:t xml:space="preserve">realizujących cele, o których mowa powyżej, </w:t>
      </w:r>
      <w:r w:rsidRPr="0040535D">
        <w:rPr>
          <w:rFonts w:ascii="Times New Roman" w:hAnsi="Times New Roman"/>
          <w:bCs/>
          <w:sz w:val="24"/>
          <w:szCs w:val="24"/>
        </w:rPr>
        <w:t xml:space="preserve"> wraz z informacją na temat sposobu ich wskazania oraz powiązania z innymi projektami;</w:t>
      </w:r>
      <w:r w:rsidR="00913AB2" w:rsidRPr="0040535D">
        <w:rPr>
          <w:rFonts w:ascii="Times New Roman" w:hAnsi="Times New Roman"/>
          <w:sz w:val="24"/>
          <w:szCs w:val="24"/>
        </w:rPr>
        <w:t xml:space="preserve"> </w:t>
      </w:r>
      <w:r w:rsidR="00913AB2" w:rsidRPr="0040535D">
        <w:rPr>
          <w:rFonts w:ascii="Times New Roman" w:hAnsi="Times New Roman"/>
          <w:bCs/>
          <w:sz w:val="24"/>
          <w:szCs w:val="24"/>
        </w:rPr>
        <w:t xml:space="preserve">lista projektów, może wynikać z porozumienia terytorialnego, o którym mowa w art. 14rb ustawy z dnia 6 grudnia 2006 r. o zasadach prowadzenia polityki rozwoju (ust. </w:t>
      </w:r>
      <w:r w:rsidR="003E4FC8">
        <w:rPr>
          <w:rFonts w:ascii="Times New Roman" w:hAnsi="Times New Roman"/>
          <w:bCs/>
          <w:sz w:val="24"/>
          <w:szCs w:val="24"/>
        </w:rPr>
        <w:t>17</w:t>
      </w:r>
      <w:r w:rsidR="00913AB2" w:rsidRPr="0040535D">
        <w:rPr>
          <w:rFonts w:ascii="Times New Roman" w:hAnsi="Times New Roman"/>
          <w:bCs/>
          <w:sz w:val="24"/>
          <w:szCs w:val="24"/>
        </w:rPr>
        <w:t>);</w:t>
      </w:r>
    </w:p>
    <w:p w14:paraId="6052C4DE" w14:textId="77777777" w:rsidR="00555DC0" w:rsidRPr="0040535D" w:rsidRDefault="00555DC0" w:rsidP="009A0EE5">
      <w:pPr>
        <w:numPr>
          <w:ilvl w:val="0"/>
          <w:numId w:val="18"/>
        </w:numPr>
        <w:spacing w:after="0" w:line="360" w:lineRule="auto"/>
        <w:jc w:val="both"/>
        <w:rPr>
          <w:rFonts w:ascii="Times New Roman" w:hAnsi="Times New Roman"/>
          <w:bCs/>
          <w:sz w:val="24"/>
          <w:szCs w:val="24"/>
        </w:rPr>
      </w:pPr>
      <w:r w:rsidRPr="0040535D">
        <w:rPr>
          <w:rFonts w:ascii="Times New Roman" w:hAnsi="Times New Roman"/>
          <w:bCs/>
          <w:sz w:val="24"/>
          <w:szCs w:val="24"/>
        </w:rPr>
        <w:t>źródła jego finansowania;</w:t>
      </w:r>
    </w:p>
    <w:p w14:paraId="62576631" w14:textId="77777777" w:rsidR="00555DC0" w:rsidRPr="0040535D" w:rsidRDefault="00555DC0" w:rsidP="009A0EE5">
      <w:pPr>
        <w:numPr>
          <w:ilvl w:val="0"/>
          <w:numId w:val="18"/>
        </w:numPr>
        <w:spacing w:after="0" w:line="360" w:lineRule="auto"/>
        <w:jc w:val="both"/>
        <w:rPr>
          <w:rFonts w:ascii="Times New Roman" w:hAnsi="Times New Roman"/>
          <w:bCs/>
          <w:sz w:val="24"/>
          <w:szCs w:val="24"/>
        </w:rPr>
      </w:pPr>
      <w:r w:rsidRPr="0040535D">
        <w:rPr>
          <w:rFonts w:ascii="Times New Roman" w:hAnsi="Times New Roman"/>
          <w:bCs/>
          <w:sz w:val="24"/>
          <w:szCs w:val="24"/>
        </w:rPr>
        <w:t>warunki i procedury obowiązujące w realizacji planu działań ZIT;</w:t>
      </w:r>
    </w:p>
    <w:p w14:paraId="4DF85512" w14:textId="77777777" w:rsidR="00555DC0" w:rsidRPr="0040535D" w:rsidRDefault="00555DC0" w:rsidP="009A0EE5">
      <w:pPr>
        <w:numPr>
          <w:ilvl w:val="0"/>
          <w:numId w:val="18"/>
        </w:numPr>
        <w:spacing w:after="0" w:line="360" w:lineRule="auto"/>
        <w:jc w:val="both"/>
        <w:rPr>
          <w:rFonts w:ascii="Times New Roman" w:hAnsi="Times New Roman"/>
          <w:bCs/>
          <w:sz w:val="24"/>
          <w:szCs w:val="24"/>
        </w:rPr>
      </w:pPr>
      <w:r w:rsidRPr="0040535D">
        <w:rPr>
          <w:rFonts w:ascii="Times New Roman" w:hAnsi="Times New Roman"/>
          <w:bCs/>
          <w:sz w:val="24"/>
          <w:szCs w:val="24"/>
        </w:rPr>
        <w:t>opis procesu zaangażowania partnerów społeczno-gospodarczych oraz właściw</w:t>
      </w:r>
      <w:r w:rsidR="0096054A">
        <w:rPr>
          <w:rFonts w:ascii="Times New Roman" w:hAnsi="Times New Roman"/>
          <w:bCs/>
          <w:sz w:val="24"/>
          <w:szCs w:val="24"/>
        </w:rPr>
        <w:t>ych</w:t>
      </w:r>
      <w:r w:rsidRPr="0040535D">
        <w:rPr>
          <w:rFonts w:ascii="Times New Roman" w:hAnsi="Times New Roman"/>
          <w:bCs/>
          <w:sz w:val="24"/>
          <w:szCs w:val="24"/>
        </w:rPr>
        <w:t xml:space="preserve"> podmiot</w:t>
      </w:r>
      <w:r w:rsidR="0096054A">
        <w:rPr>
          <w:rFonts w:ascii="Times New Roman" w:hAnsi="Times New Roman"/>
          <w:bCs/>
          <w:sz w:val="24"/>
          <w:szCs w:val="24"/>
        </w:rPr>
        <w:t>ów</w:t>
      </w:r>
      <w:r w:rsidRPr="0040535D">
        <w:rPr>
          <w:rFonts w:ascii="Times New Roman" w:hAnsi="Times New Roman"/>
          <w:bCs/>
          <w:sz w:val="24"/>
          <w:szCs w:val="24"/>
        </w:rPr>
        <w:t xml:space="preserve"> reprezentując</w:t>
      </w:r>
      <w:r w:rsidR="0096054A">
        <w:rPr>
          <w:rFonts w:ascii="Times New Roman" w:hAnsi="Times New Roman"/>
          <w:bCs/>
          <w:sz w:val="24"/>
          <w:szCs w:val="24"/>
        </w:rPr>
        <w:t>ych</w:t>
      </w:r>
      <w:r w:rsidRPr="0040535D">
        <w:rPr>
          <w:rFonts w:ascii="Times New Roman" w:hAnsi="Times New Roman"/>
          <w:bCs/>
          <w:sz w:val="24"/>
          <w:szCs w:val="24"/>
        </w:rPr>
        <w:t xml:space="preserve"> społeczeństwo obywatelskie, podmiot</w:t>
      </w:r>
      <w:r w:rsidR="0096054A">
        <w:rPr>
          <w:rFonts w:ascii="Times New Roman" w:hAnsi="Times New Roman"/>
          <w:bCs/>
          <w:sz w:val="24"/>
          <w:szCs w:val="24"/>
        </w:rPr>
        <w:t>ów</w:t>
      </w:r>
      <w:r w:rsidRPr="0040535D">
        <w:rPr>
          <w:rFonts w:ascii="Times New Roman" w:hAnsi="Times New Roman"/>
          <w:bCs/>
          <w:sz w:val="24"/>
          <w:szCs w:val="24"/>
        </w:rPr>
        <w:t xml:space="preserve"> działając</w:t>
      </w:r>
      <w:r w:rsidR="0096054A">
        <w:rPr>
          <w:rFonts w:ascii="Times New Roman" w:hAnsi="Times New Roman"/>
          <w:bCs/>
          <w:sz w:val="24"/>
          <w:szCs w:val="24"/>
        </w:rPr>
        <w:t>ych</w:t>
      </w:r>
      <w:r w:rsidRPr="0040535D">
        <w:rPr>
          <w:rFonts w:ascii="Times New Roman" w:hAnsi="Times New Roman"/>
          <w:bCs/>
          <w:sz w:val="24"/>
          <w:szCs w:val="24"/>
        </w:rPr>
        <w:t xml:space="preserve"> na rzecz ochrony środowiska oraz podmiot</w:t>
      </w:r>
      <w:r w:rsidR="0096054A">
        <w:rPr>
          <w:rFonts w:ascii="Times New Roman" w:hAnsi="Times New Roman"/>
          <w:bCs/>
          <w:sz w:val="24"/>
          <w:szCs w:val="24"/>
        </w:rPr>
        <w:t>ów</w:t>
      </w:r>
      <w:r w:rsidRPr="0040535D">
        <w:rPr>
          <w:rFonts w:ascii="Times New Roman" w:hAnsi="Times New Roman"/>
          <w:bCs/>
          <w:sz w:val="24"/>
          <w:szCs w:val="24"/>
        </w:rPr>
        <w:t xml:space="preserve"> odpowiedzialn</w:t>
      </w:r>
      <w:r w:rsidR="0096054A">
        <w:rPr>
          <w:rFonts w:ascii="Times New Roman" w:hAnsi="Times New Roman"/>
          <w:bCs/>
          <w:sz w:val="24"/>
          <w:szCs w:val="24"/>
        </w:rPr>
        <w:t>ych</w:t>
      </w:r>
      <w:r w:rsidRPr="0040535D">
        <w:rPr>
          <w:rFonts w:ascii="Times New Roman" w:hAnsi="Times New Roman"/>
          <w:bCs/>
          <w:sz w:val="24"/>
          <w:szCs w:val="24"/>
        </w:rPr>
        <w:t xml:space="preserve"> za promowanie włączenia społecznego, praw podstawowych, praw osób niepełnosprawnych, równości płci i niedyskryminacji w pracach nad przygotowaniem i wdrażaniem planu działań ZIT oraz sprawozdanie z jego konsultacji społecznych.</w:t>
      </w:r>
    </w:p>
    <w:p w14:paraId="4AE46343" w14:textId="77777777" w:rsidR="001E47D7" w:rsidRPr="0040535D" w:rsidRDefault="000B019D"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Strategia </w:t>
      </w:r>
      <w:r w:rsidR="00555DC0" w:rsidRPr="0040535D">
        <w:rPr>
          <w:rFonts w:ascii="Times New Roman" w:hAnsi="Times New Roman"/>
          <w:bCs/>
          <w:sz w:val="24"/>
          <w:szCs w:val="24"/>
        </w:rPr>
        <w:t>ZIT nie jest strategią rozwoju i nie stosuje się do nie</w:t>
      </w:r>
      <w:r w:rsidR="00913AB2" w:rsidRPr="0040535D">
        <w:rPr>
          <w:rFonts w:ascii="Times New Roman" w:hAnsi="Times New Roman"/>
          <w:bCs/>
          <w:sz w:val="24"/>
          <w:szCs w:val="24"/>
        </w:rPr>
        <w:t>j</w:t>
      </w:r>
      <w:r w:rsidR="00555DC0" w:rsidRPr="0040535D">
        <w:rPr>
          <w:rFonts w:ascii="Times New Roman" w:hAnsi="Times New Roman"/>
          <w:bCs/>
          <w:sz w:val="24"/>
          <w:szCs w:val="24"/>
        </w:rPr>
        <w:t xml:space="preserve"> przepisów </w:t>
      </w:r>
      <w:proofErr w:type="spellStart"/>
      <w:r w:rsidR="00027C6A" w:rsidRPr="0040535D">
        <w:rPr>
          <w:rFonts w:ascii="Times New Roman" w:hAnsi="Times New Roman"/>
          <w:bCs/>
          <w:sz w:val="24"/>
          <w:szCs w:val="24"/>
        </w:rPr>
        <w:t>uzppr</w:t>
      </w:r>
      <w:proofErr w:type="spellEnd"/>
      <w:r w:rsidR="00555DC0" w:rsidRPr="0040535D">
        <w:rPr>
          <w:rFonts w:ascii="Times New Roman" w:hAnsi="Times New Roman"/>
          <w:bCs/>
          <w:sz w:val="24"/>
          <w:szCs w:val="24"/>
        </w:rPr>
        <w:t xml:space="preserve"> </w:t>
      </w:r>
      <w:r w:rsidR="001E47D7" w:rsidRPr="0040535D">
        <w:rPr>
          <w:rFonts w:ascii="Times New Roman" w:hAnsi="Times New Roman"/>
          <w:bCs/>
          <w:sz w:val="24"/>
          <w:szCs w:val="24"/>
        </w:rPr>
        <w:t xml:space="preserve">(ust. </w:t>
      </w:r>
      <w:r w:rsidR="003E4FC8">
        <w:rPr>
          <w:rFonts w:ascii="Times New Roman" w:hAnsi="Times New Roman"/>
          <w:bCs/>
          <w:sz w:val="24"/>
          <w:szCs w:val="24"/>
        </w:rPr>
        <w:t>16</w:t>
      </w:r>
      <w:r w:rsidR="001E47D7" w:rsidRPr="0040535D">
        <w:rPr>
          <w:rFonts w:ascii="Times New Roman" w:hAnsi="Times New Roman"/>
          <w:bCs/>
          <w:sz w:val="24"/>
          <w:szCs w:val="24"/>
        </w:rPr>
        <w:t>).</w:t>
      </w:r>
    </w:p>
    <w:p w14:paraId="36C0E55F"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lastRenderedPageBreak/>
        <w:t>RLKS (</w:t>
      </w:r>
      <w:r w:rsidRPr="0040535D">
        <w:rPr>
          <w:rFonts w:ascii="Times New Roman" w:hAnsi="Times New Roman"/>
          <w:b/>
          <w:bCs/>
          <w:sz w:val="24"/>
          <w:szCs w:val="24"/>
        </w:rPr>
        <w:t xml:space="preserve">art. </w:t>
      </w:r>
      <w:r w:rsidR="00402B24" w:rsidRPr="0040535D">
        <w:rPr>
          <w:rFonts w:ascii="Times New Roman" w:hAnsi="Times New Roman"/>
          <w:b/>
          <w:bCs/>
          <w:sz w:val="24"/>
          <w:szCs w:val="24"/>
        </w:rPr>
        <w:t>3</w:t>
      </w:r>
      <w:r w:rsidR="0090611F" w:rsidRPr="0040535D">
        <w:rPr>
          <w:rFonts w:ascii="Times New Roman" w:hAnsi="Times New Roman"/>
          <w:b/>
          <w:bCs/>
          <w:sz w:val="24"/>
          <w:szCs w:val="24"/>
        </w:rPr>
        <w:t>5</w:t>
      </w:r>
      <w:r w:rsidRPr="0040535D">
        <w:rPr>
          <w:rFonts w:ascii="Times New Roman" w:hAnsi="Times New Roman"/>
          <w:bCs/>
          <w:sz w:val="24"/>
          <w:szCs w:val="24"/>
        </w:rPr>
        <w:t>) jest instrumentem terytorialnym, który podobnie jak ZIT został wprowadzony przez KE do realizacji w perspektywie finansowej UE na lata 2014-2020. Instrument ten bazuje na stosowanym w latach 2007-2013 w ramach Wspólnej Polityki Rolnej (WPR) i Wspólnej Polityki Rybołówstwa (WP Ryby) podejściu LEADER i zachowuje jego podstawowe założenia.</w:t>
      </w:r>
    </w:p>
    <w:p w14:paraId="212C33CC"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Podobnie jak w poprzedniej perspektywie finansowej, w latach 2021-2027 RLKS będzie realizowany na poziomie regionalnych programów (ust. 1), a jego realizacja będzie się odbywała na zasadach określonych w oddzielnym akcie prawnym (ust. 2).</w:t>
      </w:r>
    </w:p>
    <w:p w14:paraId="37CBDB1F"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IIT (</w:t>
      </w:r>
      <w:r w:rsidRPr="0040535D">
        <w:rPr>
          <w:rFonts w:ascii="Times New Roman" w:hAnsi="Times New Roman"/>
          <w:b/>
          <w:bCs/>
          <w:sz w:val="24"/>
          <w:szCs w:val="24"/>
        </w:rPr>
        <w:t xml:space="preserve">art. </w:t>
      </w:r>
      <w:r w:rsidR="00402B24" w:rsidRPr="0040535D">
        <w:rPr>
          <w:rFonts w:ascii="Times New Roman" w:hAnsi="Times New Roman"/>
          <w:b/>
          <w:bCs/>
          <w:sz w:val="24"/>
          <w:szCs w:val="24"/>
        </w:rPr>
        <w:t>3</w:t>
      </w:r>
      <w:r w:rsidR="0090611F" w:rsidRPr="0040535D">
        <w:rPr>
          <w:rFonts w:ascii="Times New Roman" w:hAnsi="Times New Roman"/>
          <w:b/>
          <w:bCs/>
          <w:sz w:val="24"/>
          <w:szCs w:val="24"/>
        </w:rPr>
        <w:t>6</w:t>
      </w:r>
      <w:r w:rsidRPr="0040535D">
        <w:rPr>
          <w:rFonts w:ascii="Times New Roman" w:hAnsi="Times New Roman"/>
          <w:bCs/>
          <w:sz w:val="24"/>
          <w:szCs w:val="24"/>
        </w:rPr>
        <w:t xml:space="preserve">) są trzecią, najbardziej swobodną formą instrumentów terytorialnych zaproponowanych przez </w:t>
      </w:r>
      <w:r w:rsidR="00981673" w:rsidRPr="0040535D">
        <w:rPr>
          <w:rFonts w:ascii="Times New Roman" w:hAnsi="Times New Roman"/>
          <w:bCs/>
          <w:sz w:val="24"/>
          <w:szCs w:val="24"/>
        </w:rPr>
        <w:t>KE</w:t>
      </w:r>
      <w:r w:rsidRPr="0040535D">
        <w:rPr>
          <w:rFonts w:ascii="Times New Roman" w:hAnsi="Times New Roman"/>
          <w:bCs/>
          <w:sz w:val="24"/>
          <w:szCs w:val="24"/>
        </w:rPr>
        <w:t xml:space="preserve"> w art. </w:t>
      </w:r>
      <w:r w:rsidR="000B019D" w:rsidRPr="0040535D">
        <w:rPr>
          <w:rFonts w:ascii="Times New Roman" w:hAnsi="Times New Roman"/>
          <w:bCs/>
          <w:sz w:val="24"/>
          <w:szCs w:val="24"/>
        </w:rPr>
        <w:t xml:space="preserve">28 </w:t>
      </w:r>
      <w:r w:rsidRPr="0040535D">
        <w:rPr>
          <w:rFonts w:ascii="Times New Roman" w:hAnsi="Times New Roman"/>
          <w:bCs/>
          <w:sz w:val="24"/>
          <w:szCs w:val="24"/>
        </w:rPr>
        <w:t xml:space="preserve">rozporządzenia ogólnego, która </w:t>
      </w:r>
      <w:r w:rsidR="000B019D" w:rsidRPr="0040535D">
        <w:rPr>
          <w:rFonts w:ascii="Times New Roman" w:hAnsi="Times New Roman"/>
          <w:bCs/>
          <w:sz w:val="24"/>
          <w:szCs w:val="24"/>
        </w:rPr>
        <w:t xml:space="preserve">co do zasady </w:t>
      </w:r>
      <w:r w:rsidRPr="0040535D">
        <w:rPr>
          <w:rFonts w:ascii="Times New Roman" w:hAnsi="Times New Roman"/>
          <w:bCs/>
          <w:sz w:val="24"/>
          <w:szCs w:val="24"/>
        </w:rPr>
        <w:t xml:space="preserve">nie posiada żadnych ograniczeń i pozwala na dowolne ukształtowanie własnych instrumentów terytorialnych przez </w:t>
      </w:r>
      <w:r w:rsidR="00981673" w:rsidRPr="0040535D">
        <w:rPr>
          <w:rFonts w:ascii="Times New Roman" w:hAnsi="Times New Roman"/>
          <w:bCs/>
          <w:sz w:val="24"/>
          <w:szCs w:val="24"/>
        </w:rPr>
        <w:t xml:space="preserve">państwa </w:t>
      </w:r>
      <w:r w:rsidR="00157F96" w:rsidRPr="0040535D">
        <w:rPr>
          <w:rFonts w:ascii="Times New Roman" w:hAnsi="Times New Roman"/>
          <w:bCs/>
          <w:sz w:val="24"/>
          <w:szCs w:val="24"/>
        </w:rPr>
        <w:t>c</w:t>
      </w:r>
      <w:r w:rsidR="00981673" w:rsidRPr="0040535D">
        <w:rPr>
          <w:rFonts w:ascii="Times New Roman" w:hAnsi="Times New Roman"/>
          <w:bCs/>
          <w:sz w:val="24"/>
          <w:szCs w:val="24"/>
        </w:rPr>
        <w:t>złonkowskie</w:t>
      </w:r>
      <w:r w:rsidRPr="0040535D">
        <w:rPr>
          <w:rFonts w:ascii="Times New Roman" w:hAnsi="Times New Roman"/>
          <w:bCs/>
          <w:sz w:val="24"/>
          <w:szCs w:val="24"/>
        </w:rPr>
        <w:t xml:space="preserve">. Jedynym ograniczeniem jest wymóg przygotowania strategii terytorialnej, o której mowa w art. </w:t>
      </w:r>
      <w:r w:rsidR="000B019D" w:rsidRPr="0040535D">
        <w:rPr>
          <w:rFonts w:ascii="Times New Roman" w:hAnsi="Times New Roman"/>
          <w:bCs/>
          <w:sz w:val="24"/>
          <w:szCs w:val="24"/>
        </w:rPr>
        <w:t xml:space="preserve">29 </w:t>
      </w:r>
      <w:r w:rsidRPr="0040535D">
        <w:rPr>
          <w:rFonts w:ascii="Times New Roman" w:hAnsi="Times New Roman"/>
          <w:bCs/>
          <w:sz w:val="24"/>
          <w:szCs w:val="24"/>
        </w:rPr>
        <w:t>rozporządzenia</w:t>
      </w:r>
      <w:r w:rsidR="0090611F" w:rsidRPr="0040535D">
        <w:rPr>
          <w:rFonts w:ascii="Times New Roman" w:hAnsi="Times New Roman"/>
          <w:bCs/>
          <w:sz w:val="24"/>
          <w:szCs w:val="24"/>
        </w:rPr>
        <w:t xml:space="preserve"> ogólnego</w:t>
      </w:r>
      <w:r w:rsidRPr="0040535D">
        <w:rPr>
          <w:rFonts w:ascii="Times New Roman" w:hAnsi="Times New Roman"/>
          <w:bCs/>
          <w:sz w:val="24"/>
          <w:szCs w:val="24"/>
        </w:rPr>
        <w:t>, na tych samych zasadach jak w przypadku ZIT.</w:t>
      </w:r>
    </w:p>
    <w:p w14:paraId="22A20F14"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Zasady realizacji IIT określone w niniejszej ustawie są </w:t>
      </w:r>
      <w:r w:rsidR="00532D0E" w:rsidRPr="0040535D">
        <w:rPr>
          <w:rFonts w:ascii="Times New Roman" w:hAnsi="Times New Roman"/>
          <w:bCs/>
          <w:sz w:val="24"/>
          <w:szCs w:val="24"/>
        </w:rPr>
        <w:t>podobne</w:t>
      </w:r>
      <w:r w:rsidRPr="0040535D">
        <w:rPr>
          <w:rFonts w:ascii="Times New Roman" w:hAnsi="Times New Roman"/>
          <w:bCs/>
          <w:sz w:val="24"/>
          <w:szCs w:val="24"/>
        </w:rPr>
        <w:t xml:space="preserve"> do zasad realizacji ZIT, jednakże są dużo bardziej prostsze i nie nakładają wymogów dotyczących min. konieczności założenia partnerstwa w celu realizacji projektów zintegrowanych. Wynika to przede wszystkim z konieczności zapewnienia elastyczności IIT, która umożliwi jego stosowanie w różnych programach i różnych obszarach tematycznych, dostosowanego do potrzeb wykorzystującej go instytucji, przy spełnieniu zasad wynikających z niniejszej ustawy.</w:t>
      </w:r>
    </w:p>
    <w:p w14:paraId="3E292B70" w14:textId="77777777" w:rsidR="000B019D" w:rsidRPr="0040535D" w:rsidRDefault="00532D0E" w:rsidP="009A0EE5">
      <w:pPr>
        <w:spacing w:after="0" w:line="360" w:lineRule="auto"/>
        <w:jc w:val="both"/>
        <w:rPr>
          <w:rFonts w:ascii="Times New Roman" w:hAnsi="Times New Roman"/>
          <w:bCs/>
          <w:sz w:val="24"/>
          <w:szCs w:val="24"/>
        </w:rPr>
      </w:pPr>
      <w:r w:rsidRPr="0040535D">
        <w:rPr>
          <w:rFonts w:ascii="Times New Roman" w:hAnsi="Times New Roman"/>
        </w:rPr>
        <w:t>IIT są realizowane zgodnie z warunkami określonymi w umowie partnerstwa na obszarach wyznaczonych przez właściwą instytucję zarządzającą, a w przypadku działań z zakresu rewitalizacji, na obszarach wskazanych w gminnych programach rewitalizacji</w:t>
      </w:r>
      <w:r w:rsidRPr="0040535D" w:rsidDel="00532D0E">
        <w:rPr>
          <w:rFonts w:ascii="Times New Roman" w:hAnsi="Times New Roman"/>
          <w:bCs/>
          <w:sz w:val="24"/>
          <w:szCs w:val="24"/>
        </w:rPr>
        <w:t xml:space="preserve"> </w:t>
      </w:r>
      <w:r w:rsidR="000B019D" w:rsidRPr="0040535D">
        <w:rPr>
          <w:rFonts w:ascii="Times New Roman" w:hAnsi="Times New Roman"/>
          <w:bCs/>
          <w:sz w:val="24"/>
          <w:szCs w:val="24"/>
        </w:rPr>
        <w:t>(ust. 2).</w:t>
      </w:r>
    </w:p>
    <w:p w14:paraId="4C7431DE"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IIT są realizowane w wybranych obszarach tematycznych, wskazanych w programie (ust. 3) oraz będą zarządzane na poziomie lokalnym, przez jednostki samorządu terytorialnego (</w:t>
      </w:r>
      <w:r w:rsidR="00093EEA" w:rsidRPr="0040535D">
        <w:rPr>
          <w:rFonts w:ascii="Times New Roman" w:hAnsi="Times New Roman"/>
          <w:bCs/>
          <w:sz w:val="24"/>
          <w:szCs w:val="24"/>
        </w:rPr>
        <w:t>gmin</w:t>
      </w:r>
      <w:r w:rsidR="00093EEA">
        <w:rPr>
          <w:rFonts w:ascii="Times New Roman" w:hAnsi="Times New Roman"/>
          <w:bCs/>
          <w:sz w:val="24"/>
          <w:szCs w:val="24"/>
        </w:rPr>
        <w:t>ę</w:t>
      </w:r>
      <w:r w:rsidR="00093EEA" w:rsidRPr="0040535D">
        <w:rPr>
          <w:rFonts w:ascii="Times New Roman" w:hAnsi="Times New Roman"/>
          <w:bCs/>
          <w:sz w:val="24"/>
          <w:szCs w:val="24"/>
        </w:rPr>
        <w:t xml:space="preserve"> </w:t>
      </w:r>
      <w:r w:rsidR="00093EEA">
        <w:rPr>
          <w:rFonts w:ascii="Times New Roman" w:hAnsi="Times New Roman"/>
          <w:bCs/>
          <w:sz w:val="24"/>
          <w:szCs w:val="24"/>
        </w:rPr>
        <w:t>l</w:t>
      </w:r>
      <w:r w:rsidRPr="0040535D">
        <w:rPr>
          <w:rFonts w:ascii="Times New Roman" w:hAnsi="Times New Roman"/>
          <w:bCs/>
          <w:sz w:val="24"/>
          <w:szCs w:val="24"/>
        </w:rPr>
        <w:t xml:space="preserve">ub powiat) </w:t>
      </w:r>
      <w:r w:rsidR="000B019D" w:rsidRPr="0040535D">
        <w:rPr>
          <w:rFonts w:ascii="Times New Roman" w:hAnsi="Times New Roman"/>
          <w:bCs/>
          <w:sz w:val="24"/>
          <w:szCs w:val="24"/>
        </w:rPr>
        <w:t>lub ich partnerstwa</w:t>
      </w:r>
      <w:r w:rsidR="00093EEA">
        <w:rPr>
          <w:rFonts w:ascii="Times New Roman" w:hAnsi="Times New Roman"/>
          <w:bCs/>
          <w:sz w:val="24"/>
          <w:szCs w:val="24"/>
        </w:rPr>
        <w:t xml:space="preserve"> powołane w jednej z ustawowych formach współpracy jednostek samorządu terytorialnego</w:t>
      </w:r>
      <w:r w:rsidR="000B019D" w:rsidRPr="0040535D">
        <w:rPr>
          <w:rFonts w:ascii="Times New Roman" w:hAnsi="Times New Roman"/>
          <w:bCs/>
          <w:sz w:val="24"/>
          <w:szCs w:val="24"/>
        </w:rPr>
        <w:t xml:space="preserve">, </w:t>
      </w:r>
      <w:r w:rsidRPr="0040535D">
        <w:rPr>
          <w:rFonts w:ascii="Times New Roman" w:hAnsi="Times New Roman"/>
          <w:bCs/>
          <w:sz w:val="24"/>
          <w:szCs w:val="24"/>
        </w:rPr>
        <w:t xml:space="preserve">wyznaczone przez właściwą </w:t>
      </w:r>
      <w:r w:rsidR="00981673" w:rsidRPr="0040535D">
        <w:rPr>
          <w:rFonts w:ascii="Times New Roman" w:hAnsi="Times New Roman"/>
          <w:bCs/>
          <w:sz w:val="24"/>
          <w:szCs w:val="24"/>
        </w:rPr>
        <w:t>instytucję zarządzającą</w:t>
      </w:r>
      <w:r w:rsidRPr="0040535D">
        <w:rPr>
          <w:rFonts w:ascii="Times New Roman" w:hAnsi="Times New Roman"/>
          <w:bCs/>
          <w:sz w:val="24"/>
          <w:szCs w:val="24"/>
        </w:rPr>
        <w:t xml:space="preserve">, których głównym zadaniem jest przygotowanie </w:t>
      </w:r>
      <w:r w:rsidR="000B019D" w:rsidRPr="0040535D">
        <w:rPr>
          <w:rFonts w:ascii="Times New Roman" w:hAnsi="Times New Roman"/>
          <w:bCs/>
          <w:sz w:val="24"/>
          <w:szCs w:val="24"/>
        </w:rPr>
        <w:t>strategii</w:t>
      </w:r>
      <w:r w:rsidR="0010339A" w:rsidRPr="0040535D">
        <w:rPr>
          <w:rFonts w:ascii="Times New Roman" w:hAnsi="Times New Roman"/>
          <w:bCs/>
          <w:sz w:val="24"/>
          <w:szCs w:val="24"/>
        </w:rPr>
        <w:t xml:space="preserve"> </w:t>
      </w:r>
      <w:r w:rsidRPr="0040535D">
        <w:rPr>
          <w:rFonts w:ascii="Times New Roman" w:hAnsi="Times New Roman"/>
          <w:bCs/>
          <w:sz w:val="24"/>
          <w:szCs w:val="24"/>
        </w:rPr>
        <w:t xml:space="preserve">IIT, </w:t>
      </w:r>
      <w:r w:rsidR="0010339A" w:rsidRPr="0040535D">
        <w:rPr>
          <w:rFonts w:ascii="Times New Roman" w:hAnsi="Times New Roman"/>
          <w:bCs/>
          <w:sz w:val="24"/>
          <w:szCs w:val="24"/>
        </w:rPr>
        <w:t xml:space="preserve">która </w:t>
      </w:r>
      <w:r w:rsidRPr="0040535D">
        <w:rPr>
          <w:rFonts w:ascii="Times New Roman" w:hAnsi="Times New Roman"/>
          <w:bCs/>
          <w:sz w:val="24"/>
          <w:szCs w:val="24"/>
        </w:rPr>
        <w:t xml:space="preserve">tak samo jak </w:t>
      </w:r>
      <w:r w:rsidR="0010339A" w:rsidRPr="0040535D">
        <w:rPr>
          <w:rFonts w:ascii="Times New Roman" w:hAnsi="Times New Roman"/>
          <w:bCs/>
          <w:sz w:val="24"/>
          <w:szCs w:val="24"/>
        </w:rPr>
        <w:t xml:space="preserve">strategia </w:t>
      </w:r>
      <w:r w:rsidRPr="0040535D">
        <w:rPr>
          <w:rFonts w:ascii="Times New Roman" w:hAnsi="Times New Roman"/>
          <w:bCs/>
          <w:sz w:val="24"/>
          <w:szCs w:val="24"/>
        </w:rPr>
        <w:t xml:space="preserve">ZIT, o </w:t>
      </w:r>
      <w:r w:rsidR="0010339A" w:rsidRPr="0040535D">
        <w:rPr>
          <w:rFonts w:ascii="Times New Roman" w:hAnsi="Times New Roman"/>
          <w:bCs/>
          <w:sz w:val="24"/>
          <w:szCs w:val="24"/>
        </w:rPr>
        <w:t xml:space="preserve">której </w:t>
      </w:r>
      <w:r w:rsidRPr="0040535D">
        <w:rPr>
          <w:rFonts w:ascii="Times New Roman" w:hAnsi="Times New Roman"/>
          <w:bCs/>
          <w:sz w:val="24"/>
          <w:szCs w:val="24"/>
        </w:rPr>
        <w:t xml:space="preserve">mowa w art. </w:t>
      </w:r>
      <w:r w:rsidR="00902FEC" w:rsidRPr="0040535D">
        <w:rPr>
          <w:rFonts w:ascii="Times New Roman" w:hAnsi="Times New Roman"/>
          <w:bCs/>
          <w:sz w:val="24"/>
          <w:szCs w:val="24"/>
        </w:rPr>
        <w:t>34</w:t>
      </w:r>
      <w:r w:rsidRPr="0040535D">
        <w:rPr>
          <w:rFonts w:ascii="Times New Roman" w:hAnsi="Times New Roman"/>
          <w:bCs/>
          <w:sz w:val="24"/>
          <w:szCs w:val="24"/>
        </w:rPr>
        <w:t xml:space="preserve">, pełni funkcję „strategii terytorialnej”, o której mowa w art. </w:t>
      </w:r>
      <w:r w:rsidR="0010339A" w:rsidRPr="0040535D">
        <w:rPr>
          <w:rFonts w:ascii="Times New Roman" w:hAnsi="Times New Roman"/>
          <w:bCs/>
          <w:sz w:val="24"/>
          <w:szCs w:val="24"/>
        </w:rPr>
        <w:t xml:space="preserve">29 </w:t>
      </w:r>
      <w:r w:rsidRPr="0040535D">
        <w:rPr>
          <w:rFonts w:ascii="Times New Roman" w:hAnsi="Times New Roman"/>
          <w:bCs/>
          <w:sz w:val="24"/>
          <w:szCs w:val="24"/>
        </w:rPr>
        <w:t>rozporządzenia ogólnego (ust. 4).</w:t>
      </w:r>
    </w:p>
    <w:p w14:paraId="20A9E4BF"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Art. </w:t>
      </w:r>
      <w:r w:rsidR="00EA44F4" w:rsidRPr="0040535D">
        <w:rPr>
          <w:rFonts w:ascii="Times New Roman" w:hAnsi="Times New Roman"/>
          <w:bCs/>
          <w:sz w:val="24"/>
          <w:szCs w:val="24"/>
        </w:rPr>
        <w:t>3</w:t>
      </w:r>
      <w:r w:rsidR="0090611F" w:rsidRPr="0040535D">
        <w:rPr>
          <w:rFonts w:ascii="Times New Roman" w:hAnsi="Times New Roman"/>
          <w:bCs/>
          <w:sz w:val="24"/>
          <w:szCs w:val="24"/>
        </w:rPr>
        <w:t>6</w:t>
      </w:r>
      <w:r w:rsidR="00EA44F4" w:rsidRPr="0040535D">
        <w:rPr>
          <w:rFonts w:ascii="Times New Roman" w:hAnsi="Times New Roman"/>
          <w:bCs/>
          <w:sz w:val="24"/>
          <w:szCs w:val="24"/>
        </w:rPr>
        <w:t xml:space="preserve"> </w:t>
      </w:r>
      <w:r w:rsidRPr="0040535D">
        <w:rPr>
          <w:rFonts w:ascii="Times New Roman" w:hAnsi="Times New Roman"/>
          <w:bCs/>
          <w:sz w:val="24"/>
          <w:szCs w:val="24"/>
        </w:rPr>
        <w:t xml:space="preserve">określa również podstawowe warunki dla przygotowania </w:t>
      </w:r>
      <w:r w:rsidR="0010339A" w:rsidRPr="0040535D">
        <w:rPr>
          <w:rFonts w:ascii="Times New Roman" w:hAnsi="Times New Roman"/>
          <w:bCs/>
          <w:sz w:val="24"/>
          <w:szCs w:val="24"/>
        </w:rPr>
        <w:t>strategii</w:t>
      </w:r>
      <w:r w:rsidRPr="0040535D">
        <w:rPr>
          <w:rFonts w:ascii="Times New Roman" w:hAnsi="Times New Roman"/>
          <w:bCs/>
          <w:sz w:val="24"/>
          <w:szCs w:val="24"/>
        </w:rPr>
        <w:t xml:space="preserve"> IIT (ust. 5-8), które są zbieżne z minimalnymi warunkami dla </w:t>
      </w:r>
      <w:r w:rsidR="0010339A" w:rsidRPr="0040535D">
        <w:rPr>
          <w:rFonts w:ascii="Times New Roman" w:hAnsi="Times New Roman"/>
          <w:bCs/>
          <w:sz w:val="24"/>
          <w:szCs w:val="24"/>
        </w:rPr>
        <w:t>strategii</w:t>
      </w:r>
      <w:r w:rsidRPr="0040535D">
        <w:rPr>
          <w:rFonts w:ascii="Times New Roman" w:hAnsi="Times New Roman"/>
          <w:bCs/>
          <w:sz w:val="24"/>
          <w:szCs w:val="24"/>
        </w:rPr>
        <w:t xml:space="preserve"> ZIT.</w:t>
      </w:r>
      <w:r w:rsidR="005E16B8" w:rsidRPr="0040535D">
        <w:t xml:space="preserve"> </w:t>
      </w:r>
      <w:r w:rsidR="005E16B8" w:rsidRPr="0040535D">
        <w:rPr>
          <w:rFonts w:ascii="Times New Roman" w:hAnsi="Times New Roman"/>
          <w:bCs/>
          <w:sz w:val="24"/>
          <w:szCs w:val="24"/>
        </w:rPr>
        <w:t xml:space="preserve">Strategia IIT oraz jej zmiany są </w:t>
      </w:r>
      <w:r w:rsidR="005E16B8" w:rsidRPr="0040535D">
        <w:rPr>
          <w:rFonts w:ascii="Times New Roman" w:hAnsi="Times New Roman"/>
          <w:bCs/>
          <w:sz w:val="24"/>
          <w:szCs w:val="24"/>
        </w:rPr>
        <w:lastRenderedPageBreak/>
        <w:t>przyjmowane przez radę gminy, radę powiatu albo w trybie właściwym dla wybranej formy współpracy.</w:t>
      </w:r>
    </w:p>
    <w:p w14:paraId="30B937B9" w14:textId="77777777" w:rsidR="00555DC0"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Dla IIT również wprowadzono rozwiązanie zwolnienia z obowiązku przygotowania </w:t>
      </w:r>
      <w:r w:rsidR="0010339A" w:rsidRPr="0040535D">
        <w:rPr>
          <w:rFonts w:ascii="Times New Roman" w:hAnsi="Times New Roman"/>
          <w:bCs/>
          <w:sz w:val="24"/>
          <w:szCs w:val="24"/>
        </w:rPr>
        <w:t>strategii</w:t>
      </w:r>
      <w:r w:rsidRPr="0040535D">
        <w:rPr>
          <w:rFonts w:ascii="Times New Roman" w:hAnsi="Times New Roman"/>
          <w:bCs/>
          <w:sz w:val="24"/>
          <w:szCs w:val="24"/>
        </w:rPr>
        <w:t xml:space="preserve"> IIT w przypadku dla objętego nim obszaru przygotowano strategię rozwoju gminy, o której mowa w art. 10e ustawy z dnia 8 marca 1990 r. o samorządzie gminnym, lub strategię rozwoju ponadlokalnego, o której mowa w art. 10g ustawy z dnia 8 marca 1990 r. o samorządzie gminnym, lub gminny program rewitalizacji, o którym mowa w art. </w:t>
      </w:r>
      <w:r w:rsidR="0010339A" w:rsidRPr="0040535D">
        <w:rPr>
          <w:rFonts w:ascii="Times New Roman" w:hAnsi="Times New Roman"/>
          <w:bCs/>
          <w:sz w:val="24"/>
          <w:szCs w:val="24"/>
        </w:rPr>
        <w:t xml:space="preserve">14-15 </w:t>
      </w:r>
      <w:r w:rsidRPr="0040535D">
        <w:rPr>
          <w:rFonts w:ascii="Times New Roman" w:hAnsi="Times New Roman"/>
          <w:bCs/>
          <w:sz w:val="24"/>
          <w:szCs w:val="24"/>
        </w:rPr>
        <w:t>ustawy z dnia 9 października 2015 r. o rewitalizacji (ust. 9).</w:t>
      </w:r>
    </w:p>
    <w:p w14:paraId="4C9B80DC" w14:textId="77777777" w:rsidR="00093EEA" w:rsidRPr="0040535D" w:rsidRDefault="00093EEA" w:rsidP="009A0EE5">
      <w:pPr>
        <w:spacing w:after="0" w:line="360" w:lineRule="auto"/>
        <w:jc w:val="both"/>
        <w:rPr>
          <w:rFonts w:ascii="Times New Roman" w:hAnsi="Times New Roman"/>
          <w:bCs/>
          <w:sz w:val="24"/>
          <w:szCs w:val="24"/>
        </w:rPr>
      </w:pPr>
      <w:r>
        <w:rPr>
          <w:rFonts w:ascii="Times New Roman" w:hAnsi="Times New Roman"/>
          <w:bCs/>
          <w:sz w:val="24"/>
          <w:szCs w:val="24"/>
        </w:rPr>
        <w:t xml:space="preserve">Podobnie jak w przypadku instrumentu ZIT, w przypadku strategii rozwoju gminy lub strategii rozwoju ponadlokalnego </w:t>
      </w:r>
      <w:r w:rsidRPr="00093EEA">
        <w:rPr>
          <w:rFonts w:ascii="Times New Roman" w:hAnsi="Times New Roman"/>
          <w:bCs/>
          <w:sz w:val="24"/>
          <w:szCs w:val="24"/>
        </w:rPr>
        <w:t xml:space="preserve">wprowadzono możliwość odrębnego przyjęcia ww. listy projektów poprzez przyjęcie stosownej uchwały </w:t>
      </w:r>
      <w:r>
        <w:rPr>
          <w:rFonts w:ascii="Times New Roman" w:hAnsi="Times New Roman"/>
          <w:bCs/>
          <w:sz w:val="24"/>
          <w:szCs w:val="24"/>
        </w:rPr>
        <w:t>podmiotów przygotowujących ww. strategię</w:t>
      </w:r>
      <w:r w:rsidRPr="00093EEA">
        <w:rPr>
          <w:rFonts w:ascii="Times New Roman" w:hAnsi="Times New Roman"/>
          <w:bCs/>
          <w:sz w:val="24"/>
          <w:szCs w:val="24"/>
        </w:rPr>
        <w:t xml:space="preserve"> (ust. 10)</w:t>
      </w:r>
    </w:p>
    <w:p w14:paraId="04AB4ACC" w14:textId="77777777" w:rsidR="0010339A"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Instrument IIT zostanie wykorzystany przede wszystkim do ukierunkowania interwencji w ramach Celu Polityki 5, </w:t>
      </w:r>
      <w:r w:rsidR="0010339A" w:rsidRPr="0040535D">
        <w:rPr>
          <w:rFonts w:ascii="Times New Roman" w:hAnsi="Times New Roman"/>
          <w:bCs/>
          <w:sz w:val="24"/>
          <w:szCs w:val="24"/>
        </w:rPr>
        <w:t xml:space="preserve">jednakże nie będzie do niego ograniczony i może być wykorzystany, zgodnie z decyzją właściwej Instytucji Zarządzającej, do wdrażania interwencji w ramach pozostałych Celów Polityki. Dedykowanym IIT obszarem tematycznym jest rewitalizacja, która może być wdrażana wyłącznie poprzez gminne programy rewitalizacji pełniące funkcję strategii IIT. </w:t>
      </w:r>
    </w:p>
    <w:p w14:paraId="3A61238A" w14:textId="77777777" w:rsidR="0010339A" w:rsidRPr="0040535D" w:rsidRDefault="0010339A"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Strategia IIT nie jest strategią rozwoju i nie stosuje się do niego przepisów </w:t>
      </w:r>
      <w:proofErr w:type="spellStart"/>
      <w:r w:rsidRPr="0040535D">
        <w:rPr>
          <w:rFonts w:ascii="Times New Roman" w:hAnsi="Times New Roman"/>
          <w:bCs/>
          <w:sz w:val="24"/>
          <w:szCs w:val="24"/>
        </w:rPr>
        <w:t>uzppr</w:t>
      </w:r>
      <w:proofErr w:type="spellEnd"/>
      <w:r w:rsidRPr="0040535D">
        <w:rPr>
          <w:rFonts w:ascii="Times New Roman" w:hAnsi="Times New Roman"/>
          <w:bCs/>
          <w:sz w:val="24"/>
          <w:szCs w:val="24"/>
        </w:rPr>
        <w:t xml:space="preserve"> (ust. </w:t>
      </w:r>
      <w:r w:rsidR="003E4FC8">
        <w:rPr>
          <w:rFonts w:ascii="Times New Roman" w:hAnsi="Times New Roman"/>
          <w:bCs/>
          <w:sz w:val="24"/>
          <w:szCs w:val="24"/>
        </w:rPr>
        <w:t>12</w:t>
      </w:r>
      <w:r w:rsidRPr="0040535D">
        <w:rPr>
          <w:rFonts w:ascii="Times New Roman" w:hAnsi="Times New Roman"/>
          <w:bCs/>
          <w:sz w:val="24"/>
          <w:szCs w:val="24"/>
        </w:rPr>
        <w:t>).</w:t>
      </w:r>
    </w:p>
    <w:p w14:paraId="3B9D3E26" w14:textId="77777777" w:rsidR="0010339A" w:rsidRPr="0040535D" w:rsidRDefault="003E4FC8" w:rsidP="009A0EE5">
      <w:pPr>
        <w:spacing w:after="0" w:line="360" w:lineRule="auto"/>
        <w:jc w:val="both"/>
        <w:rPr>
          <w:rFonts w:ascii="Times New Roman" w:hAnsi="Times New Roman"/>
          <w:bCs/>
          <w:sz w:val="24"/>
          <w:szCs w:val="24"/>
        </w:rPr>
      </w:pPr>
      <w:r w:rsidRPr="003E4FC8">
        <w:rPr>
          <w:rFonts w:ascii="Times New Roman" w:hAnsi="Times New Roman"/>
          <w:bCs/>
          <w:sz w:val="24"/>
          <w:szCs w:val="24"/>
        </w:rPr>
        <w:t>"</w:t>
      </w:r>
      <w:r w:rsidR="0010339A" w:rsidRPr="0040535D">
        <w:rPr>
          <w:rFonts w:ascii="Times New Roman" w:hAnsi="Times New Roman"/>
          <w:bCs/>
          <w:sz w:val="24"/>
          <w:szCs w:val="24"/>
        </w:rPr>
        <w:t>Niezbędnym warunkiem dla realizacji strategii ZIT i strategii IIT jest:</w:t>
      </w:r>
    </w:p>
    <w:p w14:paraId="1A66098E" w14:textId="77777777" w:rsidR="0010339A" w:rsidRPr="0040535D" w:rsidRDefault="0010339A" w:rsidP="009A0EE5">
      <w:pPr>
        <w:numPr>
          <w:ilvl w:val="0"/>
          <w:numId w:val="23"/>
        </w:num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zgodność strategii ZIT i strategii IIT z warunkami określonymi w </w:t>
      </w:r>
      <w:r w:rsidR="001563F7" w:rsidRPr="0040535D">
        <w:rPr>
          <w:rFonts w:ascii="Times New Roman" w:hAnsi="Times New Roman"/>
          <w:bCs/>
          <w:sz w:val="24"/>
          <w:szCs w:val="24"/>
        </w:rPr>
        <w:t xml:space="preserve">umowie partnerstwa </w:t>
      </w:r>
      <w:r w:rsidRPr="0040535D">
        <w:rPr>
          <w:rFonts w:ascii="Times New Roman" w:hAnsi="Times New Roman"/>
          <w:bCs/>
          <w:sz w:val="24"/>
          <w:szCs w:val="24"/>
        </w:rPr>
        <w:t>(odpowiednio art. 3</w:t>
      </w:r>
      <w:r w:rsidR="0090611F" w:rsidRPr="0040535D">
        <w:rPr>
          <w:rFonts w:ascii="Times New Roman" w:hAnsi="Times New Roman"/>
          <w:bCs/>
          <w:sz w:val="24"/>
          <w:szCs w:val="24"/>
        </w:rPr>
        <w:t>4</w:t>
      </w:r>
      <w:r w:rsidRPr="0040535D">
        <w:rPr>
          <w:rFonts w:ascii="Times New Roman" w:hAnsi="Times New Roman"/>
          <w:bCs/>
          <w:sz w:val="24"/>
          <w:szCs w:val="24"/>
        </w:rPr>
        <w:t xml:space="preserve"> ust. 4 i art. 3</w:t>
      </w:r>
      <w:r w:rsidR="0090611F" w:rsidRPr="0040535D">
        <w:rPr>
          <w:rFonts w:ascii="Times New Roman" w:hAnsi="Times New Roman"/>
          <w:bCs/>
          <w:sz w:val="24"/>
          <w:szCs w:val="24"/>
        </w:rPr>
        <w:t>6</w:t>
      </w:r>
      <w:r w:rsidRPr="0040535D">
        <w:rPr>
          <w:rFonts w:ascii="Times New Roman" w:hAnsi="Times New Roman"/>
          <w:bCs/>
          <w:sz w:val="24"/>
          <w:szCs w:val="24"/>
        </w:rPr>
        <w:t xml:space="preserve"> ust. 2)</w:t>
      </w:r>
    </w:p>
    <w:p w14:paraId="57894694" w14:textId="77777777" w:rsidR="0010339A" w:rsidRPr="0040535D" w:rsidRDefault="001563F7" w:rsidP="009A0EE5">
      <w:pPr>
        <w:numPr>
          <w:ilvl w:val="0"/>
          <w:numId w:val="23"/>
        </w:num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umowa partnerstwa </w:t>
      </w:r>
      <w:r w:rsidR="0010339A" w:rsidRPr="0040535D">
        <w:rPr>
          <w:rFonts w:ascii="Times New Roman" w:hAnsi="Times New Roman"/>
          <w:bCs/>
          <w:sz w:val="24"/>
          <w:szCs w:val="24"/>
        </w:rPr>
        <w:t xml:space="preserve">stanowi zgodnie z art. 5 ust. 1a </w:t>
      </w:r>
      <w:proofErr w:type="spellStart"/>
      <w:r w:rsidR="0010339A" w:rsidRPr="0040535D">
        <w:rPr>
          <w:rFonts w:ascii="Times New Roman" w:hAnsi="Times New Roman"/>
          <w:bCs/>
          <w:sz w:val="24"/>
          <w:szCs w:val="24"/>
        </w:rPr>
        <w:t>uzppr</w:t>
      </w:r>
      <w:proofErr w:type="spellEnd"/>
      <w:r w:rsidR="0010339A" w:rsidRPr="0040535D">
        <w:rPr>
          <w:rFonts w:ascii="Times New Roman" w:hAnsi="Times New Roman"/>
          <w:bCs/>
          <w:sz w:val="24"/>
          <w:szCs w:val="24"/>
        </w:rPr>
        <w:t xml:space="preserve"> dokument programowy, którego projekt zgodnie z art. 46 ust.</w:t>
      </w:r>
      <w:r w:rsidR="00027DF0" w:rsidRPr="0040535D">
        <w:rPr>
          <w:rFonts w:ascii="Times New Roman" w:hAnsi="Times New Roman"/>
          <w:bCs/>
          <w:sz w:val="24"/>
          <w:szCs w:val="24"/>
        </w:rPr>
        <w:t xml:space="preserve"> </w:t>
      </w:r>
      <w:r w:rsidR="0010339A" w:rsidRPr="0040535D">
        <w:rPr>
          <w:rFonts w:ascii="Times New Roman" w:hAnsi="Times New Roman"/>
          <w:bCs/>
          <w:sz w:val="24"/>
          <w:szCs w:val="24"/>
        </w:rPr>
        <w:t xml:space="preserve">1 pkt 1 </w:t>
      </w:r>
      <w:r w:rsidR="00ED6206" w:rsidRPr="0040535D">
        <w:rPr>
          <w:rFonts w:ascii="Times New Roman" w:hAnsi="Times New Roman"/>
          <w:bCs/>
          <w:sz w:val="24"/>
          <w:szCs w:val="24"/>
        </w:rPr>
        <w:t xml:space="preserve">ustawy o udostępnianiu informacji o środowisku i jego ochronie, udziale społeczeństwa w ochronie środowiska oraz ocenach oddziaływania na środowisko </w:t>
      </w:r>
      <w:r w:rsidR="0010339A" w:rsidRPr="0040535D">
        <w:rPr>
          <w:rFonts w:ascii="Times New Roman" w:hAnsi="Times New Roman"/>
          <w:bCs/>
          <w:sz w:val="24"/>
          <w:szCs w:val="24"/>
        </w:rPr>
        <w:t>podlega strategicznej ocenie oddziaływania na środowisko,</w:t>
      </w:r>
    </w:p>
    <w:p w14:paraId="48658C3C" w14:textId="77777777" w:rsidR="0010339A" w:rsidRPr="0040535D" w:rsidRDefault="0010339A" w:rsidP="009A0EE5">
      <w:pPr>
        <w:numPr>
          <w:ilvl w:val="0"/>
          <w:numId w:val="23"/>
        </w:numPr>
        <w:spacing w:after="0" w:line="360" w:lineRule="auto"/>
        <w:jc w:val="both"/>
        <w:rPr>
          <w:rFonts w:ascii="Times New Roman" w:hAnsi="Times New Roman"/>
          <w:bCs/>
          <w:sz w:val="24"/>
          <w:szCs w:val="24"/>
        </w:rPr>
      </w:pPr>
      <w:r w:rsidRPr="0040535D">
        <w:rPr>
          <w:rFonts w:ascii="Times New Roman" w:hAnsi="Times New Roman"/>
          <w:bCs/>
          <w:sz w:val="24"/>
          <w:szCs w:val="24"/>
        </w:rPr>
        <w:t>możliwość sfinansowania strategii ZIT i strategii IIT w ramach programów (art. 3</w:t>
      </w:r>
      <w:r w:rsidR="0090611F" w:rsidRPr="0040535D">
        <w:rPr>
          <w:rFonts w:ascii="Times New Roman" w:hAnsi="Times New Roman"/>
          <w:bCs/>
          <w:sz w:val="24"/>
          <w:szCs w:val="24"/>
        </w:rPr>
        <w:t>4</w:t>
      </w:r>
      <w:r w:rsidRPr="0040535D">
        <w:rPr>
          <w:rFonts w:ascii="Times New Roman" w:hAnsi="Times New Roman"/>
          <w:bCs/>
          <w:sz w:val="24"/>
          <w:szCs w:val="24"/>
        </w:rPr>
        <w:t xml:space="preserve"> ust. 6 pkt 2 i art. 3</w:t>
      </w:r>
      <w:r w:rsidR="0090611F" w:rsidRPr="0040535D">
        <w:rPr>
          <w:rFonts w:ascii="Times New Roman" w:hAnsi="Times New Roman"/>
          <w:bCs/>
          <w:sz w:val="24"/>
          <w:szCs w:val="24"/>
        </w:rPr>
        <w:t>6</w:t>
      </w:r>
      <w:r w:rsidRPr="0040535D">
        <w:rPr>
          <w:rFonts w:ascii="Times New Roman" w:hAnsi="Times New Roman"/>
          <w:bCs/>
          <w:sz w:val="24"/>
          <w:szCs w:val="24"/>
        </w:rPr>
        <w:t xml:space="preserve"> ust. 4). Programy stanowią programy, o których mowa w art. 5 </w:t>
      </w:r>
      <w:r w:rsidR="001563F7" w:rsidRPr="0040535D">
        <w:rPr>
          <w:rFonts w:ascii="Times New Roman" w:hAnsi="Times New Roman"/>
          <w:bCs/>
          <w:sz w:val="24"/>
          <w:szCs w:val="24"/>
        </w:rPr>
        <w:t xml:space="preserve">pkt 7a </w:t>
      </w:r>
      <w:proofErr w:type="spellStart"/>
      <w:r w:rsidRPr="0040535D">
        <w:rPr>
          <w:rFonts w:ascii="Times New Roman" w:hAnsi="Times New Roman"/>
          <w:bCs/>
          <w:sz w:val="24"/>
          <w:szCs w:val="24"/>
        </w:rPr>
        <w:t>uzppr</w:t>
      </w:r>
      <w:proofErr w:type="spellEnd"/>
      <w:r w:rsidRPr="0040535D">
        <w:rPr>
          <w:rFonts w:ascii="Times New Roman" w:hAnsi="Times New Roman"/>
          <w:bCs/>
          <w:sz w:val="24"/>
          <w:szCs w:val="24"/>
        </w:rPr>
        <w:t xml:space="preserve">, których projekt zgodnie z art. 46 ust. 1 pkt 1 </w:t>
      </w:r>
      <w:r w:rsidR="00ED6206" w:rsidRPr="0040535D">
        <w:rPr>
          <w:rFonts w:ascii="Times New Roman" w:hAnsi="Times New Roman"/>
          <w:bCs/>
          <w:sz w:val="24"/>
          <w:szCs w:val="24"/>
        </w:rPr>
        <w:t xml:space="preserve">ustawy o udostępnianiu informacji o środowisku i jego ochronie, udziale społeczeństwa w ochronie środowiska oraz ocenach oddziaływania na środowisko </w:t>
      </w:r>
      <w:r w:rsidRPr="0040535D">
        <w:rPr>
          <w:rFonts w:ascii="Times New Roman" w:hAnsi="Times New Roman"/>
          <w:bCs/>
          <w:sz w:val="24"/>
          <w:szCs w:val="24"/>
        </w:rPr>
        <w:t xml:space="preserve"> podlegają strategicznej ocenie oddziaływania na środowisko,</w:t>
      </w:r>
    </w:p>
    <w:p w14:paraId="7AC1A5EC" w14:textId="77777777" w:rsidR="0010339A" w:rsidRPr="0040535D" w:rsidRDefault="0010339A" w:rsidP="009A0EE5">
      <w:pPr>
        <w:numPr>
          <w:ilvl w:val="0"/>
          <w:numId w:val="23"/>
        </w:numPr>
        <w:spacing w:after="0" w:line="360" w:lineRule="auto"/>
        <w:jc w:val="both"/>
        <w:rPr>
          <w:rFonts w:ascii="Times New Roman" w:hAnsi="Times New Roman"/>
          <w:bCs/>
          <w:sz w:val="24"/>
          <w:szCs w:val="24"/>
        </w:rPr>
      </w:pPr>
      <w:r w:rsidRPr="0040535D">
        <w:rPr>
          <w:rFonts w:ascii="Times New Roman" w:hAnsi="Times New Roman"/>
          <w:bCs/>
          <w:sz w:val="24"/>
          <w:szCs w:val="24"/>
        </w:rPr>
        <w:t>spójność strategii ZIT ze strategią rozwoju ponadlokalną (art. 3</w:t>
      </w:r>
      <w:r w:rsidR="0090611F" w:rsidRPr="0040535D">
        <w:rPr>
          <w:rFonts w:ascii="Times New Roman" w:hAnsi="Times New Roman"/>
          <w:bCs/>
          <w:sz w:val="24"/>
          <w:szCs w:val="24"/>
        </w:rPr>
        <w:t>4</w:t>
      </w:r>
      <w:r w:rsidRPr="0040535D">
        <w:rPr>
          <w:rFonts w:ascii="Times New Roman" w:hAnsi="Times New Roman"/>
          <w:bCs/>
          <w:sz w:val="24"/>
          <w:szCs w:val="24"/>
        </w:rPr>
        <w:t xml:space="preserve"> ust. 8).</w:t>
      </w:r>
    </w:p>
    <w:p w14:paraId="72073D8D" w14:textId="77777777" w:rsidR="00E51685" w:rsidRDefault="00E51685" w:rsidP="009A0EE5">
      <w:pPr>
        <w:spacing w:after="0" w:line="360" w:lineRule="auto"/>
        <w:jc w:val="both"/>
        <w:rPr>
          <w:rFonts w:ascii="Times New Roman" w:hAnsi="Times New Roman"/>
          <w:bCs/>
          <w:sz w:val="24"/>
          <w:szCs w:val="24"/>
        </w:rPr>
      </w:pPr>
      <w:r w:rsidRPr="00E51685">
        <w:rPr>
          <w:rFonts w:ascii="Times New Roman" w:hAnsi="Times New Roman"/>
          <w:bCs/>
          <w:sz w:val="24"/>
          <w:szCs w:val="24"/>
        </w:rPr>
        <w:lastRenderedPageBreak/>
        <w:t xml:space="preserve">Odnosząc się do kwestii strategicznej oceny oddziaływania na środowisko należy wyjaśnić, że przepisy prawa Unii Europejskiej i prawa polskiego jasno wskazują, jakie dokumenty powinny być poddawane takiej ocenie. Kwalifikacja następuje na podstawie analizy przesłanek merytorycznych. Istnieje duże prawdopodobieństwo, że projektowane ZIT i IIT nie będą spełniały kryteriów kwalifikujących do oceny strategicznej i w ich przypadku dodatkowe wykluczenie obowiązku przeprowadzenia takiej oceny w regulacji o charakterze </w:t>
      </w:r>
      <w:proofErr w:type="spellStart"/>
      <w:r w:rsidRPr="00E51685">
        <w:rPr>
          <w:rFonts w:ascii="Times New Roman" w:hAnsi="Times New Roman"/>
          <w:bCs/>
          <w:sz w:val="24"/>
          <w:szCs w:val="24"/>
        </w:rPr>
        <w:t>specustawowym</w:t>
      </w:r>
      <w:proofErr w:type="spellEnd"/>
      <w:r w:rsidRPr="00E51685">
        <w:rPr>
          <w:rFonts w:ascii="Times New Roman" w:hAnsi="Times New Roman"/>
          <w:bCs/>
          <w:sz w:val="24"/>
          <w:szCs w:val="24"/>
        </w:rPr>
        <w:t xml:space="preserve"> jest zbędne. Jeżeli natomiast okaże się, że w pewnych przypadkach ocena powinna zostać przeprowadzona, rezygnacja z niej na podstawie przepisu stwarzającego podstawę do szczególnego traktowania ZIT i IIT będzie naruszeniem prawa polskiego i UE. Może to stanowić podstawę formułowania zarzutów przez Komisję Europejską i utrudniać uzyskanie dofinansowania.</w:t>
      </w:r>
    </w:p>
    <w:p w14:paraId="1AD13CF1" w14:textId="77777777" w:rsidR="0010339A" w:rsidRPr="0040535D" w:rsidRDefault="00E51685" w:rsidP="009A0EE5">
      <w:pPr>
        <w:spacing w:after="0" w:line="360" w:lineRule="auto"/>
        <w:jc w:val="both"/>
        <w:rPr>
          <w:rFonts w:ascii="Times New Roman" w:hAnsi="Times New Roman"/>
          <w:bCs/>
          <w:sz w:val="24"/>
          <w:szCs w:val="24"/>
        </w:rPr>
      </w:pPr>
      <w:r>
        <w:rPr>
          <w:rFonts w:ascii="Times New Roman" w:hAnsi="Times New Roman"/>
          <w:bCs/>
          <w:sz w:val="24"/>
          <w:szCs w:val="24"/>
        </w:rPr>
        <w:t>Strategia</w:t>
      </w:r>
      <w:r w:rsidR="0010339A" w:rsidRPr="0040535D">
        <w:rPr>
          <w:rFonts w:ascii="Times New Roman" w:hAnsi="Times New Roman"/>
          <w:bCs/>
          <w:sz w:val="24"/>
          <w:szCs w:val="24"/>
        </w:rPr>
        <w:t xml:space="preserve"> </w:t>
      </w:r>
      <w:r w:rsidR="00093EEA">
        <w:rPr>
          <w:rFonts w:ascii="Times New Roman" w:hAnsi="Times New Roman"/>
          <w:bCs/>
          <w:sz w:val="24"/>
          <w:szCs w:val="24"/>
        </w:rPr>
        <w:t xml:space="preserve">rozwoju </w:t>
      </w:r>
      <w:r w:rsidR="0010339A" w:rsidRPr="0040535D">
        <w:rPr>
          <w:rFonts w:ascii="Times New Roman" w:hAnsi="Times New Roman"/>
          <w:bCs/>
          <w:sz w:val="24"/>
          <w:szCs w:val="24"/>
        </w:rPr>
        <w:t>ponadlokaln</w:t>
      </w:r>
      <w:r w:rsidR="00093EEA">
        <w:rPr>
          <w:rFonts w:ascii="Times New Roman" w:hAnsi="Times New Roman"/>
          <w:bCs/>
          <w:sz w:val="24"/>
          <w:szCs w:val="24"/>
        </w:rPr>
        <w:t>ego</w:t>
      </w:r>
      <w:r w:rsidR="0010339A" w:rsidRPr="0040535D">
        <w:rPr>
          <w:rFonts w:ascii="Times New Roman" w:hAnsi="Times New Roman"/>
          <w:bCs/>
          <w:sz w:val="24"/>
          <w:szCs w:val="24"/>
        </w:rPr>
        <w:t xml:space="preserve"> stanowi zgodnie z art. 9 </w:t>
      </w:r>
      <w:r w:rsidR="00ED6206" w:rsidRPr="0040535D">
        <w:rPr>
          <w:rFonts w:ascii="Times New Roman" w:hAnsi="Times New Roman"/>
          <w:bCs/>
          <w:sz w:val="24"/>
          <w:szCs w:val="24"/>
        </w:rPr>
        <w:t>pkt</w:t>
      </w:r>
      <w:r w:rsidR="0010339A" w:rsidRPr="0040535D">
        <w:rPr>
          <w:rFonts w:ascii="Times New Roman" w:hAnsi="Times New Roman"/>
          <w:bCs/>
          <w:sz w:val="24"/>
          <w:szCs w:val="24"/>
        </w:rPr>
        <w:t xml:space="preserve">. 6 </w:t>
      </w:r>
      <w:proofErr w:type="spellStart"/>
      <w:r w:rsidR="0010339A" w:rsidRPr="0040535D">
        <w:rPr>
          <w:rFonts w:ascii="Times New Roman" w:hAnsi="Times New Roman"/>
          <w:bCs/>
          <w:sz w:val="24"/>
          <w:szCs w:val="24"/>
        </w:rPr>
        <w:t>uzppr</w:t>
      </w:r>
      <w:proofErr w:type="spellEnd"/>
      <w:r w:rsidR="0010339A" w:rsidRPr="0040535D">
        <w:rPr>
          <w:rFonts w:ascii="Times New Roman" w:hAnsi="Times New Roman"/>
          <w:bCs/>
          <w:sz w:val="24"/>
          <w:szCs w:val="24"/>
        </w:rPr>
        <w:t xml:space="preserve">  strategię rozwoju, której projekt zgodnie z art. 46 ust. 1 pkt 1 ustawy o </w:t>
      </w:r>
      <w:r w:rsidR="00ED6206" w:rsidRPr="0040535D">
        <w:rPr>
          <w:rFonts w:ascii="Times New Roman" w:hAnsi="Times New Roman"/>
          <w:bCs/>
          <w:sz w:val="24"/>
          <w:szCs w:val="24"/>
        </w:rPr>
        <w:t xml:space="preserve">udostępnianiu informacji o środowisku i jego ochronie, udziale społeczeństwa w ochronie środowiska oraz ocenach oddziaływania na środowisko </w:t>
      </w:r>
      <w:r w:rsidR="0010339A" w:rsidRPr="0040535D">
        <w:rPr>
          <w:rFonts w:ascii="Times New Roman" w:hAnsi="Times New Roman"/>
          <w:bCs/>
          <w:sz w:val="24"/>
          <w:szCs w:val="24"/>
        </w:rPr>
        <w:t xml:space="preserve">podlega strategicznej ocenie oddziaływania na środowisko. </w:t>
      </w:r>
    </w:p>
    <w:p w14:paraId="681BA09F" w14:textId="77777777" w:rsidR="00BB00E6" w:rsidRPr="0040535D" w:rsidRDefault="008F6A1D" w:rsidP="009A0EE5">
      <w:pPr>
        <w:spacing w:after="0" w:line="360" w:lineRule="auto"/>
        <w:jc w:val="both"/>
        <w:rPr>
          <w:rFonts w:ascii="Times New Roman" w:hAnsi="Times New Roman"/>
          <w:bCs/>
          <w:sz w:val="24"/>
          <w:szCs w:val="24"/>
        </w:rPr>
      </w:pPr>
      <w:r>
        <w:rPr>
          <w:rFonts w:ascii="Times New Roman" w:hAnsi="Times New Roman"/>
          <w:bCs/>
          <w:sz w:val="24"/>
          <w:szCs w:val="24"/>
        </w:rPr>
        <w:t>Jeżeli</w:t>
      </w:r>
      <w:r w:rsidR="0010339A" w:rsidRPr="0040535D">
        <w:rPr>
          <w:rFonts w:ascii="Times New Roman" w:hAnsi="Times New Roman"/>
          <w:bCs/>
          <w:sz w:val="24"/>
          <w:szCs w:val="24"/>
        </w:rPr>
        <w:t xml:space="preserve"> konkretne przedsięwzięcia ujęte w strategii ZIT lub strategii IIT będą podlegały przepisom prawa o ochronie środowiska, to w ramach odrębnych postępowań administracyjnych prowadzonych przez właściwe organy wobec tych przedsięwzięć oceniane będzie ich oddziaływanie na środowisko.</w:t>
      </w:r>
      <w:r w:rsidR="00E51685" w:rsidRPr="00E51685">
        <w:t xml:space="preserve"> </w:t>
      </w:r>
    </w:p>
    <w:p w14:paraId="06EDE103" w14:textId="77777777" w:rsidR="000C4B9B" w:rsidRPr="0040535D" w:rsidRDefault="000C4B9B" w:rsidP="009A0EE5">
      <w:pPr>
        <w:spacing w:after="0" w:line="360" w:lineRule="auto"/>
        <w:jc w:val="both"/>
        <w:rPr>
          <w:rFonts w:ascii="Times New Roman" w:hAnsi="Times New Roman"/>
          <w:bCs/>
          <w:sz w:val="24"/>
          <w:szCs w:val="24"/>
        </w:rPr>
      </w:pPr>
      <w:r w:rsidRPr="0040535D">
        <w:rPr>
          <w:rFonts w:ascii="Times New Roman" w:hAnsi="Times New Roman"/>
          <w:b/>
          <w:bCs/>
          <w:sz w:val="24"/>
          <w:szCs w:val="24"/>
        </w:rPr>
        <w:t>Art. 3</w:t>
      </w:r>
      <w:r w:rsidR="0090611F" w:rsidRPr="0040535D">
        <w:rPr>
          <w:rFonts w:ascii="Times New Roman" w:hAnsi="Times New Roman"/>
          <w:b/>
          <w:bCs/>
          <w:sz w:val="24"/>
          <w:szCs w:val="24"/>
        </w:rPr>
        <w:t>7</w:t>
      </w:r>
      <w:r w:rsidRPr="0040535D">
        <w:rPr>
          <w:rFonts w:ascii="Times New Roman" w:hAnsi="Times New Roman"/>
          <w:b/>
          <w:bCs/>
          <w:sz w:val="24"/>
          <w:szCs w:val="24"/>
        </w:rPr>
        <w:t xml:space="preserve"> </w:t>
      </w:r>
      <w:r w:rsidRPr="0040535D">
        <w:rPr>
          <w:rFonts w:ascii="Times New Roman" w:hAnsi="Times New Roman"/>
          <w:bCs/>
          <w:sz w:val="24"/>
          <w:szCs w:val="24"/>
        </w:rPr>
        <w:t>zawiera wyłączeni</w:t>
      </w:r>
      <w:r w:rsidR="007A1041">
        <w:rPr>
          <w:rFonts w:ascii="Times New Roman" w:hAnsi="Times New Roman"/>
          <w:bCs/>
          <w:sz w:val="24"/>
          <w:szCs w:val="24"/>
        </w:rPr>
        <w:t>e</w:t>
      </w:r>
      <w:r w:rsidRPr="0040535D">
        <w:rPr>
          <w:rFonts w:ascii="Times New Roman" w:hAnsi="Times New Roman"/>
          <w:bCs/>
          <w:sz w:val="24"/>
          <w:szCs w:val="24"/>
        </w:rPr>
        <w:t xml:space="preserve"> stosowania przepisów rozdziału 1</w:t>
      </w:r>
      <w:r w:rsidR="000B7CB3" w:rsidRPr="0040535D">
        <w:rPr>
          <w:rFonts w:ascii="Times New Roman" w:hAnsi="Times New Roman"/>
          <w:bCs/>
          <w:sz w:val="24"/>
          <w:szCs w:val="24"/>
        </w:rPr>
        <w:t>2</w:t>
      </w:r>
      <w:r w:rsidRPr="0040535D">
        <w:rPr>
          <w:rFonts w:ascii="Times New Roman" w:hAnsi="Times New Roman"/>
          <w:bCs/>
          <w:sz w:val="24"/>
          <w:szCs w:val="24"/>
        </w:rPr>
        <w:t xml:space="preserve"> do programów </w:t>
      </w:r>
      <w:proofErr w:type="spellStart"/>
      <w:r w:rsidRPr="0040535D">
        <w:rPr>
          <w:rFonts w:ascii="Times New Roman" w:hAnsi="Times New Roman"/>
          <w:bCs/>
          <w:sz w:val="24"/>
          <w:szCs w:val="24"/>
        </w:rPr>
        <w:t>Interreg</w:t>
      </w:r>
      <w:proofErr w:type="spellEnd"/>
      <w:r w:rsidR="004B3C22" w:rsidRPr="0040535D">
        <w:rPr>
          <w:rFonts w:ascii="Times New Roman" w:hAnsi="Times New Roman"/>
          <w:bCs/>
          <w:sz w:val="24"/>
          <w:szCs w:val="24"/>
        </w:rPr>
        <w:t>.</w:t>
      </w:r>
      <w:r w:rsidRPr="0040535D">
        <w:rPr>
          <w:rFonts w:ascii="Times New Roman" w:hAnsi="Times New Roman"/>
          <w:bCs/>
          <w:sz w:val="24"/>
          <w:szCs w:val="24"/>
        </w:rPr>
        <w:t xml:space="preserve"> K</w:t>
      </w:r>
      <w:r w:rsidRPr="0040535D">
        <w:rPr>
          <w:rFonts w:ascii="Times New Roman" w:hAnsi="Times New Roman"/>
          <w:sz w:val="24"/>
          <w:szCs w:val="24"/>
          <w:lang w:eastAsia="pl-PL"/>
        </w:rPr>
        <w:t xml:space="preserve">rajowe rozwiązania w tym rozdziale, np. w zakresie odwołania do </w:t>
      </w:r>
      <w:r w:rsidR="00ED6206" w:rsidRPr="0040535D">
        <w:rPr>
          <w:rFonts w:ascii="Times New Roman" w:hAnsi="Times New Roman"/>
          <w:sz w:val="24"/>
          <w:szCs w:val="24"/>
          <w:lang w:eastAsia="pl-PL"/>
        </w:rPr>
        <w:t>umowy partnerstwa</w:t>
      </w:r>
      <w:r w:rsidRPr="0040535D">
        <w:rPr>
          <w:rFonts w:ascii="Times New Roman" w:hAnsi="Times New Roman"/>
          <w:sz w:val="24"/>
          <w:szCs w:val="24"/>
          <w:lang w:eastAsia="pl-PL"/>
        </w:rPr>
        <w:t xml:space="preserve">, sposobu tworzenia i funkcjonowania poszczególnych instrumentów terytorialnych, które opierają się na polskim systemie instytucjonalnym nie mogą mieć zastosowania w międzynarodowych programach </w:t>
      </w:r>
      <w:proofErr w:type="spellStart"/>
      <w:r w:rsidRPr="0040535D">
        <w:rPr>
          <w:rFonts w:ascii="Times New Roman" w:hAnsi="Times New Roman"/>
          <w:sz w:val="24"/>
          <w:szCs w:val="24"/>
          <w:lang w:eastAsia="pl-PL"/>
        </w:rPr>
        <w:t>Interreg</w:t>
      </w:r>
      <w:proofErr w:type="spellEnd"/>
      <w:r w:rsidRPr="0040535D">
        <w:rPr>
          <w:rFonts w:ascii="Times New Roman" w:hAnsi="Times New Roman"/>
          <w:sz w:val="24"/>
          <w:szCs w:val="24"/>
          <w:lang w:eastAsia="pl-PL"/>
        </w:rPr>
        <w:t xml:space="preserve">. Instrumenty terytorialne takie jak ZIT, RLKS czy IIT w kontekście programów </w:t>
      </w:r>
      <w:proofErr w:type="spellStart"/>
      <w:r w:rsidRPr="0040535D">
        <w:rPr>
          <w:rFonts w:ascii="Times New Roman" w:hAnsi="Times New Roman"/>
          <w:sz w:val="24"/>
          <w:szCs w:val="24"/>
          <w:lang w:eastAsia="pl-PL"/>
        </w:rPr>
        <w:t>Interreg</w:t>
      </w:r>
      <w:proofErr w:type="spellEnd"/>
      <w:r w:rsidRPr="0040535D">
        <w:rPr>
          <w:rFonts w:ascii="Times New Roman" w:hAnsi="Times New Roman"/>
          <w:sz w:val="24"/>
          <w:szCs w:val="24"/>
          <w:lang w:eastAsia="pl-PL"/>
        </w:rPr>
        <w:t xml:space="preserve"> muszą swoim zasięgiem obejmować obszary poza terytorium Polski dlatego system ich tworzenia nie może opierać się na prawodawstwie krajowym. Podstawą będą regulacje znajdujące się w rozporządzeniach unijnych (rozporządzenie ogólne, EFRR i </w:t>
      </w:r>
      <w:proofErr w:type="spellStart"/>
      <w:r w:rsidRPr="0040535D">
        <w:rPr>
          <w:rFonts w:ascii="Times New Roman" w:hAnsi="Times New Roman"/>
          <w:sz w:val="24"/>
          <w:szCs w:val="24"/>
          <w:lang w:eastAsia="pl-PL"/>
        </w:rPr>
        <w:t>Interreg</w:t>
      </w:r>
      <w:proofErr w:type="spellEnd"/>
      <w:r w:rsidRPr="0040535D">
        <w:rPr>
          <w:rFonts w:ascii="Times New Roman" w:hAnsi="Times New Roman"/>
          <w:sz w:val="24"/>
          <w:szCs w:val="24"/>
          <w:lang w:eastAsia="pl-PL"/>
        </w:rPr>
        <w:t>).</w:t>
      </w:r>
    </w:p>
    <w:p w14:paraId="6EDDDD1F" w14:textId="77777777" w:rsidR="00027C6A" w:rsidRPr="0040535D" w:rsidRDefault="00027C6A" w:rsidP="009A0EE5">
      <w:pPr>
        <w:spacing w:after="0" w:line="360" w:lineRule="auto"/>
        <w:jc w:val="both"/>
        <w:rPr>
          <w:rFonts w:ascii="Times New Roman" w:hAnsi="Times New Roman"/>
          <w:bCs/>
          <w:sz w:val="24"/>
          <w:szCs w:val="24"/>
        </w:rPr>
      </w:pPr>
    </w:p>
    <w:p w14:paraId="5078CE78" w14:textId="77777777" w:rsidR="00555DC0" w:rsidRPr="0040535D" w:rsidRDefault="00555DC0" w:rsidP="009A0EE5">
      <w:pPr>
        <w:spacing w:after="0" w:line="360" w:lineRule="auto"/>
        <w:jc w:val="both"/>
        <w:rPr>
          <w:rFonts w:ascii="Times New Roman" w:hAnsi="Times New Roman"/>
          <w:b/>
          <w:bCs/>
          <w:sz w:val="24"/>
          <w:szCs w:val="24"/>
        </w:rPr>
      </w:pPr>
      <w:r w:rsidRPr="0040535D">
        <w:rPr>
          <w:rFonts w:ascii="Times New Roman" w:hAnsi="Times New Roman"/>
          <w:b/>
          <w:bCs/>
          <w:sz w:val="24"/>
          <w:szCs w:val="24"/>
        </w:rPr>
        <w:t>Rozdział 1</w:t>
      </w:r>
      <w:r w:rsidR="0090611F" w:rsidRPr="0040535D">
        <w:rPr>
          <w:rFonts w:ascii="Times New Roman" w:hAnsi="Times New Roman"/>
          <w:b/>
          <w:bCs/>
          <w:sz w:val="24"/>
          <w:szCs w:val="24"/>
        </w:rPr>
        <w:t>3</w:t>
      </w:r>
      <w:r w:rsidRPr="0040535D">
        <w:rPr>
          <w:rFonts w:ascii="Times New Roman" w:hAnsi="Times New Roman"/>
          <w:b/>
          <w:bCs/>
          <w:sz w:val="24"/>
          <w:szCs w:val="24"/>
        </w:rPr>
        <w:t>. Projekty.</w:t>
      </w:r>
    </w:p>
    <w:p w14:paraId="4595B420"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W rozdziale 1</w:t>
      </w:r>
      <w:r w:rsidR="0090611F" w:rsidRPr="0040535D">
        <w:rPr>
          <w:rFonts w:ascii="Times New Roman" w:hAnsi="Times New Roman"/>
          <w:bCs/>
          <w:sz w:val="24"/>
          <w:szCs w:val="24"/>
        </w:rPr>
        <w:t>3</w:t>
      </w:r>
      <w:r w:rsidRPr="0040535D">
        <w:rPr>
          <w:rFonts w:ascii="Times New Roman" w:hAnsi="Times New Roman"/>
          <w:bCs/>
          <w:sz w:val="24"/>
          <w:szCs w:val="24"/>
        </w:rPr>
        <w:t xml:space="preserve"> wskazano przede wszystkim szczególne rodzaje projektów, które mogą być wybierane do dofinansowania.</w:t>
      </w:r>
    </w:p>
    <w:p w14:paraId="1B2C03FF"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lastRenderedPageBreak/>
        <w:t>Pojęcie projektu zdefiniowano w art. 2 pkt 20 ustawy, co wynika z braku przedstawienia jego charakterystyki i kluczowych elementów w przepisach UE. Chociaż projekt stanowi na gruncie rozporządzenia ogólnego element operacji albo jest z nią tożsamy to nie został on precyzyjnie opisany w rozporządzeniu</w:t>
      </w:r>
      <w:r w:rsidR="00981673" w:rsidRPr="0040535D">
        <w:rPr>
          <w:rFonts w:ascii="Times New Roman" w:hAnsi="Times New Roman"/>
          <w:bCs/>
          <w:sz w:val="24"/>
          <w:szCs w:val="24"/>
        </w:rPr>
        <w:t xml:space="preserve"> ogólnym</w:t>
      </w:r>
      <w:r w:rsidRPr="0040535D">
        <w:rPr>
          <w:rFonts w:ascii="Times New Roman" w:hAnsi="Times New Roman"/>
          <w:bCs/>
          <w:sz w:val="24"/>
          <w:szCs w:val="24"/>
        </w:rPr>
        <w:t xml:space="preserve">. Lukę tę uzupełniono na poziomie krajowym, stanowiąc, że projekt tworzy najmniejszą i podstawową jednostkę realizacyjną programu rozumianą jako przedsięwzięcie służące osiąganiu celów programu, o czym przesądza </w:t>
      </w:r>
      <w:r w:rsidRPr="0040535D">
        <w:rPr>
          <w:rFonts w:ascii="Times New Roman" w:hAnsi="Times New Roman"/>
          <w:b/>
          <w:bCs/>
          <w:sz w:val="24"/>
          <w:szCs w:val="24"/>
        </w:rPr>
        <w:t xml:space="preserve">art. </w:t>
      </w:r>
      <w:r w:rsidR="009A5B99" w:rsidRPr="0040535D">
        <w:rPr>
          <w:rFonts w:ascii="Times New Roman" w:hAnsi="Times New Roman"/>
          <w:b/>
          <w:bCs/>
          <w:sz w:val="24"/>
          <w:szCs w:val="24"/>
        </w:rPr>
        <w:t>3</w:t>
      </w:r>
      <w:r w:rsidR="0090611F" w:rsidRPr="0040535D">
        <w:rPr>
          <w:rFonts w:ascii="Times New Roman" w:hAnsi="Times New Roman"/>
          <w:b/>
          <w:bCs/>
          <w:sz w:val="24"/>
          <w:szCs w:val="24"/>
        </w:rPr>
        <w:t>8</w:t>
      </w:r>
      <w:r w:rsidRPr="0040535D">
        <w:rPr>
          <w:rFonts w:ascii="Times New Roman" w:hAnsi="Times New Roman"/>
          <w:bCs/>
          <w:sz w:val="24"/>
          <w:szCs w:val="24"/>
        </w:rPr>
        <w:t>. Ze względu na konieczność przypisania projektu do programu jako źródła finansowania danego przedsięwzięcia, definiując to pojęcie zwrócono uwagę na jego następujące elementy:</w:t>
      </w:r>
    </w:p>
    <w:p w14:paraId="02A21559" w14:textId="77777777" w:rsidR="00555DC0" w:rsidRPr="0040535D" w:rsidRDefault="00555DC0" w:rsidP="009A0EE5">
      <w:pPr>
        <w:numPr>
          <w:ilvl w:val="0"/>
          <w:numId w:val="17"/>
        </w:numPr>
        <w:spacing w:after="0" w:line="360" w:lineRule="auto"/>
        <w:jc w:val="both"/>
        <w:rPr>
          <w:rFonts w:ascii="Times New Roman" w:hAnsi="Times New Roman"/>
          <w:bCs/>
          <w:sz w:val="24"/>
          <w:szCs w:val="24"/>
        </w:rPr>
      </w:pPr>
      <w:r w:rsidRPr="0040535D">
        <w:rPr>
          <w:rFonts w:ascii="Times New Roman" w:hAnsi="Times New Roman"/>
          <w:bCs/>
          <w:sz w:val="24"/>
          <w:szCs w:val="24"/>
        </w:rPr>
        <w:t>cel określony wskaźnikami, do którego będzie zmierzać realizacja projektu, co jest warunkiem uznania danego przedsięwzięcia za racjonalne, uzasadnione z punktu widzenia założeń programu oraz pozwoli ocenić je z punktu widzenia m.in. wykonalności i efektywności;</w:t>
      </w:r>
    </w:p>
    <w:p w14:paraId="1F19A44B" w14:textId="77777777" w:rsidR="00555DC0" w:rsidRPr="0040535D" w:rsidRDefault="00555DC0" w:rsidP="009A0EE5">
      <w:pPr>
        <w:numPr>
          <w:ilvl w:val="0"/>
          <w:numId w:val="17"/>
        </w:numPr>
        <w:spacing w:after="0" w:line="360" w:lineRule="auto"/>
        <w:jc w:val="both"/>
        <w:rPr>
          <w:rFonts w:ascii="Times New Roman" w:hAnsi="Times New Roman"/>
          <w:bCs/>
          <w:sz w:val="24"/>
          <w:szCs w:val="24"/>
        </w:rPr>
      </w:pPr>
      <w:r w:rsidRPr="0040535D">
        <w:rPr>
          <w:rFonts w:ascii="Times New Roman" w:hAnsi="Times New Roman"/>
          <w:bCs/>
          <w:sz w:val="24"/>
          <w:szCs w:val="24"/>
        </w:rPr>
        <w:t>określone ramy czasowe, dające możliwość weryfikacji czy realizacja projektu będzie możliwa z udziałem współfinansowania UE dostępnego w ramach programów na lata 2021-2027, z zachowaniem wymogów prawnych umożliwiających przyznanie, efektywne wykorzystanie i poprawne rozliczenie przyznanego współfinansowania;</w:t>
      </w:r>
    </w:p>
    <w:p w14:paraId="35C08420" w14:textId="77777777" w:rsidR="00555DC0" w:rsidRPr="0040535D" w:rsidRDefault="00555DC0" w:rsidP="009A0EE5">
      <w:pPr>
        <w:numPr>
          <w:ilvl w:val="0"/>
          <w:numId w:val="17"/>
        </w:numPr>
        <w:spacing w:after="0" w:line="360" w:lineRule="auto"/>
        <w:jc w:val="both"/>
        <w:rPr>
          <w:rFonts w:ascii="Times New Roman" w:hAnsi="Times New Roman"/>
          <w:bCs/>
          <w:sz w:val="24"/>
          <w:szCs w:val="24"/>
        </w:rPr>
      </w:pPr>
      <w:r w:rsidRPr="0040535D">
        <w:rPr>
          <w:rFonts w:ascii="Times New Roman" w:hAnsi="Times New Roman"/>
          <w:bCs/>
          <w:sz w:val="24"/>
          <w:szCs w:val="24"/>
        </w:rPr>
        <w:t>zgłoszenie do współfinansowania, co stanowi formalną podstawę przeprowadzenia weryfikacji, czy projekt wpisuje się w cele programu i odpowiada jego założeniom;</w:t>
      </w:r>
    </w:p>
    <w:p w14:paraId="359996EB" w14:textId="77777777" w:rsidR="00555DC0" w:rsidRPr="0040535D" w:rsidRDefault="00555DC0" w:rsidP="009A0EE5">
      <w:pPr>
        <w:numPr>
          <w:ilvl w:val="0"/>
          <w:numId w:val="17"/>
        </w:num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zgłoszenie do współfinansowania w ramach jednego funduszu strukturalnego, </w:t>
      </w:r>
      <w:r w:rsidRPr="0040535D">
        <w:rPr>
          <w:rFonts w:ascii="Times New Roman" w:hAnsi="Times New Roman"/>
          <w:sz w:val="24"/>
          <w:szCs w:val="24"/>
        </w:rPr>
        <w:t>Funduszu na rzecz Sprawiedliwej Transformacji</w:t>
      </w:r>
      <w:r w:rsidRPr="0040535D">
        <w:rPr>
          <w:rFonts w:ascii="Times New Roman" w:hAnsi="Times New Roman"/>
          <w:bCs/>
          <w:sz w:val="24"/>
          <w:szCs w:val="24"/>
        </w:rPr>
        <w:t xml:space="preserve"> albo Funduszu Spójności, konstytuujące zasadę współfinansowania określonego projektu wyłącznie środkami jednego funduszu strukturalnego, </w:t>
      </w:r>
      <w:r w:rsidRPr="0040535D">
        <w:rPr>
          <w:rFonts w:ascii="Times New Roman" w:hAnsi="Times New Roman"/>
          <w:sz w:val="24"/>
          <w:szCs w:val="24"/>
        </w:rPr>
        <w:t>Funduszu na rzecz Sprawiedliwej Transformacji</w:t>
      </w:r>
      <w:r w:rsidRPr="0040535D">
        <w:rPr>
          <w:rFonts w:ascii="Times New Roman" w:hAnsi="Times New Roman"/>
          <w:bCs/>
          <w:sz w:val="24"/>
          <w:szCs w:val="24"/>
        </w:rPr>
        <w:t xml:space="preserve"> albo Funduszu Spójności, co da gwarancję precyzyjnego powiązania poszczególnych wydatków z określonych funduszy z danymi przedsięwzięciami na potrzeby ich rzetelnego rozliczenia.</w:t>
      </w:r>
    </w:p>
    <w:p w14:paraId="603F804C" w14:textId="77777777" w:rsidR="000538DE" w:rsidRPr="00463D80" w:rsidRDefault="00555DC0" w:rsidP="000538DE">
      <w:pPr>
        <w:pStyle w:val="USTustnpkodeksu"/>
        <w:rPr>
          <w:rStyle w:val="Pogrubienie"/>
          <w:rFonts w:ascii="Times New Roman" w:hAnsi="Times New Roman" w:cs="Times New Roman"/>
          <w:b w:val="0"/>
          <w:szCs w:val="24"/>
        </w:rPr>
      </w:pPr>
      <w:r w:rsidRPr="0040535D">
        <w:rPr>
          <w:rFonts w:ascii="Times New Roman" w:hAnsi="Times New Roman" w:cs="Times New Roman"/>
          <w:bCs w:val="0"/>
          <w:szCs w:val="24"/>
        </w:rPr>
        <w:t xml:space="preserve">Jako szczególny rodzaj projektów traktowane są projekty partnerskie, których dotyczy </w:t>
      </w:r>
      <w:r w:rsidRPr="0040535D">
        <w:rPr>
          <w:rFonts w:ascii="Times New Roman" w:hAnsi="Times New Roman" w:cs="Times New Roman"/>
          <w:b/>
          <w:bCs w:val="0"/>
          <w:szCs w:val="24"/>
        </w:rPr>
        <w:t xml:space="preserve">art. </w:t>
      </w:r>
      <w:r w:rsidR="0090611F" w:rsidRPr="0040535D">
        <w:rPr>
          <w:rFonts w:ascii="Times New Roman" w:hAnsi="Times New Roman" w:cs="Times New Roman"/>
          <w:b/>
          <w:bCs w:val="0"/>
          <w:szCs w:val="24"/>
        </w:rPr>
        <w:t>39</w:t>
      </w:r>
      <w:r w:rsidRPr="0040535D">
        <w:rPr>
          <w:rFonts w:ascii="Times New Roman" w:hAnsi="Times New Roman" w:cs="Times New Roman"/>
          <w:b/>
          <w:bCs w:val="0"/>
          <w:szCs w:val="24"/>
        </w:rPr>
        <w:t>.</w:t>
      </w:r>
      <w:r w:rsidRPr="0040535D">
        <w:rPr>
          <w:rFonts w:ascii="Times New Roman" w:hAnsi="Times New Roman" w:cs="Times New Roman"/>
          <w:bCs w:val="0"/>
          <w:szCs w:val="24"/>
        </w:rPr>
        <w:t xml:space="preserve"> Polegają one na zaangażowaniu w ich realizację co najmniej dwóch podmiotów wnoszących do projektu zasoby ludzkie, organizacyjne, techniczne lub finansowe (art </w:t>
      </w:r>
      <w:r w:rsidR="0090611F" w:rsidRPr="0040535D">
        <w:rPr>
          <w:rFonts w:ascii="Times New Roman" w:hAnsi="Times New Roman" w:cs="Times New Roman"/>
          <w:bCs w:val="0"/>
          <w:szCs w:val="24"/>
        </w:rPr>
        <w:t>39</w:t>
      </w:r>
      <w:r w:rsidR="009A5B99" w:rsidRPr="0040535D">
        <w:rPr>
          <w:rFonts w:ascii="Times New Roman" w:hAnsi="Times New Roman" w:cs="Times New Roman"/>
          <w:bCs w:val="0"/>
          <w:szCs w:val="24"/>
        </w:rPr>
        <w:t xml:space="preserve"> </w:t>
      </w:r>
      <w:r w:rsidRPr="0040535D">
        <w:rPr>
          <w:rFonts w:ascii="Times New Roman" w:hAnsi="Times New Roman" w:cs="Times New Roman"/>
          <w:bCs w:val="0"/>
          <w:szCs w:val="24"/>
        </w:rPr>
        <w:t>ust. 1). Jednocześnie p</w:t>
      </w:r>
      <w:r w:rsidRPr="0040535D">
        <w:rPr>
          <w:rFonts w:ascii="Times New Roman" w:hAnsi="Times New Roman" w:cs="Times New Roman"/>
          <w:szCs w:val="24"/>
        </w:rPr>
        <w:t xml:space="preserve">artnerem wiodącym w projekcie partnerskim może być wyłącznie podmiot o potencjale ekonomicznym zapewniającym prawidłową realizację projektu partnerskiego (ust. </w:t>
      </w:r>
      <w:r w:rsidR="00370AEC" w:rsidRPr="0040535D">
        <w:rPr>
          <w:rFonts w:ascii="Times New Roman" w:hAnsi="Times New Roman" w:cs="Times New Roman"/>
          <w:szCs w:val="24"/>
        </w:rPr>
        <w:t>11</w:t>
      </w:r>
      <w:r w:rsidRPr="0040535D">
        <w:rPr>
          <w:rFonts w:ascii="Times New Roman" w:hAnsi="Times New Roman" w:cs="Times New Roman"/>
          <w:szCs w:val="24"/>
        </w:rPr>
        <w:t>)</w:t>
      </w:r>
      <w:r w:rsidR="009A5B99" w:rsidRPr="0040535D">
        <w:rPr>
          <w:rFonts w:ascii="Times New Roman" w:hAnsi="Times New Roman" w:cs="Times New Roman"/>
          <w:szCs w:val="24"/>
        </w:rPr>
        <w:t xml:space="preserve"> oraz podmiot </w:t>
      </w:r>
      <w:r w:rsidR="00370AEC" w:rsidRPr="0040535D">
        <w:rPr>
          <w:rFonts w:ascii="Times New Roman" w:hAnsi="Times New Roman" w:cs="Times New Roman"/>
          <w:szCs w:val="24"/>
        </w:rPr>
        <w:t>inicjujący projekt</w:t>
      </w:r>
      <w:r w:rsidR="009A5B99" w:rsidRPr="0040535D">
        <w:rPr>
          <w:rFonts w:ascii="Times New Roman" w:hAnsi="Times New Roman" w:cs="Times New Roman"/>
          <w:szCs w:val="24"/>
        </w:rPr>
        <w:t xml:space="preserve"> partnerski (ust. 12). </w:t>
      </w:r>
      <w:r w:rsidR="00370AEC" w:rsidRPr="0040535D">
        <w:rPr>
          <w:rFonts w:ascii="Times New Roman" w:hAnsi="Times New Roman" w:cs="Times New Roman"/>
          <w:szCs w:val="24"/>
        </w:rPr>
        <w:t xml:space="preserve">W przypadkach uzasadnionych koniecznością zapewnienia prawidłowej i terminowej realizacji projektu, w związku z wystąpieniem okoliczności, które nie mogły być znane wnioskodawcy ani właściwej instytucji na </w:t>
      </w:r>
      <w:r w:rsidR="000538DE">
        <w:rPr>
          <w:rFonts w:ascii="Times New Roman" w:hAnsi="Times New Roman" w:cs="Times New Roman"/>
          <w:szCs w:val="24"/>
        </w:rPr>
        <w:t xml:space="preserve">dzień zawarcia </w:t>
      </w:r>
      <w:r w:rsidR="00370AEC" w:rsidRPr="0040535D">
        <w:rPr>
          <w:rFonts w:ascii="Times New Roman" w:hAnsi="Times New Roman" w:cs="Times New Roman"/>
          <w:szCs w:val="24"/>
        </w:rPr>
        <w:t>umowy o dofinansowanie projektu lub podjęcia de</w:t>
      </w:r>
      <w:r w:rsidR="00461AE1" w:rsidRPr="0040535D">
        <w:rPr>
          <w:rFonts w:ascii="Times New Roman" w:hAnsi="Times New Roman" w:cs="Times New Roman"/>
          <w:szCs w:val="24"/>
        </w:rPr>
        <w:t xml:space="preserve">cyzji o dofinansowaniu </w:t>
      </w:r>
      <w:r w:rsidR="00461AE1" w:rsidRPr="0040535D">
        <w:rPr>
          <w:rFonts w:ascii="Times New Roman" w:hAnsi="Times New Roman" w:cs="Times New Roman"/>
          <w:szCs w:val="24"/>
        </w:rPr>
        <w:lastRenderedPageBreak/>
        <w:t>projektu i</w:t>
      </w:r>
      <w:r w:rsidR="00370AEC" w:rsidRPr="0040535D">
        <w:rPr>
          <w:rFonts w:ascii="Times New Roman" w:hAnsi="Times New Roman" w:cs="Times New Roman"/>
          <w:szCs w:val="24"/>
        </w:rPr>
        <w:t xml:space="preserve"> za zgodą właściwej instytucji </w:t>
      </w:r>
      <w:r w:rsidR="00461AE1" w:rsidRPr="0040535D">
        <w:rPr>
          <w:rFonts w:ascii="Times New Roman" w:hAnsi="Times New Roman" w:cs="Times New Roman"/>
          <w:szCs w:val="24"/>
        </w:rPr>
        <w:t xml:space="preserve">ustawodawca wprowadza </w:t>
      </w:r>
      <w:r w:rsidR="00370AEC" w:rsidRPr="0040535D">
        <w:rPr>
          <w:rFonts w:ascii="Times New Roman" w:hAnsi="Times New Roman" w:cs="Times New Roman"/>
          <w:szCs w:val="24"/>
        </w:rPr>
        <w:t xml:space="preserve">możliwość wyboru partnera po zawarciu umowy o dofinansowanie projektu lub po podjęciu decyzji o dofinansowaniu projektu (ust. </w:t>
      </w:r>
      <w:r w:rsidR="00D043EB" w:rsidRPr="0040535D">
        <w:rPr>
          <w:rFonts w:ascii="Times New Roman" w:hAnsi="Times New Roman" w:cs="Times New Roman"/>
          <w:szCs w:val="24"/>
        </w:rPr>
        <w:t>6</w:t>
      </w:r>
      <w:r w:rsidR="00370AEC" w:rsidRPr="0040535D">
        <w:rPr>
          <w:rFonts w:ascii="Times New Roman" w:hAnsi="Times New Roman" w:cs="Times New Roman"/>
          <w:szCs w:val="24"/>
        </w:rPr>
        <w:t xml:space="preserve">). </w:t>
      </w:r>
      <w:r w:rsidRPr="0040535D">
        <w:rPr>
          <w:rFonts w:ascii="Times New Roman" w:hAnsi="Times New Roman" w:cs="Times New Roman"/>
          <w:szCs w:val="24"/>
        </w:rPr>
        <w:t xml:space="preserve">Ponadto zgodnie z ust. </w:t>
      </w:r>
      <w:r w:rsidR="00370AEC" w:rsidRPr="0040535D">
        <w:rPr>
          <w:rFonts w:ascii="Times New Roman" w:hAnsi="Times New Roman" w:cs="Times New Roman"/>
          <w:szCs w:val="24"/>
        </w:rPr>
        <w:t xml:space="preserve">13 </w:t>
      </w:r>
      <w:r w:rsidRPr="0040535D">
        <w:rPr>
          <w:rFonts w:ascii="Times New Roman" w:hAnsi="Times New Roman" w:cs="Times New Roman"/>
          <w:szCs w:val="24"/>
        </w:rPr>
        <w:t xml:space="preserve">udział partnerów w projekcie partnerskim nie może polegać wyłącznie na wniesieniu zasobów do jego realizacji. </w:t>
      </w:r>
      <w:r w:rsidRPr="0040535D">
        <w:rPr>
          <w:rFonts w:ascii="Times New Roman" w:hAnsi="Times New Roman" w:cs="Times New Roman"/>
          <w:bCs w:val="0"/>
          <w:szCs w:val="24"/>
        </w:rPr>
        <w:t xml:space="preserve">Każdy partner powinien realizować w ramach projektu określone zadania wynikające z porozumienia albo umowy o partnerstwie. Dodatkowo zadania realizowane przez poszczególnych partnerów w ramach projektu nie mogą polegać na oferowaniu towarów, świadczeniu usług lub wykonywaniu robót budowalnych na rzecz innych partnerów (ust. </w:t>
      </w:r>
      <w:r w:rsidR="00370AEC" w:rsidRPr="0040535D">
        <w:rPr>
          <w:rFonts w:ascii="Times New Roman" w:hAnsi="Times New Roman" w:cs="Times New Roman"/>
          <w:bCs w:val="0"/>
          <w:szCs w:val="24"/>
        </w:rPr>
        <w:t>14</w:t>
      </w:r>
      <w:r w:rsidRPr="0040535D">
        <w:rPr>
          <w:rFonts w:ascii="Times New Roman" w:hAnsi="Times New Roman" w:cs="Times New Roman"/>
          <w:bCs w:val="0"/>
          <w:szCs w:val="24"/>
        </w:rPr>
        <w:t xml:space="preserve">), co ma w szczególności wyeliminować problem kolizji z przepisami prawa zamówień publicznych. Zasad </w:t>
      </w:r>
      <w:r w:rsidR="00F61E94" w:rsidRPr="0040535D">
        <w:rPr>
          <w:rFonts w:ascii="Times New Roman" w:hAnsi="Times New Roman" w:cs="Times New Roman"/>
          <w:bCs w:val="0"/>
          <w:szCs w:val="24"/>
        </w:rPr>
        <w:t>dotyczących</w:t>
      </w:r>
      <w:r w:rsidRPr="0040535D">
        <w:rPr>
          <w:rFonts w:ascii="Times New Roman" w:hAnsi="Times New Roman" w:cs="Times New Roman"/>
          <w:bCs w:val="0"/>
          <w:szCs w:val="24"/>
        </w:rPr>
        <w:t xml:space="preserve"> wyboru partnerów nie stosuje się w przypadku wyborów podmiotów realizujących zadania objęte projektem partnerskim na podstawie praw szczególnych i wyłączonych (ust. 3)</w:t>
      </w:r>
      <w:r w:rsidR="000538DE">
        <w:rPr>
          <w:rFonts w:ascii="Times New Roman" w:hAnsi="Times New Roman" w:cs="Times New Roman"/>
          <w:bCs w:val="0"/>
          <w:szCs w:val="24"/>
        </w:rPr>
        <w:t xml:space="preserve">, </w:t>
      </w:r>
      <w:r w:rsidR="000538DE" w:rsidRPr="005E6479">
        <w:rPr>
          <w:rFonts w:ascii="Times New Roman" w:hAnsi="Times New Roman" w:cs="Times New Roman"/>
          <w:bCs w:val="0"/>
          <w:szCs w:val="24"/>
        </w:rPr>
        <w:t xml:space="preserve">przez które należy </w:t>
      </w:r>
      <w:r w:rsidR="000538DE" w:rsidRPr="005E6479">
        <w:rPr>
          <w:rFonts w:ascii="Times New Roman" w:hAnsi="Times New Roman" w:cs="Times New Roman"/>
          <w:szCs w:val="24"/>
        </w:rPr>
        <w:t xml:space="preserve">rozumieć </w:t>
      </w:r>
      <w:r w:rsidR="000538DE" w:rsidRPr="005E6479">
        <w:rPr>
          <w:rStyle w:val="Pogrubienie"/>
          <w:rFonts w:ascii="Times New Roman" w:hAnsi="Times New Roman" w:cs="Times New Roman"/>
          <w:b w:val="0"/>
          <w:szCs w:val="24"/>
        </w:rPr>
        <w:t>prawa przyznane w drodze ustawy lub decyzji administracyjnej, polegające na zastrzeżeniu wykonywania określonej działalności</w:t>
      </w:r>
      <w:r w:rsidR="000538DE" w:rsidRPr="005E6479">
        <w:rPr>
          <w:rFonts w:ascii="Times New Roman" w:hAnsi="Times New Roman" w:cs="Times New Roman"/>
          <w:b/>
          <w:szCs w:val="24"/>
        </w:rPr>
        <w:t xml:space="preserve"> </w:t>
      </w:r>
      <w:r w:rsidR="000538DE" w:rsidRPr="005E6479">
        <w:rPr>
          <w:rStyle w:val="Pogrubienie"/>
          <w:rFonts w:ascii="Times New Roman" w:hAnsi="Times New Roman" w:cs="Times New Roman"/>
          <w:b w:val="0"/>
          <w:szCs w:val="24"/>
        </w:rPr>
        <w:t>dla jednego lub większej liczby podmiotów, wywierające istotny wpływ na możliwość wykonywania tej działalności przez inne podmioty. Za prawa szczególne i wyłączne nie można natomiast uznać uprawnień/ kompetencji niezwiązanych z wykonywaniem określonej działalności będącej przedmiotem (merytorycznym elementem) projektu partnerskiego</w:t>
      </w:r>
      <w:r w:rsidR="000538DE" w:rsidRPr="005E6479">
        <w:rPr>
          <w:rFonts w:ascii="Times New Roman" w:eastAsia="Calibri" w:hAnsi="Times New Roman" w:cs="Times New Roman"/>
          <w:bCs w:val="0"/>
          <w:szCs w:val="24"/>
          <w:lang w:eastAsia="en-US"/>
        </w:rPr>
        <w:t>.</w:t>
      </w:r>
    </w:p>
    <w:p w14:paraId="7F29D605" w14:textId="77777777" w:rsidR="00BC3C0D" w:rsidRPr="0040535D" w:rsidRDefault="00555DC0" w:rsidP="009A0EE5">
      <w:pPr>
        <w:pStyle w:val="USTustnpkodeksu"/>
        <w:rPr>
          <w:rFonts w:ascii="Times New Roman" w:hAnsi="Times New Roman" w:cs="Times New Roman"/>
          <w:szCs w:val="24"/>
        </w:rPr>
      </w:pPr>
      <w:r w:rsidRPr="0040535D">
        <w:rPr>
          <w:rFonts w:ascii="Times New Roman" w:hAnsi="Times New Roman" w:cs="Times New Roman"/>
          <w:bCs w:val="0"/>
          <w:szCs w:val="24"/>
        </w:rPr>
        <w:t>Wdrażanie projektu</w:t>
      </w:r>
      <w:r w:rsidR="00F61E94" w:rsidRPr="0040535D">
        <w:rPr>
          <w:rFonts w:ascii="Times New Roman" w:hAnsi="Times New Roman" w:cs="Times New Roman"/>
          <w:bCs w:val="0"/>
          <w:szCs w:val="24"/>
        </w:rPr>
        <w:t xml:space="preserve"> part</w:t>
      </w:r>
      <w:r w:rsidR="0088635A" w:rsidRPr="0040535D">
        <w:rPr>
          <w:rFonts w:ascii="Times New Roman" w:hAnsi="Times New Roman" w:cs="Times New Roman"/>
          <w:bCs w:val="0"/>
          <w:szCs w:val="24"/>
        </w:rPr>
        <w:t>n</w:t>
      </w:r>
      <w:r w:rsidR="00F61E94" w:rsidRPr="0040535D">
        <w:rPr>
          <w:rFonts w:ascii="Times New Roman" w:hAnsi="Times New Roman" w:cs="Times New Roman"/>
          <w:bCs w:val="0"/>
          <w:szCs w:val="24"/>
        </w:rPr>
        <w:t>erskiego</w:t>
      </w:r>
      <w:r w:rsidRPr="0040535D">
        <w:rPr>
          <w:rFonts w:ascii="Times New Roman" w:hAnsi="Times New Roman" w:cs="Times New Roman"/>
          <w:bCs w:val="0"/>
          <w:szCs w:val="24"/>
        </w:rPr>
        <w:t xml:space="preserve"> odbywać się może na podstawie porozumienia albo umowy o partnerstwie z zastrzeżeniem, że stroną porozumienia albo umowy o partnerstwie nie może być podmiot wykluczony z możliwości otrzymania dofinansowania </w:t>
      </w:r>
      <w:r w:rsidR="007A26ED" w:rsidRPr="0040535D">
        <w:rPr>
          <w:rFonts w:ascii="Times New Roman" w:hAnsi="Times New Roman" w:cs="Times New Roman"/>
          <w:bCs w:val="0"/>
          <w:szCs w:val="24"/>
        </w:rPr>
        <w:t xml:space="preserve">na podstawie odrębnych przepisów </w:t>
      </w:r>
      <w:r w:rsidRPr="0040535D">
        <w:rPr>
          <w:rFonts w:ascii="Times New Roman" w:hAnsi="Times New Roman" w:cs="Times New Roman"/>
          <w:bCs w:val="0"/>
          <w:szCs w:val="24"/>
        </w:rPr>
        <w:t xml:space="preserve">(np. na podstawie art. 207 ust. 4 </w:t>
      </w:r>
      <w:proofErr w:type="spellStart"/>
      <w:r w:rsidR="00DD083B" w:rsidRPr="0040535D">
        <w:rPr>
          <w:rFonts w:ascii="Times New Roman" w:hAnsi="Times New Roman" w:cs="Times New Roman"/>
          <w:bCs w:val="0"/>
          <w:szCs w:val="24"/>
        </w:rPr>
        <w:t>ufp</w:t>
      </w:r>
      <w:proofErr w:type="spellEnd"/>
      <w:r w:rsidRPr="0040535D">
        <w:rPr>
          <w:rFonts w:ascii="Times New Roman" w:hAnsi="Times New Roman" w:cs="Times New Roman"/>
          <w:bCs w:val="0"/>
          <w:szCs w:val="24"/>
        </w:rPr>
        <w:t xml:space="preserve"> albo art. 12 ust. 1 pkt 1 ustawy z dnia 15 czerwca 2012 r. o skutkach powierzania wykonywania pracy cudzoziemcom przebywającym wbrew przepisom na terytorium Rzeczypospolitej Polskiej</w:t>
      </w:r>
      <w:r w:rsidR="00F47C4B" w:rsidRPr="0040535D">
        <w:rPr>
          <w:rFonts w:ascii="Times New Roman" w:hAnsi="Times New Roman" w:cs="Times New Roman"/>
          <w:bCs w:val="0"/>
          <w:szCs w:val="24"/>
        </w:rPr>
        <w:t xml:space="preserve"> (D</w:t>
      </w:r>
      <w:r w:rsidR="00021220" w:rsidRPr="0040535D">
        <w:rPr>
          <w:rFonts w:ascii="Times New Roman" w:hAnsi="Times New Roman" w:cs="Times New Roman"/>
          <w:bCs w:val="0"/>
          <w:szCs w:val="24"/>
        </w:rPr>
        <w:t>z. U. z 20</w:t>
      </w:r>
      <w:r w:rsidR="003F4880">
        <w:rPr>
          <w:rFonts w:ascii="Times New Roman" w:hAnsi="Times New Roman" w:cs="Times New Roman"/>
          <w:bCs w:val="0"/>
          <w:szCs w:val="24"/>
        </w:rPr>
        <w:t>21</w:t>
      </w:r>
      <w:r w:rsidR="00021220" w:rsidRPr="0040535D">
        <w:rPr>
          <w:rFonts w:ascii="Times New Roman" w:hAnsi="Times New Roman" w:cs="Times New Roman"/>
          <w:bCs w:val="0"/>
          <w:szCs w:val="24"/>
        </w:rPr>
        <w:t xml:space="preserve"> r. poz. </w:t>
      </w:r>
      <w:r w:rsidR="003F4880">
        <w:rPr>
          <w:rFonts w:ascii="Times New Roman" w:hAnsi="Times New Roman" w:cs="Times New Roman"/>
          <w:bCs w:val="0"/>
          <w:szCs w:val="24"/>
        </w:rPr>
        <w:t>1</w:t>
      </w:r>
      <w:r w:rsidR="00021220" w:rsidRPr="0040535D">
        <w:rPr>
          <w:rFonts w:ascii="Times New Roman" w:hAnsi="Times New Roman" w:cs="Times New Roman"/>
          <w:bCs w:val="0"/>
          <w:szCs w:val="24"/>
        </w:rPr>
        <w:t>7</w:t>
      </w:r>
      <w:r w:rsidR="003F4880">
        <w:rPr>
          <w:rFonts w:ascii="Times New Roman" w:hAnsi="Times New Roman" w:cs="Times New Roman"/>
          <w:bCs w:val="0"/>
          <w:szCs w:val="24"/>
        </w:rPr>
        <w:t>45</w:t>
      </w:r>
      <w:r w:rsidRPr="0040535D">
        <w:rPr>
          <w:rFonts w:ascii="Times New Roman" w:hAnsi="Times New Roman" w:cs="Times New Roman"/>
          <w:bCs w:val="0"/>
          <w:szCs w:val="24"/>
        </w:rPr>
        <w:t xml:space="preserve">). Wprowadzenie regulacji w zakresie projektów partnerskich daje podstawę do urzeczywistnienia zasady partnerstwa będącej zasadą horyzontalną, dotyczącą wykorzystania funduszy strukturalnych, </w:t>
      </w:r>
      <w:r w:rsidRPr="0040535D">
        <w:rPr>
          <w:rFonts w:ascii="Times New Roman" w:hAnsi="Times New Roman" w:cs="Times New Roman"/>
          <w:szCs w:val="24"/>
        </w:rPr>
        <w:t>Funduszu na rzecz Sprawiedliwej Transformacji</w:t>
      </w:r>
      <w:r w:rsidRPr="0040535D">
        <w:rPr>
          <w:rFonts w:ascii="Times New Roman" w:hAnsi="Times New Roman" w:cs="Times New Roman"/>
          <w:bCs w:val="0"/>
          <w:szCs w:val="24"/>
        </w:rPr>
        <w:t xml:space="preserve"> i Funduszu Spójności. Przepis umożliwia wnioskodawcy zaangażowanie w realizację projektu innych podmiotów, których udział w przedsięwzięciu może przyczynić się do osiągnięcia celów projektu w wymiarze większym niż przy zaangażowaniu w jego realizację jedynie wnioskodawcy, spowodować synergię albo umożliwić całościowe potraktowanie zagadnienia, którego dotyczy projekt.</w:t>
      </w:r>
      <w:r w:rsidR="00BC3C0D" w:rsidRPr="0040535D">
        <w:rPr>
          <w:rFonts w:ascii="Times New Roman" w:hAnsi="Times New Roman" w:cs="Times New Roman"/>
          <w:bCs w:val="0"/>
          <w:szCs w:val="24"/>
        </w:rPr>
        <w:t xml:space="preserve"> </w:t>
      </w:r>
    </w:p>
    <w:p w14:paraId="03048C09" w14:textId="77777777" w:rsidR="00B53EA5"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Obok szczególnego rodzaju projektów partnerskich w ramach programów mogą być realizowane projekty hybrydowe (</w:t>
      </w:r>
      <w:r w:rsidRPr="0040535D">
        <w:rPr>
          <w:rFonts w:ascii="Times New Roman" w:hAnsi="Times New Roman"/>
          <w:b/>
          <w:bCs/>
          <w:sz w:val="24"/>
          <w:szCs w:val="24"/>
        </w:rPr>
        <w:t xml:space="preserve">art. </w:t>
      </w:r>
      <w:r w:rsidR="00370AEC" w:rsidRPr="0040535D">
        <w:rPr>
          <w:rFonts w:ascii="Times New Roman" w:hAnsi="Times New Roman"/>
          <w:b/>
          <w:bCs/>
          <w:sz w:val="24"/>
          <w:szCs w:val="24"/>
        </w:rPr>
        <w:t>4</w:t>
      </w:r>
      <w:r w:rsidR="00CA0F53" w:rsidRPr="0040535D">
        <w:rPr>
          <w:rFonts w:ascii="Times New Roman" w:hAnsi="Times New Roman"/>
          <w:b/>
          <w:bCs/>
          <w:sz w:val="24"/>
          <w:szCs w:val="24"/>
        </w:rPr>
        <w:t>0</w:t>
      </w:r>
      <w:r w:rsidRPr="0040535D">
        <w:rPr>
          <w:rFonts w:ascii="Times New Roman" w:hAnsi="Times New Roman"/>
          <w:bCs/>
          <w:sz w:val="24"/>
          <w:szCs w:val="24"/>
        </w:rPr>
        <w:t xml:space="preserve">). Projekty hybrydowe będą tworzone pomiędzy </w:t>
      </w:r>
      <w:r w:rsidRPr="0040535D">
        <w:rPr>
          <w:rFonts w:ascii="Times New Roman" w:hAnsi="Times New Roman"/>
          <w:bCs/>
          <w:sz w:val="24"/>
          <w:szCs w:val="24"/>
        </w:rPr>
        <w:lastRenderedPageBreak/>
        <w:t>podmiotami publicznymi a podmiotami prywatnymi</w:t>
      </w:r>
      <w:r w:rsidR="00370AEC" w:rsidRPr="0040535D">
        <w:rPr>
          <w:rFonts w:ascii="Times New Roman" w:hAnsi="Times New Roman"/>
          <w:bCs/>
          <w:sz w:val="24"/>
          <w:szCs w:val="24"/>
        </w:rPr>
        <w:t>.</w:t>
      </w:r>
      <w:r w:rsidRPr="0040535D">
        <w:rPr>
          <w:rFonts w:ascii="Times New Roman" w:hAnsi="Times New Roman"/>
          <w:bCs/>
          <w:sz w:val="24"/>
          <w:szCs w:val="24"/>
        </w:rPr>
        <w:t xml:space="preserve"> Ponieważ warunki realizacji tego typu projektów określone zostały w przepisach rozporządzenia</w:t>
      </w:r>
      <w:r w:rsidR="00F61E94" w:rsidRPr="0040535D">
        <w:rPr>
          <w:rFonts w:ascii="Times New Roman" w:hAnsi="Times New Roman"/>
          <w:bCs/>
          <w:sz w:val="24"/>
          <w:szCs w:val="24"/>
        </w:rPr>
        <w:t xml:space="preserve"> ogólnego</w:t>
      </w:r>
      <w:r w:rsidRPr="0040535D">
        <w:rPr>
          <w:rFonts w:ascii="Times New Roman" w:hAnsi="Times New Roman"/>
          <w:bCs/>
          <w:sz w:val="24"/>
          <w:szCs w:val="24"/>
        </w:rPr>
        <w:t xml:space="preserve">, w art. </w:t>
      </w:r>
      <w:r w:rsidR="00370AEC" w:rsidRPr="0040535D">
        <w:rPr>
          <w:rFonts w:ascii="Times New Roman" w:hAnsi="Times New Roman"/>
          <w:bCs/>
          <w:sz w:val="24"/>
          <w:szCs w:val="24"/>
        </w:rPr>
        <w:t>4</w:t>
      </w:r>
      <w:r w:rsidR="00CA0F53" w:rsidRPr="0040535D">
        <w:rPr>
          <w:rFonts w:ascii="Times New Roman" w:hAnsi="Times New Roman"/>
          <w:bCs/>
          <w:sz w:val="24"/>
          <w:szCs w:val="24"/>
        </w:rPr>
        <w:t>0</w:t>
      </w:r>
      <w:r w:rsidR="00370AEC" w:rsidRPr="0040535D">
        <w:rPr>
          <w:rFonts w:ascii="Times New Roman" w:hAnsi="Times New Roman"/>
          <w:bCs/>
          <w:sz w:val="24"/>
          <w:szCs w:val="24"/>
        </w:rPr>
        <w:t xml:space="preserve"> </w:t>
      </w:r>
      <w:r w:rsidRPr="0040535D">
        <w:rPr>
          <w:rFonts w:ascii="Times New Roman" w:hAnsi="Times New Roman"/>
          <w:bCs/>
          <w:sz w:val="24"/>
          <w:szCs w:val="24"/>
        </w:rPr>
        <w:t xml:space="preserve">ust. 1 odwołano się do regulacji </w:t>
      </w:r>
      <w:r w:rsidR="00F61E94" w:rsidRPr="0040535D">
        <w:rPr>
          <w:rFonts w:ascii="Times New Roman" w:hAnsi="Times New Roman"/>
          <w:bCs/>
          <w:sz w:val="24"/>
          <w:szCs w:val="24"/>
        </w:rPr>
        <w:t xml:space="preserve">tego </w:t>
      </w:r>
      <w:r w:rsidRPr="0040535D">
        <w:rPr>
          <w:rFonts w:ascii="Times New Roman" w:hAnsi="Times New Roman"/>
          <w:bCs/>
          <w:sz w:val="24"/>
          <w:szCs w:val="24"/>
        </w:rPr>
        <w:t xml:space="preserve">rozporządzenia w tym zakresie. Z kolei ust. </w:t>
      </w:r>
      <w:r w:rsidR="00057689" w:rsidRPr="0040535D">
        <w:rPr>
          <w:rFonts w:ascii="Times New Roman" w:hAnsi="Times New Roman"/>
          <w:bCs/>
          <w:sz w:val="24"/>
          <w:szCs w:val="24"/>
        </w:rPr>
        <w:t>2</w:t>
      </w:r>
      <w:r w:rsidRPr="0040535D">
        <w:rPr>
          <w:rFonts w:ascii="Times New Roman" w:hAnsi="Times New Roman"/>
          <w:bCs/>
          <w:sz w:val="24"/>
          <w:szCs w:val="24"/>
        </w:rPr>
        <w:t xml:space="preserve"> stanowi, że do wyboru podmiotów prywatnych realizujących projekty hybrydowe zastosowanie znajdą odrębne przepisy. W wyborze tych podmiotów zastosowanie znajdą w szczególności przepisy ustawy z dnia 19 grudnia 2008 r. o partnerstwie </w:t>
      </w:r>
      <w:proofErr w:type="spellStart"/>
      <w:r w:rsidRPr="0040535D">
        <w:rPr>
          <w:rFonts w:ascii="Times New Roman" w:hAnsi="Times New Roman"/>
          <w:bCs/>
          <w:sz w:val="24"/>
          <w:szCs w:val="24"/>
        </w:rPr>
        <w:t>publiczno</w:t>
      </w:r>
      <w:proofErr w:type="spellEnd"/>
      <w:r w:rsidRPr="0040535D">
        <w:rPr>
          <w:rFonts w:ascii="Times New Roman" w:hAnsi="Times New Roman"/>
          <w:bCs/>
          <w:sz w:val="24"/>
          <w:szCs w:val="24"/>
        </w:rPr>
        <w:t xml:space="preserve"> </w:t>
      </w:r>
      <w:r w:rsidR="00E06D22" w:rsidRPr="0040535D">
        <w:rPr>
          <w:rFonts w:ascii="Times New Roman" w:hAnsi="Times New Roman"/>
          <w:bCs/>
          <w:sz w:val="24"/>
          <w:szCs w:val="24"/>
        </w:rPr>
        <w:t>-</w:t>
      </w:r>
      <w:r w:rsidRPr="0040535D">
        <w:rPr>
          <w:rFonts w:ascii="Times New Roman" w:hAnsi="Times New Roman"/>
          <w:bCs/>
          <w:sz w:val="24"/>
          <w:szCs w:val="24"/>
        </w:rPr>
        <w:t xml:space="preserve"> prywatnym (</w:t>
      </w:r>
      <w:r w:rsidR="006E1A85" w:rsidRPr="0040535D">
        <w:rPr>
          <w:rFonts w:ascii="Times New Roman" w:hAnsi="Times New Roman"/>
          <w:sz w:val="24"/>
          <w:szCs w:val="24"/>
        </w:rPr>
        <w:t>Dz.</w:t>
      </w:r>
      <w:r w:rsidR="00935F74" w:rsidRPr="0040535D">
        <w:rPr>
          <w:rFonts w:ascii="Times New Roman" w:hAnsi="Times New Roman"/>
          <w:sz w:val="24"/>
          <w:szCs w:val="24"/>
        </w:rPr>
        <w:t xml:space="preserve"> </w:t>
      </w:r>
      <w:r w:rsidR="006E1A85" w:rsidRPr="0040535D">
        <w:rPr>
          <w:rFonts w:ascii="Times New Roman" w:hAnsi="Times New Roman"/>
          <w:sz w:val="24"/>
          <w:szCs w:val="24"/>
        </w:rPr>
        <w:t>U. z 2020 r. poz. 711</w:t>
      </w:r>
      <w:r w:rsidR="00F61E94" w:rsidRPr="0040535D">
        <w:rPr>
          <w:rFonts w:ascii="Times New Roman" w:hAnsi="Times New Roman"/>
          <w:sz w:val="24"/>
          <w:szCs w:val="24"/>
        </w:rPr>
        <w:t xml:space="preserve">, z </w:t>
      </w:r>
      <w:proofErr w:type="spellStart"/>
      <w:r w:rsidR="00F61E94" w:rsidRPr="0040535D">
        <w:rPr>
          <w:rFonts w:ascii="Times New Roman" w:hAnsi="Times New Roman"/>
          <w:sz w:val="24"/>
          <w:szCs w:val="24"/>
        </w:rPr>
        <w:t>późn</w:t>
      </w:r>
      <w:proofErr w:type="spellEnd"/>
      <w:r w:rsidR="00F61E94" w:rsidRPr="0040535D">
        <w:rPr>
          <w:rFonts w:ascii="Times New Roman" w:hAnsi="Times New Roman"/>
          <w:sz w:val="24"/>
          <w:szCs w:val="24"/>
        </w:rPr>
        <w:t>.</w:t>
      </w:r>
      <w:r w:rsidR="00CA0F53" w:rsidRPr="0040535D">
        <w:rPr>
          <w:rFonts w:ascii="Times New Roman" w:hAnsi="Times New Roman"/>
          <w:sz w:val="24"/>
          <w:szCs w:val="24"/>
        </w:rPr>
        <w:t xml:space="preserve"> </w:t>
      </w:r>
      <w:r w:rsidR="00F61E94" w:rsidRPr="0040535D">
        <w:rPr>
          <w:rFonts w:ascii="Times New Roman" w:hAnsi="Times New Roman"/>
          <w:sz w:val="24"/>
          <w:szCs w:val="24"/>
        </w:rPr>
        <w:t>zm.</w:t>
      </w:r>
      <w:r w:rsidRPr="0040535D">
        <w:rPr>
          <w:rFonts w:ascii="Times New Roman" w:hAnsi="Times New Roman"/>
          <w:bCs/>
          <w:sz w:val="24"/>
          <w:szCs w:val="24"/>
        </w:rPr>
        <w:t xml:space="preserve">), ustawy z dnia </w:t>
      </w:r>
      <w:r w:rsidR="00E06D22" w:rsidRPr="0040535D">
        <w:rPr>
          <w:rFonts w:ascii="Times New Roman" w:hAnsi="Times New Roman"/>
          <w:bCs/>
          <w:sz w:val="24"/>
          <w:szCs w:val="24"/>
        </w:rPr>
        <w:t>21 października 2016 r. o umowie</w:t>
      </w:r>
      <w:r w:rsidRPr="0040535D">
        <w:rPr>
          <w:rFonts w:ascii="Times New Roman" w:hAnsi="Times New Roman"/>
          <w:bCs/>
          <w:sz w:val="24"/>
          <w:szCs w:val="24"/>
        </w:rPr>
        <w:t xml:space="preserve"> koncesji na roboty budowlane lub usługi (Dz. U. </w:t>
      </w:r>
      <w:r w:rsidR="00B53EA5" w:rsidRPr="0040535D">
        <w:rPr>
          <w:rFonts w:ascii="Times New Roman" w:hAnsi="Times New Roman"/>
          <w:bCs/>
          <w:sz w:val="24"/>
          <w:szCs w:val="24"/>
        </w:rPr>
        <w:t xml:space="preserve">z </w:t>
      </w:r>
      <w:r w:rsidR="00935F74" w:rsidRPr="0040535D">
        <w:rPr>
          <w:rFonts w:ascii="Times New Roman" w:hAnsi="Times New Roman"/>
          <w:bCs/>
          <w:sz w:val="24"/>
          <w:szCs w:val="24"/>
        </w:rPr>
        <w:t xml:space="preserve">2021 </w:t>
      </w:r>
      <w:r w:rsidR="00E06D22" w:rsidRPr="0040535D">
        <w:rPr>
          <w:rFonts w:ascii="Times New Roman" w:hAnsi="Times New Roman"/>
          <w:bCs/>
          <w:sz w:val="24"/>
          <w:szCs w:val="24"/>
        </w:rPr>
        <w:t xml:space="preserve">r. </w:t>
      </w:r>
      <w:r w:rsidR="00B53EA5" w:rsidRPr="0040535D">
        <w:rPr>
          <w:rFonts w:ascii="Times New Roman" w:hAnsi="Times New Roman"/>
          <w:bCs/>
          <w:sz w:val="24"/>
          <w:szCs w:val="24"/>
        </w:rPr>
        <w:t xml:space="preserve">poz. </w:t>
      </w:r>
      <w:r w:rsidR="00935F74" w:rsidRPr="0040535D">
        <w:rPr>
          <w:rFonts w:ascii="Times New Roman" w:hAnsi="Times New Roman"/>
          <w:bCs/>
          <w:sz w:val="24"/>
          <w:szCs w:val="24"/>
        </w:rPr>
        <w:t>541</w:t>
      </w:r>
      <w:r w:rsidR="009C27FB" w:rsidRPr="0040535D">
        <w:rPr>
          <w:rFonts w:ascii="Times New Roman" w:hAnsi="Times New Roman"/>
          <w:bCs/>
          <w:sz w:val="24"/>
          <w:szCs w:val="24"/>
        </w:rPr>
        <w:t>),</w:t>
      </w:r>
      <w:r w:rsidRPr="0040535D">
        <w:rPr>
          <w:rFonts w:ascii="Times New Roman" w:hAnsi="Times New Roman"/>
          <w:bCs/>
          <w:sz w:val="24"/>
          <w:szCs w:val="24"/>
        </w:rPr>
        <w:t>ustawy z dnia 27 października 1994 r. o autostradach płatnych oraz o Krajowym Funduszu Drogowym (Dz. U. z 20</w:t>
      </w:r>
      <w:r w:rsidR="00892331" w:rsidRPr="0040535D">
        <w:rPr>
          <w:rFonts w:ascii="Times New Roman" w:hAnsi="Times New Roman"/>
          <w:bCs/>
          <w:sz w:val="24"/>
          <w:szCs w:val="24"/>
        </w:rPr>
        <w:t>20</w:t>
      </w:r>
      <w:r w:rsidRPr="0040535D">
        <w:rPr>
          <w:rFonts w:ascii="Times New Roman" w:hAnsi="Times New Roman"/>
          <w:bCs/>
          <w:sz w:val="24"/>
          <w:szCs w:val="24"/>
        </w:rPr>
        <w:t xml:space="preserve"> r. poz. </w:t>
      </w:r>
      <w:r w:rsidR="00892331" w:rsidRPr="0040535D">
        <w:rPr>
          <w:rFonts w:ascii="Times New Roman" w:hAnsi="Times New Roman"/>
          <w:bCs/>
          <w:sz w:val="24"/>
          <w:szCs w:val="24"/>
        </w:rPr>
        <w:t>2268</w:t>
      </w:r>
      <w:r w:rsidR="00C76DFC">
        <w:rPr>
          <w:rFonts w:ascii="Times New Roman" w:hAnsi="Times New Roman"/>
          <w:bCs/>
          <w:sz w:val="24"/>
          <w:szCs w:val="24"/>
        </w:rPr>
        <w:t>, z późn.zm.</w:t>
      </w:r>
      <w:r w:rsidRPr="0040535D">
        <w:rPr>
          <w:rFonts w:ascii="Times New Roman" w:hAnsi="Times New Roman"/>
          <w:bCs/>
          <w:sz w:val="24"/>
          <w:szCs w:val="24"/>
        </w:rPr>
        <w:t>)</w:t>
      </w:r>
      <w:r w:rsidR="00AF080D" w:rsidRPr="0040535D">
        <w:rPr>
          <w:rFonts w:ascii="Times New Roman" w:hAnsi="Times New Roman"/>
          <w:bCs/>
          <w:sz w:val="24"/>
          <w:szCs w:val="24"/>
        </w:rPr>
        <w:t xml:space="preserve"> oraz </w:t>
      </w:r>
      <w:proofErr w:type="spellStart"/>
      <w:r w:rsidR="00AF080D" w:rsidRPr="0040535D">
        <w:rPr>
          <w:rFonts w:ascii="Times New Roman" w:hAnsi="Times New Roman"/>
          <w:bCs/>
          <w:sz w:val="24"/>
          <w:szCs w:val="24"/>
        </w:rPr>
        <w:t>pzp</w:t>
      </w:r>
      <w:proofErr w:type="spellEnd"/>
      <w:r w:rsidRPr="0040535D">
        <w:rPr>
          <w:rFonts w:ascii="Times New Roman" w:hAnsi="Times New Roman"/>
          <w:bCs/>
          <w:sz w:val="24"/>
          <w:szCs w:val="24"/>
        </w:rPr>
        <w:t>. Wybór procedury wyboru podmiotu prywatnego jest uzależniony od przyjętego modelu realizacji inwestycji.</w:t>
      </w:r>
      <w:r w:rsidR="00B53EA5" w:rsidRPr="0040535D">
        <w:rPr>
          <w:rFonts w:ascii="Times New Roman" w:hAnsi="Times New Roman"/>
          <w:bCs/>
          <w:sz w:val="24"/>
          <w:szCs w:val="24"/>
        </w:rPr>
        <w:t xml:space="preserve"> </w:t>
      </w:r>
    </w:p>
    <w:p w14:paraId="607CDF74"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W </w:t>
      </w:r>
      <w:r w:rsidRPr="0040535D">
        <w:rPr>
          <w:rFonts w:ascii="Times New Roman" w:hAnsi="Times New Roman"/>
          <w:b/>
          <w:bCs/>
          <w:sz w:val="24"/>
          <w:szCs w:val="24"/>
        </w:rPr>
        <w:t xml:space="preserve">art. </w:t>
      </w:r>
      <w:r w:rsidR="00370AEC" w:rsidRPr="0040535D">
        <w:rPr>
          <w:rFonts w:ascii="Times New Roman" w:hAnsi="Times New Roman"/>
          <w:b/>
          <w:bCs/>
          <w:sz w:val="24"/>
          <w:szCs w:val="24"/>
        </w:rPr>
        <w:t>4</w:t>
      </w:r>
      <w:r w:rsidR="00CA0F53" w:rsidRPr="0040535D">
        <w:rPr>
          <w:rFonts w:ascii="Times New Roman" w:hAnsi="Times New Roman"/>
          <w:b/>
          <w:bCs/>
          <w:sz w:val="24"/>
          <w:szCs w:val="24"/>
        </w:rPr>
        <w:t>1</w:t>
      </w:r>
      <w:r w:rsidR="00370AEC" w:rsidRPr="0040535D">
        <w:rPr>
          <w:rFonts w:ascii="Times New Roman" w:hAnsi="Times New Roman"/>
          <w:bCs/>
          <w:sz w:val="24"/>
          <w:szCs w:val="24"/>
        </w:rPr>
        <w:t xml:space="preserve"> </w:t>
      </w:r>
      <w:r w:rsidRPr="0040535D">
        <w:rPr>
          <w:rFonts w:ascii="Times New Roman" w:hAnsi="Times New Roman"/>
          <w:bCs/>
          <w:sz w:val="24"/>
          <w:szCs w:val="24"/>
        </w:rPr>
        <w:t>uregulowano instytucję projektu grantowego. Istotą tego typu projektu jest możliwość powierzenia beneficjentowi wdrażania projektu, w ramach którego udzielane są granty innym podmiotom wybranym w drodze otwartego naboru (</w:t>
      </w:r>
      <w:proofErr w:type="spellStart"/>
      <w:r w:rsidRPr="0040535D">
        <w:rPr>
          <w:rFonts w:ascii="Times New Roman" w:hAnsi="Times New Roman"/>
          <w:bCs/>
          <w:sz w:val="24"/>
          <w:szCs w:val="24"/>
        </w:rPr>
        <w:t>grantobiorcom</w:t>
      </w:r>
      <w:proofErr w:type="spellEnd"/>
      <w:r w:rsidRPr="0040535D">
        <w:rPr>
          <w:rFonts w:ascii="Times New Roman" w:hAnsi="Times New Roman"/>
          <w:bCs/>
          <w:sz w:val="24"/>
          <w:szCs w:val="24"/>
        </w:rPr>
        <w:t xml:space="preserve">). Wprowadzono szeroki katalog podmiotów, które mogą uzyskać status </w:t>
      </w:r>
      <w:proofErr w:type="spellStart"/>
      <w:r w:rsidRPr="0040535D">
        <w:rPr>
          <w:rFonts w:ascii="Times New Roman" w:hAnsi="Times New Roman"/>
          <w:bCs/>
          <w:sz w:val="24"/>
          <w:szCs w:val="24"/>
        </w:rPr>
        <w:t>grantobiorcy</w:t>
      </w:r>
      <w:proofErr w:type="spellEnd"/>
      <w:r w:rsidRPr="0040535D">
        <w:rPr>
          <w:rFonts w:ascii="Times New Roman" w:hAnsi="Times New Roman"/>
          <w:bCs/>
          <w:sz w:val="24"/>
          <w:szCs w:val="24"/>
        </w:rPr>
        <w:t>, obejmujący zarówno podmioty publiczne, jak i podmioty prywatne, z zastrzeżeniem, że nie mogą to być podmioty wykluczone z możliwości otrzymania dofinansowania</w:t>
      </w:r>
      <w:r w:rsidR="00225E7F" w:rsidRPr="0040535D">
        <w:rPr>
          <w:rFonts w:ascii="Times New Roman" w:hAnsi="Times New Roman"/>
          <w:bCs/>
          <w:sz w:val="24"/>
          <w:szCs w:val="24"/>
        </w:rPr>
        <w:t xml:space="preserve"> na podstawie odrębnych przepisów</w:t>
      </w:r>
      <w:r w:rsidRPr="0040535D">
        <w:rPr>
          <w:rFonts w:ascii="Times New Roman" w:hAnsi="Times New Roman"/>
          <w:bCs/>
          <w:sz w:val="24"/>
          <w:szCs w:val="24"/>
        </w:rPr>
        <w:t>.</w:t>
      </w:r>
      <w:r w:rsidR="00132016" w:rsidRPr="0040535D">
        <w:rPr>
          <w:rFonts w:ascii="Times New Roman" w:hAnsi="Times New Roman"/>
          <w:bCs/>
          <w:sz w:val="24"/>
          <w:szCs w:val="24"/>
        </w:rPr>
        <w:t xml:space="preserve"> W projekcie wskazano, że wartość grantu nie może przekroczyć 200 tys. </w:t>
      </w:r>
      <w:r w:rsidR="00894D65">
        <w:rPr>
          <w:rFonts w:ascii="Times New Roman" w:hAnsi="Times New Roman"/>
          <w:bCs/>
          <w:sz w:val="24"/>
          <w:szCs w:val="24"/>
        </w:rPr>
        <w:t>e</w:t>
      </w:r>
      <w:r w:rsidR="00132016" w:rsidRPr="0040535D">
        <w:rPr>
          <w:rFonts w:ascii="Times New Roman" w:hAnsi="Times New Roman"/>
          <w:bCs/>
          <w:sz w:val="24"/>
          <w:szCs w:val="24"/>
        </w:rPr>
        <w:t>uro</w:t>
      </w:r>
      <w:r w:rsidR="001A58EE" w:rsidRPr="0040535D">
        <w:rPr>
          <w:rFonts w:ascii="Times New Roman" w:hAnsi="Times New Roman"/>
          <w:bCs/>
          <w:sz w:val="24"/>
          <w:szCs w:val="24"/>
        </w:rPr>
        <w:t>. Limit wsparcia przekazywanego w formie grantu wynika z przepisów rozporządzenia ogólnego.</w:t>
      </w:r>
    </w:p>
    <w:p w14:paraId="31954919"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W celu podkreślenia, że pojęcie grantu nie jest równoznaczne z pojęciem projektu w rozumieniu ustawy, przesądzono, że grantem są środki finansowe programu powierzane </w:t>
      </w:r>
      <w:proofErr w:type="spellStart"/>
      <w:r w:rsidRPr="0040535D">
        <w:rPr>
          <w:rFonts w:ascii="Times New Roman" w:hAnsi="Times New Roman"/>
          <w:bCs/>
          <w:sz w:val="24"/>
          <w:szCs w:val="24"/>
        </w:rPr>
        <w:t>grantobiorcom</w:t>
      </w:r>
      <w:proofErr w:type="spellEnd"/>
      <w:r w:rsidRPr="0040535D">
        <w:rPr>
          <w:rFonts w:ascii="Times New Roman" w:hAnsi="Times New Roman"/>
          <w:bCs/>
          <w:sz w:val="24"/>
          <w:szCs w:val="24"/>
        </w:rPr>
        <w:t xml:space="preserve"> na realizację zadań zgodnych z celem projektu grantowego. Z przedmiotowej regulacji wynika, że grant nie może polegać np. na świadczeniu usług przez </w:t>
      </w:r>
      <w:proofErr w:type="spellStart"/>
      <w:r w:rsidRPr="0040535D">
        <w:rPr>
          <w:rFonts w:ascii="Times New Roman" w:hAnsi="Times New Roman"/>
          <w:bCs/>
          <w:sz w:val="24"/>
          <w:szCs w:val="24"/>
        </w:rPr>
        <w:t>grantodawcę</w:t>
      </w:r>
      <w:proofErr w:type="spellEnd"/>
      <w:r w:rsidRPr="0040535D">
        <w:rPr>
          <w:rFonts w:ascii="Times New Roman" w:hAnsi="Times New Roman"/>
          <w:bCs/>
          <w:sz w:val="24"/>
          <w:szCs w:val="24"/>
        </w:rPr>
        <w:t xml:space="preserve"> na rzecz </w:t>
      </w:r>
      <w:proofErr w:type="spellStart"/>
      <w:r w:rsidRPr="0040535D">
        <w:rPr>
          <w:rFonts w:ascii="Times New Roman" w:hAnsi="Times New Roman"/>
          <w:bCs/>
          <w:sz w:val="24"/>
          <w:szCs w:val="24"/>
        </w:rPr>
        <w:t>grantobiorcy</w:t>
      </w:r>
      <w:proofErr w:type="spellEnd"/>
      <w:r w:rsidRPr="0040535D">
        <w:rPr>
          <w:rFonts w:ascii="Times New Roman" w:hAnsi="Times New Roman"/>
          <w:bCs/>
          <w:sz w:val="24"/>
          <w:szCs w:val="24"/>
        </w:rPr>
        <w:t xml:space="preserve"> ani na przekazaniu przez </w:t>
      </w:r>
      <w:proofErr w:type="spellStart"/>
      <w:r w:rsidRPr="0040535D">
        <w:rPr>
          <w:rFonts w:ascii="Times New Roman" w:hAnsi="Times New Roman"/>
          <w:bCs/>
          <w:sz w:val="24"/>
          <w:szCs w:val="24"/>
        </w:rPr>
        <w:t>grantodawcę</w:t>
      </w:r>
      <w:proofErr w:type="spellEnd"/>
      <w:r w:rsidRPr="0040535D">
        <w:rPr>
          <w:rFonts w:ascii="Times New Roman" w:hAnsi="Times New Roman"/>
          <w:bCs/>
          <w:sz w:val="24"/>
          <w:szCs w:val="24"/>
        </w:rPr>
        <w:t xml:space="preserve"> na rzecz </w:t>
      </w:r>
      <w:proofErr w:type="spellStart"/>
      <w:r w:rsidRPr="0040535D">
        <w:rPr>
          <w:rFonts w:ascii="Times New Roman" w:hAnsi="Times New Roman"/>
          <w:bCs/>
          <w:sz w:val="24"/>
          <w:szCs w:val="24"/>
        </w:rPr>
        <w:t>grantobiorcy</w:t>
      </w:r>
      <w:proofErr w:type="spellEnd"/>
      <w:r w:rsidRPr="0040535D">
        <w:rPr>
          <w:rFonts w:ascii="Times New Roman" w:hAnsi="Times New Roman"/>
          <w:bCs/>
          <w:sz w:val="24"/>
          <w:szCs w:val="24"/>
        </w:rPr>
        <w:t xml:space="preserve"> składników majątkowych. Powierzenie grantu następuje na podstawie umowy, której minimalny zakres określa art. </w:t>
      </w:r>
      <w:r w:rsidR="00370AEC" w:rsidRPr="0040535D">
        <w:rPr>
          <w:rFonts w:ascii="Times New Roman" w:hAnsi="Times New Roman"/>
          <w:bCs/>
          <w:sz w:val="24"/>
          <w:szCs w:val="24"/>
        </w:rPr>
        <w:t>4</w:t>
      </w:r>
      <w:r w:rsidR="00CA0F53" w:rsidRPr="0040535D">
        <w:rPr>
          <w:rFonts w:ascii="Times New Roman" w:hAnsi="Times New Roman"/>
          <w:bCs/>
          <w:sz w:val="24"/>
          <w:szCs w:val="24"/>
        </w:rPr>
        <w:t>1</w:t>
      </w:r>
      <w:r w:rsidR="00370AEC" w:rsidRPr="0040535D">
        <w:rPr>
          <w:rFonts w:ascii="Times New Roman" w:hAnsi="Times New Roman"/>
          <w:bCs/>
          <w:sz w:val="24"/>
          <w:szCs w:val="24"/>
        </w:rPr>
        <w:t xml:space="preserve"> </w:t>
      </w:r>
      <w:r w:rsidRPr="0040535D">
        <w:rPr>
          <w:rFonts w:ascii="Times New Roman" w:hAnsi="Times New Roman"/>
          <w:bCs/>
          <w:sz w:val="24"/>
          <w:szCs w:val="24"/>
        </w:rPr>
        <w:t>ust. 7.</w:t>
      </w:r>
    </w:p>
    <w:p w14:paraId="47221A66" w14:textId="77777777" w:rsidR="00723C2A" w:rsidRPr="0040535D" w:rsidRDefault="00555DC0" w:rsidP="009A0EE5">
      <w:pPr>
        <w:pStyle w:val="USTustnpkodeksu"/>
        <w:rPr>
          <w:rFonts w:ascii="Times New Roman" w:hAnsi="Times New Roman" w:cs="Times New Roman"/>
          <w:szCs w:val="24"/>
        </w:rPr>
      </w:pPr>
      <w:r w:rsidRPr="0040535D">
        <w:rPr>
          <w:rFonts w:ascii="Times New Roman" w:hAnsi="Times New Roman" w:cs="Times New Roman"/>
          <w:bCs w:val="0"/>
          <w:szCs w:val="24"/>
        </w:rPr>
        <w:t>Projekt grantowy</w:t>
      </w:r>
      <w:r w:rsidR="008A2E00" w:rsidRPr="0040535D">
        <w:rPr>
          <w:rFonts w:ascii="Times New Roman" w:hAnsi="Times New Roman" w:cs="Times New Roman"/>
          <w:bCs w:val="0"/>
          <w:szCs w:val="24"/>
        </w:rPr>
        <w:t>,</w:t>
      </w:r>
      <w:r w:rsidRPr="0040535D">
        <w:rPr>
          <w:rFonts w:ascii="Times New Roman" w:hAnsi="Times New Roman" w:cs="Times New Roman"/>
          <w:bCs w:val="0"/>
          <w:szCs w:val="24"/>
        </w:rPr>
        <w:t xml:space="preserve"> tak jak inne projekty</w:t>
      </w:r>
      <w:r w:rsidR="008A2E00" w:rsidRPr="0040535D">
        <w:rPr>
          <w:rFonts w:ascii="Times New Roman" w:hAnsi="Times New Roman" w:cs="Times New Roman"/>
          <w:bCs w:val="0"/>
          <w:szCs w:val="24"/>
        </w:rPr>
        <w:t>,</w:t>
      </w:r>
      <w:r w:rsidRPr="0040535D">
        <w:rPr>
          <w:rFonts w:ascii="Times New Roman" w:hAnsi="Times New Roman" w:cs="Times New Roman"/>
          <w:bCs w:val="0"/>
          <w:szCs w:val="24"/>
        </w:rPr>
        <w:t xml:space="preserve"> realizowany jest na podstawie umowy o dofinansowanie projektu albo decyzji o dofinansowaniu projektu. W art. </w:t>
      </w:r>
      <w:r w:rsidR="00370AEC" w:rsidRPr="0040535D">
        <w:rPr>
          <w:rFonts w:ascii="Times New Roman" w:hAnsi="Times New Roman" w:cs="Times New Roman"/>
          <w:bCs w:val="0"/>
          <w:szCs w:val="24"/>
        </w:rPr>
        <w:t>4</w:t>
      </w:r>
      <w:r w:rsidR="00CA0F53" w:rsidRPr="0040535D">
        <w:rPr>
          <w:rFonts w:ascii="Times New Roman" w:hAnsi="Times New Roman" w:cs="Times New Roman"/>
          <w:bCs w:val="0"/>
          <w:szCs w:val="24"/>
        </w:rPr>
        <w:t>1</w:t>
      </w:r>
      <w:r w:rsidR="00370AEC" w:rsidRPr="0040535D">
        <w:rPr>
          <w:rFonts w:ascii="Times New Roman" w:hAnsi="Times New Roman" w:cs="Times New Roman"/>
          <w:bCs w:val="0"/>
          <w:szCs w:val="24"/>
        </w:rPr>
        <w:t xml:space="preserve"> </w:t>
      </w:r>
      <w:r w:rsidRPr="0040535D">
        <w:rPr>
          <w:rFonts w:ascii="Times New Roman" w:hAnsi="Times New Roman" w:cs="Times New Roman"/>
          <w:bCs w:val="0"/>
          <w:szCs w:val="24"/>
        </w:rPr>
        <w:t xml:space="preserve">ust. 8 określono zakres odpowiedzialności beneficjenta w sferze realizacji projektu grantowego, w tym realizację projektu zgodnie z założonym celem, dokonywanie wyboru </w:t>
      </w:r>
      <w:proofErr w:type="spellStart"/>
      <w:r w:rsidRPr="0040535D">
        <w:rPr>
          <w:rFonts w:ascii="Times New Roman" w:hAnsi="Times New Roman" w:cs="Times New Roman"/>
          <w:bCs w:val="0"/>
          <w:szCs w:val="24"/>
        </w:rPr>
        <w:t>grantobiorców</w:t>
      </w:r>
      <w:proofErr w:type="spellEnd"/>
      <w:r w:rsidRPr="0040535D">
        <w:rPr>
          <w:rFonts w:ascii="Times New Roman" w:hAnsi="Times New Roman" w:cs="Times New Roman"/>
          <w:bCs w:val="0"/>
          <w:szCs w:val="24"/>
        </w:rPr>
        <w:t xml:space="preserve"> z zapewnieniem zasady przejrzystości, rzetelności, bezstronności i równego traktowania podmiotów, monitorowanie i kontrolę realizacji zadań przez </w:t>
      </w:r>
      <w:proofErr w:type="spellStart"/>
      <w:r w:rsidRPr="0040535D">
        <w:rPr>
          <w:rFonts w:ascii="Times New Roman" w:hAnsi="Times New Roman" w:cs="Times New Roman"/>
          <w:bCs w:val="0"/>
          <w:szCs w:val="24"/>
        </w:rPr>
        <w:t>grantobiorców</w:t>
      </w:r>
      <w:proofErr w:type="spellEnd"/>
      <w:r w:rsidRPr="0040535D">
        <w:rPr>
          <w:rFonts w:ascii="Times New Roman" w:hAnsi="Times New Roman" w:cs="Times New Roman"/>
          <w:bCs w:val="0"/>
          <w:szCs w:val="24"/>
        </w:rPr>
        <w:t xml:space="preserve">, rozliczanie </w:t>
      </w:r>
      <w:r w:rsidRPr="0040535D">
        <w:rPr>
          <w:rFonts w:ascii="Times New Roman" w:hAnsi="Times New Roman" w:cs="Times New Roman"/>
          <w:bCs w:val="0"/>
          <w:szCs w:val="24"/>
        </w:rPr>
        <w:lastRenderedPageBreak/>
        <w:t xml:space="preserve">wydatków poniesionych przez </w:t>
      </w:r>
      <w:proofErr w:type="spellStart"/>
      <w:r w:rsidRPr="0040535D">
        <w:rPr>
          <w:rFonts w:ascii="Times New Roman" w:hAnsi="Times New Roman" w:cs="Times New Roman"/>
          <w:bCs w:val="0"/>
          <w:szCs w:val="24"/>
        </w:rPr>
        <w:t>grantobiorców</w:t>
      </w:r>
      <w:proofErr w:type="spellEnd"/>
      <w:r w:rsidRPr="0040535D">
        <w:rPr>
          <w:rFonts w:ascii="Times New Roman" w:hAnsi="Times New Roman" w:cs="Times New Roman"/>
          <w:bCs w:val="0"/>
          <w:szCs w:val="24"/>
        </w:rPr>
        <w:t xml:space="preserve">, a także odzyskiwanie środków od </w:t>
      </w:r>
      <w:proofErr w:type="spellStart"/>
      <w:r w:rsidRPr="0040535D">
        <w:rPr>
          <w:rFonts w:ascii="Times New Roman" w:hAnsi="Times New Roman" w:cs="Times New Roman"/>
          <w:bCs w:val="0"/>
          <w:szCs w:val="24"/>
        </w:rPr>
        <w:t>grantobiorców</w:t>
      </w:r>
      <w:proofErr w:type="spellEnd"/>
      <w:r w:rsidRPr="0040535D">
        <w:rPr>
          <w:rFonts w:ascii="Times New Roman" w:hAnsi="Times New Roman" w:cs="Times New Roman"/>
          <w:bCs w:val="0"/>
          <w:szCs w:val="24"/>
        </w:rPr>
        <w:t xml:space="preserve"> w przypadku wykorzystania grantu niezgodnie z umową o powierzenie grantu.</w:t>
      </w:r>
      <w:r w:rsidR="00723C2A" w:rsidRPr="0040535D">
        <w:rPr>
          <w:rFonts w:ascii="Times New Roman" w:hAnsi="Times New Roman" w:cs="Times New Roman"/>
          <w:bCs w:val="0"/>
          <w:szCs w:val="24"/>
        </w:rPr>
        <w:t xml:space="preserve"> W p</w:t>
      </w:r>
      <w:r w:rsidR="00723C2A" w:rsidRPr="0040535D">
        <w:rPr>
          <w:rFonts w:ascii="Times New Roman" w:hAnsi="Times New Roman" w:cs="Times New Roman"/>
          <w:szCs w:val="24"/>
        </w:rPr>
        <w:t xml:space="preserve">rzypadku, gdy projekt grantowy jest jednocześnie projektem partnerskim, </w:t>
      </w:r>
      <w:r w:rsidR="005430E6" w:rsidRPr="005430E6">
        <w:rPr>
          <w:rFonts w:ascii="Times New Roman" w:hAnsi="Times New Roman" w:cs="Times New Roman"/>
          <w:szCs w:val="24"/>
        </w:rPr>
        <w:t>istotn</w:t>
      </w:r>
      <w:r w:rsidR="005430E6">
        <w:rPr>
          <w:rFonts w:ascii="Times New Roman" w:hAnsi="Times New Roman" w:cs="Times New Roman"/>
          <w:szCs w:val="24"/>
        </w:rPr>
        <w:t>e ograniczenie wprowadza ust. 9</w:t>
      </w:r>
      <w:r w:rsidR="005430E6" w:rsidRPr="005430E6">
        <w:rPr>
          <w:rFonts w:ascii="Times New Roman" w:hAnsi="Times New Roman" w:cs="Times New Roman"/>
          <w:szCs w:val="24"/>
        </w:rPr>
        <w:t xml:space="preserve"> stanowiąc, że </w:t>
      </w:r>
      <w:r w:rsidR="00723C2A" w:rsidRPr="0040535D">
        <w:rPr>
          <w:rFonts w:ascii="Times New Roman" w:hAnsi="Times New Roman" w:cs="Times New Roman"/>
          <w:szCs w:val="24"/>
        </w:rPr>
        <w:t xml:space="preserve">beneficjent może powierzyć partnerom realizację części zadań związanych z wyborem </w:t>
      </w:r>
      <w:proofErr w:type="spellStart"/>
      <w:r w:rsidR="00723C2A" w:rsidRPr="0040535D">
        <w:rPr>
          <w:rFonts w:ascii="Times New Roman" w:hAnsi="Times New Roman" w:cs="Times New Roman"/>
          <w:szCs w:val="24"/>
        </w:rPr>
        <w:t>grantobiorców</w:t>
      </w:r>
      <w:proofErr w:type="spellEnd"/>
      <w:r w:rsidR="00723C2A" w:rsidRPr="0040535D">
        <w:rPr>
          <w:rFonts w:ascii="Times New Roman" w:hAnsi="Times New Roman" w:cs="Times New Roman"/>
          <w:szCs w:val="24"/>
        </w:rPr>
        <w:t>.</w:t>
      </w:r>
      <w:r w:rsidR="005430E6" w:rsidRPr="005430E6">
        <w:t xml:space="preserve"> </w:t>
      </w:r>
      <w:r w:rsidR="005430E6" w:rsidRPr="005430E6">
        <w:rPr>
          <w:rFonts w:ascii="Times New Roman" w:hAnsi="Times New Roman" w:cs="Times New Roman"/>
          <w:szCs w:val="24"/>
        </w:rPr>
        <w:t xml:space="preserve">Ograniczenie to wynika z tego, że zgodnie z ust. 2 to beneficjent udziela grantów </w:t>
      </w:r>
      <w:proofErr w:type="spellStart"/>
      <w:r w:rsidR="005430E6" w:rsidRPr="005430E6">
        <w:rPr>
          <w:rFonts w:ascii="Times New Roman" w:hAnsi="Times New Roman" w:cs="Times New Roman"/>
          <w:szCs w:val="24"/>
        </w:rPr>
        <w:t>grantobiorcom</w:t>
      </w:r>
      <w:proofErr w:type="spellEnd"/>
      <w:r w:rsidR="005430E6" w:rsidRPr="005430E6">
        <w:rPr>
          <w:rFonts w:ascii="Times New Roman" w:hAnsi="Times New Roman" w:cs="Times New Roman"/>
          <w:szCs w:val="24"/>
        </w:rPr>
        <w:t xml:space="preserve">, w związku z czym nie jest możliwe, aby proces wyboru </w:t>
      </w:r>
      <w:proofErr w:type="spellStart"/>
      <w:r w:rsidR="005430E6" w:rsidRPr="005430E6">
        <w:rPr>
          <w:rFonts w:ascii="Times New Roman" w:hAnsi="Times New Roman" w:cs="Times New Roman"/>
          <w:szCs w:val="24"/>
        </w:rPr>
        <w:t>grantobiorców</w:t>
      </w:r>
      <w:proofErr w:type="spellEnd"/>
      <w:r w:rsidR="005430E6" w:rsidRPr="005430E6">
        <w:rPr>
          <w:rFonts w:ascii="Times New Roman" w:hAnsi="Times New Roman" w:cs="Times New Roman"/>
          <w:szCs w:val="24"/>
        </w:rPr>
        <w:t xml:space="preserve"> w całości (czyli wraz z podpisaniem umowy o powierzenie grantu) został przekazany partnerom. Natomiast pozostałe zadania (np. monitorowanie realizacji zadań przez </w:t>
      </w:r>
      <w:proofErr w:type="spellStart"/>
      <w:r w:rsidR="005430E6" w:rsidRPr="005430E6">
        <w:rPr>
          <w:rFonts w:ascii="Times New Roman" w:hAnsi="Times New Roman" w:cs="Times New Roman"/>
          <w:szCs w:val="24"/>
        </w:rPr>
        <w:t>grantobiorców</w:t>
      </w:r>
      <w:proofErr w:type="spellEnd"/>
      <w:r w:rsidR="005430E6" w:rsidRPr="005430E6">
        <w:rPr>
          <w:rFonts w:ascii="Times New Roman" w:hAnsi="Times New Roman" w:cs="Times New Roman"/>
          <w:szCs w:val="24"/>
        </w:rPr>
        <w:t xml:space="preserve"> czy kontrola realizacji ich zadań) będą w takim projekcie realizowane zgodnie z porozumieniem albo umową o partnerstwie.</w:t>
      </w:r>
    </w:p>
    <w:p w14:paraId="025B9E7D" w14:textId="77777777" w:rsidR="00555DC0" w:rsidRPr="0040535D" w:rsidRDefault="00555DC0" w:rsidP="009A0EE5">
      <w:pPr>
        <w:spacing w:after="0" w:line="360" w:lineRule="auto"/>
        <w:jc w:val="both"/>
        <w:rPr>
          <w:rFonts w:ascii="Times New Roman" w:hAnsi="Times New Roman"/>
          <w:bCs/>
          <w:sz w:val="24"/>
          <w:szCs w:val="24"/>
        </w:rPr>
      </w:pPr>
      <w:r w:rsidRPr="0040535D">
        <w:rPr>
          <w:rFonts w:ascii="Times New Roman" w:hAnsi="Times New Roman"/>
          <w:bCs/>
          <w:sz w:val="24"/>
          <w:szCs w:val="24"/>
        </w:rPr>
        <w:t xml:space="preserve">Nadzór właściwej instytucji nad realizacją zadań powierzonych beneficjentowi projektu grantowego zapewniony jest, zgodnie z art. </w:t>
      </w:r>
      <w:r w:rsidR="00370AEC" w:rsidRPr="0040535D">
        <w:rPr>
          <w:rFonts w:ascii="Times New Roman" w:hAnsi="Times New Roman"/>
          <w:bCs/>
          <w:sz w:val="24"/>
          <w:szCs w:val="24"/>
        </w:rPr>
        <w:t>4</w:t>
      </w:r>
      <w:r w:rsidR="00CA0F53" w:rsidRPr="0040535D">
        <w:rPr>
          <w:rFonts w:ascii="Times New Roman" w:hAnsi="Times New Roman"/>
          <w:bCs/>
          <w:sz w:val="24"/>
          <w:szCs w:val="24"/>
        </w:rPr>
        <w:t>1</w:t>
      </w:r>
      <w:r w:rsidR="00370AEC" w:rsidRPr="0040535D">
        <w:rPr>
          <w:rFonts w:ascii="Times New Roman" w:hAnsi="Times New Roman"/>
          <w:bCs/>
          <w:sz w:val="24"/>
          <w:szCs w:val="24"/>
        </w:rPr>
        <w:t xml:space="preserve"> </w:t>
      </w:r>
      <w:r w:rsidRPr="0040535D">
        <w:rPr>
          <w:rFonts w:ascii="Times New Roman" w:hAnsi="Times New Roman"/>
          <w:bCs/>
          <w:sz w:val="24"/>
          <w:szCs w:val="24"/>
        </w:rPr>
        <w:t xml:space="preserve">ust. </w:t>
      </w:r>
      <w:r w:rsidR="00723C2A" w:rsidRPr="0040535D">
        <w:rPr>
          <w:rFonts w:ascii="Times New Roman" w:hAnsi="Times New Roman"/>
          <w:bCs/>
          <w:sz w:val="24"/>
          <w:szCs w:val="24"/>
        </w:rPr>
        <w:t>10</w:t>
      </w:r>
      <w:r w:rsidRPr="0040535D">
        <w:rPr>
          <w:rFonts w:ascii="Times New Roman" w:hAnsi="Times New Roman"/>
          <w:bCs/>
          <w:sz w:val="24"/>
          <w:szCs w:val="24"/>
        </w:rPr>
        <w:t>, poprzez zatwierdzanie procedur związanych z wdrażaniem projektu, opracowywanych przez jego beneficjenta.</w:t>
      </w:r>
      <w:r w:rsidR="000D66BB" w:rsidRPr="0040535D">
        <w:rPr>
          <w:rFonts w:ascii="Times New Roman" w:hAnsi="Times New Roman"/>
          <w:bCs/>
          <w:sz w:val="24"/>
          <w:szCs w:val="24"/>
        </w:rPr>
        <w:t xml:space="preserve"> </w:t>
      </w:r>
      <w:r w:rsidR="000D66BB" w:rsidRPr="0040535D">
        <w:rPr>
          <w:rFonts w:ascii="Times New Roman" w:hAnsi="Times New Roman"/>
          <w:sz w:val="24"/>
          <w:szCs w:val="24"/>
        </w:rPr>
        <w:t>Zatwierdzanie przez właściwą instytucje procedur dot</w:t>
      </w:r>
      <w:r w:rsidR="00863C63" w:rsidRPr="0040535D">
        <w:rPr>
          <w:rFonts w:ascii="Times New Roman" w:hAnsi="Times New Roman"/>
          <w:sz w:val="24"/>
          <w:szCs w:val="24"/>
        </w:rPr>
        <w:t xml:space="preserve">yczących </w:t>
      </w:r>
      <w:r w:rsidR="000D66BB" w:rsidRPr="0040535D">
        <w:rPr>
          <w:rFonts w:ascii="Times New Roman" w:hAnsi="Times New Roman"/>
          <w:sz w:val="24"/>
          <w:szCs w:val="24"/>
        </w:rPr>
        <w:t xml:space="preserve">realizacji projektu grantowego </w:t>
      </w:r>
      <w:r w:rsidR="00863C63" w:rsidRPr="0040535D">
        <w:rPr>
          <w:rFonts w:ascii="Times New Roman" w:hAnsi="Times New Roman"/>
          <w:sz w:val="24"/>
          <w:szCs w:val="24"/>
        </w:rPr>
        <w:t xml:space="preserve">będzie określone w umowie </w:t>
      </w:r>
      <w:r w:rsidR="000D66BB" w:rsidRPr="0040535D">
        <w:rPr>
          <w:rFonts w:ascii="Times New Roman" w:hAnsi="Times New Roman"/>
          <w:sz w:val="24"/>
          <w:szCs w:val="24"/>
        </w:rPr>
        <w:t>o dofinasowanie.</w:t>
      </w:r>
    </w:p>
    <w:p w14:paraId="0FDBD650" w14:textId="77777777" w:rsidR="00555DC0" w:rsidRPr="0040535D" w:rsidRDefault="00555DC0" w:rsidP="009A0EE5">
      <w:pPr>
        <w:spacing w:after="0" w:line="360" w:lineRule="auto"/>
        <w:jc w:val="both"/>
        <w:rPr>
          <w:rFonts w:ascii="Times New Roman" w:hAnsi="Times New Roman"/>
          <w:b/>
          <w:bCs/>
          <w:sz w:val="24"/>
          <w:szCs w:val="24"/>
        </w:rPr>
      </w:pPr>
    </w:p>
    <w:p w14:paraId="7FB977AE" w14:textId="77777777" w:rsidR="00555DC0" w:rsidRPr="0040535D" w:rsidRDefault="00555DC0" w:rsidP="009A0EE5">
      <w:pPr>
        <w:spacing w:after="0" w:line="360" w:lineRule="auto"/>
        <w:jc w:val="both"/>
        <w:rPr>
          <w:rFonts w:ascii="Times New Roman" w:hAnsi="Times New Roman"/>
          <w:b/>
          <w:bCs/>
          <w:sz w:val="24"/>
          <w:szCs w:val="24"/>
        </w:rPr>
      </w:pPr>
      <w:r w:rsidRPr="0040535D">
        <w:rPr>
          <w:rFonts w:ascii="Times New Roman" w:hAnsi="Times New Roman"/>
          <w:b/>
          <w:bCs/>
          <w:sz w:val="24"/>
          <w:szCs w:val="24"/>
        </w:rPr>
        <w:t>Rozdział 1</w:t>
      </w:r>
      <w:r w:rsidR="00922B46" w:rsidRPr="0040535D">
        <w:rPr>
          <w:rFonts w:ascii="Times New Roman" w:hAnsi="Times New Roman"/>
          <w:b/>
          <w:bCs/>
          <w:sz w:val="24"/>
          <w:szCs w:val="24"/>
        </w:rPr>
        <w:t>4</w:t>
      </w:r>
      <w:r w:rsidRPr="0040535D">
        <w:rPr>
          <w:rFonts w:ascii="Times New Roman" w:hAnsi="Times New Roman"/>
          <w:b/>
          <w:bCs/>
          <w:sz w:val="24"/>
          <w:szCs w:val="24"/>
        </w:rPr>
        <w:t>. Wybór projektów.</w:t>
      </w:r>
    </w:p>
    <w:p w14:paraId="09313D09"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W rozdziale 1</w:t>
      </w:r>
      <w:r w:rsidR="00922B46" w:rsidRPr="0040535D">
        <w:rPr>
          <w:rFonts w:ascii="Times New Roman" w:hAnsi="Times New Roman"/>
          <w:sz w:val="24"/>
          <w:szCs w:val="24"/>
        </w:rPr>
        <w:t>4</w:t>
      </w:r>
      <w:r w:rsidRPr="0040535D">
        <w:rPr>
          <w:rFonts w:ascii="Times New Roman" w:hAnsi="Times New Roman"/>
          <w:sz w:val="24"/>
          <w:szCs w:val="24"/>
        </w:rPr>
        <w:t xml:space="preserve"> (art. 4</w:t>
      </w:r>
      <w:r w:rsidR="00CA0F53" w:rsidRPr="0040535D">
        <w:rPr>
          <w:rFonts w:ascii="Times New Roman" w:hAnsi="Times New Roman"/>
          <w:sz w:val="24"/>
          <w:szCs w:val="24"/>
        </w:rPr>
        <w:t>2</w:t>
      </w:r>
      <w:r w:rsidRPr="0040535D">
        <w:rPr>
          <w:rFonts w:ascii="Times New Roman" w:hAnsi="Times New Roman"/>
          <w:sz w:val="24"/>
          <w:szCs w:val="24"/>
        </w:rPr>
        <w:t xml:space="preserve"> – </w:t>
      </w:r>
      <w:r w:rsidR="00723C2A" w:rsidRPr="0040535D">
        <w:rPr>
          <w:rFonts w:ascii="Times New Roman" w:hAnsi="Times New Roman"/>
          <w:sz w:val="24"/>
          <w:szCs w:val="24"/>
        </w:rPr>
        <w:t>6</w:t>
      </w:r>
      <w:r w:rsidR="00CA0F53" w:rsidRPr="0040535D">
        <w:rPr>
          <w:rFonts w:ascii="Times New Roman" w:hAnsi="Times New Roman"/>
          <w:sz w:val="24"/>
          <w:szCs w:val="24"/>
        </w:rPr>
        <w:t>0</w:t>
      </w:r>
      <w:r w:rsidRPr="0040535D">
        <w:rPr>
          <w:rFonts w:ascii="Times New Roman" w:hAnsi="Times New Roman"/>
          <w:sz w:val="24"/>
          <w:szCs w:val="24"/>
        </w:rPr>
        <w:t>) zawarto przepisy określające zasady wyłaniania projektów do dofinansowania.</w:t>
      </w:r>
    </w:p>
    <w:p w14:paraId="40FF2842"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art. 4</w:t>
      </w:r>
      <w:r w:rsidR="00CA0F53" w:rsidRPr="0040535D">
        <w:rPr>
          <w:rFonts w:ascii="Times New Roman" w:hAnsi="Times New Roman"/>
          <w:b/>
          <w:sz w:val="24"/>
          <w:szCs w:val="24"/>
        </w:rPr>
        <w:t>2</w:t>
      </w:r>
      <w:r w:rsidRPr="0040535D">
        <w:rPr>
          <w:rFonts w:ascii="Times New Roman" w:hAnsi="Times New Roman"/>
          <w:sz w:val="24"/>
          <w:szCs w:val="24"/>
        </w:rPr>
        <w:t xml:space="preserve"> wskazano, że objęty dofinansowaniem może być wyłącznie projekt wybrany do dofinansowania. Oznacza to, że zawarcie umowy o dofinansowanie lub podjęcie decyzji o dofinansowaniu musi w każdym przypadku zostać poprzedzone aktem wybrania projektu do dofinansowania na podstawie wyników jego oceny. W </w:t>
      </w:r>
      <w:r w:rsidRPr="0040535D">
        <w:rPr>
          <w:rFonts w:ascii="Times New Roman" w:hAnsi="Times New Roman"/>
          <w:b/>
          <w:sz w:val="24"/>
          <w:szCs w:val="24"/>
        </w:rPr>
        <w:t xml:space="preserve">art. </w:t>
      </w:r>
      <w:r w:rsidR="00723C2A" w:rsidRPr="0040535D">
        <w:rPr>
          <w:rFonts w:ascii="Times New Roman" w:hAnsi="Times New Roman"/>
          <w:b/>
          <w:sz w:val="24"/>
          <w:szCs w:val="24"/>
        </w:rPr>
        <w:t>4</w:t>
      </w:r>
      <w:r w:rsidR="00CA0F53" w:rsidRPr="0040535D">
        <w:rPr>
          <w:rFonts w:ascii="Times New Roman" w:hAnsi="Times New Roman"/>
          <w:b/>
          <w:sz w:val="24"/>
          <w:szCs w:val="24"/>
        </w:rPr>
        <w:t>3</w:t>
      </w:r>
      <w:r w:rsidR="00723C2A" w:rsidRPr="0040535D">
        <w:rPr>
          <w:rFonts w:ascii="Times New Roman" w:hAnsi="Times New Roman"/>
          <w:sz w:val="24"/>
          <w:szCs w:val="24"/>
        </w:rPr>
        <w:t xml:space="preserve"> </w:t>
      </w:r>
      <w:r w:rsidRPr="0040535D">
        <w:rPr>
          <w:rFonts w:ascii="Times New Roman" w:hAnsi="Times New Roman"/>
          <w:sz w:val="24"/>
          <w:szCs w:val="24"/>
        </w:rPr>
        <w:t>ustanowiono ogólną zasadę, że może zostać wybrany do dofinansowania jedynie projekt spełniający kryteria wyboru projektów. To w zakresie tego aspektu projekt podlega ocenie komisji oceny projektów.</w:t>
      </w:r>
    </w:p>
    <w:p w14:paraId="17B84957" w14:textId="77777777" w:rsidR="00555DC0" w:rsidRPr="0040535D" w:rsidRDefault="00555DC0" w:rsidP="009A0EE5">
      <w:p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 xml:space="preserve">art. </w:t>
      </w:r>
      <w:r w:rsidR="00723C2A" w:rsidRPr="0040535D">
        <w:rPr>
          <w:rFonts w:ascii="Times New Roman" w:hAnsi="Times New Roman"/>
          <w:b/>
          <w:sz w:val="24"/>
          <w:szCs w:val="24"/>
        </w:rPr>
        <w:t>4</w:t>
      </w:r>
      <w:r w:rsidR="00CA0F53" w:rsidRPr="0040535D">
        <w:rPr>
          <w:rFonts w:ascii="Times New Roman" w:hAnsi="Times New Roman"/>
          <w:b/>
          <w:sz w:val="24"/>
          <w:szCs w:val="24"/>
        </w:rPr>
        <w:t>4</w:t>
      </w:r>
      <w:r w:rsidR="00723C2A" w:rsidRPr="0040535D">
        <w:rPr>
          <w:rFonts w:ascii="Times New Roman" w:hAnsi="Times New Roman"/>
          <w:sz w:val="24"/>
          <w:szCs w:val="24"/>
        </w:rPr>
        <w:t xml:space="preserve"> </w:t>
      </w:r>
      <w:r w:rsidRPr="0040535D">
        <w:rPr>
          <w:rFonts w:ascii="Times New Roman" w:hAnsi="Times New Roman"/>
          <w:sz w:val="24"/>
          <w:szCs w:val="24"/>
        </w:rPr>
        <w:t xml:space="preserve">wskazano, że </w:t>
      </w:r>
      <w:r w:rsidR="00C677EA" w:rsidRPr="0040535D">
        <w:rPr>
          <w:rFonts w:ascii="Times New Roman" w:hAnsi="Times New Roman"/>
          <w:sz w:val="24"/>
          <w:szCs w:val="24"/>
        </w:rPr>
        <w:t xml:space="preserve">projekty do dofinansowania będą wybierane w sposób konkurencyjny </w:t>
      </w:r>
      <w:r w:rsidR="00A77A39" w:rsidRPr="0040535D">
        <w:rPr>
          <w:rFonts w:ascii="Times New Roman" w:hAnsi="Times New Roman"/>
          <w:sz w:val="24"/>
          <w:szCs w:val="24"/>
        </w:rPr>
        <w:t xml:space="preserve">lub </w:t>
      </w:r>
      <w:r w:rsidR="00C677EA" w:rsidRPr="0040535D">
        <w:rPr>
          <w:rFonts w:ascii="Times New Roman" w:hAnsi="Times New Roman"/>
          <w:sz w:val="24"/>
          <w:szCs w:val="24"/>
        </w:rPr>
        <w:t>niekonkurencyjny</w:t>
      </w:r>
      <w:r w:rsidR="00C677EA" w:rsidRPr="0040535D" w:rsidDel="00C677EA">
        <w:rPr>
          <w:rFonts w:ascii="Times New Roman" w:hAnsi="Times New Roman"/>
          <w:sz w:val="24"/>
          <w:szCs w:val="24"/>
        </w:rPr>
        <w:t xml:space="preserve"> </w:t>
      </w:r>
      <w:r w:rsidRPr="0040535D">
        <w:rPr>
          <w:rFonts w:ascii="Times New Roman" w:hAnsi="Times New Roman"/>
          <w:sz w:val="24"/>
          <w:szCs w:val="24"/>
        </w:rPr>
        <w:t xml:space="preserve">(ust. 1). </w:t>
      </w:r>
      <w:r w:rsidR="00FB7C6B" w:rsidRPr="0040535D">
        <w:rPr>
          <w:rFonts w:ascii="Times New Roman" w:hAnsi="Times New Roman"/>
          <w:sz w:val="24"/>
          <w:szCs w:val="24"/>
        </w:rPr>
        <w:t xml:space="preserve">W </w:t>
      </w:r>
      <w:r w:rsidRPr="0040535D">
        <w:rPr>
          <w:rFonts w:ascii="Times New Roman" w:hAnsi="Times New Roman"/>
          <w:sz w:val="24"/>
          <w:szCs w:val="24"/>
        </w:rPr>
        <w:t>ust. 2 opisano</w:t>
      </w:r>
      <w:r w:rsidR="00863C63" w:rsidRPr="0040535D">
        <w:rPr>
          <w:rFonts w:ascii="Times New Roman" w:hAnsi="Times New Roman"/>
          <w:sz w:val="24"/>
          <w:szCs w:val="24"/>
        </w:rPr>
        <w:t xml:space="preserve"> przesłanki</w:t>
      </w:r>
      <w:r w:rsidRPr="0040535D">
        <w:rPr>
          <w:rFonts w:ascii="Times New Roman" w:hAnsi="Times New Roman"/>
          <w:sz w:val="24"/>
          <w:szCs w:val="24"/>
        </w:rPr>
        <w:t xml:space="preserve"> w jakich wybór projektów do dofinansowania nie musi opierać się o konkurowanie projektów. Może mieć to miejsce wyłącznie w sytuacji, w której wnioskodawcami, ze względu na charakter lub cel projektu, będą podmioty jednoznacznie określone przed złożeniem wniosku o dofinansowanie. Dodatkowo wybór projektów w sposób niekonkurencyjny może dotyczyć wyłącznie projektów: polegających na realizacji zadań publicznych wynikających z właściwych przepisów (pkt 1), mających strategiczne znaczenie dla społeczno-gospodarczego rozwoju kraju, regionu lub </w:t>
      </w:r>
      <w:r w:rsidRPr="0040535D">
        <w:rPr>
          <w:rFonts w:ascii="Times New Roman" w:hAnsi="Times New Roman"/>
          <w:sz w:val="24"/>
          <w:szCs w:val="24"/>
        </w:rPr>
        <w:lastRenderedPageBreak/>
        <w:t xml:space="preserve">obszaru objętego realizacją ZIT, IIT lub </w:t>
      </w:r>
      <w:r w:rsidR="00C00AE1" w:rsidRPr="0040535D">
        <w:rPr>
          <w:rFonts w:ascii="Times New Roman" w:hAnsi="Times New Roman"/>
          <w:sz w:val="24"/>
          <w:szCs w:val="24"/>
        </w:rPr>
        <w:t xml:space="preserve"> terytorialnego</w:t>
      </w:r>
      <w:r w:rsidR="00C677EA" w:rsidRPr="0040535D">
        <w:rPr>
          <w:rFonts w:ascii="Times New Roman" w:hAnsi="Times New Roman"/>
          <w:sz w:val="24"/>
          <w:szCs w:val="24"/>
        </w:rPr>
        <w:t xml:space="preserve"> planu</w:t>
      </w:r>
      <w:r w:rsidRPr="0040535D">
        <w:rPr>
          <w:rFonts w:ascii="Times New Roman" w:hAnsi="Times New Roman"/>
          <w:sz w:val="24"/>
          <w:szCs w:val="24"/>
        </w:rPr>
        <w:t xml:space="preserve"> </w:t>
      </w:r>
      <w:r w:rsidR="00C677EA" w:rsidRPr="0040535D">
        <w:rPr>
          <w:rFonts w:ascii="Times New Roman" w:hAnsi="Times New Roman"/>
          <w:sz w:val="24"/>
          <w:szCs w:val="24"/>
        </w:rPr>
        <w:t>sprawiedliwej t</w:t>
      </w:r>
      <w:r w:rsidRPr="0040535D">
        <w:rPr>
          <w:rFonts w:ascii="Times New Roman" w:hAnsi="Times New Roman"/>
          <w:sz w:val="24"/>
          <w:szCs w:val="24"/>
        </w:rPr>
        <w:t xml:space="preserve">ransformacji (pkt 2), </w:t>
      </w:r>
      <w:r w:rsidR="00C677EA" w:rsidRPr="0040535D">
        <w:rPr>
          <w:rFonts w:ascii="Times New Roman" w:hAnsi="Times New Roman"/>
          <w:sz w:val="24"/>
          <w:szCs w:val="24"/>
        </w:rPr>
        <w:t xml:space="preserve">będą </w:t>
      </w:r>
      <w:r w:rsidRPr="0040535D">
        <w:rPr>
          <w:rFonts w:ascii="Times New Roman" w:hAnsi="Times New Roman"/>
          <w:sz w:val="24"/>
          <w:szCs w:val="24"/>
        </w:rPr>
        <w:t xml:space="preserve">realizowane w formie instrumentu finansowego (pkt 3) albo projektów pomocy technicznej (pkt 4). Regulacją tą objęto wyłącznie projekty, wobec których tworzenie warunków do konkurowania będzie nieuzasadnione. Wynika to m.in. z faktu, że celowość i potrzeba realizacji tego rodzaju projektów potwierdzana jest przed ich oceną i wynika z przepisów prawa, znalazła wyraz w dokumencie o charakterze programowym albo jest przesądzona </w:t>
      </w:r>
      <w:r w:rsidR="00FB7C6B" w:rsidRPr="0040535D">
        <w:rPr>
          <w:rFonts w:ascii="Times New Roman" w:hAnsi="Times New Roman"/>
          <w:sz w:val="24"/>
          <w:szCs w:val="24"/>
        </w:rPr>
        <w:t xml:space="preserve">postanowieniami </w:t>
      </w:r>
      <w:r w:rsidRPr="0040535D">
        <w:rPr>
          <w:rFonts w:ascii="Times New Roman" w:hAnsi="Times New Roman"/>
          <w:sz w:val="24"/>
          <w:szCs w:val="24"/>
        </w:rPr>
        <w:t>programu.</w:t>
      </w:r>
      <w:r w:rsidR="008A2E00" w:rsidRPr="0040535D">
        <w:rPr>
          <w:rFonts w:ascii="Times New Roman" w:hAnsi="Times New Roman"/>
          <w:sz w:val="24"/>
          <w:szCs w:val="24"/>
        </w:rPr>
        <w:t xml:space="preserve"> W odniesieniu do projektów realizowanych w formie instrumentu finansowego, założeniem jest, że na podstawie projektowanej ustawy wybierany do dofinansowania będzie projekt, którego wnioskodawca został wcześniej wybrany we właściwej procedurze (w szczególności w oparciu o konkurencyjne tryby przewidziane w </w:t>
      </w:r>
      <w:proofErr w:type="spellStart"/>
      <w:r w:rsidR="00FB7C6B" w:rsidRPr="0040535D">
        <w:rPr>
          <w:rFonts w:ascii="Times New Roman" w:hAnsi="Times New Roman"/>
          <w:sz w:val="24"/>
          <w:szCs w:val="24"/>
        </w:rPr>
        <w:t>pzp</w:t>
      </w:r>
      <w:proofErr w:type="spellEnd"/>
      <w:r w:rsidR="008A2E00" w:rsidRPr="0040535D">
        <w:rPr>
          <w:rFonts w:ascii="Times New Roman" w:hAnsi="Times New Roman"/>
          <w:sz w:val="24"/>
          <w:szCs w:val="24"/>
        </w:rPr>
        <w:t xml:space="preserve">) – właściwa instytucja będzie obowiązana do zapewnienia zgodności (niesprzeczności) kryteriów, w oparciu, o które wybierany będzie projekt wdrażany w formie instrumentu finansowego z kryteriami, w oparciu o które został </w:t>
      </w:r>
      <w:r w:rsidR="00F7298D" w:rsidRPr="0040535D">
        <w:rPr>
          <w:rFonts w:ascii="Times New Roman" w:hAnsi="Times New Roman"/>
          <w:sz w:val="24"/>
          <w:szCs w:val="24"/>
        </w:rPr>
        <w:t xml:space="preserve">wcześniej </w:t>
      </w:r>
      <w:r w:rsidR="008A2E00" w:rsidRPr="0040535D">
        <w:rPr>
          <w:rFonts w:ascii="Times New Roman" w:hAnsi="Times New Roman"/>
          <w:sz w:val="24"/>
          <w:szCs w:val="24"/>
        </w:rPr>
        <w:t xml:space="preserve">wyłoniony </w:t>
      </w:r>
      <w:r w:rsidR="00F7298D" w:rsidRPr="0040535D">
        <w:rPr>
          <w:rFonts w:ascii="Times New Roman" w:hAnsi="Times New Roman"/>
          <w:sz w:val="24"/>
          <w:szCs w:val="24"/>
        </w:rPr>
        <w:t>wnioskodawca.</w:t>
      </w:r>
    </w:p>
    <w:p w14:paraId="13E24E86"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 xml:space="preserve">art. </w:t>
      </w:r>
      <w:r w:rsidR="00723C2A" w:rsidRPr="0040535D">
        <w:rPr>
          <w:rFonts w:ascii="Times New Roman" w:hAnsi="Times New Roman"/>
          <w:b/>
          <w:sz w:val="24"/>
          <w:szCs w:val="24"/>
        </w:rPr>
        <w:t>4</w:t>
      </w:r>
      <w:r w:rsidR="00CA0F53" w:rsidRPr="0040535D">
        <w:rPr>
          <w:rFonts w:ascii="Times New Roman" w:hAnsi="Times New Roman"/>
          <w:b/>
          <w:sz w:val="24"/>
          <w:szCs w:val="24"/>
        </w:rPr>
        <w:t>5</w:t>
      </w:r>
      <w:r w:rsidR="00723C2A" w:rsidRPr="0040535D">
        <w:rPr>
          <w:rFonts w:ascii="Times New Roman" w:hAnsi="Times New Roman"/>
          <w:sz w:val="24"/>
          <w:szCs w:val="24"/>
        </w:rPr>
        <w:t xml:space="preserve"> </w:t>
      </w:r>
      <w:r w:rsidRPr="0040535D">
        <w:rPr>
          <w:rFonts w:ascii="Times New Roman" w:hAnsi="Times New Roman"/>
          <w:sz w:val="24"/>
          <w:szCs w:val="24"/>
        </w:rPr>
        <w:t>ustanowiono podstawowe zasady wyłaniania projektów do dofinansowania, mające zastosowanie w trakcie wyboru projektów do dofinansowania. Określono zasady takie jak: przejrzystość, rzetelność i bezstronność wyboru projektów (ust. 1), a także równość wnioskodawców w dostępie do informacji o zasadach i sposobie wyboru projektów do dofinansowania oraz równe traktowanie wnioskodawców (ust. 2). Przestrzeganie tych zasad przez instytucje będzie gwarantowało poszanowanie praw wnioskodawców w dostępie do dofinansowania. Przejrzystość przejawi się w dostępie do informacji o przebiegu wyboru projektów. Rzetelność będzie wynikała przede wszystkim z obowiązku instytucji polegającego na dogłębnej i zgodnej z ustanowionymi regułami ocenie każdego projektu oraz przedstawieniu na zakończenie oceny każdego projektu, który nie został wybrany do dofinansowania, wyczerpującego merytorycznego uzasadnienia wyniku oceny. Bezstronność powinna polegać na właściwym zarządzaniu sytuacjami konfliktu interesów, tak aby zapewnić obiektywną ocenę projektów. Równy dostęp do informacji będzie skutkował obowiązkiem instytucji publikacji wszystkich koniecznych informacji niezbędnych do przedłożenia wniosku o dofinansowanie, a także upubliczniania wyjaśnień i interpretacji. Z kolei równe traktowanie wnioskodawców będzie wiązało się z obowiązkiem stosowania takich samych zasad wobec wszystkich podmiotów ubiegających się o dofinansowanie w ramach danego postępowania.</w:t>
      </w:r>
    </w:p>
    <w:p w14:paraId="6BEB1BD5"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 xml:space="preserve">art. </w:t>
      </w:r>
      <w:r w:rsidR="00723C2A" w:rsidRPr="0040535D">
        <w:rPr>
          <w:rFonts w:ascii="Times New Roman" w:hAnsi="Times New Roman"/>
          <w:b/>
          <w:sz w:val="24"/>
          <w:szCs w:val="24"/>
        </w:rPr>
        <w:t>4</w:t>
      </w:r>
      <w:r w:rsidR="00CA0F53" w:rsidRPr="0040535D">
        <w:rPr>
          <w:rFonts w:ascii="Times New Roman" w:hAnsi="Times New Roman"/>
          <w:b/>
          <w:sz w:val="24"/>
          <w:szCs w:val="24"/>
        </w:rPr>
        <w:t>6</w:t>
      </w:r>
      <w:r w:rsidR="00723C2A" w:rsidRPr="0040535D">
        <w:rPr>
          <w:rFonts w:ascii="Times New Roman" w:hAnsi="Times New Roman"/>
          <w:sz w:val="24"/>
          <w:szCs w:val="24"/>
        </w:rPr>
        <w:t xml:space="preserve"> </w:t>
      </w:r>
      <w:r w:rsidRPr="0040535D">
        <w:rPr>
          <w:rFonts w:ascii="Times New Roman" w:hAnsi="Times New Roman"/>
          <w:sz w:val="24"/>
          <w:szCs w:val="24"/>
        </w:rPr>
        <w:t xml:space="preserve">przesądzono o obowiązku racjonalnego określania przez właściwe instytucje obowiązków nakładanych na wnioskodawców, tzn. określanie ich w sposób, który spowoduje, że wymogi niesłużące potwierdzeniu spełniania kryteriów albo zbędne dla objęcia projektu </w:t>
      </w:r>
      <w:r w:rsidRPr="0040535D">
        <w:rPr>
          <w:rFonts w:ascii="Times New Roman" w:hAnsi="Times New Roman"/>
          <w:sz w:val="24"/>
          <w:szCs w:val="24"/>
        </w:rPr>
        <w:lastRenderedPageBreak/>
        <w:t xml:space="preserve">dofinansowaniem, a mogące blokować uczestnictwo w postępowaniu, wydłużać procedury lub podnosić koszty ubiegania się o dofinansowanie, nie będą formułowane. W celu ograniczenia zbędnych obciążeń nakładanych na wnioskodawców wprowadzono również przepisy </w:t>
      </w:r>
      <w:r w:rsidRPr="0040535D">
        <w:rPr>
          <w:rFonts w:ascii="Times New Roman" w:hAnsi="Times New Roman"/>
          <w:b/>
          <w:sz w:val="24"/>
          <w:szCs w:val="24"/>
        </w:rPr>
        <w:t xml:space="preserve">art. </w:t>
      </w:r>
      <w:r w:rsidR="00723C2A" w:rsidRPr="0040535D">
        <w:rPr>
          <w:rFonts w:ascii="Times New Roman" w:hAnsi="Times New Roman"/>
          <w:b/>
          <w:sz w:val="24"/>
          <w:szCs w:val="24"/>
        </w:rPr>
        <w:t>4</w:t>
      </w:r>
      <w:r w:rsidR="00CA0F53" w:rsidRPr="0040535D">
        <w:rPr>
          <w:rFonts w:ascii="Times New Roman" w:hAnsi="Times New Roman"/>
          <w:b/>
          <w:sz w:val="24"/>
          <w:szCs w:val="24"/>
        </w:rPr>
        <w:t>7</w:t>
      </w:r>
      <w:r w:rsidRPr="0040535D">
        <w:rPr>
          <w:rFonts w:ascii="Times New Roman" w:hAnsi="Times New Roman"/>
          <w:sz w:val="24"/>
          <w:szCs w:val="24"/>
        </w:rPr>
        <w:t>. W jego ramach wskazano, że w toku postępowania w zakresie wyboru projektów do dofinansowania, procedury odwoławczej oraz przy udzielaniu dofinansowania właściwa instytucja nie może żądać zaświadczeń oraz dokumentów na potwierdzenie faktów lub stanu prawnego jeżeli są one znane instytucji z urzędu albo są możliwe do ustalenia przez instytucję (</w:t>
      </w:r>
      <w:r w:rsidR="00FB7C6B" w:rsidRPr="0040535D">
        <w:rPr>
          <w:rFonts w:ascii="Times New Roman" w:hAnsi="Times New Roman"/>
          <w:sz w:val="24"/>
          <w:szCs w:val="24"/>
        </w:rPr>
        <w:t>pkt</w:t>
      </w:r>
      <w:r w:rsidRPr="0040535D">
        <w:rPr>
          <w:rFonts w:ascii="Times New Roman" w:hAnsi="Times New Roman"/>
          <w:sz w:val="24"/>
          <w:szCs w:val="24"/>
        </w:rPr>
        <w:t xml:space="preserve"> 1). Ponadto ustanowiono możliwość żądania przez instytucję oświadczeń od wnioskodawcy w celu potwierdzenia przez niego faktów lub stanu prawnego niezbędnych do oceny projektu lub objęcia go dofinansowaniem (</w:t>
      </w:r>
      <w:r w:rsidR="00FB7C6B" w:rsidRPr="0040535D">
        <w:rPr>
          <w:rFonts w:ascii="Times New Roman" w:hAnsi="Times New Roman"/>
          <w:sz w:val="24"/>
          <w:szCs w:val="24"/>
        </w:rPr>
        <w:t>pkt</w:t>
      </w:r>
      <w:r w:rsidRPr="0040535D">
        <w:rPr>
          <w:rFonts w:ascii="Times New Roman" w:hAnsi="Times New Roman"/>
          <w:sz w:val="24"/>
          <w:szCs w:val="24"/>
        </w:rPr>
        <w:t xml:space="preserve"> 2).</w:t>
      </w:r>
    </w:p>
    <w:p w14:paraId="35979A37"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 xml:space="preserve">art. </w:t>
      </w:r>
      <w:r w:rsidR="00723C2A" w:rsidRPr="0040535D">
        <w:rPr>
          <w:rFonts w:ascii="Times New Roman" w:hAnsi="Times New Roman"/>
          <w:b/>
          <w:sz w:val="24"/>
          <w:szCs w:val="24"/>
        </w:rPr>
        <w:t>4</w:t>
      </w:r>
      <w:r w:rsidR="00922B46" w:rsidRPr="0040535D">
        <w:rPr>
          <w:rFonts w:ascii="Times New Roman" w:hAnsi="Times New Roman"/>
          <w:b/>
          <w:sz w:val="24"/>
          <w:szCs w:val="24"/>
        </w:rPr>
        <w:t>8</w:t>
      </w:r>
      <w:r w:rsidR="00723C2A" w:rsidRPr="0040535D">
        <w:rPr>
          <w:rFonts w:ascii="Times New Roman" w:hAnsi="Times New Roman"/>
          <w:sz w:val="24"/>
          <w:szCs w:val="24"/>
        </w:rPr>
        <w:t xml:space="preserve"> </w:t>
      </w:r>
      <w:r w:rsidRPr="0040535D">
        <w:rPr>
          <w:rFonts w:ascii="Times New Roman" w:hAnsi="Times New Roman"/>
          <w:sz w:val="24"/>
          <w:szCs w:val="24"/>
        </w:rPr>
        <w:t>ustanowiono przepisy gwarantujące wyłączenie z obowiązku udostępniania w trybie dostępu do informacji publicznej</w:t>
      </w:r>
      <w:r w:rsidR="00322640" w:rsidRPr="0040535D">
        <w:rPr>
          <w:rFonts w:ascii="Times New Roman" w:hAnsi="Times New Roman"/>
          <w:sz w:val="24"/>
          <w:szCs w:val="24"/>
        </w:rPr>
        <w:t xml:space="preserve"> oraz </w:t>
      </w:r>
      <w:r w:rsidR="0004070A" w:rsidRPr="0040535D">
        <w:rPr>
          <w:rFonts w:ascii="Times New Roman" w:hAnsi="Times New Roman"/>
          <w:sz w:val="24"/>
          <w:szCs w:val="24"/>
        </w:rPr>
        <w:t xml:space="preserve">w trybie dostępu </w:t>
      </w:r>
      <w:r w:rsidR="00322640" w:rsidRPr="0040535D">
        <w:rPr>
          <w:rFonts w:ascii="Times New Roman" w:hAnsi="Times New Roman"/>
          <w:sz w:val="24"/>
          <w:szCs w:val="24"/>
        </w:rPr>
        <w:t>do informacji o środowisku i jego ochronie</w:t>
      </w:r>
      <w:r w:rsidRPr="0040535D">
        <w:rPr>
          <w:rFonts w:ascii="Times New Roman" w:hAnsi="Times New Roman"/>
          <w:sz w:val="24"/>
          <w:szCs w:val="24"/>
        </w:rPr>
        <w:t xml:space="preserve"> dokumentów i informacji przedstawianych przez wnioskodawców oraz czasowe ograniczenie w dostępie do dokumentów i informacji wytworzonych lub przygotowanych przez właściwe instytucje w związku z oceną dokumentów i informacji przedstawianych przez wnioskodawców. Brak wprowadzenia takich przepisów mógłby skutkować dezorganizacją procesu wyboru projektów, zagrażać jego bezstronności albo umożliwiać nieuczciwe praktyki polegające na powielaniu w ramach danego postępowania rozwiązań opracowanych przez innych wnioskodawców.</w:t>
      </w:r>
    </w:p>
    <w:p w14:paraId="1403EFBF"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celu umożliwienia właściwego przygotowania się i zaplanowania własnych działań przez wnioskodawców, instytucje zarządzające będą zobowiązane, zgodnie z </w:t>
      </w:r>
      <w:r w:rsidRPr="0040535D">
        <w:rPr>
          <w:rFonts w:ascii="Times New Roman" w:hAnsi="Times New Roman"/>
          <w:b/>
          <w:sz w:val="24"/>
          <w:szCs w:val="24"/>
        </w:rPr>
        <w:t xml:space="preserve">art. </w:t>
      </w:r>
      <w:r w:rsidR="00CA0F53" w:rsidRPr="0040535D">
        <w:rPr>
          <w:rFonts w:ascii="Times New Roman" w:hAnsi="Times New Roman"/>
          <w:b/>
          <w:sz w:val="24"/>
          <w:szCs w:val="24"/>
        </w:rPr>
        <w:t>49</w:t>
      </w:r>
      <w:r w:rsidRPr="0040535D">
        <w:rPr>
          <w:rFonts w:ascii="Times New Roman" w:hAnsi="Times New Roman"/>
          <w:sz w:val="24"/>
          <w:szCs w:val="24"/>
        </w:rPr>
        <w:t>, do publikowania harmonogramów naborów wniosków o dofinansowanie. Wskazano jednocześnie, że horyzont czasowy harmonogramu będzie wynosił co najmniej 12 miesięcy (ust. 2), zaś kolejne jego aktualizacje będą dokonywane nie rzadziej niż na koniec każdego kwartału (ust. 4).</w:t>
      </w:r>
    </w:p>
    <w:p w14:paraId="76113BF7"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 xml:space="preserve">art. </w:t>
      </w:r>
      <w:r w:rsidR="00723C2A" w:rsidRPr="0040535D">
        <w:rPr>
          <w:rFonts w:ascii="Times New Roman" w:hAnsi="Times New Roman"/>
          <w:b/>
          <w:sz w:val="24"/>
          <w:szCs w:val="24"/>
        </w:rPr>
        <w:t>5</w:t>
      </w:r>
      <w:r w:rsidR="00CA0F53" w:rsidRPr="0040535D">
        <w:rPr>
          <w:rFonts w:ascii="Times New Roman" w:hAnsi="Times New Roman"/>
          <w:b/>
          <w:sz w:val="24"/>
          <w:szCs w:val="24"/>
        </w:rPr>
        <w:t>0</w:t>
      </w:r>
      <w:r w:rsidR="00723C2A" w:rsidRPr="0040535D">
        <w:rPr>
          <w:rFonts w:ascii="Times New Roman" w:hAnsi="Times New Roman"/>
          <w:sz w:val="24"/>
          <w:szCs w:val="24"/>
        </w:rPr>
        <w:t xml:space="preserve"> </w:t>
      </w:r>
      <w:r w:rsidRPr="0040535D">
        <w:rPr>
          <w:rFonts w:ascii="Times New Roman" w:hAnsi="Times New Roman"/>
          <w:sz w:val="24"/>
          <w:szCs w:val="24"/>
        </w:rPr>
        <w:t xml:space="preserve">wskazano, że w celu przeprowadzenia postępowania w zakresie wyboru projektów do dofinansowania właściwa instytucja przeprowadza każdorazowo nabór (ust. 1). W ust. 2 wskazano warunki przeprowadzenia naboru, do których należą: przyjęcie regulaminu wyboru projektów (pkt 1) oraz udostępnienie regulaminu wyboru projektów potencjalnym wnioskodawcom (pkt 2). </w:t>
      </w:r>
      <w:r w:rsidR="00A42F23">
        <w:rPr>
          <w:rFonts w:ascii="Times New Roman" w:hAnsi="Times New Roman"/>
          <w:sz w:val="24"/>
          <w:szCs w:val="24"/>
        </w:rPr>
        <w:t xml:space="preserve"> </w:t>
      </w:r>
      <w:r w:rsidRPr="0040535D">
        <w:rPr>
          <w:rFonts w:ascii="Times New Roman" w:hAnsi="Times New Roman"/>
          <w:sz w:val="24"/>
          <w:szCs w:val="24"/>
        </w:rPr>
        <w:t xml:space="preserve">Jednocześnie przesądzono, że w przypadku konkurencyjnego sposobu wyboru projektów, udostępnienie regulaminu wyboru projektów następuje w formie ogłoszenia o naborze </w:t>
      </w:r>
      <w:r w:rsidR="00A42F23" w:rsidRPr="00A42F23">
        <w:rPr>
          <w:rFonts w:ascii="Times New Roman" w:hAnsi="Times New Roman"/>
          <w:sz w:val="24"/>
          <w:szCs w:val="24"/>
        </w:rPr>
        <w:t>upublicznianego</w:t>
      </w:r>
      <w:r w:rsidR="00A42F23" w:rsidRPr="0040535D">
        <w:rPr>
          <w:rFonts w:ascii="Times New Roman" w:hAnsi="Times New Roman"/>
          <w:sz w:val="24"/>
          <w:szCs w:val="24"/>
        </w:rPr>
        <w:t xml:space="preserve"> </w:t>
      </w:r>
      <w:r w:rsidRPr="0040535D">
        <w:rPr>
          <w:rFonts w:ascii="Times New Roman" w:hAnsi="Times New Roman"/>
          <w:sz w:val="24"/>
          <w:szCs w:val="24"/>
        </w:rPr>
        <w:t xml:space="preserve">na stronie internetowej właściwej instytucji oraz na portalu (ust. 3) oraz wskazano elementy, które niniejsze ogłoszenie musi zawierać (ust. 4). </w:t>
      </w:r>
      <w:r w:rsidRPr="0040535D">
        <w:rPr>
          <w:rFonts w:ascii="Times New Roman" w:hAnsi="Times New Roman"/>
          <w:sz w:val="24"/>
          <w:szCs w:val="24"/>
        </w:rPr>
        <w:lastRenderedPageBreak/>
        <w:t>Powyższy obowiązek związany z ogłoszeniem naboru wniosków o dofinansowanie nie znajduje zastosowania</w:t>
      </w:r>
      <w:r w:rsidRPr="0040535D" w:rsidDel="00C92178">
        <w:rPr>
          <w:rFonts w:ascii="Times New Roman" w:hAnsi="Times New Roman"/>
          <w:sz w:val="24"/>
          <w:szCs w:val="24"/>
        </w:rPr>
        <w:t xml:space="preserve"> </w:t>
      </w:r>
      <w:r w:rsidRPr="0040535D">
        <w:rPr>
          <w:rFonts w:ascii="Times New Roman" w:hAnsi="Times New Roman"/>
          <w:sz w:val="24"/>
          <w:szCs w:val="24"/>
        </w:rPr>
        <w:t xml:space="preserve">w odniesieniu do niekonkurencyjnego sposobu wyboru projektów. Wynika to z faktu, że celem ogłoszenia naboru co do zasady jest zaproszenie do składania wniosków o dofinansowanie wszystkich zainteresowanych potencjalnych wnioskodawców, natomiast w przypadku niekonkurencyjnego sposobu wyboru projektów wnioski mogą składać wyłącznie jednoznacznie określone podmioty, o których mowa w art. </w:t>
      </w:r>
      <w:r w:rsidR="00723C2A" w:rsidRPr="0040535D">
        <w:rPr>
          <w:rFonts w:ascii="Times New Roman" w:hAnsi="Times New Roman"/>
          <w:sz w:val="24"/>
          <w:szCs w:val="24"/>
        </w:rPr>
        <w:t>4</w:t>
      </w:r>
      <w:r w:rsidR="00CA0F53" w:rsidRPr="0040535D">
        <w:rPr>
          <w:rFonts w:ascii="Times New Roman" w:hAnsi="Times New Roman"/>
          <w:sz w:val="24"/>
          <w:szCs w:val="24"/>
        </w:rPr>
        <w:t>4</w:t>
      </w:r>
      <w:r w:rsidR="00723C2A" w:rsidRPr="0040535D">
        <w:rPr>
          <w:rFonts w:ascii="Times New Roman" w:hAnsi="Times New Roman"/>
          <w:sz w:val="24"/>
          <w:szCs w:val="24"/>
        </w:rPr>
        <w:t xml:space="preserve"> </w:t>
      </w:r>
      <w:r w:rsidRPr="0040535D">
        <w:rPr>
          <w:rFonts w:ascii="Times New Roman" w:hAnsi="Times New Roman"/>
          <w:sz w:val="24"/>
          <w:szCs w:val="24"/>
        </w:rPr>
        <w:t>ust. 2.</w:t>
      </w:r>
    </w:p>
    <w:p w14:paraId="0E365ACF" w14:textId="77777777" w:rsidR="00555DC0" w:rsidRPr="0040535D" w:rsidRDefault="00555DC0" w:rsidP="009A0EE5">
      <w:p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 xml:space="preserve">art. </w:t>
      </w:r>
      <w:r w:rsidR="00723C2A" w:rsidRPr="0040535D">
        <w:rPr>
          <w:rFonts w:ascii="Times New Roman" w:hAnsi="Times New Roman"/>
          <w:b/>
          <w:sz w:val="24"/>
          <w:szCs w:val="24"/>
        </w:rPr>
        <w:t>5</w:t>
      </w:r>
      <w:r w:rsidR="00CA0F53" w:rsidRPr="0040535D">
        <w:rPr>
          <w:rFonts w:ascii="Times New Roman" w:hAnsi="Times New Roman"/>
          <w:b/>
          <w:sz w:val="24"/>
          <w:szCs w:val="24"/>
        </w:rPr>
        <w:t>1</w:t>
      </w:r>
      <w:r w:rsidR="00723C2A" w:rsidRPr="0040535D">
        <w:rPr>
          <w:rFonts w:ascii="Times New Roman" w:hAnsi="Times New Roman"/>
          <w:sz w:val="24"/>
          <w:szCs w:val="24"/>
        </w:rPr>
        <w:t xml:space="preserve"> </w:t>
      </w:r>
      <w:r w:rsidRPr="0040535D">
        <w:rPr>
          <w:rFonts w:ascii="Times New Roman" w:hAnsi="Times New Roman"/>
          <w:sz w:val="24"/>
          <w:szCs w:val="24"/>
        </w:rPr>
        <w:t>zamieszczono regulacje przesądzające o zawartości regulaminu wyboru projektów. Stanowi on źródło szczegółowych informacji na temat danego postępowania. W ust. 1 wskazano minimalną zawartość regulaminu, w tym m.in. określenie kwoty przeznaczonej na dofinansowanie projektów, kryteriów wyboru projektów czy terminu na składanie wniosków o dofinansowanie</w:t>
      </w:r>
      <w:r w:rsidR="0004070A" w:rsidRPr="0040535D">
        <w:rPr>
          <w:rFonts w:ascii="Times New Roman" w:hAnsi="Times New Roman"/>
          <w:sz w:val="24"/>
          <w:szCs w:val="24"/>
        </w:rPr>
        <w:t xml:space="preserve"> projektu</w:t>
      </w:r>
      <w:r w:rsidRPr="0040535D">
        <w:rPr>
          <w:rFonts w:ascii="Times New Roman" w:hAnsi="Times New Roman"/>
          <w:sz w:val="24"/>
          <w:szCs w:val="24"/>
        </w:rPr>
        <w:t xml:space="preserve">. Regulamin będzie również dokumentem, w którym będzie wskazywany oraz opisywany sposób wyboru projektów, a więc to czy będzie to sposób konkurencyjny czy niekonkurencyjny, o których mowa w art. </w:t>
      </w:r>
      <w:r w:rsidR="00723C2A" w:rsidRPr="0040535D">
        <w:rPr>
          <w:rFonts w:ascii="Times New Roman" w:hAnsi="Times New Roman"/>
          <w:sz w:val="24"/>
          <w:szCs w:val="24"/>
        </w:rPr>
        <w:t>4</w:t>
      </w:r>
      <w:r w:rsidR="00CA0F53" w:rsidRPr="0040535D">
        <w:rPr>
          <w:rFonts w:ascii="Times New Roman" w:hAnsi="Times New Roman"/>
          <w:sz w:val="24"/>
          <w:szCs w:val="24"/>
        </w:rPr>
        <w:t>4</w:t>
      </w:r>
      <w:r w:rsidRPr="0040535D">
        <w:rPr>
          <w:rFonts w:ascii="Times New Roman" w:hAnsi="Times New Roman"/>
          <w:sz w:val="24"/>
          <w:szCs w:val="24"/>
        </w:rPr>
        <w:t xml:space="preserve">. Opis będzie mógł wskazywać wybraną formułę wyboru projektów np. wybieranie wszystkich projektów spełniających kryteria w określonym stopniu do wyczerpania alokacji, wybieranie najlepszych projektów spośród ubiegających się o dofinansowanie, wybieranie jednego projektu spośród ubiegających się o dofinansowanie, wybór projektów spośród wymienionych w art. </w:t>
      </w:r>
      <w:r w:rsidR="00723C2A" w:rsidRPr="0040535D">
        <w:rPr>
          <w:rFonts w:ascii="Times New Roman" w:hAnsi="Times New Roman"/>
          <w:sz w:val="24"/>
          <w:szCs w:val="24"/>
        </w:rPr>
        <w:t>4</w:t>
      </w:r>
      <w:r w:rsidR="00CA0F53" w:rsidRPr="0040535D">
        <w:rPr>
          <w:rFonts w:ascii="Times New Roman" w:hAnsi="Times New Roman"/>
          <w:sz w:val="24"/>
          <w:szCs w:val="24"/>
        </w:rPr>
        <w:t>4</w:t>
      </w:r>
      <w:r w:rsidR="00723C2A" w:rsidRPr="0040535D">
        <w:rPr>
          <w:rFonts w:ascii="Times New Roman" w:hAnsi="Times New Roman"/>
          <w:sz w:val="24"/>
          <w:szCs w:val="24"/>
        </w:rPr>
        <w:t xml:space="preserve"> </w:t>
      </w:r>
      <w:r w:rsidRPr="0040535D">
        <w:rPr>
          <w:rFonts w:ascii="Times New Roman" w:hAnsi="Times New Roman"/>
          <w:sz w:val="24"/>
          <w:szCs w:val="24"/>
        </w:rPr>
        <w:t>ust. 2. Celem regulacji w tym zakresie jest zapewnienie instytucjom jak najdalej idącej swobody w zarządzaniu procesem wyboru projektów do dofinansowania, tak aby mogły one dobierać rozwiązania do uwarunkowań towarzyszących wyborowi projektów np. do spodziewanego popytu na wsparcie, do wartości wsparcia, które może zostać udzielone, do tempa w jakim mogą być przedkładane i oceniane projekty, do stopnia ich skomplikowania. W ust. 2 wskazano dodatkowe elementy, które musi zawierać regulamin w przypadku konkurencyjnego sposobu wyboru projektów. Należą do nich m.in. wskazanie typów projektów podlegających dofinansowaniu czy opisanie procedury oceny projektów, w tym wskazanie czy będzie ona podzielona na etapy, a także jak będzie przeprowadzana – kto  jej dokona (czy będą angażowani w nią eksperci czy wyłącznie pracownicy właściwej instytucji).</w:t>
      </w:r>
    </w:p>
    <w:p w14:paraId="56467636" w14:textId="77777777" w:rsidR="00555DC0" w:rsidRPr="0040535D" w:rsidRDefault="00555DC0" w:rsidP="009A0EE5">
      <w:p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W ust. 4 zawarto przepisy uniemożliwiające zmianę regulaminu w zakresie wskazania oraz opisu sposobu wyboru projektów do dofinansowania. Dodatkowo przesądzono, że zmiany regulaminu wyboru projektów w zakresie kryteriów wyboru projektów, mogą mieć miejsce wyłącznie w sytuacji, w której w ramach danego postępowania nie złożono jeszcze wniosków o dofinansowanie. Oznacza to, że po wpłynięciu pierwszego wniosku </w:t>
      </w:r>
      <w:r w:rsidR="00A42F23" w:rsidRPr="00A42F23">
        <w:rPr>
          <w:rFonts w:ascii="Times New Roman" w:hAnsi="Times New Roman"/>
          <w:sz w:val="24"/>
          <w:szCs w:val="24"/>
        </w:rPr>
        <w:t xml:space="preserve">o dofinansowanie </w:t>
      </w:r>
      <w:r w:rsidRPr="0040535D">
        <w:rPr>
          <w:rFonts w:ascii="Times New Roman" w:hAnsi="Times New Roman"/>
          <w:sz w:val="24"/>
          <w:szCs w:val="24"/>
        </w:rPr>
        <w:t xml:space="preserve">w ramach naboru, możliwość zmiany kryteriów wyboru projektów jest prawnie blokowana (ust. </w:t>
      </w:r>
      <w:r w:rsidRPr="0040535D">
        <w:rPr>
          <w:rFonts w:ascii="Times New Roman" w:hAnsi="Times New Roman"/>
          <w:sz w:val="24"/>
          <w:szCs w:val="24"/>
        </w:rPr>
        <w:lastRenderedPageBreak/>
        <w:t>5). Jedynym odstępstwem od powyższych obwarowań w zakresie zmian regulaminu wyboru projektów</w:t>
      </w:r>
      <w:r w:rsidRPr="0040535D" w:rsidDel="00275930">
        <w:rPr>
          <w:rFonts w:ascii="Times New Roman" w:hAnsi="Times New Roman"/>
          <w:sz w:val="24"/>
          <w:szCs w:val="24"/>
        </w:rPr>
        <w:t xml:space="preserve"> </w:t>
      </w:r>
      <w:r w:rsidRPr="0040535D">
        <w:rPr>
          <w:rFonts w:ascii="Times New Roman" w:hAnsi="Times New Roman"/>
          <w:sz w:val="24"/>
          <w:szCs w:val="24"/>
        </w:rPr>
        <w:t>może być konieczność dokonania zmiany regulaminu, o ile ma ona swoje źródło w odrębnych przepisach prawa (ust. 6). Jednocześnie wskazano, że właściwa instytucja</w:t>
      </w:r>
      <w:r w:rsidR="0004070A" w:rsidRPr="0040535D">
        <w:t xml:space="preserve"> </w:t>
      </w:r>
      <w:r w:rsidR="0004070A" w:rsidRPr="0040535D">
        <w:rPr>
          <w:rFonts w:ascii="Times New Roman" w:hAnsi="Times New Roman"/>
          <w:sz w:val="24"/>
          <w:szCs w:val="24"/>
        </w:rPr>
        <w:t>po zakończeniu postępowania w zakresie wyboru projektów do dofinansowania</w:t>
      </w:r>
      <w:r w:rsidRPr="0040535D">
        <w:rPr>
          <w:rFonts w:ascii="Times New Roman" w:hAnsi="Times New Roman"/>
          <w:sz w:val="24"/>
          <w:szCs w:val="24"/>
        </w:rPr>
        <w:t xml:space="preserve"> </w:t>
      </w:r>
      <w:r w:rsidR="00CB6157">
        <w:rPr>
          <w:rFonts w:ascii="Times New Roman" w:hAnsi="Times New Roman"/>
          <w:sz w:val="24"/>
          <w:szCs w:val="24"/>
        </w:rPr>
        <w:t xml:space="preserve">nie </w:t>
      </w:r>
      <w:r w:rsidRPr="0040535D">
        <w:rPr>
          <w:rFonts w:ascii="Times New Roman" w:hAnsi="Times New Roman"/>
          <w:sz w:val="24"/>
          <w:szCs w:val="24"/>
        </w:rPr>
        <w:t>może</w:t>
      </w:r>
      <w:r w:rsidR="0004070A" w:rsidRPr="0040535D">
        <w:t xml:space="preserve"> </w:t>
      </w:r>
      <w:r w:rsidRPr="0040535D">
        <w:rPr>
          <w:rFonts w:ascii="Times New Roman" w:hAnsi="Times New Roman"/>
          <w:sz w:val="24"/>
          <w:szCs w:val="24"/>
        </w:rPr>
        <w:t>zmieni</w:t>
      </w:r>
      <w:r w:rsidR="00CB6157">
        <w:rPr>
          <w:rFonts w:ascii="Times New Roman" w:hAnsi="Times New Roman"/>
          <w:sz w:val="24"/>
          <w:szCs w:val="24"/>
        </w:rPr>
        <w:t>a</w:t>
      </w:r>
      <w:r w:rsidRPr="0040535D">
        <w:rPr>
          <w:rFonts w:ascii="Times New Roman" w:hAnsi="Times New Roman"/>
          <w:sz w:val="24"/>
          <w:szCs w:val="24"/>
        </w:rPr>
        <w:t>ć regulamin</w:t>
      </w:r>
      <w:r w:rsidR="00CB6157">
        <w:rPr>
          <w:rFonts w:ascii="Times New Roman" w:hAnsi="Times New Roman"/>
          <w:sz w:val="24"/>
          <w:szCs w:val="24"/>
        </w:rPr>
        <w:t>u</w:t>
      </w:r>
      <w:r w:rsidRPr="0040535D">
        <w:rPr>
          <w:rFonts w:ascii="Times New Roman" w:hAnsi="Times New Roman"/>
          <w:sz w:val="24"/>
          <w:szCs w:val="24"/>
        </w:rPr>
        <w:t xml:space="preserve"> wyboru projektów </w:t>
      </w:r>
      <w:r w:rsidR="00140440" w:rsidRPr="0040535D">
        <w:rPr>
          <w:rFonts w:ascii="Times New Roman" w:hAnsi="Times New Roman"/>
          <w:sz w:val="24"/>
          <w:szCs w:val="24"/>
        </w:rPr>
        <w:t>(</w:t>
      </w:r>
      <w:r w:rsidRPr="0040535D">
        <w:rPr>
          <w:rFonts w:ascii="Times New Roman" w:hAnsi="Times New Roman"/>
          <w:sz w:val="24"/>
          <w:szCs w:val="24"/>
        </w:rPr>
        <w:t>ust. 7). Wszelkie zmiany dokonane w regulaminie wraz z ich uzasadnieniem oraz terminem stosowania właściwa instytucja udostępnia w taki sposób w jaki udostępniła regulamin (ust. 8). W przypadku konkurencyjnego sposobu wyboru projektów będzie oznaczało to obowiązek zamieszczania regulaminu na właściwej stronie internetowej oraz portalu. Regulacje te mają na celu zapewnienie jak najdalej idącej stabilności reguł i zasad, które zostały zakomunikowane na początku postępowania w zakresie wyboru projektów.</w:t>
      </w:r>
    </w:p>
    <w:p w14:paraId="6831EC9A" w14:textId="77777777" w:rsidR="00555DC0" w:rsidRPr="0040535D" w:rsidRDefault="00555DC0" w:rsidP="009A0EE5">
      <w:p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b/>
          <w:sz w:val="24"/>
          <w:szCs w:val="24"/>
        </w:rPr>
        <w:t xml:space="preserve">Art. </w:t>
      </w:r>
      <w:r w:rsidR="00723C2A" w:rsidRPr="0040535D">
        <w:rPr>
          <w:rFonts w:ascii="Times New Roman" w:hAnsi="Times New Roman"/>
          <w:b/>
          <w:sz w:val="24"/>
          <w:szCs w:val="24"/>
        </w:rPr>
        <w:t>5</w:t>
      </w:r>
      <w:r w:rsidR="00CA0F53" w:rsidRPr="0040535D">
        <w:rPr>
          <w:rFonts w:ascii="Times New Roman" w:hAnsi="Times New Roman"/>
          <w:b/>
          <w:sz w:val="24"/>
          <w:szCs w:val="24"/>
        </w:rPr>
        <w:t>2</w:t>
      </w:r>
      <w:r w:rsidR="00723C2A" w:rsidRPr="0040535D">
        <w:rPr>
          <w:rFonts w:ascii="Times New Roman" w:hAnsi="Times New Roman"/>
          <w:sz w:val="24"/>
          <w:szCs w:val="24"/>
        </w:rPr>
        <w:t xml:space="preserve"> </w:t>
      </w:r>
      <w:r w:rsidRPr="0040535D">
        <w:rPr>
          <w:rFonts w:ascii="Times New Roman" w:hAnsi="Times New Roman"/>
          <w:sz w:val="24"/>
          <w:szCs w:val="24"/>
        </w:rPr>
        <w:t>wprowadza obowiązek ubiegania się o dofinansowanie za pośrednictwem systemu teleinformatycznego</w:t>
      </w:r>
      <w:r w:rsidR="001F1690">
        <w:rPr>
          <w:rFonts w:ascii="Times New Roman" w:hAnsi="Times New Roman"/>
          <w:sz w:val="24"/>
          <w:szCs w:val="24"/>
        </w:rPr>
        <w:t xml:space="preserve"> (ust. 1)</w:t>
      </w:r>
      <w:r w:rsidR="001F1690" w:rsidRPr="0040535D">
        <w:rPr>
          <w:rFonts w:ascii="Times New Roman" w:hAnsi="Times New Roman"/>
          <w:sz w:val="24"/>
          <w:szCs w:val="24"/>
        </w:rPr>
        <w:t>. Informatyzacja procesu wyboru projektów do dofinansowania jest w pełni spójna z przyjętym sposobem opracowywania regulacji w tym obszarze, tj. jak najdalej posuniętej standaryzacji procesu wyboru projektów do dofinansowania.</w:t>
      </w:r>
      <w:r w:rsidRPr="0040535D">
        <w:rPr>
          <w:rFonts w:ascii="Times New Roman" w:hAnsi="Times New Roman"/>
          <w:sz w:val="24"/>
          <w:szCs w:val="24"/>
        </w:rPr>
        <w:t xml:space="preserve"> </w:t>
      </w:r>
      <w:r w:rsidR="001F1690">
        <w:rPr>
          <w:rFonts w:ascii="Times New Roman" w:hAnsi="Times New Roman"/>
          <w:sz w:val="24"/>
          <w:szCs w:val="24"/>
        </w:rPr>
        <w:t xml:space="preserve">Przesądzono, że </w:t>
      </w:r>
      <w:r w:rsidRPr="0040535D">
        <w:rPr>
          <w:rFonts w:ascii="Times New Roman" w:hAnsi="Times New Roman"/>
          <w:sz w:val="24"/>
          <w:szCs w:val="24"/>
        </w:rPr>
        <w:t xml:space="preserve">nabór rozpoczyna się w dniu udostępnienia formularza wniosku o dofinansowanie w systemie teleinformatycznym </w:t>
      </w:r>
      <w:r w:rsidR="001F1690" w:rsidRPr="001F1690">
        <w:rPr>
          <w:rFonts w:ascii="Times New Roman" w:hAnsi="Times New Roman"/>
          <w:sz w:val="24"/>
          <w:szCs w:val="24"/>
        </w:rPr>
        <w:t>w sposób umożliwiający składanie wniosków o dofinansowanie projektu (ust. 2).</w:t>
      </w:r>
      <w:r w:rsidR="001F1690">
        <w:rPr>
          <w:rFonts w:ascii="Times New Roman" w:hAnsi="Times New Roman"/>
          <w:sz w:val="24"/>
          <w:szCs w:val="24"/>
        </w:rPr>
        <w:t xml:space="preserve"> </w:t>
      </w:r>
      <w:r w:rsidR="00D42B43">
        <w:rPr>
          <w:rFonts w:ascii="Times New Roman" w:hAnsi="Times New Roman"/>
          <w:sz w:val="24"/>
          <w:szCs w:val="24"/>
        </w:rPr>
        <w:t>W</w:t>
      </w:r>
      <w:r w:rsidRPr="0040535D">
        <w:rPr>
          <w:rFonts w:ascii="Times New Roman" w:hAnsi="Times New Roman"/>
          <w:sz w:val="24"/>
          <w:szCs w:val="24"/>
        </w:rPr>
        <w:t xml:space="preserve"> przypadku konkurencyjnego sposobu wyboru projektów,</w:t>
      </w:r>
      <w:r w:rsidR="00D42B43" w:rsidRPr="00D42B43">
        <w:t xml:space="preserve"> </w:t>
      </w:r>
      <w:r w:rsidR="00D42B43" w:rsidRPr="00D42B43">
        <w:rPr>
          <w:rFonts w:ascii="Times New Roman" w:hAnsi="Times New Roman"/>
          <w:sz w:val="24"/>
          <w:szCs w:val="24"/>
        </w:rPr>
        <w:t>projektów nabór trwa nie krócej niż 10 dni</w:t>
      </w:r>
      <w:r w:rsidRPr="0040535D">
        <w:rPr>
          <w:rFonts w:ascii="Times New Roman" w:hAnsi="Times New Roman"/>
          <w:sz w:val="24"/>
          <w:szCs w:val="24"/>
        </w:rPr>
        <w:t xml:space="preserve"> </w:t>
      </w:r>
      <w:r w:rsidR="0049167C">
        <w:rPr>
          <w:rFonts w:ascii="Times New Roman" w:hAnsi="Times New Roman"/>
          <w:sz w:val="24"/>
          <w:szCs w:val="24"/>
        </w:rPr>
        <w:t xml:space="preserve">i </w:t>
      </w:r>
      <w:r w:rsidRPr="0040535D">
        <w:rPr>
          <w:rFonts w:ascii="Times New Roman" w:hAnsi="Times New Roman"/>
          <w:sz w:val="24"/>
          <w:szCs w:val="24"/>
        </w:rPr>
        <w:t>kończy się nie wcześniej niż po 40 dniach</w:t>
      </w:r>
      <w:r w:rsidR="0049167C" w:rsidRPr="0049167C">
        <w:t xml:space="preserve"> </w:t>
      </w:r>
      <w:r w:rsidR="0049167C" w:rsidRPr="0049167C">
        <w:rPr>
          <w:rFonts w:ascii="Times New Roman" w:hAnsi="Times New Roman"/>
          <w:sz w:val="24"/>
          <w:szCs w:val="24"/>
        </w:rPr>
        <w:t>od upublicznienia ogłoszenia o naborze</w:t>
      </w:r>
      <w:r w:rsidRPr="0040535D">
        <w:rPr>
          <w:rFonts w:ascii="Times New Roman" w:hAnsi="Times New Roman"/>
          <w:sz w:val="24"/>
          <w:szCs w:val="24"/>
        </w:rPr>
        <w:t xml:space="preserve"> (ust. </w:t>
      </w:r>
      <w:r w:rsidR="00D42B43">
        <w:rPr>
          <w:rFonts w:ascii="Times New Roman" w:hAnsi="Times New Roman"/>
          <w:sz w:val="24"/>
          <w:szCs w:val="24"/>
        </w:rPr>
        <w:t>3</w:t>
      </w:r>
      <w:r w:rsidRPr="0040535D">
        <w:rPr>
          <w:rFonts w:ascii="Times New Roman" w:hAnsi="Times New Roman"/>
          <w:sz w:val="24"/>
          <w:szCs w:val="24"/>
        </w:rPr>
        <w:t xml:space="preserve">). </w:t>
      </w:r>
      <w:r w:rsidR="0049167C">
        <w:rPr>
          <w:rFonts w:ascii="Times New Roman" w:hAnsi="Times New Roman"/>
          <w:sz w:val="24"/>
          <w:szCs w:val="24"/>
        </w:rPr>
        <w:t xml:space="preserve">Przepis wskazuje wyłącznie na pewien minimalny standard, który musi być zrealizowany w odniesieniu do postępowań dotyczących konkurencyjnego sposobu wyboru projektów. </w:t>
      </w:r>
      <w:r w:rsidRPr="0040535D">
        <w:rPr>
          <w:rFonts w:ascii="Times New Roman" w:hAnsi="Times New Roman"/>
          <w:sz w:val="24"/>
          <w:szCs w:val="24"/>
        </w:rPr>
        <w:t xml:space="preserve">Przyjęcie takiego rozwiązania zapewni możliwość aplikowania w ramach postępowania konkurencyjnego wszystkim zainteresowanym podmiotom. </w:t>
      </w:r>
      <w:r w:rsidR="0049167C" w:rsidRPr="0049167C">
        <w:rPr>
          <w:rFonts w:ascii="Times New Roman" w:hAnsi="Times New Roman"/>
          <w:sz w:val="24"/>
          <w:szCs w:val="24"/>
        </w:rPr>
        <w:t xml:space="preserve">Jednocześnie regulacja ta pozwoli instytucjom elastycznie określać termin, od którego możliwe będzie składanie wniosków oraz okres naboru wniosków o dofinansowanie projektu. </w:t>
      </w:r>
      <w:r w:rsidRPr="0040535D">
        <w:rPr>
          <w:rFonts w:ascii="Times New Roman" w:hAnsi="Times New Roman"/>
          <w:sz w:val="24"/>
          <w:szCs w:val="24"/>
        </w:rPr>
        <w:t xml:space="preserve">W </w:t>
      </w:r>
      <w:r w:rsidRPr="0040535D">
        <w:rPr>
          <w:rFonts w:ascii="Times New Roman" w:hAnsi="Times New Roman"/>
          <w:b/>
          <w:sz w:val="24"/>
          <w:szCs w:val="24"/>
        </w:rPr>
        <w:t xml:space="preserve">art. </w:t>
      </w:r>
      <w:r w:rsidR="00723C2A" w:rsidRPr="0040535D">
        <w:rPr>
          <w:rFonts w:ascii="Times New Roman" w:hAnsi="Times New Roman"/>
          <w:b/>
          <w:sz w:val="24"/>
          <w:szCs w:val="24"/>
        </w:rPr>
        <w:t>5</w:t>
      </w:r>
      <w:r w:rsidR="00CA0F53" w:rsidRPr="0040535D">
        <w:rPr>
          <w:rFonts w:ascii="Times New Roman" w:hAnsi="Times New Roman"/>
          <w:b/>
          <w:sz w:val="24"/>
          <w:szCs w:val="24"/>
        </w:rPr>
        <w:t>3</w:t>
      </w:r>
      <w:r w:rsidR="00723C2A" w:rsidRPr="0040535D">
        <w:rPr>
          <w:rFonts w:ascii="Times New Roman" w:hAnsi="Times New Roman"/>
          <w:sz w:val="24"/>
          <w:szCs w:val="24"/>
        </w:rPr>
        <w:t xml:space="preserve"> </w:t>
      </w:r>
      <w:r w:rsidRPr="0040535D">
        <w:rPr>
          <w:rFonts w:ascii="Times New Roman" w:hAnsi="Times New Roman"/>
          <w:sz w:val="24"/>
          <w:szCs w:val="24"/>
        </w:rPr>
        <w:t xml:space="preserve">zdecydowano, że oceny projektów dokonuje specjalnie w tym celu powołane przez właściwą instytucję ciało o charakterze pomocniczym – </w:t>
      </w:r>
      <w:r w:rsidR="00953314">
        <w:rPr>
          <w:rFonts w:ascii="Times New Roman" w:hAnsi="Times New Roman"/>
          <w:sz w:val="24"/>
          <w:szCs w:val="24"/>
        </w:rPr>
        <w:t>k</w:t>
      </w:r>
      <w:r w:rsidRPr="0040535D">
        <w:rPr>
          <w:rFonts w:ascii="Times New Roman" w:hAnsi="Times New Roman"/>
          <w:sz w:val="24"/>
          <w:szCs w:val="24"/>
        </w:rPr>
        <w:t xml:space="preserve">omisja </w:t>
      </w:r>
      <w:r w:rsidR="00953314">
        <w:rPr>
          <w:rFonts w:ascii="Times New Roman" w:hAnsi="Times New Roman"/>
          <w:sz w:val="24"/>
          <w:szCs w:val="24"/>
        </w:rPr>
        <w:t>o</w:t>
      </w:r>
      <w:r w:rsidRPr="0040535D">
        <w:rPr>
          <w:rFonts w:ascii="Times New Roman" w:hAnsi="Times New Roman"/>
          <w:sz w:val="24"/>
          <w:szCs w:val="24"/>
        </w:rPr>
        <w:t xml:space="preserve">ceny </w:t>
      </w:r>
      <w:r w:rsidR="00953314">
        <w:rPr>
          <w:rFonts w:ascii="Times New Roman" w:hAnsi="Times New Roman"/>
          <w:sz w:val="24"/>
          <w:szCs w:val="24"/>
        </w:rPr>
        <w:t>p</w:t>
      </w:r>
      <w:r w:rsidRPr="0040535D">
        <w:rPr>
          <w:rFonts w:ascii="Times New Roman" w:hAnsi="Times New Roman"/>
          <w:sz w:val="24"/>
          <w:szCs w:val="24"/>
        </w:rPr>
        <w:t xml:space="preserve">rojektów (KOP). W KOP uczestniczą wszystkie osoby dokonujące oceny projektów, tj. pracownicy właściwej instytucji oraz ewentualnie eksperci, o których mowa w art. </w:t>
      </w:r>
      <w:r w:rsidR="00723C2A" w:rsidRPr="0040535D">
        <w:rPr>
          <w:rFonts w:ascii="Times New Roman" w:hAnsi="Times New Roman"/>
          <w:sz w:val="24"/>
          <w:szCs w:val="24"/>
        </w:rPr>
        <w:t>8</w:t>
      </w:r>
      <w:r w:rsidR="00CA0F53" w:rsidRPr="0040535D">
        <w:rPr>
          <w:rFonts w:ascii="Times New Roman" w:hAnsi="Times New Roman"/>
          <w:sz w:val="24"/>
          <w:szCs w:val="24"/>
        </w:rPr>
        <w:t>0</w:t>
      </w:r>
      <w:r w:rsidRPr="0040535D">
        <w:rPr>
          <w:rFonts w:ascii="Times New Roman" w:hAnsi="Times New Roman"/>
          <w:sz w:val="24"/>
          <w:szCs w:val="24"/>
        </w:rPr>
        <w:t xml:space="preserve">. Jednocześnie w przypadku pracowników właściwej instytucji są oni zobligowani do posiadania wymaganych kwalifikacji (ust. </w:t>
      </w:r>
      <w:r w:rsidR="0076348B" w:rsidRPr="0040535D">
        <w:rPr>
          <w:rFonts w:ascii="Times New Roman" w:hAnsi="Times New Roman"/>
          <w:sz w:val="24"/>
          <w:szCs w:val="24"/>
        </w:rPr>
        <w:t>2</w:t>
      </w:r>
      <w:r w:rsidRPr="0040535D">
        <w:rPr>
          <w:rFonts w:ascii="Times New Roman" w:hAnsi="Times New Roman"/>
          <w:sz w:val="24"/>
          <w:szCs w:val="24"/>
        </w:rPr>
        <w:t xml:space="preserve">). Przewodniczącym KOP zawsze będzie pracownik właściwej instytucji (ust. </w:t>
      </w:r>
      <w:r w:rsidR="00912EAC">
        <w:rPr>
          <w:rFonts w:ascii="Times New Roman" w:hAnsi="Times New Roman"/>
          <w:sz w:val="24"/>
          <w:szCs w:val="24"/>
        </w:rPr>
        <w:t>4</w:t>
      </w:r>
      <w:r w:rsidRPr="0040535D">
        <w:rPr>
          <w:rFonts w:ascii="Times New Roman" w:hAnsi="Times New Roman"/>
          <w:sz w:val="24"/>
          <w:szCs w:val="24"/>
        </w:rPr>
        <w:t xml:space="preserve">), która odpowiada jednocześnie za prawidłowość jej funkcjonowania (ust. </w:t>
      </w:r>
      <w:r w:rsidR="00912EAC">
        <w:rPr>
          <w:rFonts w:ascii="Times New Roman" w:hAnsi="Times New Roman"/>
          <w:sz w:val="24"/>
          <w:szCs w:val="24"/>
        </w:rPr>
        <w:t>5</w:t>
      </w:r>
      <w:r w:rsidRPr="0040535D">
        <w:rPr>
          <w:rFonts w:ascii="Times New Roman" w:hAnsi="Times New Roman"/>
          <w:sz w:val="24"/>
          <w:szCs w:val="24"/>
        </w:rPr>
        <w:t>). Oznacza to, że nie jest możliwe powierzenie kierowania KOP ekspertowi.</w:t>
      </w:r>
    </w:p>
    <w:p w14:paraId="5E4EBADE" w14:textId="77777777" w:rsidR="00555DC0" w:rsidRPr="0040535D" w:rsidRDefault="00555DC0" w:rsidP="009A0EE5">
      <w:p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lastRenderedPageBreak/>
        <w:t xml:space="preserve">Przepis </w:t>
      </w:r>
      <w:r w:rsidRPr="0040535D">
        <w:rPr>
          <w:rFonts w:ascii="Times New Roman" w:hAnsi="Times New Roman"/>
          <w:b/>
          <w:sz w:val="24"/>
          <w:szCs w:val="24"/>
        </w:rPr>
        <w:t xml:space="preserve">art. </w:t>
      </w:r>
      <w:r w:rsidR="00723C2A" w:rsidRPr="0040535D">
        <w:rPr>
          <w:rFonts w:ascii="Times New Roman" w:hAnsi="Times New Roman"/>
          <w:b/>
          <w:sz w:val="24"/>
          <w:szCs w:val="24"/>
        </w:rPr>
        <w:t>5</w:t>
      </w:r>
      <w:r w:rsidR="00CA0F53" w:rsidRPr="0040535D">
        <w:rPr>
          <w:rFonts w:ascii="Times New Roman" w:hAnsi="Times New Roman"/>
          <w:b/>
          <w:sz w:val="24"/>
          <w:szCs w:val="24"/>
        </w:rPr>
        <w:t>4</w:t>
      </w:r>
      <w:r w:rsidR="00723C2A" w:rsidRPr="0040535D">
        <w:rPr>
          <w:rFonts w:ascii="Times New Roman" w:hAnsi="Times New Roman"/>
          <w:sz w:val="24"/>
          <w:szCs w:val="24"/>
        </w:rPr>
        <w:t xml:space="preserve"> </w:t>
      </w:r>
      <w:r w:rsidRPr="0040535D">
        <w:rPr>
          <w:rFonts w:ascii="Times New Roman" w:hAnsi="Times New Roman"/>
          <w:sz w:val="24"/>
          <w:szCs w:val="24"/>
        </w:rPr>
        <w:t>wskazuje, że ocena projektu dotyczy jego zgodności z kryteriami wyboru projektów (ust. 1). W ust. 2 wskazano możliwość podzielenia oceny projektów na etapy. Można wyróżnić przykładowo etap oceny formalnej, merytorycznej, finansowej, strategicznej. Podzielenie oceny na etapy umożliwi uporządkowanie procedury oceny a także takie jej zaprojektowanie, które umożliwi obniżenie kosztów całego procesu. Jednocześnie niezakwalifikowanie projektu do kolejnego etapu oceny, w przypadku ich wyróżnienia, może wynikać wyłącznie z zatwierdzenia wyniku oceny stanowiącego negatywną ocenę projektu</w:t>
      </w:r>
      <w:r w:rsidRPr="0040535D" w:rsidDel="00567B14">
        <w:rPr>
          <w:rFonts w:ascii="Times New Roman" w:hAnsi="Times New Roman"/>
          <w:sz w:val="24"/>
          <w:szCs w:val="24"/>
        </w:rPr>
        <w:t xml:space="preserve"> </w:t>
      </w:r>
      <w:r w:rsidRPr="0040535D">
        <w:rPr>
          <w:rFonts w:ascii="Times New Roman" w:hAnsi="Times New Roman"/>
          <w:sz w:val="24"/>
          <w:szCs w:val="24"/>
        </w:rPr>
        <w:t>(ust. 3). Ponadto w celu zagwarantowania przejrzystości wyboru projektów w sposób konkurencyjny, właściwe instytucje, w przypadku podzielenia oceny na etapy, będą zobowiązane do publikowania na stronie internetowej oraz na portalu, po każdym etapie oceny, informacji o projektach zakwalifikowanych do kolejnego etapu (ust. 4).</w:t>
      </w:r>
    </w:p>
    <w:p w14:paraId="0D63B835" w14:textId="77777777" w:rsidR="00555DC0" w:rsidRPr="0040535D" w:rsidRDefault="00555DC0" w:rsidP="009A0EE5">
      <w:p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 xml:space="preserve">art. </w:t>
      </w:r>
      <w:r w:rsidR="00723C2A" w:rsidRPr="0040535D">
        <w:rPr>
          <w:rFonts w:ascii="Times New Roman" w:hAnsi="Times New Roman"/>
          <w:b/>
          <w:sz w:val="24"/>
          <w:szCs w:val="24"/>
        </w:rPr>
        <w:t>5</w:t>
      </w:r>
      <w:r w:rsidR="00CA0F53" w:rsidRPr="0040535D">
        <w:rPr>
          <w:rFonts w:ascii="Times New Roman" w:hAnsi="Times New Roman"/>
          <w:b/>
          <w:sz w:val="24"/>
          <w:szCs w:val="24"/>
        </w:rPr>
        <w:t>5</w:t>
      </w:r>
      <w:r w:rsidR="00723C2A" w:rsidRPr="0040535D">
        <w:rPr>
          <w:rFonts w:ascii="Times New Roman" w:hAnsi="Times New Roman"/>
          <w:sz w:val="24"/>
          <w:szCs w:val="24"/>
        </w:rPr>
        <w:t xml:space="preserve"> </w:t>
      </w:r>
      <w:r w:rsidRPr="0040535D">
        <w:rPr>
          <w:rFonts w:ascii="Times New Roman" w:hAnsi="Times New Roman"/>
          <w:sz w:val="24"/>
          <w:szCs w:val="24"/>
        </w:rPr>
        <w:t xml:space="preserve">uregulowano proces uzupełniania lub poprawiania </w:t>
      </w:r>
      <w:r w:rsidR="00B75915" w:rsidRPr="0040535D">
        <w:rPr>
          <w:rFonts w:ascii="Times New Roman" w:hAnsi="Times New Roman"/>
          <w:sz w:val="24"/>
          <w:szCs w:val="24"/>
        </w:rPr>
        <w:t xml:space="preserve">wniosku o dofinansowanie </w:t>
      </w:r>
      <w:r w:rsidRPr="0040535D">
        <w:rPr>
          <w:rFonts w:ascii="Times New Roman" w:hAnsi="Times New Roman"/>
          <w:sz w:val="24"/>
          <w:szCs w:val="24"/>
        </w:rPr>
        <w:t>projektu. W tym zakresie wprowadzono znaczne uelastycznienie polegające na dalszym przekazaniu kompetencji właściwym instytucjom w określaniu zakresu możliwych poprawek i uzupełnień w ramach danego postępowania, co znajdzie swoje odzwierciedlenie w zapisach regulaminu wyboru projektów. W przypadku oczywistych omyłek pisarskich lub rachunkowych możliwa jest ich poprawa przez właściwą instytucję, przy jednoczesnym poinformowaniu o tym wnioskodawcy (ust. 3). Przy stosowaniu mechanizmów uzupełnień i poprawy właściwe instytucje każdorazowo będą związane zasadą równego traktowania wnioskodawców, którą wprowadzono do przepisów w randze zasady horyzontalnej. W ust. 2 przesądzono, że wezwania do uzupełnień lub poprawy wniosków o dofinansowanie</w:t>
      </w:r>
      <w:r w:rsidR="0004070A" w:rsidRPr="0040535D">
        <w:t xml:space="preserve"> </w:t>
      </w:r>
      <w:r w:rsidR="0004070A" w:rsidRPr="0040535D">
        <w:rPr>
          <w:rFonts w:ascii="Times New Roman" w:hAnsi="Times New Roman"/>
          <w:sz w:val="24"/>
          <w:szCs w:val="24"/>
        </w:rPr>
        <w:t>projektu</w:t>
      </w:r>
      <w:r w:rsidRPr="0040535D">
        <w:rPr>
          <w:rFonts w:ascii="Times New Roman" w:hAnsi="Times New Roman"/>
          <w:sz w:val="24"/>
          <w:szCs w:val="24"/>
        </w:rPr>
        <w:t xml:space="preserve"> wysyłane będą drogą elektroniczną.</w:t>
      </w:r>
    </w:p>
    <w:p w14:paraId="459E8FC3" w14:textId="77777777" w:rsidR="00555DC0" w:rsidRPr="0040535D" w:rsidRDefault="00555DC0" w:rsidP="009A0EE5">
      <w:p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Zgodnie z </w:t>
      </w:r>
      <w:r w:rsidRPr="0040535D">
        <w:rPr>
          <w:rFonts w:ascii="Times New Roman" w:hAnsi="Times New Roman"/>
          <w:b/>
          <w:sz w:val="24"/>
          <w:szCs w:val="24"/>
        </w:rPr>
        <w:t xml:space="preserve">art. </w:t>
      </w:r>
      <w:r w:rsidR="00723C2A" w:rsidRPr="0040535D">
        <w:rPr>
          <w:rFonts w:ascii="Times New Roman" w:hAnsi="Times New Roman"/>
          <w:b/>
          <w:sz w:val="24"/>
          <w:szCs w:val="24"/>
        </w:rPr>
        <w:t>5</w:t>
      </w:r>
      <w:r w:rsidR="00CA0F53" w:rsidRPr="0040535D">
        <w:rPr>
          <w:rFonts w:ascii="Times New Roman" w:hAnsi="Times New Roman"/>
          <w:b/>
          <w:sz w:val="24"/>
          <w:szCs w:val="24"/>
        </w:rPr>
        <w:t>6</w:t>
      </w:r>
      <w:r w:rsidR="00723C2A" w:rsidRPr="0040535D">
        <w:rPr>
          <w:rFonts w:ascii="Times New Roman" w:hAnsi="Times New Roman"/>
          <w:sz w:val="24"/>
          <w:szCs w:val="24"/>
        </w:rPr>
        <w:t xml:space="preserve"> </w:t>
      </w:r>
      <w:r w:rsidRPr="0040535D">
        <w:rPr>
          <w:rFonts w:ascii="Times New Roman" w:hAnsi="Times New Roman"/>
          <w:sz w:val="24"/>
          <w:szCs w:val="24"/>
        </w:rPr>
        <w:t>KOP przedstawia właściwej instytucji wyniki przeprowadzonej oceny projektów (ust. 1), zaś właściwa instytucja je zatwierdza (ust. 2). Zatwierdzenie wyniku oceny może oznaczać zakwalifikowanie projektu do kolejnego etapu oceny w przypadku ich wyróżnienia, wybór projektu do dofinansowania albo negatywną ocenę projektu (ust. 3). Z procesem wyboru projektów do dofinansowania nierozłącznie wiążą się obowiązki informacyjne. Należy do nich zaliczyć w szczególności obowiązek przekazywania przez właściwą instytucję informacji dla wnioskodawcy o zakończeniu oceny jego projektu oznaczającym wybór projektu do dofinansowania albo stanowiącym negatywną ocenę projektu</w:t>
      </w:r>
      <w:r w:rsidR="007B5EE2">
        <w:rPr>
          <w:rFonts w:ascii="Times New Roman" w:hAnsi="Times New Roman"/>
          <w:sz w:val="24"/>
          <w:szCs w:val="24"/>
        </w:rPr>
        <w:t>.</w:t>
      </w:r>
      <w:r w:rsidR="007B5EE2" w:rsidRPr="007B5EE2">
        <w:t xml:space="preserve"> </w:t>
      </w:r>
      <w:r w:rsidR="007B5EE2" w:rsidRPr="007B5EE2">
        <w:rPr>
          <w:rFonts w:ascii="Times New Roman" w:hAnsi="Times New Roman"/>
          <w:sz w:val="24"/>
          <w:szCs w:val="24"/>
        </w:rPr>
        <w:t>Do doręczenia informacji stosuje się przepisy działu I rozdziału 8 ustawy z dnia 14 czerwca 1960 r. – Kodeks postępowania administracyjnego</w:t>
      </w:r>
      <w:r w:rsidRPr="0040535D">
        <w:rPr>
          <w:rFonts w:ascii="Times New Roman" w:hAnsi="Times New Roman"/>
          <w:sz w:val="24"/>
          <w:szCs w:val="24"/>
        </w:rPr>
        <w:t xml:space="preserve"> (ust. 4). </w:t>
      </w:r>
      <w:r w:rsidR="00C677EA" w:rsidRPr="0040535D">
        <w:rPr>
          <w:rFonts w:ascii="Times New Roman" w:hAnsi="Times New Roman"/>
          <w:sz w:val="24"/>
          <w:szCs w:val="24"/>
        </w:rPr>
        <w:t xml:space="preserve">W ust. 5 i 6 zdefiniowano ocenę negatywną projektu. W zależności od tego, czy ocena projektu będzie podzielona na </w:t>
      </w:r>
      <w:r w:rsidR="00C677EA" w:rsidRPr="0040535D">
        <w:rPr>
          <w:rFonts w:ascii="Times New Roman" w:hAnsi="Times New Roman"/>
          <w:sz w:val="24"/>
          <w:szCs w:val="24"/>
        </w:rPr>
        <w:lastRenderedPageBreak/>
        <w:t>etapy (por. art. 5</w:t>
      </w:r>
      <w:r w:rsidR="00CA0F53" w:rsidRPr="0040535D">
        <w:rPr>
          <w:rFonts w:ascii="Times New Roman" w:hAnsi="Times New Roman"/>
          <w:sz w:val="24"/>
          <w:szCs w:val="24"/>
        </w:rPr>
        <w:t>4</w:t>
      </w:r>
      <w:r w:rsidR="00C677EA" w:rsidRPr="0040535D">
        <w:rPr>
          <w:rFonts w:ascii="Times New Roman" w:hAnsi="Times New Roman"/>
          <w:sz w:val="24"/>
          <w:szCs w:val="24"/>
        </w:rPr>
        <w:t xml:space="preserve"> ust. 2 w związku z art. 5</w:t>
      </w:r>
      <w:r w:rsidR="00CA0F53" w:rsidRPr="0040535D">
        <w:rPr>
          <w:rFonts w:ascii="Times New Roman" w:hAnsi="Times New Roman"/>
          <w:sz w:val="24"/>
          <w:szCs w:val="24"/>
        </w:rPr>
        <w:t>1</w:t>
      </w:r>
      <w:r w:rsidR="00C677EA" w:rsidRPr="0040535D">
        <w:rPr>
          <w:rFonts w:ascii="Times New Roman" w:hAnsi="Times New Roman"/>
          <w:sz w:val="24"/>
          <w:szCs w:val="24"/>
        </w:rPr>
        <w:t xml:space="preserve"> ust. 2 pkt 2) negatywna ocena projektu oznaczać będzie brak możliwości zakwalifikowania projektu do kolejnego etapu oceny bądź też brak możliwości jego wybrania do dofinansowania. </w:t>
      </w:r>
      <w:r w:rsidR="0004070A" w:rsidRPr="0040535D">
        <w:rPr>
          <w:rFonts w:ascii="Times New Roman" w:hAnsi="Times New Roman"/>
          <w:sz w:val="24"/>
          <w:szCs w:val="24"/>
        </w:rPr>
        <w:t>To ostatnie obejmuje również przypadek, w którym z uwagi na wyczerpanie kwoty przeznaczonej na dofinansowanie projektów w ramach danego naboru</w:t>
      </w:r>
      <w:r w:rsidR="0004070A" w:rsidRPr="0040535D">
        <w:t xml:space="preserve"> </w:t>
      </w:r>
      <w:r w:rsidR="0004070A" w:rsidRPr="0040535D">
        <w:rPr>
          <w:rFonts w:ascii="Times New Roman" w:hAnsi="Times New Roman"/>
          <w:sz w:val="24"/>
          <w:szCs w:val="24"/>
        </w:rPr>
        <w:t xml:space="preserve">wybranie projektu do dofinansowania jest niemożliwe. </w:t>
      </w:r>
      <w:r w:rsidRPr="0040535D">
        <w:rPr>
          <w:rFonts w:ascii="Times New Roman" w:hAnsi="Times New Roman"/>
          <w:sz w:val="24"/>
          <w:szCs w:val="24"/>
        </w:rPr>
        <w:t>W przypadku negatywnej oceny projektu informacja musi zawierać uzasadnienie wyniku oceny oraz</w:t>
      </w:r>
      <w:r w:rsidR="005B7CA1" w:rsidRPr="0040535D">
        <w:rPr>
          <w:rFonts w:ascii="Times New Roman" w:hAnsi="Times New Roman"/>
          <w:sz w:val="24"/>
          <w:szCs w:val="24"/>
        </w:rPr>
        <w:t>,</w:t>
      </w:r>
      <w:r w:rsidR="0004070A" w:rsidRPr="0040535D">
        <w:t xml:space="preserve"> </w:t>
      </w:r>
      <w:r w:rsidR="005B7CA1" w:rsidRPr="0040535D">
        <w:rPr>
          <w:rFonts w:ascii="Times New Roman" w:hAnsi="Times New Roman"/>
          <w:sz w:val="24"/>
          <w:szCs w:val="24"/>
        </w:rPr>
        <w:t>w przypadku konkurencyjnego sposobu wyboru</w:t>
      </w:r>
      <w:r w:rsidR="0004070A" w:rsidRPr="0040535D">
        <w:rPr>
          <w:rFonts w:ascii="Times New Roman" w:hAnsi="Times New Roman"/>
          <w:sz w:val="24"/>
          <w:szCs w:val="24"/>
        </w:rPr>
        <w:t xml:space="preserve"> projektów</w:t>
      </w:r>
      <w:r w:rsidR="005B7CA1" w:rsidRPr="0040535D">
        <w:rPr>
          <w:rFonts w:ascii="Times New Roman" w:hAnsi="Times New Roman"/>
          <w:sz w:val="24"/>
          <w:szCs w:val="24"/>
        </w:rPr>
        <w:t xml:space="preserve">, </w:t>
      </w:r>
      <w:r w:rsidRPr="0040535D">
        <w:rPr>
          <w:rFonts w:ascii="Times New Roman" w:hAnsi="Times New Roman"/>
          <w:sz w:val="24"/>
          <w:szCs w:val="24"/>
        </w:rPr>
        <w:t xml:space="preserve">pouczenie o możliwości wniesienia protestu (ust. </w:t>
      </w:r>
      <w:r w:rsidR="004D19F9" w:rsidRPr="0040535D">
        <w:rPr>
          <w:rFonts w:ascii="Times New Roman" w:hAnsi="Times New Roman"/>
          <w:sz w:val="24"/>
          <w:szCs w:val="24"/>
        </w:rPr>
        <w:t>7</w:t>
      </w:r>
      <w:r w:rsidRPr="0040535D">
        <w:rPr>
          <w:rFonts w:ascii="Times New Roman" w:hAnsi="Times New Roman"/>
          <w:sz w:val="24"/>
          <w:szCs w:val="24"/>
        </w:rPr>
        <w:t xml:space="preserve">). Przekazanie tych informacji będzie miało kluczowe znaczenie dla realizacji prawa wnioskodawcy do odwołania się od oceny </w:t>
      </w:r>
      <w:r w:rsidR="0076348B" w:rsidRPr="0040535D">
        <w:rPr>
          <w:rFonts w:ascii="Times New Roman" w:hAnsi="Times New Roman"/>
          <w:sz w:val="24"/>
          <w:szCs w:val="24"/>
        </w:rPr>
        <w:t xml:space="preserve">jego </w:t>
      </w:r>
      <w:r w:rsidRPr="0040535D">
        <w:rPr>
          <w:rFonts w:ascii="Times New Roman" w:hAnsi="Times New Roman"/>
          <w:sz w:val="24"/>
          <w:szCs w:val="24"/>
        </w:rPr>
        <w:t xml:space="preserve">projektu. </w:t>
      </w:r>
    </w:p>
    <w:p w14:paraId="6EFE02C1" w14:textId="77777777" w:rsidR="00555DC0" w:rsidRPr="0040535D" w:rsidRDefault="00555DC0" w:rsidP="009A0EE5">
      <w:p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Do innych obowiązków informacyjnych należą również te wskazane w </w:t>
      </w:r>
      <w:r w:rsidRPr="0040535D">
        <w:rPr>
          <w:rFonts w:ascii="Times New Roman" w:hAnsi="Times New Roman"/>
          <w:b/>
          <w:sz w:val="24"/>
          <w:szCs w:val="24"/>
        </w:rPr>
        <w:t xml:space="preserve">art. </w:t>
      </w:r>
      <w:r w:rsidR="00723C2A" w:rsidRPr="0040535D">
        <w:rPr>
          <w:rFonts w:ascii="Times New Roman" w:hAnsi="Times New Roman"/>
          <w:b/>
          <w:sz w:val="24"/>
          <w:szCs w:val="24"/>
        </w:rPr>
        <w:t>5</w:t>
      </w:r>
      <w:r w:rsidR="00CA0F53" w:rsidRPr="0040535D">
        <w:rPr>
          <w:rFonts w:ascii="Times New Roman" w:hAnsi="Times New Roman"/>
          <w:b/>
          <w:sz w:val="24"/>
          <w:szCs w:val="24"/>
        </w:rPr>
        <w:t>7</w:t>
      </w:r>
      <w:r w:rsidRPr="0040535D">
        <w:rPr>
          <w:rFonts w:ascii="Times New Roman" w:hAnsi="Times New Roman"/>
          <w:sz w:val="24"/>
          <w:szCs w:val="24"/>
        </w:rPr>
        <w:t xml:space="preserve">, polegające przede wszystkim na podaniu informacji na stronie internetowej i portalu o projektach, które zostały wybrane do dofinansowania oraz projektach, które otrzymały ocenę negatywną w ramach danego postępowania. W przypadku projektów wybranych do dofinansowania informacja ta zawiera również przyznaną kwotę dofinansowania wynikającą z wyboru projektów do dofinansowania (ust. 1). </w:t>
      </w:r>
      <w:r w:rsidR="00BE0DB2" w:rsidRPr="0040535D">
        <w:rPr>
          <w:rFonts w:ascii="Times New Roman" w:hAnsi="Times New Roman"/>
          <w:sz w:val="24"/>
          <w:szCs w:val="24"/>
        </w:rPr>
        <w:t>Zakończenie naboru oraz opublikowanie</w:t>
      </w:r>
      <w:r w:rsidR="00B81C40" w:rsidRPr="0040535D">
        <w:rPr>
          <w:rFonts w:ascii="Times New Roman" w:hAnsi="Times New Roman"/>
          <w:sz w:val="24"/>
          <w:szCs w:val="24"/>
        </w:rPr>
        <w:t xml:space="preserve"> takiej</w:t>
      </w:r>
      <w:r w:rsidR="00BE0DB2" w:rsidRPr="0040535D">
        <w:rPr>
          <w:rFonts w:ascii="Times New Roman" w:hAnsi="Times New Roman"/>
          <w:sz w:val="24"/>
          <w:szCs w:val="24"/>
        </w:rPr>
        <w:t xml:space="preserve"> informacji, w odniesieniu do wszystkich projektów objętych danym postępowaniem w zakresie wyboru projektów do dofinansowania, oznacza zakończenie tego postępowania</w:t>
      </w:r>
      <w:r w:rsidR="00B81C40" w:rsidRPr="0040535D">
        <w:rPr>
          <w:rFonts w:ascii="Times New Roman" w:hAnsi="Times New Roman"/>
          <w:sz w:val="24"/>
          <w:szCs w:val="24"/>
        </w:rPr>
        <w:t xml:space="preserve"> (ust. 2)</w:t>
      </w:r>
      <w:r w:rsidR="00BE0DB2" w:rsidRPr="0040535D">
        <w:rPr>
          <w:rFonts w:ascii="Times New Roman" w:hAnsi="Times New Roman"/>
          <w:sz w:val="24"/>
          <w:szCs w:val="24"/>
        </w:rPr>
        <w:t xml:space="preserve">. </w:t>
      </w:r>
      <w:r w:rsidRPr="0040535D">
        <w:rPr>
          <w:rFonts w:ascii="Times New Roman" w:hAnsi="Times New Roman"/>
          <w:sz w:val="24"/>
          <w:szCs w:val="24"/>
        </w:rPr>
        <w:t xml:space="preserve">Każda późniejsza zmiana dotycząca wyżej wymienionej informacji musi zostać wskazana. Ponadto w celu zapewnienia transparentności procesu wyboru projektów do dofinansowania konieczne jest publikowanie informacji o składzie KOP, wraz z ewentualnym wskazaniem osób, które dokonywały oceny w charakterze ekspertów (ust. </w:t>
      </w:r>
      <w:r w:rsidR="00BE0DB2" w:rsidRPr="0040535D">
        <w:rPr>
          <w:rFonts w:ascii="Times New Roman" w:hAnsi="Times New Roman"/>
          <w:sz w:val="24"/>
          <w:szCs w:val="24"/>
        </w:rPr>
        <w:t>4</w:t>
      </w:r>
      <w:r w:rsidRPr="0040535D">
        <w:rPr>
          <w:rFonts w:ascii="Times New Roman" w:hAnsi="Times New Roman"/>
          <w:sz w:val="24"/>
          <w:szCs w:val="24"/>
        </w:rPr>
        <w:t>). Będzie to stanowić</w:t>
      </w:r>
      <w:r w:rsidR="00B81C40" w:rsidRPr="0040535D">
        <w:rPr>
          <w:rFonts w:ascii="Times New Roman" w:hAnsi="Times New Roman"/>
          <w:sz w:val="24"/>
          <w:szCs w:val="24"/>
        </w:rPr>
        <w:t xml:space="preserve"> jedno z podstawowych </w:t>
      </w:r>
      <w:r w:rsidRPr="0040535D">
        <w:rPr>
          <w:rFonts w:ascii="Times New Roman" w:hAnsi="Times New Roman"/>
          <w:sz w:val="24"/>
          <w:szCs w:val="24"/>
        </w:rPr>
        <w:t>narzędzi do identyfikacji ewentualnych konfliktów interesów.</w:t>
      </w:r>
      <w:r w:rsidR="00153F59" w:rsidRPr="00153F59">
        <w:t xml:space="preserve"> </w:t>
      </w:r>
      <w:r w:rsidR="00153F59" w:rsidRPr="00153F59">
        <w:rPr>
          <w:rFonts w:ascii="Times New Roman" w:hAnsi="Times New Roman"/>
          <w:sz w:val="24"/>
          <w:szCs w:val="24"/>
        </w:rPr>
        <w:t>W ust. 5 przesądzono, że również po zakończeniu danego postępowania w zakresie wyboru projektów do dofinansowania właściwa instytucja może wybierać do dofinansowania projekty. Może to dotyczyć tylko takich projektów, które zostały wcześniej negatywnie ocenione z uwagi na wyczerpanie kwoty przeznaczonej na dofinansowanie projektów w naborze. Jednocześnie musi to zrobić zgodnie z postanowieniami stosownego regulaminu wyboru projektów. Taki mechanizm pozwoli bez nadmiernych obciążeń administracyjnych zwiększać liczbę projektów wybieranych do dofinansowania, które i tak zostały już ocenione, a jedynym powodem ich odrzucenia była ograniczona kwota środków na dofinansowanie projektów rozdysponowana w danym postępowaniu.</w:t>
      </w:r>
      <w:r w:rsidR="00153F59" w:rsidRPr="00153F59">
        <w:t xml:space="preserve"> </w:t>
      </w:r>
      <w:r w:rsidR="00153F59" w:rsidRPr="00153F59">
        <w:rPr>
          <w:rFonts w:ascii="Times New Roman" w:hAnsi="Times New Roman"/>
          <w:sz w:val="24"/>
          <w:szCs w:val="24"/>
        </w:rPr>
        <w:t>Warunkiem takiego działania będzie dostępność kwoty przeznaczonej na dofinansowanie projektów w ramach działania albo kategorii regionu jeżeli w ramach działania kwota przeznaczona na dofinansowanie projektów jest podzielona na kategorie regionów.</w:t>
      </w:r>
    </w:p>
    <w:p w14:paraId="21BC9AEE" w14:textId="77777777" w:rsidR="00555DC0" w:rsidRPr="0040535D" w:rsidRDefault="00555DC0" w:rsidP="009A0EE5">
      <w:p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lastRenderedPageBreak/>
        <w:t xml:space="preserve">W </w:t>
      </w:r>
      <w:r w:rsidRPr="0040535D">
        <w:rPr>
          <w:rFonts w:ascii="Times New Roman" w:hAnsi="Times New Roman"/>
          <w:b/>
          <w:sz w:val="24"/>
          <w:szCs w:val="24"/>
        </w:rPr>
        <w:t xml:space="preserve">art. </w:t>
      </w:r>
      <w:r w:rsidR="00723C2A" w:rsidRPr="0040535D">
        <w:rPr>
          <w:rFonts w:ascii="Times New Roman" w:hAnsi="Times New Roman"/>
          <w:b/>
          <w:sz w:val="24"/>
          <w:szCs w:val="24"/>
        </w:rPr>
        <w:t>5</w:t>
      </w:r>
      <w:r w:rsidR="00CA0F53" w:rsidRPr="0040535D">
        <w:rPr>
          <w:rFonts w:ascii="Times New Roman" w:hAnsi="Times New Roman"/>
          <w:b/>
          <w:sz w:val="24"/>
          <w:szCs w:val="24"/>
        </w:rPr>
        <w:t>8</w:t>
      </w:r>
      <w:r w:rsidR="00723C2A" w:rsidRPr="0040535D">
        <w:rPr>
          <w:rFonts w:ascii="Times New Roman" w:hAnsi="Times New Roman"/>
          <w:sz w:val="24"/>
          <w:szCs w:val="24"/>
        </w:rPr>
        <w:t xml:space="preserve"> </w:t>
      </w:r>
      <w:r w:rsidRPr="0040535D">
        <w:rPr>
          <w:rFonts w:ascii="Times New Roman" w:hAnsi="Times New Roman"/>
          <w:sz w:val="24"/>
          <w:szCs w:val="24"/>
        </w:rPr>
        <w:t>wprowadzono podstawę dla unieważnienia postępowania w zakresie wyboru projektów do dofinansowania, a także przesłanki, które mogą prowadzić do takiego działania (ust. 1). Należy zaliczyć do nich: brak złożonych wniosków w terminie naboru (pkt 1), wystąpienie istotnej zmiany okoliczności powodującej, że wybór projektów do dofinansowania nie leży w interesie publicznym, czego nie można było wcześniej przewidzieć (pkt 2), sytuację, w której postępowanie obarczone jest niemożliwą do usunięcia wadą prawną (pkt 3).</w:t>
      </w:r>
      <w:r w:rsidR="001900BB" w:rsidRPr="0040535D">
        <w:rPr>
          <w:rFonts w:ascii="Times New Roman" w:hAnsi="Times New Roman"/>
          <w:sz w:val="24"/>
          <w:szCs w:val="24"/>
        </w:rPr>
        <w:t xml:space="preserve"> Właściwa instytucja podaje do publicznej wiadomości informację o unieważnieniu postępowania w zakresie wyboru projektów do dofinansowania w sposób konkurencyjny, oraz jego przyczynach na swojej stronie internetowej oraz na portalu. Informacja ta nie stanowi podstawy do wniesienia protestu.</w:t>
      </w:r>
    </w:p>
    <w:p w14:paraId="5B9056D4" w14:textId="77777777" w:rsidR="00723C2A" w:rsidRPr="0040535D" w:rsidRDefault="00555DC0" w:rsidP="00E97850">
      <w:pPr>
        <w:pStyle w:val="ARTartustawynprozporzdzenia"/>
        <w:ind w:firstLine="0"/>
        <w:rPr>
          <w:rFonts w:ascii="Times New Roman" w:hAnsi="Times New Roman" w:cs="Times New Roman"/>
          <w:szCs w:val="24"/>
        </w:rPr>
      </w:pPr>
      <w:r w:rsidRPr="0040535D">
        <w:rPr>
          <w:rFonts w:ascii="Times New Roman" w:hAnsi="Times New Roman" w:cs="Times New Roman"/>
          <w:szCs w:val="24"/>
        </w:rPr>
        <w:t xml:space="preserve">Dodatkowo przepisem </w:t>
      </w:r>
      <w:r w:rsidRPr="0040535D">
        <w:rPr>
          <w:rFonts w:ascii="Times New Roman" w:hAnsi="Times New Roman" w:cs="Times New Roman"/>
          <w:b/>
          <w:szCs w:val="24"/>
        </w:rPr>
        <w:t xml:space="preserve">art. </w:t>
      </w:r>
      <w:r w:rsidR="00CA0F53" w:rsidRPr="0040535D">
        <w:rPr>
          <w:rFonts w:ascii="Times New Roman" w:hAnsi="Times New Roman" w:cs="Times New Roman"/>
          <w:b/>
          <w:szCs w:val="24"/>
        </w:rPr>
        <w:t>59</w:t>
      </w:r>
      <w:r w:rsidR="00723C2A" w:rsidRPr="0040535D">
        <w:rPr>
          <w:rFonts w:ascii="Times New Roman" w:hAnsi="Times New Roman" w:cs="Times New Roman"/>
          <w:szCs w:val="24"/>
        </w:rPr>
        <w:t xml:space="preserve"> </w:t>
      </w:r>
      <w:r w:rsidRPr="0040535D">
        <w:rPr>
          <w:rFonts w:ascii="Times New Roman" w:hAnsi="Times New Roman" w:cs="Times New Roman"/>
          <w:szCs w:val="24"/>
        </w:rPr>
        <w:t xml:space="preserve">wyłącza się ze stosowania w odniesieniu do przepisów rozdziału o wyborze projektów przepisy </w:t>
      </w:r>
      <w:r w:rsidR="000154C2" w:rsidRPr="0040535D">
        <w:rPr>
          <w:rFonts w:ascii="Times New Roman" w:hAnsi="Times New Roman" w:cs="Times New Roman"/>
          <w:szCs w:val="24"/>
        </w:rPr>
        <w:t>kpa</w:t>
      </w:r>
      <w:r w:rsidRPr="0040535D">
        <w:rPr>
          <w:rFonts w:ascii="Times New Roman" w:hAnsi="Times New Roman" w:cs="Times New Roman"/>
          <w:szCs w:val="24"/>
        </w:rPr>
        <w:t>, z wyjątkiem art. 24 i 57 § 1-4</w:t>
      </w:r>
      <w:r w:rsidR="00153F59" w:rsidRPr="00153F59">
        <w:rPr>
          <w:rFonts w:ascii="Times New Roman" w:hAnsi="Times New Roman" w:cs="Times New Roman"/>
          <w:szCs w:val="24"/>
        </w:rPr>
        <w:t>, o ile ustawa nie stanowi inaczej</w:t>
      </w:r>
      <w:r w:rsidR="00430D2C" w:rsidRPr="0040535D">
        <w:rPr>
          <w:rFonts w:ascii="Times New Roman" w:hAnsi="Times New Roman" w:cs="Times New Roman"/>
          <w:szCs w:val="24"/>
        </w:rPr>
        <w:t>.</w:t>
      </w:r>
      <w:r w:rsidRPr="0040535D">
        <w:rPr>
          <w:rFonts w:ascii="Times New Roman" w:hAnsi="Times New Roman" w:cs="Times New Roman"/>
          <w:szCs w:val="24"/>
        </w:rPr>
        <w:t xml:space="preserve"> W programach </w:t>
      </w:r>
      <w:proofErr w:type="spellStart"/>
      <w:r w:rsidRPr="0040535D">
        <w:rPr>
          <w:rFonts w:ascii="Times New Roman" w:hAnsi="Times New Roman" w:cs="Times New Roman"/>
          <w:szCs w:val="24"/>
        </w:rPr>
        <w:t>Interreg</w:t>
      </w:r>
      <w:proofErr w:type="spellEnd"/>
      <w:r w:rsidRPr="0040535D">
        <w:rPr>
          <w:rFonts w:ascii="Times New Roman" w:hAnsi="Times New Roman" w:cs="Times New Roman"/>
          <w:szCs w:val="24"/>
        </w:rPr>
        <w:t xml:space="preserve">, ze względu na ich międzynarodowy charakter, wybór projektów odbywa się w sposób odmienny, przez komitet monitorujący, a nie właściwe instytucje, jak ma to miejsce w programach krajowych i regionalnych. W związku z tym </w:t>
      </w:r>
      <w:r w:rsidRPr="0040535D">
        <w:rPr>
          <w:rFonts w:ascii="Times New Roman" w:hAnsi="Times New Roman" w:cs="Times New Roman"/>
          <w:b/>
          <w:szCs w:val="24"/>
        </w:rPr>
        <w:t xml:space="preserve">art. </w:t>
      </w:r>
      <w:r w:rsidR="00723C2A" w:rsidRPr="0040535D">
        <w:rPr>
          <w:rFonts w:ascii="Times New Roman" w:hAnsi="Times New Roman" w:cs="Times New Roman"/>
          <w:b/>
          <w:szCs w:val="24"/>
        </w:rPr>
        <w:t>6</w:t>
      </w:r>
      <w:r w:rsidR="00CA0F53" w:rsidRPr="0040535D">
        <w:rPr>
          <w:rFonts w:ascii="Times New Roman" w:hAnsi="Times New Roman" w:cs="Times New Roman"/>
          <w:b/>
          <w:szCs w:val="24"/>
        </w:rPr>
        <w:t>0</w:t>
      </w:r>
      <w:r w:rsidR="00723C2A" w:rsidRPr="0040535D">
        <w:rPr>
          <w:rFonts w:ascii="Times New Roman" w:hAnsi="Times New Roman" w:cs="Times New Roman"/>
          <w:b/>
          <w:szCs w:val="24"/>
        </w:rPr>
        <w:t xml:space="preserve"> </w:t>
      </w:r>
      <w:r w:rsidRPr="0040535D">
        <w:rPr>
          <w:rFonts w:ascii="Times New Roman" w:hAnsi="Times New Roman" w:cs="Times New Roman"/>
          <w:szCs w:val="24"/>
        </w:rPr>
        <w:t xml:space="preserve">wyłącza stosowanie do realizacji programów </w:t>
      </w:r>
      <w:proofErr w:type="spellStart"/>
      <w:r w:rsidRPr="0040535D">
        <w:rPr>
          <w:rFonts w:ascii="Times New Roman" w:hAnsi="Times New Roman" w:cs="Times New Roman"/>
          <w:szCs w:val="24"/>
        </w:rPr>
        <w:t>Interreg</w:t>
      </w:r>
      <w:proofErr w:type="spellEnd"/>
      <w:r w:rsidRPr="0040535D">
        <w:rPr>
          <w:rFonts w:ascii="Times New Roman" w:hAnsi="Times New Roman" w:cs="Times New Roman"/>
          <w:szCs w:val="24"/>
        </w:rPr>
        <w:t xml:space="preserve"> przepisów o wyborze projektów do dofinansowania</w:t>
      </w:r>
      <w:r w:rsidR="00723C2A" w:rsidRPr="0040535D">
        <w:rPr>
          <w:rFonts w:ascii="Times New Roman" w:hAnsi="Times New Roman" w:cs="Times New Roman"/>
          <w:szCs w:val="24"/>
        </w:rPr>
        <w:t xml:space="preserve"> oraz do wyboru podmiotów wdrażających instrument finansowy w rozumieniu rozporządzenia ogólnego.</w:t>
      </w:r>
    </w:p>
    <w:p w14:paraId="4B5FEFF6" w14:textId="77777777" w:rsidR="00555DC0" w:rsidRPr="0040535D" w:rsidRDefault="00555DC0" w:rsidP="009A0EE5">
      <w:pPr>
        <w:autoSpaceDE w:val="0"/>
        <w:autoSpaceDN w:val="0"/>
        <w:adjustRightInd w:val="0"/>
        <w:spacing w:after="0" w:line="360" w:lineRule="auto"/>
        <w:jc w:val="both"/>
        <w:rPr>
          <w:rFonts w:ascii="Times New Roman" w:hAnsi="Times New Roman"/>
          <w:sz w:val="24"/>
          <w:szCs w:val="24"/>
        </w:rPr>
      </w:pPr>
    </w:p>
    <w:p w14:paraId="3A858E41" w14:textId="77777777" w:rsidR="00555DC0" w:rsidRPr="0040535D" w:rsidRDefault="00555DC0" w:rsidP="009A0EE5">
      <w:pPr>
        <w:spacing w:after="0" w:line="360" w:lineRule="auto"/>
        <w:jc w:val="both"/>
        <w:rPr>
          <w:rFonts w:ascii="Times New Roman" w:hAnsi="Times New Roman"/>
          <w:b/>
          <w:bCs/>
          <w:sz w:val="24"/>
          <w:szCs w:val="24"/>
        </w:rPr>
      </w:pPr>
      <w:r w:rsidRPr="0040535D">
        <w:rPr>
          <w:rFonts w:ascii="Times New Roman" w:hAnsi="Times New Roman"/>
          <w:b/>
          <w:bCs/>
          <w:sz w:val="24"/>
          <w:szCs w:val="24"/>
        </w:rPr>
        <w:t>Rozdział 1</w:t>
      </w:r>
      <w:r w:rsidR="00CA0F53" w:rsidRPr="0040535D">
        <w:rPr>
          <w:rFonts w:ascii="Times New Roman" w:hAnsi="Times New Roman"/>
          <w:b/>
          <w:bCs/>
          <w:sz w:val="24"/>
          <w:szCs w:val="24"/>
        </w:rPr>
        <w:t>5</w:t>
      </w:r>
      <w:r w:rsidRPr="0040535D">
        <w:rPr>
          <w:rFonts w:ascii="Times New Roman" w:hAnsi="Times New Roman"/>
          <w:b/>
          <w:bCs/>
          <w:sz w:val="24"/>
          <w:szCs w:val="24"/>
        </w:rPr>
        <w:t>. Umowa o dofinansowanie projektu i decyzja o dofinansowaniu projektu.</w:t>
      </w:r>
    </w:p>
    <w:p w14:paraId="30AF1DF2" w14:textId="77777777" w:rsidR="00EF324F" w:rsidRPr="00F432FD" w:rsidRDefault="00555DC0" w:rsidP="00F432FD">
      <w:pPr>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 xml:space="preserve">art. </w:t>
      </w:r>
      <w:r w:rsidR="00723C2A" w:rsidRPr="0040535D">
        <w:rPr>
          <w:rFonts w:ascii="Times New Roman" w:hAnsi="Times New Roman"/>
          <w:b/>
          <w:sz w:val="24"/>
          <w:szCs w:val="24"/>
        </w:rPr>
        <w:t>6</w:t>
      </w:r>
      <w:r w:rsidR="00CA0F53" w:rsidRPr="0040535D">
        <w:rPr>
          <w:rFonts w:ascii="Times New Roman" w:hAnsi="Times New Roman"/>
          <w:b/>
          <w:sz w:val="24"/>
          <w:szCs w:val="24"/>
        </w:rPr>
        <w:t>1</w:t>
      </w:r>
      <w:r w:rsidR="00723C2A" w:rsidRPr="0040535D">
        <w:rPr>
          <w:rFonts w:ascii="Times New Roman" w:hAnsi="Times New Roman"/>
          <w:sz w:val="24"/>
          <w:szCs w:val="24"/>
        </w:rPr>
        <w:t xml:space="preserve"> </w:t>
      </w:r>
      <w:r w:rsidRPr="0040535D">
        <w:rPr>
          <w:rFonts w:ascii="Times New Roman" w:hAnsi="Times New Roman"/>
          <w:sz w:val="24"/>
          <w:szCs w:val="24"/>
        </w:rPr>
        <w:t xml:space="preserve">przesądzono, że podstawą objęcia projektu dofinansowaniem może być umowa o dofinansowanie projektu albo decyzja o dofinansowaniu projektu (ust. 1). Stroną umowy może być wyłącznie wnioskodawca, którego projekt został wybrany do dofinansowania. Po podpisaniu umowy wnioskodawca staje się beneficjentem, którym może być wyłącznie podmiot wskazany w art. 2 pkt 1. W sytuacji, w której dany podmiot sektora finansów publicznych jest jednocześnie właściwą instytucją i wnioskodawcą, podstawą objęcia go dofinansowaniem będzie decyzja o dofinansowaniu. </w:t>
      </w:r>
      <w:r w:rsidR="003A329B" w:rsidRPr="0040535D">
        <w:rPr>
          <w:rFonts w:ascii="Times New Roman" w:hAnsi="Times New Roman"/>
          <w:sz w:val="24"/>
          <w:szCs w:val="24"/>
        </w:rPr>
        <w:t xml:space="preserve">W ust. 2 zaznaczono, że w przypadku projektu partnerskiego umowa o dofinansowanie projektu jest zawierana z partnerem wiodącym, o którym mowa w art. </w:t>
      </w:r>
      <w:r w:rsidR="00CA0F53" w:rsidRPr="0040535D">
        <w:rPr>
          <w:rFonts w:ascii="Times New Roman" w:hAnsi="Times New Roman"/>
          <w:sz w:val="24"/>
          <w:szCs w:val="24"/>
        </w:rPr>
        <w:t>39</w:t>
      </w:r>
      <w:r w:rsidR="00723C2A" w:rsidRPr="0040535D">
        <w:rPr>
          <w:rFonts w:ascii="Times New Roman" w:hAnsi="Times New Roman"/>
          <w:sz w:val="24"/>
          <w:szCs w:val="24"/>
        </w:rPr>
        <w:t xml:space="preserve"> </w:t>
      </w:r>
      <w:r w:rsidR="003A329B" w:rsidRPr="0040535D">
        <w:rPr>
          <w:rFonts w:ascii="Times New Roman" w:hAnsi="Times New Roman"/>
          <w:sz w:val="24"/>
          <w:szCs w:val="24"/>
        </w:rPr>
        <w:t xml:space="preserve">ust. </w:t>
      </w:r>
      <w:r w:rsidR="00723C2A" w:rsidRPr="0040535D">
        <w:rPr>
          <w:rFonts w:ascii="Times New Roman" w:hAnsi="Times New Roman"/>
          <w:sz w:val="24"/>
          <w:szCs w:val="24"/>
        </w:rPr>
        <w:t xml:space="preserve">9 </w:t>
      </w:r>
      <w:r w:rsidR="003A329B" w:rsidRPr="0040535D">
        <w:rPr>
          <w:rFonts w:ascii="Times New Roman" w:hAnsi="Times New Roman"/>
          <w:sz w:val="24"/>
          <w:szCs w:val="24"/>
        </w:rPr>
        <w:t xml:space="preserve">pkt 4, będącym beneficjentem odpowiedzialnym za przygotowanie i realizację projektu. </w:t>
      </w:r>
      <w:r w:rsidRPr="0040535D">
        <w:rPr>
          <w:rFonts w:ascii="Times New Roman" w:hAnsi="Times New Roman"/>
          <w:sz w:val="24"/>
          <w:szCs w:val="24"/>
        </w:rPr>
        <w:t>W ust. 3 wskazano przesłanki braku zawarcia umowy o dofinansowanie albo wydania decyzji</w:t>
      </w:r>
      <w:r w:rsidR="00AF0B7C">
        <w:rPr>
          <w:rFonts w:ascii="Times New Roman" w:hAnsi="Times New Roman"/>
          <w:sz w:val="24"/>
          <w:szCs w:val="24"/>
        </w:rPr>
        <w:t xml:space="preserve"> o dofinansowaniu. N</w:t>
      </w:r>
      <w:r w:rsidRPr="0040535D">
        <w:rPr>
          <w:rFonts w:ascii="Times New Roman" w:hAnsi="Times New Roman"/>
          <w:sz w:val="24"/>
          <w:szCs w:val="24"/>
        </w:rPr>
        <w:t xml:space="preserve">ależą do nich niedokonanie przez wnioskodawcę czynności określonych w regulaminie wyboru projektów, wykluczenie wnioskodawcy z możliwości otrzymania dofinansowania, rezygnacja wnioskodawcy z </w:t>
      </w:r>
      <w:r w:rsidRPr="0040535D">
        <w:rPr>
          <w:rFonts w:ascii="Times New Roman" w:hAnsi="Times New Roman"/>
          <w:sz w:val="24"/>
          <w:szCs w:val="24"/>
        </w:rPr>
        <w:lastRenderedPageBreak/>
        <w:t xml:space="preserve">dofinansowania oraz unieważnienie postępowania w zakresie wyboru projektów do dofinansowania. </w:t>
      </w:r>
      <w:r w:rsidR="00EF324F">
        <w:rPr>
          <w:rFonts w:ascii="Times New Roman" w:hAnsi="Times New Roman"/>
          <w:sz w:val="24"/>
          <w:szCs w:val="24"/>
        </w:rPr>
        <w:t xml:space="preserve">W ust. </w:t>
      </w:r>
      <w:r w:rsidR="006A6D97">
        <w:rPr>
          <w:rFonts w:ascii="Times New Roman" w:hAnsi="Times New Roman"/>
          <w:sz w:val="24"/>
          <w:szCs w:val="24"/>
        </w:rPr>
        <w:t>5</w:t>
      </w:r>
      <w:r w:rsidR="00EF324F">
        <w:rPr>
          <w:rFonts w:ascii="Times New Roman" w:hAnsi="Times New Roman"/>
          <w:sz w:val="24"/>
          <w:szCs w:val="24"/>
        </w:rPr>
        <w:t xml:space="preserve"> </w:t>
      </w:r>
      <w:r w:rsidR="00EF324F">
        <w:rPr>
          <w:rFonts w:ascii="Times New Roman" w:hAnsi="Times New Roman"/>
        </w:rPr>
        <w:t>określone zostały podmioty powiązane.</w:t>
      </w:r>
      <w:r w:rsidR="00EF324F" w:rsidRPr="00D83AB9">
        <w:rPr>
          <w:rFonts w:ascii="Times New Roman" w:hAnsi="Times New Roman"/>
        </w:rPr>
        <w:t xml:space="preserve"> </w:t>
      </w:r>
    </w:p>
    <w:p w14:paraId="491C8795" w14:textId="77777777" w:rsidR="00555DC0" w:rsidRPr="0040535D" w:rsidRDefault="001A2447" w:rsidP="009A0EE5">
      <w:pPr>
        <w:spacing w:after="0" w:line="360" w:lineRule="auto"/>
        <w:jc w:val="both"/>
        <w:rPr>
          <w:rFonts w:ascii="Times New Roman" w:hAnsi="Times New Roman"/>
          <w:bCs/>
          <w:sz w:val="24"/>
          <w:szCs w:val="24"/>
        </w:rPr>
      </w:pPr>
      <w:r w:rsidRPr="0040535D">
        <w:rPr>
          <w:rFonts w:ascii="Times New Roman" w:hAnsi="Times New Roman"/>
          <w:sz w:val="24"/>
          <w:szCs w:val="24"/>
        </w:rPr>
        <w:t>Art</w:t>
      </w:r>
      <w:r w:rsidR="00555DC0" w:rsidRPr="0040535D">
        <w:rPr>
          <w:rFonts w:ascii="Times New Roman" w:hAnsi="Times New Roman"/>
          <w:sz w:val="24"/>
          <w:szCs w:val="24"/>
        </w:rPr>
        <w:t xml:space="preserve">. </w:t>
      </w:r>
      <w:r w:rsidR="00723C2A" w:rsidRPr="0040535D">
        <w:rPr>
          <w:rFonts w:ascii="Times New Roman" w:hAnsi="Times New Roman"/>
          <w:sz w:val="24"/>
          <w:szCs w:val="24"/>
        </w:rPr>
        <w:t>6</w:t>
      </w:r>
      <w:r w:rsidR="00CA0F53" w:rsidRPr="0040535D">
        <w:rPr>
          <w:rFonts w:ascii="Times New Roman" w:hAnsi="Times New Roman"/>
          <w:sz w:val="24"/>
          <w:szCs w:val="24"/>
        </w:rPr>
        <w:t>1</w:t>
      </w:r>
      <w:r w:rsidR="00723C2A" w:rsidRPr="0040535D">
        <w:rPr>
          <w:rFonts w:ascii="Times New Roman" w:hAnsi="Times New Roman"/>
          <w:sz w:val="24"/>
          <w:szCs w:val="24"/>
        </w:rPr>
        <w:t xml:space="preserve"> </w:t>
      </w:r>
      <w:r w:rsidR="00555DC0" w:rsidRPr="0040535D">
        <w:rPr>
          <w:rFonts w:ascii="Times New Roman" w:hAnsi="Times New Roman"/>
          <w:sz w:val="24"/>
          <w:szCs w:val="24"/>
        </w:rPr>
        <w:t xml:space="preserve">ust. </w:t>
      </w:r>
      <w:r w:rsidR="00804A54">
        <w:rPr>
          <w:rFonts w:ascii="Times New Roman" w:hAnsi="Times New Roman"/>
          <w:sz w:val="24"/>
          <w:szCs w:val="24"/>
        </w:rPr>
        <w:t>4</w:t>
      </w:r>
      <w:r w:rsidR="00932EB8" w:rsidRPr="0040535D">
        <w:rPr>
          <w:rFonts w:ascii="Times New Roman" w:hAnsi="Times New Roman"/>
          <w:sz w:val="24"/>
          <w:szCs w:val="24"/>
        </w:rPr>
        <w:t xml:space="preserve"> </w:t>
      </w:r>
      <w:r w:rsidR="00555DC0" w:rsidRPr="0040535D">
        <w:rPr>
          <w:rFonts w:ascii="Times New Roman" w:hAnsi="Times New Roman"/>
          <w:sz w:val="24"/>
          <w:szCs w:val="24"/>
        </w:rPr>
        <w:t xml:space="preserve">i </w:t>
      </w:r>
      <w:r w:rsidR="00EF324F">
        <w:rPr>
          <w:rFonts w:ascii="Times New Roman" w:hAnsi="Times New Roman"/>
          <w:sz w:val="24"/>
          <w:szCs w:val="24"/>
        </w:rPr>
        <w:t>6</w:t>
      </w:r>
      <w:r w:rsidR="00EF324F" w:rsidRPr="0040535D">
        <w:rPr>
          <w:rFonts w:ascii="Times New Roman" w:hAnsi="Times New Roman"/>
          <w:sz w:val="24"/>
          <w:szCs w:val="24"/>
        </w:rPr>
        <w:t xml:space="preserve"> </w:t>
      </w:r>
      <w:r w:rsidR="00555DC0" w:rsidRPr="0040535D">
        <w:rPr>
          <w:rFonts w:ascii="Times New Roman" w:hAnsi="Times New Roman"/>
          <w:sz w:val="24"/>
          <w:szCs w:val="24"/>
        </w:rPr>
        <w:t>stanowi</w:t>
      </w:r>
      <w:r w:rsidR="00E35542" w:rsidRPr="0040535D">
        <w:rPr>
          <w:rFonts w:ascii="Times New Roman" w:hAnsi="Times New Roman"/>
          <w:sz w:val="24"/>
          <w:szCs w:val="24"/>
        </w:rPr>
        <w:t>ą</w:t>
      </w:r>
      <w:r w:rsidR="00555DC0" w:rsidRPr="0040535D">
        <w:rPr>
          <w:rFonts w:ascii="Times New Roman" w:hAnsi="Times New Roman"/>
          <w:sz w:val="24"/>
          <w:szCs w:val="24"/>
        </w:rPr>
        <w:t xml:space="preserve"> </w:t>
      </w:r>
      <w:r w:rsidR="00EF324F">
        <w:rPr>
          <w:rFonts w:ascii="Times New Roman" w:hAnsi="Times New Roman"/>
          <w:sz w:val="24"/>
          <w:szCs w:val="24"/>
        </w:rPr>
        <w:t xml:space="preserve">natomiast </w:t>
      </w:r>
      <w:r w:rsidR="00555DC0" w:rsidRPr="0040535D">
        <w:rPr>
          <w:rFonts w:ascii="Times New Roman" w:hAnsi="Times New Roman"/>
          <w:bCs/>
          <w:sz w:val="24"/>
          <w:szCs w:val="24"/>
        </w:rPr>
        <w:t xml:space="preserve">ochronę przed ryzykiem niewłaściwego wykorzystania środków publicznych, w sytuacji, gdy o wsparcie wnioskują podmioty, które na etapie ubiegania się o pomoc finansową korzystają lub korzystały z dofinansowania ze środków publicznych, w sposób nieprawidłowy, skutkujący wszczęciem i prowadzeniem postępowania karnego lub karnego skarbowego o przestępstwa, o których mowa w zaproponowanym przepisie. Z uwagi na długotrwałość procedur i wielowątkowość takich postępowań, niejednokrotnie dochodzi do sytuacji, w której zanim dojdzie do ustalenia odpowiedzialności karnej w prawomocnym wyroku skazującym, te same lub powiązane podmioty i osoby ubiegają się o kolejne środki publiczne. Dlatego też, na podstawie </w:t>
      </w:r>
      <w:r w:rsidR="00555DC0" w:rsidRPr="0040535D">
        <w:rPr>
          <w:rFonts w:ascii="Times New Roman" w:hAnsi="Times New Roman"/>
          <w:sz w:val="24"/>
          <w:szCs w:val="24"/>
        </w:rPr>
        <w:t xml:space="preserve">zaobserwowanej praktyki proponuje się </w:t>
      </w:r>
      <w:r w:rsidR="00555DC0" w:rsidRPr="0040535D">
        <w:rPr>
          <w:rFonts w:ascii="Times New Roman" w:hAnsi="Times New Roman"/>
          <w:bCs/>
          <w:sz w:val="24"/>
          <w:szCs w:val="24"/>
        </w:rPr>
        <w:t>przyznanie właściwym instytucjom uprawnienia do odmowy zawarcia umowy i w konsekwencji odmowy przyznania środków publicznych takim podmiotom.</w:t>
      </w:r>
    </w:p>
    <w:p w14:paraId="668A4195" w14:textId="77777777" w:rsidR="00555DC0" w:rsidRPr="0040535D" w:rsidRDefault="00555DC0" w:rsidP="009A0EE5">
      <w:pPr>
        <w:spacing w:after="0" w:line="360" w:lineRule="auto"/>
        <w:jc w:val="both"/>
        <w:rPr>
          <w:rFonts w:ascii="Times New Roman" w:hAnsi="Times New Roman"/>
          <w:b/>
          <w:sz w:val="24"/>
          <w:szCs w:val="24"/>
        </w:rPr>
      </w:pPr>
      <w:r w:rsidRPr="0040535D">
        <w:rPr>
          <w:rFonts w:ascii="Times New Roman" w:hAnsi="Times New Roman"/>
          <w:bCs/>
          <w:sz w:val="24"/>
          <w:szCs w:val="24"/>
        </w:rPr>
        <w:t xml:space="preserve">Ponadto, aby wyeliminować powyżej opisane sytuacje, w ust. </w:t>
      </w:r>
      <w:r w:rsidR="00EF324F">
        <w:rPr>
          <w:rFonts w:ascii="Times New Roman" w:hAnsi="Times New Roman"/>
          <w:bCs/>
          <w:sz w:val="24"/>
          <w:szCs w:val="24"/>
        </w:rPr>
        <w:t>6</w:t>
      </w:r>
      <w:r w:rsidR="006A6D97">
        <w:rPr>
          <w:rFonts w:ascii="Times New Roman" w:hAnsi="Times New Roman"/>
          <w:bCs/>
          <w:sz w:val="24"/>
          <w:szCs w:val="24"/>
        </w:rPr>
        <w:t xml:space="preserve"> </w:t>
      </w:r>
      <w:r w:rsidR="00D33E2C" w:rsidRPr="0040535D">
        <w:rPr>
          <w:rFonts w:ascii="Times New Roman" w:hAnsi="Times New Roman"/>
          <w:bCs/>
          <w:sz w:val="24"/>
          <w:szCs w:val="24"/>
        </w:rPr>
        <w:t xml:space="preserve">zobligowano </w:t>
      </w:r>
      <w:r w:rsidRPr="0040535D">
        <w:rPr>
          <w:rFonts w:ascii="Times New Roman" w:hAnsi="Times New Roman"/>
          <w:bCs/>
          <w:sz w:val="24"/>
          <w:szCs w:val="24"/>
        </w:rPr>
        <w:t xml:space="preserve">instytucje do informowania właściwych organów ścigania, w razie pozyskania przez nich informacji o okolicznościach wskazujących na możliwość popełnienia </w:t>
      </w:r>
      <w:r w:rsidRPr="0040535D">
        <w:rPr>
          <w:rFonts w:ascii="Times New Roman" w:hAnsi="Times New Roman"/>
          <w:sz w:val="24"/>
          <w:szCs w:val="24"/>
          <w:shd w:val="clear" w:color="auto" w:fill="FFFFFF"/>
        </w:rPr>
        <w:t xml:space="preserve">przez wnioskodawcę przestępstwa, o którym mowa w ust. </w:t>
      </w:r>
      <w:r w:rsidR="006A6D97">
        <w:rPr>
          <w:rFonts w:ascii="Times New Roman" w:hAnsi="Times New Roman"/>
          <w:sz w:val="24"/>
          <w:szCs w:val="24"/>
          <w:shd w:val="clear" w:color="auto" w:fill="FFFFFF"/>
        </w:rPr>
        <w:t>4</w:t>
      </w:r>
      <w:r w:rsidRPr="0040535D">
        <w:rPr>
          <w:rFonts w:ascii="Times New Roman" w:hAnsi="Times New Roman"/>
          <w:sz w:val="24"/>
          <w:szCs w:val="24"/>
          <w:shd w:val="clear" w:color="auto" w:fill="FFFFFF"/>
        </w:rPr>
        <w:t>.</w:t>
      </w:r>
    </w:p>
    <w:p w14:paraId="6102E4E4" w14:textId="77777777" w:rsidR="00555DC0" w:rsidRPr="0040535D" w:rsidRDefault="00555DC0" w:rsidP="009A0EE5">
      <w:p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W ust. </w:t>
      </w:r>
      <w:r w:rsidR="00EF324F">
        <w:rPr>
          <w:rFonts w:ascii="Times New Roman" w:hAnsi="Times New Roman"/>
          <w:sz w:val="24"/>
          <w:szCs w:val="24"/>
        </w:rPr>
        <w:t>7</w:t>
      </w:r>
      <w:r w:rsidR="00932EB8" w:rsidRPr="0040535D">
        <w:rPr>
          <w:rFonts w:ascii="Times New Roman" w:hAnsi="Times New Roman"/>
          <w:sz w:val="24"/>
          <w:szCs w:val="24"/>
        </w:rPr>
        <w:t xml:space="preserve"> </w:t>
      </w:r>
      <w:r w:rsidRPr="0040535D">
        <w:rPr>
          <w:rFonts w:ascii="Times New Roman" w:hAnsi="Times New Roman"/>
          <w:sz w:val="24"/>
          <w:szCs w:val="24"/>
        </w:rPr>
        <w:t xml:space="preserve">wprowadzono obowiązek poinformowania przez właściwą instytucję wnioskodawcy o przyczynach braku możliwości zawarcia umowy o dofinansowanie lub </w:t>
      </w:r>
      <w:r w:rsidR="00D33E2C" w:rsidRPr="0040535D">
        <w:rPr>
          <w:rFonts w:ascii="Times New Roman" w:hAnsi="Times New Roman"/>
          <w:sz w:val="24"/>
          <w:szCs w:val="24"/>
        </w:rPr>
        <w:t xml:space="preserve">podjęcia </w:t>
      </w:r>
      <w:r w:rsidRPr="0040535D">
        <w:rPr>
          <w:rFonts w:ascii="Times New Roman" w:hAnsi="Times New Roman"/>
          <w:sz w:val="24"/>
          <w:szCs w:val="24"/>
        </w:rPr>
        <w:t xml:space="preserve">decyzji o dofinansowaniu. W ust. </w:t>
      </w:r>
      <w:r w:rsidR="00EF324F">
        <w:rPr>
          <w:rFonts w:ascii="Times New Roman" w:hAnsi="Times New Roman"/>
          <w:sz w:val="24"/>
          <w:szCs w:val="24"/>
        </w:rPr>
        <w:t>8</w:t>
      </w:r>
      <w:r w:rsidR="00932EB8" w:rsidRPr="0040535D">
        <w:rPr>
          <w:rFonts w:ascii="Times New Roman" w:hAnsi="Times New Roman"/>
          <w:sz w:val="24"/>
          <w:szCs w:val="24"/>
        </w:rPr>
        <w:t xml:space="preserve"> </w:t>
      </w:r>
      <w:r w:rsidRPr="0040535D">
        <w:rPr>
          <w:rFonts w:ascii="Times New Roman" w:hAnsi="Times New Roman"/>
          <w:sz w:val="24"/>
          <w:szCs w:val="24"/>
        </w:rPr>
        <w:t>wskazano podstawę do ponownego skierowania projektu do oceny w określonym zakresie już po wybraniu go do dofinansowania. Może mieć to miejsce w przypadku, gdy właściwa instytucja poweźmie wiedzę na temat okoliczności mogących mieć negatywny wpływ na wynik oceny danego projektu.</w:t>
      </w:r>
    </w:p>
    <w:p w14:paraId="4713F105" w14:textId="77777777" w:rsidR="00555DC0" w:rsidRPr="0040535D" w:rsidRDefault="00555DC0" w:rsidP="009A0EE5">
      <w:p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 xml:space="preserve">art. </w:t>
      </w:r>
      <w:r w:rsidR="00060C63" w:rsidRPr="0040535D">
        <w:rPr>
          <w:rFonts w:ascii="Times New Roman" w:hAnsi="Times New Roman"/>
          <w:b/>
          <w:sz w:val="24"/>
          <w:szCs w:val="24"/>
        </w:rPr>
        <w:t>6</w:t>
      </w:r>
      <w:r w:rsidR="00CA0F53" w:rsidRPr="0040535D">
        <w:rPr>
          <w:rFonts w:ascii="Times New Roman" w:hAnsi="Times New Roman"/>
          <w:b/>
          <w:sz w:val="24"/>
          <w:szCs w:val="24"/>
        </w:rPr>
        <w:t>2</w:t>
      </w:r>
      <w:r w:rsidR="00060C63" w:rsidRPr="0040535D">
        <w:rPr>
          <w:rFonts w:ascii="Times New Roman" w:hAnsi="Times New Roman"/>
          <w:sz w:val="24"/>
          <w:szCs w:val="24"/>
        </w:rPr>
        <w:t xml:space="preserve"> </w:t>
      </w:r>
      <w:r w:rsidRPr="0040535D">
        <w:rPr>
          <w:rFonts w:ascii="Times New Roman" w:hAnsi="Times New Roman"/>
          <w:sz w:val="24"/>
          <w:szCs w:val="24"/>
        </w:rPr>
        <w:t>zdecydowano o pozostawieniu właściwym instytucjom elastyczności w zakresie dopuszczalności modyfikowania projektu w trakcie jego realizacji. W tym zakresie wskazano, że projekt objęty dofinansowaniem może być zmieniony</w:t>
      </w:r>
      <w:r w:rsidR="00196307" w:rsidRPr="0040535D">
        <w:t xml:space="preserve"> </w:t>
      </w:r>
      <w:r w:rsidR="00196307" w:rsidRPr="0040535D">
        <w:rPr>
          <w:rFonts w:ascii="Times New Roman" w:hAnsi="Times New Roman"/>
          <w:sz w:val="24"/>
          <w:szCs w:val="24"/>
        </w:rPr>
        <w:t>za zgodą właściwej instytucji</w:t>
      </w:r>
      <w:r w:rsidRPr="0040535D">
        <w:rPr>
          <w:rFonts w:ascii="Times New Roman" w:hAnsi="Times New Roman"/>
          <w:sz w:val="24"/>
          <w:szCs w:val="24"/>
        </w:rPr>
        <w:t xml:space="preserve"> jeśli zmiany nie wpłynęłyby na wynik oceny projektu w sposób, który skutkowałby jego negatywną oceną albo wynikają z okoliczności niezależnych od beneficjenta, których beneficjent działając z należytą starannością, nie mógł przewidzieć. W tym przypadku</w:t>
      </w:r>
      <w:r w:rsidR="00CD2DFB" w:rsidRPr="0040535D">
        <w:rPr>
          <w:rFonts w:ascii="Times New Roman" w:hAnsi="Times New Roman"/>
          <w:sz w:val="24"/>
          <w:szCs w:val="24"/>
        </w:rPr>
        <w:t xml:space="preserve">  </w:t>
      </w:r>
      <w:r w:rsidRPr="0040535D">
        <w:rPr>
          <w:rFonts w:ascii="Times New Roman" w:hAnsi="Times New Roman"/>
          <w:sz w:val="24"/>
          <w:szCs w:val="24"/>
        </w:rPr>
        <w:t xml:space="preserve">zmieniony projekt w wystarczającym stopniu </w:t>
      </w:r>
      <w:r w:rsidR="00CD2DFB" w:rsidRPr="0040535D">
        <w:rPr>
          <w:rFonts w:ascii="Times New Roman" w:hAnsi="Times New Roman"/>
          <w:sz w:val="24"/>
          <w:szCs w:val="24"/>
        </w:rPr>
        <w:t>musi przyczyniać się</w:t>
      </w:r>
      <w:r w:rsidRPr="0040535D">
        <w:rPr>
          <w:rFonts w:ascii="Times New Roman" w:hAnsi="Times New Roman"/>
          <w:sz w:val="24"/>
          <w:szCs w:val="24"/>
        </w:rPr>
        <w:t xml:space="preserve"> do realizacji celów programu.</w:t>
      </w:r>
    </w:p>
    <w:p w14:paraId="63121FC3" w14:textId="77777777" w:rsidR="00555DC0" w:rsidRPr="0040535D" w:rsidRDefault="00555DC0" w:rsidP="009A0EE5">
      <w:pPr>
        <w:autoSpaceDE w:val="0"/>
        <w:autoSpaceDN w:val="0"/>
        <w:adjustRightInd w:val="0"/>
        <w:spacing w:after="0" w:line="360" w:lineRule="auto"/>
        <w:jc w:val="both"/>
        <w:rPr>
          <w:rFonts w:ascii="Times New Roman" w:hAnsi="Times New Roman"/>
          <w:sz w:val="24"/>
          <w:szCs w:val="24"/>
        </w:rPr>
      </w:pPr>
    </w:p>
    <w:p w14:paraId="4959589A" w14:textId="77777777" w:rsidR="00555DC0" w:rsidRPr="0040535D" w:rsidRDefault="00555DC0" w:rsidP="009A0EE5">
      <w:pPr>
        <w:spacing w:after="0" w:line="360" w:lineRule="auto"/>
        <w:jc w:val="both"/>
        <w:rPr>
          <w:rFonts w:ascii="Times New Roman" w:hAnsi="Times New Roman"/>
          <w:b/>
          <w:sz w:val="24"/>
          <w:szCs w:val="24"/>
        </w:rPr>
      </w:pPr>
      <w:r w:rsidRPr="0040535D">
        <w:rPr>
          <w:rFonts w:ascii="Times New Roman" w:hAnsi="Times New Roman"/>
          <w:b/>
          <w:sz w:val="24"/>
          <w:szCs w:val="24"/>
        </w:rPr>
        <w:t>Rozdział 1</w:t>
      </w:r>
      <w:r w:rsidR="00CA0F53" w:rsidRPr="0040535D">
        <w:rPr>
          <w:rFonts w:ascii="Times New Roman" w:hAnsi="Times New Roman"/>
          <w:b/>
          <w:sz w:val="24"/>
          <w:szCs w:val="24"/>
        </w:rPr>
        <w:t>6</w:t>
      </w:r>
      <w:r w:rsidRPr="0040535D">
        <w:rPr>
          <w:rFonts w:ascii="Times New Roman" w:hAnsi="Times New Roman"/>
          <w:b/>
          <w:sz w:val="24"/>
          <w:szCs w:val="24"/>
        </w:rPr>
        <w:t>. Procedura odwoławcza.</w:t>
      </w:r>
    </w:p>
    <w:p w14:paraId="03A8E0D8"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lastRenderedPageBreak/>
        <w:t>Rozwiązania przyjęte w zakresie procedury odwoławczej w większości bazują na tych, które obowiązują na podstawie ustawy z dnia 11 lipca 2014 r. o zasadach realizacji programów w zakresie polityki spójności finansowanych w perspektywie finansowej 2014-2020 (Dz. U. z 20</w:t>
      </w:r>
      <w:r w:rsidR="00792C96" w:rsidRPr="0040535D">
        <w:rPr>
          <w:rFonts w:ascii="Times New Roman" w:hAnsi="Times New Roman"/>
          <w:sz w:val="24"/>
          <w:szCs w:val="24"/>
        </w:rPr>
        <w:t>20</w:t>
      </w:r>
      <w:r w:rsidRPr="0040535D">
        <w:rPr>
          <w:rFonts w:ascii="Times New Roman" w:hAnsi="Times New Roman"/>
          <w:sz w:val="24"/>
          <w:szCs w:val="24"/>
        </w:rPr>
        <w:t xml:space="preserve"> r. poz. </w:t>
      </w:r>
      <w:r w:rsidR="00305FF1" w:rsidRPr="0040535D">
        <w:rPr>
          <w:rFonts w:ascii="Times New Roman" w:hAnsi="Times New Roman"/>
          <w:sz w:val="24"/>
          <w:szCs w:val="24"/>
        </w:rPr>
        <w:t>818</w:t>
      </w:r>
      <w:r w:rsidRPr="0040535D">
        <w:rPr>
          <w:rFonts w:ascii="Times New Roman" w:hAnsi="Times New Roman"/>
          <w:sz w:val="24"/>
          <w:szCs w:val="24"/>
        </w:rPr>
        <w:t>) (</w:t>
      </w:r>
      <w:r w:rsidR="00027C6A" w:rsidRPr="0040535D">
        <w:rPr>
          <w:rFonts w:ascii="Times New Roman" w:hAnsi="Times New Roman"/>
          <w:sz w:val="24"/>
          <w:szCs w:val="24"/>
        </w:rPr>
        <w:t xml:space="preserve">dalej: </w:t>
      </w:r>
      <w:r w:rsidRPr="0040535D">
        <w:rPr>
          <w:rFonts w:ascii="Times New Roman" w:hAnsi="Times New Roman"/>
          <w:sz w:val="24"/>
          <w:szCs w:val="24"/>
        </w:rPr>
        <w:t xml:space="preserve">ustawa </w:t>
      </w:r>
      <w:r w:rsidR="00027C6A" w:rsidRPr="0040535D">
        <w:rPr>
          <w:rFonts w:ascii="Times New Roman" w:hAnsi="Times New Roman"/>
          <w:sz w:val="24"/>
          <w:szCs w:val="24"/>
        </w:rPr>
        <w:t xml:space="preserve">wdrożeniowa </w:t>
      </w:r>
      <w:r w:rsidRPr="0040535D">
        <w:rPr>
          <w:rFonts w:ascii="Times New Roman" w:hAnsi="Times New Roman"/>
          <w:sz w:val="24"/>
          <w:szCs w:val="24"/>
        </w:rPr>
        <w:t>2014-2020). Z założenia postanowiono nie ingerować w regulacje, które sprawdziły się w dotychczasowej praktyce i dobrze funkcjonują.</w:t>
      </w:r>
    </w:p>
    <w:p w14:paraId="00C66A3B"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Procedura odwoławcza będzie mogła być uruchomiona od wyników oceny projektów wybieranych w </w:t>
      </w:r>
      <w:r w:rsidR="00D33E2C" w:rsidRPr="0040535D">
        <w:rPr>
          <w:rFonts w:ascii="Times New Roman" w:hAnsi="Times New Roman"/>
          <w:sz w:val="24"/>
          <w:szCs w:val="24"/>
        </w:rPr>
        <w:t xml:space="preserve">sposób </w:t>
      </w:r>
      <w:r w:rsidRPr="0040535D">
        <w:rPr>
          <w:rFonts w:ascii="Times New Roman" w:hAnsi="Times New Roman"/>
          <w:sz w:val="24"/>
          <w:szCs w:val="24"/>
        </w:rPr>
        <w:t xml:space="preserve">konkurencyjny (stanowiącym, co do zasady, odpowiednik dotychczasowego trybu konkursowego). Celem procedury odwoławczej będzie ponowne sprawdzenie złożonego wniosku w zakresie spełniania kryteriów wyboru projektów. </w:t>
      </w:r>
      <w:r w:rsidRPr="0040535D">
        <w:rPr>
          <w:rFonts w:ascii="Times New Roman" w:hAnsi="Times New Roman"/>
          <w:b/>
          <w:sz w:val="24"/>
          <w:szCs w:val="24"/>
        </w:rPr>
        <w:t xml:space="preserve">Art. </w:t>
      </w:r>
      <w:r w:rsidR="00060C63" w:rsidRPr="0040535D">
        <w:rPr>
          <w:rFonts w:ascii="Times New Roman" w:hAnsi="Times New Roman"/>
          <w:b/>
          <w:sz w:val="24"/>
          <w:szCs w:val="24"/>
        </w:rPr>
        <w:t>6</w:t>
      </w:r>
      <w:r w:rsidR="00CA0F53" w:rsidRPr="0040535D">
        <w:rPr>
          <w:rFonts w:ascii="Times New Roman" w:hAnsi="Times New Roman"/>
          <w:b/>
          <w:sz w:val="24"/>
          <w:szCs w:val="24"/>
        </w:rPr>
        <w:t>3</w:t>
      </w:r>
      <w:r w:rsidR="00060C63" w:rsidRPr="0040535D">
        <w:rPr>
          <w:rFonts w:ascii="Times New Roman" w:hAnsi="Times New Roman"/>
          <w:sz w:val="24"/>
          <w:szCs w:val="24"/>
        </w:rPr>
        <w:t xml:space="preserve"> </w:t>
      </w:r>
      <w:r w:rsidRPr="0040535D">
        <w:rPr>
          <w:rFonts w:ascii="Times New Roman" w:hAnsi="Times New Roman"/>
          <w:sz w:val="24"/>
          <w:szCs w:val="24"/>
        </w:rPr>
        <w:t>przewiduje, że, tak jak było dotychczas, podstawą uruchomienia procedury odwoławczej będzie uzyskanie przez wnioskodawcę oceny negatywnej</w:t>
      </w:r>
      <w:r w:rsidR="00E857E6" w:rsidRPr="0040535D">
        <w:rPr>
          <w:rFonts w:ascii="Times New Roman" w:hAnsi="Times New Roman"/>
          <w:sz w:val="24"/>
          <w:szCs w:val="24"/>
        </w:rPr>
        <w:t xml:space="preserve"> projektu,</w:t>
      </w:r>
      <w:r w:rsidR="008331F3" w:rsidRPr="0040535D">
        <w:rPr>
          <w:rFonts w:ascii="Times New Roman" w:hAnsi="Times New Roman"/>
          <w:sz w:val="24"/>
          <w:szCs w:val="24"/>
        </w:rPr>
        <w:t xml:space="preserve"> o której mowa w art. 5</w:t>
      </w:r>
      <w:r w:rsidR="00CA0F53" w:rsidRPr="0040535D">
        <w:rPr>
          <w:rFonts w:ascii="Times New Roman" w:hAnsi="Times New Roman"/>
          <w:sz w:val="24"/>
          <w:szCs w:val="24"/>
        </w:rPr>
        <w:t>6</w:t>
      </w:r>
      <w:r w:rsidR="008331F3" w:rsidRPr="0040535D">
        <w:rPr>
          <w:rFonts w:ascii="Times New Roman" w:hAnsi="Times New Roman"/>
          <w:sz w:val="24"/>
          <w:szCs w:val="24"/>
        </w:rPr>
        <w:t xml:space="preserve"> ust. 5 i 6</w:t>
      </w:r>
      <w:r w:rsidR="00673B19" w:rsidRPr="0040535D">
        <w:rPr>
          <w:rFonts w:ascii="Times New Roman" w:hAnsi="Times New Roman"/>
          <w:sz w:val="24"/>
          <w:szCs w:val="24"/>
        </w:rPr>
        <w:t>.</w:t>
      </w:r>
      <w:r w:rsidR="00D33E2C" w:rsidRPr="0040535D">
        <w:rPr>
          <w:rFonts w:ascii="Times New Roman" w:hAnsi="Times New Roman"/>
          <w:sz w:val="24"/>
          <w:szCs w:val="24"/>
        </w:rPr>
        <w:t xml:space="preserve"> </w:t>
      </w:r>
      <w:r w:rsidRPr="0040535D">
        <w:rPr>
          <w:rFonts w:ascii="Times New Roman" w:hAnsi="Times New Roman"/>
          <w:sz w:val="24"/>
          <w:szCs w:val="24"/>
        </w:rPr>
        <w:t xml:space="preserve">W zależności od tego, czy ocena projektu będzie podzielona na etapy negatywna ocena projektu oznaczać będzie brak możliwości </w:t>
      </w:r>
      <w:r w:rsidR="00456BE3" w:rsidRPr="0040535D">
        <w:rPr>
          <w:rFonts w:ascii="Times New Roman" w:hAnsi="Times New Roman"/>
          <w:sz w:val="24"/>
          <w:szCs w:val="24"/>
        </w:rPr>
        <w:t xml:space="preserve">zakwalifikowania </w:t>
      </w:r>
      <w:r w:rsidRPr="0040535D">
        <w:rPr>
          <w:rFonts w:ascii="Times New Roman" w:hAnsi="Times New Roman"/>
          <w:sz w:val="24"/>
          <w:szCs w:val="24"/>
        </w:rPr>
        <w:t xml:space="preserve">projektu do kolejnego etapu oceny bądź też brak możliwości jego wybrania do dofinansowania. Utrzymano rozwiązanie, zgodnie z którym negatywna ocena w rozumieniu ustawy oznaczać będzie również de facto ocenę pozytywną, jeżeli skierowanie projektu do kolejnego etapu oceny lub jego wybranie do dofinansowania będzie niemożliwe z uwagi na wyczerpanie alokacji dostępnej na dofinansowanie projektów w ramach danego naboru. Jednakże tego rodzaju „negatywna ocena” nie będzie mogła stanowić wyłącznej przesłanki wniesienia protestu. Wnioskodawca będzie musiał uwzględnić we wnoszonym proteście wszystkie niezbędne wymogi, określone w art. </w:t>
      </w:r>
      <w:r w:rsidR="00060C63" w:rsidRPr="0040535D">
        <w:rPr>
          <w:rFonts w:ascii="Times New Roman" w:hAnsi="Times New Roman"/>
          <w:sz w:val="24"/>
          <w:szCs w:val="24"/>
        </w:rPr>
        <w:t>6</w:t>
      </w:r>
      <w:r w:rsidR="00CA0F53" w:rsidRPr="0040535D">
        <w:rPr>
          <w:rFonts w:ascii="Times New Roman" w:hAnsi="Times New Roman"/>
          <w:sz w:val="24"/>
          <w:szCs w:val="24"/>
        </w:rPr>
        <w:t>4</w:t>
      </w:r>
      <w:r w:rsidR="00060C63" w:rsidRPr="0040535D">
        <w:rPr>
          <w:rFonts w:ascii="Times New Roman" w:hAnsi="Times New Roman"/>
          <w:sz w:val="24"/>
          <w:szCs w:val="24"/>
        </w:rPr>
        <w:t xml:space="preserve"> </w:t>
      </w:r>
      <w:r w:rsidRPr="0040535D">
        <w:rPr>
          <w:rFonts w:ascii="Times New Roman" w:hAnsi="Times New Roman"/>
          <w:sz w:val="24"/>
          <w:szCs w:val="24"/>
        </w:rPr>
        <w:t xml:space="preserve">ust. 2 projektu ustawy. Pewnym novum, jeśli chodzi o zakres procedury odwoławczej, jest możliwość jej uruchomienia w sytuacji określonej w art. </w:t>
      </w:r>
      <w:r w:rsidR="00060C63" w:rsidRPr="0040535D">
        <w:rPr>
          <w:rFonts w:ascii="Times New Roman" w:hAnsi="Times New Roman"/>
          <w:sz w:val="24"/>
          <w:szCs w:val="24"/>
        </w:rPr>
        <w:t>6</w:t>
      </w:r>
      <w:r w:rsidR="00CA0F53" w:rsidRPr="0040535D">
        <w:rPr>
          <w:rFonts w:ascii="Times New Roman" w:hAnsi="Times New Roman"/>
          <w:sz w:val="24"/>
          <w:szCs w:val="24"/>
        </w:rPr>
        <w:t>1</w:t>
      </w:r>
      <w:r w:rsidR="00060C63" w:rsidRPr="0040535D">
        <w:rPr>
          <w:rFonts w:ascii="Times New Roman" w:hAnsi="Times New Roman"/>
          <w:sz w:val="24"/>
          <w:szCs w:val="24"/>
        </w:rPr>
        <w:t xml:space="preserve"> </w:t>
      </w:r>
      <w:r w:rsidRPr="0040535D">
        <w:rPr>
          <w:rFonts w:ascii="Times New Roman" w:hAnsi="Times New Roman"/>
          <w:sz w:val="24"/>
          <w:szCs w:val="24"/>
        </w:rPr>
        <w:t xml:space="preserve">ust. </w:t>
      </w:r>
      <w:r w:rsidR="00804A54">
        <w:rPr>
          <w:rFonts w:ascii="Times New Roman" w:hAnsi="Times New Roman"/>
          <w:sz w:val="24"/>
          <w:szCs w:val="24"/>
        </w:rPr>
        <w:t>8</w:t>
      </w:r>
      <w:r w:rsidR="008331F3" w:rsidRPr="0040535D">
        <w:rPr>
          <w:rFonts w:ascii="Times New Roman" w:hAnsi="Times New Roman"/>
          <w:sz w:val="24"/>
          <w:szCs w:val="24"/>
        </w:rPr>
        <w:t xml:space="preserve"> </w:t>
      </w:r>
      <w:r w:rsidRPr="0040535D">
        <w:rPr>
          <w:rFonts w:ascii="Times New Roman" w:hAnsi="Times New Roman"/>
          <w:sz w:val="24"/>
          <w:szCs w:val="24"/>
        </w:rPr>
        <w:t xml:space="preserve">projektu ustawy, który również nie ma odpowiednika w aktualnie obowiązującej ustawie </w:t>
      </w:r>
      <w:r w:rsidR="00027C6A" w:rsidRPr="0040535D">
        <w:rPr>
          <w:rFonts w:ascii="Times New Roman" w:hAnsi="Times New Roman"/>
          <w:sz w:val="24"/>
          <w:szCs w:val="24"/>
        </w:rPr>
        <w:t xml:space="preserve">wdrożeniowej </w:t>
      </w:r>
      <w:r w:rsidRPr="0040535D">
        <w:rPr>
          <w:rFonts w:ascii="Times New Roman" w:hAnsi="Times New Roman"/>
          <w:sz w:val="24"/>
          <w:szCs w:val="24"/>
        </w:rPr>
        <w:t xml:space="preserve">2014-2020. Art. </w:t>
      </w:r>
      <w:r w:rsidR="00060C63" w:rsidRPr="0040535D">
        <w:rPr>
          <w:rFonts w:ascii="Times New Roman" w:hAnsi="Times New Roman"/>
          <w:sz w:val="24"/>
          <w:szCs w:val="24"/>
        </w:rPr>
        <w:t>6</w:t>
      </w:r>
      <w:r w:rsidR="00CA0F53" w:rsidRPr="0040535D">
        <w:rPr>
          <w:rFonts w:ascii="Times New Roman" w:hAnsi="Times New Roman"/>
          <w:sz w:val="24"/>
          <w:szCs w:val="24"/>
        </w:rPr>
        <w:t>1</w:t>
      </w:r>
      <w:r w:rsidR="00060C63" w:rsidRPr="0040535D">
        <w:rPr>
          <w:rFonts w:ascii="Times New Roman" w:hAnsi="Times New Roman"/>
          <w:sz w:val="24"/>
          <w:szCs w:val="24"/>
        </w:rPr>
        <w:t xml:space="preserve"> </w:t>
      </w:r>
      <w:r w:rsidRPr="0040535D">
        <w:rPr>
          <w:rFonts w:ascii="Times New Roman" w:hAnsi="Times New Roman"/>
          <w:sz w:val="24"/>
          <w:szCs w:val="24"/>
        </w:rPr>
        <w:t xml:space="preserve">ust. </w:t>
      </w:r>
      <w:r w:rsidR="00804A54">
        <w:rPr>
          <w:rFonts w:ascii="Times New Roman" w:hAnsi="Times New Roman"/>
          <w:sz w:val="24"/>
          <w:szCs w:val="24"/>
        </w:rPr>
        <w:t>8</w:t>
      </w:r>
      <w:r w:rsidR="008331F3" w:rsidRPr="0040535D">
        <w:rPr>
          <w:rFonts w:ascii="Times New Roman" w:hAnsi="Times New Roman"/>
          <w:sz w:val="24"/>
          <w:szCs w:val="24"/>
        </w:rPr>
        <w:t xml:space="preserve"> </w:t>
      </w:r>
      <w:r w:rsidRPr="0040535D">
        <w:rPr>
          <w:rFonts w:ascii="Times New Roman" w:hAnsi="Times New Roman"/>
          <w:sz w:val="24"/>
          <w:szCs w:val="24"/>
        </w:rPr>
        <w:t xml:space="preserve">projektu daje właściwej instytucji podstawę prawną do tego, aby w przypadku, gdy poweźmie ona wiedzę o okolicznościach mogących mieć wpływ na wynik oceny projektu, skierować projekt do ponownej oceny. Wówczas przepisy rozdziału </w:t>
      </w:r>
      <w:r w:rsidR="00456BE3" w:rsidRPr="0040535D">
        <w:rPr>
          <w:rFonts w:ascii="Times New Roman" w:hAnsi="Times New Roman"/>
          <w:sz w:val="24"/>
          <w:szCs w:val="24"/>
        </w:rPr>
        <w:t>1</w:t>
      </w:r>
      <w:r w:rsidR="00CA0F53" w:rsidRPr="0040535D">
        <w:rPr>
          <w:rFonts w:ascii="Times New Roman" w:hAnsi="Times New Roman"/>
          <w:sz w:val="24"/>
          <w:szCs w:val="24"/>
        </w:rPr>
        <w:t>6</w:t>
      </w:r>
      <w:r w:rsidRPr="0040535D">
        <w:rPr>
          <w:rFonts w:ascii="Times New Roman" w:hAnsi="Times New Roman"/>
          <w:sz w:val="24"/>
          <w:szCs w:val="24"/>
        </w:rPr>
        <w:t xml:space="preserve">. znajdą odpowiednie zastosowanie, co oznacza, że od wyników takiej ponownej oceny, o ile będzie ona negatywna, wnioskodawcy przysługiwać będzie ścieżka odwoławcza przewidziana w rozdziale </w:t>
      </w:r>
      <w:r w:rsidR="00456BE3" w:rsidRPr="0040535D">
        <w:rPr>
          <w:rFonts w:ascii="Times New Roman" w:hAnsi="Times New Roman"/>
          <w:sz w:val="24"/>
          <w:szCs w:val="24"/>
        </w:rPr>
        <w:t>1</w:t>
      </w:r>
      <w:r w:rsidR="00CA0F53" w:rsidRPr="0040535D">
        <w:rPr>
          <w:rFonts w:ascii="Times New Roman" w:hAnsi="Times New Roman"/>
          <w:sz w:val="24"/>
          <w:szCs w:val="24"/>
        </w:rPr>
        <w:t>6</w:t>
      </w:r>
      <w:r w:rsidRPr="0040535D">
        <w:rPr>
          <w:rFonts w:ascii="Times New Roman" w:hAnsi="Times New Roman"/>
          <w:sz w:val="24"/>
          <w:szCs w:val="24"/>
        </w:rPr>
        <w:t>.</w:t>
      </w:r>
    </w:p>
    <w:p w14:paraId="56E60FE8"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Tak jak dotychczas, wnioskodawcy przysługiwać będzie jeden środek odwoławczy od wyników oceny jego projektu, tj. protest. Wymogi formalne dotyczące protestu, a więc przede wszystkim jego forma, zawartość oraz termin jego wniesienia, określone zostały w </w:t>
      </w:r>
      <w:r w:rsidRPr="0040535D">
        <w:rPr>
          <w:rFonts w:ascii="Times New Roman" w:hAnsi="Times New Roman"/>
          <w:b/>
          <w:sz w:val="24"/>
          <w:szCs w:val="24"/>
        </w:rPr>
        <w:t xml:space="preserve">art. </w:t>
      </w:r>
      <w:r w:rsidR="00060C63" w:rsidRPr="0040535D">
        <w:rPr>
          <w:rFonts w:ascii="Times New Roman" w:hAnsi="Times New Roman"/>
          <w:b/>
          <w:sz w:val="24"/>
          <w:szCs w:val="24"/>
        </w:rPr>
        <w:t>6</w:t>
      </w:r>
      <w:r w:rsidR="00CA0F53" w:rsidRPr="0040535D">
        <w:rPr>
          <w:rFonts w:ascii="Times New Roman" w:hAnsi="Times New Roman"/>
          <w:b/>
          <w:sz w:val="24"/>
          <w:szCs w:val="24"/>
        </w:rPr>
        <w:t>4</w:t>
      </w:r>
      <w:r w:rsidRPr="0040535D">
        <w:rPr>
          <w:rFonts w:ascii="Times New Roman" w:hAnsi="Times New Roman"/>
          <w:sz w:val="24"/>
          <w:szCs w:val="24"/>
        </w:rPr>
        <w:t xml:space="preserve">, który powiela rozwiązania w tym zakresie obowiązujące w ustawie </w:t>
      </w:r>
      <w:r w:rsidR="00027C6A" w:rsidRPr="0040535D">
        <w:rPr>
          <w:rFonts w:ascii="Times New Roman" w:hAnsi="Times New Roman"/>
          <w:sz w:val="24"/>
          <w:szCs w:val="24"/>
        </w:rPr>
        <w:t xml:space="preserve">wdrożeniowej </w:t>
      </w:r>
      <w:r w:rsidRPr="0040535D">
        <w:rPr>
          <w:rFonts w:ascii="Times New Roman" w:hAnsi="Times New Roman"/>
          <w:sz w:val="24"/>
          <w:szCs w:val="24"/>
        </w:rPr>
        <w:t xml:space="preserve">2014-2020. Wnioskodawca będzie miał możliwość uzupełnienia wniesionego protestu niespełniającego </w:t>
      </w:r>
      <w:r w:rsidRPr="0040535D">
        <w:rPr>
          <w:rFonts w:ascii="Times New Roman" w:hAnsi="Times New Roman"/>
          <w:sz w:val="24"/>
          <w:szCs w:val="24"/>
        </w:rPr>
        <w:lastRenderedPageBreak/>
        <w:t xml:space="preserve">wymogów formalnych, za wyjątkiem wymogów, o których mowa w art. </w:t>
      </w:r>
      <w:r w:rsidR="00060C63" w:rsidRPr="0040535D">
        <w:rPr>
          <w:rFonts w:ascii="Times New Roman" w:hAnsi="Times New Roman"/>
          <w:sz w:val="24"/>
          <w:szCs w:val="24"/>
        </w:rPr>
        <w:t>6</w:t>
      </w:r>
      <w:r w:rsidR="00CA0F53" w:rsidRPr="0040535D">
        <w:rPr>
          <w:rFonts w:ascii="Times New Roman" w:hAnsi="Times New Roman"/>
          <w:sz w:val="24"/>
          <w:szCs w:val="24"/>
        </w:rPr>
        <w:t>4</w:t>
      </w:r>
      <w:r w:rsidR="00060C63" w:rsidRPr="0040535D">
        <w:rPr>
          <w:rFonts w:ascii="Times New Roman" w:hAnsi="Times New Roman"/>
          <w:sz w:val="24"/>
          <w:szCs w:val="24"/>
        </w:rPr>
        <w:t xml:space="preserve"> </w:t>
      </w:r>
      <w:r w:rsidRPr="0040535D">
        <w:rPr>
          <w:rFonts w:ascii="Times New Roman" w:hAnsi="Times New Roman"/>
          <w:sz w:val="24"/>
          <w:szCs w:val="24"/>
        </w:rPr>
        <w:t xml:space="preserve">ust. 2 pkt 4 </w:t>
      </w:r>
      <w:r w:rsidR="00456BE3" w:rsidRPr="0040535D">
        <w:rPr>
          <w:rFonts w:ascii="Times New Roman" w:hAnsi="Times New Roman"/>
          <w:sz w:val="24"/>
          <w:szCs w:val="24"/>
        </w:rPr>
        <w:t xml:space="preserve">i </w:t>
      </w:r>
      <w:r w:rsidRPr="0040535D">
        <w:rPr>
          <w:rFonts w:ascii="Times New Roman" w:hAnsi="Times New Roman"/>
          <w:sz w:val="24"/>
          <w:szCs w:val="24"/>
        </w:rPr>
        <w:t xml:space="preserve">5 w terminie 7 dni liczonych od dnia otrzymania wezwania w tym zakresie. Jeśli w tym terminie protestu </w:t>
      </w:r>
      <w:r w:rsidR="00A43248" w:rsidRPr="0040535D">
        <w:rPr>
          <w:rFonts w:ascii="Times New Roman" w:hAnsi="Times New Roman"/>
          <w:sz w:val="24"/>
          <w:szCs w:val="24"/>
        </w:rPr>
        <w:t xml:space="preserve">nie </w:t>
      </w:r>
      <w:r w:rsidRPr="0040535D">
        <w:rPr>
          <w:rFonts w:ascii="Times New Roman" w:hAnsi="Times New Roman"/>
          <w:sz w:val="24"/>
          <w:szCs w:val="24"/>
        </w:rPr>
        <w:t xml:space="preserve">uzupełni, jego protest zostanie pozostawiony bez rozparzenia na podstawie art. </w:t>
      </w:r>
      <w:r w:rsidR="00060C63" w:rsidRPr="0040535D">
        <w:rPr>
          <w:rFonts w:ascii="Times New Roman" w:hAnsi="Times New Roman"/>
          <w:sz w:val="24"/>
          <w:szCs w:val="24"/>
        </w:rPr>
        <w:t>6</w:t>
      </w:r>
      <w:r w:rsidR="00CA0F53" w:rsidRPr="0040535D">
        <w:rPr>
          <w:rFonts w:ascii="Times New Roman" w:hAnsi="Times New Roman"/>
          <w:sz w:val="24"/>
          <w:szCs w:val="24"/>
        </w:rPr>
        <w:t>4</w:t>
      </w:r>
      <w:r w:rsidR="00060C63" w:rsidRPr="0040535D">
        <w:rPr>
          <w:rFonts w:ascii="Times New Roman" w:hAnsi="Times New Roman"/>
          <w:sz w:val="24"/>
          <w:szCs w:val="24"/>
        </w:rPr>
        <w:t xml:space="preserve"> </w:t>
      </w:r>
      <w:r w:rsidRPr="0040535D">
        <w:rPr>
          <w:rFonts w:ascii="Times New Roman" w:hAnsi="Times New Roman"/>
          <w:sz w:val="24"/>
          <w:szCs w:val="24"/>
        </w:rPr>
        <w:t xml:space="preserve">ust. </w:t>
      </w:r>
      <w:r w:rsidR="00456BE3" w:rsidRPr="0040535D">
        <w:rPr>
          <w:rFonts w:ascii="Times New Roman" w:hAnsi="Times New Roman"/>
          <w:sz w:val="24"/>
          <w:szCs w:val="24"/>
        </w:rPr>
        <w:t xml:space="preserve">3 </w:t>
      </w:r>
      <w:r w:rsidRPr="0040535D">
        <w:rPr>
          <w:rFonts w:ascii="Times New Roman" w:hAnsi="Times New Roman"/>
          <w:sz w:val="24"/>
          <w:szCs w:val="24"/>
        </w:rPr>
        <w:t>ustawy.</w:t>
      </w:r>
    </w:p>
    <w:p w14:paraId="52FD1325"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 xml:space="preserve">art. </w:t>
      </w:r>
      <w:r w:rsidR="00060C63" w:rsidRPr="0040535D">
        <w:rPr>
          <w:rFonts w:ascii="Times New Roman" w:hAnsi="Times New Roman"/>
          <w:b/>
          <w:sz w:val="24"/>
          <w:szCs w:val="24"/>
        </w:rPr>
        <w:t>6</w:t>
      </w:r>
      <w:r w:rsidR="00CA0F53" w:rsidRPr="0040535D">
        <w:rPr>
          <w:rFonts w:ascii="Times New Roman" w:hAnsi="Times New Roman"/>
          <w:b/>
          <w:sz w:val="24"/>
          <w:szCs w:val="24"/>
        </w:rPr>
        <w:t>5</w:t>
      </w:r>
      <w:r w:rsidR="00060C63" w:rsidRPr="0040535D">
        <w:rPr>
          <w:rFonts w:ascii="Times New Roman" w:hAnsi="Times New Roman"/>
          <w:sz w:val="24"/>
          <w:szCs w:val="24"/>
        </w:rPr>
        <w:t xml:space="preserve"> </w:t>
      </w:r>
      <w:r w:rsidRPr="0040535D">
        <w:rPr>
          <w:rFonts w:ascii="Times New Roman" w:hAnsi="Times New Roman"/>
          <w:sz w:val="24"/>
          <w:szCs w:val="24"/>
        </w:rPr>
        <w:t xml:space="preserve">uregulowano instytucję wycofania protestu. Przepisy w tym zakresie bazują na obecnie obowiązujących rozwiązaniach uregulowanych ustawą </w:t>
      </w:r>
      <w:r w:rsidR="00027C6A" w:rsidRPr="0040535D">
        <w:rPr>
          <w:rFonts w:ascii="Times New Roman" w:hAnsi="Times New Roman"/>
          <w:sz w:val="24"/>
          <w:szCs w:val="24"/>
        </w:rPr>
        <w:t xml:space="preserve">wdrożeniową </w:t>
      </w:r>
      <w:r w:rsidRPr="0040535D">
        <w:rPr>
          <w:rFonts w:ascii="Times New Roman" w:hAnsi="Times New Roman"/>
          <w:sz w:val="24"/>
          <w:szCs w:val="24"/>
        </w:rPr>
        <w:t>2014-2020. Wnioskodawca będzie mógł wycofać protest do czasu zakończenia jego rozpatrywania przez właściwą instytucję, poprzez złożenie właściwej instytucji oświadczenia w tej sprawie. Instytucją właściwą będzie odpowiednio albo instytucja dokonująca wyboru projektów, za pośrednictwem której wniesiony został protest, albo instytucja właściwa do jego rozpatrzenia.</w:t>
      </w:r>
    </w:p>
    <w:p w14:paraId="51D44BE8"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W kolejnych artykułach uregulowano kwestie związane z rozpatrywaniem protestu, takie jak instytucje właściwe w tym zakresie, element autokontroli rozstrzygnięcia podjętego przez instytucję dokonującą naboru projektów, terminy poszczególnych etapów procedury odwoławczej, możliwe rozstrzygnięcia, itp. Rozwiązania przyjęte w tym zakresie w projekcie ustawy nie różnią się od dotychczas stosowanych, uregulowanych w ustawie</w:t>
      </w:r>
      <w:r w:rsidR="00027C6A" w:rsidRPr="0040535D">
        <w:rPr>
          <w:rFonts w:ascii="Times New Roman" w:hAnsi="Times New Roman"/>
          <w:sz w:val="24"/>
          <w:szCs w:val="24"/>
        </w:rPr>
        <w:t xml:space="preserve"> wdrożeniowej</w:t>
      </w:r>
      <w:r w:rsidRPr="0040535D">
        <w:rPr>
          <w:rFonts w:ascii="Times New Roman" w:hAnsi="Times New Roman"/>
          <w:sz w:val="24"/>
          <w:szCs w:val="24"/>
        </w:rPr>
        <w:t xml:space="preserve"> 2014-2020.</w:t>
      </w:r>
    </w:p>
    <w:p w14:paraId="5870D879"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 xml:space="preserve">art. </w:t>
      </w:r>
      <w:r w:rsidR="00060C63" w:rsidRPr="0040535D">
        <w:rPr>
          <w:rFonts w:ascii="Times New Roman" w:hAnsi="Times New Roman"/>
          <w:b/>
          <w:sz w:val="24"/>
          <w:szCs w:val="24"/>
        </w:rPr>
        <w:t>7</w:t>
      </w:r>
      <w:r w:rsidR="00CA0F53" w:rsidRPr="0040535D">
        <w:rPr>
          <w:rFonts w:ascii="Times New Roman" w:hAnsi="Times New Roman"/>
          <w:b/>
          <w:sz w:val="24"/>
          <w:szCs w:val="24"/>
        </w:rPr>
        <w:t>0</w:t>
      </w:r>
      <w:r w:rsidR="00060C63" w:rsidRPr="0040535D">
        <w:rPr>
          <w:rFonts w:ascii="Times New Roman" w:hAnsi="Times New Roman"/>
          <w:sz w:val="24"/>
          <w:szCs w:val="24"/>
        </w:rPr>
        <w:t xml:space="preserve"> </w:t>
      </w:r>
      <w:r w:rsidR="00456BE3" w:rsidRPr="0040535D">
        <w:rPr>
          <w:rFonts w:ascii="Times New Roman" w:hAnsi="Times New Roman"/>
          <w:sz w:val="24"/>
          <w:szCs w:val="24"/>
        </w:rPr>
        <w:t>wskazano pozostałe przypadki</w:t>
      </w:r>
      <w:r w:rsidR="00456BE3" w:rsidRPr="0040535D" w:rsidDel="00456BE3">
        <w:rPr>
          <w:rFonts w:ascii="Times New Roman" w:hAnsi="Times New Roman"/>
          <w:sz w:val="24"/>
          <w:szCs w:val="24"/>
        </w:rPr>
        <w:t xml:space="preserve"> </w:t>
      </w:r>
      <w:r w:rsidRPr="0040535D">
        <w:rPr>
          <w:rFonts w:ascii="Times New Roman" w:hAnsi="Times New Roman"/>
          <w:sz w:val="24"/>
          <w:szCs w:val="24"/>
        </w:rPr>
        <w:t xml:space="preserve">pozostawienia protestu bez rozpatrzenia, </w:t>
      </w:r>
      <w:r w:rsidR="00456BE3" w:rsidRPr="0040535D">
        <w:rPr>
          <w:rFonts w:ascii="Times New Roman" w:hAnsi="Times New Roman"/>
          <w:sz w:val="24"/>
          <w:szCs w:val="24"/>
        </w:rPr>
        <w:t>dotyczące sytuacji, gdy pomimo prawidłowego pouczenia w tym zakresie, wnioskodawca nie zachował niezbędnych wymogów formalnych. O</w:t>
      </w:r>
      <w:r w:rsidRPr="0040535D">
        <w:rPr>
          <w:rFonts w:ascii="Times New Roman" w:hAnsi="Times New Roman"/>
          <w:sz w:val="24"/>
          <w:szCs w:val="24"/>
        </w:rPr>
        <w:t>d takiego rozstrzygnięcia przysługuje wnioskodawcy możliwość wniesienia skargi do sądu administracyjnego</w:t>
      </w:r>
      <w:r w:rsidR="00456BE3" w:rsidRPr="0040535D">
        <w:rPr>
          <w:rFonts w:ascii="Times New Roman" w:hAnsi="Times New Roman"/>
          <w:sz w:val="24"/>
          <w:szCs w:val="24"/>
        </w:rPr>
        <w:t xml:space="preserve"> zgodnie z otrzymaną w tym zakresie, na podstawie art. </w:t>
      </w:r>
      <w:r w:rsidR="00060C63" w:rsidRPr="0040535D">
        <w:rPr>
          <w:rFonts w:ascii="Times New Roman" w:hAnsi="Times New Roman"/>
          <w:sz w:val="24"/>
          <w:szCs w:val="24"/>
        </w:rPr>
        <w:t>7</w:t>
      </w:r>
      <w:r w:rsidR="00CA0F53" w:rsidRPr="0040535D">
        <w:rPr>
          <w:rFonts w:ascii="Times New Roman" w:hAnsi="Times New Roman"/>
          <w:sz w:val="24"/>
          <w:szCs w:val="24"/>
        </w:rPr>
        <w:t>0</w:t>
      </w:r>
      <w:r w:rsidR="00060C63" w:rsidRPr="0040535D">
        <w:rPr>
          <w:rFonts w:ascii="Times New Roman" w:hAnsi="Times New Roman"/>
          <w:sz w:val="24"/>
          <w:szCs w:val="24"/>
        </w:rPr>
        <w:t xml:space="preserve"> </w:t>
      </w:r>
      <w:r w:rsidR="00456BE3" w:rsidRPr="0040535D">
        <w:rPr>
          <w:rFonts w:ascii="Times New Roman" w:hAnsi="Times New Roman"/>
          <w:sz w:val="24"/>
          <w:szCs w:val="24"/>
        </w:rPr>
        <w:t>ust. 2, informacją i pouczeniem.</w:t>
      </w:r>
    </w:p>
    <w:p w14:paraId="7C2D87F3"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b/>
          <w:sz w:val="24"/>
          <w:szCs w:val="24"/>
        </w:rPr>
        <w:t xml:space="preserve">Art. </w:t>
      </w:r>
      <w:r w:rsidR="00060C63" w:rsidRPr="0040535D">
        <w:rPr>
          <w:rFonts w:ascii="Times New Roman" w:hAnsi="Times New Roman"/>
          <w:b/>
          <w:sz w:val="24"/>
          <w:szCs w:val="24"/>
        </w:rPr>
        <w:t>7</w:t>
      </w:r>
      <w:r w:rsidR="00CA0F53" w:rsidRPr="0040535D">
        <w:rPr>
          <w:rFonts w:ascii="Times New Roman" w:hAnsi="Times New Roman"/>
          <w:b/>
          <w:sz w:val="24"/>
          <w:szCs w:val="24"/>
        </w:rPr>
        <w:t>1</w:t>
      </w:r>
      <w:r w:rsidR="00060C63" w:rsidRPr="0040535D">
        <w:rPr>
          <w:rFonts w:ascii="Times New Roman" w:hAnsi="Times New Roman"/>
          <w:sz w:val="24"/>
          <w:szCs w:val="24"/>
        </w:rPr>
        <w:t xml:space="preserve"> </w:t>
      </w:r>
      <w:r w:rsidRPr="0040535D">
        <w:rPr>
          <w:rFonts w:ascii="Times New Roman" w:hAnsi="Times New Roman"/>
          <w:sz w:val="24"/>
          <w:szCs w:val="24"/>
        </w:rPr>
        <w:t xml:space="preserve">powiela rozwiązania dotyczące tzw. </w:t>
      </w:r>
      <w:proofErr w:type="spellStart"/>
      <w:r w:rsidRPr="0040535D">
        <w:rPr>
          <w:rFonts w:ascii="Times New Roman" w:hAnsi="Times New Roman"/>
          <w:sz w:val="24"/>
          <w:szCs w:val="24"/>
        </w:rPr>
        <w:t>wyłączeń</w:t>
      </w:r>
      <w:proofErr w:type="spellEnd"/>
      <w:r w:rsidRPr="0040535D">
        <w:rPr>
          <w:rFonts w:ascii="Times New Roman" w:hAnsi="Times New Roman"/>
          <w:sz w:val="24"/>
          <w:szCs w:val="24"/>
        </w:rPr>
        <w:t xml:space="preserve"> osób, które mogą brać udział w rozpatrywaniu protestu, w weryfikacji oceny projektu w ramach autokontroli, o której mowa w art. 6</w:t>
      </w:r>
      <w:r w:rsidR="00CA0F53" w:rsidRPr="0040535D">
        <w:rPr>
          <w:rFonts w:ascii="Times New Roman" w:hAnsi="Times New Roman"/>
          <w:sz w:val="24"/>
          <w:szCs w:val="24"/>
        </w:rPr>
        <w:t>7</w:t>
      </w:r>
      <w:r w:rsidRPr="0040535D">
        <w:rPr>
          <w:rFonts w:ascii="Times New Roman" w:hAnsi="Times New Roman"/>
          <w:sz w:val="24"/>
          <w:szCs w:val="24"/>
        </w:rPr>
        <w:t xml:space="preserve"> ust. 2 projektu, a także w ponownej ocenie, o której mowa w art. </w:t>
      </w:r>
      <w:r w:rsidR="00CA0F53" w:rsidRPr="0040535D">
        <w:rPr>
          <w:rFonts w:ascii="Times New Roman" w:hAnsi="Times New Roman"/>
          <w:sz w:val="24"/>
          <w:szCs w:val="24"/>
        </w:rPr>
        <w:t xml:space="preserve">69 </w:t>
      </w:r>
      <w:r w:rsidRPr="0040535D">
        <w:rPr>
          <w:rFonts w:ascii="Times New Roman" w:hAnsi="Times New Roman"/>
          <w:sz w:val="24"/>
          <w:szCs w:val="24"/>
        </w:rPr>
        <w:t>ust. 3 projektu. Doprecyzowano natomiast, że powiązania prowadzące do wyłączenia ww. osób, dotyczą jedynie ich zaangażowania w przygotowanie lub ocenę projektu, którego dany protest dotyczy (a nie jakiegokolwiek projektu).</w:t>
      </w:r>
    </w:p>
    <w:p w14:paraId="79C567FD" w14:textId="77777777" w:rsidR="00171BAD" w:rsidRPr="0040535D" w:rsidRDefault="00171BAD" w:rsidP="002F4CFB">
      <w:pPr>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art. 7</w:t>
      </w:r>
      <w:r w:rsidR="00CA0F53" w:rsidRPr="0040535D">
        <w:rPr>
          <w:rFonts w:ascii="Times New Roman" w:hAnsi="Times New Roman"/>
          <w:b/>
          <w:sz w:val="24"/>
          <w:szCs w:val="24"/>
        </w:rPr>
        <w:t>2</w:t>
      </w:r>
      <w:r w:rsidRPr="0040535D">
        <w:rPr>
          <w:rFonts w:ascii="Times New Roman" w:hAnsi="Times New Roman"/>
          <w:sz w:val="24"/>
          <w:szCs w:val="24"/>
        </w:rPr>
        <w:t xml:space="preserve"> ust. 1 projektu ustawy utrzymano rozwiązanie polegające na w</w:t>
      </w:r>
      <w:r w:rsidR="00C52A62" w:rsidRPr="0040535D">
        <w:rPr>
          <w:rFonts w:ascii="Times New Roman" w:hAnsi="Times New Roman"/>
          <w:sz w:val="24"/>
          <w:szCs w:val="24"/>
        </w:rPr>
        <w:t xml:space="preserve">yłączeniu stosowania przepisów </w:t>
      </w:r>
      <w:r w:rsidR="000154C2" w:rsidRPr="0040535D">
        <w:rPr>
          <w:rFonts w:ascii="Times New Roman" w:hAnsi="Times New Roman"/>
          <w:sz w:val="24"/>
          <w:szCs w:val="24"/>
        </w:rPr>
        <w:t>kpa</w:t>
      </w:r>
      <w:r w:rsidRPr="0040535D">
        <w:rPr>
          <w:rFonts w:ascii="Times New Roman" w:hAnsi="Times New Roman"/>
          <w:sz w:val="24"/>
          <w:szCs w:val="24"/>
        </w:rPr>
        <w:t xml:space="preserve"> do procedury odwoławczej</w:t>
      </w:r>
      <w:r w:rsidR="002F4CFB" w:rsidRPr="002F4CFB">
        <w:t xml:space="preserve"> </w:t>
      </w:r>
      <w:r w:rsidR="002F4CFB" w:rsidRPr="002F4CFB">
        <w:rPr>
          <w:rFonts w:ascii="Times New Roman" w:hAnsi="Times New Roman"/>
          <w:sz w:val="24"/>
          <w:szCs w:val="24"/>
        </w:rPr>
        <w:t>z wyjątkiem art. 24 oraz przepisów dotyczących doręczeń i sposobu obliczania terminów, które stosuje się odpowiednio</w:t>
      </w:r>
      <w:r w:rsidRPr="0040535D">
        <w:rPr>
          <w:rFonts w:ascii="Times New Roman" w:hAnsi="Times New Roman"/>
          <w:sz w:val="24"/>
          <w:szCs w:val="24"/>
        </w:rPr>
        <w:t xml:space="preserve">. Jednocześnie wprowadzono w nim ust. 2, </w:t>
      </w:r>
      <w:r w:rsidR="002F4CFB">
        <w:rPr>
          <w:rFonts w:ascii="Times New Roman" w:hAnsi="Times New Roman"/>
          <w:sz w:val="24"/>
          <w:szCs w:val="24"/>
        </w:rPr>
        <w:t xml:space="preserve">wskazujący że </w:t>
      </w:r>
      <w:r w:rsidR="002F4CFB" w:rsidRPr="0040535D">
        <w:rPr>
          <w:rFonts w:ascii="Times New Roman" w:hAnsi="Times New Roman"/>
          <w:sz w:val="24"/>
          <w:szCs w:val="24"/>
        </w:rPr>
        <w:t>przekazywan</w:t>
      </w:r>
      <w:r w:rsidR="002F4CFB">
        <w:rPr>
          <w:rFonts w:ascii="Times New Roman" w:hAnsi="Times New Roman"/>
          <w:sz w:val="24"/>
          <w:szCs w:val="24"/>
        </w:rPr>
        <w:t>e</w:t>
      </w:r>
      <w:r w:rsidR="002F4CFB" w:rsidRPr="0040535D">
        <w:rPr>
          <w:rFonts w:ascii="Times New Roman" w:hAnsi="Times New Roman"/>
          <w:sz w:val="24"/>
          <w:szCs w:val="24"/>
        </w:rPr>
        <w:t xml:space="preserve"> dokument</w:t>
      </w:r>
      <w:r w:rsidR="002F4CFB">
        <w:rPr>
          <w:rFonts w:ascii="Times New Roman" w:hAnsi="Times New Roman"/>
          <w:sz w:val="24"/>
          <w:szCs w:val="24"/>
        </w:rPr>
        <w:t>y</w:t>
      </w:r>
      <w:r w:rsidR="002F4CFB" w:rsidRPr="0040535D">
        <w:rPr>
          <w:rFonts w:ascii="Times New Roman" w:hAnsi="Times New Roman"/>
          <w:sz w:val="24"/>
          <w:szCs w:val="24"/>
        </w:rPr>
        <w:t xml:space="preserve"> </w:t>
      </w:r>
      <w:r w:rsidRPr="0040535D">
        <w:rPr>
          <w:rFonts w:ascii="Times New Roman" w:hAnsi="Times New Roman"/>
          <w:sz w:val="24"/>
          <w:szCs w:val="24"/>
        </w:rPr>
        <w:t xml:space="preserve">i </w:t>
      </w:r>
      <w:r w:rsidR="002F4CFB" w:rsidRPr="0040535D">
        <w:rPr>
          <w:rFonts w:ascii="Times New Roman" w:hAnsi="Times New Roman"/>
          <w:sz w:val="24"/>
          <w:szCs w:val="24"/>
        </w:rPr>
        <w:t>informacj</w:t>
      </w:r>
      <w:r w:rsidR="002F4CFB">
        <w:rPr>
          <w:rFonts w:ascii="Times New Roman" w:hAnsi="Times New Roman"/>
          <w:sz w:val="24"/>
          <w:szCs w:val="24"/>
        </w:rPr>
        <w:t>e</w:t>
      </w:r>
      <w:r w:rsidR="002F4CFB" w:rsidRPr="0040535D">
        <w:rPr>
          <w:rFonts w:ascii="Times New Roman" w:hAnsi="Times New Roman"/>
          <w:sz w:val="24"/>
          <w:szCs w:val="24"/>
        </w:rPr>
        <w:t xml:space="preserve"> </w:t>
      </w:r>
      <w:r w:rsidRPr="0040535D">
        <w:rPr>
          <w:rFonts w:ascii="Times New Roman" w:hAnsi="Times New Roman"/>
          <w:sz w:val="24"/>
          <w:szCs w:val="24"/>
        </w:rPr>
        <w:t xml:space="preserve">w ramach procedury odwoławczej, w tym protest i jego </w:t>
      </w:r>
      <w:r w:rsidR="002F4CFB" w:rsidRPr="0040535D">
        <w:rPr>
          <w:rFonts w:ascii="Times New Roman" w:hAnsi="Times New Roman"/>
          <w:sz w:val="24"/>
          <w:szCs w:val="24"/>
        </w:rPr>
        <w:t>rozstrzygnięci</w:t>
      </w:r>
      <w:r w:rsidR="002F4CFB">
        <w:rPr>
          <w:rFonts w:ascii="Times New Roman" w:hAnsi="Times New Roman"/>
          <w:sz w:val="24"/>
          <w:szCs w:val="24"/>
        </w:rPr>
        <w:t>e</w:t>
      </w:r>
      <w:r w:rsidRPr="0040535D">
        <w:rPr>
          <w:rFonts w:ascii="Times New Roman" w:hAnsi="Times New Roman"/>
          <w:sz w:val="24"/>
          <w:szCs w:val="24"/>
        </w:rPr>
        <w:t>,</w:t>
      </w:r>
      <w:r w:rsidR="002F4CFB" w:rsidRPr="002F4CFB">
        <w:t xml:space="preserve"> </w:t>
      </w:r>
      <w:r w:rsidR="002F4CFB" w:rsidRPr="002F4CFB">
        <w:rPr>
          <w:rFonts w:ascii="Times New Roman" w:hAnsi="Times New Roman"/>
          <w:sz w:val="24"/>
          <w:szCs w:val="24"/>
        </w:rPr>
        <w:t xml:space="preserve">wymagają odpowiednio podpisu własnoręcznego albo opatrzenia kwalifikowanym podpisem elektronicznym, podpisem </w:t>
      </w:r>
      <w:r w:rsidR="002F4CFB" w:rsidRPr="002F4CFB">
        <w:rPr>
          <w:rFonts w:ascii="Times New Roman" w:hAnsi="Times New Roman"/>
          <w:sz w:val="24"/>
          <w:szCs w:val="24"/>
        </w:rPr>
        <w:lastRenderedPageBreak/>
        <w:t>zau</w:t>
      </w:r>
      <w:r w:rsidR="002F4CFB">
        <w:rPr>
          <w:rFonts w:ascii="Times New Roman" w:hAnsi="Times New Roman"/>
          <w:sz w:val="24"/>
          <w:szCs w:val="24"/>
        </w:rPr>
        <w:t xml:space="preserve">fanym albo podpisem osobistym. </w:t>
      </w:r>
      <w:r w:rsidR="002F4CFB" w:rsidRPr="002F4CFB">
        <w:rPr>
          <w:rFonts w:ascii="Times New Roman" w:hAnsi="Times New Roman"/>
          <w:sz w:val="24"/>
          <w:szCs w:val="24"/>
        </w:rPr>
        <w:t xml:space="preserve">W przepisie </w:t>
      </w:r>
      <w:r w:rsidR="002F4CFB">
        <w:rPr>
          <w:rFonts w:ascii="Times New Roman" w:hAnsi="Times New Roman"/>
          <w:sz w:val="24"/>
          <w:szCs w:val="24"/>
        </w:rPr>
        <w:t>określono zatem</w:t>
      </w:r>
      <w:r w:rsidR="002F4CFB" w:rsidRPr="002F4CFB">
        <w:rPr>
          <w:rFonts w:ascii="Times New Roman" w:hAnsi="Times New Roman"/>
          <w:sz w:val="24"/>
          <w:szCs w:val="24"/>
        </w:rPr>
        <w:t xml:space="preserve"> wymów zachowania odpowiedniego podpisu, co do dokonywania niektórych czynności dot</w:t>
      </w:r>
      <w:r w:rsidR="002F4CFB">
        <w:rPr>
          <w:rFonts w:ascii="Times New Roman" w:hAnsi="Times New Roman"/>
          <w:sz w:val="24"/>
          <w:szCs w:val="24"/>
        </w:rPr>
        <w:t>yczących procedury odwoławczej.</w:t>
      </w:r>
      <w:r w:rsidR="006C4957">
        <w:rPr>
          <w:rFonts w:ascii="Times New Roman" w:hAnsi="Times New Roman"/>
          <w:sz w:val="24"/>
          <w:szCs w:val="24"/>
        </w:rPr>
        <w:t xml:space="preserve"> </w:t>
      </w:r>
      <w:r w:rsidR="002F4CFB" w:rsidRPr="002F4CFB">
        <w:rPr>
          <w:rFonts w:ascii="Times New Roman" w:hAnsi="Times New Roman"/>
          <w:sz w:val="24"/>
          <w:szCs w:val="24"/>
        </w:rPr>
        <w:t>Dodatkowo w art. 56 ust. 7 został wprowadzony pkt 4 , zgodnie z którym właściwa instytucja wskazuje formę w jakiej składany jest protest</w:t>
      </w:r>
      <w:r w:rsidR="002F4CFB">
        <w:rPr>
          <w:rFonts w:ascii="Times New Roman" w:hAnsi="Times New Roman"/>
          <w:sz w:val="24"/>
          <w:szCs w:val="24"/>
        </w:rPr>
        <w:t>.</w:t>
      </w:r>
    </w:p>
    <w:p w14:paraId="253358B6"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b/>
          <w:sz w:val="24"/>
          <w:szCs w:val="24"/>
        </w:rPr>
        <w:t xml:space="preserve">Art. </w:t>
      </w:r>
      <w:r w:rsidR="00060C63" w:rsidRPr="0040535D">
        <w:rPr>
          <w:rFonts w:ascii="Times New Roman" w:hAnsi="Times New Roman"/>
          <w:b/>
          <w:sz w:val="24"/>
          <w:szCs w:val="24"/>
        </w:rPr>
        <w:t>7</w:t>
      </w:r>
      <w:r w:rsidR="00CA0F53" w:rsidRPr="0040535D">
        <w:rPr>
          <w:rFonts w:ascii="Times New Roman" w:hAnsi="Times New Roman"/>
          <w:b/>
          <w:sz w:val="24"/>
          <w:szCs w:val="24"/>
        </w:rPr>
        <w:t>3</w:t>
      </w:r>
      <w:r w:rsidR="00060C63" w:rsidRPr="0040535D">
        <w:rPr>
          <w:rFonts w:ascii="Times New Roman" w:hAnsi="Times New Roman"/>
          <w:b/>
          <w:sz w:val="24"/>
          <w:szCs w:val="24"/>
        </w:rPr>
        <w:t xml:space="preserve"> </w:t>
      </w:r>
      <w:r w:rsidR="00CA0F53" w:rsidRPr="0040535D">
        <w:rPr>
          <w:rFonts w:ascii="Times New Roman" w:hAnsi="Times New Roman"/>
          <w:b/>
          <w:sz w:val="24"/>
          <w:szCs w:val="24"/>
        </w:rPr>
        <w:t>–</w:t>
      </w:r>
      <w:r w:rsidRPr="0040535D">
        <w:rPr>
          <w:rFonts w:ascii="Times New Roman" w:hAnsi="Times New Roman"/>
          <w:b/>
          <w:sz w:val="24"/>
          <w:szCs w:val="24"/>
        </w:rPr>
        <w:t xml:space="preserve"> </w:t>
      </w:r>
      <w:r w:rsidR="007549CD" w:rsidRPr="0040535D">
        <w:rPr>
          <w:rFonts w:ascii="Times New Roman" w:hAnsi="Times New Roman"/>
          <w:b/>
          <w:sz w:val="24"/>
          <w:szCs w:val="24"/>
        </w:rPr>
        <w:t xml:space="preserve">art. </w:t>
      </w:r>
      <w:r w:rsidR="00C778B8" w:rsidRPr="0040535D">
        <w:rPr>
          <w:rFonts w:ascii="Times New Roman" w:hAnsi="Times New Roman"/>
          <w:b/>
          <w:sz w:val="24"/>
          <w:szCs w:val="24"/>
        </w:rPr>
        <w:t>7</w:t>
      </w:r>
      <w:r w:rsidR="00CA0F53" w:rsidRPr="0040535D">
        <w:rPr>
          <w:rFonts w:ascii="Times New Roman" w:hAnsi="Times New Roman"/>
          <w:b/>
          <w:sz w:val="24"/>
          <w:szCs w:val="24"/>
        </w:rPr>
        <w:t>7</w:t>
      </w:r>
      <w:r w:rsidR="00CA0F53" w:rsidRPr="0040535D">
        <w:rPr>
          <w:rFonts w:ascii="Times New Roman" w:hAnsi="Times New Roman"/>
          <w:sz w:val="24"/>
          <w:szCs w:val="24"/>
        </w:rPr>
        <w:t xml:space="preserve"> </w:t>
      </w:r>
      <w:r w:rsidRPr="0040535D">
        <w:rPr>
          <w:rFonts w:ascii="Times New Roman" w:hAnsi="Times New Roman"/>
          <w:sz w:val="24"/>
          <w:szCs w:val="24"/>
        </w:rPr>
        <w:t xml:space="preserve">regulują kwestie związane z sądowym etapem procedury odwoławczej. Również w tym zakresie co do zasady powtarzane są sprawdzone rozwiązania funkcjonujące w ramach ustawy </w:t>
      </w:r>
      <w:r w:rsidR="00027C6A" w:rsidRPr="0040535D">
        <w:rPr>
          <w:rFonts w:ascii="Times New Roman" w:hAnsi="Times New Roman"/>
          <w:sz w:val="24"/>
          <w:szCs w:val="24"/>
        </w:rPr>
        <w:t xml:space="preserve">wdrożeniowej </w:t>
      </w:r>
      <w:r w:rsidRPr="0040535D">
        <w:rPr>
          <w:rFonts w:ascii="Times New Roman" w:hAnsi="Times New Roman"/>
          <w:sz w:val="24"/>
          <w:szCs w:val="24"/>
        </w:rPr>
        <w:t>2014-2020</w:t>
      </w:r>
      <w:r w:rsidR="00456BE3" w:rsidRPr="0040535D">
        <w:rPr>
          <w:rFonts w:ascii="Times New Roman" w:hAnsi="Times New Roman"/>
          <w:sz w:val="24"/>
          <w:szCs w:val="24"/>
        </w:rPr>
        <w:t>, z pewnym jednak doprecyzowaniem przepisów. Dookreślono m.in.</w:t>
      </w:r>
      <w:r w:rsidRPr="0040535D">
        <w:rPr>
          <w:rFonts w:ascii="Times New Roman" w:hAnsi="Times New Roman"/>
          <w:sz w:val="24"/>
          <w:szCs w:val="24"/>
        </w:rPr>
        <w:t xml:space="preserve">, że </w:t>
      </w:r>
      <w:r w:rsidR="00171BAD" w:rsidRPr="0040535D">
        <w:rPr>
          <w:rFonts w:ascii="Times New Roman" w:hAnsi="Times New Roman"/>
          <w:sz w:val="24"/>
          <w:szCs w:val="24"/>
        </w:rPr>
        <w:t>w przypadku uwzględnienia skargi i stwierdzenia, że</w:t>
      </w:r>
      <w:r w:rsidR="00165D2C" w:rsidRPr="0040535D">
        <w:rPr>
          <w:rFonts w:ascii="Times New Roman" w:hAnsi="Times New Roman"/>
          <w:sz w:val="24"/>
          <w:szCs w:val="24"/>
        </w:rPr>
        <w:t xml:space="preserve"> </w:t>
      </w:r>
      <w:r w:rsidRPr="0040535D">
        <w:rPr>
          <w:rFonts w:ascii="Times New Roman" w:hAnsi="Times New Roman"/>
          <w:sz w:val="24"/>
          <w:szCs w:val="24"/>
        </w:rPr>
        <w:t xml:space="preserve">ocena projektu została przeprowadzona w sposób naruszający prawo i naruszenie to miało istotny wpływ na wynik oceny (art. </w:t>
      </w:r>
      <w:r w:rsidR="00060C63" w:rsidRPr="0040535D">
        <w:rPr>
          <w:rFonts w:ascii="Times New Roman" w:hAnsi="Times New Roman"/>
          <w:sz w:val="24"/>
          <w:szCs w:val="24"/>
        </w:rPr>
        <w:t>7</w:t>
      </w:r>
      <w:r w:rsidR="00CA0F53" w:rsidRPr="0040535D">
        <w:rPr>
          <w:rFonts w:ascii="Times New Roman" w:hAnsi="Times New Roman"/>
          <w:sz w:val="24"/>
          <w:szCs w:val="24"/>
        </w:rPr>
        <w:t>3</w:t>
      </w:r>
      <w:r w:rsidR="00060C63" w:rsidRPr="0040535D">
        <w:rPr>
          <w:rFonts w:ascii="Times New Roman" w:hAnsi="Times New Roman"/>
          <w:sz w:val="24"/>
          <w:szCs w:val="24"/>
        </w:rPr>
        <w:t xml:space="preserve"> </w:t>
      </w:r>
      <w:r w:rsidRPr="0040535D">
        <w:rPr>
          <w:rFonts w:ascii="Times New Roman" w:hAnsi="Times New Roman"/>
          <w:sz w:val="24"/>
          <w:szCs w:val="24"/>
        </w:rPr>
        <w:t>ust. 8 pkt 1 lit. a projektu ustawy), sąd przekaże sprawę właściwej instytucji</w:t>
      </w:r>
      <w:r w:rsidR="00D62E5E" w:rsidRPr="0040535D">
        <w:rPr>
          <w:rFonts w:ascii="Times New Roman" w:hAnsi="Times New Roman"/>
          <w:sz w:val="24"/>
          <w:szCs w:val="24"/>
        </w:rPr>
        <w:t xml:space="preserve"> </w:t>
      </w:r>
      <w:r w:rsidRPr="0040535D">
        <w:rPr>
          <w:rFonts w:ascii="Times New Roman" w:hAnsi="Times New Roman"/>
          <w:sz w:val="24"/>
          <w:szCs w:val="24"/>
        </w:rPr>
        <w:t xml:space="preserve">w celu </w:t>
      </w:r>
      <w:r w:rsidR="00456BE3" w:rsidRPr="0040535D">
        <w:rPr>
          <w:rFonts w:ascii="Times New Roman" w:hAnsi="Times New Roman"/>
          <w:sz w:val="24"/>
          <w:szCs w:val="24"/>
        </w:rPr>
        <w:t>ponownego rozpatrzenia podjętego przez nią rozstrzygnięcia w przedm</w:t>
      </w:r>
      <w:r w:rsidR="00D62E5E" w:rsidRPr="0040535D">
        <w:rPr>
          <w:rFonts w:ascii="Times New Roman" w:hAnsi="Times New Roman"/>
          <w:sz w:val="24"/>
          <w:szCs w:val="24"/>
        </w:rPr>
        <w:t>iocie nieuwzględnienia protestu</w:t>
      </w:r>
      <w:r w:rsidR="00171BAD" w:rsidRPr="0040535D">
        <w:rPr>
          <w:rFonts w:ascii="Times New Roman" w:hAnsi="Times New Roman"/>
          <w:sz w:val="24"/>
          <w:szCs w:val="24"/>
        </w:rPr>
        <w:t xml:space="preserve">, o którym mowa w art. </w:t>
      </w:r>
      <w:r w:rsidR="00622D50" w:rsidRPr="0040535D">
        <w:rPr>
          <w:rFonts w:ascii="Times New Roman" w:hAnsi="Times New Roman"/>
          <w:sz w:val="24"/>
          <w:szCs w:val="24"/>
        </w:rPr>
        <w:t>69</w:t>
      </w:r>
      <w:r w:rsidR="00AA3079" w:rsidRPr="0040535D">
        <w:rPr>
          <w:rFonts w:ascii="Times New Roman" w:hAnsi="Times New Roman"/>
          <w:sz w:val="24"/>
          <w:szCs w:val="24"/>
        </w:rPr>
        <w:t xml:space="preserve"> </w:t>
      </w:r>
      <w:r w:rsidR="00171BAD" w:rsidRPr="0040535D">
        <w:rPr>
          <w:rFonts w:ascii="Times New Roman" w:hAnsi="Times New Roman"/>
          <w:sz w:val="24"/>
          <w:szCs w:val="24"/>
        </w:rPr>
        <w:t xml:space="preserve">ust. 1 pkt 2 albo w przedmiocie negatywnej ponownej oceny, o której mowa w art. </w:t>
      </w:r>
      <w:r w:rsidR="00CA0F53" w:rsidRPr="0040535D">
        <w:rPr>
          <w:rFonts w:ascii="Times New Roman" w:hAnsi="Times New Roman"/>
          <w:sz w:val="24"/>
          <w:szCs w:val="24"/>
        </w:rPr>
        <w:t>69</w:t>
      </w:r>
      <w:r w:rsidR="00060C63" w:rsidRPr="0040535D">
        <w:rPr>
          <w:rFonts w:ascii="Times New Roman" w:hAnsi="Times New Roman"/>
          <w:sz w:val="24"/>
          <w:szCs w:val="24"/>
        </w:rPr>
        <w:t xml:space="preserve"> </w:t>
      </w:r>
      <w:r w:rsidR="00171BAD" w:rsidRPr="0040535D">
        <w:rPr>
          <w:rFonts w:ascii="Times New Roman" w:hAnsi="Times New Roman"/>
          <w:sz w:val="24"/>
          <w:szCs w:val="24"/>
        </w:rPr>
        <w:t>ust. 4 pkt 2.</w:t>
      </w:r>
      <w:r w:rsidRPr="0040535D">
        <w:rPr>
          <w:rFonts w:ascii="Times New Roman" w:hAnsi="Times New Roman"/>
          <w:sz w:val="24"/>
          <w:szCs w:val="24"/>
        </w:rPr>
        <w:t xml:space="preserve"> Zgodnie z aktualnie obowiązującymi przepisami (art. </w:t>
      </w:r>
      <w:r w:rsidR="00F27BF1" w:rsidRPr="0040535D">
        <w:rPr>
          <w:rFonts w:ascii="Times New Roman" w:hAnsi="Times New Roman"/>
          <w:sz w:val="24"/>
          <w:szCs w:val="24"/>
        </w:rPr>
        <w:t>61</w:t>
      </w:r>
      <w:r w:rsidR="00060C63" w:rsidRPr="0040535D">
        <w:rPr>
          <w:rFonts w:ascii="Times New Roman" w:hAnsi="Times New Roman"/>
          <w:sz w:val="24"/>
          <w:szCs w:val="24"/>
        </w:rPr>
        <w:t xml:space="preserve"> </w:t>
      </w:r>
      <w:r w:rsidRPr="0040535D">
        <w:rPr>
          <w:rFonts w:ascii="Times New Roman" w:hAnsi="Times New Roman"/>
          <w:sz w:val="24"/>
          <w:szCs w:val="24"/>
        </w:rPr>
        <w:t xml:space="preserve">ust. 8 pkt 1 lit. a ustawy </w:t>
      </w:r>
      <w:r w:rsidR="00027C6A" w:rsidRPr="0040535D">
        <w:rPr>
          <w:rFonts w:ascii="Times New Roman" w:hAnsi="Times New Roman"/>
          <w:sz w:val="24"/>
          <w:szCs w:val="24"/>
        </w:rPr>
        <w:t xml:space="preserve">wdrożeniowej </w:t>
      </w:r>
      <w:r w:rsidRPr="0040535D">
        <w:rPr>
          <w:rFonts w:ascii="Times New Roman" w:hAnsi="Times New Roman"/>
          <w:sz w:val="24"/>
          <w:szCs w:val="24"/>
        </w:rPr>
        <w:t>2014-2020) sąd w takim przypadku zobligowany jest ustawowo do przekazania sprawy właściwej instytucji, która dokonywała naboru projektów, w celu jej ponownego rozpatrzenia przez tę instytucję. Rozwiązanie takie niejednokrotnie nastręczało trudności z ustaleniem, czego konkretnie miało dotyczyć ww. ponowne rozpatrzenie, w dodatku przez instytucję, która w świetle ustawy nie zawsze jest odpowiedzialna za rozstrzygnięcie będące przedmiotem kontroli sądowej.</w:t>
      </w:r>
      <w:r w:rsidR="00171BAD" w:rsidRPr="0040535D">
        <w:rPr>
          <w:rFonts w:ascii="Times New Roman" w:hAnsi="Times New Roman"/>
          <w:sz w:val="24"/>
          <w:szCs w:val="24"/>
        </w:rPr>
        <w:t xml:space="preserve"> Analogicznej zmiany dokonano w art. </w:t>
      </w:r>
      <w:r w:rsidR="00060C63" w:rsidRPr="0040535D">
        <w:rPr>
          <w:rFonts w:ascii="Times New Roman" w:hAnsi="Times New Roman"/>
          <w:sz w:val="24"/>
          <w:szCs w:val="24"/>
        </w:rPr>
        <w:t>7</w:t>
      </w:r>
      <w:r w:rsidR="00CA0F53" w:rsidRPr="0040535D">
        <w:rPr>
          <w:rFonts w:ascii="Times New Roman" w:hAnsi="Times New Roman"/>
          <w:sz w:val="24"/>
          <w:szCs w:val="24"/>
        </w:rPr>
        <w:t>3</w:t>
      </w:r>
      <w:r w:rsidR="00060C63" w:rsidRPr="0040535D">
        <w:rPr>
          <w:rFonts w:ascii="Times New Roman" w:hAnsi="Times New Roman"/>
          <w:sz w:val="24"/>
          <w:szCs w:val="24"/>
        </w:rPr>
        <w:t xml:space="preserve"> </w:t>
      </w:r>
      <w:r w:rsidR="00171BAD" w:rsidRPr="0040535D">
        <w:rPr>
          <w:rFonts w:ascii="Times New Roman" w:hAnsi="Times New Roman"/>
          <w:sz w:val="24"/>
          <w:szCs w:val="24"/>
        </w:rPr>
        <w:t>ust. 8 pkt 1 lit. b projektu, doprecyzowując, że protest „wraca” po rozstrzygnięciu sądowym do instytucji, która pozostawił go bez rozpatrzenia, w celu ponownej weryfikacji tego właśnie rozstrzygnięcia.</w:t>
      </w:r>
    </w:p>
    <w:p w14:paraId="3DDF0513" w14:textId="77777777" w:rsidR="00391BC8" w:rsidRPr="0040535D" w:rsidRDefault="00456BE3" w:rsidP="00391BC8">
      <w:pPr>
        <w:pStyle w:val="USTustnpkodeksu"/>
        <w:ind w:firstLine="0"/>
        <w:rPr>
          <w:rFonts w:ascii="Times New Roman" w:hAnsi="Times New Roman" w:cs="Times New Roman"/>
          <w:szCs w:val="24"/>
        </w:rPr>
      </w:pPr>
      <w:r w:rsidRPr="0040535D">
        <w:rPr>
          <w:rFonts w:ascii="Times New Roman" w:hAnsi="Times New Roman" w:cs="Times New Roman"/>
          <w:szCs w:val="24"/>
        </w:rPr>
        <w:t xml:space="preserve">Wprowadzono również, w wyniku uwzględnienia uwag zgłoszonych w ramach nieformalnych konsultacji zewnętrznych projektu, przepis ust. 4 w art. </w:t>
      </w:r>
      <w:r w:rsidR="00060C63" w:rsidRPr="0040535D">
        <w:rPr>
          <w:rFonts w:ascii="Times New Roman" w:hAnsi="Times New Roman" w:cs="Times New Roman"/>
          <w:szCs w:val="24"/>
        </w:rPr>
        <w:t>7</w:t>
      </w:r>
      <w:r w:rsidR="00CA0F53" w:rsidRPr="0040535D">
        <w:rPr>
          <w:rFonts w:ascii="Times New Roman" w:hAnsi="Times New Roman" w:cs="Times New Roman"/>
          <w:szCs w:val="24"/>
        </w:rPr>
        <w:t>3</w:t>
      </w:r>
      <w:r w:rsidRPr="0040535D">
        <w:rPr>
          <w:rFonts w:ascii="Times New Roman" w:hAnsi="Times New Roman" w:cs="Times New Roman"/>
          <w:szCs w:val="24"/>
        </w:rPr>
        <w:t>, zgodnie z którym kompletna dokumentacja, którą wnioskodawca jest zobowiązany załączyć do skargi, jest wnoszona przez wnioskodawcę w oryginale</w:t>
      </w:r>
      <w:r w:rsidR="009835CF">
        <w:rPr>
          <w:rFonts w:ascii="Times New Roman" w:hAnsi="Times New Roman" w:cs="Times New Roman"/>
          <w:szCs w:val="24"/>
        </w:rPr>
        <w:t xml:space="preserve"> lub</w:t>
      </w:r>
      <w:r w:rsidRPr="0040535D">
        <w:rPr>
          <w:rFonts w:ascii="Times New Roman" w:hAnsi="Times New Roman" w:cs="Times New Roman"/>
          <w:szCs w:val="24"/>
        </w:rPr>
        <w:t xml:space="preserve"> w postaci uwierzytelnionej kopii. Stanowi to </w:t>
      </w:r>
      <w:proofErr w:type="spellStart"/>
      <w:r w:rsidRPr="0040535D">
        <w:rPr>
          <w:rFonts w:ascii="Times New Roman" w:hAnsi="Times New Roman" w:cs="Times New Roman"/>
          <w:szCs w:val="24"/>
        </w:rPr>
        <w:t>uspójnienie</w:t>
      </w:r>
      <w:proofErr w:type="spellEnd"/>
      <w:r w:rsidRPr="0040535D">
        <w:rPr>
          <w:rFonts w:ascii="Times New Roman" w:hAnsi="Times New Roman" w:cs="Times New Roman"/>
          <w:szCs w:val="24"/>
        </w:rPr>
        <w:t xml:space="preserve"> z pozostałymi przepisami projektu, w szczególności w zakresie wyboru projektów, uwzględniających informaty</w:t>
      </w:r>
      <w:r w:rsidR="00AF6974" w:rsidRPr="0040535D">
        <w:rPr>
          <w:rFonts w:ascii="Times New Roman" w:hAnsi="Times New Roman" w:cs="Times New Roman"/>
          <w:szCs w:val="24"/>
        </w:rPr>
        <w:t>zację tych procesów i procedur.</w:t>
      </w:r>
      <w:r w:rsidR="00391BC8" w:rsidRPr="0040535D">
        <w:rPr>
          <w:rFonts w:ascii="Times New Roman" w:hAnsi="Times New Roman" w:cs="Times New Roman"/>
          <w:szCs w:val="24"/>
        </w:rPr>
        <w:t xml:space="preserve"> Ponadto w miejsce obecnych przepisów o  pozostaniu </w:t>
      </w:r>
      <w:r w:rsidR="007F1B32" w:rsidRPr="0040535D">
        <w:rPr>
          <w:rFonts w:ascii="Times New Roman" w:hAnsi="Times New Roman" w:cs="Times New Roman"/>
          <w:szCs w:val="24"/>
        </w:rPr>
        <w:t xml:space="preserve">skargi </w:t>
      </w:r>
      <w:r w:rsidR="00391BC8" w:rsidRPr="0040535D">
        <w:rPr>
          <w:rFonts w:ascii="Times New Roman" w:hAnsi="Times New Roman" w:cs="Times New Roman"/>
          <w:szCs w:val="24"/>
        </w:rPr>
        <w:t xml:space="preserve"> bez rozpatrzenia, w ust. 6 i 7 projektu ustawy określone zostały przesłanki </w:t>
      </w:r>
      <w:r w:rsidR="007F1B32" w:rsidRPr="0040535D">
        <w:rPr>
          <w:rFonts w:ascii="Times New Roman" w:hAnsi="Times New Roman" w:cs="Times New Roman"/>
          <w:szCs w:val="24"/>
        </w:rPr>
        <w:t xml:space="preserve">jej </w:t>
      </w:r>
      <w:r w:rsidR="00391BC8" w:rsidRPr="0040535D">
        <w:rPr>
          <w:rFonts w:ascii="Times New Roman" w:hAnsi="Times New Roman" w:cs="Times New Roman"/>
          <w:szCs w:val="24"/>
        </w:rPr>
        <w:t>odrzucenia.</w:t>
      </w:r>
    </w:p>
    <w:p w14:paraId="2FD28444" w14:textId="77777777" w:rsidR="00391BC8" w:rsidRPr="0040535D" w:rsidRDefault="00391BC8" w:rsidP="009A0EE5">
      <w:pPr>
        <w:spacing w:after="0" w:line="360" w:lineRule="auto"/>
        <w:jc w:val="both"/>
        <w:rPr>
          <w:rFonts w:ascii="Times New Roman" w:hAnsi="Times New Roman"/>
          <w:sz w:val="24"/>
          <w:szCs w:val="24"/>
        </w:rPr>
      </w:pPr>
    </w:p>
    <w:p w14:paraId="3A2900CA" w14:textId="77777777" w:rsidR="00456BE3"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Nowością, w odniesieniu do aktualnie obowiązujących przepisów z zakresu procedury odwoławczej jest wprowadzenie w </w:t>
      </w:r>
      <w:r w:rsidRPr="0040535D">
        <w:rPr>
          <w:rFonts w:ascii="Times New Roman" w:hAnsi="Times New Roman"/>
          <w:b/>
          <w:sz w:val="24"/>
          <w:szCs w:val="24"/>
        </w:rPr>
        <w:t xml:space="preserve">art. </w:t>
      </w:r>
      <w:r w:rsidR="008331F3" w:rsidRPr="005D04C1">
        <w:rPr>
          <w:rFonts w:ascii="Times New Roman" w:hAnsi="Times New Roman"/>
          <w:b/>
          <w:sz w:val="24"/>
          <w:szCs w:val="24"/>
        </w:rPr>
        <w:t>7</w:t>
      </w:r>
      <w:r w:rsidR="00CA0F53" w:rsidRPr="006A65C7">
        <w:rPr>
          <w:rFonts w:ascii="Times New Roman" w:hAnsi="Times New Roman"/>
          <w:b/>
          <w:sz w:val="24"/>
          <w:szCs w:val="24"/>
        </w:rPr>
        <w:t>7</w:t>
      </w:r>
      <w:r w:rsidR="008331F3" w:rsidRPr="005D04C1">
        <w:rPr>
          <w:rFonts w:ascii="Times New Roman" w:hAnsi="Times New Roman"/>
          <w:sz w:val="24"/>
          <w:szCs w:val="24"/>
        </w:rPr>
        <w:t xml:space="preserve"> </w:t>
      </w:r>
      <w:r w:rsidRPr="005D04C1">
        <w:rPr>
          <w:rFonts w:ascii="Times New Roman" w:hAnsi="Times New Roman"/>
          <w:sz w:val="24"/>
          <w:szCs w:val="24"/>
        </w:rPr>
        <w:t xml:space="preserve">ust. 3 projektu ustawy definicji tzw. wyczerpania </w:t>
      </w:r>
      <w:r w:rsidRPr="005D04C1">
        <w:rPr>
          <w:rFonts w:ascii="Times New Roman" w:hAnsi="Times New Roman"/>
          <w:sz w:val="24"/>
          <w:szCs w:val="24"/>
        </w:rPr>
        <w:lastRenderedPageBreak/>
        <w:t>alokacji, tj. wyczerpania kwoty przeznaczonej na dofinansowanie</w:t>
      </w:r>
      <w:r w:rsidRPr="0040535D">
        <w:rPr>
          <w:rFonts w:ascii="Times New Roman" w:hAnsi="Times New Roman"/>
          <w:sz w:val="24"/>
          <w:szCs w:val="24"/>
        </w:rPr>
        <w:t xml:space="preserve"> projektów w ramach działania </w:t>
      </w:r>
      <w:r w:rsidR="00AD0CED" w:rsidRPr="0040535D">
        <w:rPr>
          <w:rFonts w:ascii="Times New Roman" w:hAnsi="Times New Roman"/>
          <w:sz w:val="24"/>
          <w:szCs w:val="24"/>
        </w:rPr>
        <w:t xml:space="preserve">albo </w:t>
      </w:r>
      <w:r w:rsidRPr="0040535D">
        <w:rPr>
          <w:rFonts w:ascii="Times New Roman" w:hAnsi="Times New Roman"/>
          <w:sz w:val="24"/>
          <w:szCs w:val="24"/>
        </w:rPr>
        <w:t>kategorii regionu</w:t>
      </w:r>
      <w:r w:rsidR="002518D1" w:rsidRPr="0040535D">
        <w:rPr>
          <w:rFonts w:ascii="Times New Roman" w:hAnsi="Times New Roman"/>
          <w:sz w:val="24"/>
          <w:szCs w:val="24"/>
        </w:rPr>
        <w:t>, jeżeli w ramach działania kwota przeznaczona na dofinansowanie projektów jest podzielona na kategorie regionów</w:t>
      </w:r>
      <w:r w:rsidRPr="0040535D">
        <w:rPr>
          <w:rFonts w:ascii="Times New Roman" w:hAnsi="Times New Roman"/>
          <w:sz w:val="24"/>
          <w:szCs w:val="24"/>
        </w:rPr>
        <w:t>. Wobec licznych wątpliwości w tym zakresie skutkujących koniecznością wielokrotnego zajmowania stanowiska przez ministra właściwego do spraw rozwoju regionalnego, jak również w związku z pojawiającymi się orzeczeniami sądów administracyjnych, dotyczącymi tej kwestii, rozstrzygającymi ją w sposób sprzeczny z założeniami wdrażania środków unijnych, zdecydowano o rozstrzygnięciu ww. wątpliwości i uregulowaniu tej kwestii wprost w ustawie. Zgodnie z przyjętą definicją przez wyczerpanie ww. kwoty należy rozumieć</w:t>
      </w:r>
      <w:r w:rsidR="0053682C">
        <w:rPr>
          <w:rFonts w:ascii="Times New Roman" w:hAnsi="Times New Roman"/>
          <w:sz w:val="24"/>
          <w:szCs w:val="24"/>
        </w:rPr>
        <w:t xml:space="preserve"> przede wszystkim</w:t>
      </w:r>
      <w:r w:rsidRPr="0040535D">
        <w:rPr>
          <w:rFonts w:ascii="Times New Roman" w:hAnsi="Times New Roman"/>
          <w:sz w:val="24"/>
          <w:szCs w:val="24"/>
        </w:rPr>
        <w:t xml:space="preserve"> sytuację, w której środki przeznaczone na dofinansowanie projektów zostały rozdysponowane zarówno na projekty objęte dofinansowaniem (czyli takie, które </w:t>
      </w:r>
      <w:r w:rsidR="0053682C" w:rsidRPr="0053682C">
        <w:rPr>
          <w:rFonts w:ascii="Times New Roman" w:hAnsi="Times New Roman"/>
          <w:sz w:val="24"/>
          <w:szCs w:val="24"/>
        </w:rPr>
        <w:t xml:space="preserve">w świetle art. 61 ust. 1 </w:t>
      </w:r>
      <w:r w:rsidRPr="0040535D">
        <w:rPr>
          <w:rFonts w:ascii="Times New Roman" w:hAnsi="Times New Roman"/>
          <w:sz w:val="24"/>
          <w:szCs w:val="24"/>
        </w:rPr>
        <w:t>najpierw zostały wybrane do dofinansowania, a następnie z ich wnioskodawcami podpisane zostały umowy o dofinansowanie</w:t>
      </w:r>
      <w:r w:rsidR="0034745B" w:rsidRPr="0034745B">
        <w:t xml:space="preserve"> </w:t>
      </w:r>
      <w:r w:rsidR="0034745B" w:rsidRPr="0034745B">
        <w:rPr>
          <w:rFonts w:ascii="Times New Roman" w:hAnsi="Times New Roman"/>
          <w:sz w:val="24"/>
          <w:szCs w:val="24"/>
        </w:rPr>
        <w:t>projektu albo podjęte zostały decyzje o dofinansowaniu projektu</w:t>
      </w:r>
      <w:r w:rsidRPr="0040535D">
        <w:rPr>
          <w:rFonts w:ascii="Times New Roman" w:hAnsi="Times New Roman"/>
          <w:sz w:val="24"/>
          <w:szCs w:val="24"/>
        </w:rPr>
        <w:t>)</w:t>
      </w:r>
      <w:r w:rsidR="0053682C">
        <w:rPr>
          <w:rFonts w:ascii="Times New Roman" w:hAnsi="Times New Roman"/>
          <w:sz w:val="24"/>
          <w:szCs w:val="24"/>
        </w:rPr>
        <w:t xml:space="preserve">. </w:t>
      </w:r>
      <w:r w:rsidR="0053682C" w:rsidRPr="0053682C">
        <w:rPr>
          <w:rFonts w:ascii="Times New Roman" w:hAnsi="Times New Roman"/>
          <w:sz w:val="24"/>
          <w:szCs w:val="24"/>
        </w:rPr>
        <w:t>Jednocześnie zdecydowano, że sytuacją prowadzącą do wyczerpania alokacji będzie również samo rozdysponowanie środków przeznaczonych na dofinansowanie</w:t>
      </w:r>
      <w:r w:rsidRPr="0040535D">
        <w:rPr>
          <w:rFonts w:ascii="Times New Roman" w:hAnsi="Times New Roman"/>
          <w:sz w:val="24"/>
          <w:szCs w:val="24"/>
        </w:rPr>
        <w:t xml:space="preserve"> na projekty, które zostały wybrane do dofinansowania w ramach przeprowadzonego naboru</w:t>
      </w:r>
      <w:r w:rsidR="0053682C">
        <w:rPr>
          <w:rFonts w:ascii="Times New Roman" w:hAnsi="Times New Roman"/>
          <w:sz w:val="24"/>
          <w:szCs w:val="24"/>
        </w:rPr>
        <w:t xml:space="preserve"> </w:t>
      </w:r>
      <w:r w:rsidR="0053682C" w:rsidRPr="0053682C">
        <w:rPr>
          <w:rFonts w:ascii="Times New Roman" w:hAnsi="Times New Roman"/>
          <w:sz w:val="24"/>
          <w:szCs w:val="24"/>
        </w:rPr>
        <w:t>(art. 43 w związku z art. 56 ust. 3)</w:t>
      </w:r>
      <w:r w:rsidRPr="0040535D">
        <w:rPr>
          <w:rFonts w:ascii="Times New Roman" w:hAnsi="Times New Roman"/>
          <w:sz w:val="24"/>
          <w:szCs w:val="24"/>
        </w:rPr>
        <w:t xml:space="preserve">, </w:t>
      </w:r>
      <w:r w:rsidR="0053682C" w:rsidRPr="0053682C">
        <w:rPr>
          <w:rFonts w:ascii="Times New Roman" w:hAnsi="Times New Roman"/>
          <w:sz w:val="24"/>
          <w:szCs w:val="24"/>
        </w:rPr>
        <w:t xml:space="preserve">mimo że z ich </w:t>
      </w:r>
      <w:r w:rsidRPr="0040535D">
        <w:rPr>
          <w:rFonts w:ascii="Times New Roman" w:hAnsi="Times New Roman"/>
          <w:sz w:val="24"/>
          <w:szCs w:val="24"/>
        </w:rPr>
        <w:t xml:space="preserve">wnioskodawcami </w:t>
      </w:r>
      <w:r w:rsidR="0053682C" w:rsidRPr="0053682C">
        <w:rPr>
          <w:rFonts w:ascii="Times New Roman" w:hAnsi="Times New Roman"/>
          <w:sz w:val="24"/>
          <w:szCs w:val="24"/>
        </w:rPr>
        <w:t xml:space="preserve">jeszcze nie podpisano </w:t>
      </w:r>
      <w:r w:rsidRPr="0040535D">
        <w:rPr>
          <w:rFonts w:ascii="Times New Roman" w:hAnsi="Times New Roman"/>
          <w:sz w:val="24"/>
          <w:szCs w:val="24"/>
        </w:rPr>
        <w:t>umów o dofinansowanie</w:t>
      </w:r>
      <w:r w:rsidR="00EE063D" w:rsidRPr="0040535D">
        <w:t xml:space="preserve"> </w:t>
      </w:r>
      <w:r w:rsidR="00EE063D" w:rsidRPr="0040535D">
        <w:rPr>
          <w:rFonts w:ascii="Times New Roman" w:hAnsi="Times New Roman"/>
          <w:sz w:val="24"/>
          <w:szCs w:val="24"/>
        </w:rPr>
        <w:t>projektu</w:t>
      </w:r>
      <w:r w:rsidRPr="0040535D">
        <w:rPr>
          <w:rFonts w:ascii="Times New Roman" w:hAnsi="Times New Roman"/>
          <w:sz w:val="24"/>
          <w:szCs w:val="24"/>
        </w:rPr>
        <w:t xml:space="preserve"> </w:t>
      </w:r>
      <w:r w:rsidR="00BD1BCD" w:rsidRPr="0040535D">
        <w:rPr>
          <w:rFonts w:ascii="Times New Roman" w:hAnsi="Times New Roman"/>
          <w:sz w:val="24"/>
          <w:szCs w:val="24"/>
        </w:rPr>
        <w:t xml:space="preserve">albo nie zostały podjęte </w:t>
      </w:r>
      <w:r w:rsidR="0053682C" w:rsidRPr="0053682C">
        <w:rPr>
          <w:rFonts w:ascii="Times New Roman" w:hAnsi="Times New Roman"/>
          <w:sz w:val="24"/>
          <w:szCs w:val="24"/>
        </w:rPr>
        <w:t xml:space="preserve">w stosunku do nich </w:t>
      </w:r>
      <w:r w:rsidR="00BD1BCD" w:rsidRPr="0040535D">
        <w:rPr>
          <w:rFonts w:ascii="Times New Roman" w:hAnsi="Times New Roman"/>
          <w:sz w:val="24"/>
          <w:szCs w:val="24"/>
        </w:rPr>
        <w:t>decyzje o dofinansowaniu projektu</w:t>
      </w:r>
      <w:r w:rsidR="0053682C">
        <w:rPr>
          <w:rFonts w:ascii="Times New Roman" w:hAnsi="Times New Roman"/>
          <w:sz w:val="24"/>
          <w:szCs w:val="24"/>
        </w:rPr>
        <w:t xml:space="preserve">. </w:t>
      </w:r>
      <w:r w:rsidR="0053682C" w:rsidRPr="0053682C">
        <w:rPr>
          <w:rFonts w:ascii="Times New Roman" w:hAnsi="Times New Roman"/>
          <w:sz w:val="24"/>
          <w:szCs w:val="24"/>
        </w:rPr>
        <w:t xml:space="preserve">W tym drugim przypadku zdecydowano się jednak na zastrzeżenie, że środki „wyczerpywane” przez projekty wybrane do dofinansowania są ponownie „uwalniane”, w sytuacji gdy zmaterializuje się  </w:t>
      </w:r>
      <w:r w:rsidR="00BD1BCD" w:rsidRPr="0040535D">
        <w:rPr>
          <w:rFonts w:ascii="Times New Roman" w:hAnsi="Times New Roman"/>
          <w:sz w:val="24"/>
          <w:szCs w:val="24"/>
        </w:rPr>
        <w:t xml:space="preserve"> przesłanka powodująca niemożność zawarcia umowy o dofinansowanie projektu albo podjęcia decyzji o dofinansowaniu projektu</w:t>
      </w:r>
      <w:r w:rsidR="0053682C" w:rsidRPr="0053682C">
        <w:rPr>
          <w:rFonts w:ascii="Times New Roman" w:hAnsi="Times New Roman"/>
          <w:sz w:val="24"/>
          <w:szCs w:val="24"/>
        </w:rPr>
        <w:t>(art. 61 ust. 3 i 4). Niemniej ponowna dostępność środków na dofinansowanie projektów w działaniu albo kategorii regionu nie będzie znosić rozstrzygnięć podjętych na podstawie art. 77 ust 2, gdyż na podstawie tego przepisu dla jego zastosowania wystarczy wystąpienie wyczerpania alokacji na jakimkolwiek etapie postępowania w zakresie procedury odwoławczej.</w:t>
      </w:r>
      <w:r w:rsidR="00456BE3" w:rsidRPr="0040535D">
        <w:rPr>
          <w:rFonts w:ascii="Times New Roman" w:hAnsi="Times New Roman"/>
          <w:sz w:val="24"/>
          <w:szCs w:val="24"/>
        </w:rPr>
        <w:t xml:space="preserve">. </w:t>
      </w:r>
    </w:p>
    <w:p w14:paraId="5210284A"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 xml:space="preserve">art. </w:t>
      </w:r>
      <w:r w:rsidR="00CA0F53" w:rsidRPr="0040535D">
        <w:rPr>
          <w:rFonts w:ascii="Times New Roman" w:hAnsi="Times New Roman"/>
          <w:b/>
          <w:sz w:val="24"/>
          <w:szCs w:val="24"/>
        </w:rPr>
        <w:t>79</w:t>
      </w:r>
      <w:r w:rsidR="00060C63" w:rsidRPr="0040535D">
        <w:rPr>
          <w:rFonts w:ascii="Times New Roman" w:hAnsi="Times New Roman"/>
          <w:sz w:val="24"/>
          <w:szCs w:val="24"/>
        </w:rPr>
        <w:t xml:space="preserve"> </w:t>
      </w:r>
      <w:r w:rsidRPr="0040535D">
        <w:rPr>
          <w:rFonts w:ascii="Times New Roman" w:hAnsi="Times New Roman"/>
          <w:sz w:val="24"/>
          <w:szCs w:val="24"/>
        </w:rPr>
        <w:t>zawarto przepis, zgodnie z którym przepisów rozdziału 1</w:t>
      </w:r>
      <w:r w:rsidR="00CA0F53" w:rsidRPr="0040535D">
        <w:rPr>
          <w:rFonts w:ascii="Times New Roman" w:hAnsi="Times New Roman"/>
          <w:sz w:val="24"/>
          <w:szCs w:val="24"/>
        </w:rPr>
        <w:t>6</w:t>
      </w:r>
      <w:r w:rsidRPr="0040535D">
        <w:rPr>
          <w:rFonts w:ascii="Times New Roman" w:hAnsi="Times New Roman"/>
          <w:sz w:val="24"/>
          <w:szCs w:val="24"/>
        </w:rPr>
        <w:t xml:space="preserve"> projektu ustawy, a więc procedury odwoławczej, nie stosuje się do programów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w:t>
      </w:r>
    </w:p>
    <w:p w14:paraId="50E66FBB" w14:textId="77777777" w:rsidR="00555DC0" w:rsidRPr="0040535D" w:rsidRDefault="00555DC0" w:rsidP="009A0EE5">
      <w:pPr>
        <w:spacing w:after="0" w:line="360" w:lineRule="auto"/>
        <w:jc w:val="both"/>
        <w:rPr>
          <w:rFonts w:ascii="Times New Roman" w:hAnsi="Times New Roman"/>
          <w:sz w:val="24"/>
          <w:szCs w:val="24"/>
        </w:rPr>
      </w:pPr>
    </w:p>
    <w:p w14:paraId="33593266" w14:textId="77777777" w:rsidR="00555DC0" w:rsidRPr="0040535D" w:rsidRDefault="00555DC0" w:rsidP="009A0EE5">
      <w:pPr>
        <w:spacing w:after="0" w:line="360" w:lineRule="auto"/>
        <w:jc w:val="both"/>
        <w:rPr>
          <w:rFonts w:ascii="Times New Roman" w:hAnsi="Times New Roman"/>
          <w:b/>
          <w:sz w:val="24"/>
          <w:szCs w:val="24"/>
        </w:rPr>
      </w:pPr>
      <w:r w:rsidRPr="0040535D">
        <w:rPr>
          <w:rFonts w:ascii="Times New Roman" w:hAnsi="Times New Roman"/>
          <w:b/>
          <w:sz w:val="24"/>
          <w:szCs w:val="24"/>
        </w:rPr>
        <w:t>Rozdział 1</w:t>
      </w:r>
      <w:r w:rsidR="00CA0F53" w:rsidRPr="0040535D">
        <w:rPr>
          <w:rFonts w:ascii="Times New Roman" w:hAnsi="Times New Roman"/>
          <w:b/>
          <w:sz w:val="24"/>
          <w:szCs w:val="24"/>
        </w:rPr>
        <w:t>7</w:t>
      </w:r>
      <w:r w:rsidRPr="0040535D">
        <w:rPr>
          <w:rFonts w:ascii="Times New Roman" w:hAnsi="Times New Roman"/>
          <w:b/>
          <w:sz w:val="24"/>
          <w:szCs w:val="24"/>
        </w:rPr>
        <w:t>. Eksperci.</w:t>
      </w:r>
    </w:p>
    <w:p w14:paraId="7FEF483F" w14:textId="77777777" w:rsidR="00555DC0" w:rsidRPr="0040535D" w:rsidRDefault="00555DC0" w:rsidP="009A0EE5">
      <w:pPr>
        <w:spacing w:after="0" w:line="360" w:lineRule="auto"/>
        <w:contextualSpacing/>
        <w:jc w:val="both"/>
        <w:rPr>
          <w:rFonts w:ascii="Times New Roman" w:hAnsi="Times New Roman"/>
          <w:sz w:val="24"/>
          <w:szCs w:val="24"/>
        </w:rPr>
      </w:pPr>
      <w:r w:rsidRPr="0040535D">
        <w:rPr>
          <w:rFonts w:ascii="Times New Roman" w:hAnsi="Times New Roman"/>
          <w:sz w:val="24"/>
          <w:szCs w:val="24"/>
        </w:rPr>
        <w:t>Celem przepisów jest wskazanie warunków włączania ekspertów do realizacji zadań</w:t>
      </w:r>
      <w:r w:rsidRPr="0040535D">
        <w:rPr>
          <w:rFonts w:ascii="Times New Roman" w:eastAsia="Times New Roman" w:hAnsi="Times New Roman"/>
          <w:sz w:val="24"/>
          <w:szCs w:val="24"/>
          <w:lang w:eastAsia="pl-PL"/>
        </w:rPr>
        <w:t xml:space="preserve"> właściwej instytucji związanych z wyborem projektów do dofinansowania, procedurą odwoławczą oraz zadań wynikających z umowy o dofinansowanie projektu albo decyzji o dofinansowaniu </w:t>
      </w:r>
      <w:r w:rsidRPr="0040535D">
        <w:rPr>
          <w:rFonts w:ascii="Times New Roman" w:eastAsia="Times New Roman" w:hAnsi="Times New Roman"/>
          <w:sz w:val="24"/>
          <w:szCs w:val="24"/>
          <w:lang w:eastAsia="pl-PL"/>
        </w:rPr>
        <w:lastRenderedPageBreak/>
        <w:t>projektu</w:t>
      </w:r>
      <w:r w:rsidRPr="0040535D">
        <w:rPr>
          <w:rFonts w:ascii="Times New Roman" w:hAnsi="Times New Roman"/>
          <w:sz w:val="24"/>
          <w:szCs w:val="24"/>
        </w:rPr>
        <w:t>. Przepisy zawierają mechanizmy służące zapewnieniu transparentności oraz bezstronności w wykonywaniu zadań przez ekspertów. Ograniczają do minimum wymogi formalne warunkujące angażowanie ekspertów, aby zapewnić jak największą dostępność oferowanego przez nich wsparcia dla instytucji.</w:t>
      </w:r>
    </w:p>
    <w:p w14:paraId="19B386E2" w14:textId="77777777" w:rsidR="00555DC0" w:rsidRPr="0040535D" w:rsidRDefault="00555DC0" w:rsidP="009A0EE5">
      <w:pPr>
        <w:spacing w:after="0" w:line="360" w:lineRule="auto"/>
        <w:contextualSpacing/>
        <w:jc w:val="both"/>
        <w:rPr>
          <w:rFonts w:ascii="Times New Roman" w:eastAsia="Times New Roman" w:hAnsi="Times New Roman"/>
          <w:sz w:val="24"/>
          <w:szCs w:val="24"/>
          <w:lang w:eastAsia="pl-PL"/>
        </w:rPr>
      </w:pPr>
      <w:r w:rsidRPr="0040535D">
        <w:rPr>
          <w:rFonts w:ascii="Times New Roman" w:hAnsi="Times New Roman"/>
          <w:sz w:val="24"/>
          <w:szCs w:val="24"/>
        </w:rPr>
        <w:t>Przepisy regulują warunki korzystania z usług ekspertów.</w:t>
      </w:r>
      <w:r w:rsidRPr="0040535D">
        <w:rPr>
          <w:rFonts w:ascii="Times New Roman" w:eastAsia="Times New Roman" w:hAnsi="Times New Roman"/>
          <w:sz w:val="24"/>
          <w:szCs w:val="24"/>
          <w:lang w:eastAsia="pl-PL"/>
        </w:rPr>
        <w:t xml:space="preserve"> Wyznaczany ekspert musi być zamieszczony w wykazie ekspertów (</w:t>
      </w:r>
      <w:r w:rsidRPr="0040535D">
        <w:rPr>
          <w:rFonts w:ascii="Times New Roman" w:eastAsia="Times New Roman" w:hAnsi="Times New Roman"/>
          <w:b/>
          <w:sz w:val="24"/>
          <w:szCs w:val="24"/>
          <w:lang w:eastAsia="pl-PL"/>
        </w:rPr>
        <w:t xml:space="preserve">art. </w:t>
      </w:r>
      <w:r w:rsidR="00AA3079" w:rsidRPr="0040535D">
        <w:rPr>
          <w:rFonts w:ascii="Times New Roman" w:eastAsia="Times New Roman" w:hAnsi="Times New Roman"/>
          <w:b/>
          <w:sz w:val="24"/>
          <w:szCs w:val="24"/>
          <w:lang w:eastAsia="pl-PL"/>
        </w:rPr>
        <w:t>8</w:t>
      </w:r>
      <w:r w:rsidR="00CA0F53" w:rsidRPr="0040535D">
        <w:rPr>
          <w:rFonts w:ascii="Times New Roman" w:eastAsia="Times New Roman" w:hAnsi="Times New Roman"/>
          <w:b/>
          <w:sz w:val="24"/>
          <w:szCs w:val="24"/>
          <w:lang w:eastAsia="pl-PL"/>
        </w:rPr>
        <w:t>0</w:t>
      </w:r>
      <w:r w:rsidR="00AA3079" w:rsidRPr="0040535D">
        <w:rPr>
          <w:rFonts w:ascii="Times New Roman" w:eastAsia="Times New Roman" w:hAnsi="Times New Roman"/>
          <w:sz w:val="24"/>
          <w:szCs w:val="24"/>
          <w:lang w:eastAsia="pl-PL"/>
        </w:rPr>
        <w:t xml:space="preserve"> </w:t>
      </w:r>
      <w:r w:rsidRPr="0040535D">
        <w:rPr>
          <w:rFonts w:ascii="Times New Roman" w:eastAsia="Times New Roman" w:hAnsi="Times New Roman"/>
          <w:sz w:val="24"/>
          <w:szCs w:val="24"/>
          <w:lang w:eastAsia="pl-PL"/>
        </w:rPr>
        <w:t xml:space="preserve">ust. 3). </w:t>
      </w:r>
      <w:r w:rsidRPr="0040535D">
        <w:rPr>
          <w:rFonts w:ascii="Times New Roman" w:hAnsi="Times New Roman"/>
          <w:sz w:val="24"/>
          <w:szCs w:val="24"/>
        </w:rPr>
        <w:t xml:space="preserve">Przepisy ustawy </w:t>
      </w:r>
      <w:r w:rsidRPr="0040535D">
        <w:rPr>
          <w:rFonts w:ascii="Times New Roman" w:eastAsia="Times New Roman" w:hAnsi="Times New Roman"/>
          <w:sz w:val="24"/>
          <w:szCs w:val="24"/>
          <w:lang w:eastAsia="pl-PL"/>
        </w:rPr>
        <w:t>określają zakres informacji zawartych w wykazie. Zostały one ograniczone do niezbędnego minimum, które pozwala na identyfikację eksperta oraz nawiązanie z nim współpracy nie tylko przez instytucję, która prowadzi wykaz. W celu zapewnienia obowiązku informacyjnego wobec eksperta właściwa instytucja prowadząca wykaz ekspertów została zobowiązana do niezwłocznego informowania eksperta o wpisie do wykazu oraz wykreśleniu z wykazu.</w:t>
      </w:r>
      <w:r w:rsidRPr="0040535D">
        <w:rPr>
          <w:rFonts w:ascii="Times New Roman" w:hAnsi="Times New Roman"/>
          <w:sz w:val="24"/>
          <w:szCs w:val="24"/>
        </w:rPr>
        <w:t xml:space="preserve"> </w:t>
      </w:r>
      <w:r w:rsidRPr="0040535D">
        <w:rPr>
          <w:rFonts w:ascii="Times New Roman" w:eastAsia="Times New Roman" w:hAnsi="Times New Roman"/>
          <w:sz w:val="24"/>
          <w:szCs w:val="24"/>
          <w:lang w:eastAsia="pl-PL"/>
        </w:rPr>
        <w:t xml:space="preserve">Wpis do wykazu poprzedza odebranie stosownego oświadczenia, w celu potwierdzenia spełniania przez eksperta wskazanych wymogów formalnych </w:t>
      </w:r>
      <w:r w:rsidRPr="0040535D">
        <w:rPr>
          <w:rFonts w:ascii="Times New Roman" w:hAnsi="Times New Roman"/>
          <w:sz w:val="24"/>
          <w:szCs w:val="24"/>
        </w:rPr>
        <w:t>oraz w zakresie prawdziwości i zgodności z prawdą dokumentów potwierdzających wymaganą wiedzę, umiejętności, doświadczenie lub uprawnienia w określonej dziedzinie</w:t>
      </w:r>
      <w:r w:rsidRPr="0040535D">
        <w:rPr>
          <w:rFonts w:ascii="Times New Roman" w:eastAsia="Times New Roman" w:hAnsi="Times New Roman"/>
          <w:sz w:val="24"/>
          <w:szCs w:val="24"/>
          <w:lang w:eastAsia="pl-PL"/>
        </w:rPr>
        <w:t xml:space="preserve"> (</w:t>
      </w:r>
      <w:r w:rsidRPr="0040535D">
        <w:rPr>
          <w:rFonts w:ascii="Times New Roman" w:eastAsia="Times New Roman" w:hAnsi="Times New Roman"/>
          <w:b/>
          <w:sz w:val="24"/>
          <w:szCs w:val="24"/>
          <w:lang w:eastAsia="pl-PL"/>
        </w:rPr>
        <w:t>art. 8</w:t>
      </w:r>
      <w:r w:rsidR="00CA0F53" w:rsidRPr="0040535D">
        <w:rPr>
          <w:rFonts w:ascii="Times New Roman" w:eastAsia="Times New Roman" w:hAnsi="Times New Roman"/>
          <w:b/>
          <w:sz w:val="24"/>
          <w:szCs w:val="24"/>
          <w:lang w:eastAsia="pl-PL"/>
        </w:rPr>
        <w:t>1</w:t>
      </w:r>
      <w:r w:rsidRPr="0040535D">
        <w:rPr>
          <w:rFonts w:ascii="Times New Roman" w:eastAsia="Times New Roman" w:hAnsi="Times New Roman"/>
          <w:sz w:val="24"/>
          <w:szCs w:val="24"/>
          <w:lang w:eastAsia="pl-PL"/>
        </w:rPr>
        <w:t xml:space="preserve"> ust. 4). W celu zmniejszenia obciążeń administracyjnych nie są wymagane zaświadczenia w zakresie spełniania wymogów formalnych. Jednocześnie przewidziano, że oświadczenie składane jest pod rygorem odpowiedzialności karnej, co służyć ma zagwarantowaniu jego prawdziwości oraz pozwalać na ewentualne egzekwowanie odpowiedzialności karnej za składanie fałszywych </w:t>
      </w:r>
      <w:r w:rsidR="00745E18" w:rsidRPr="0040535D">
        <w:rPr>
          <w:rFonts w:ascii="Times New Roman" w:eastAsia="Times New Roman" w:hAnsi="Times New Roman"/>
          <w:sz w:val="24"/>
          <w:szCs w:val="24"/>
          <w:lang w:eastAsia="pl-PL"/>
        </w:rPr>
        <w:t xml:space="preserve">oświadczeń </w:t>
      </w:r>
      <w:r w:rsidRPr="0040535D">
        <w:rPr>
          <w:rFonts w:ascii="Times New Roman" w:eastAsia="Times New Roman" w:hAnsi="Times New Roman"/>
          <w:sz w:val="24"/>
          <w:szCs w:val="24"/>
          <w:lang w:eastAsia="pl-PL"/>
        </w:rPr>
        <w:t>w przypadku niezgodności oświadczenia ze stanem faktycznym. Wyznaczenie konkretnego eksperta z wykazu jest wyłączną kompetencją właściwej instytucji</w:t>
      </w:r>
      <w:r w:rsidRPr="0040535D">
        <w:rPr>
          <w:rFonts w:ascii="Times New Roman" w:hAnsi="Times New Roman"/>
          <w:sz w:val="24"/>
          <w:szCs w:val="24"/>
        </w:rPr>
        <w:t xml:space="preserve">. Korzystanie z usług eksperta odbywa się na podstawie umowy, której forma i zakres jest dowolna z zastrzeżeniem zobowiązania eksperta do informowania o </w:t>
      </w:r>
      <w:r w:rsidRPr="0040535D">
        <w:rPr>
          <w:rFonts w:ascii="Times New Roman" w:hAnsi="Times New Roman"/>
          <w:sz w:val="24"/>
          <w:szCs w:val="24"/>
          <w:lang w:eastAsia="pl-PL"/>
        </w:rPr>
        <w:t>znanych mu okolicznościach, które mogą budzić wątpliwości co do jego bezstronności (art. 8</w:t>
      </w:r>
      <w:r w:rsidR="00CA0F53" w:rsidRPr="0040535D">
        <w:rPr>
          <w:rFonts w:ascii="Times New Roman" w:hAnsi="Times New Roman"/>
          <w:sz w:val="24"/>
          <w:szCs w:val="24"/>
          <w:lang w:eastAsia="pl-PL"/>
        </w:rPr>
        <w:t>3</w:t>
      </w:r>
      <w:r w:rsidRPr="0040535D">
        <w:rPr>
          <w:rFonts w:ascii="Times New Roman" w:hAnsi="Times New Roman"/>
          <w:sz w:val="24"/>
          <w:szCs w:val="24"/>
          <w:lang w:eastAsia="pl-PL"/>
        </w:rPr>
        <w:t xml:space="preserve"> ust. 1 i 2)</w:t>
      </w:r>
      <w:r w:rsidRPr="0040535D">
        <w:rPr>
          <w:rFonts w:ascii="Times New Roman" w:eastAsia="Times New Roman" w:hAnsi="Times New Roman"/>
          <w:sz w:val="24"/>
          <w:szCs w:val="24"/>
          <w:lang w:eastAsia="pl-PL"/>
        </w:rPr>
        <w:t>.</w:t>
      </w:r>
    </w:p>
    <w:p w14:paraId="174A5875" w14:textId="77777777" w:rsidR="00555DC0" w:rsidRPr="0040535D" w:rsidRDefault="00555DC0" w:rsidP="009A0EE5">
      <w:pPr>
        <w:spacing w:after="0" w:line="360" w:lineRule="auto"/>
        <w:contextualSpacing/>
        <w:jc w:val="both"/>
        <w:rPr>
          <w:rFonts w:ascii="Times New Roman" w:eastAsia="Times New Roman" w:hAnsi="Times New Roman"/>
          <w:sz w:val="24"/>
          <w:szCs w:val="24"/>
          <w:lang w:eastAsia="pl-PL"/>
        </w:rPr>
      </w:pPr>
      <w:r w:rsidRPr="0040535D">
        <w:rPr>
          <w:rFonts w:ascii="Times New Roman" w:hAnsi="Times New Roman"/>
          <w:sz w:val="24"/>
          <w:szCs w:val="24"/>
        </w:rPr>
        <w:t xml:space="preserve">Zrezygnowano z obowiązku wiązania wykazu ekspertów z konkretnym programem. </w:t>
      </w:r>
      <w:r w:rsidRPr="0040535D">
        <w:rPr>
          <w:rFonts w:ascii="Times New Roman" w:eastAsia="Times New Roman" w:hAnsi="Times New Roman"/>
          <w:sz w:val="24"/>
          <w:szCs w:val="24"/>
          <w:lang w:eastAsia="pl-PL"/>
        </w:rPr>
        <w:t>Celem regulacji jest</w:t>
      </w:r>
      <w:r w:rsidRPr="0040535D">
        <w:rPr>
          <w:rFonts w:ascii="Times New Roman" w:eastAsia="Times New Roman" w:hAnsi="Times New Roman"/>
          <w:b/>
          <w:sz w:val="24"/>
          <w:szCs w:val="24"/>
          <w:lang w:eastAsia="pl-PL"/>
        </w:rPr>
        <w:t xml:space="preserve"> </w:t>
      </w:r>
      <w:r w:rsidRPr="0040535D">
        <w:rPr>
          <w:rFonts w:ascii="Times New Roman" w:hAnsi="Times New Roman"/>
          <w:sz w:val="24"/>
          <w:szCs w:val="24"/>
        </w:rPr>
        <w:t>jak najłatwiejsze włączanie ekspertów do realizacji zadań, zwiększenie ich dostępności dla instytucji. E</w:t>
      </w:r>
      <w:r w:rsidRPr="0040535D">
        <w:rPr>
          <w:rFonts w:ascii="Times New Roman" w:eastAsia="Times New Roman" w:hAnsi="Times New Roman"/>
          <w:sz w:val="24"/>
          <w:szCs w:val="24"/>
          <w:lang w:eastAsia="pl-PL"/>
        </w:rPr>
        <w:t xml:space="preserve">ksperci przypisywani są do określonych dziedzin, co oznacza, iż nie zostają przydzieleni do jednego programu. </w:t>
      </w:r>
      <w:r w:rsidRPr="0040535D">
        <w:rPr>
          <w:rFonts w:ascii="Times New Roman" w:hAnsi="Times New Roman"/>
          <w:sz w:val="24"/>
          <w:szCs w:val="24"/>
        </w:rPr>
        <w:t>Umożliwiono tym samym nawiązywanie współpracy z ekspertami wpisanymi do wykazu instytucji w innym programie, bez dodatkowej potrzeby weryfikacji eksperta, albo wpisywania go na kolejny wykaz.</w:t>
      </w:r>
    </w:p>
    <w:p w14:paraId="1A303781" w14:textId="77777777" w:rsidR="00555DC0" w:rsidRPr="0040535D" w:rsidRDefault="00555DC0" w:rsidP="009A0EE5">
      <w:pPr>
        <w:autoSpaceDE w:val="0"/>
        <w:autoSpaceDN w:val="0"/>
        <w:adjustRightInd w:val="0"/>
        <w:spacing w:after="0" w:line="360" w:lineRule="auto"/>
        <w:jc w:val="both"/>
        <w:rPr>
          <w:rFonts w:ascii="Times New Roman" w:hAnsi="Times New Roman"/>
          <w:sz w:val="24"/>
          <w:szCs w:val="24"/>
        </w:rPr>
      </w:pPr>
    </w:p>
    <w:p w14:paraId="46CE0FC7" w14:textId="77777777" w:rsidR="00555DC0" w:rsidRPr="0040535D" w:rsidRDefault="00555DC0" w:rsidP="009A0EE5">
      <w:pPr>
        <w:spacing w:after="0" w:line="360" w:lineRule="auto"/>
        <w:contextualSpacing/>
        <w:jc w:val="both"/>
        <w:rPr>
          <w:rFonts w:ascii="Times New Roman" w:eastAsia="Times New Roman" w:hAnsi="Times New Roman"/>
          <w:bCs/>
          <w:sz w:val="24"/>
          <w:szCs w:val="24"/>
          <w:lang w:eastAsia="pl-PL"/>
        </w:rPr>
      </w:pPr>
      <w:r w:rsidRPr="0040535D">
        <w:rPr>
          <w:rFonts w:ascii="Times New Roman" w:eastAsia="Times New Roman" w:hAnsi="Times New Roman"/>
          <w:sz w:val="24"/>
          <w:szCs w:val="24"/>
          <w:lang w:eastAsia="pl-PL"/>
        </w:rPr>
        <w:t xml:space="preserve">Wprowadzono regulację dotyczącą zapewnienia dbałości o wysoką jakość zadań realizowanych przez ekspertów. </w:t>
      </w:r>
      <w:r w:rsidRPr="0040535D">
        <w:rPr>
          <w:rFonts w:ascii="Times New Roman" w:eastAsia="Times New Roman" w:hAnsi="Times New Roman"/>
          <w:bCs/>
          <w:sz w:val="24"/>
          <w:szCs w:val="24"/>
          <w:lang w:eastAsia="pl-PL"/>
        </w:rPr>
        <w:t xml:space="preserve">Niewłaściwa realizacja umowy przez eksperta lub rozwiązanie </w:t>
      </w:r>
      <w:r w:rsidRPr="0040535D">
        <w:rPr>
          <w:rFonts w:ascii="Times New Roman" w:eastAsia="Times New Roman" w:hAnsi="Times New Roman"/>
          <w:bCs/>
          <w:sz w:val="24"/>
          <w:szCs w:val="24"/>
          <w:lang w:eastAsia="pl-PL"/>
        </w:rPr>
        <w:lastRenderedPageBreak/>
        <w:t xml:space="preserve">jej z przyczyn leżących po jego stronie może stanowić przesłankę </w:t>
      </w:r>
      <w:r w:rsidR="00292A26">
        <w:rPr>
          <w:rFonts w:ascii="Times New Roman" w:eastAsia="Times New Roman" w:hAnsi="Times New Roman"/>
          <w:bCs/>
          <w:sz w:val="24"/>
          <w:szCs w:val="24"/>
          <w:lang w:eastAsia="pl-PL"/>
        </w:rPr>
        <w:t xml:space="preserve">niezwłocznego </w:t>
      </w:r>
      <w:r w:rsidRPr="0040535D">
        <w:rPr>
          <w:rFonts w:ascii="Times New Roman" w:eastAsia="Times New Roman" w:hAnsi="Times New Roman"/>
          <w:bCs/>
          <w:sz w:val="24"/>
          <w:szCs w:val="24"/>
          <w:lang w:eastAsia="pl-PL"/>
        </w:rPr>
        <w:t>wykreślenia eksperta z wykazu ekspertów w zakresie określonym przez właściwą instytucję (</w:t>
      </w:r>
      <w:r w:rsidRPr="0040535D">
        <w:rPr>
          <w:rFonts w:ascii="Times New Roman" w:eastAsia="Times New Roman" w:hAnsi="Times New Roman"/>
          <w:b/>
          <w:bCs/>
          <w:sz w:val="24"/>
          <w:szCs w:val="24"/>
          <w:lang w:eastAsia="pl-PL"/>
        </w:rPr>
        <w:t>art. 8</w:t>
      </w:r>
      <w:r w:rsidR="00CA0F53" w:rsidRPr="0040535D">
        <w:rPr>
          <w:rFonts w:ascii="Times New Roman" w:eastAsia="Times New Roman" w:hAnsi="Times New Roman"/>
          <w:b/>
          <w:bCs/>
          <w:sz w:val="24"/>
          <w:szCs w:val="24"/>
          <w:lang w:eastAsia="pl-PL"/>
        </w:rPr>
        <w:t>3</w:t>
      </w:r>
      <w:r w:rsidRPr="0040535D">
        <w:rPr>
          <w:rFonts w:ascii="Times New Roman" w:eastAsia="Times New Roman" w:hAnsi="Times New Roman"/>
          <w:bCs/>
          <w:sz w:val="24"/>
          <w:szCs w:val="24"/>
          <w:lang w:eastAsia="pl-PL"/>
        </w:rPr>
        <w:t xml:space="preserve"> ust. 3). Jednocześnie </w:t>
      </w:r>
      <w:r w:rsidRPr="0040535D">
        <w:rPr>
          <w:rFonts w:ascii="Times New Roman" w:hAnsi="Times New Roman"/>
          <w:sz w:val="24"/>
          <w:szCs w:val="24"/>
        </w:rPr>
        <w:t xml:space="preserve">określono inne okoliczności powodujące wykreślenie eksperta z wykazu </w:t>
      </w:r>
      <w:r w:rsidRPr="0040535D">
        <w:rPr>
          <w:rFonts w:ascii="Times New Roman" w:eastAsia="Times New Roman" w:hAnsi="Times New Roman"/>
          <w:bCs/>
          <w:sz w:val="24"/>
          <w:szCs w:val="24"/>
          <w:lang w:eastAsia="pl-PL"/>
        </w:rPr>
        <w:t>(</w:t>
      </w:r>
      <w:r w:rsidRPr="0040535D">
        <w:rPr>
          <w:rFonts w:ascii="Times New Roman" w:eastAsia="Times New Roman" w:hAnsi="Times New Roman"/>
          <w:b/>
          <w:bCs/>
          <w:sz w:val="24"/>
          <w:szCs w:val="24"/>
          <w:lang w:eastAsia="pl-PL"/>
        </w:rPr>
        <w:t xml:space="preserve">art. </w:t>
      </w:r>
      <w:r w:rsidR="00AA3079" w:rsidRPr="0040535D">
        <w:rPr>
          <w:rFonts w:ascii="Times New Roman" w:eastAsia="Times New Roman" w:hAnsi="Times New Roman"/>
          <w:b/>
          <w:bCs/>
          <w:sz w:val="24"/>
          <w:szCs w:val="24"/>
          <w:lang w:eastAsia="pl-PL"/>
        </w:rPr>
        <w:t>8</w:t>
      </w:r>
      <w:r w:rsidR="00CA0F53" w:rsidRPr="0040535D">
        <w:rPr>
          <w:rFonts w:ascii="Times New Roman" w:eastAsia="Times New Roman" w:hAnsi="Times New Roman"/>
          <w:b/>
          <w:bCs/>
          <w:sz w:val="24"/>
          <w:szCs w:val="24"/>
          <w:lang w:eastAsia="pl-PL"/>
        </w:rPr>
        <w:t>2</w:t>
      </w:r>
      <w:r w:rsidR="00AA3079" w:rsidRPr="0040535D">
        <w:rPr>
          <w:rFonts w:ascii="Times New Roman" w:eastAsia="Times New Roman" w:hAnsi="Times New Roman"/>
          <w:b/>
          <w:bCs/>
          <w:sz w:val="24"/>
          <w:szCs w:val="24"/>
          <w:lang w:eastAsia="pl-PL"/>
        </w:rPr>
        <w:t xml:space="preserve"> </w:t>
      </w:r>
      <w:r w:rsidRPr="0040535D">
        <w:rPr>
          <w:rFonts w:ascii="Times New Roman" w:eastAsia="Times New Roman" w:hAnsi="Times New Roman"/>
          <w:bCs/>
          <w:sz w:val="24"/>
          <w:szCs w:val="24"/>
          <w:lang w:eastAsia="pl-PL"/>
        </w:rPr>
        <w:t>ust. 2)</w:t>
      </w:r>
      <w:r w:rsidRPr="0040535D">
        <w:rPr>
          <w:rFonts w:ascii="Times New Roman" w:hAnsi="Times New Roman"/>
          <w:sz w:val="24"/>
          <w:szCs w:val="24"/>
        </w:rPr>
        <w:t>.</w:t>
      </w:r>
    </w:p>
    <w:p w14:paraId="6A401CCF" w14:textId="77777777" w:rsidR="00555DC0" w:rsidRPr="0040535D" w:rsidRDefault="00555DC0" w:rsidP="009A0EE5">
      <w:pPr>
        <w:spacing w:after="0" w:line="360" w:lineRule="auto"/>
        <w:contextualSpacing/>
        <w:jc w:val="both"/>
        <w:rPr>
          <w:rFonts w:ascii="Times New Roman" w:eastAsia="Times New Roman" w:hAnsi="Times New Roman"/>
          <w:sz w:val="24"/>
          <w:szCs w:val="24"/>
          <w:lang w:eastAsia="pl-PL"/>
        </w:rPr>
      </w:pPr>
      <w:r w:rsidRPr="0040535D">
        <w:rPr>
          <w:rFonts w:ascii="Times New Roman" w:eastAsia="Times New Roman" w:hAnsi="Times New Roman"/>
          <w:sz w:val="24"/>
          <w:szCs w:val="24"/>
          <w:lang w:eastAsia="pl-PL"/>
        </w:rPr>
        <w:t>Dla zapewnienia transparentności korzystania z usług ekspertów utrzymano zasadę publikacji wykazu ekspertów na stronie internetowej instytucji, która prowadzi wykaz ekspertów.</w:t>
      </w:r>
      <w:r w:rsidRPr="0040535D">
        <w:rPr>
          <w:rFonts w:ascii="Times New Roman" w:hAnsi="Times New Roman"/>
          <w:sz w:val="24"/>
          <w:szCs w:val="24"/>
        </w:rPr>
        <w:t xml:space="preserve"> Dodatkowo, dbałość o przejrzystość </w:t>
      </w:r>
      <w:r w:rsidRPr="0040535D">
        <w:rPr>
          <w:rFonts w:ascii="Times New Roman" w:eastAsia="Times New Roman" w:hAnsi="Times New Roman"/>
          <w:sz w:val="24"/>
          <w:szCs w:val="24"/>
          <w:lang w:eastAsia="pl-PL"/>
        </w:rPr>
        <w:t xml:space="preserve">udziału ekspertów w realizacji zadań właściwej instytucji została zwiększona poprzez ustanowienie </w:t>
      </w:r>
      <w:r w:rsidR="00745E18" w:rsidRPr="0040535D">
        <w:rPr>
          <w:rFonts w:ascii="Times New Roman" w:eastAsia="Times New Roman" w:hAnsi="Times New Roman"/>
          <w:sz w:val="24"/>
          <w:szCs w:val="24"/>
          <w:lang w:eastAsia="pl-PL"/>
        </w:rPr>
        <w:t xml:space="preserve">obowiązku </w:t>
      </w:r>
      <w:r w:rsidRPr="0040535D">
        <w:rPr>
          <w:rFonts w:ascii="Times New Roman" w:eastAsia="Times New Roman" w:hAnsi="Times New Roman"/>
          <w:sz w:val="24"/>
          <w:szCs w:val="24"/>
          <w:lang w:eastAsia="pl-PL"/>
        </w:rPr>
        <w:t>publikacji informacji</w:t>
      </w:r>
      <w:r w:rsidR="00E61E9E">
        <w:rPr>
          <w:rFonts w:ascii="Times New Roman" w:eastAsia="Times New Roman" w:hAnsi="Times New Roman"/>
          <w:sz w:val="24"/>
          <w:szCs w:val="24"/>
          <w:lang w:eastAsia="pl-PL"/>
        </w:rPr>
        <w:t xml:space="preserve"> o</w:t>
      </w:r>
      <w:r w:rsidRPr="0040535D">
        <w:rPr>
          <w:rFonts w:ascii="Times New Roman" w:eastAsia="Times New Roman" w:hAnsi="Times New Roman"/>
          <w:sz w:val="24"/>
          <w:szCs w:val="24"/>
          <w:lang w:eastAsia="pl-PL"/>
        </w:rPr>
        <w:t xml:space="preserve"> </w:t>
      </w:r>
      <w:r w:rsidR="005334EE" w:rsidRPr="005334EE">
        <w:rPr>
          <w:rFonts w:ascii="Times New Roman" w:eastAsia="Times New Roman" w:hAnsi="Times New Roman"/>
          <w:sz w:val="24"/>
          <w:szCs w:val="24"/>
          <w:lang w:eastAsia="pl-PL"/>
        </w:rPr>
        <w:t xml:space="preserve">umowach zawartych z ekspertami. Następować to będzie w zakresie określonym w ustawie o finansach publicznych za pośrednictwem rejestru umów zawieranych przez jednostki sektora finansów publicznych </w:t>
      </w:r>
      <w:r w:rsidR="005334EE" w:rsidRPr="00F432FD">
        <w:rPr>
          <w:rFonts w:ascii="Times New Roman" w:eastAsia="Times New Roman" w:hAnsi="Times New Roman"/>
          <w:b/>
          <w:sz w:val="24"/>
          <w:szCs w:val="24"/>
          <w:lang w:eastAsia="pl-PL"/>
        </w:rPr>
        <w:t>(art. 84</w:t>
      </w:r>
      <w:r w:rsidR="005334EE" w:rsidRPr="005334EE">
        <w:rPr>
          <w:rFonts w:ascii="Times New Roman" w:eastAsia="Times New Roman" w:hAnsi="Times New Roman"/>
          <w:sz w:val="24"/>
          <w:szCs w:val="24"/>
          <w:lang w:eastAsia="pl-PL"/>
        </w:rPr>
        <w:t xml:space="preserve"> ust. 1). Niemniej jednak konieczność dbałości o zasadę bezstronności i spójność z innymi przepisami ustawy, np. dotyczącymi zasad publikowania informacji o składzie komisji oceny projektów, co następuje dopiero po zakończeniu postepowania w zakresie wyboru projektów, ustawa wprowadza wyłączenie polegające na tym, że wspomniane informacje publikowane są w określonym czasie po zakończeniu umowy, ale nie później niż po dwóch latach od jej zawarcia (art. 84 ust. 3). Dodatkowo wprowadzona regulacja rozszerza jawność zawieranych umów z ekspertami, gdyż informacje o każdej takiej umowie będą zamieszczane w rejestrze, bez względu na wartość przedmiotu takiej umowy </w:t>
      </w:r>
      <w:r w:rsidRPr="005A244B">
        <w:rPr>
          <w:rFonts w:ascii="Times New Roman" w:eastAsia="Times New Roman" w:hAnsi="Times New Roman"/>
          <w:sz w:val="24"/>
          <w:szCs w:val="24"/>
          <w:lang w:eastAsia="pl-PL"/>
        </w:rPr>
        <w:t>(</w:t>
      </w:r>
      <w:r w:rsidRPr="00F432FD">
        <w:rPr>
          <w:rFonts w:ascii="Times New Roman" w:eastAsia="Times New Roman" w:hAnsi="Times New Roman"/>
          <w:sz w:val="24"/>
          <w:szCs w:val="24"/>
          <w:lang w:eastAsia="pl-PL"/>
        </w:rPr>
        <w:t xml:space="preserve">art. </w:t>
      </w:r>
      <w:r w:rsidR="00AA3079" w:rsidRPr="00F432FD">
        <w:rPr>
          <w:rFonts w:ascii="Times New Roman" w:eastAsia="Times New Roman" w:hAnsi="Times New Roman"/>
          <w:sz w:val="24"/>
          <w:szCs w:val="24"/>
          <w:lang w:eastAsia="pl-PL"/>
        </w:rPr>
        <w:t>8</w:t>
      </w:r>
      <w:r w:rsidR="00CA0F53" w:rsidRPr="00F432FD">
        <w:rPr>
          <w:rFonts w:ascii="Times New Roman" w:eastAsia="Times New Roman" w:hAnsi="Times New Roman"/>
          <w:sz w:val="24"/>
          <w:szCs w:val="24"/>
          <w:lang w:eastAsia="pl-PL"/>
        </w:rPr>
        <w:t>4</w:t>
      </w:r>
      <w:r w:rsidR="00AA3079" w:rsidRPr="0040535D">
        <w:rPr>
          <w:rFonts w:ascii="Times New Roman" w:eastAsia="Times New Roman" w:hAnsi="Times New Roman"/>
          <w:sz w:val="24"/>
          <w:szCs w:val="24"/>
          <w:lang w:eastAsia="pl-PL"/>
        </w:rPr>
        <w:t xml:space="preserve"> </w:t>
      </w:r>
      <w:r w:rsidRPr="0040535D">
        <w:rPr>
          <w:rFonts w:ascii="Times New Roman" w:eastAsia="Times New Roman" w:hAnsi="Times New Roman"/>
          <w:sz w:val="24"/>
          <w:szCs w:val="24"/>
          <w:lang w:eastAsia="pl-PL"/>
        </w:rPr>
        <w:t xml:space="preserve">ust. </w:t>
      </w:r>
      <w:r w:rsidR="005334EE">
        <w:rPr>
          <w:rFonts w:ascii="Times New Roman" w:eastAsia="Times New Roman" w:hAnsi="Times New Roman"/>
          <w:sz w:val="24"/>
          <w:szCs w:val="24"/>
          <w:lang w:eastAsia="pl-PL"/>
        </w:rPr>
        <w:t>2</w:t>
      </w:r>
      <w:r w:rsidRPr="0040535D">
        <w:rPr>
          <w:rFonts w:ascii="Times New Roman" w:eastAsia="Times New Roman" w:hAnsi="Times New Roman"/>
          <w:sz w:val="24"/>
          <w:szCs w:val="24"/>
          <w:lang w:eastAsia="pl-PL"/>
        </w:rPr>
        <w:t>).</w:t>
      </w:r>
    </w:p>
    <w:p w14:paraId="389E1109" w14:textId="77777777" w:rsidR="00555DC0" w:rsidRPr="0040535D" w:rsidRDefault="00555DC0" w:rsidP="009A0EE5">
      <w:pPr>
        <w:spacing w:after="0" w:line="360" w:lineRule="auto"/>
        <w:contextualSpacing/>
        <w:jc w:val="both"/>
        <w:rPr>
          <w:rFonts w:ascii="Times New Roman" w:eastAsia="Times New Roman" w:hAnsi="Times New Roman"/>
          <w:sz w:val="24"/>
          <w:szCs w:val="24"/>
          <w:lang w:eastAsia="pl-PL"/>
        </w:rPr>
      </w:pPr>
      <w:r w:rsidRPr="0040535D">
        <w:rPr>
          <w:rFonts w:ascii="Times New Roman" w:eastAsia="Times New Roman" w:hAnsi="Times New Roman"/>
          <w:sz w:val="24"/>
          <w:szCs w:val="24"/>
          <w:lang w:eastAsia="pl-PL"/>
        </w:rPr>
        <w:t xml:space="preserve">Zagwarantuje on jawność </w:t>
      </w:r>
      <w:r w:rsidR="00745E18" w:rsidRPr="0040535D">
        <w:rPr>
          <w:rFonts w:ascii="Times New Roman" w:eastAsia="Times New Roman" w:hAnsi="Times New Roman"/>
          <w:sz w:val="24"/>
          <w:szCs w:val="24"/>
          <w:lang w:eastAsia="pl-PL"/>
        </w:rPr>
        <w:t>szczególnie</w:t>
      </w:r>
      <w:r w:rsidRPr="0040535D">
        <w:rPr>
          <w:rFonts w:ascii="Times New Roman" w:eastAsia="Times New Roman" w:hAnsi="Times New Roman"/>
          <w:sz w:val="24"/>
          <w:szCs w:val="24"/>
          <w:lang w:eastAsia="pl-PL"/>
        </w:rPr>
        <w:t xml:space="preserve"> w sytuacji wyznaczania ekspertów z wykazu innej instytucji. Jednocześnie, aby zapobiec możliwości wywierania wpływu na ekspertów publikacja obejmuje tylko zakończone umowy.</w:t>
      </w:r>
    </w:p>
    <w:p w14:paraId="230045F6" w14:textId="77777777" w:rsidR="00555DC0" w:rsidRPr="0040535D" w:rsidRDefault="00555DC0" w:rsidP="009A0EE5">
      <w:pPr>
        <w:spacing w:after="0" w:line="360" w:lineRule="auto"/>
        <w:contextualSpacing/>
        <w:jc w:val="both"/>
        <w:rPr>
          <w:rFonts w:ascii="Times New Roman" w:hAnsi="Times New Roman"/>
          <w:sz w:val="24"/>
          <w:szCs w:val="24"/>
        </w:rPr>
      </w:pPr>
      <w:r w:rsidRPr="0040535D">
        <w:rPr>
          <w:rFonts w:ascii="Times New Roman" w:eastAsia="Times New Roman" w:hAnsi="Times New Roman"/>
          <w:sz w:val="24"/>
          <w:szCs w:val="24"/>
          <w:lang w:eastAsia="pl-PL"/>
        </w:rPr>
        <w:t>Przewidziano, iż informacja ta będzie dostępna na portalu do czasu zamknięcia realizacji programu.</w:t>
      </w:r>
    </w:p>
    <w:p w14:paraId="5C88B0FA" w14:textId="77777777" w:rsidR="00555DC0" w:rsidRPr="0040535D" w:rsidRDefault="00555DC0" w:rsidP="009A0EE5">
      <w:pPr>
        <w:autoSpaceDE w:val="0"/>
        <w:autoSpaceDN w:val="0"/>
        <w:adjustRightInd w:val="0"/>
        <w:spacing w:after="0" w:line="360" w:lineRule="auto"/>
        <w:jc w:val="both"/>
        <w:rPr>
          <w:rFonts w:ascii="Times New Roman" w:hAnsi="Times New Roman"/>
          <w:sz w:val="24"/>
          <w:szCs w:val="24"/>
        </w:rPr>
      </w:pPr>
    </w:p>
    <w:p w14:paraId="02FA5305" w14:textId="77777777" w:rsidR="00555DC0" w:rsidRPr="0040535D" w:rsidRDefault="00555DC0" w:rsidP="009A0EE5">
      <w:pPr>
        <w:autoSpaceDE w:val="0"/>
        <w:autoSpaceDN w:val="0"/>
        <w:adjustRightInd w:val="0"/>
        <w:spacing w:after="0" w:line="360" w:lineRule="auto"/>
        <w:jc w:val="both"/>
        <w:rPr>
          <w:rFonts w:ascii="Times New Roman" w:eastAsia="Times New Roman" w:hAnsi="Times New Roman"/>
          <w:bCs/>
          <w:sz w:val="24"/>
          <w:szCs w:val="24"/>
          <w:lang w:eastAsia="pl-PL"/>
        </w:rPr>
      </w:pPr>
      <w:r w:rsidRPr="0040535D">
        <w:rPr>
          <w:rFonts w:ascii="Times New Roman" w:eastAsia="Times New Roman" w:hAnsi="Times New Roman"/>
          <w:sz w:val="24"/>
          <w:szCs w:val="24"/>
          <w:lang w:eastAsia="pl-PL"/>
        </w:rPr>
        <w:t>W celu zapewnienia neutralności ekspertów przy wykonywaniu zadań</w:t>
      </w:r>
      <w:r w:rsidRPr="0040535D">
        <w:rPr>
          <w:rFonts w:ascii="Times New Roman" w:hAnsi="Times New Roman"/>
          <w:sz w:val="24"/>
          <w:szCs w:val="24"/>
        </w:rPr>
        <w:t xml:space="preserve"> wprowadzono dwa mechanizmy. Pierwszy z nich stanowi oświadczenie o bezstronności składane przez eksperta pod rygorem odpowiedzialności karnej (</w:t>
      </w:r>
      <w:r w:rsidRPr="0040535D">
        <w:rPr>
          <w:rFonts w:ascii="Times New Roman" w:hAnsi="Times New Roman"/>
          <w:b/>
          <w:sz w:val="24"/>
          <w:szCs w:val="24"/>
        </w:rPr>
        <w:t xml:space="preserve">art. </w:t>
      </w:r>
      <w:r w:rsidR="00AA3079" w:rsidRPr="0040535D">
        <w:rPr>
          <w:rFonts w:ascii="Times New Roman" w:hAnsi="Times New Roman"/>
          <w:b/>
          <w:sz w:val="24"/>
          <w:szCs w:val="24"/>
        </w:rPr>
        <w:t>8</w:t>
      </w:r>
      <w:r w:rsidR="00CA0F53" w:rsidRPr="0040535D">
        <w:rPr>
          <w:rFonts w:ascii="Times New Roman" w:hAnsi="Times New Roman"/>
          <w:b/>
          <w:sz w:val="24"/>
          <w:szCs w:val="24"/>
        </w:rPr>
        <w:t>5</w:t>
      </w:r>
      <w:r w:rsidR="00AA3079" w:rsidRPr="0040535D">
        <w:rPr>
          <w:rFonts w:ascii="Times New Roman" w:hAnsi="Times New Roman"/>
          <w:sz w:val="24"/>
          <w:szCs w:val="24"/>
        </w:rPr>
        <w:t xml:space="preserve"> </w:t>
      </w:r>
      <w:r w:rsidRPr="0040535D">
        <w:rPr>
          <w:rFonts w:ascii="Times New Roman" w:hAnsi="Times New Roman"/>
          <w:sz w:val="24"/>
          <w:szCs w:val="24"/>
        </w:rPr>
        <w:t>ust. 2)</w:t>
      </w:r>
      <w:r w:rsidRPr="0040535D">
        <w:rPr>
          <w:rFonts w:ascii="Times New Roman" w:eastAsia="Times New Roman" w:hAnsi="Times New Roman"/>
          <w:sz w:val="24"/>
          <w:szCs w:val="24"/>
          <w:lang w:eastAsia="pl-PL"/>
        </w:rPr>
        <w:t>.</w:t>
      </w:r>
      <w:r w:rsidRPr="0040535D">
        <w:rPr>
          <w:rFonts w:ascii="Times New Roman" w:hAnsi="Times New Roman"/>
          <w:sz w:val="24"/>
          <w:szCs w:val="24"/>
        </w:rPr>
        <w:t xml:space="preserve"> Zakres oświadczenia obejmuje okoliczności wymienione w art. 24 § 1 i 2 </w:t>
      </w:r>
      <w:r w:rsidR="000154C2" w:rsidRPr="0040535D">
        <w:rPr>
          <w:rFonts w:ascii="Times New Roman" w:hAnsi="Times New Roman"/>
          <w:sz w:val="24"/>
          <w:szCs w:val="24"/>
        </w:rPr>
        <w:t>kpa</w:t>
      </w:r>
      <w:r w:rsidRPr="0040535D">
        <w:rPr>
          <w:rFonts w:ascii="Times New Roman" w:hAnsi="Times New Roman"/>
          <w:sz w:val="24"/>
          <w:szCs w:val="24"/>
        </w:rPr>
        <w:t xml:space="preserve">. W sytuacji wystąpienia którejkolwiek z wymienionych tam przesłanek, ekspert zostaje wyłączony z realizacji zadań. Drugi mechanizm dotyczy innych okoliczności niż te, o których mowa we wskazanych przepisach </w:t>
      </w:r>
      <w:r w:rsidR="000154C2" w:rsidRPr="0040535D">
        <w:rPr>
          <w:rFonts w:ascii="Times New Roman" w:hAnsi="Times New Roman"/>
          <w:sz w:val="24"/>
          <w:szCs w:val="24"/>
        </w:rPr>
        <w:t>kpa</w:t>
      </w:r>
      <w:r w:rsidRPr="0040535D">
        <w:rPr>
          <w:rFonts w:ascii="Times New Roman" w:hAnsi="Times New Roman"/>
          <w:sz w:val="24"/>
          <w:szCs w:val="24"/>
        </w:rPr>
        <w:t>, które mogą wywołać wątpliwości co do bezstronności eksperta. W sytuacji uprawdopodobnienia ich zaistnienia instytucja na gruncie ustawy może wyłączyć go z realizacji zadań instytucji, albo ujawnić te okoliczności (art. 8</w:t>
      </w:r>
      <w:r w:rsidR="00CA0F53" w:rsidRPr="0040535D">
        <w:rPr>
          <w:rFonts w:ascii="Times New Roman" w:hAnsi="Times New Roman"/>
          <w:sz w:val="24"/>
          <w:szCs w:val="24"/>
        </w:rPr>
        <w:t>5</w:t>
      </w:r>
      <w:r w:rsidRPr="0040535D">
        <w:rPr>
          <w:rFonts w:ascii="Times New Roman" w:hAnsi="Times New Roman"/>
          <w:sz w:val="24"/>
          <w:szCs w:val="24"/>
        </w:rPr>
        <w:t xml:space="preserve"> ust. 3). Mechanizm ten został wzmocniony obowiązkiem </w:t>
      </w:r>
      <w:r w:rsidRPr="0040535D">
        <w:rPr>
          <w:rFonts w:ascii="Times New Roman" w:hAnsi="Times New Roman"/>
          <w:sz w:val="24"/>
          <w:szCs w:val="24"/>
        </w:rPr>
        <w:lastRenderedPageBreak/>
        <w:t xml:space="preserve">nakładanym na eksperta w umowie, którą zawiera on z instytucją. Ekspert ma obowiązek </w:t>
      </w:r>
      <w:r w:rsidRPr="0040535D">
        <w:rPr>
          <w:rFonts w:ascii="Times New Roman" w:eastAsia="Times New Roman" w:hAnsi="Times New Roman"/>
          <w:bCs/>
          <w:sz w:val="24"/>
          <w:szCs w:val="24"/>
          <w:lang w:eastAsia="pl-PL"/>
        </w:rPr>
        <w:t xml:space="preserve">informowania </w:t>
      </w:r>
      <w:r w:rsidRPr="0040535D">
        <w:rPr>
          <w:rFonts w:ascii="Times New Roman" w:hAnsi="Times New Roman"/>
          <w:sz w:val="24"/>
          <w:szCs w:val="24"/>
          <w:lang w:eastAsia="pl-PL"/>
        </w:rPr>
        <w:t>właściwej instytucji o wszelkich znanych mu tego rodzaju okolicznościach</w:t>
      </w:r>
      <w:r w:rsidRPr="0040535D">
        <w:rPr>
          <w:rFonts w:ascii="Times New Roman" w:eastAsia="Times New Roman" w:hAnsi="Times New Roman"/>
          <w:bCs/>
          <w:sz w:val="24"/>
          <w:szCs w:val="24"/>
          <w:lang w:eastAsia="pl-PL"/>
        </w:rPr>
        <w:t>.</w:t>
      </w:r>
    </w:p>
    <w:p w14:paraId="584FA561" w14:textId="77777777" w:rsidR="00555DC0" w:rsidRPr="0040535D" w:rsidRDefault="00555DC0" w:rsidP="009A0EE5">
      <w:pPr>
        <w:spacing w:after="0" w:line="360" w:lineRule="auto"/>
        <w:contextualSpacing/>
        <w:jc w:val="both"/>
        <w:rPr>
          <w:rFonts w:ascii="Times New Roman" w:hAnsi="Times New Roman"/>
          <w:sz w:val="24"/>
          <w:szCs w:val="24"/>
        </w:rPr>
      </w:pPr>
      <w:r w:rsidRPr="0040535D">
        <w:rPr>
          <w:rFonts w:ascii="Times New Roman" w:hAnsi="Times New Roman"/>
          <w:sz w:val="24"/>
          <w:szCs w:val="24"/>
        </w:rPr>
        <w:t>Przepisy Rozdziału 1</w:t>
      </w:r>
      <w:r w:rsidR="00CA0F53" w:rsidRPr="0040535D">
        <w:rPr>
          <w:rFonts w:ascii="Times New Roman" w:hAnsi="Times New Roman"/>
          <w:sz w:val="24"/>
          <w:szCs w:val="24"/>
        </w:rPr>
        <w:t>7</w:t>
      </w:r>
      <w:r w:rsidRPr="0040535D">
        <w:rPr>
          <w:rFonts w:ascii="Times New Roman" w:hAnsi="Times New Roman"/>
          <w:sz w:val="24"/>
          <w:szCs w:val="24"/>
        </w:rPr>
        <w:t xml:space="preserve"> Eksperci nie obejmują programów </w:t>
      </w:r>
      <w:proofErr w:type="spellStart"/>
      <w:r w:rsidRPr="0040535D">
        <w:rPr>
          <w:rFonts w:ascii="Times New Roman" w:hAnsi="Times New Roman"/>
          <w:sz w:val="24"/>
          <w:szCs w:val="24"/>
        </w:rPr>
        <w:t>Interreg</w:t>
      </w:r>
      <w:proofErr w:type="spellEnd"/>
      <w:r w:rsidRPr="0040535D">
        <w:rPr>
          <w:rFonts w:ascii="Times New Roman" w:hAnsi="Times New Roman"/>
          <w:sz w:val="24"/>
          <w:szCs w:val="24"/>
        </w:rPr>
        <w:t>, gdyż w ramach tych programów można korzystać z usług ekspertów spoza list ekspertów prowadzonych przez właściwe instytucje (przede wszystkim mogą to być eksperci spoza Polski).</w:t>
      </w:r>
    </w:p>
    <w:p w14:paraId="02886DC9" w14:textId="77777777" w:rsidR="00555DC0" w:rsidRPr="0040535D" w:rsidRDefault="00555DC0" w:rsidP="009A0EE5">
      <w:pPr>
        <w:autoSpaceDE w:val="0"/>
        <w:autoSpaceDN w:val="0"/>
        <w:adjustRightInd w:val="0"/>
        <w:spacing w:after="0" w:line="360" w:lineRule="auto"/>
        <w:jc w:val="both"/>
        <w:rPr>
          <w:rFonts w:ascii="Times New Roman" w:eastAsia="Times New Roman" w:hAnsi="Times New Roman"/>
          <w:bCs/>
          <w:sz w:val="24"/>
          <w:szCs w:val="24"/>
          <w:lang w:eastAsia="pl-PL"/>
        </w:rPr>
      </w:pPr>
    </w:p>
    <w:p w14:paraId="46E85F95" w14:textId="77777777" w:rsidR="00555DC0" w:rsidRPr="0040535D" w:rsidRDefault="00555DC0" w:rsidP="009A0EE5">
      <w:pPr>
        <w:spacing w:after="0" w:line="360" w:lineRule="auto"/>
        <w:jc w:val="both"/>
        <w:rPr>
          <w:rFonts w:ascii="Times New Roman" w:hAnsi="Times New Roman"/>
          <w:b/>
          <w:sz w:val="24"/>
          <w:szCs w:val="24"/>
        </w:rPr>
      </w:pPr>
      <w:r w:rsidRPr="0040535D">
        <w:rPr>
          <w:rFonts w:ascii="Times New Roman" w:hAnsi="Times New Roman"/>
          <w:b/>
          <w:sz w:val="24"/>
          <w:szCs w:val="24"/>
        </w:rPr>
        <w:t>Rozdział 1</w:t>
      </w:r>
      <w:r w:rsidR="00CA0F53" w:rsidRPr="0040535D">
        <w:rPr>
          <w:rFonts w:ascii="Times New Roman" w:hAnsi="Times New Roman"/>
          <w:b/>
          <w:sz w:val="24"/>
          <w:szCs w:val="24"/>
        </w:rPr>
        <w:t>8</w:t>
      </w:r>
      <w:r w:rsidRPr="0040535D">
        <w:rPr>
          <w:rFonts w:ascii="Times New Roman" w:hAnsi="Times New Roman"/>
          <w:b/>
          <w:sz w:val="24"/>
          <w:szCs w:val="24"/>
        </w:rPr>
        <w:t>. Przetwarzanie danych osobowych i dostęp do rejestrów</w:t>
      </w:r>
    </w:p>
    <w:p w14:paraId="5BA7AD5F" w14:textId="77777777" w:rsidR="00555DC0" w:rsidRPr="0040535D" w:rsidRDefault="00555DC0" w:rsidP="009A0EE5">
      <w:pPr>
        <w:spacing w:before="120" w:after="0" w:line="360" w:lineRule="auto"/>
        <w:jc w:val="both"/>
        <w:rPr>
          <w:rFonts w:ascii="Times New Roman" w:hAnsi="Times New Roman"/>
          <w:b/>
          <w:sz w:val="24"/>
          <w:szCs w:val="24"/>
        </w:rPr>
      </w:pPr>
      <w:r w:rsidRPr="0040535D">
        <w:rPr>
          <w:rFonts w:ascii="Times New Roman" w:hAnsi="Times New Roman"/>
          <w:b/>
          <w:sz w:val="24"/>
          <w:szCs w:val="24"/>
        </w:rPr>
        <w:t>Cele przetwarzania</w:t>
      </w:r>
    </w:p>
    <w:p w14:paraId="4AB308FA" w14:textId="77777777" w:rsidR="00555DC0" w:rsidRPr="0040535D" w:rsidRDefault="00555DC0" w:rsidP="008D25C4">
      <w:pPr>
        <w:spacing w:after="0" w:line="360" w:lineRule="auto"/>
        <w:jc w:val="both"/>
        <w:rPr>
          <w:rFonts w:ascii="Times New Roman" w:hAnsi="Times New Roman"/>
          <w:sz w:val="24"/>
          <w:szCs w:val="24"/>
          <w:lang w:eastAsia="pl-PL"/>
        </w:rPr>
      </w:pPr>
      <w:r w:rsidRPr="0040535D">
        <w:rPr>
          <w:rFonts w:ascii="Times New Roman" w:hAnsi="Times New Roman"/>
          <w:sz w:val="24"/>
          <w:szCs w:val="24"/>
          <w:lang w:eastAsia="pl-PL"/>
        </w:rPr>
        <w:t xml:space="preserve">Ustawa wprowadza przepisy uszczegóławiające przetwarzanie danych osobowych w związku </w:t>
      </w:r>
      <w:r w:rsidRPr="0040535D">
        <w:rPr>
          <w:rFonts w:ascii="Times New Roman" w:hAnsi="Times New Roman"/>
          <w:sz w:val="24"/>
          <w:szCs w:val="24"/>
          <w:lang w:eastAsia="pl-PL"/>
        </w:rPr>
        <w:br/>
        <w:t xml:space="preserve">z realizacją programów polityki spójności finansowanych w perspektywie finansowej 2021-2027. </w:t>
      </w:r>
      <w:r w:rsidRPr="0040535D">
        <w:rPr>
          <w:rFonts w:ascii="Times New Roman" w:hAnsi="Times New Roman"/>
          <w:sz w:val="24"/>
          <w:szCs w:val="24"/>
          <w:lang w:eastAsia="pl-PL"/>
        </w:rPr>
        <w:br/>
        <w:t>Cele przetwarzania wynikają z przepisów rozporządzenia ogólnego, zgodnie z którym państwa członkowskie oraz Komisja Europejska przetwarzają dane osobowe tylko wtedy, gdy jest to niezbędne do wypełniania ciążących na nich obowiązków wynikających z rozporządzenia ogólnego, w szczególności w zakresie monitorowania, sprawozdawczości, komunikacji, publikacji, ewaluacji, zarządzania finansowego, weryfikacji i audytu, oraz - gdy to ma zastosowanie - w celu określenia kwalifikowalności uczestników. Bez względu na sposób przetwarzania (elektroniczny, papierowy) dane osobowe są przetwarzane w każdym wymienionym procesie.</w:t>
      </w:r>
    </w:p>
    <w:p w14:paraId="516C3523" w14:textId="77777777" w:rsidR="00555DC0" w:rsidRPr="0040535D" w:rsidRDefault="00555DC0" w:rsidP="008D4E79">
      <w:pPr>
        <w:spacing w:before="120" w:after="0" w:line="360" w:lineRule="auto"/>
        <w:jc w:val="both"/>
        <w:rPr>
          <w:rFonts w:ascii="Times New Roman" w:hAnsi="Times New Roman"/>
          <w:sz w:val="24"/>
          <w:szCs w:val="24"/>
        </w:rPr>
      </w:pPr>
      <w:r w:rsidRPr="0040535D">
        <w:rPr>
          <w:rFonts w:ascii="Times New Roman" w:hAnsi="Times New Roman"/>
          <w:sz w:val="24"/>
          <w:szCs w:val="24"/>
          <w:lang w:eastAsia="pl-PL"/>
        </w:rPr>
        <w:t>W związku z powyższym w ustawie wskazano, iż administratorzy danych przetwarzają dane osobowe w</w:t>
      </w:r>
      <w:r w:rsidRPr="0040535D">
        <w:rPr>
          <w:rFonts w:ascii="Times New Roman" w:hAnsi="Times New Roman"/>
          <w:sz w:val="24"/>
          <w:szCs w:val="24"/>
        </w:rPr>
        <w:t xml:space="preserve"> celach określonym w art. </w:t>
      </w:r>
      <w:r w:rsidR="00955054" w:rsidRPr="0040535D">
        <w:rPr>
          <w:rFonts w:ascii="Times New Roman" w:hAnsi="Times New Roman"/>
          <w:sz w:val="24"/>
          <w:szCs w:val="24"/>
        </w:rPr>
        <w:t xml:space="preserve">4 </w:t>
      </w:r>
      <w:r w:rsidRPr="0040535D">
        <w:rPr>
          <w:rFonts w:ascii="Times New Roman" w:hAnsi="Times New Roman"/>
          <w:sz w:val="24"/>
          <w:szCs w:val="24"/>
        </w:rPr>
        <w:t>rozporządzenia ogólnego, na zasadach określonych w ustawie, rozporządzeniu ogólnym, rozporządzeniu EFS+</w:t>
      </w:r>
      <w:r w:rsidRPr="0040535D">
        <w:rPr>
          <w:rFonts w:ascii="Times New Roman" w:hAnsi="Times New Roman"/>
          <w:sz w:val="24"/>
          <w:szCs w:val="24"/>
          <w:lang w:eastAsia="pl-PL"/>
        </w:rPr>
        <w:t xml:space="preserve"> oraz</w:t>
      </w:r>
      <w:r w:rsidRPr="0040535D">
        <w:rPr>
          <w:rFonts w:ascii="Times New Roman" w:hAnsi="Times New Roman"/>
          <w:sz w:val="24"/>
          <w:szCs w:val="24"/>
        </w:rPr>
        <w:t xml:space="preserve"> rozporządzeniu FST</w:t>
      </w:r>
      <w:r w:rsidRPr="0040535D">
        <w:rPr>
          <w:rFonts w:ascii="Times New Roman" w:hAnsi="Times New Roman"/>
          <w:sz w:val="24"/>
          <w:szCs w:val="24"/>
          <w:lang w:eastAsia="pl-PL"/>
        </w:rPr>
        <w:t xml:space="preserve"> (</w:t>
      </w:r>
      <w:r w:rsidRPr="0040535D">
        <w:rPr>
          <w:rFonts w:ascii="Times New Roman" w:hAnsi="Times New Roman"/>
          <w:b/>
          <w:sz w:val="24"/>
          <w:szCs w:val="24"/>
          <w:lang w:eastAsia="pl-PL"/>
        </w:rPr>
        <w:t xml:space="preserve">art. </w:t>
      </w:r>
      <w:r w:rsidR="00AA3079" w:rsidRPr="0040535D">
        <w:rPr>
          <w:rFonts w:ascii="Times New Roman" w:hAnsi="Times New Roman"/>
          <w:b/>
          <w:sz w:val="24"/>
          <w:szCs w:val="24"/>
          <w:lang w:eastAsia="pl-PL"/>
        </w:rPr>
        <w:t>8</w:t>
      </w:r>
      <w:r w:rsidR="00CA0F53" w:rsidRPr="0040535D">
        <w:rPr>
          <w:rFonts w:ascii="Times New Roman" w:hAnsi="Times New Roman"/>
          <w:b/>
          <w:sz w:val="24"/>
          <w:szCs w:val="24"/>
          <w:lang w:eastAsia="pl-PL"/>
        </w:rPr>
        <w:t>7</w:t>
      </w:r>
      <w:r w:rsidR="00AA3079" w:rsidRPr="0040535D">
        <w:rPr>
          <w:rFonts w:ascii="Times New Roman" w:hAnsi="Times New Roman"/>
          <w:b/>
          <w:sz w:val="24"/>
          <w:szCs w:val="24"/>
          <w:lang w:eastAsia="pl-PL"/>
        </w:rPr>
        <w:t xml:space="preserve"> </w:t>
      </w:r>
      <w:r w:rsidRPr="0040535D">
        <w:rPr>
          <w:rFonts w:ascii="Times New Roman" w:hAnsi="Times New Roman"/>
          <w:b/>
          <w:sz w:val="24"/>
          <w:szCs w:val="24"/>
          <w:lang w:eastAsia="pl-PL"/>
        </w:rPr>
        <w:t>ust.1</w:t>
      </w:r>
      <w:r w:rsidRPr="0040535D">
        <w:rPr>
          <w:rFonts w:ascii="Times New Roman" w:hAnsi="Times New Roman"/>
          <w:sz w:val="24"/>
          <w:szCs w:val="24"/>
          <w:lang w:eastAsia="pl-PL"/>
        </w:rPr>
        <w:t xml:space="preserve"> w zw. z </w:t>
      </w:r>
      <w:r w:rsidRPr="0040535D">
        <w:rPr>
          <w:rFonts w:ascii="Times New Roman" w:hAnsi="Times New Roman"/>
          <w:b/>
          <w:sz w:val="24"/>
          <w:szCs w:val="24"/>
          <w:lang w:eastAsia="pl-PL"/>
        </w:rPr>
        <w:t xml:space="preserve">art. </w:t>
      </w:r>
      <w:r w:rsidR="00AA3079" w:rsidRPr="0040535D">
        <w:rPr>
          <w:rFonts w:ascii="Times New Roman" w:hAnsi="Times New Roman"/>
          <w:b/>
          <w:sz w:val="24"/>
          <w:szCs w:val="24"/>
          <w:lang w:eastAsia="pl-PL"/>
        </w:rPr>
        <w:t>8</w:t>
      </w:r>
      <w:r w:rsidR="00CA0F53" w:rsidRPr="0040535D">
        <w:rPr>
          <w:rFonts w:ascii="Times New Roman" w:hAnsi="Times New Roman"/>
          <w:b/>
          <w:sz w:val="24"/>
          <w:szCs w:val="24"/>
          <w:lang w:eastAsia="pl-PL"/>
        </w:rPr>
        <w:t>8</w:t>
      </w:r>
      <w:r w:rsidRPr="0040535D">
        <w:rPr>
          <w:rFonts w:ascii="Times New Roman" w:hAnsi="Times New Roman"/>
          <w:sz w:val="24"/>
          <w:szCs w:val="24"/>
          <w:lang w:eastAsia="pl-PL"/>
        </w:rPr>
        <w:t>)</w:t>
      </w:r>
      <w:r w:rsidRPr="0040535D">
        <w:rPr>
          <w:rFonts w:ascii="Times New Roman" w:hAnsi="Times New Roman"/>
          <w:sz w:val="24"/>
          <w:szCs w:val="24"/>
        </w:rPr>
        <w:t xml:space="preserve">. </w:t>
      </w:r>
    </w:p>
    <w:p w14:paraId="3F3F6325" w14:textId="77777777" w:rsidR="00555DC0" w:rsidRPr="0040535D" w:rsidRDefault="00555DC0" w:rsidP="00A01FB5">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AA3079" w:rsidRPr="0040535D">
        <w:rPr>
          <w:rFonts w:ascii="Times New Roman" w:hAnsi="Times New Roman"/>
          <w:sz w:val="24"/>
          <w:szCs w:val="24"/>
        </w:rPr>
        <w:t>8</w:t>
      </w:r>
      <w:r w:rsidR="00CA0F53" w:rsidRPr="0040535D">
        <w:rPr>
          <w:rFonts w:ascii="Times New Roman" w:hAnsi="Times New Roman"/>
          <w:sz w:val="24"/>
          <w:szCs w:val="24"/>
        </w:rPr>
        <w:t>7</w:t>
      </w:r>
      <w:r w:rsidR="00AA3079" w:rsidRPr="0040535D">
        <w:rPr>
          <w:rFonts w:ascii="Times New Roman" w:hAnsi="Times New Roman"/>
          <w:sz w:val="24"/>
          <w:szCs w:val="24"/>
        </w:rPr>
        <w:t xml:space="preserve"> </w:t>
      </w:r>
      <w:r w:rsidRPr="0040535D">
        <w:rPr>
          <w:rFonts w:ascii="Times New Roman" w:hAnsi="Times New Roman"/>
          <w:sz w:val="24"/>
          <w:szCs w:val="24"/>
        </w:rPr>
        <w:t>ust. 3 podkreśla możliwość przetwarzania danych dotyczących pochodzenia rasowego lub etnicznego lub danych dotyczących zdrowia</w:t>
      </w:r>
      <w:r w:rsidR="00890786" w:rsidRPr="0040535D">
        <w:rPr>
          <w:rFonts w:ascii="Times New Roman" w:hAnsi="Times New Roman"/>
          <w:sz w:val="24"/>
          <w:szCs w:val="24"/>
        </w:rPr>
        <w:t xml:space="preserve"> oraz dane dotyczące dat zakończenia odbywania wyroków osób skazanych</w:t>
      </w:r>
      <w:r w:rsidRPr="0040535D">
        <w:rPr>
          <w:rFonts w:ascii="Times New Roman" w:hAnsi="Times New Roman"/>
          <w:sz w:val="24"/>
          <w:szCs w:val="24"/>
        </w:rPr>
        <w:t xml:space="preserve"> w zakresie osób otrzymujących wsparcie </w:t>
      </w:r>
      <w:r w:rsidRPr="0040535D">
        <w:rPr>
          <w:rFonts w:ascii="Times New Roman" w:hAnsi="Times New Roman"/>
          <w:sz w:val="24"/>
          <w:szCs w:val="24"/>
        </w:rPr>
        <w:br/>
        <w:t xml:space="preserve">z </w:t>
      </w:r>
      <w:r w:rsidR="00165BF9" w:rsidRPr="0040535D">
        <w:rPr>
          <w:rFonts w:ascii="Times New Roman" w:hAnsi="Times New Roman"/>
          <w:sz w:val="24"/>
          <w:szCs w:val="24"/>
        </w:rPr>
        <w:t>EFS</w:t>
      </w:r>
      <w:r w:rsidRPr="0040535D">
        <w:rPr>
          <w:rFonts w:ascii="Times New Roman" w:hAnsi="Times New Roman"/>
          <w:sz w:val="24"/>
          <w:szCs w:val="24"/>
        </w:rPr>
        <w:t xml:space="preserve"> </w:t>
      </w:r>
      <w:r w:rsidR="005871B1" w:rsidRPr="0040535D">
        <w:rPr>
          <w:rFonts w:ascii="Times New Roman" w:hAnsi="Times New Roman"/>
          <w:sz w:val="24"/>
          <w:szCs w:val="24"/>
        </w:rPr>
        <w:t>+</w:t>
      </w:r>
      <w:r w:rsidR="00D700F1" w:rsidRPr="0040535D">
        <w:rPr>
          <w:rFonts w:ascii="Times New Roman" w:hAnsi="Times New Roman"/>
          <w:sz w:val="24"/>
          <w:szCs w:val="24"/>
        </w:rPr>
        <w:t xml:space="preserve"> </w:t>
      </w:r>
      <w:r w:rsidRPr="0040535D">
        <w:rPr>
          <w:rFonts w:ascii="Times New Roman" w:hAnsi="Times New Roman"/>
          <w:sz w:val="24"/>
          <w:szCs w:val="24"/>
        </w:rPr>
        <w:t xml:space="preserve">i osób ubiegających się o wsparcie w ramach projektu finansowanego z Europejskiego </w:t>
      </w:r>
      <w:r w:rsidR="0050013F" w:rsidRPr="0040535D">
        <w:rPr>
          <w:rFonts w:ascii="Times New Roman" w:hAnsi="Times New Roman"/>
          <w:sz w:val="24"/>
          <w:szCs w:val="24"/>
        </w:rPr>
        <w:t>+</w:t>
      </w:r>
      <w:r w:rsidRPr="0040535D">
        <w:rPr>
          <w:rFonts w:ascii="Times New Roman" w:hAnsi="Times New Roman"/>
          <w:sz w:val="24"/>
          <w:szCs w:val="24"/>
        </w:rPr>
        <w:t xml:space="preserve"> (dane są przetwarzane zgodnie z wymogami określonymi w załączniku I do rozporządzenia EFS+).</w:t>
      </w:r>
    </w:p>
    <w:p w14:paraId="7DCB5DB3" w14:textId="77777777" w:rsidR="00555DC0" w:rsidRPr="0040535D" w:rsidRDefault="00CD153B" w:rsidP="00892DB5">
      <w:pPr>
        <w:autoSpaceDE w:val="0"/>
        <w:autoSpaceDN w:val="0"/>
        <w:adjustRightInd w:val="0"/>
        <w:spacing w:after="0" w:line="360" w:lineRule="auto"/>
        <w:jc w:val="both"/>
        <w:rPr>
          <w:rFonts w:ascii="Times New Roman" w:hAnsi="Times New Roman"/>
          <w:sz w:val="24"/>
          <w:szCs w:val="24"/>
          <w:lang w:eastAsia="pl-PL"/>
        </w:rPr>
      </w:pPr>
      <w:r w:rsidRPr="0040535D">
        <w:rPr>
          <w:rFonts w:ascii="Times New Roman" w:hAnsi="Times New Roman"/>
          <w:sz w:val="24"/>
          <w:szCs w:val="24"/>
        </w:rPr>
        <w:lastRenderedPageBreak/>
        <w:t>Tym samym, dane osobowe zbierane w tak określonych celach są przetwarzane w oparciu o przesłanki określone w art. 6 ust. 1 lit. c</w:t>
      </w:r>
      <w:r w:rsidRPr="0040535D">
        <w:rPr>
          <w:rFonts w:ascii="Times New Roman" w:hAnsi="Times New Roman"/>
          <w:sz w:val="24"/>
          <w:szCs w:val="24"/>
          <w:vertAlign w:val="superscript"/>
        </w:rPr>
        <w:footnoteReference w:id="2"/>
      </w:r>
      <w:r w:rsidRPr="0040535D">
        <w:rPr>
          <w:rFonts w:ascii="Times New Roman" w:hAnsi="Times New Roman"/>
          <w:sz w:val="24"/>
          <w:szCs w:val="24"/>
        </w:rPr>
        <w:t xml:space="preserve"> RODO oraz art. 9 ust. 2 lit. g</w:t>
      </w:r>
      <w:r w:rsidRPr="0040535D">
        <w:rPr>
          <w:rFonts w:ascii="Times New Roman" w:hAnsi="Times New Roman"/>
          <w:sz w:val="24"/>
          <w:szCs w:val="24"/>
          <w:vertAlign w:val="superscript"/>
        </w:rPr>
        <w:footnoteReference w:id="3"/>
      </w:r>
      <w:r w:rsidRPr="0040535D">
        <w:rPr>
          <w:rFonts w:ascii="Times New Roman" w:hAnsi="Times New Roman"/>
          <w:sz w:val="24"/>
          <w:szCs w:val="24"/>
        </w:rPr>
        <w:t xml:space="preserve"> RODO</w:t>
      </w:r>
      <w:r w:rsidR="009F5AA9" w:rsidRPr="0040535D">
        <w:rPr>
          <w:rFonts w:ascii="Times New Roman" w:hAnsi="Times New Roman"/>
          <w:sz w:val="24"/>
          <w:szCs w:val="24"/>
          <w:lang w:eastAsia="pl-PL"/>
        </w:rPr>
        <w:t xml:space="preserve"> oraz </w:t>
      </w:r>
      <w:r w:rsidR="00555DC0" w:rsidRPr="0040535D">
        <w:rPr>
          <w:rFonts w:ascii="Times New Roman" w:hAnsi="Times New Roman"/>
          <w:sz w:val="24"/>
          <w:szCs w:val="24"/>
          <w:lang w:eastAsia="pl-PL"/>
        </w:rPr>
        <w:t>(tam, gdzie jest to niezbędne) w art. 6 ust 1 lit. b</w:t>
      </w:r>
      <w:r w:rsidR="00555DC0" w:rsidRPr="0040535D">
        <w:rPr>
          <w:rFonts w:ascii="Times New Roman" w:hAnsi="Times New Roman"/>
          <w:sz w:val="24"/>
          <w:szCs w:val="24"/>
          <w:vertAlign w:val="superscript"/>
          <w:lang w:eastAsia="pl-PL"/>
        </w:rPr>
        <w:footnoteReference w:id="4"/>
      </w:r>
      <w:r w:rsidR="000542E2" w:rsidRPr="0040535D">
        <w:rPr>
          <w:rFonts w:ascii="Times New Roman" w:hAnsi="Times New Roman"/>
          <w:sz w:val="24"/>
          <w:szCs w:val="24"/>
          <w:vertAlign w:val="superscript"/>
          <w:lang w:eastAsia="pl-PL"/>
        </w:rPr>
        <w:t>)</w:t>
      </w:r>
      <w:r w:rsidR="00555DC0" w:rsidRPr="0040535D">
        <w:rPr>
          <w:rFonts w:ascii="Times New Roman" w:hAnsi="Times New Roman"/>
          <w:sz w:val="24"/>
          <w:szCs w:val="24"/>
          <w:lang w:eastAsia="pl-PL"/>
        </w:rPr>
        <w:t xml:space="preserve"> RODO.</w:t>
      </w:r>
    </w:p>
    <w:p w14:paraId="7DD6A55E" w14:textId="77777777" w:rsidR="002F4CFB" w:rsidRDefault="00555DC0" w:rsidP="002B30D0">
      <w:p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Dane osobowe pozyskiwane są bezpośrednio od osób, których dane dotyczą, z systemów teleinformatycznych, o których mowa w art. 2 pkt 26, lub z rejestrów publicznych, o których mowa w art. </w:t>
      </w:r>
      <w:r w:rsidR="00AA3079" w:rsidRPr="0040535D">
        <w:rPr>
          <w:rFonts w:ascii="Times New Roman" w:hAnsi="Times New Roman"/>
          <w:sz w:val="24"/>
          <w:szCs w:val="24"/>
        </w:rPr>
        <w:t>9</w:t>
      </w:r>
      <w:r w:rsidR="00CA0F53" w:rsidRPr="0040535D">
        <w:rPr>
          <w:rFonts w:ascii="Times New Roman" w:hAnsi="Times New Roman"/>
          <w:sz w:val="24"/>
          <w:szCs w:val="24"/>
        </w:rPr>
        <w:t>2</w:t>
      </w:r>
      <w:r w:rsidR="00AA3079" w:rsidRPr="0040535D">
        <w:rPr>
          <w:rFonts w:ascii="Times New Roman" w:hAnsi="Times New Roman"/>
          <w:sz w:val="24"/>
          <w:szCs w:val="24"/>
        </w:rPr>
        <w:t xml:space="preserve"> </w:t>
      </w:r>
      <w:r w:rsidRPr="0040535D">
        <w:rPr>
          <w:rFonts w:ascii="Times New Roman" w:hAnsi="Times New Roman"/>
          <w:sz w:val="24"/>
          <w:szCs w:val="24"/>
        </w:rPr>
        <w:t>ust. 2.</w:t>
      </w:r>
    </w:p>
    <w:p w14:paraId="2E930567" w14:textId="77777777" w:rsidR="00555DC0" w:rsidRPr="0040535D" w:rsidRDefault="002F4CFB" w:rsidP="002B30D0">
      <w:pPr>
        <w:autoSpaceDE w:val="0"/>
        <w:autoSpaceDN w:val="0"/>
        <w:adjustRightInd w:val="0"/>
        <w:spacing w:after="0" w:line="360" w:lineRule="auto"/>
        <w:jc w:val="both"/>
        <w:rPr>
          <w:rFonts w:ascii="Times New Roman" w:hAnsi="Times New Roman"/>
          <w:sz w:val="24"/>
          <w:szCs w:val="24"/>
          <w:lang w:eastAsia="pl-PL"/>
        </w:rPr>
      </w:pPr>
      <w:r w:rsidRPr="002F4CFB">
        <w:t xml:space="preserve"> </w:t>
      </w:r>
      <w:r w:rsidRPr="002F4CFB">
        <w:rPr>
          <w:rFonts w:ascii="Times New Roman" w:hAnsi="Times New Roman"/>
          <w:sz w:val="24"/>
          <w:szCs w:val="24"/>
        </w:rPr>
        <w:t>Osoby upoważnione do przetwarzania danych osobowych są zobowiązane do zachowania tajemnicy zawodowej.</w:t>
      </w:r>
    </w:p>
    <w:p w14:paraId="59431CCE" w14:textId="77777777" w:rsidR="00555DC0" w:rsidRPr="0040535D" w:rsidRDefault="00555DC0" w:rsidP="00EC2541">
      <w:p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lang w:eastAsia="pl-PL"/>
        </w:rPr>
        <w:t xml:space="preserve">W </w:t>
      </w:r>
      <w:r w:rsidRPr="0040535D">
        <w:rPr>
          <w:rFonts w:ascii="Times New Roman" w:hAnsi="Times New Roman"/>
          <w:b/>
          <w:sz w:val="24"/>
          <w:szCs w:val="24"/>
          <w:lang w:eastAsia="pl-PL"/>
        </w:rPr>
        <w:t xml:space="preserve">art. </w:t>
      </w:r>
      <w:r w:rsidR="00AA3079" w:rsidRPr="0040535D">
        <w:rPr>
          <w:rFonts w:ascii="Times New Roman" w:hAnsi="Times New Roman"/>
          <w:b/>
          <w:sz w:val="24"/>
          <w:szCs w:val="24"/>
          <w:lang w:eastAsia="pl-PL"/>
        </w:rPr>
        <w:t>8</w:t>
      </w:r>
      <w:r w:rsidR="00CA0F53" w:rsidRPr="0040535D">
        <w:rPr>
          <w:rFonts w:ascii="Times New Roman" w:hAnsi="Times New Roman"/>
          <w:b/>
          <w:sz w:val="24"/>
          <w:szCs w:val="24"/>
          <w:lang w:eastAsia="pl-PL"/>
        </w:rPr>
        <w:t>8</w:t>
      </w:r>
      <w:r w:rsidR="00AA3079" w:rsidRPr="0040535D">
        <w:rPr>
          <w:rFonts w:ascii="Times New Roman" w:hAnsi="Times New Roman"/>
          <w:sz w:val="24"/>
          <w:szCs w:val="24"/>
          <w:lang w:eastAsia="pl-PL"/>
        </w:rPr>
        <w:t xml:space="preserve"> </w:t>
      </w:r>
      <w:r w:rsidRPr="0040535D">
        <w:rPr>
          <w:rFonts w:ascii="Times New Roman" w:hAnsi="Times New Roman"/>
          <w:sz w:val="24"/>
          <w:szCs w:val="24"/>
          <w:lang w:eastAsia="pl-PL"/>
        </w:rPr>
        <w:t>wskazano podmioty uczestniczące w realizacji programów i polityki spójności, które pełnią rolę administratorów danych osobowych. Są nimi: minister właściwy do spraw rozwoju regionalnego wykonujący zadania państwa członkowskiego,</w:t>
      </w:r>
      <w:r w:rsidR="003B190A" w:rsidRPr="003B190A">
        <w:t xml:space="preserve"> </w:t>
      </w:r>
      <w:r w:rsidR="003B190A" w:rsidRPr="003B190A">
        <w:rPr>
          <w:rFonts w:ascii="Times New Roman" w:hAnsi="Times New Roman"/>
          <w:sz w:val="24"/>
          <w:szCs w:val="24"/>
          <w:lang w:eastAsia="pl-PL"/>
        </w:rPr>
        <w:t>minister właściwy do spraw finansów publicznych</w:t>
      </w:r>
      <w:r w:rsidR="003B190A">
        <w:rPr>
          <w:rFonts w:ascii="Times New Roman" w:hAnsi="Times New Roman"/>
          <w:sz w:val="24"/>
          <w:szCs w:val="24"/>
          <w:lang w:eastAsia="pl-PL"/>
        </w:rPr>
        <w:t>,</w:t>
      </w:r>
      <w:r w:rsidRPr="0040535D">
        <w:rPr>
          <w:rFonts w:ascii="Times New Roman" w:hAnsi="Times New Roman"/>
          <w:sz w:val="24"/>
          <w:szCs w:val="24"/>
          <w:lang w:eastAsia="pl-PL"/>
        </w:rPr>
        <w:t xml:space="preserve"> instytucje zarządzające, wspólny sekretariat, koordynator </w:t>
      </w:r>
      <w:r w:rsidR="00630957" w:rsidRPr="0040535D">
        <w:rPr>
          <w:rFonts w:ascii="Times New Roman" w:hAnsi="Times New Roman"/>
          <w:sz w:val="24"/>
          <w:szCs w:val="24"/>
          <w:lang w:eastAsia="pl-PL"/>
        </w:rPr>
        <w:t xml:space="preserve">programów </w:t>
      </w:r>
      <w:proofErr w:type="spellStart"/>
      <w:r w:rsidRPr="0040535D">
        <w:rPr>
          <w:rFonts w:ascii="Times New Roman" w:hAnsi="Times New Roman"/>
          <w:sz w:val="24"/>
          <w:szCs w:val="24"/>
          <w:lang w:eastAsia="pl-PL"/>
        </w:rPr>
        <w:t>Interreg</w:t>
      </w:r>
      <w:proofErr w:type="spellEnd"/>
      <w:r w:rsidRPr="0040535D">
        <w:rPr>
          <w:rFonts w:ascii="Times New Roman" w:hAnsi="Times New Roman"/>
          <w:sz w:val="24"/>
          <w:szCs w:val="24"/>
          <w:lang w:eastAsia="pl-PL"/>
        </w:rPr>
        <w:t xml:space="preserve">, kontroler krajowy, instytucje pośredniczące, instytucje wdrażające, </w:t>
      </w:r>
      <w:r w:rsidR="00751F6E" w:rsidRPr="00751F6E">
        <w:rPr>
          <w:rFonts w:ascii="Times New Roman" w:hAnsi="Times New Roman"/>
          <w:sz w:val="24"/>
          <w:szCs w:val="24"/>
          <w:lang w:eastAsia="pl-PL"/>
        </w:rPr>
        <w:t xml:space="preserve">instytucja pośrednicząca </w:t>
      </w:r>
      <w:proofErr w:type="spellStart"/>
      <w:r w:rsidR="00751F6E" w:rsidRPr="00751F6E">
        <w:rPr>
          <w:rFonts w:ascii="Times New Roman" w:hAnsi="Times New Roman"/>
          <w:sz w:val="24"/>
          <w:szCs w:val="24"/>
          <w:lang w:eastAsia="pl-PL"/>
        </w:rPr>
        <w:t>Interreg</w:t>
      </w:r>
      <w:proofErr w:type="spellEnd"/>
      <w:r w:rsidR="00751F6E" w:rsidRPr="00751F6E">
        <w:rPr>
          <w:rFonts w:ascii="Times New Roman" w:hAnsi="Times New Roman"/>
          <w:sz w:val="24"/>
          <w:szCs w:val="24"/>
          <w:lang w:eastAsia="pl-PL"/>
        </w:rPr>
        <w:t xml:space="preserve">, </w:t>
      </w:r>
      <w:r w:rsidRPr="0040535D">
        <w:rPr>
          <w:rFonts w:ascii="Times New Roman" w:hAnsi="Times New Roman"/>
          <w:sz w:val="24"/>
          <w:szCs w:val="24"/>
          <w:lang w:eastAsia="pl-PL"/>
        </w:rPr>
        <w:t>beneficjenci i wnioskodawcy. Zakres obowiązków podmiotów pełniących funkcje administratorów danych wynika bezpośrednio z RODO</w:t>
      </w:r>
      <w:r w:rsidRPr="0040535D">
        <w:rPr>
          <w:rFonts w:ascii="Times New Roman" w:hAnsi="Times New Roman"/>
          <w:sz w:val="24"/>
          <w:szCs w:val="24"/>
        </w:rPr>
        <w:t>. Administratorzy przetwarzają dane osobowe zgodnie z przepisami RODO. Każdy z administratorów w swoim zakresie wypełnia obowiązki nałożone na niego przez RODO, w tym:</w:t>
      </w:r>
    </w:p>
    <w:p w14:paraId="7EB4E33F" w14:textId="77777777" w:rsidR="00555DC0" w:rsidRPr="0040535D" w:rsidRDefault="00555DC0" w:rsidP="009A0EE5">
      <w:pPr>
        <w:numPr>
          <w:ilvl w:val="0"/>
          <w:numId w:val="19"/>
        </w:numPr>
        <w:autoSpaceDE w:val="0"/>
        <w:autoSpaceDN w:val="0"/>
        <w:adjustRightInd w:val="0"/>
        <w:spacing w:after="0" w:line="360" w:lineRule="auto"/>
        <w:ind w:left="714" w:hanging="357"/>
        <w:jc w:val="both"/>
        <w:rPr>
          <w:rFonts w:ascii="Times New Roman" w:hAnsi="Times New Roman"/>
          <w:sz w:val="24"/>
          <w:szCs w:val="24"/>
        </w:rPr>
      </w:pPr>
      <w:r w:rsidRPr="0040535D">
        <w:rPr>
          <w:rFonts w:ascii="Times New Roman" w:hAnsi="Times New Roman"/>
          <w:sz w:val="24"/>
          <w:szCs w:val="24"/>
        </w:rPr>
        <w:t>ustala cele i sposoby przetwarzania danych,</w:t>
      </w:r>
    </w:p>
    <w:p w14:paraId="7C7EF4F9" w14:textId="77777777" w:rsidR="00555DC0" w:rsidRPr="0040535D" w:rsidRDefault="00555DC0" w:rsidP="009A0EE5">
      <w:pPr>
        <w:numPr>
          <w:ilvl w:val="0"/>
          <w:numId w:val="19"/>
        </w:numPr>
        <w:autoSpaceDE w:val="0"/>
        <w:autoSpaceDN w:val="0"/>
        <w:adjustRightInd w:val="0"/>
        <w:spacing w:after="0" w:line="360" w:lineRule="auto"/>
        <w:ind w:left="714" w:hanging="357"/>
        <w:jc w:val="both"/>
        <w:rPr>
          <w:rFonts w:ascii="Times New Roman" w:hAnsi="Times New Roman"/>
          <w:sz w:val="24"/>
          <w:szCs w:val="24"/>
        </w:rPr>
      </w:pPr>
      <w:r w:rsidRPr="0040535D">
        <w:rPr>
          <w:rFonts w:ascii="Times New Roman" w:hAnsi="Times New Roman"/>
          <w:sz w:val="24"/>
          <w:szCs w:val="24"/>
        </w:rPr>
        <w:t xml:space="preserve">zapewnia przestrzeganie przepisów i rozliczalność (zgodność z prawem, rzetelność </w:t>
      </w:r>
      <w:r w:rsidRPr="0040535D">
        <w:rPr>
          <w:rFonts w:ascii="Times New Roman" w:hAnsi="Times New Roman"/>
          <w:sz w:val="24"/>
          <w:szCs w:val="24"/>
        </w:rPr>
        <w:br/>
        <w:t>i przejrzystość, ograniczenie celu, minimalizację danych, prawidłowość, ograniczenie przechowywania, integralność i poufność),</w:t>
      </w:r>
    </w:p>
    <w:p w14:paraId="2D88F5DC" w14:textId="77777777" w:rsidR="00555DC0" w:rsidRPr="0040535D" w:rsidRDefault="00555DC0" w:rsidP="009A0EE5">
      <w:pPr>
        <w:numPr>
          <w:ilvl w:val="0"/>
          <w:numId w:val="19"/>
        </w:numPr>
        <w:autoSpaceDE w:val="0"/>
        <w:autoSpaceDN w:val="0"/>
        <w:adjustRightInd w:val="0"/>
        <w:spacing w:after="0" w:line="360" w:lineRule="auto"/>
        <w:ind w:left="714" w:hanging="357"/>
        <w:jc w:val="both"/>
        <w:rPr>
          <w:rFonts w:ascii="Times New Roman" w:hAnsi="Times New Roman"/>
          <w:sz w:val="24"/>
          <w:szCs w:val="24"/>
        </w:rPr>
      </w:pPr>
      <w:r w:rsidRPr="0040535D">
        <w:rPr>
          <w:rFonts w:ascii="Times New Roman" w:hAnsi="Times New Roman"/>
          <w:sz w:val="24"/>
          <w:szCs w:val="24"/>
        </w:rPr>
        <w:t>realizuje uprawnienia osób, których dane dotyczą,</w:t>
      </w:r>
    </w:p>
    <w:p w14:paraId="7A4CC712" w14:textId="77777777" w:rsidR="00555DC0" w:rsidRPr="0040535D" w:rsidRDefault="00555DC0" w:rsidP="009A0EE5">
      <w:pPr>
        <w:numPr>
          <w:ilvl w:val="0"/>
          <w:numId w:val="19"/>
        </w:numPr>
        <w:autoSpaceDE w:val="0"/>
        <w:autoSpaceDN w:val="0"/>
        <w:adjustRightInd w:val="0"/>
        <w:spacing w:after="0" w:line="360" w:lineRule="auto"/>
        <w:ind w:left="714" w:hanging="357"/>
        <w:jc w:val="both"/>
        <w:rPr>
          <w:rFonts w:ascii="Times New Roman" w:hAnsi="Times New Roman"/>
          <w:sz w:val="24"/>
          <w:szCs w:val="24"/>
        </w:rPr>
      </w:pPr>
      <w:r w:rsidRPr="0040535D">
        <w:rPr>
          <w:rFonts w:ascii="Times New Roman" w:hAnsi="Times New Roman"/>
          <w:sz w:val="24"/>
          <w:szCs w:val="24"/>
        </w:rPr>
        <w:t xml:space="preserve">zapewnia środki techniczne i organizacyjne umożliwiające należyte zabezpieczenie danych osobowych, wymagane przepisami prawa, </w:t>
      </w:r>
    </w:p>
    <w:p w14:paraId="6E7DE8AF" w14:textId="77777777" w:rsidR="00555DC0" w:rsidRPr="0040535D" w:rsidRDefault="00555DC0" w:rsidP="009A0EE5">
      <w:pPr>
        <w:numPr>
          <w:ilvl w:val="0"/>
          <w:numId w:val="19"/>
        </w:numPr>
        <w:autoSpaceDE w:val="0"/>
        <w:autoSpaceDN w:val="0"/>
        <w:adjustRightInd w:val="0"/>
        <w:spacing w:after="0" w:line="360" w:lineRule="auto"/>
        <w:ind w:left="714" w:hanging="357"/>
        <w:jc w:val="both"/>
        <w:rPr>
          <w:rFonts w:ascii="Times New Roman" w:hAnsi="Times New Roman"/>
          <w:sz w:val="24"/>
          <w:szCs w:val="24"/>
          <w:lang w:eastAsia="pl-PL"/>
        </w:rPr>
      </w:pPr>
      <w:r w:rsidRPr="0040535D">
        <w:rPr>
          <w:rFonts w:ascii="Times New Roman" w:hAnsi="Times New Roman"/>
          <w:sz w:val="24"/>
          <w:szCs w:val="24"/>
        </w:rPr>
        <w:t>ponosi odpowiedzialność za szkody powstałe w związku z niezgodnym z prawem przetwarzaniem danych osobowych.</w:t>
      </w:r>
    </w:p>
    <w:p w14:paraId="6F54782F" w14:textId="77777777" w:rsidR="00555DC0" w:rsidRPr="0040535D" w:rsidRDefault="00555DC0" w:rsidP="008D25C4">
      <w:pPr>
        <w:autoSpaceDE w:val="0"/>
        <w:autoSpaceDN w:val="0"/>
        <w:adjustRightInd w:val="0"/>
        <w:spacing w:after="0" w:line="360" w:lineRule="auto"/>
        <w:jc w:val="both"/>
        <w:rPr>
          <w:rFonts w:ascii="Times New Roman" w:hAnsi="Times New Roman"/>
          <w:sz w:val="24"/>
          <w:szCs w:val="24"/>
          <w:lang w:eastAsia="pl-PL"/>
        </w:rPr>
      </w:pPr>
      <w:r w:rsidRPr="0040535D">
        <w:rPr>
          <w:rFonts w:ascii="Times New Roman" w:hAnsi="Times New Roman"/>
          <w:sz w:val="24"/>
          <w:szCs w:val="24"/>
        </w:rPr>
        <w:lastRenderedPageBreak/>
        <w:t xml:space="preserve">Na podmiotach pełniących role administratorów danych spoczywa obowiązek minimalizacji przetwarzanych danych, z którego wynika, że administratorzy przetwarzają dane osobowe </w:t>
      </w:r>
      <w:r w:rsidRPr="0040535D">
        <w:rPr>
          <w:rFonts w:ascii="Times New Roman" w:hAnsi="Times New Roman"/>
          <w:sz w:val="24"/>
          <w:szCs w:val="24"/>
          <w:lang w:eastAsia="pl-PL"/>
        </w:rPr>
        <w:t xml:space="preserve">tylko w takim zakresie, jaki jest niezbędny do realizacji ciążących na nich zadań wynikających z rozporządzeń unijnych i prawa krajowego, głównie w celu weryfikacji kwalifikowalności wydatków. </w:t>
      </w:r>
    </w:p>
    <w:p w14:paraId="16939199" w14:textId="77777777" w:rsidR="00555DC0" w:rsidRPr="0040535D" w:rsidRDefault="00555DC0" w:rsidP="008D4E79">
      <w:pPr>
        <w:autoSpaceDE w:val="0"/>
        <w:autoSpaceDN w:val="0"/>
        <w:adjustRightInd w:val="0"/>
        <w:spacing w:after="0" w:line="360" w:lineRule="auto"/>
        <w:jc w:val="both"/>
        <w:rPr>
          <w:rFonts w:ascii="Times New Roman" w:hAnsi="Times New Roman"/>
          <w:sz w:val="24"/>
          <w:szCs w:val="24"/>
          <w:lang w:eastAsia="pl-PL"/>
        </w:rPr>
      </w:pPr>
      <w:r w:rsidRPr="0040535D">
        <w:rPr>
          <w:rFonts w:ascii="Times New Roman" w:hAnsi="Times New Roman"/>
          <w:sz w:val="24"/>
          <w:szCs w:val="24"/>
          <w:lang w:eastAsia="pl-PL"/>
        </w:rPr>
        <w:t>Zakres danych został określony w oparciu o przepisy rozporządzeń unijnych</w:t>
      </w:r>
      <w:r w:rsidRPr="0040535D">
        <w:rPr>
          <w:rFonts w:ascii="Times New Roman" w:hAnsi="Times New Roman"/>
          <w:sz w:val="24"/>
          <w:szCs w:val="24"/>
          <w:vertAlign w:val="superscript"/>
          <w:lang w:eastAsia="pl-PL"/>
        </w:rPr>
        <w:footnoteReference w:id="5"/>
      </w:r>
      <w:r w:rsidR="000542E2" w:rsidRPr="0040535D">
        <w:rPr>
          <w:rFonts w:ascii="Times New Roman" w:hAnsi="Times New Roman"/>
          <w:sz w:val="24"/>
          <w:szCs w:val="24"/>
          <w:vertAlign w:val="superscript"/>
          <w:lang w:eastAsia="pl-PL"/>
        </w:rPr>
        <w:t>)</w:t>
      </w:r>
      <w:r w:rsidRPr="0040535D">
        <w:rPr>
          <w:rFonts w:ascii="Times New Roman" w:hAnsi="Times New Roman"/>
          <w:sz w:val="24"/>
          <w:szCs w:val="24"/>
          <w:lang w:eastAsia="pl-PL"/>
        </w:rPr>
        <w:t xml:space="preserve">. Przetwarzane przez administratorów dane osobowe obejmują (art. </w:t>
      </w:r>
      <w:r w:rsidR="009511D4" w:rsidRPr="0040535D">
        <w:rPr>
          <w:rFonts w:ascii="Times New Roman" w:hAnsi="Times New Roman"/>
          <w:sz w:val="24"/>
          <w:szCs w:val="24"/>
          <w:lang w:eastAsia="pl-PL"/>
        </w:rPr>
        <w:t>8</w:t>
      </w:r>
      <w:r w:rsidR="00CA0F53" w:rsidRPr="0040535D">
        <w:rPr>
          <w:rFonts w:ascii="Times New Roman" w:hAnsi="Times New Roman"/>
          <w:sz w:val="24"/>
          <w:szCs w:val="24"/>
          <w:lang w:eastAsia="pl-PL"/>
        </w:rPr>
        <w:t>7</w:t>
      </w:r>
      <w:r w:rsidR="009511D4" w:rsidRPr="0040535D">
        <w:rPr>
          <w:rFonts w:ascii="Times New Roman" w:hAnsi="Times New Roman"/>
          <w:sz w:val="24"/>
          <w:szCs w:val="24"/>
          <w:lang w:eastAsia="pl-PL"/>
        </w:rPr>
        <w:t xml:space="preserve"> </w:t>
      </w:r>
      <w:r w:rsidRPr="0040535D">
        <w:rPr>
          <w:rFonts w:ascii="Times New Roman" w:hAnsi="Times New Roman"/>
          <w:sz w:val="24"/>
          <w:szCs w:val="24"/>
          <w:lang w:eastAsia="pl-PL"/>
        </w:rPr>
        <w:t>ust. 2):</w:t>
      </w:r>
    </w:p>
    <w:p w14:paraId="36454B10" w14:textId="77777777" w:rsidR="00751F6E" w:rsidRPr="00751F6E" w:rsidRDefault="00751F6E" w:rsidP="005E6479">
      <w:pPr>
        <w:pStyle w:val="Akapitzlist"/>
        <w:numPr>
          <w:ilvl w:val="0"/>
          <w:numId w:val="21"/>
        </w:numPr>
        <w:spacing w:line="360" w:lineRule="auto"/>
        <w:rPr>
          <w:rFonts w:ascii="Times New Roman" w:eastAsia="Times New Roman" w:hAnsi="Times New Roman"/>
          <w:bCs/>
          <w:sz w:val="24"/>
          <w:szCs w:val="24"/>
          <w:lang w:eastAsia="pl-PL"/>
        </w:rPr>
      </w:pPr>
      <w:r w:rsidRPr="00751F6E">
        <w:rPr>
          <w:rFonts w:ascii="Times New Roman" w:eastAsia="Times New Roman" w:hAnsi="Times New Roman"/>
          <w:bCs/>
          <w:sz w:val="24"/>
          <w:szCs w:val="24"/>
          <w:lang w:eastAsia="pl-PL"/>
        </w:rPr>
        <w:t>dane identyfikujące osoby fizyczne, takie jak imię i nazwisko, adres, adres e-mail, firma i adres, login, numer telefonu, numer faxu, PESEL, NIP, REGON lub inne identyfikatory funkcjonujące w danym państwie, forma prawna prowadzonej działalności, forma własności mienia tej osoby, płeć, wiek, wykształcenie, identyfikatory internetowe;</w:t>
      </w:r>
    </w:p>
    <w:p w14:paraId="1B5D6C4C" w14:textId="77777777" w:rsidR="00555DC0" w:rsidRPr="0040535D" w:rsidRDefault="00555DC0" w:rsidP="005E6479">
      <w:pPr>
        <w:spacing w:after="0" w:line="360" w:lineRule="auto"/>
        <w:ind w:left="360"/>
        <w:jc w:val="both"/>
        <w:rPr>
          <w:rFonts w:ascii="Times New Roman" w:eastAsia="Times New Roman" w:hAnsi="Times New Roman"/>
          <w:bCs/>
          <w:sz w:val="24"/>
          <w:szCs w:val="24"/>
          <w:lang w:eastAsia="pl-PL"/>
        </w:rPr>
      </w:pPr>
    </w:p>
    <w:p w14:paraId="6A105E06" w14:textId="77777777" w:rsidR="00555DC0" w:rsidRPr="0040535D" w:rsidRDefault="00555DC0" w:rsidP="00892DB5">
      <w:pPr>
        <w:numPr>
          <w:ilvl w:val="0"/>
          <w:numId w:val="21"/>
        </w:numPr>
        <w:suppressAutoHyphens/>
        <w:autoSpaceDE w:val="0"/>
        <w:autoSpaceDN w:val="0"/>
        <w:adjustRightInd w:val="0"/>
        <w:spacing w:after="0" w:line="360" w:lineRule="auto"/>
        <w:jc w:val="both"/>
        <w:rPr>
          <w:rFonts w:ascii="Times New Roman" w:eastAsia="Times New Roman" w:hAnsi="Times New Roman"/>
          <w:sz w:val="24"/>
          <w:szCs w:val="24"/>
          <w:lang w:eastAsia="pl-PL"/>
        </w:rPr>
      </w:pPr>
      <w:r w:rsidRPr="0040535D">
        <w:rPr>
          <w:rFonts w:ascii="Times New Roman" w:eastAsia="Times New Roman" w:hAnsi="Times New Roman"/>
          <w:sz w:val="24"/>
          <w:szCs w:val="24"/>
          <w:lang w:eastAsia="pl-PL"/>
        </w:rPr>
        <w:t xml:space="preserve">dane związane z zakresem uczestnictwa osób fizycznych w projekcie, niewskazane </w:t>
      </w:r>
      <w:r w:rsidRPr="0040535D">
        <w:rPr>
          <w:rFonts w:ascii="Times New Roman" w:eastAsia="Times New Roman" w:hAnsi="Times New Roman"/>
          <w:sz w:val="24"/>
          <w:szCs w:val="24"/>
          <w:lang w:eastAsia="pl-PL"/>
        </w:rPr>
        <w:br/>
        <w:t xml:space="preserve">w pkt 1, takie jak wymiar czasu pracy, stanowisko, kwota wynagrodzenia, obywatelstwo, obszar wg stopnia urbanizacji (DEGURBA), status mieszkaniowy, data rozpoczęcia udziału </w:t>
      </w:r>
      <w:r w:rsidRPr="0040535D">
        <w:rPr>
          <w:rFonts w:ascii="Times New Roman" w:eastAsia="Times New Roman" w:hAnsi="Times New Roman"/>
          <w:sz w:val="24"/>
          <w:szCs w:val="24"/>
          <w:lang w:eastAsia="pl-PL"/>
        </w:rPr>
        <w:br/>
        <w:t>w projekcie</w:t>
      </w:r>
      <w:r w:rsidR="00751F6E">
        <w:rPr>
          <w:rFonts w:ascii="Times New Roman" w:eastAsia="Times New Roman" w:hAnsi="Times New Roman"/>
          <w:sz w:val="24"/>
          <w:szCs w:val="24"/>
          <w:lang w:eastAsia="pl-PL"/>
        </w:rPr>
        <w:t xml:space="preserve"> lub </w:t>
      </w:r>
      <w:r w:rsidRPr="0040535D">
        <w:rPr>
          <w:rFonts w:ascii="Times New Roman" w:eastAsia="Times New Roman" w:hAnsi="Times New Roman"/>
          <w:sz w:val="24"/>
          <w:szCs w:val="24"/>
          <w:lang w:eastAsia="pl-PL"/>
        </w:rPr>
        <w:t xml:space="preserve">wsparciu, data zakończenia udziału w projekcie/wsparciu, status na rynku pracy, data założenia działalności gospodarczej, kwota przyznanych środków na założenie działalności gospodarczej, PKD założonej działalności gospodarczej, forma </w:t>
      </w:r>
      <w:r w:rsidR="00751F6E">
        <w:rPr>
          <w:rFonts w:ascii="Times New Roman" w:eastAsia="Times New Roman" w:hAnsi="Times New Roman"/>
          <w:sz w:val="24"/>
          <w:szCs w:val="24"/>
          <w:lang w:eastAsia="pl-PL"/>
        </w:rPr>
        <w:t xml:space="preserve">i </w:t>
      </w:r>
      <w:r w:rsidRPr="0040535D">
        <w:rPr>
          <w:rFonts w:ascii="Times New Roman" w:eastAsia="Times New Roman" w:hAnsi="Times New Roman"/>
          <w:sz w:val="24"/>
          <w:szCs w:val="24"/>
          <w:lang w:eastAsia="pl-PL"/>
        </w:rPr>
        <w:t xml:space="preserve"> okres zaangażowania w projekcie, planowana data zakończenia edukacji w placówce edukacyjnej, w której skorzystano ze wsparcia;</w:t>
      </w:r>
    </w:p>
    <w:p w14:paraId="10F3F1C9" w14:textId="77777777" w:rsidR="00555DC0" w:rsidRPr="0040535D" w:rsidRDefault="00555DC0" w:rsidP="002B30D0">
      <w:pPr>
        <w:numPr>
          <w:ilvl w:val="0"/>
          <w:numId w:val="21"/>
        </w:numPr>
        <w:suppressAutoHyphens/>
        <w:autoSpaceDE w:val="0"/>
        <w:autoSpaceDN w:val="0"/>
        <w:adjustRightInd w:val="0"/>
        <w:spacing w:after="0" w:line="360" w:lineRule="auto"/>
        <w:jc w:val="both"/>
        <w:rPr>
          <w:rFonts w:ascii="Times New Roman" w:eastAsia="Times New Roman" w:hAnsi="Times New Roman"/>
          <w:bCs/>
          <w:sz w:val="24"/>
          <w:szCs w:val="24"/>
          <w:lang w:eastAsia="pl-PL"/>
        </w:rPr>
      </w:pPr>
      <w:r w:rsidRPr="0040535D">
        <w:rPr>
          <w:rFonts w:ascii="Times New Roman" w:eastAsia="Times New Roman" w:hAnsi="Times New Roman"/>
          <w:bCs/>
          <w:sz w:val="24"/>
          <w:szCs w:val="24"/>
          <w:lang w:eastAsia="pl-PL"/>
        </w:rPr>
        <w:t xml:space="preserve">dane osób fizycznych, niewskazane w pkt 1, które widnieją na dokumentach potwierdzających kwalifikowalność wydatków, </w:t>
      </w:r>
      <w:r w:rsidR="009511D4" w:rsidRPr="0040535D">
        <w:rPr>
          <w:rFonts w:ascii="Times New Roman" w:eastAsia="Times New Roman" w:hAnsi="Times New Roman"/>
          <w:bCs/>
          <w:sz w:val="24"/>
          <w:szCs w:val="24"/>
          <w:lang w:eastAsia="pl-PL"/>
        </w:rPr>
        <w:t xml:space="preserve">m.in. </w:t>
      </w:r>
      <w:r w:rsidRPr="0040535D">
        <w:rPr>
          <w:rFonts w:ascii="Times New Roman" w:eastAsia="Times New Roman" w:hAnsi="Times New Roman"/>
          <w:bCs/>
          <w:sz w:val="24"/>
          <w:szCs w:val="24"/>
          <w:lang w:eastAsia="pl-PL"/>
        </w:rPr>
        <w:t>takie jak kwota wynagrodzenia, n</w:t>
      </w:r>
      <w:r w:rsidR="00751F6E">
        <w:rPr>
          <w:rFonts w:ascii="Times New Roman" w:eastAsia="Times New Roman" w:hAnsi="Times New Roman"/>
          <w:bCs/>
          <w:sz w:val="24"/>
          <w:szCs w:val="24"/>
          <w:lang w:eastAsia="pl-PL"/>
        </w:rPr>
        <w:t>ume</w:t>
      </w:r>
      <w:r w:rsidRPr="0040535D">
        <w:rPr>
          <w:rFonts w:ascii="Times New Roman" w:eastAsia="Times New Roman" w:hAnsi="Times New Roman"/>
          <w:bCs/>
          <w:sz w:val="24"/>
          <w:szCs w:val="24"/>
          <w:lang w:eastAsia="pl-PL"/>
        </w:rPr>
        <w:t>r rachunku bankowego, n</w:t>
      </w:r>
      <w:r w:rsidR="00751F6E">
        <w:rPr>
          <w:rFonts w:ascii="Times New Roman" w:eastAsia="Times New Roman" w:hAnsi="Times New Roman"/>
          <w:bCs/>
          <w:sz w:val="24"/>
          <w:szCs w:val="24"/>
          <w:lang w:eastAsia="pl-PL"/>
        </w:rPr>
        <w:t>ume</w:t>
      </w:r>
      <w:r w:rsidRPr="0040535D">
        <w:rPr>
          <w:rFonts w:ascii="Times New Roman" w:eastAsia="Times New Roman" w:hAnsi="Times New Roman"/>
          <w:bCs/>
          <w:sz w:val="24"/>
          <w:szCs w:val="24"/>
          <w:lang w:eastAsia="pl-PL"/>
        </w:rPr>
        <w:t>r działki, gmina, obręb, n</w:t>
      </w:r>
      <w:r w:rsidR="00751F6E">
        <w:rPr>
          <w:rFonts w:ascii="Times New Roman" w:eastAsia="Times New Roman" w:hAnsi="Times New Roman"/>
          <w:bCs/>
          <w:sz w:val="24"/>
          <w:szCs w:val="24"/>
          <w:lang w:eastAsia="pl-PL"/>
        </w:rPr>
        <w:t>ume</w:t>
      </w:r>
      <w:r w:rsidRPr="0040535D">
        <w:rPr>
          <w:rFonts w:ascii="Times New Roman" w:eastAsia="Times New Roman" w:hAnsi="Times New Roman"/>
          <w:bCs/>
          <w:sz w:val="24"/>
          <w:szCs w:val="24"/>
          <w:lang w:eastAsia="pl-PL"/>
        </w:rPr>
        <w:t>r księgi wieczystej, n</w:t>
      </w:r>
      <w:r w:rsidR="00751F6E">
        <w:rPr>
          <w:rFonts w:ascii="Times New Roman" w:eastAsia="Times New Roman" w:hAnsi="Times New Roman"/>
          <w:bCs/>
          <w:sz w:val="24"/>
          <w:szCs w:val="24"/>
          <w:lang w:eastAsia="pl-PL"/>
        </w:rPr>
        <w:t>ume</w:t>
      </w:r>
      <w:r w:rsidRPr="0040535D">
        <w:rPr>
          <w:rFonts w:ascii="Times New Roman" w:eastAsia="Times New Roman" w:hAnsi="Times New Roman"/>
          <w:bCs/>
          <w:sz w:val="24"/>
          <w:szCs w:val="24"/>
          <w:lang w:eastAsia="pl-PL"/>
        </w:rPr>
        <w:t>r przyłącza gazowego, nr uprawnień budowlanych</w:t>
      </w:r>
      <w:r w:rsidR="00751F6E" w:rsidRPr="005E6479">
        <w:rPr>
          <w:rFonts w:ascii="Times New Roman" w:hAnsi="Times New Roman"/>
          <w:iCs/>
          <w:sz w:val="24"/>
          <w:szCs w:val="24"/>
        </w:rPr>
        <w:t xml:space="preserve"> oraz dane dotyczące szczególnych potrzeb osób, o których mowa w art. 2 pkt 3 ustawy z dnia 19 lipca 2019 r. o zapewnianiu dostępności osobom ze szczególnymi potrzebami (Dz. U. z 2020 r. poz. 1062</w:t>
      </w:r>
      <w:r w:rsidR="00751F6E" w:rsidRPr="00751F6E">
        <w:rPr>
          <w:rFonts w:ascii="Times New Roman" w:eastAsia="Times New Roman" w:hAnsi="Times New Roman"/>
          <w:bCs/>
          <w:sz w:val="24"/>
          <w:szCs w:val="24"/>
          <w:lang w:eastAsia="pl-PL"/>
        </w:rPr>
        <w:t>)</w:t>
      </w:r>
      <w:r w:rsidRPr="004B3ACF">
        <w:rPr>
          <w:rFonts w:ascii="Times New Roman" w:eastAsia="Times New Roman" w:hAnsi="Times New Roman"/>
          <w:bCs/>
          <w:sz w:val="24"/>
          <w:szCs w:val="24"/>
          <w:lang w:eastAsia="pl-PL"/>
        </w:rPr>
        <w:t>.</w:t>
      </w:r>
    </w:p>
    <w:p w14:paraId="798F6B2E" w14:textId="77777777" w:rsidR="00555DC0" w:rsidRPr="0040535D" w:rsidRDefault="00555DC0" w:rsidP="002B30D0">
      <w:pPr>
        <w:suppressAutoHyphens/>
        <w:autoSpaceDE w:val="0"/>
        <w:autoSpaceDN w:val="0"/>
        <w:adjustRightInd w:val="0"/>
        <w:spacing w:after="0" w:line="360" w:lineRule="auto"/>
        <w:jc w:val="both"/>
        <w:rPr>
          <w:rFonts w:ascii="Times New Roman" w:eastAsia="Times New Roman" w:hAnsi="Times New Roman"/>
          <w:bCs/>
          <w:sz w:val="24"/>
          <w:szCs w:val="24"/>
          <w:lang w:eastAsia="pl-PL"/>
        </w:rPr>
      </w:pPr>
      <w:r w:rsidRPr="0040535D">
        <w:rPr>
          <w:rFonts w:ascii="Times New Roman" w:eastAsia="Times New Roman" w:hAnsi="Times New Roman"/>
          <w:bCs/>
          <w:sz w:val="24"/>
          <w:szCs w:val="24"/>
          <w:lang w:eastAsia="pl-PL"/>
        </w:rPr>
        <w:lastRenderedPageBreak/>
        <w:t xml:space="preserve">W przypadku osób otrzymujących wsparcie z </w:t>
      </w:r>
      <w:r w:rsidR="00F90DFD" w:rsidRPr="0040535D">
        <w:rPr>
          <w:rFonts w:ascii="Times New Roman" w:eastAsia="Times New Roman" w:hAnsi="Times New Roman"/>
          <w:bCs/>
          <w:sz w:val="24"/>
          <w:szCs w:val="24"/>
          <w:lang w:eastAsia="pl-PL"/>
        </w:rPr>
        <w:t>EFS+</w:t>
      </w:r>
      <w:r w:rsidRPr="0040535D">
        <w:rPr>
          <w:rFonts w:ascii="Times New Roman" w:eastAsia="Times New Roman" w:hAnsi="Times New Roman"/>
          <w:bCs/>
          <w:sz w:val="24"/>
          <w:szCs w:val="24"/>
          <w:lang w:eastAsia="pl-PL"/>
        </w:rPr>
        <w:t xml:space="preserve"> i osób ubiegających się o wsparcie w ramach projektu finansowanego z </w:t>
      </w:r>
      <w:r w:rsidR="00F90DFD" w:rsidRPr="0040535D">
        <w:rPr>
          <w:rFonts w:ascii="Times New Roman" w:eastAsia="Times New Roman" w:hAnsi="Times New Roman"/>
          <w:bCs/>
          <w:sz w:val="24"/>
          <w:szCs w:val="24"/>
          <w:lang w:eastAsia="pl-PL"/>
        </w:rPr>
        <w:t>EFS+</w:t>
      </w:r>
      <w:r w:rsidRPr="0040535D">
        <w:rPr>
          <w:rFonts w:ascii="Times New Roman" w:eastAsia="Times New Roman" w:hAnsi="Times New Roman"/>
          <w:bCs/>
          <w:sz w:val="24"/>
          <w:szCs w:val="24"/>
          <w:lang w:eastAsia="pl-PL"/>
        </w:rPr>
        <w:t xml:space="preserve">, administratorzy mogą również przetwarzać dane dotyczące pochodzenia rasowego lub etnicznego lub zdrowia, o których mowa w art. 9 RODO (art. </w:t>
      </w:r>
      <w:r w:rsidR="002333F0" w:rsidRPr="0040535D">
        <w:rPr>
          <w:rFonts w:ascii="Times New Roman" w:eastAsia="Times New Roman" w:hAnsi="Times New Roman"/>
          <w:bCs/>
          <w:sz w:val="24"/>
          <w:szCs w:val="24"/>
          <w:lang w:eastAsia="pl-PL"/>
        </w:rPr>
        <w:t xml:space="preserve">87 </w:t>
      </w:r>
      <w:r w:rsidRPr="0040535D">
        <w:rPr>
          <w:rFonts w:ascii="Times New Roman" w:eastAsia="Times New Roman" w:hAnsi="Times New Roman"/>
          <w:bCs/>
          <w:sz w:val="24"/>
          <w:szCs w:val="24"/>
          <w:lang w:eastAsia="pl-PL"/>
        </w:rPr>
        <w:t>ust. 3).</w:t>
      </w:r>
    </w:p>
    <w:p w14:paraId="0E0FC8A3" w14:textId="77777777" w:rsidR="009823D2" w:rsidRPr="0040535D" w:rsidRDefault="00555DC0" w:rsidP="00EC2541">
      <w:pPr>
        <w:autoSpaceDE w:val="0"/>
        <w:autoSpaceDN w:val="0"/>
        <w:adjustRightInd w:val="0"/>
        <w:spacing w:after="0" w:line="360" w:lineRule="auto"/>
        <w:jc w:val="both"/>
        <w:rPr>
          <w:rFonts w:ascii="Times New Roman" w:hAnsi="Times New Roman"/>
          <w:sz w:val="24"/>
          <w:szCs w:val="24"/>
          <w:lang w:eastAsia="pl-PL"/>
        </w:rPr>
      </w:pPr>
      <w:r w:rsidRPr="0040535D">
        <w:rPr>
          <w:rFonts w:ascii="Times New Roman" w:hAnsi="Times New Roman"/>
          <w:sz w:val="24"/>
          <w:szCs w:val="24"/>
          <w:lang w:eastAsia="pl-PL"/>
        </w:rPr>
        <w:t xml:space="preserve">W </w:t>
      </w:r>
      <w:r w:rsidRPr="0040535D">
        <w:rPr>
          <w:rFonts w:ascii="Times New Roman" w:hAnsi="Times New Roman"/>
          <w:b/>
          <w:sz w:val="24"/>
          <w:szCs w:val="24"/>
          <w:lang w:eastAsia="pl-PL"/>
        </w:rPr>
        <w:t>art.</w:t>
      </w:r>
      <w:r w:rsidR="00CA0F53" w:rsidRPr="0040535D">
        <w:rPr>
          <w:rFonts w:ascii="Times New Roman" w:hAnsi="Times New Roman"/>
          <w:b/>
          <w:sz w:val="24"/>
          <w:szCs w:val="24"/>
          <w:lang w:eastAsia="pl-PL"/>
        </w:rPr>
        <w:t xml:space="preserve"> 89</w:t>
      </w:r>
      <w:r w:rsidR="00AA3079" w:rsidRPr="0040535D">
        <w:rPr>
          <w:rFonts w:ascii="Times New Roman" w:hAnsi="Times New Roman"/>
          <w:sz w:val="24"/>
          <w:szCs w:val="24"/>
          <w:lang w:eastAsia="pl-PL"/>
        </w:rPr>
        <w:t xml:space="preserve"> </w:t>
      </w:r>
      <w:r w:rsidRPr="0040535D">
        <w:rPr>
          <w:rFonts w:ascii="Times New Roman" w:hAnsi="Times New Roman"/>
          <w:sz w:val="24"/>
          <w:szCs w:val="24"/>
          <w:lang w:eastAsia="pl-PL"/>
        </w:rPr>
        <w:t>uregulowano kwestię dostępu do danych osobowych odwzorowując określony w rozdziale 4 system instytucjonalny w ramach systemu wdrażania programów (wynikający z przepisów rozporządzenia ogólnego). Regulacja ma na celu zapewnienie właściwym podmiotom dostępu do danych osobowych bez konieczności zawierania dodatkowych umów lub porozumień w tym zakresie.</w:t>
      </w:r>
    </w:p>
    <w:p w14:paraId="0E90D1AF" w14:textId="77777777" w:rsidR="00555DC0" w:rsidRPr="0040535D" w:rsidRDefault="00555DC0" w:rsidP="004B71D0">
      <w:pPr>
        <w:autoSpaceDE w:val="0"/>
        <w:autoSpaceDN w:val="0"/>
        <w:adjustRightInd w:val="0"/>
        <w:spacing w:after="0" w:line="360" w:lineRule="auto"/>
        <w:jc w:val="both"/>
        <w:rPr>
          <w:rFonts w:ascii="Times New Roman" w:hAnsi="Times New Roman"/>
          <w:sz w:val="24"/>
          <w:szCs w:val="24"/>
          <w:lang w:eastAsia="pl-PL"/>
        </w:rPr>
      </w:pPr>
      <w:r w:rsidRPr="0040535D">
        <w:rPr>
          <w:rFonts w:ascii="Times New Roman" w:hAnsi="Times New Roman"/>
          <w:sz w:val="24"/>
          <w:szCs w:val="24"/>
          <w:lang w:eastAsia="pl-PL"/>
        </w:rPr>
        <w:t xml:space="preserve">Mając na względzie, że krąg podmiotów – w celu realizacji zadań wynikających z przepisów ustawy (np. minister wykonujący zadania państwa członkowskiego, instytucja zarządzająca) musi mieć zapewniony dostęp do określonych danych, w art. </w:t>
      </w:r>
      <w:r w:rsidR="00CA0F53" w:rsidRPr="0040535D">
        <w:rPr>
          <w:rFonts w:ascii="Times New Roman" w:hAnsi="Times New Roman"/>
          <w:sz w:val="24"/>
          <w:szCs w:val="24"/>
          <w:lang w:eastAsia="pl-PL"/>
        </w:rPr>
        <w:t>89</w:t>
      </w:r>
      <w:r w:rsidR="009511D4" w:rsidRPr="0040535D">
        <w:rPr>
          <w:rFonts w:ascii="Times New Roman" w:hAnsi="Times New Roman"/>
          <w:sz w:val="24"/>
          <w:szCs w:val="24"/>
          <w:lang w:eastAsia="pl-PL"/>
        </w:rPr>
        <w:t xml:space="preserve"> </w:t>
      </w:r>
      <w:r w:rsidRPr="0040535D">
        <w:rPr>
          <w:rFonts w:ascii="Times New Roman" w:hAnsi="Times New Roman"/>
          <w:sz w:val="24"/>
          <w:szCs w:val="24"/>
          <w:lang w:eastAsia="pl-PL"/>
        </w:rPr>
        <w:t>ust. 1 i 2 wskazano, że podmiotom tym przysługuje dostęp do danych i informacji gromadzonych przez administratorów, jednak wyłącznie w zakresie niezbędnym do realizacji ich zadań.</w:t>
      </w:r>
    </w:p>
    <w:p w14:paraId="64C8F074" w14:textId="77777777" w:rsidR="00555DC0" w:rsidRPr="0040535D" w:rsidRDefault="00555DC0" w:rsidP="00312C3F">
      <w:pPr>
        <w:autoSpaceDE w:val="0"/>
        <w:autoSpaceDN w:val="0"/>
        <w:adjustRightInd w:val="0"/>
        <w:spacing w:before="120" w:after="0" w:line="360" w:lineRule="auto"/>
        <w:jc w:val="both"/>
        <w:rPr>
          <w:rFonts w:ascii="Times New Roman" w:hAnsi="Times New Roman"/>
          <w:sz w:val="24"/>
          <w:szCs w:val="24"/>
        </w:rPr>
      </w:pPr>
      <w:r w:rsidRPr="0040535D">
        <w:rPr>
          <w:rFonts w:ascii="Times New Roman" w:hAnsi="Times New Roman"/>
          <w:sz w:val="24"/>
          <w:szCs w:val="24"/>
        </w:rPr>
        <w:t xml:space="preserve">Poszczególne podmioty wymienione w art. </w:t>
      </w:r>
      <w:r w:rsidR="00CA0F53" w:rsidRPr="0040535D">
        <w:rPr>
          <w:rFonts w:ascii="Times New Roman" w:hAnsi="Times New Roman"/>
          <w:sz w:val="24"/>
          <w:szCs w:val="24"/>
        </w:rPr>
        <w:t>89</w:t>
      </w:r>
      <w:r w:rsidR="009511D4" w:rsidRPr="0040535D">
        <w:rPr>
          <w:rFonts w:ascii="Times New Roman" w:hAnsi="Times New Roman"/>
          <w:sz w:val="24"/>
          <w:szCs w:val="24"/>
        </w:rPr>
        <w:t xml:space="preserve"> </w:t>
      </w:r>
      <w:r w:rsidRPr="0040535D">
        <w:rPr>
          <w:rFonts w:ascii="Times New Roman" w:hAnsi="Times New Roman"/>
          <w:sz w:val="24"/>
          <w:szCs w:val="24"/>
        </w:rPr>
        <w:t>pełnią różne funkcje w systemie wdrażania programów i mają ściśle określone zadania, tym samym, mają dostęp do różnego zakresu danych</w:t>
      </w:r>
      <w:r w:rsidR="009511D4" w:rsidRPr="0040535D">
        <w:rPr>
          <w:rFonts w:ascii="Times New Roman" w:hAnsi="Times New Roman"/>
          <w:sz w:val="24"/>
          <w:szCs w:val="24"/>
        </w:rPr>
        <w:t xml:space="preserve"> </w:t>
      </w:r>
      <w:r w:rsidRPr="0040535D">
        <w:rPr>
          <w:rFonts w:ascii="Times New Roman" w:hAnsi="Times New Roman"/>
          <w:sz w:val="24"/>
          <w:szCs w:val="24"/>
        </w:rPr>
        <w:t xml:space="preserve">i tak, np.: beneficjent i instytucja, z która zawarł umowę przetwarzają dane osobowe w ramach zawartej umowy (projektu), dane z wszystkich projektów w ramach programu może przetwarzać instytucja zarządzająca lub pozostałe instytucje kontrolujące, o których mowa w art. </w:t>
      </w:r>
      <w:r w:rsidR="009511D4" w:rsidRPr="0040535D">
        <w:rPr>
          <w:rFonts w:ascii="Times New Roman" w:hAnsi="Times New Roman"/>
          <w:sz w:val="24"/>
          <w:szCs w:val="24"/>
        </w:rPr>
        <w:t>2</w:t>
      </w:r>
      <w:r w:rsidR="00CA0F53" w:rsidRPr="0040535D">
        <w:rPr>
          <w:rFonts w:ascii="Times New Roman" w:hAnsi="Times New Roman"/>
          <w:sz w:val="24"/>
          <w:szCs w:val="24"/>
        </w:rPr>
        <w:t>5</w:t>
      </w:r>
      <w:r w:rsidR="009511D4" w:rsidRPr="0040535D">
        <w:rPr>
          <w:rFonts w:ascii="Times New Roman" w:hAnsi="Times New Roman"/>
          <w:sz w:val="24"/>
          <w:szCs w:val="24"/>
        </w:rPr>
        <w:t xml:space="preserve"> </w:t>
      </w:r>
      <w:r w:rsidRPr="0040535D">
        <w:rPr>
          <w:rFonts w:ascii="Times New Roman" w:hAnsi="Times New Roman"/>
          <w:sz w:val="24"/>
          <w:szCs w:val="24"/>
        </w:rPr>
        <w:t>ust. 1</w:t>
      </w:r>
      <w:r w:rsidR="00CA0F53" w:rsidRPr="0040535D">
        <w:rPr>
          <w:rFonts w:ascii="Times New Roman" w:hAnsi="Times New Roman"/>
          <w:sz w:val="24"/>
          <w:szCs w:val="24"/>
        </w:rPr>
        <w:t xml:space="preserve"> </w:t>
      </w:r>
      <w:r w:rsidR="000D6DA4" w:rsidRPr="0040535D">
        <w:rPr>
          <w:rFonts w:ascii="Times New Roman" w:hAnsi="Times New Roman"/>
          <w:sz w:val="24"/>
          <w:szCs w:val="24"/>
        </w:rPr>
        <w:t xml:space="preserve">i </w:t>
      </w:r>
      <w:r w:rsidRPr="0040535D">
        <w:rPr>
          <w:rFonts w:ascii="Times New Roman" w:hAnsi="Times New Roman"/>
          <w:sz w:val="24"/>
          <w:szCs w:val="24"/>
        </w:rPr>
        <w:t>2.</w:t>
      </w:r>
    </w:p>
    <w:p w14:paraId="0BBD6FBB" w14:textId="77777777" w:rsidR="00555DC0" w:rsidRPr="0040535D" w:rsidRDefault="00555DC0" w:rsidP="00100244">
      <w:pPr>
        <w:autoSpaceDE w:val="0"/>
        <w:autoSpaceDN w:val="0"/>
        <w:adjustRightInd w:val="0"/>
        <w:spacing w:before="120" w:after="0" w:line="360" w:lineRule="auto"/>
        <w:jc w:val="both"/>
        <w:rPr>
          <w:rFonts w:ascii="Times New Roman" w:hAnsi="Times New Roman"/>
          <w:sz w:val="24"/>
          <w:szCs w:val="24"/>
          <w:lang w:eastAsia="pl-PL"/>
        </w:rPr>
      </w:pPr>
      <w:r w:rsidRPr="0040535D">
        <w:rPr>
          <w:rFonts w:ascii="Times New Roman" w:hAnsi="Times New Roman"/>
          <w:sz w:val="24"/>
          <w:szCs w:val="24"/>
          <w:lang w:eastAsia="pl-PL"/>
        </w:rPr>
        <w:t xml:space="preserve">Minister właściwy do spraw rozwoju regionalnego wykonujący zadania państwa członkowskiego (instytucja koordynująca), który ma dostęp do danych dotyczących różnych programów, realizuje zadania wskazane w art. 4 oraz rozporządzeniu ogólnym. Instytucja zarządzająca, która ma dostęp do danych dotyczących jednego programu, realizuje zadania wynikające z art. 8 </w:t>
      </w:r>
      <w:r w:rsidR="00CD153B" w:rsidRPr="0040535D">
        <w:rPr>
          <w:rFonts w:ascii="Times New Roman" w:hAnsi="Times New Roman"/>
          <w:sz w:val="24"/>
          <w:szCs w:val="24"/>
          <w:lang w:eastAsia="pl-PL"/>
        </w:rPr>
        <w:t xml:space="preserve">projektu ustawy </w:t>
      </w:r>
      <w:r w:rsidRPr="0040535D">
        <w:rPr>
          <w:rFonts w:ascii="Times New Roman" w:hAnsi="Times New Roman"/>
          <w:sz w:val="24"/>
          <w:szCs w:val="24"/>
          <w:lang w:eastAsia="pl-PL"/>
        </w:rPr>
        <w:t xml:space="preserve">oraz art. </w:t>
      </w:r>
      <w:r w:rsidR="009511D4" w:rsidRPr="0040535D">
        <w:rPr>
          <w:rFonts w:ascii="Times New Roman" w:hAnsi="Times New Roman"/>
          <w:sz w:val="24"/>
          <w:szCs w:val="24"/>
          <w:lang w:eastAsia="pl-PL"/>
        </w:rPr>
        <w:t>72-75</w:t>
      </w:r>
      <w:r w:rsidRPr="0040535D">
        <w:rPr>
          <w:rFonts w:ascii="Times New Roman" w:hAnsi="Times New Roman"/>
          <w:sz w:val="24"/>
          <w:szCs w:val="24"/>
          <w:lang w:eastAsia="pl-PL"/>
        </w:rPr>
        <w:t xml:space="preserve"> rozporządzenia ogólnego. Dodatkowo instytucja zarządzająca może powierzyć część swoich zadań instytucji pośredniczącej, zgodnie z art. 9 pkt 1, natomiast instytucja pośrednicząca, może powierzyć część swoich zadań instytucji wdrażającej, zgodnie z art. 9 pkt 2. Tym samym, tak określony dostęp do danych osobowych jest odwzorowaniem systemu wdrażania programów i przepływu informacji i dokumentów w jego ramach.</w:t>
      </w:r>
      <w:r w:rsidR="002C27A2" w:rsidRPr="0040535D">
        <w:rPr>
          <w:rFonts w:ascii="Times New Roman" w:hAnsi="Times New Roman"/>
          <w:sz w:val="24"/>
          <w:szCs w:val="24"/>
          <w:lang w:eastAsia="pl-PL"/>
        </w:rPr>
        <w:t xml:space="preserve"> </w:t>
      </w:r>
    </w:p>
    <w:p w14:paraId="7D740763" w14:textId="77777777" w:rsidR="00555DC0" w:rsidRPr="009F6287" w:rsidRDefault="00555DC0" w:rsidP="00100244">
      <w:pPr>
        <w:autoSpaceDE w:val="0"/>
        <w:autoSpaceDN w:val="0"/>
        <w:adjustRightInd w:val="0"/>
        <w:spacing w:before="120" w:after="0" w:line="360" w:lineRule="auto"/>
        <w:jc w:val="both"/>
        <w:rPr>
          <w:rFonts w:ascii="Times New Roman" w:hAnsi="Times New Roman"/>
          <w:sz w:val="24"/>
          <w:szCs w:val="24"/>
          <w:u w:val="single"/>
          <w:lang w:eastAsia="pl-PL"/>
        </w:rPr>
      </w:pPr>
      <w:r w:rsidRPr="009F6287">
        <w:rPr>
          <w:rFonts w:ascii="Times New Roman" w:hAnsi="Times New Roman"/>
          <w:sz w:val="24"/>
          <w:szCs w:val="24"/>
          <w:u w:val="single"/>
          <w:lang w:eastAsia="pl-PL"/>
        </w:rPr>
        <w:t>Przetwarzanie danych w systemach teleinformatycznych</w:t>
      </w:r>
    </w:p>
    <w:p w14:paraId="674C527B" w14:textId="77777777" w:rsidR="00555DC0" w:rsidRPr="0040535D" w:rsidRDefault="00555DC0" w:rsidP="00B603B4">
      <w:pPr>
        <w:autoSpaceDE w:val="0"/>
        <w:autoSpaceDN w:val="0"/>
        <w:adjustRightInd w:val="0"/>
        <w:spacing w:after="0" w:line="360" w:lineRule="auto"/>
        <w:jc w:val="both"/>
        <w:rPr>
          <w:rFonts w:ascii="Times New Roman" w:hAnsi="Times New Roman"/>
          <w:sz w:val="24"/>
          <w:szCs w:val="24"/>
          <w:lang w:eastAsia="pl-PL"/>
        </w:rPr>
      </w:pPr>
      <w:r w:rsidRPr="0040535D">
        <w:rPr>
          <w:rFonts w:ascii="Times New Roman" w:hAnsi="Times New Roman"/>
          <w:sz w:val="24"/>
          <w:szCs w:val="24"/>
          <w:lang w:eastAsia="pl-PL"/>
        </w:rPr>
        <w:lastRenderedPageBreak/>
        <w:t xml:space="preserve">W systemie wdrażania programów mogą być wykorzystywane systemy </w:t>
      </w:r>
      <w:r w:rsidR="00054A67" w:rsidRPr="0040535D">
        <w:rPr>
          <w:rFonts w:ascii="Times New Roman" w:hAnsi="Times New Roman"/>
          <w:sz w:val="24"/>
          <w:szCs w:val="24"/>
          <w:lang w:eastAsia="pl-PL"/>
        </w:rPr>
        <w:t>tele</w:t>
      </w:r>
      <w:r w:rsidRPr="0040535D">
        <w:rPr>
          <w:rFonts w:ascii="Times New Roman" w:hAnsi="Times New Roman"/>
          <w:sz w:val="24"/>
          <w:szCs w:val="24"/>
          <w:lang w:eastAsia="pl-PL"/>
        </w:rPr>
        <w:t xml:space="preserve">informatyczne, o których mowa w art. 2 pkt 26, dlatego w art. </w:t>
      </w:r>
      <w:r w:rsidR="009511D4" w:rsidRPr="0040535D">
        <w:rPr>
          <w:rFonts w:ascii="Times New Roman" w:hAnsi="Times New Roman"/>
          <w:sz w:val="24"/>
          <w:szCs w:val="24"/>
          <w:lang w:eastAsia="pl-PL"/>
        </w:rPr>
        <w:t>9</w:t>
      </w:r>
      <w:r w:rsidR="00CA0F53" w:rsidRPr="0040535D">
        <w:rPr>
          <w:rFonts w:ascii="Times New Roman" w:hAnsi="Times New Roman"/>
          <w:sz w:val="24"/>
          <w:szCs w:val="24"/>
          <w:lang w:eastAsia="pl-PL"/>
        </w:rPr>
        <w:t>0</w:t>
      </w:r>
      <w:r w:rsidR="009511D4" w:rsidRPr="0040535D">
        <w:rPr>
          <w:rFonts w:ascii="Times New Roman" w:hAnsi="Times New Roman"/>
          <w:sz w:val="24"/>
          <w:szCs w:val="24"/>
          <w:lang w:eastAsia="pl-PL"/>
        </w:rPr>
        <w:t xml:space="preserve"> </w:t>
      </w:r>
      <w:r w:rsidRPr="0040535D">
        <w:rPr>
          <w:rFonts w:ascii="Times New Roman" w:hAnsi="Times New Roman"/>
          <w:sz w:val="24"/>
          <w:szCs w:val="24"/>
          <w:lang w:eastAsia="pl-PL"/>
        </w:rPr>
        <w:t>określono, że wymienieni w ustawie administratorzy danych osobowych mogą gromadzić, przetwarzać i udostępniać sobie nawzajem dane osobowe w systemach teleinformatycznych. Szczególnym typem systemu teleinformatycznego jest centralny system teleinformatycznych, zapewniany zgodnie z art. 4 ust</w:t>
      </w:r>
      <w:r w:rsidR="00CA0F53" w:rsidRPr="0040535D">
        <w:rPr>
          <w:rFonts w:ascii="Times New Roman" w:hAnsi="Times New Roman"/>
          <w:sz w:val="24"/>
          <w:szCs w:val="24"/>
          <w:lang w:eastAsia="pl-PL"/>
        </w:rPr>
        <w:t>.</w:t>
      </w:r>
      <w:r w:rsidRPr="0040535D">
        <w:rPr>
          <w:rFonts w:ascii="Times New Roman" w:hAnsi="Times New Roman"/>
          <w:sz w:val="24"/>
          <w:szCs w:val="24"/>
          <w:lang w:eastAsia="pl-PL"/>
        </w:rPr>
        <w:t xml:space="preserve"> 2 pkt 6 przez ministra właściwego d</w:t>
      </w:r>
      <w:r w:rsidR="00054A67" w:rsidRPr="0040535D">
        <w:rPr>
          <w:rFonts w:ascii="Times New Roman" w:hAnsi="Times New Roman"/>
          <w:sz w:val="24"/>
          <w:szCs w:val="24"/>
          <w:lang w:eastAsia="pl-PL"/>
        </w:rPr>
        <w:t>o spraw</w:t>
      </w:r>
      <w:r w:rsidRPr="0040535D">
        <w:rPr>
          <w:rFonts w:ascii="Times New Roman" w:hAnsi="Times New Roman"/>
          <w:sz w:val="24"/>
          <w:szCs w:val="24"/>
          <w:lang w:eastAsia="pl-PL"/>
        </w:rPr>
        <w:t xml:space="preserve"> rozwoju regionalnego, którego funkcjonowanie stanowi wypełnienie następujących zapisów rozporządzenia ogólnego:</w:t>
      </w:r>
    </w:p>
    <w:p w14:paraId="760519B6" w14:textId="77777777" w:rsidR="00555DC0" w:rsidRPr="0040535D" w:rsidRDefault="00555DC0" w:rsidP="00B603B4">
      <w:pPr>
        <w:numPr>
          <w:ilvl w:val="0"/>
          <w:numId w:val="20"/>
        </w:numPr>
        <w:spacing w:after="0" w:line="360" w:lineRule="auto"/>
        <w:jc w:val="both"/>
        <w:rPr>
          <w:rFonts w:ascii="Times New Roman" w:hAnsi="Times New Roman"/>
          <w:noProof/>
          <w:sz w:val="24"/>
          <w:szCs w:val="24"/>
          <w:lang w:eastAsia="pl-PL" w:bidi="pl-PL"/>
        </w:rPr>
      </w:pPr>
      <w:r w:rsidRPr="0040535D">
        <w:rPr>
          <w:rFonts w:ascii="Times New Roman" w:hAnsi="Times New Roman"/>
          <w:sz w:val="24"/>
          <w:szCs w:val="24"/>
          <w:lang w:eastAsia="pl-PL" w:bidi="pl-PL"/>
        </w:rPr>
        <w:t xml:space="preserve">obowiązku zapewnienia przez państwo członkowskie systemu teleinformatycznego na potrzeby </w:t>
      </w:r>
      <w:r w:rsidRPr="0040535D">
        <w:rPr>
          <w:rFonts w:ascii="Times New Roman" w:hAnsi="Times New Roman"/>
          <w:noProof/>
          <w:sz w:val="24"/>
          <w:szCs w:val="24"/>
          <w:lang w:eastAsia="pl-PL" w:bidi="pl-PL"/>
        </w:rPr>
        <w:t>wszelkiej wymiany informacji między beneficjentami a instytucjami programu</w:t>
      </w:r>
      <w:r w:rsidR="00897ABF" w:rsidRPr="0040535D">
        <w:rPr>
          <w:rFonts w:ascii="Times New Roman" w:hAnsi="Times New Roman"/>
          <w:noProof/>
          <w:sz w:val="24"/>
          <w:szCs w:val="24"/>
          <w:lang w:eastAsia="pl-PL" w:bidi="pl-PL"/>
        </w:rPr>
        <w:t xml:space="preserve"> </w:t>
      </w:r>
      <w:r w:rsidRPr="0040535D">
        <w:rPr>
          <w:rFonts w:ascii="Times New Roman" w:hAnsi="Times New Roman"/>
          <w:noProof/>
          <w:sz w:val="24"/>
          <w:szCs w:val="24"/>
          <w:lang w:eastAsia="pl-PL" w:bidi="pl-PL"/>
        </w:rPr>
        <w:t xml:space="preserve">(art. </w:t>
      </w:r>
      <w:r w:rsidR="009511D4" w:rsidRPr="0040535D">
        <w:rPr>
          <w:rFonts w:ascii="Times New Roman" w:hAnsi="Times New Roman"/>
          <w:noProof/>
          <w:sz w:val="24"/>
          <w:szCs w:val="24"/>
          <w:lang w:eastAsia="pl-PL" w:bidi="pl-PL"/>
        </w:rPr>
        <w:t xml:space="preserve">69 </w:t>
      </w:r>
      <w:r w:rsidR="00E0246A" w:rsidRPr="0040535D">
        <w:rPr>
          <w:rFonts w:ascii="Times New Roman" w:hAnsi="Times New Roman"/>
          <w:noProof/>
          <w:sz w:val="24"/>
          <w:szCs w:val="24"/>
          <w:lang w:eastAsia="pl-PL" w:bidi="pl-PL"/>
        </w:rPr>
        <w:t xml:space="preserve">ust. </w:t>
      </w:r>
      <w:r w:rsidR="009511D4" w:rsidRPr="0040535D">
        <w:rPr>
          <w:rFonts w:ascii="Times New Roman" w:hAnsi="Times New Roman"/>
          <w:noProof/>
          <w:sz w:val="24"/>
          <w:szCs w:val="24"/>
          <w:lang w:eastAsia="pl-PL" w:bidi="pl-PL"/>
        </w:rPr>
        <w:t xml:space="preserve">8 </w:t>
      </w:r>
      <w:r w:rsidRPr="0040535D">
        <w:rPr>
          <w:rFonts w:ascii="Times New Roman" w:hAnsi="Times New Roman"/>
          <w:noProof/>
          <w:sz w:val="24"/>
          <w:szCs w:val="24"/>
          <w:lang w:eastAsia="pl-PL" w:bidi="pl-PL"/>
        </w:rPr>
        <w:t>rozporządzenia ogólnego),</w:t>
      </w:r>
    </w:p>
    <w:p w14:paraId="3CB863F0" w14:textId="77777777" w:rsidR="00555DC0" w:rsidRPr="0040535D" w:rsidRDefault="00555DC0" w:rsidP="00523EA5">
      <w:pPr>
        <w:numPr>
          <w:ilvl w:val="0"/>
          <w:numId w:val="20"/>
        </w:numPr>
        <w:spacing w:after="0" w:line="360" w:lineRule="auto"/>
        <w:jc w:val="both"/>
        <w:rPr>
          <w:rFonts w:ascii="Times New Roman" w:hAnsi="Times New Roman"/>
          <w:sz w:val="24"/>
          <w:szCs w:val="24"/>
          <w:lang w:eastAsia="pl-PL" w:bidi="pl-PL"/>
        </w:rPr>
      </w:pPr>
      <w:r w:rsidRPr="0040535D">
        <w:rPr>
          <w:rFonts w:ascii="Times New Roman" w:hAnsi="Times New Roman"/>
          <w:noProof/>
          <w:sz w:val="24"/>
          <w:szCs w:val="24"/>
          <w:lang w:eastAsia="pl-PL" w:bidi="pl-PL"/>
        </w:rPr>
        <w:t xml:space="preserve">obowiazku zapewnienia przez </w:t>
      </w:r>
      <w:r w:rsidRPr="0040535D">
        <w:rPr>
          <w:rFonts w:ascii="Times New Roman" w:eastAsia="Times New Roman" w:hAnsi="Times New Roman"/>
          <w:sz w:val="24"/>
          <w:szCs w:val="24"/>
          <w:lang w:eastAsia="pl-PL" w:bidi="pl-PL"/>
        </w:rPr>
        <w:t xml:space="preserve">instytucję zarządzającą systemu elektronicznego </w:t>
      </w:r>
      <w:r w:rsidRPr="0040535D">
        <w:rPr>
          <w:rFonts w:ascii="Times New Roman" w:hAnsi="Times New Roman"/>
          <w:noProof/>
          <w:sz w:val="24"/>
          <w:szCs w:val="24"/>
          <w:lang w:eastAsia="pl-PL" w:bidi="pl-PL"/>
        </w:rPr>
        <w:t xml:space="preserve">rejestracji </w:t>
      </w:r>
      <w:r w:rsidRPr="0040535D">
        <w:rPr>
          <w:rFonts w:ascii="Times New Roman" w:hAnsi="Times New Roman"/>
          <w:noProof/>
          <w:sz w:val="24"/>
          <w:szCs w:val="24"/>
          <w:lang w:eastAsia="pl-PL" w:bidi="pl-PL"/>
        </w:rPr>
        <w:br/>
        <w:t>i przechowywania danych dotyczących każdej operacji, niezbędnych do monitorowania, ewaluacji, zarządzania finansowego, weryfikacji i audytów (</w:t>
      </w:r>
      <w:r w:rsidRPr="0040535D">
        <w:rPr>
          <w:rFonts w:ascii="Times New Roman" w:eastAsia="Times New Roman" w:hAnsi="Times New Roman"/>
          <w:sz w:val="24"/>
          <w:szCs w:val="24"/>
          <w:lang w:eastAsia="pl-PL" w:bidi="pl-PL"/>
        </w:rPr>
        <w:t xml:space="preserve">art. </w:t>
      </w:r>
      <w:r w:rsidR="009511D4" w:rsidRPr="0040535D">
        <w:rPr>
          <w:rFonts w:ascii="Times New Roman" w:eastAsia="Times New Roman" w:hAnsi="Times New Roman"/>
          <w:sz w:val="24"/>
          <w:szCs w:val="24"/>
          <w:lang w:eastAsia="pl-PL" w:bidi="pl-PL"/>
        </w:rPr>
        <w:t xml:space="preserve">72 </w:t>
      </w:r>
      <w:r w:rsidRPr="0040535D">
        <w:rPr>
          <w:rFonts w:ascii="Times New Roman" w:eastAsia="Times New Roman" w:hAnsi="Times New Roman"/>
          <w:sz w:val="24"/>
          <w:szCs w:val="24"/>
          <w:lang w:eastAsia="pl-PL" w:bidi="pl-PL"/>
        </w:rPr>
        <w:t>ust. 1lit. e rozporządzenia ogólnego).</w:t>
      </w:r>
    </w:p>
    <w:p w14:paraId="08DEBBBE" w14:textId="77777777" w:rsidR="00555DC0" w:rsidRPr="0040535D" w:rsidRDefault="00555DC0" w:rsidP="00523EA5">
      <w:p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t xml:space="preserve">Konsekwencją zapewnienia przez ministra właściwego do spraw rozwoju regionalnego centralnego systemu teleinformatycznego, zgodnie z art. 4 pkt 2 lit. 6 jest pełnienie przez niego roli administratora zapewniającego </w:t>
      </w:r>
      <w:r w:rsidRPr="0040535D">
        <w:rPr>
          <w:rFonts w:ascii="Times New Roman" w:hAnsi="Times New Roman"/>
          <w:sz w:val="24"/>
          <w:szCs w:val="24"/>
          <w:lang w:eastAsia="pl-PL"/>
        </w:rPr>
        <w:t>utrzymanie i rozwój</w:t>
      </w:r>
      <w:r w:rsidRPr="0040535D" w:rsidDel="00BC530B">
        <w:rPr>
          <w:rFonts w:ascii="Times New Roman" w:hAnsi="Times New Roman"/>
          <w:sz w:val="24"/>
          <w:szCs w:val="24"/>
        </w:rPr>
        <w:t xml:space="preserve"> </w:t>
      </w:r>
      <w:r w:rsidRPr="0040535D">
        <w:rPr>
          <w:rFonts w:ascii="Times New Roman" w:hAnsi="Times New Roman"/>
          <w:sz w:val="24"/>
          <w:szCs w:val="24"/>
        </w:rPr>
        <w:t>systemu, jak również zapewnienie bezpieczeństwa na poziomie systemu.</w:t>
      </w:r>
    </w:p>
    <w:p w14:paraId="63D51B6C" w14:textId="77777777" w:rsidR="00555DC0" w:rsidRPr="0040535D" w:rsidRDefault="00555DC0" w:rsidP="00A01987">
      <w:pPr>
        <w:autoSpaceDE w:val="0"/>
        <w:autoSpaceDN w:val="0"/>
        <w:adjustRightInd w:val="0"/>
        <w:spacing w:before="120" w:after="0" w:line="360" w:lineRule="auto"/>
        <w:jc w:val="both"/>
        <w:rPr>
          <w:rFonts w:ascii="Times New Roman" w:hAnsi="Times New Roman"/>
          <w:sz w:val="24"/>
          <w:szCs w:val="24"/>
          <w:lang w:eastAsia="pl-PL" w:bidi="pl-PL"/>
        </w:rPr>
      </w:pPr>
      <w:r w:rsidRPr="0040535D">
        <w:rPr>
          <w:rFonts w:ascii="Times New Roman" w:hAnsi="Times New Roman"/>
          <w:sz w:val="24"/>
          <w:szCs w:val="24"/>
          <w:lang w:eastAsia="pl-PL"/>
        </w:rPr>
        <w:t xml:space="preserve">Szczegółowe zasady wykorzystania centralnego systemu teleinformatycznego zostaną określone w wytycznych wydanych na podstawie art. 5 </w:t>
      </w:r>
      <w:r w:rsidR="00054A67" w:rsidRPr="0040535D">
        <w:rPr>
          <w:rFonts w:ascii="Times New Roman" w:hAnsi="Times New Roman"/>
          <w:sz w:val="24"/>
          <w:szCs w:val="24"/>
          <w:lang w:eastAsia="pl-PL"/>
        </w:rPr>
        <w:t xml:space="preserve">ust. </w:t>
      </w:r>
      <w:r w:rsidRPr="0040535D">
        <w:rPr>
          <w:rFonts w:ascii="Times New Roman" w:hAnsi="Times New Roman"/>
          <w:sz w:val="24"/>
          <w:szCs w:val="24"/>
          <w:lang w:eastAsia="pl-PL"/>
        </w:rPr>
        <w:t>1, które są wiążące dla instytucji systemu wdrażania.</w:t>
      </w:r>
      <w:r w:rsidR="004E1FDB" w:rsidRPr="0040535D">
        <w:rPr>
          <w:rFonts w:ascii="Times New Roman" w:hAnsi="Times New Roman"/>
          <w:sz w:val="24"/>
          <w:szCs w:val="24"/>
        </w:rPr>
        <w:t xml:space="preserve"> </w:t>
      </w:r>
      <w:r w:rsidRPr="0040535D">
        <w:rPr>
          <w:rFonts w:ascii="Times New Roman" w:hAnsi="Times New Roman"/>
          <w:sz w:val="24"/>
          <w:szCs w:val="24"/>
        </w:rPr>
        <w:t>Niemniej, poszczególni administratorzy są zobowiązani do stosowania własnych środków organizacyjnych i technicznych zabezpieczających przetwarzanie danych osobowych w swojej organizacji.</w:t>
      </w:r>
    </w:p>
    <w:p w14:paraId="0189EF4E" w14:textId="77777777" w:rsidR="00555DC0" w:rsidRPr="0040535D" w:rsidRDefault="00555DC0" w:rsidP="00B32507">
      <w:pPr>
        <w:spacing w:after="0" w:line="360" w:lineRule="auto"/>
        <w:jc w:val="both"/>
        <w:rPr>
          <w:rFonts w:ascii="Times New Roman" w:hAnsi="Times New Roman"/>
          <w:sz w:val="24"/>
          <w:szCs w:val="24"/>
        </w:rPr>
      </w:pPr>
      <w:r w:rsidRPr="0040535D">
        <w:rPr>
          <w:rFonts w:ascii="Times New Roman" w:hAnsi="Times New Roman"/>
          <w:sz w:val="24"/>
          <w:szCs w:val="24"/>
        </w:rPr>
        <w:t xml:space="preserve">Na każdym administratorze danych spoczywa m.in. obowiązek określenia okresów retencji danych w zgodzie z art. </w:t>
      </w:r>
      <w:r w:rsidR="009511D4" w:rsidRPr="0040535D">
        <w:rPr>
          <w:rFonts w:ascii="Times New Roman" w:hAnsi="Times New Roman"/>
          <w:sz w:val="24"/>
          <w:szCs w:val="24"/>
        </w:rPr>
        <w:t>9</w:t>
      </w:r>
      <w:r w:rsidR="00CA0F53" w:rsidRPr="0040535D">
        <w:rPr>
          <w:rFonts w:ascii="Times New Roman" w:hAnsi="Times New Roman"/>
          <w:sz w:val="24"/>
          <w:szCs w:val="24"/>
        </w:rPr>
        <w:t>1</w:t>
      </w:r>
      <w:r w:rsidR="009511D4" w:rsidRPr="0040535D">
        <w:rPr>
          <w:rFonts w:ascii="Times New Roman" w:hAnsi="Times New Roman"/>
          <w:sz w:val="24"/>
          <w:szCs w:val="24"/>
        </w:rPr>
        <w:t xml:space="preserve"> </w:t>
      </w:r>
      <w:r w:rsidRPr="0040535D">
        <w:rPr>
          <w:rFonts w:ascii="Times New Roman" w:hAnsi="Times New Roman"/>
          <w:sz w:val="24"/>
          <w:szCs w:val="24"/>
        </w:rPr>
        <w:t>oraz art. 5 RODO, zaś sam okres</w:t>
      </w:r>
      <w:r w:rsidRPr="0040535D">
        <w:rPr>
          <w:rFonts w:ascii="Times New Roman" w:hAnsi="Times New Roman"/>
          <w:bCs/>
          <w:sz w:val="24"/>
          <w:szCs w:val="24"/>
        </w:rPr>
        <w:t xml:space="preserve"> przechowywania danych osobowych przez każdego z administratorów wynika z realizacji celu, w którym dane są przetwarzane</w:t>
      </w:r>
      <w:r w:rsidRPr="0040535D">
        <w:rPr>
          <w:rFonts w:ascii="Times New Roman" w:hAnsi="Times New Roman"/>
          <w:sz w:val="24"/>
          <w:szCs w:val="24"/>
        </w:rPr>
        <w:t>.</w:t>
      </w:r>
    </w:p>
    <w:p w14:paraId="23AE3A7C" w14:textId="77777777" w:rsidR="00555DC0" w:rsidRPr="0040535D" w:rsidRDefault="00555DC0" w:rsidP="00155913">
      <w:pPr>
        <w:shd w:val="clear" w:color="auto" w:fill="FFFFFF"/>
        <w:spacing w:after="0" w:line="360" w:lineRule="auto"/>
        <w:jc w:val="both"/>
        <w:rPr>
          <w:rFonts w:ascii="Times New Roman" w:hAnsi="Times New Roman"/>
          <w:bCs/>
          <w:sz w:val="24"/>
          <w:szCs w:val="24"/>
        </w:rPr>
      </w:pPr>
      <w:r w:rsidRPr="0040535D">
        <w:rPr>
          <w:rFonts w:ascii="Times New Roman" w:hAnsi="Times New Roman"/>
          <w:sz w:val="24"/>
          <w:szCs w:val="24"/>
        </w:rPr>
        <w:t xml:space="preserve">W </w:t>
      </w:r>
      <w:r w:rsidRPr="0040535D">
        <w:rPr>
          <w:rFonts w:ascii="Times New Roman" w:hAnsi="Times New Roman"/>
          <w:b/>
          <w:sz w:val="24"/>
          <w:szCs w:val="24"/>
        </w:rPr>
        <w:t xml:space="preserve">art. </w:t>
      </w:r>
      <w:r w:rsidR="00362414" w:rsidRPr="0040535D">
        <w:rPr>
          <w:rFonts w:ascii="Times New Roman" w:hAnsi="Times New Roman"/>
          <w:b/>
          <w:sz w:val="24"/>
          <w:szCs w:val="24"/>
        </w:rPr>
        <w:t>9</w:t>
      </w:r>
      <w:r w:rsidR="00CA0F53" w:rsidRPr="0040535D">
        <w:rPr>
          <w:rFonts w:ascii="Times New Roman" w:hAnsi="Times New Roman"/>
          <w:b/>
          <w:sz w:val="24"/>
          <w:szCs w:val="24"/>
        </w:rPr>
        <w:t>1</w:t>
      </w:r>
      <w:r w:rsidR="00362414" w:rsidRPr="0040535D">
        <w:rPr>
          <w:rFonts w:ascii="Times New Roman" w:hAnsi="Times New Roman"/>
          <w:sz w:val="24"/>
          <w:szCs w:val="24"/>
        </w:rPr>
        <w:t xml:space="preserve"> </w:t>
      </w:r>
      <w:r w:rsidRPr="0040535D">
        <w:rPr>
          <w:rFonts w:ascii="Times New Roman" w:hAnsi="Times New Roman"/>
          <w:sz w:val="24"/>
          <w:szCs w:val="24"/>
        </w:rPr>
        <w:t>wskazano, że dane osobowe przechowywane będą przez okres niezbędny do realizacji zadań związanych w szczególności z monitorowaniem, sprawozdawczością, komunikacją, publikacją, ewaluacją, zarządzaniem finansowym, weryfikacją i audytem, oraz - gdy to ma zastosowanie - określeniem kwalifikowalności uczestników.</w:t>
      </w:r>
    </w:p>
    <w:p w14:paraId="6E0674E5" w14:textId="77777777" w:rsidR="00555DC0" w:rsidRPr="0040535D" w:rsidRDefault="00555DC0" w:rsidP="00B41B1A">
      <w:pPr>
        <w:spacing w:after="0" w:line="360" w:lineRule="auto"/>
        <w:jc w:val="both"/>
        <w:rPr>
          <w:rFonts w:ascii="Times New Roman" w:hAnsi="Times New Roman"/>
          <w:sz w:val="24"/>
          <w:szCs w:val="24"/>
        </w:rPr>
      </w:pPr>
      <w:r w:rsidRPr="0040535D">
        <w:rPr>
          <w:rFonts w:ascii="Times New Roman" w:hAnsi="Times New Roman"/>
          <w:sz w:val="24"/>
          <w:szCs w:val="24"/>
        </w:rPr>
        <w:lastRenderedPageBreak/>
        <w:t xml:space="preserve">Administratorzy danych mają możliwość skorzystania z art. </w:t>
      </w:r>
      <w:r w:rsidR="008267E8" w:rsidRPr="0040535D">
        <w:rPr>
          <w:rFonts w:ascii="Times New Roman" w:hAnsi="Times New Roman"/>
          <w:sz w:val="24"/>
          <w:szCs w:val="24"/>
        </w:rPr>
        <w:t>89 ust. 1</w:t>
      </w:r>
      <w:r w:rsidRPr="0040535D">
        <w:rPr>
          <w:rFonts w:ascii="Times New Roman" w:hAnsi="Times New Roman"/>
          <w:sz w:val="24"/>
          <w:szCs w:val="24"/>
        </w:rPr>
        <w:t xml:space="preserve"> RODO</w:t>
      </w:r>
      <w:r w:rsidRPr="0040535D">
        <w:rPr>
          <w:rFonts w:ascii="Times New Roman" w:hAnsi="Times New Roman"/>
          <w:sz w:val="24"/>
          <w:szCs w:val="24"/>
          <w:vertAlign w:val="superscript"/>
        </w:rPr>
        <w:footnoteReference w:id="6"/>
      </w:r>
      <w:r w:rsidR="000542E2" w:rsidRPr="0040535D">
        <w:rPr>
          <w:rFonts w:ascii="Times New Roman" w:hAnsi="Times New Roman"/>
          <w:sz w:val="24"/>
          <w:szCs w:val="24"/>
          <w:vertAlign w:val="superscript"/>
        </w:rPr>
        <w:t>)</w:t>
      </w:r>
      <w:r w:rsidRPr="0040535D">
        <w:rPr>
          <w:rFonts w:ascii="Times New Roman" w:hAnsi="Times New Roman"/>
          <w:sz w:val="24"/>
          <w:szCs w:val="24"/>
        </w:rPr>
        <w:t>.</w:t>
      </w:r>
    </w:p>
    <w:p w14:paraId="08BF7656" w14:textId="77777777" w:rsidR="00555DC0" w:rsidRPr="0040535D" w:rsidRDefault="00555DC0" w:rsidP="005D004E">
      <w:pPr>
        <w:autoSpaceDE w:val="0"/>
        <w:autoSpaceDN w:val="0"/>
        <w:adjustRightInd w:val="0"/>
        <w:spacing w:after="0" w:line="360" w:lineRule="auto"/>
        <w:jc w:val="both"/>
        <w:rPr>
          <w:rFonts w:ascii="Times New Roman" w:hAnsi="Times New Roman"/>
          <w:sz w:val="24"/>
          <w:szCs w:val="24"/>
          <w:lang w:eastAsia="pl-PL"/>
        </w:rPr>
      </w:pPr>
      <w:r w:rsidRPr="0040535D">
        <w:rPr>
          <w:rFonts w:ascii="Times New Roman" w:hAnsi="Times New Roman"/>
          <w:sz w:val="24"/>
          <w:szCs w:val="24"/>
          <w:lang w:eastAsia="pl-PL"/>
        </w:rPr>
        <w:t>Tym samym, ustawodawca korzysta z prawnie dozwolonej możliwości nie regulowania szczegółowo kwestii okresu przechowywania danych</w:t>
      </w:r>
      <w:r w:rsidRPr="0040535D">
        <w:rPr>
          <w:rFonts w:ascii="Times New Roman" w:hAnsi="Times New Roman"/>
          <w:sz w:val="24"/>
          <w:szCs w:val="24"/>
          <w:vertAlign w:val="superscript"/>
          <w:lang w:eastAsia="pl-PL"/>
        </w:rPr>
        <w:footnoteReference w:id="7"/>
      </w:r>
      <w:r w:rsidR="000542E2" w:rsidRPr="0040535D">
        <w:rPr>
          <w:rFonts w:ascii="Times New Roman" w:hAnsi="Times New Roman"/>
          <w:sz w:val="24"/>
          <w:szCs w:val="24"/>
          <w:vertAlign w:val="superscript"/>
          <w:lang w:eastAsia="pl-PL"/>
        </w:rPr>
        <w:t>)</w:t>
      </w:r>
      <w:r w:rsidRPr="0040535D">
        <w:rPr>
          <w:rFonts w:ascii="Times New Roman" w:hAnsi="Times New Roman"/>
          <w:sz w:val="24"/>
          <w:szCs w:val="24"/>
          <w:lang w:eastAsia="pl-PL"/>
        </w:rPr>
        <w:t>.</w:t>
      </w:r>
    </w:p>
    <w:p w14:paraId="342B63C9" w14:textId="77777777" w:rsidR="00555DC0" w:rsidRPr="0040535D" w:rsidRDefault="00555DC0" w:rsidP="00697676">
      <w:pPr>
        <w:autoSpaceDE w:val="0"/>
        <w:autoSpaceDN w:val="0"/>
        <w:adjustRightInd w:val="0"/>
        <w:spacing w:after="0" w:line="360" w:lineRule="auto"/>
        <w:jc w:val="both"/>
        <w:rPr>
          <w:rFonts w:ascii="Times New Roman" w:hAnsi="Times New Roman"/>
          <w:sz w:val="24"/>
          <w:szCs w:val="24"/>
          <w:lang w:eastAsia="pl-PL"/>
        </w:rPr>
      </w:pPr>
      <w:r w:rsidRPr="0040535D">
        <w:rPr>
          <w:rFonts w:ascii="Times New Roman" w:hAnsi="Times New Roman"/>
          <w:sz w:val="24"/>
          <w:szCs w:val="24"/>
          <w:lang w:eastAsia="pl-PL"/>
        </w:rPr>
        <w:t>Mając na uwadze konieczność zapewnienia instytucjom, o których mowa w rozdziale 4 ustawy</w:t>
      </w:r>
      <w:r w:rsidR="00EC2541" w:rsidRPr="0040535D">
        <w:rPr>
          <w:rFonts w:ascii="Times New Roman" w:hAnsi="Times New Roman"/>
          <w:sz w:val="24"/>
          <w:szCs w:val="24"/>
          <w:lang w:eastAsia="pl-PL"/>
        </w:rPr>
        <w:t>,</w:t>
      </w:r>
      <w:r w:rsidRPr="0040535D">
        <w:rPr>
          <w:rFonts w:ascii="Times New Roman" w:hAnsi="Times New Roman"/>
          <w:sz w:val="24"/>
          <w:szCs w:val="24"/>
          <w:lang w:eastAsia="pl-PL"/>
        </w:rPr>
        <w:t xml:space="preserve"> dostępu do danych niezbędnych do realizacji ich obowiązków określonych w rozporządzeniu ogólnym lub ustawie, w </w:t>
      </w:r>
      <w:r w:rsidRPr="0040535D">
        <w:rPr>
          <w:rFonts w:ascii="Times New Roman" w:hAnsi="Times New Roman"/>
          <w:b/>
          <w:sz w:val="24"/>
          <w:szCs w:val="24"/>
          <w:lang w:eastAsia="pl-PL"/>
        </w:rPr>
        <w:t xml:space="preserve">art. </w:t>
      </w:r>
      <w:r w:rsidR="009511D4" w:rsidRPr="0040535D">
        <w:rPr>
          <w:rFonts w:ascii="Times New Roman" w:hAnsi="Times New Roman"/>
          <w:b/>
          <w:sz w:val="24"/>
          <w:szCs w:val="24"/>
          <w:lang w:eastAsia="pl-PL"/>
        </w:rPr>
        <w:t>9</w:t>
      </w:r>
      <w:r w:rsidR="00632C52" w:rsidRPr="0040535D">
        <w:rPr>
          <w:rFonts w:ascii="Times New Roman" w:hAnsi="Times New Roman"/>
          <w:b/>
          <w:sz w:val="24"/>
          <w:szCs w:val="24"/>
          <w:lang w:eastAsia="pl-PL"/>
        </w:rPr>
        <w:t>2</w:t>
      </w:r>
      <w:r w:rsidR="009511D4" w:rsidRPr="0040535D">
        <w:rPr>
          <w:rFonts w:ascii="Times New Roman" w:hAnsi="Times New Roman"/>
          <w:sz w:val="24"/>
          <w:szCs w:val="24"/>
          <w:lang w:eastAsia="pl-PL"/>
        </w:rPr>
        <w:t xml:space="preserve"> </w:t>
      </w:r>
      <w:r w:rsidRPr="0040535D">
        <w:rPr>
          <w:rFonts w:ascii="Times New Roman" w:hAnsi="Times New Roman"/>
          <w:sz w:val="24"/>
          <w:szCs w:val="24"/>
          <w:lang w:eastAsia="pl-PL"/>
        </w:rPr>
        <w:t>ust. 1 przewidziano</w:t>
      </w:r>
      <w:r w:rsidR="00165BF9" w:rsidRPr="0040535D">
        <w:rPr>
          <w:rFonts w:ascii="Times New Roman" w:hAnsi="Times New Roman"/>
          <w:sz w:val="24"/>
          <w:szCs w:val="24"/>
          <w:lang w:eastAsia="pl-PL"/>
        </w:rPr>
        <w:t>,</w:t>
      </w:r>
      <w:r w:rsidRPr="0040535D">
        <w:rPr>
          <w:rFonts w:ascii="Times New Roman" w:hAnsi="Times New Roman"/>
          <w:sz w:val="24"/>
          <w:szCs w:val="24"/>
          <w:lang w:eastAsia="pl-PL"/>
        </w:rPr>
        <w:t xml:space="preserve"> że minister właściwy do spraw rozwoju regionalnego wykonujący zadania państwa członkowskiego, </w:t>
      </w:r>
      <w:r w:rsidR="002A648B">
        <w:rPr>
          <w:rFonts w:ascii="Times New Roman" w:hAnsi="Times New Roman"/>
          <w:sz w:val="24"/>
          <w:szCs w:val="24"/>
          <w:lang w:eastAsia="pl-PL"/>
        </w:rPr>
        <w:t xml:space="preserve">minister właściwy do spraw finansów publicznych, </w:t>
      </w:r>
      <w:r w:rsidRPr="0040535D">
        <w:rPr>
          <w:rFonts w:ascii="Times New Roman" w:hAnsi="Times New Roman"/>
          <w:sz w:val="24"/>
          <w:szCs w:val="24"/>
          <w:lang w:eastAsia="pl-PL"/>
        </w:rPr>
        <w:t xml:space="preserve">instytucje zarządzające, wspólny sekretariat, koordynator programów </w:t>
      </w:r>
      <w:proofErr w:type="spellStart"/>
      <w:r w:rsidRPr="0040535D">
        <w:rPr>
          <w:rFonts w:ascii="Times New Roman" w:hAnsi="Times New Roman"/>
          <w:sz w:val="24"/>
          <w:szCs w:val="24"/>
          <w:lang w:eastAsia="pl-PL"/>
        </w:rPr>
        <w:t>Interreg</w:t>
      </w:r>
      <w:proofErr w:type="spellEnd"/>
      <w:r w:rsidRPr="0040535D">
        <w:rPr>
          <w:rFonts w:ascii="Times New Roman" w:hAnsi="Times New Roman"/>
          <w:sz w:val="24"/>
          <w:szCs w:val="24"/>
          <w:lang w:eastAsia="pl-PL"/>
        </w:rPr>
        <w:t>, kontroler krajowy, instytucje pośredniczące, instytucje wdrażające</w:t>
      </w:r>
      <w:r w:rsidR="002333F0" w:rsidRPr="0040535D">
        <w:rPr>
          <w:rFonts w:ascii="Times New Roman" w:hAnsi="Times New Roman"/>
          <w:sz w:val="24"/>
          <w:szCs w:val="24"/>
          <w:lang w:eastAsia="pl-PL"/>
        </w:rPr>
        <w:t xml:space="preserve">, </w:t>
      </w:r>
      <w:r w:rsidR="00751F6E" w:rsidRPr="00751F6E">
        <w:rPr>
          <w:rFonts w:ascii="Times New Roman" w:hAnsi="Times New Roman"/>
          <w:sz w:val="24"/>
          <w:szCs w:val="24"/>
          <w:lang w:eastAsia="pl-PL"/>
        </w:rPr>
        <w:t xml:space="preserve">instytucja pośrednicząca </w:t>
      </w:r>
      <w:proofErr w:type="spellStart"/>
      <w:r w:rsidR="00751F6E" w:rsidRPr="00751F6E">
        <w:rPr>
          <w:rFonts w:ascii="Times New Roman" w:hAnsi="Times New Roman"/>
          <w:sz w:val="24"/>
          <w:szCs w:val="24"/>
          <w:lang w:eastAsia="pl-PL"/>
        </w:rPr>
        <w:t>Interreg</w:t>
      </w:r>
      <w:proofErr w:type="spellEnd"/>
      <w:r w:rsidR="00751F6E">
        <w:rPr>
          <w:rFonts w:ascii="Times New Roman" w:hAnsi="Times New Roman"/>
          <w:sz w:val="24"/>
          <w:szCs w:val="24"/>
          <w:lang w:eastAsia="pl-PL"/>
        </w:rPr>
        <w:t>,</w:t>
      </w:r>
      <w:r w:rsidR="00751F6E" w:rsidRPr="00751F6E">
        <w:rPr>
          <w:rFonts w:ascii="Times New Roman" w:hAnsi="Times New Roman"/>
          <w:sz w:val="24"/>
          <w:szCs w:val="24"/>
          <w:lang w:eastAsia="pl-PL"/>
        </w:rPr>
        <w:t xml:space="preserve"> </w:t>
      </w:r>
      <w:r w:rsidR="002333F0" w:rsidRPr="0040535D">
        <w:rPr>
          <w:rFonts w:ascii="Times New Roman" w:hAnsi="Times New Roman"/>
          <w:sz w:val="24"/>
          <w:szCs w:val="24"/>
          <w:lang w:eastAsia="pl-PL"/>
        </w:rPr>
        <w:t>instytucja audytowa</w:t>
      </w:r>
      <w:r w:rsidR="00CB1802">
        <w:rPr>
          <w:rFonts w:ascii="Times New Roman" w:hAnsi="Times New Roman"/>
          <w:sz w:val="24"/>
          <w:szCs w:val="24"/>
          <w:lang w:eastAsia="pl-PL"/>
        </w:rPr>
        <w:t xml:space="preserve"> w</w:t>
      </w:r>
      <w:r w:rsidR="00CB1802" w:rsidRPr="00CB1802">
        <w:rPr>
          <w:rFonts w:ascii="Times New Roman" w:hAnsi="Times New Roman"/>
          <w:sz w:val="24"/>
          <w:szCs w:val="24"/>
          <w:lang w:eastAsia="pl-PL"/>
        </w:rPr>
        <w:t xml:space="preserve"> zakresie</w:t>
      </w:r>
      <w:r w:rsidR="00CB1802">
        <w:rPr>
          <w:rFonts w:ascii="Times New Roman" w:hAnsi="Times New Roman"/>
          <w:sz w:val="24"/>
          <w:szCs w:val="24"/>
          <w:lang w:eastAsia="pl-PL"/>
        </w:rPr>
        <w:t xml:space="preserve"> niezbędnym do realizacji celów</w:t>
      </w:r>
      <w:r w:rsidR="00CB1802" w:rsidRPr="00CB1802">
        <w:rPr>
          <w:rFonts w:ascii="Times New Roman" w:hAnsi="Times New Roman"/>
          <w:sz w:val="24"/>
          <w:szCs w:val="24"/>
          <w:lang w:eastAsia="pl-PL"/>
        </w:rPr>
        <w:t xml:space="preserve"> </w:t>
      </w:r>
      <w:r w:rsidRPr="0040535D">
        <w:rPr>
          <w:rFonts w:ascii="Times New Roman" w:hAnsi="Times New Roman"/>
          <w:sz w:val="24"/>
          <w:szCs w:val="24"/>
          <w:lang w:eastAsia="pl-PL"/>
        </w:rPr>
        <w:t>korzystają z informacji, w tym danych osobowych, zawartych w rejestrach</w:t>
      </w:r>
      <w:r w:rsidR="002333F0" w:rsidRPr="0040535D">
        <w:rPr>
          <w:rFonts w:ascii="Times New Roman" w:hAnsi="Times New Roman"/>
          <w:sz w:val="24"/>
          <w:szCs w:val="24"/>
          <w:lang w:eastAsia="pl-PL"/>
        </w:rPr>
        <w:t>, w tym rejestrach</w:t>
      </w:r>
      <w:r w:rsidRPr="0040535D">
        <w:rPr>
          <w:rFonts w:ascii="Times New Roman" w:hAnsi="Times New Roman"/>
          <w:sz w:val="24"/>
          <w:szCs w:val="24"/>
          <w:lang w:eastAsia="pl-PL"/>
        </w:rPr>
        <w:t xml:space="preserve"> publicznych w odniesieniu do osób i podmiotów w sposób bezpośredni lub pośredni korzystających ze środków publicznych na każdym etapie projektu. Katalog osób i podmiotów obejmuje w szczególności wnioskodawców, beneficjentów, wykonawców, podwykonawców, ostatecznych odbiorców, uczestników, ekspertów. Natomiast rejestry, z których dane mogą być pobierane zostały wymienione w art. </w:t>
      </w:r>
      <w:r w:rsidR="009511D4" w:rsidRPr="0040535D">
        <w:rPr>
          <w:rFonts w:ascii="Times New Roman" w:hAnsi="Times New Roman"/>
          <w:sz w:val="24"/>
          <w:szCs w:val="24"/>
          <w:lang w:eastAsia="pl-PL"/>
        </w:rPr>
        <w:t>9</w:t>
      </w:r>
      <w:r w:rsidR="00632C52" w:rsidRPr="0040535D">
        <w:rPr>
          <w:rFonts w:ascii="Times New Roman" w:hAnsi="Times New Roman"/>
          <w:sz w:val="24"/>
          <w:szCs w:val="24"/>
          <w:lang w:eastAsia="pl-PL"/>
        </w:rPr>
        <w:t>2</w:t>
      </w:r>
      <w:r w:rsidR="009511D4" w:rsidRPr="0040535D">
        <w:rPr>
          <w:rFonts w:ascii="Times New Roman" w:hAnsi="Times New Roman"/>
          <w:sz w:val="24"/>
          <w:szCs w:val="24"/>
          <w:lang w:eastAsia="pl-PL"/>
        </w:rPr>
        <w:t xml:space="preserve"> </w:t>
      </w:r>
      <w:r w:rsidRPr="0040535D">
        <w:rPr>
          <w:rFonts w:ascii="Times New Roman" w:hAnsi="Times New Roman"/>
          <w:sz w:val="24"/>
          <w:szCs w:val="24"/>
          <w:lang w:eastAsia="pl-PL"/>
        </w:rPr>
        <w:t>ust. 2 ustawy. Taki sposób pozyskiwania danych uprości wdrażanie funduszy UE w perspektywie 2021-2027 zmniejszając obciążenia biurokratyczne po stronie wnioskodawców lub beneficjentów związane z przedkładaniem zaświadczeń lub oświadczeń w zakresie danych objętych tymi rejestrami, niezbędnych do potwierdzenia kwalifikowalności wnioskodawcy/beneficjenta lub kwalifikowalności wydatku.</w:t>
      </w:r>
    </w:p>
    <w:p w14:paraId="7F9FE5BD" w14:textId="77777777" w:rsidR="00555DC0" w:rsidRPr="0040535D" w:rsidRDefault="00555DC0" w:rsidP="00697676">
      <w:pPr>
        <w:autoSpaceDE w:val="0"/>
        <w:autoSpaceDN w:val="0"/>
        <w:adjustRightInd w:val="0"/>
        <w:spacing w:after="0" w:line="360" w:lineRule="auto"/>
        <w:jc w:val="both"/>
        <w:rPr>
          <w:rFonts w:ascii="Times New Roman" w:hAnsi="Times New Roman"/>
          <w:sz w:val="24"/>
          <w:szCs w:val="24"/>
          <w:lang w:eastAsia="pl-PL"/>
        </w:rPr>
      </w:pPr>
      <w:r w:rsidRPr="0040535D">
        <w:rPr>
          <w:rFonts w:ascii="Times New Roman" w:hAnsi="Times New Roman"/>
          <w:sz w:val="24"/>
          <w:szCs w:val="24"/>
          <w:lang w:eastAsia="pl-PL"/>
        </w:rPr>
        <w:t xml:space="preserve">Warunki przekazywania, udostępniania lub wymiany informacji, w drodze teletransmisji lub poprzez usługę sieciową będą definiowane w porozumieniach zawieranych z gestorami rejestrów, chyba że zawarcie takiego porozumienia nie będzie wymagane (art. </w:t>
      </w:r>
      <w:r w:rsidR="009511D4" w:rsidRPr="0040535D">
        <w:rPr>
          <w:rFonts w:ascii="Times New Roman" w:hAnsi="Times New Roman"/>
          <w:sz w:val="24"/>
          <w:szCs w:val="24"/>
          <w:lang w:eastAsia="pl-PL"/>
        </w:rPr>
        <w:t>9</w:t>
      </w:r>
      <w:r w:rsidR="00632C52" w:rsidRPr="0040535D">
        <w:rPr>
          <w:rFonts w:ascii="Times New Roman" w:hAnsi="Times New Roman"/>
          <w:sz w:val="24"/>
          <w:szCs w:val="24"/>
          <w:lang w:eastAsia="pl-PL"/>
        </w:rPr>
        <w:t>2</w:t>
      </w:r>
      <w:r w:rsidR="009511D4" w:rsidRPr="0040535D">
        <w:rPr>
          <w:rFonts w:ascii="Times New Roman" w:hAnsi="Times New Roman"/>
          <w:sz w:val="24"/>
          <w:szCs w:val="24"/>
          <w:lang w:eastAsia="pl-PL"/>
        </w:rPr>
        <w:t xml:space="preserve"> </w:t>
      </w:r>
      <w:r w:rsidRPr="0040535D">
        <w:rPr>
          <w:rFonts w:ascii="Times New Roman" w:hAnsi="Times New Roman"/>
          <w:sz w:val="24"/>
          <w:szCs w:val="24"/>
          <w:lang w:eastAsia="pl-PL"/>
        </w:rPr>
        <w:t>ust.</w:t>
      </w:r>
      <w:r w:rsidR="00425A9D" w:rsidRPr="0040535D">
        <w:rPr>
          <w:rFonts w:ascii="Times New Roman" w:hAnsi="Times New Roman"/>
          <w:sz w:val="24"/>
          <w:szCs w:val="24"/>
          <w:lang w:eastAsia="pl-PL"/>
        </w:rPr>
        <w:t xml:space="preserve"> </w:t>
      </w:r>
      <w:r w:rsidRPr="0040535D">
        <w:rPr>
          <w:rFonts w:ascii="Times New Roman" w:hAnsi="Times New Roman"/>
          <w:sz w:val="24"/>
          <w:szCs w:val="24"/>
          <w:lang w:eastAsia="pl-PL"/>
        </w:rPr>
        <w:t>4 i 5). Porozumienia będą zawierały podmioty wskazane w ust. 1.</w:t>
      </w:r>
    </w:p>
    <w:p w14:paraId="343D8E0E" w14:textId="77777777" w:rsidR="00057689" w:rsidRPr="0040535D" w:rsidRDefault="00555DC0" w:rsidP="00057689">
      <w:pPr>
        <w:pStyle w:val="USTustnpkodeksu"/>
        <w:rPr>
          <w:rFonts w:ascii="Times New Roman" w:hAnsi="Times New Roman" w:cs="Times New Roman"/>
          <w:szCs w:val="24"/>
        </w:rPr>
      </w:pPr>
      <w:r w:rsidRPr="0040535D">
        <w:rPr>
          <w:rFonts w:ascii="Times New Roman" w:hAnsi="Times New Roman" w:cs="Times New Roman"/>
          <w:szCs w:val="24"/>
        </w:rPr>
        <w:t xml:space="preserve">W art. </w:t>
      </w:r>
      <w:r w:rsidR="009511D4" w:rsidRPr="0040535D">
        <w:rPr>
          <w:rFonts w:ascii="Times New Roman" w:hAnsi="Times New Roman" w:cs="Times New Roman"/>
          <w:szCs w:val="24"/>
        </w:rPr>
        <w:t>9</w:t>
      </w:r>
      <w:r w:rsidR="00632C52" w:rsidRPr="0040535D">
        <w:rPr>
          <w:rFonts w:ascii="Times New Roman" w:hAnsi="Times New Roman" w:cs="Times New Roman"/>
          <w:szCs w:val="24"/>
        </w:rPr>
        <w:t>2</w:t>
      </w:r>
      <w:r w:rsidR="009511D4" w:rsidRPr="0040535D">
        <w:rPr>
          <w:rFonts w:ascii="Times New Roman" w:hAnsi="Times New Roman" w:cs="Times New Roman"/>
          <w:szCs w:val="24"/>
        </w:rPr>
        <w:t xml:space="preserve"> </w:t>
      </w:r>
      <w:r w:rsidRPr="0040535D">
        <w:rPr>
          <w:rFonts w:ascii="Times New Roman" w:hAnsi="Times New Roman" w:cs="Times New Roman"/>
          <w:szCs w:val="24"/>
        </w:rPr>
        <w:t xml:space="preserve">ust. 3 ujęto przepis uprawniający podmioty, o których mowa w ust. 1 do nieodpłatnego dostępu do informacji zawartych w rejestrach. Informacje, których przekazywanie lub wymiana będzie możliwa po zawarciu porozumienia, mogą obejmować tajemnice prawnie chronione (art. </w:t>
      </w:r>
      <w:r w:rsidR="009511D4" w:rsidRPr="0040535D">
        <w:rPr>
          <w:rFonts w:ascii="Times New Roman" w:hAnsi="Times New Roman" w:cs="Times New Roman"/>
          <w:szCs w:val="24"/>
        </w:rPr>
        <w:t>9</w:t>
      </w:r>
      <w:r w:rsidR="00632C52" w:rsidRPr="0040535D">
        <w:rPr>
          <w:rFonts w:ascii="Times New Roman" w:hAnsi="Times New Roman" w:cs="Times New Roman"/>
          <w:szCs w:val="24"/>
        </w:rPr>
        <w:t>2</w:t>
      </w:r>
      <w:r w:rsidR="009511D4" w:rsidRPr="0040535D">
        <w:rPr>
          <w:rFonts w:ascii="Times New Roman" w:hAnsi="Times New Roman" w:cs="Times New Roman"/>
          <w:szCs w:val="24"/>
        </w:rPr>
        <w:t xml:space="preserve"> </w:t>
      </w:r>
      <w:r w:rsidRPr="0040535D">
        <w:rPr>
          <w:rFonts w:ascii="Times New Roman" w:hAnsi="Times New Roman" w:cs="Times New Roman"/>
          <w:szCs w:val="24"/>
        </w:rPr>
        <w:t xml:space="preserve">ust. 6), np. tajemnicę skarbową (informacje potrzebne np. </w:t>
      </w:r>
      <w:r w:rsidRPr="0040535D">
        <w:rPr>
          <w:rFonts w:ascii="Times New Roman" w:hAnsi="Times New Roman" w:cs="Times New Roman"/>
          <w:szCs w:val="24"/>
        </w:rPr>
        <w:lastRenderedPageBreak/>
        <w:t>przy potwierdzaniu kwalifikowalności VAT). Warunki udostępniania lub przekazywania tych informacji, zwłaszcza informacji prawnie chronionych, ze względu na swój charakter będą opisane w porozumieniu w sposób rygorystyczny, uwzględniający ograniczenia wynikające z innych aktów prawa.</w:t>
      </w:r>
      <w:r w:rsidR="00057689" w:rsidRPr="0040535D">
        <w:rPr>
          <w:rFonts w:ascii="Times New Roman" w:hAnsi="Times New Roman" w:cs="Times New Roman"/>
          <w:szCs w:val="24"/>
        </w:rPr>
        <w:t xml:space="preserve"> W takim przypadku, dostęp może być ograniczony do informacji wytworzonych na podstawie informacji zawartych w tych rejestrach w zakresie nienaruszającym tajemnicy uregulowanej w przepisach odrębnych.</w:t>
      </w:r>
    </w:p>
    <w:p w14:paraId="387F7572" w14:textId="77777777" w:rsidR="00555DC0" w:rsidRPr="0040535D" w:rsidRDefault="00057689" w:rsidP="00057689">
      <w:pPr>
        <w:autoSpaceDE w:val="0"/>
        <w:autoSpaceDN w:val="0"/>
        <w:adjustRightInd w:val="0"/>
        <w:spacing w:after="0" w:line="360" w:lineRule="auto"/>
        <w:jc w:val="both"/>
        <w:rPr>
          <w:rFonts w:ascii="Times New Roman" w:hAnsi="Times New Roman"/>
          <w:sz w:val="24"/>
          <w:szCs w:val="24"/>
          <w:lang w:eastAsia="pl-PL"/>
        </w:rPr>
      </w:pPr>
      <w:r w:rsidRPr="0040535D">
        <w:rPr>
          <w:rFonts w:ascii="Times New Roman" w:hAnsi="Times New Roman"/>
          <w:sz w:val="24"/>
          <w:szCs w:val="24"/>
          <w:lang w:eastAsia="pl-PL"/>
        </w:rPr>
        <w:t xml:space="preserve">Ponadto zgodnie z art. 92 ust. 7 ustawy </w:t>
      </w:r>
      <w:r w:rsidRPr="0040535D">
        <w:rPr>
          <w:rFonts w:ascii="Times New Roman" w:hAnsi="Times New Roman"/>
          <w:sz w:val="24"/>
          <w:szCs w:val="24"/>
        </w:rPr>
        <w:t xml:space="preserve">udostępnienie danych zawartych w rejestrze, o którym mowa w ust. 2 pkt 6, podmiotom, o których mowa w ust. 1, oraz ich przetwarzanie przez te podmioty, nie będzie stanowiło naruszenia przepisów o tajemnicy skarbowej, o których mowa w ustawie z dnia 29 sierpnia 1997 r. - Ordynacja podatkowa (Dz. U. </w:t>
      </w:r>
      <w:r w:rsidR="00CF2F03" w:rsidRPr="0040535D">
        <w:rPr>
          <w:rFonts w:ascii="Times New Roman" w:hAnsi="Times New Roman"/>
          <w:sz w:val="24"/>
          <w:szCs w:val="24"/>
        </w:rPr>
        <w:t>z 2021 r. poz. 1540 i 1598).</w:t>
      </w:r>
    </w:p>
    <w:p w14:paraId="0CC95F66" w14:textId="77777777" w:rsidR="002C27A2" w:rsidRPr="0040535D" w:rsidRDefault="008013A9" w:rsidP="00697676">
      <w:pPr>
        <w:autoSpaceDE w:val="0"/>
        <w:autoSpaceDN w:val="0"/>
        <w:adjustRightInd w:val="0"/>
        <w:spacing w:after="0" w:line="360" w:lineRule="auto"/>
        <w:jc w:val="both"/>
        <w:rPr>
          <w:rFonts w:ascii="Times New Roman" w:hAnsi="Times New Roman"/>
          <w:sz w:val="24"/>
          <w:szCs w:val="24"/>
          <w:lang w:eastAsia="pl-PL"/>
        </w:rPr>
      </w:pPr>
      <w:r w:rsidRPr="0040535D">
        <w:rPr>
          <w:rFonts w:ascii="Times New Roman" w:hAnsi="Times New Roman"/>
          <w:b/>
          <w:sz w:val="24"/>
          <w:szCs w:val="24"/>
          <w:lang w:eastAsia="pl-PL"/>
        </w:rPr>
        <w:t>A</w:t>
      </w:r>
      <w:r w:rsidR="002C27A2" w:rsidRPr="0040535D">
        <w:rPr>
          <w:rFonts w:ascii="Times New Roman" w:hAnsi="Times New Roman"/>
          <w:b/>
          <w:sz w:val="24"/>
          <w:szCs w:val="24"/>
          <w:lang w:eastAsia="pl-PL"/>
        </w:rPr>
        <w:t>rt. 93</w:t>
      </w:r>
      <w:r w:rsidR="002C27A2" w:rsidRPr="0040535D">
        <w:rPr>
          <w:rFonts w:ascii="Times New Roman" w:hAnsi="Times New Roman"/>
          <w:sz w:val="24"/>
          <w:szCs w:val="24"/>
          <w:lang w:eastAsia="pl-PL"/>
        </w:rPr>
        <w:t xml:space="preserve"> </w:t>
      </w:r>
      <w:r w:rsidR="0077510E" w:rsidRPr="0040535D">
        <w:rPr>
          <w:rFonts w:ascii="Times New Roman" w:hAnsi="Times New Roman"/>
          <w:sz w:val="24"/>
          <w:szCs w:val="24"/>
          <w:lang w:eastAsia="pl-PL"/>
        </w:rPr>
        <w:t xml:space="preserve">daje możliwość dostępu do informacji i danych pochodzących z rejestrów, o których mowa w art. 92 ust. 2, również podmiotom innym, niż wskazane w art. 92 ust. 1, w celu weryfikacji przez te podmioty statusu przedsiębiorstwa, w tym jego wielkości, dla potrzeb udzielania pomocy publicznej, pomocy de </w:t>
      </w:r>
      <w:proofErr w:type="spellStart"/>
      <w:r w:rsidR="0077510E" w:rsidRPr="0040535D">
        <w:rPr>
          <w:rFonts w:ascii="Times New Roman" w:hAnsi="Times New Roman"/>
          <w:sz w:val="24"/>
          <w:szCs w:val="24"/>
          <w:lang w:eastAsia="pl-PL"/>
        </w:rPr>
        <w:t>minimis</w:t>
      </w:r>
      <w:proofErr w:type="spellEnd"/>
      <w:r w:rsidR="0077510E" w:rsidRPr="0040535D">
        <w:rPr>
          <w:rFonts w:ascii="Times New Roman" w:hAnsi="Times New Roman"/>
          <w:sz w:val="24"/>
          <w:szCs w:val="24"/>
          <w:lang w:eastAsia="pl-PL"/>
        </w:rPr>
        <w:t xml:space="preserve"> lub pomocy de </w:t>
      </w:r>
      <w:proofErr w:type="spellStart"/>
      <w:r w:rsidR="0077510E" w:rsidRPr="0040535D">
        <w:rPr>
          <w:rFonts w:ascii="Times New Roman" w:hAnsi="Times New Roman"/>
          <w:sz w:val="24"/>
          <w:szCs w:val="24"/>
          <w:lang w:eastAsia="pl-PL"/>
        </w:rPr>
        <w:t>minimis</w:t>
      </w:r>
      <w:proofErr w:type="spellEnd"/>
      <w:r w:rsidR="0077510E" w:rsidRPr="0040535D">
        <w:rPr>
          <w:rFonts w:ascii="Times New Roman" w:hAnsi="Times New Roman"/>
          <w:sz w:val="24"/>
          <w:szCs w:val="24"/>
          <w:lang w:eastAsia="pl-PL"/>
        </w:rPr>
        <w:t xml:space="preserve"> w rolnictwie lub rybołówstwie – w zakresie niezbędnym do dokonania tej weryfikacji. Podstawą dostępu do tych informacji i danych będzie </w:t>
      </w:r>
      <w:r w:rsidR="002B30D0" w:rsidRPr="0040535D">
        <w:rPr>
          <w:rFonts w:ascii="Times New Roman" w:hAnsi="Times New Roman"/>
          <w:sz w:val="24"/>
          <w:szCs w:val="24"/>
          <w:lang w:eastAsia="pl-PL"/>
        </w:rPr>
        <w:t xml:space="preserve">uprzednie zawarcie </w:t>
      </w:r>
      <w:r w:rsidR="0077510E" w:rsidRPr="0040535D">
        <w:rPr>
          <w:rFonts w:ascii="Times New Roman" w:hAnsi="Times New Roman"/>
          <w:sz w:val="24"/>
          <w:szCs w:val="24"/>
          <w:lang w:eastAsia="pl-PL"/>
        </w:rPr>
        <w:t>z ministrem właściwym do spraw rozwoju regionalnego</w:t>
      </w:r>
      <w:r w:rsidR="002B30D0" w:rsidRPr="0040535D">
        <w:rPr>
          <w:rFonts w:ascii="Times New Roman" w:hAnsi="Times New Roman"/>
          <w:sz w:val="24"/>
          <w:szCs w:val="24"/>
          <w:lang w:eastAsia="pl-PL"/>
        </w:rPr>
        <w:t xml:space="preserve"> porozumienia</w:t>
      </w:r>
      <w:r w:rsidR="0077510E" w:rsidRPr="0040535D">
        <w:rPr>
          <w:rFonts w:ascii="Times New Roman" w:hAnsi="Times New Roman"/>
          <w:sz w:val="24"/>
          <w:szCs w:val="24"/>
          <w:lang w:eastAsia="pl-PL"/>
        </w:rPr>
        <w:t xml:space="preserve">.  Do </w:t>
      </w:r>
      <w:r w:rsidRPr="0040535D">
        <w:rPr>
          <w:rFonts w:ascii="Times New Roman" w:hAnsi="Times New Roman"/>
          <w:sz w:val="24"/>
          <w:szCs w:val="24"/>
          <w:lang w:eastAsia="pl-PL"/>
        </w:rPr>
        <w:t xml:space="preserve">tego </w:t>
      </w:r>
      <w:r w:rsidR="0077510E" w:rsidRPr="0040535D">
        <w:rPr>
          <w:rFonts w:ascii="Times New Roman" w:hAnsi="Times New Roman"/>
          <w:sz w:val="24"/>
          <w:szCs w:val="24"/>
          <w:lang w:eastAsia="pl-PL"/>
        </w:rPr>
        <w:t>porozumienia zastosowanie znajd</w:t>
      </w:r>
      <w:r w:rsidR="002B30D0" w:rsidRPr="0040535D">
        <w:rPr>
          <w:rFonts w:ascii="Times New Roman" w:hAnsi="Times New Roman"/>
          <w:sz w:val="24"/>
          <w:szCs w:val="24"/>
          <w:lang w:eastAsia="pl-PL"/>
        </w:rPr>
        <w:t>ą</w:t>
      </w:r>
      <w:r w:rsidR="0077510E" w:rsidRPr="0040535D">
        <w:rPr>
          <w:rFonts w:ascii="Times New Roman" w:hAnsi="Times New Roman"/>
          <w:sz w:val="24"/>
          <w:szCs w:val="24"/>
          <w:lang w:eastAsia="pl-PL"/>
        </w:rPr>
        <w:t xml:space="preserve"> odpowiednio przepisy art. 92 ust. 4-7.</w:t>
      </w:r>
    </w:p>
    <w:p w14:paraId="245D7C63" w14:textId="77777777" w:rsidR="00555DC0" w:rsidRPr="0040535D" w:rsidRDefault="00555DC0" w:rsidP="009A0EE5">
      <w:pPr>
        <w:autoSpaceDE w:val="0"/>
        <w:autoSpaceDN w:val="0"/>
        <w:adjustRightInd w:val="0"/>
        <w:spacing w:after="0" w:line="360" w:lineRule="auto"/>
        <w:jc w:val="both"/>
        <w:rPr>
          <w:rFonts w:ascii="Times New Roman" w:hAnsi="Times New Roman"/>
          <w:sz w:val="24"/>
          <w:szCs w:val="24"/>
          <w:lang w:eastAsia="pl-PL"/>
        </w:rPr>
      </w:pPr>
    </w:p>
    <w:p w14:paraId="31799B83" w14:textId="77777777" w:rsidR="00555DC0" w:rsidRPr="0040535D" w:rsidRDefault="00555DC0" w:rsidP="009A0EE5">
      <w:pPr>
        <w:autoSpaceDE w:val="0"/>
        <w:autoSpaceDN w:val="0"/>
        <w:adjustRightInd w:val="0"/>
        <w:spacing w:after="0" w:line="360" w:lineRule="auto"/>
        <w:jc w:val="both"/>
        <w:rPr>
          <w:rFonts w:ascii="Times New Roman" w:hAnsi="Times New Roman"/>
          <w:b/>
          <w:sz w:val="24"/>
          <w:szCs w:val="24"/>
          <w:lang w:eastAsia="pl-PL"/>
        </w:rPr>
      </w:pPr>
      <w:r w:rsidRPr="0040535D">
        <w:rPr>
          <w:rFonts w:ascii="Times New Roman" w:hAnsi="Times New Roman"/>
          <w:b/>
          <w:sz w:val="24"/>
          <w:szCs w:val="24"/>
          <w:lang w:eastAsia="pl-PL"/>
        </w:rPr>
        <w:t xml:space="preserve">Rozdział </w:t>
      </w:r>
      <w:r w:rsidR="00632C52" w:rsidRPr="0040535D">
        <w:rPr>
          <w:rFonts w:ascii="Times New Roman" w:hAnsi="Times New Roman"/>
          <w:b/>
          <w:sz w:val="24"/>
          <w:szCs w:val="24"/>
          <w:lang w:eastAsia="pl-PL"/>
        </w:rPr>
        <w:t>19</w:t>
      </w:r>
      <w:r w:rsidRPr="0040535D">
        <w:rPr>
          <w:rFonts w:ascii="Times New Roman" w:hAnsi="Times New Roman"/>
          <w:b/>
          <w:sz w:val="24"/>
          <w:szCs w:val="24"/>
          <w:lang w:eastAsia="pl-PL"/>
        </w:rPr>
        <w:t>. Zmiany w przepisach obowiązujących.</w:t>
      </w:r>
    </w:p>
    <w:p w14:paraId="214FB740" w14:textId="77777777" w:rsidR="00426ABE" w:rsidRPr="0040535D" w:rsidRDefault="00426ABE" w:rsidP="009A0EE5">
      <w:pPr>
        <w:pStyle w:val="Tekstkomentarza"/>
        <w:spacing w:line="360" w:lineRule="auto"/>
        <w:rPr>
          <w:rFonts w:ascii="Times New Roman" w:hAnsi="Times New Roman"/>
          <w:color w:val="auto"/>
          <w:sz w:val="24"/>
          <w:szCs w:val="24"/>
          <w:lang w:val="pl-PL"/>
        </w:rPr>
      </w:pPr>
      <w:r w:rsidRPr="0040535D">
        <w:rPr>
          <w:rFonts w:ascii="Times New Roman" w:hAnsi="Times New Roman"/>
          <w:color w:val="auto"/>
          <w:sz w:val="24"/>
          <w:szCs w:val="24"/>
          <w:lang w:eastAsia="pl-PL"/>
        </w:rPr>
        <w:t xml:space="preserve">Propozycja dodania przepisów w ustawie </w:t>
      </w:r>
      <w:r w:rsidR="00425A9D" w:rsidRPr="0040535D">
        <w:rPr>
          <w:rFonts w:ascii="Times New Roman" w:hAnsi="Times New Roman"/>
          <w:color w:val="auto"/>
          <w:sz w:val="24"/>
          <w:szCs w:val="24"/>
          <w:lang w:val="pl-PL" w:eastAsia="pl-PL"/>
        </w:rPr>
        <w:t xml:space="preserve">z dnia 8 marca 1990 r. </w:t>
      </w:r>
      <w:r w:rsidRPr="0040535D">
        <w:rPr>
          <w:rFonts w:ascii="Times New Roman" w:hAnsi="Times New Roman"/>
          <w:color w:val="auto"/>
          <w:sz w:val="24"/>
          <w:szCs w:val="24"/>
          <w:lang w:eastAsia="pl-PL"/>
        </w:rPr>
        <w:t xml:space="preserve">o samorządzie gminnym </w:t>
      </w:r>
      <w:r w:rsidR="00B130AD" w:rsidRPr="0040535D">
        <w:rPr>
          <w:rFonts w:ascii="Times New Roman" w:hAnsi="Times New Roman"/>
          <w:color w:val="auto"/>
          <w:sz w:val="24"/>
          <w:szCs w:val="24"/>
          <w:lang w:val="pl-PL" w:eastAsia="pl-PL"/>
        </w:rPr>
        <w:t>(D</w:t>
      </w:r>
      <w:r w:rsidR="002708B2" w:rsidRPr="0040535D">
        <w:rPr>
          <w:rFonts w:ascii="Times New Roman" w:hAnsi="Times New Roman"/>
          <w:color w:val="auto"/>
          <w:sz w:val="24"/>
          <w:szCs w:val="24"/>
          <w:lang w:val="pl-PL" w:eastAsia="pl-PL"/>
        </w:rPr>
        <w:t>z</w:t>
      </w:r>
      <w:r w:rsidR="00B130AD" w:rsidRPr="0040535D">
        <w:rPr>
          <w:rFonts w:ascii="Times New Roman" w:hAnsi="Times New Roman"/>
          <w:color w:val="auto"/>
          <w:sz w:val="24"/>
          <w:szCs w:val="24"/>
          <w:lang w:val="pl-PL" w:eastAsia="pl-PL"/>
        </w:rPr>
        <w:t xml:space="preserve">. U. </w:t>
      </w:r>
      <w:r w:rsidR="00DC1058" w:rsidRPr="0040535D">
        <w:rPr>
          <w:rStyle w:val="Ppogrubienie"/>
          <w:rFonts w:ascii="Times New Roman" w:hAnsi="Times New Roman"/>
          <w:b w:val="0"/>
          <w:color w:val="auto"/>
          <w:sz w:val="24"/>
          <w:szCs w:val="24"/>
        </w:rPr>
        <w:t xml:space="preserve">z </w:t>
      </w:r>
      <w:r w:rsidR="00DC1058" w:rsidRPr="0040535D">
        <w:rPr>
          <w:rFonts w:ascii="Times New Roman" w:hAnsi="Times New Roman"/>
          <w:color w:val="auto"/>
          <w:sz w:val="24"/>
          <w:szCs w:val="24"/>
        </w:rPr>
        <w:t>2021 r. poz. 1372</w:t>
      </w:r>
      <w:r w:rsidR="00751F6E">
        <w:rPr>
          <w:rFonts w:ascii="Times New Roman" w:hAnsi="Times New Roman"/>
          <w:color w:val="auto"/>
          <w:sz w:val="24"/>
          <w:szCs w:val="24"/>
          <w:lang w:val="pl-PL"/>
        </w:rPr>
        <w:t xml:space="preserve">, z </w:t>
      </w:r>
      <w:proofErr w:type="spellStart"/>
      <w:r w:rsidR="00751F6E">
        <w:rPr>
          <w:rFonts w:ascii="Times New Roman" w:hAnsi="Times New Roman"/>
          <w:color w:val="auto"/>
          <w:sz w:val="24"/>
          <w:szCs w:val="24"/>
          <w:lang w:val="pl-PL"/>
        </w:rPr>
        <w:t>późn</w:t>
      </w:r>
      <w:proofErr w:type="spellEnd"/>
      <w:r w:rsidR="00751F6E">
        <w:rPr>
          <w:rFonts w:ascii="Times New Roman" w:hAnsi="Times New Roman"/>
          <w:color w:val="auto"/>
          <w:sz w:val="24"/>
          <w:szCs w:val="24"/>
          <w:lang w:val="pl-PL"/>
        </w:rPr>
        <w:t>. zm.</w:t>
      </w:r>
      <w:r w:rsidR="00B130AD" w:rsidRPr="0040535D">
        <w:rPr>
          <w:rStyle w:val="Ppogrubienie"/>
          <w:rFonts w:ascii="Times New Roman" w:hAnsi="Times New Roman"/>
          <w:b w:val="0"/>
          <w:color w:val="auto"/>
          <w:sz w:val="24"/>
          <w:szCs w:val="24"/>
          <w:lang w:val="pl-PL"/>
        </w:rPr>
        <w:t>)</w:t>
      </w:r>
      <w:r w:rsidR="00B130AD" w:rsidRPr="0040535D">
        <w:rPr>
          <w:rFonts w:ascii="Times New Roman" w:hAnsi="Times New Roman"/>
          <w:color w:val="auto"/>
          <w:sz w:val="24"/>
          <w:szCs w:val="24"/>
          <w:lang w:val="pl-PL" w:eastAsia="pl-PL"/>
        </w:rPr>
        <w:t xml:space="preserve"> </w:t>
      </w:r>
      <w:r w:rsidRPr="0040535D">
        <w:rPr>
          <w:rFonts w:ascii="Times New Roman" w:hAnsi="Times New Roman"/>
          <w:color w:val="auto"/>
          <w:sz w:val="24"/>
          <w:szCs w:val="24"/>
          <w:lang w:val="pl-PL" w:eastAsia="pl-PL"/>
        </w:rPr>
        <w:t>(</w:t>
      </w:r>
      <w:r w:rsidRPr="0040535D">
        <w:rPr>
          <w:rFonts w:ascii="Times New Roman" w:hAnsi="Times New Roman"/>
          <w:b/>
          <w:color w:val="auto"/>
          <w:sz w:val="24"/>
          <w:szCs w:val="24"/>
          <w:lang w:val="pl-PL" w:eastAsia="pl-PL"/>
        </w:rPr>
        <w:t>a</w:t>
      </w:r>
      <w:proofErr w:type="spellStart"/>
      <w:r w:rsidRPr="0040535D">
        <w:rPr>
          <w:rFonts w:ascii="Times New Roman" w:hAnsi="Times New Roman"/>
          <w:b/>
          <w:color w:val="auto"/>
          <w:sz w:val="24"/>
          <w:szCs w:val="24"/>
          <w:lang w:eastAsia="pl-PL"/>
        </w:rPr>
        <w:t>rt</w:t>
      </w:r>
      <w:proofErr w:type="spellEnd"/>
      <w:r w:rsidRPr="0040535D">
        <w:rPr>
          <w:rFonts w:ascii="Times New Roman" w:hAnsi="Times New Roman"/>
          <w:b/>
          <w:color w:val="auto"/>
          <w:sz w:val="24"/>
          <w:szCs w:val="24"/>
          <w:lang w:eastAsia="pl-PL"/>
        </w:rPr>
        <w:t xml:space="preserve">. </w:t>
      </w:r>
      <w:r w:rsidR="00932EB8" w:rsidRPr="0040535D">
        <w:rPr>
          <w:rFonts w:ascii="Times New Roman" w:hAnsi="Times New Roman"/>
          <w:b/>
          <w:color w:val="auto"/>
          <w:sz w:val="24"/>
          <w:szCs w:val="24"/>
          <w:lang w:val="pl-PL" w:eastAsia="pl-PL"/>
        </w:rPr>
        <w:t>9</w:t>
      </w:r>
      <w:r w:rsidR="0087154C" w:rsidRPr="0040535D">
        <w:rPr>
          <w:rFonts w:ascii="Times New Roman" w:hAnsi="Times New Roman"/>
          <w:b/>
          <w:color w:val="auto"/>
          <w:sz w:val="24"/>
          <w:szCs w:val="24"/>
          <w:lang w:val="pl-PL" w:eastAsia="pl-PL"/>
        </w:rPr>
        <w:t>4</w:t>
      </w:r>
      <w:r w:rsidR="00B130AD" w:rsidRPr="0040535D">
        <w:rPr>
          <w:rFonts w:ascii="Times New Roman" w:hAnsi="Times New Roman"/>
          <w:color w:val="auto"/>
          <w:sz w:val="24"/>
          <w:szCs w:val="24"/>
          <w:lang w:val="pl-PL" w:eastAsia="pl-PL"/>
        </w:rPr>
        <w:t xml:space="preserve"> ustawy</w:t>
      </w:r>
      <w:r w:rsidRPr="0040535D">
        <w:rPr>
          <w:rFonts w:ascii="Times New Roman" w:hAnsi="Times New Roman"/>
          <w:color w:val="auto"/>
          <w:sz w:val="24"/>
          <w:szCs w:val="24"/>
          <w:lang w:val="pl-PL" w:eastAsia="pl-PL"/>
        </w:rPr>
        <w:t>)</w:t>
      </w:r>
      <w:r w:rsidRPr="0040535D">
        <w:rPr>
          <w:rFonts w:ascii="Times New Roman" w:hAnsi="Times New Roman"/>
          <w:b/>
          <w:color w:val="auto"/>
          <w:sz w:val="24"/>
          <w:szCs w:val="24"/>
          <w:lang w:val="pl-PL" w:eastAsia="pl-PL"/>
        </w:rPr>
        <w:t xml:space="preserve"> </w:t>
      </w:r>
      <w:r w:rsidRPr="0040535D">
        <w:rPr>
          <w:rFonts w:ascii="Times New Roman" w:hAnsi="Times New Roman"/>
          <w:color w:val="auto"/>
          <w:sz w:val="24"/>
          <w:szCs w:val="24"/>
          <w:lang w:eastAsia="pl-PL"/>
        </w:rPr>
        <w:t xml:space="preserve">oraz </w:t>
      </w:r>
      <w:proofErr w:type="spellStart"/>
      <w:r w:rsidR="00F058AF" w:rsidRPr="0040535D">
        <w:rPr>
          <w:rFonts w:ascii="Times New Roman" w:hAnsi="Times New Roman"/>
          <w:color w:val="auto"/>
          <w:sz w:val="24"/>
          <w:szCs w:val="24"/>
          <w:lang w:val="pl-PL" w:eastAsia="pl-PL"/>
        </w:rPr>
        <w:t>uzppr</w:t>
      </w:r>
      <w:proofErr w:type="spellEnd"/>
      <w:r w:rsidRPr="0040535D">
        <w:rPr>
          <w:rFonts w:ascii="Times New Roman" w:hAnsi="Times New Roman"/>
          <w:color w:val="auto"/>
          <w:sz w:val="24"/>
          <w:szCs w:val="24"/>
          <w:lang w:val="pl-PL" w:eastAsia="pl-PL"/>
        </w:rPr>
        <w:t xml:space="preserve"> (</w:t>
      </w:r>
      <w:r w:rsidRPr="0040535D">
        <w:rPr>
          <w:rFonts w:ascii="Times New Roman" w:hAnsi="Times New Roman"/>
          <w:b/>
          <w:color w:val="auto"/>
          <w:sz w:val="24"/>
          <w:szCs w:val="24"/>
          <w:lang w:val="pl-PL" w:eastAsia="pl-PL"/>
        </w:rPr>
        <w:t>art.</w:t>
      </w:r>
      <w:r w:rsidRPr="0040535D">
        <w:rPr>
          <w:rFonts w:ascii="Times New Roman" w:hAnsi="Times New Roman"/>
          <w:b/>
          <w:color w:val="auto"/>
          <w:sz w:val="24"/>
          <w:szCs w:val="24"/>
          <w:lang w:eastAsia="pl-PL"/>
        </w:rPr>
        <w:t xml:space="preserve"> </w:t>
      </w:r>
      <w:r w:rsidR="009511D4" w:rsidRPr="0040535D">
        <w:rPr>
          <w:rFonts w:ascii="Times New Roman" w:hAnsi="Times New Roman"/>
          <w:b/>
          <w:color w:val="auto"/>
          <w:sz w:val="24"/>
          <w:szCs w:val="24"/>
          <w:lang w:eastAsia="pl-PL"/>
        </w:rPr>
        <w:t>10</w:t>
      </w:r>
      <w:r w:rsidR="00C10E86" w:rsidRPr="0040535D">
        <w:rPr>
          <w:rFonts w:ascii="Times New Roman" w:hAnsi="Times New Roman"/>
          <w:b/>
          <w:color w:val="auto"/>
          <w:sz w:val="24"/>
          <w:szCs w:val="24"/>
          <w:lang w:val="pl-PL" w:eastAsia="pl-PL"/>
        </w:rPr>
        <w:t>8</w:t>
      </w:r>
      <w:r w:rsidR="009511D4" w:rsidRPr="0040535D">
        <w:rPr>
          <w:rFonts w:ascii="Times New Roman" w:hAnsi="Times New Roman"/>
          <w:b/>
          <w:color w:val="auto"/>
          <w:sz w:val="24"/>
          <w:szCs w:val="24"/>
          <w:lang w:val="pl-PL" w:eastAsia="pl-PL"/>
        </w:rPr>
        <w:t xml:space="preserve"> </w:t>
      </w:r>
      <w:r w:rsidR="00932EB8" w:rsidRPr="0040535D">
        <w:rPr>
          <w:rFonts w:ascii="Times New Roman" w:hAnsi="Times New Roman"/>
          <w:b/>
          <w:color w:val="auto"/>
          <w:sz w:val="24"/>
          <w:szCs w:val="24"/>
          <w:lang w:val="pl-PL" w:eastAsia="pl-PL"/>
        </w:rPr>
        <w:t xml:space="preserve">pkt </w:t>
      </w:r>
      <w:r w:rsidR="00B13FE6">
        <w:rPr>
          <w:rFonts w:ascii="Times New Roman" w:hAnsi="Times New Roman"/>
          <w:b/>
          <w:color w:val="auto"/>
          <w:sz w:val="24"/>
          <w:szCs w:val="24"/>
          <w:lang w:val="pl-PL" w:eastAsia="pl-PL"/>
        </w:rPr>
        <w:t>7</w:t>
      </w:r>
      <w:r w:rsidR="00B13FE6" w:rsidRPr="0040535D">
        <w:rPr>
          <w:rFonts w:ascii="Times New Roman" w:hAnsi="Times New Roman"/>
          <w:color w:val="auto"/>
          <w:sz w:val="24"/>
          <w:szCs w:val="24"/>
          <w:lang w:val="pl-PL" w:eastAsia="pl-PL"/>
        </w:rPr>
        <w:t xml:space="preserve"> </w:t>
      </w:r>
      <w:r w:rsidR="00B130AD" w:rsidRPr="0040535D">
        <w:rPr>
          <w:rFonts w:ascii="Times New Roman" w:hAnsi="Times New Roman"/>
          <w:color w:val="auto"/>
          <w:sz w:val="24"/>
          <w:szCs w:val="24"/>
          <w:lang w:val="pl-PL" w:eastAsia="pl-PL"/>
        </w:rPr>
        <w:t>ustawy</w:t>
      </w:r>
      <w:r w:rsidRPr="0040535D">
        <w:rPr>
          <w:rFonts w:ascii="Times New Roman" w:hAnsi="Times New Roman"/>
          <w:color w:val="auto"/>
          <w:sz w:val="24"/>
          <w:szCs w:val="24"/>
          <w:lang w:val="pl-PL" w:eastAsia="pl-PL"/>
        </w:rPr>
        <w:t xml:space="preserve">) </w:t>
      </w:r>
      <w:r w:rsidRPr="0040535D">
        <w:rPr>
          <w:rFonts w:ascii="Times New Roman" w:hAnsi="Times New Roman"/>
          <w:color w:val="auto"/>
          <w:sz w:val="24"/>
          <w:szCs w:val="24"/>
        </w:rPr>
        <w:t xml:space="preserve">wynika ze zidentyfikowanych braków dotyczących podstawy prawnej dla podjęcia uchwały w sprawie rozpoczęcia prac nad strategią rozwoju ponadlokalnego i dla możliwości uchwalania przez partnerstwa jednostek samorządu terytorialnego programów rozwoju. Uchwalenie strategii rozwoju ponadlokalnego jest warunkiem ubiegania się przez ZIT o środki finansowe z nowego budżetu UE na lata 2021-2027. Natomiast uzupełnienie </w:t>
      </w:r>
      <w:proofErr w:type="spellStart"/>
      <w:r w:rsidR="00F058AF" w:rsidRPr="0040535D">
        <w:rPr>
          <w:rFonts w:ascii="Times New Roman" w:hAnsi="Times New Roman"/>
          <w:color w:val="auto"/>
          <w:sz w:val="24"/>
          <w:szCs w:val="24"/>
          <w:lang w:val="pl-PL" w:eastAsia="pl-PL"/>
        </w:rPr>
        <w:t>uzppr</w:t>
      </w:r>
      <w:proofErr w:type="spellEnd"/>
      <w:r w:rsidRPr="0040535D">
        <w:rPr>
          <w:rFonts w:ascii="Times New Roman" w:hAnsi="Times New Roman"/>
          <w:color w:val="auto"/>
          <w:sz w:val="24"/>
          <w:szCs w:val="24"/>
        </w:rPr>
        <w:t xml:space="preserve"> jest konieczne ze względu na stworzenie możliwości przyjmowania przez współpracujące </w:t>
      </w:r>
      <w:proofErr w:type="spellStart"/>
      <w:r w:rsidRPr="0040535D">
        <w:rPr>
          <w:rFonts w:ascii="Times New Roman" w:hAnsi="Times New Roman"/>
          <w:color w:val="auto"/>
          <w:sz w:val="24"/>
          <w:szCs w:val="24"/>
        </w:rPr>
        <w:t>jst</w:t>
      </w:r>
      <w:proofErr w:type="spellEnd"/>
      <w:r w:rsidRPr="0040535D">
        <w:rPr>
          <w:rFonts w:ascii="Times New Roman" w:hAnsi="Times New Roman"/>
          <w:color w:val="auto"/>
          <w:sz w:val="24"/>
          <w:szCs w:val="24"/>
        </w:rPr>
        <w:t xml:space="preserve"> programów rozwoju. Oba uzupełnienia umożliwią samorządom sprawne funkcjonowanie</w:t>
      </w:r>
      <w:r w:rsidRPr="0040535D">
        <w:rPr>
          <w:rFonts w:ascii="Times New Roman" w:hAnsi="Times New Roman"/>
          <w:color w:val="auto"/>
          <w:sz w:val="24"/>
          <w:szCs w:val="24"/>
          <w:lang w:val="pl-PL"/>
        </w:rPr>
        <w:t>.</w:t>
      </w:r>
    </w:p>
    <w:p w14:paraId="0A35D0BE" w14:textId="77777777" w:rsidR="0087154C" w:rsidRPr="0040535D" w:rsidRDefault="0087154C" w:rsidP="009A0EE5">
      <w:pPr>
        <w:pStyle w:val="Tekstkomentarza"/>
        <w:spacing w:line="360" w:lineRule="auto"/>
        <w:rPr>
          <w:rFonts w:ascii="Times New Roman" w:hAnsi="Times New Roman"/>
          <w:color w:val="auto"/>
          <w:sz w:val="24"/>
          <w:szCs w:val="24"/>
          <w:lang w:val="pl-PL" w:eastAsia="pl-PL"/>
        </w:rPr>
      </w:pPr>
      <w:r w:rsidRPr="0040535D">
        <w:rPr>
          <w:rFonts w:ascii="Times New Roman" w:hAnsi="Times New Roman"/>
          <w:color w:val="auto"/>
          <w:sz w:val="24"/>
          <w:szCs w:val="24"/>
          <w:lang w:val="pl-PL" w:eastAsia="pl-PL"/>
        </w:rPr>
        <w:t xml:space="preserve">Zmiana w </w:t>
      </w:r>
      <w:r w:rsidRPr="0040535D">
        <w:rPr>
          <w:rFonts w:ascii="Times New Roman" w:hAnsi="Times New Roman"/>
          <w:b/>
          <w:color w:val="auto"/>
          <w:sz w:val="24"/>
          <w:szCs w:val="24"/>
          <w:lang w:val="pl-PL" w:eastAsia="pl-PL"/>
        </w:rPr>
        <w:t>art. 95</w:t>
      </w:r>
      <w:r w:rsidRPr="0040535D">
        <w:rPr>
          <w:rFonts w:ascii="Times New Roman" w:hAnsi="Times New Roman"/>
          <w:color w:val="auto"/>
          <w:sz w:val="24"/>
          <w:szCs w:val="24"/>
          <w:lang w:val="pl-PL" w:eastAsia="pl-PL"/>
        </w:rPr>
        <w:t xml:space="preserve"> ustawy z dnia 21 marca 1991 r. o obszarach morskich Rzeczypospolitej Polskiej i administracji morskiej </w:t>
      </w:r>
      <w:r w:rsidR="00DC1058" w:rsidRPr="0040535D">
        <w:rPr>
          <w:rFonts w:ascii="Times New Roman" w:hAnsi="Times New Roman"/>
          <w:color w:val="auto"/>
          <w:sz w:val="24"/>
          <w:szCs w:val="24"/>
          <w:lang w:val="pl-PL" w:eastAsia="pl-PL"/>
        </w:rPr>
        <w:t>(Dz. U. z 2020 r. poz. 2135</w:t>
      </w:r>
      <w:r w:rsidR="00F4756A">
        <w:rPr>
          <w:rFonts w:ascii="Times New Roman" w:hAnsi="Times New Roman"/>
          <w:color w:val="auto"/>
          <w:sz w:val="24"/>
          <w:szCs w:val="24"/>
          <w:lang w:val="pl-PL"/>
        </w:rPr>
        <w:t xml:space="preserve">, z </w:t>
      </w:r>
      <w:proofErr w:type="spellStart"/>
      <w:r w:rsidR="00F4756A">
        <w:rPr>
          <w:rFonts w:ascii="Times New Roman" w:hAnsi="Times New Roman"/>
          <w:color w:val="auto"/>
          <w:sz w:val="24"/>
          <w:szCs w:val="24"/>
          <w:lang w:val="pl-PL"/>
        </w:rPr>
        <w:t>późn</w:t>
      </w:r>
      <w:proofErr w:type="spellEnd"/>
      <w:r w:rsidR="00F4756A">
        <w:rPr>
          <w:rFonts w:ascii="Times New Roman" w:hAnsi="Times New Roman"/>
          <w:color w:val="auto"/>
          <w:sz w:val="24"/>
          <w:szCs w:val="24"/>
          <w:lang w:val="pl-PL"/>
        </w:rPr>
        <w:t>. zm.</w:t>
      </w:r>
      <w:r w:rsidR="00F4756A" w:rsidRPr="0040535D">
        <w:rPr>
          <w:rStyle w:val="Ppogrubienie"/>
          <w:rFonts w:ascii="Times New Roman" w:hAnsi="Times New Roman"/>
          <w:b w:val="0"/>
          <w:color w:val="auto"/>
          <w:sz w:val="24"/>
          <w:szCs w:val="24"/>
          <w:lang w:val="pl-PL"/>
        </w:rPr>
        <w:t>)</w:t>
      </w:r>
      <w:r w:rsidR="00F4756A">
        <w:rPr>
          <w:rFonts w:ascii="Times New Roman" w:hAnsi="Times New Roman"/>
          <w:color w:val="auto"/>
          <w:sz w:val="24"/>
          <w:szCs w:val="24"/>
          <w:lang w:val="pl-PL" w:eastAsia="pl-PL"/>
        </w:rPr>
        <w:t xml:space="preserve"> </w:t>
      </w:r>
      <w:r w:rsidRPr="0040535D">
        <w:rPr>
          <w:rFonts w:ascii="Times New Roman" w:hAnsi="Times New Roman"/>
          <w:color w:val="auto"/>
          <w:sz w:val="24"/>
          <w:szCs w:val="24"/>
          <w:lang w:val="pl-PL" w:eastAsia="pl-PL"/>
        </w:rPr>
        <w:t xml:space="preserve">ma charakter porządkowy. Propozycja usunięcia obowiązku opiniowania wniosku o wydanie  pozwolenia ustalającego lokalizację i warunki utrzymania kabli lub rurociągów na obszarach morskich wód </w:t>
      </w:r>
      <w:r w:rsidRPr="0040535D">
        <w:rPr>
          <w:rFonts w:ascii="Times New Roman" w:hAnsi="Times New Roman"/>
          <w:color w:val="auto"/>
          <w:sz w:val="24"/>
          <w:szCs w:val="24"/>
          <w:lang w:val="pl-PL" w:eastAsia="pl-PL"/>
        </w:rPr>
        <w:lastRenderedPageBreak/>
        <w:t>wewnętrznych i morza terytorialnego przez ministra właściwego do spraw rozwoju regionalnego w zakresie stwierdzenia zgodności z ustaleniami koncepcji przestrzennego zagospodarowania kraju jest niezbędna – wydawanie opinii przez ministra jest bezprzedmiotowe. Koncepcja przestrzennego zagospodarowania kraju została usunięta z systemu prawnego ustawą z dnia 15 lipca 2020 r. o zmianie ustawy o zasadach prowadzenia polityki rozwoju oraz niektórych innych ustaw</w:t>
      </w:r>
      <w:r w:rsidR="00A076C9" w:rsidRPr="0040535D">
        <w:rPr>
          <w:rFonts w:ascii="Times New Roman" w:hAnsi="Times New Roman"/>
          <w:color w:val="auto"/>
          <w:sz w:val="24"/>
          <w:szCs w:val="24"/>
          <w:lang w:val="pl-PL" w:eastAsia="pl-PL"/>
        </w:rPr>
        <w:t xml:space="preserve"> (Dz.U. poz. 1378) </w:t>
      </w:r>
      <w:r w:rsidRPr="0040535D">
        <w:rPr>
          <w:rFonts w:ascii="Times New Roman" w:hAnsi="Times New Roman"/>
          <w:color w:val="auto"/>
          <w:sz w:val="24"/>
          <w:szCs w:val="24"/>
          <w:lang w:val="pl-PL" w:eastAsia="pl-PL"/>
        </w:rPr>
        <w:t xml:space="preserve"> i z dniem 13 listopada 2020 r. została uchylona.</w:t>
      </w:r>
    </w:p>
    <w:p w14:paraId="4D95CF3B" w14:textId="77777777" w:rsidR="00DC1058" w:rsidRPr="0040535D" w:rsidRDefault="00DC1058" w:rsidP="009A0EE5">
      <w:pPr>
        <w:pStyle w:val="Tekstkomentarza"/>
        <w:spacing w:line="360" w:lineRule="auto"/>
        <w:rPr>
          <w:rFonts w:ascii="Times New Roman" w:hAnsi="Times New Roman"/>
          <w:color w:val="auto"/>
          <w:sz w:val="24"/>
          <w:szCs w:val="24"/>
          <w:lang w:val="pl-PL" w:eastAsia="pl-PL"/>
        </w:rPr>
      </w:pPr>
    </w:p>
    <w:p w14:paraId="073BEBD8" w14:textId="77777777" w:rsidR="00555DC0" w:rsidRPr="0040535D" w:rsidRDefault="009332C8" w:rsidP="009A0EE5">
      <w:p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b/>
          <w:sz w:val="24"/>
          <w:szCs w:val="24"/>
        </w:rPr>
        <w:t>Art. 9</w:t>
      </w:r>
      <w:r w:rsidR="0087154C" w:rsidRPr="0040535D">
        <w:rPr>
          <w:rFonts w:ascii="Times New Roman" w:hAnsi="Times New Roman"/>
          <w:b/>
          <w:sz w:val="24"/>
          <w:szCs w:val="24"/>
        </w:rPr>
        <w:t>6</w:t>
      </w:r>
      <w:r w:rsidRPr="0040535D">
        <w:rPr>
          <w:rFonts w:ascii="Times New Roman" w:hAnsi="Times New Roman"/>
          <w:sz w:val="24"/>
          <w:szCs w:val="24"/>
        </w:rPr>
        <w:t xml:space="preserve"> ustawy zmienia art. 21 ust. 1 pkt 114 ustawy o podatku dochodowym od osób fizycznych. (Dz. U. z </w:t>
      </w:r>
      <w:r w:rsidR="005E25EE" w:rsidRPr="0040535D">
        <w:rPr>
          <w:rFonts w:ascii="Times New Roman" w:hAnsi="Times New Roman"/>
          <w:sz w:val="24"/>
          <w:szCs w:val="24"/>
        </w:rPr>
        <w:t xml:space="preserve">2021 r. poz. 1128, </w:t>
      </w:r>
      <w:r w:rsidRPr="0040535D">
        <w:rPr>
          <w:rFonts w:ascii="Times New Roman" w:hAnsi="Times New Roman"/>
          <w:sz w:val="24"/>
          <w:szCs w:val="24"/>
        </w:rPr>
        <w:t xml:space="preserve">z </w:t>
      </w:r>
      <w:proofErr w:type="spellStart"/>
      <w:r w:rsidRPr="0040535D">
        <w:rPr>
          <w:rFonts w:ascii="Times New Roman" w:hAnsi="Times New Roman"/>
          <w:sz w:val="24"/>
          <w:szCs w:val="24"/>
        </w:rPr>
        <w:t>późn</w:t>
      </w:r>
      <w:proofErr w:type="spellEnd"/>
      <w:r w:rsidRPr="0040535D">
        <w:rPr>
          <w:rFonts w:ascii="Times New Roman" w:hAnsi="Times New Roman"/>
          <w:sz w:val="24"/>
          <w:szCs w:val="24"/>
        </w:rPr>
        <w:t>. zm.). Proponowana zmiana precyzuje art. 21 odnośnie do kwot wolnych od podatku w zakresie świadczeń udzielanych w ramach programów</w:t>
      </w:r>
      <w:r w:rsidR="002B0556" w:rsidRPr="0040535D">
        <w:rPr>
          <w:rFonts w:ascii="Times New Roman" w:hAnsi="Times New Roman"/>
          <w:sz w:val="24"/>
          <w:szCs w:val="24"/>
        </w:rPr>
        <w:t xml:space="preserve"> oraz programów służących realizacji umowy partnerstwa</w:t>
      </w:r>
      <w:r w:rsidRPr="0040535D">
        <w:rPr>
          <w:rFonts w:ascii="Times New Roman" w:hAnsi="Times New Roman"/>
          <w:sz w:val="24"/>
          <w:szCs w:val="24"/>
        </w:rPr>
        <w:t xml:space="preserve"> i programów rozwoju, o których mowa w przepisach dotyczących wdrażania funduszy unijnych. Kolejna zmiana </w:t>
      </w:r>
      <w:r w:rsidR="002B0556" w:rsidRPr="0040535D">
        <w:rPr>
          <w:rFonts w:ascii="Times New Roman" w:hAnsi="Times New Roman"/>
          <w:sz w:val="24"/>
          <w:szCs w:val="24"/>
        </w:rPr>
        <w:t>w</w:t>
      </w:r>
      <w:r w:rsidRPr="0040535D">
        <w:rPr>
          <w:rFonts w:ascii="Times New Roman" w:hAnsi="Times New Roman"/>
          <w:sz w:val="24"/>
          <w:szCs w:val="24"/>
        </w:rPr>
        <w:t xml:space="preserve"> pkt 137 dodaje do katalogu dochodów zwolnionych z opodatkowania podatkiem dochodowym od osób fizycznych także środki finansowe na realizację projektów w ramach programów w ramach celu Europejska Współpraca Terytorialna oraz programów Europejskiego Instrumentu Sąsiedztwa, które nie należą do środków europejskich, ale należą do środków pochodzących z budżetu UE i także powinny podlegać zwolnieniu przedmiotowemu. Zmiana ta wprowadza tożsame podejście do środków w ramach programów celu Europejska Współpraca Terytorialna oraz programów Europejskiego Instrumentu Sąsiedztwa jak do środków europejskich, które już w obecnej wersji ustawy są zwolnione z opodatkowania.</w:t>
      </w:r>
    </w:p>
    <w:p w14:paraId="20D3760B" w14:textId="77777777" w:rsidR="00A01D03" w:rsidRPr="0040535D" w:rsidRDefault="00A01D03" w:rsidP="009A0EE5">
      <w:pPr>
        <w:autoSpaceDE w:val="0"/>
        <w:autoSpaceDN w:val="0"/>
        <w:adjustRightInd w:val="0"/>
        <w:spacing w:after="0" w:line="360" w:lineRule="auto"/>
        <w:jc w:val="both"/>
        <w:rPr>
          <w:rFonts w:ascii="Times New Roman" w:hAnsi="Times New Roman"/>
          <w:sz w:val="24"/>
          <w:szCs w:val="24"/>
          <w:lang w:eastAsia="pl-PL"/>
        </w:rPr>
      </w:pPr>
    </w:p>
    <w:p w14:paraId="6B643CCA" w14:textId="77777777" w:rsidR="009332C8" w:rsidRPr="0040535D" w:rsidRDefault="009332C8" w:rsidP="009A0EE5">
      <w:pPr>
        <w:autoSpaceDE w:val="0"/>
        <w:autoSpaceDN w:val="0"/>
        <w:adjustRightInd w:val="0"/>
        <w:spacing w:after="0" w:line="360" w:lineRule="auto"/>
        <w:jc w:val="both"/>
        <w:rPr>
          <w:rFonts w:ascii="Times New Roman" w:hAnsi="Times New Roman"/>
          <w:sz w:val="24"/>
          <w:szCs w:val="24"/>
          <w:lang w:eastAsia="pl-PL"/>
        </w:rPr>
      </w:pPr>
      <w:r w:rsidRPr="0040535D">
        <w:rPr>
          <w:rFonts w:ascii="Times New Roman" w:hAnsi="Times New Roman"/>
          <w:b/>
          <w:sz w:val="24"/>
          <w:szCs w:val="24"/>
          <w:lang w:eastAsia="pl-PL"/>
        </w:rPr>
        <w:t>Art. 9</w:t>
      </w:r>
      <w:r w:rsidR="0087154C" w:rsidRPr="0040535D">
        <w:rPr>
          <w:rFonts w:ascii="Times New Roman" w:hAnsi="Times New Roman"/>
          <w:b/>
          <w:sz w:val="24"/>
          <w:szCs w:val="24"/>
          <w:lang w:eastAsia="pl-PL"/>
        </w:rPr>
        <w:t>7</w:t>
      </w:r>
      <w:r w:rsidRPr="0040535D">
        <w:rPr>
          <w:rFonts w:ascii="Times New Roman" w:hAnsi="Times New Roman"/>
          <w:sz w:val="24"/>
          <w:szCs w:val="24"/>
          <w:lang w:eastAsia="pl-PL"/>
        </w:rPr>
        <w:t xml:space="preserve"> ustawy zmienia art. 17 ust. 1 </w:t>
      </w:r>
      <w:r w:rsidR="00A310F5" w:rsidRPr="0040535D">
        <w:rPr>
          <w:rFonts w:ascii="Times New Roman" w:hAnsi="Times New Roman"/>
          <w:sz w:val="24"/>
          <w:szCs w:val="24"/>
          <w:lang w:eastAsia="pl-PL"/>
        </w:rPr>
        <w:t xml:space="preserve">w pkt </w:t>
      </w:r>
      <w:r w:rsidR="00370A76" w:rsidRPr="0040535D">
        <w:rPr>
          <w:rFonts w:ascii="Times New Roman" w:hAnsi="Times New Roman"/>
          <w:sz w:val="24"/>
          <w:szCs w:val="24"/>
          <w:lang w:eastAsia="pl-PL"/>
        </w:rPr>
        <w:t xml:space="preserve">53 i 53a </w:t>
      </w:r>
      <w:r w:rsidRPr="0040535D">
        <w:rPr>
          <w:rFonts w:ascii="Times New Roman" w:hAnsi="Times New Roman"/>
          <w:sz w:val="24"/>
          <w:szCs w:val="24"/>
          <w:lang w:eastAsia="pl-PL"/>
        </w:rPr>
        <w:t xml:space="preserve">ustawy o podatku dochodowym od osób prawnych (Dz. U. z 2020 r. poz. 1406, z </w:t>
      </w:r>
      <w:proofErr w:type="spellStart"/>
      <w:r w:rsidRPr="0040535D">
        <w:rPr>
          <w:rFonts w:ascii="Times New Roman" w:hAnsi="Times New Roman"/>
          <w:sz w:val="24"/>
          <w:szCs w:val="24"/>
          <w:lang w:eastAsia="pl-PL"/>
        </w:rPr>
        <w:t>późn</w:t>
      </w:r>
      <w:proofErr w:type="spellEnd"/>
      <w:r w:rsidRPr="0040535D">
        <w:rPr>
          <w:rFonts w:ascii="Times New Roman" w:hAnsi="Times New Roman"/>
          <w:sz w:val="24"/>
          <w:szCs w:val="24"/>
          <w:lang w:eastAsia="pl-PL"/>
        </w:rPr>
        <w:t xml:space="preserve">. zm.). </w:t>
      </w:r>
      <w:r w:rsidR="007C05B2">
        <w:rPr>
          <w:rFonts w:ascii="Times New Roman" w:hAnsi="Times New Roman"/>
          <w:sz w:val="24"/>
          <w:szCs w:val="24"/>
          <w:lang w:eastAsia="pl-PL"/>
        </w:rPr>
        <w:t xml:space="preserve">Zgodnie z projektowanym przepisem w </w:t>
      </w:r>
      <w:r w:rsidR="007C05B2">
        <w:rPr>
          <w:rFonts w:ascii="Times New Roman" w:hAnsi="Times New Roman"/>
        </w:rPr>
        <w:t xml:space="preserve"> art. 4a ustawy wprowadza się definicję alternatywnej spółki</w:t>
      </w:r>
      <w:r w:rsidR="007C05B2" w:rsidRPr="00B60AF1">
        <w:rPr>
          <w:rFonts w:ascii="Times New Roman" w:hAnsi="Times New Roman"/>
        </w:rPr>
        <w:t xml:space="preserve"> inwestycyjnej wdrażającej instrument finansowy</w:t>
      </w:r>
      <w:r w:rsidR="007C05B2">
        <w:rPr>
          <w:rFonts w:ascii="Times New Roman" w:hAnsi="Times New Roman"/>
        </w:rPr>
        <w:t>.</w:t>
      </w:r>
      <w:r w:rsidR="007C05B2" w:rsidRPr="00B60AF1">
        <w:rPr>
          <w:rFonts w:ascii="Times New Roman" w:hAnsi="Times New Roman"/>
        </w:rPr>
        <w:t xml:space="preserve"> </w:t>
      </w:r>
      <w:r w:rsidR="007C05B2">
        <w:rPr>
          <w:rFonts w:ascii="Times New Roman" w:hAnsi="Times New Roman"/>
          <w:sz w:val="24"/>
          <w:szCs w:val="24"/>
          <w:lang w:eastAsia="pl-PL"/>
        </w:rPr>
        <w:t>W</w:t>
      </w:r>
      <w:r w:rsidR="007C05B2" w:rsidRPr="0040535D">
        <w:rPr>
          <w:rFonts w:ascii="Times New Roman" w:hAnsi="Times New Roman"/>
          <w:sz w:val="24"/>
          <w:szCs w:val="24"/>
          <w:lang w:eastAsia="pl-PL"/>
        </w:rPr>
        <w:t xml:space="preserve"> </w:t>
      </w:r>
      <w:r w:rsidR="00FE5BC3" w:rsidRPr="0040535D">
        <w:rPr>
          <w:rFonts w:ascii="Times New Roman" w:hAnsi="Times New Roman"/>
          <w:sz w:val="24"/>
          <w:szCs w:val="24"/>
          <w:lang w:eastAsia="pl-PL"/>
        </w:rPr>
        <w:t xml:space="preserve">art. 17 ust. 1 pkt 53 </w:t>
      </w:r>
      <w:r w:rsidRPr="0040535D">
        <w:rPr>
          <w:rFonts w:ascii="Times New Roman" w:hAnsi="Times New Roman"/>
          <w:sz w:val="24"/>
          <w:szCs w:val="24"/>
          <w:lang w:eastAsia="pl-PL"/>
        </w:rPr>
        <w:t xml:space="preserve">dodaje do katalogu kwot zwolnionych z opodatkowania podatkiem dochodowym od osób prawnych także środki finansowe na realizację projektów w ramach programów w ramach celu Europejska Współpraca Terytorialna oraz programów Europejskiego Instrumentu Sąsiedztwa, które nie należą do środków europejskich, ale należą do środków pochodzących z budżetu UE i także powinny podlegać zwolnieniu przedmiotowemu. Zmiana ta wprowadza tożsame podejście do środków w ramach programów celu Europejska Współpraca Terytorialna oraz programów Europejskiego Instrumentu Sąsiedztwa jak do środków europejskich, które już w obecnej wersji ustawy są zwolnione z </w:t>
      </w:r>
      <w:r w:rsidRPr="0040535D">
        <w:rPr>
          <w:rFonts w:ascii="Times New Roman" w:hAnsi="Times New Roman"/>
          <w:sz w:val="24"/>
          <w:szCs w:val="24"/>
          <w:lang w:eastAsia="pl-PL"/>
        </w:rPr>
        <w:lastRenderedPageBreak/>
        <w:t>opodatkowania</w:t>
      </w:r>
      <w:r w:rsidR="007C05B2">
        <w:rPr>
          <w:rFonts w:ascii="Times New Roman" w:hAnsi="Times New Roman"/>
          <w:sz w:val="24"/>
          <w:szCs w:val="24"/>
          <w:lang w:eastAsia="pl-PL"/>
        </w:rPr>
        <w:t>.</w:t>
      </w:r>
      <w:r w:rsidR="00FE5BC3" w:rsidRPr="0040535D">
        <w:rPr>
          <w:rFonts w:ascii="Times New Roman" w:hAnsi="Times New Roman"/>
          <w:sz w:val="24"/>
          <w:szCs w:val="24"/>
          <w:lang w:eastAsia="pl-PL"/>
        </w:rPr>
        <w:t xml:space="preserve"> </w:t>
      </w:r>
      <w:r w:rsidR="007C05B2">
        <w:rPr>
          <w:rFonts w:ascii="Times New Roman" w:hAnsi="Times New Roman"/>
          <w:sz w:val="24"/>
          <w:szCs w:val="24"/>
          <w:lang w:eastAsia="pl-PL"/>
        </w:rPr>
        <w:t>Z</w:t>
      </w:r>
      <w:r w:rsidR="00FE5BC3" w:rsidRPr="0040535D">
        <w:rPr>
          <w:rFonts w:ascii="Times New Roman" w:hAnsi="Times New Roman"/>
          <w:sz w:val="24"/>
          <w:szCs w:val="24"/>
          <w:lang w:eastAsia="pl-PL"/>
        </w:rPr>
        <w:t>miana w art. 17 ust. 1 pkt 53a rozszerza istniejące zwolnienie  przedmiotowe, wprowadzając analogicznego rozwiązania w perspektywie finansowej 2021–2027.</w:t>
      </w:r>
      <w:r w:rsidR="007C05B2">
        <w:rPr>
          <w:rFonts w:ascii="Times New Roman" w:hAnsi="Times New Roman"/>
          <w:sz w:val="24"/>
          <w:szCs w:val="24"/>
          <w:lang w:eastAsia="pl-PL"/>
        </w:rPr>
        <w:t xml:space="preserve"> Z kolei dodawany pkt 58b włącza do omawianego  katalogu zwolnień </w:t>
      </w:r>
      <w:r w:rsidR="007C05B2" w:rsidRPr="007C05B2">
        <w:rPr>
          <w:rFonts w:ascii="Times New Roman" w:hAnsi="Times New Roman"/>
          <w:sz w:val="24"/>
          <w:szCs w:val="24"/>
          <w:lang w:eastAsia="pl-PL"/>
        </w:rPr>
        <w:t>dochody (przychody) alternatywnych spółek inwestycyjnych wdrażających instrument finansowy uzyskane w roku podatkowym z tytułu zysków kapitałowych osiągniętych w związku z wdrożeniem instrumentu finansowego w części zwiększającej wkład finansowy programów służących realizacji umowy partnerstwa</w:t>
      </w:r>
      <w:r w:rsidR="007C05B2">
        <w:rPr>
          <w:rFonts w:ascii="Times New Roman" w:hAnsi="Times New Roman"/>
          <w:sz w:val="24"/>
          <w:szCs w:val="24"/>
          <w:lang w:eastAsia="pl-PL"/>
        </w:rPr>
        <w:t>.</w:t>
      </w:r>
    </w:p>
    <w:p w14:paraId="7F7D0571" w14:textId="77777777" w:rsidR="00555DC0" w:rsidRPr="0040535D" w:rsidRDefault="00555DC0" w:rsidP="009A0EE5">
      <w:pPr>
        <w:autoSpaceDE w:val="0"/>
        <w:autoSpaceDN w:val="0"/>
        <w:adjustRightInd w:val="0"/>
        <w:spacing w:after="0" w:line="360" w:lineRule="auto"/>
        <w:jc w:val="both"/>
        <w:rPr>
          <w:rFonts w:ascii="Times New Roman" w:hAnsi="Times New Roman"/>
          <w:sz w:val="24"/>
          <w:szCs w:val="24"/>
        </w:rPr>
      </w:pPr>
    </w:p>
    <w:p w14:paraId="7A46CE30" w14:textId="77777777" w:rsidR="004519BE" w:rsidRDefault="004519BE" w:rsidP="009A0EE5">
      <w:p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b/>
          <w:sz w:val="24"/>
          <w:szCs w:val="24"/>
          <w:lang w:eastAsia="pl-PL"/>
        </w:rPr>
        <w:t>Art. 98</w:t>
      </w:r>
      <w:r w:rsidRPr="0040535D">
        <w:rPr>
          <w:rFonts w:ascii="Times New Roman" w:hAnsi="Times New Roman"/>
          <w:sz w:val="24"/>
          <w:szCs w:val="24"/>
          <w:lang w:eastAsia="pl-PL"/>
        </w:rPr>
        <w:t xml:space="preserve"> wprowadza zmiany w  ustawie o autostradach płatnych oraz o Krajowym Funduszu Drogowym (Dz. U. 2020 r. poz. 2268</w:t>
      </w:r>
      <w:r w:rsidR="00F4756A">
        <w:rPr>
          <w:rFonts w:ascii="Times New Roman" w:hAnsi="Times New Roman"/>
          <w:sz w:val="24"/>
          <w:szCs w:val="24"/>
        </w:rPr>
        <w:t xml:space="preserve">, z </w:t>
      </w:r>
      <w:proofErr w:type="spellStart"/>
      <w:r w:rsidR="00F4756A">
        <w:rPr>
          <w:rFonts w:ascii="Times New Roman" w:hAnsi="Times New Roman"/>
          <w:sz w:val="24"/>
          <w:szCs w:val="24"/>
        </w:rPr>
        <w:t>późn</w:t>
      </w:r>
      <w:proofErr w:type="spellEnd"/>
      <w:r w:rsidR="00F4756A">
        <w:rPr>
          <w:rFonts w:ascii="Times New Roman" w:hAnsi="Times New Roman"/>
          <w:sz w:val="24"/>
          <w:szCs w:val="24"/>
        </w:rPr>
        <w:t>. zm.</w:t>
      </w:r>
      <w:r w:rsidR="00F4756A" w:rsidRPr="0040535D">
        <w:rPr>
          <w:rStyle w:val="Ppogrubienie"/>
          <w:rFonts w:ascii="Times New Roman" w:hAnsi="Times New Roman"/>
          <w:b w:val="0"/>
          <w:sz w:val="24"/>
          <w:szCs w:val="24"/>
        </w:rPr>
        <w:t>)</w:t>
      </w:r>
      <w:r w:rsidRPr="0040535D">
        <w:rPr>
          <w:rFonts w:ascii="Times New Roman" w:hAnsi="Times New Roman"/>
          <w:sz w:val="24"/>
          <w:szCs w:val="24"/>
          <w:lang w:eastAsia="pl-PL"/>
        </w:rPr>
        <w:t>.  Zmiana ma na celu umożliwienia przekazywania środków z planu rozwojowego do Krajowego Funduszu Drogowego. Konieczność takiego umożliwienia wynika z nowego art. 209a w ustawie o finansach publicznych, który przewiduje, że przepisy art. 122 ust. 1 pkt 2 lit. b i c tej ustawy, do których odwołuje się ustawa o autostradach płatnych oraz o Krajowym Funduszu Drogowym, nie dotyczą planu rozwojowego, który jest finansowany zgodnie z odrębnymi przepisami.</w:t>
      </w:r>
      <w:r w:rsidR="00D16F16">
        <w:rPr>
          <w:rFonts w:ascii="Times New Roman" w:hAnsi="Times New Roman"/>
          <w:sz w:val="24"/>
          <w:szCs w:val="24"/>
          <w:lang w:eastAsia="pl-PL"/>
        </w:rPr>
        <w:t xml:space="preserve"> Jedocześnie wskazano, że ś</w:t>
      </w:r>
      <w:r w:rsidR="00D16F16" w:rsidRPr="0040535D">
        <w:rPr>
          <w:rFonts w:ascii="Times New Roman" w:hAnsi="Times New Roman"/>
          <w:sz w:val="24"/>
          <w:szCs w:val="24"/>
        </w:rPr>
        <w:t>rodki przekazywane do Krajowego Funduszu Drogowego na inwestycje realizowane  w ramach planu rozwojowego mogą pochodzić wyłącznie ze środków  budżetu środków europejskich</w:t>
      </w:r>
      <w:r w:rsidR="00D16F16">
        <w:rPr>
          <w:rFonts w:ascii="Times New Roman" w:hAnsi="Times New Roman"/>
          <w:sz w:val="24"/>
          <w:szCs w:val="24"/>
        </w:rPr>
        <w:t>.</w:t>
      </w:r>
    </w:p>
    <w:p w14:paraId="0960F74F" w14:textId="77777777" w:rsidR="007C05B2" w:rsidRPr="0040535D" w:rsidRDefault="007C05B2" w:rsidP="009A0EE5">
      <w:pPr>
        <w:autoSpaceDE w:val="0"/>
        <w:autoSpaceDN w:val="0"/>
        <w:adjustRightInd w:val="0"/>
        <w:spacing w:after="0" w:line="360" w:lineRule="auto"/>
        <w:jc w:val="both"/>
        <w:rPr>
          <w:rFonts w:ascii="Times New Roman" w:hAnsi="Times New Roman"/>
          <w:sz w:val="24"/>
          <w:szCs w:val="24"/>
          <w:lang w:eastAsia="pl-PL"/>
        </w:rPr>
      </w:pPr>
    </w:p>
    <w:p w14:paraId="67FC4C84" w14:textId="77777777" w:rsidR="00555DC0" w:rsidRPr="0040535D" w:rsidRDefault="00954D32" w:rsidP="009A0EE5">
      <w:pPr>
        <w:spacing w:before="60" w:line="360" w:lineRule="auto"/>
        <w:jc w:val="both"/>
        <w:rPr>
          <w:rFonts w:ascii="Times New Roman" w:hAnsi="Times New Roman"/>
          <w:sz w:val="24"/>
          <w:szCs w:val="24"/>
        </w:rPr>
      </w:pPr>
      <w:r w:rsidRPr="0040535D">
        <w:rPr>
          <w:rFonts w:ascii="Times New Roman" w:hAnsi="Times New Roman"/>
          <w:b/>
          <w:sz w:val="24"/>
          <w:szCs w:val="24"/>
        </w:rPr>
        <w:t>A</w:t>
      </w:r>
      <w:r w:rsidR="003927D4" w:rsidRPr="0040535D">
        <w:rPr>
          <w:rFonts w:ascii="Times New Roman" w:hAnsi="Times New Roman"/>
          <w:b/>
          <w:sz w:val="24"/>
          <w:szCs w:val="24"/>
        </w:rPr>
        <w:t xml:space="preserve">rt. </w:t>
      </w:r>
      <w:r w:rsidR="00E51982">
        <w:rPr>
          <w:rFonts w:ascii="Times New Roman" w:hAnsi="Times New Roman"/>
          <w:b/>
          <w:sz w:val="24"/>
          <w:szCs w:val="24"/>
        </w:rPr>
        <w:t>99</w:t>
      </w:r>
      <w:r w:rsidR="00E51982" w:rsidRPr="0040535D">
        <w:rPr>
          <w:rFonts w:ascii="Times New Roman" w:hAnsi="Times New Roman"/>
          <w:sz w:val="24"/>
          <w:szCs w:val="24"/>
        </w:rPr>
        <w:t xml:space="preserve"> </w:t>
      </w:r>
      <w:r w:rsidR="00103305" w:rsidRPr="0040535D">
        <w:rPr>
          <w:rFonts w:ascii="Times New Roman" w:hAnsi="Times New Roman"/>
          <w:sz w:val="24"/>
          <w:szCs w:val="24"/>
        </w:rPr>
        <w:t xml:space="preserve">wprowadza zmianę </w:t>
      </w:r>
      <w:r w:rsidRPr="0040535D">
        <w:rPr>
          <w:rFonts w:ascii="Times New Roman" w:hAnsi="Times New Roman"/>
          <w:sz w:val="24"/>
          <w:szCs w:val="24"/>
        </w:rPr>
        <w:t>w art. 34g w ust. 3 ustawy</w:t>
      </w:r>
      <w:r w:rsidR="003927D4" w:rsidRPr="0040535D">
        <w:rPr>
          <w:rFonts w:ascii="Times New Roman" w:hAnsi="Times New Roman"/>
          <w:sz w:val="24"/>
          <w:szCs w:val="24"/>
        </w:rPr>
        <w:t xml:space="preserve"> z dnia 8 maja 1997 r. o poręczeniach i gwarancjach udzielanych przez Skarb Państwa oraz niektóre osoby prawne (Dz. U. z 2021 r. poz. 442</w:t>
      </w:r>
      <w:r w:rsidR="001326AF" w:rsidRPr="0040535D">
        <w:rPr>
          <w:rFonts w:ascii="Times New Roman" w:hAnsi="Times New Roman"/>
          <w:sz w:val="24"/>
          <w:szCs w:val="24"/>
        </w:rPr>
        <w:t xml:space="preserve">, z </w:t>
      </w:r>
      <w:proofErr w:type="spellStart"/>
      <w:r w:rsidR="001326AF" w:rsidRPr="0040535D">
        <w:rPr>
          <w:rFonts w:ascii="Times New Roman" w:hAnsi="Times New Roman"/>
          <w:sz w:val="24"/>
          <w:szCs w:val="24"/>
        </w:rPr>
        <w:t>późn</w:t>
      </w:r>
      <w:proofErr w:type="spellEnd"/>
      <w:r w:rsidR="001326AF" w:rsidRPr="0040535D">
        <w:rPr>
          <w:rFonts w:ascii="Times New Roman" w:hAnsi="Times New Roman"/>
          <w:sz w:val="24"/>
          <w:szCs w:val="24"/>
        </w:rPr>
        <w:t>. zm.</w:t>
      </w:r>
      <w:r w:rsidR="003927D4" w:rsidRPr="0040535D">
        <w:rPr>
          <w:rFonts w:ascii="Times New Roman" w:hAnsi="Times New Roman"/>
          <w:sz w:val="24"/>
          <w:szCs w:val="24"/>
        </w:rPr>
        <w:t>)</w:t>
      </w:r>
      <w:r w:rsidRPr="0040535D">
        <w:rPr>
          <w:rFonts w:ascii="Times New Roman" w:hAnsi="Times New Roman"/>
          <w:sz w:val="24"/>
          <w:szCs w:val="24"/>
        </w:rPr>
        <w:t xml:space="preserve"> przez dodanie pkt 1b. Jest to związane z faktem</w:t>
      </w:r>
      <w:r w:rsidR="00103305" w:rsidRPr="0040535D">
        <w:rPr>
          <w:rFonts w:ascii="Times New Roman" w:hAnsi="Times New Roman"/>
          <w:sz w:val="24"/>
          <w:szCs w:val="24"/>
        </w:rPr>
        <w:t xml:space="preserve"> że środki finansowe, o których mowa w art. </w:t>
      </w:r>
      <w:r w:rsidR="00F308F8" w:rsidRPr="0040535D">
        <w:rPr>
          <w:rFonts w:ascii="Times New Roman" w:hAnsi="Times New Roman"/>
          <w:sz w:val="24"/>
          <w:szCs w:val="24"/>
        </w:rPr>
        <w:t>3</w:t>
      </w:r>
      <w:r w:rsidR="001326AF" w:rsidRPr="0040535D">
        <w:rPr>
          <w:rFonts w:ascii="Times New Roman" w:hAnsi="Times New Roman"/>
          <w:sz w:val="24"/>
          <w:szCs w:val="24"/>
        </w:rPr>
        <w:t>2</w:t>
      </w:r>
      <w:r w:rsidR="00103305" w:rsidRPr="0040535D">
        <w:rPr>
          <w:rFonts w:ascii="Times New Roman" w:hAnsi="Times New Roman"/>
          <w:sz w:val="24"/>
          <w:szCs w:val="24"/>
        </w:rPr>
        <w:t xml:space="preserve"> ust. 5 projektu, powinny być wykazane w art. 34g ust. 3 ustawy o poręczeniach i gwarancjach, tak jak ma to miejsce w przypadku środków finansowych, o których mowa w art. 29 ust. 4a ustawy o zasadach realizacji programów w zakresie polityki spójności finansowanych w perspektywie finansowej 2014-2020</w:t>
      </w:r>
      <w:r w:rsidRPr="0040535D">
        <w:rPr>
          <w:rFonts w:ascii="Times New Roman" w:hAnsi="Times New Roman"/>
          <w:sz w:val="24"/>
          <w:szCs w:val="24"/>
        </w:rPr>
        <w:t>.</w:t>
      </w:r>
    </w:p>
    <w:p w14:paraId="55105458" w14:textId="77777777" w:rsidR="00555DC0" w:rsidRPr="0040535D" w:rsidRDefault="00555DC0" w:rsidP="009A0EE5">
      <w:p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lang w:eastAsia="pl-PL"/>
        </w:rPr>
        <w:t xml:space="preserve">Projektowana w </w:t>
      </w:r>
      <w:r w:rsidRPr="0040535D">
        <w:rPr>
          <w:rFonts w:ascii="Times New Roman" w:hAnsi="Times New Roman"/>
          <w:b/>
          <w:sz w:val="24"/>
          <w:szCs w:val="24"/>
          <w:lang w:eastAsia="pl-PL"/>
        </w:rPr>
        <w:t xml:space="preserve">art. </w:t>
      </w:r>
      <w:r w:rsidR="00E51982" w:rsidRPr="0040535D">
        <w:rPr>
          <w:rFonts w:ascii="Times New Roman" w:hAnsi="Times New Roman"/>
          <w:b/>
          <w:sz w:val="24"/>
          <w:szCs w:val="24"/>
          <w:lang w:eastAsia="pl-PL"/>
        </w:rPr>
        <w:t>10</w:t>
      </w:r>
      <w:r w:rsidR="00E51982">
        <w:rPr>
          <w:rFonts w:ascii="Times New Roman" w:hAnsi="Times New Roman"/>
          <w:b/>
          <w:sz w:val="24"/>
          <w:szCs w:val="24"/>
          <w:lang w:eastAsia="pl-PL"/>
        </w:rPr>
        <w:t>0</w:t>
      </w:r>
      <w:r w:rsidR="00E51982" w:rsidRPr="0040535D">
        <w:rPr>
          <w:rFonts w:ascii="Times New Roman" w:hAnsi="Times New Roman"/>
          <w:sz w:val="24"/>
          <w:szCs w:val="24"/>
          <w:lang w:eastAsia="pl-PL"/>
        </w:rPr>
        <w:t xml:space="preserve"> </w:t>
      </w:r>
      <w:r w:rsidRPr="0040535D">
        <w:rPr>
          <w:rFonts w:ascii="Times New Roman" w:hAnsi="Times New Roman"/>
          <w:sz w:val="24"/>
          <w:szCs w:val="24"/>
          <w:lang w:eastAsia="pl-PL"/>
        </w:rPr>
        <w:t xml:space="preserve">pkt 1 zmiana </w:t>
      </w:r>
      <w:r w:rsidRPr="0040535D">
        <w:rPr>
          <w:rFonts w:ascii="Times New Roman" w:hAnsi="Times New Roman"/>
          <w:sz w:val="24"/>
          <w:szCs w:val="24"/>
        </w:rPr>
        <w:t xml:space="preserve">ustawy z dnia 13 października 1998 r. o systemie ubezpieczeń społecznych </w:t>
      </w:r>
      <w:r w:rsidR="00D47E02" w:rsidRPr="0040535D">
        <w:rPr>
          <w:rFonts w:ascii="Times New Roman" w:hAnsi="Times New Roman"/>
          <w:sz w:val="24"/>
          <w:szCs w:val="24"/>
        </w:rPr>
        <w:t>(Dz. U.</w:t>
      </w:r>
      <w:r w:rsidR="004E3167" w:rsidRPr="0040535D">
        <w:rPr>
          <w:rFonts w:ascii="Times New Roman" w:hAnsi="Times New Roman"/>
          <w:sz w:val="24"/>
          <w:szCs w:val="24"/>
        </w:rPr>
        <w:t xml:space="preserve"> z 2021 r. poz. 423</w:t>
      </w:r>
      <w:r w:rsidR="007B4484" w:rsidRPr="0040535D">
        <w:rPr>
          <w:rFonts w:ascii="Times New Roman" w:hAnsi="Times New Roman"/>
          <w:sz w:val="24"/>
          <w:szCs w:val="24"/>
        </w:rPr>
        <w:t xml:space="preserve">, z </w:t>
      </w:r>
      <w:proofErr w:type="spellStart"/>
      <w:r w:rsidR="007B4484" w:rsidRPr="0040535D">
        <w:rPr>
          <w:rFonts w:ascii="Times New Roman" w:hAnsi="Times New Roman"/>
          <w:sz w:val="24"/>
          <w:szCs w:val="24"/>
        </w:rPr>
        <w:t>późn</w:t>
      </w:r>
      <w:proofErr w:type="spellEnd"/>
      <w:r w:rsidR="007B4484" w:rsidRPr="0040535D">
        <w:rPr>
          <w:rFonts w:ascii="Times New Roman" w:hAnsi="Times New Roman"/>
          <w:sz w:val="24"/>
          <w:szCs w:val="24"/>
        </w:rPr>
        <w:t xml:space="preserve">. zm.) </w:t>
      </w:r>
      <w:r w:rsidRPr="0040535D">
        <w:rPr>
          <w:rFonts w:ascii="Times New Roman" w:hAnsi="Times New Roman"/>
          <w:sz w:val="24"/>
          <w:szCs w:val="24"/>
          <w:lang w:eastAsia="pl-PL"/>
        </w:rPr>
        <w:t xml:space="preserve">ma na celu </w:t>
      </w:r>
      <w:r w:rsidRPr="0040535D">
        <w:rPr>
          <w:rFonts w:ascii="Times New Roman" w:hAnsi="Times New Roman"/>
          <w:sz w:val="24"/>
          <w:szCs w:val="24"/>
        </w:rPr>
        <w:t>zrównanie sytuacji prawnej uczniów i studentów otrzymujących stypendia szkoleniowe, stażowe lub z tytułu przygotowania zawodowego, bez względu czy obowiązek ich odbycia wynika z programu nauczania, czy też odbywają się w ramach projektów EFS.</w:t>
      </w:r>
    </w:p>
    <w:p w14:paraId="6E809F7D" w14:textId="77777777" w:rsidR="00555DC0" w:rsidRPr="0040535D" w:rsidRDefault="00555DC0" w:rsidP="009A0EE5">
      <w:p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sz w:val="24"/>
          <w:szCs w:val="24"/>
        </w:rPr>
        <w:lastRenderedPageBreak/>
        <w:t xml:space="preserve">Z kolei zmiana w pkt 2 ww. ustawy zapewnia realizację obowiązku wynikającego z weryfikacji kwalifikowalności uczestników, ewaluacji EFS oraz wyliczania wartości wskaźników EFS i określa ramy współpracy z ZUS. </w:t>
      </w:r>
      <w:r w:rsidR="00AC51FA" w:rsidRPr="0040535D">
        <w:rPr>
          <w:rFonts w:ascii="Times New Roman" w:hAnsi="Times New Roman"/>
          <w:sz w:val="24"/>
          <w:szCs w:val="24"/>
        </w:rPr>
        <w:t xml:space="preserve">W </w:t>
      </w:r>
      <w:r w:rsidRPr="0040535D">
        <w:rPr>
          <w:rFonts w:ascii="Times New Roman" w:hAnsi="Times New Roman"/>
          <w:sz w:val="24"/>
          <w:szCs w:val="24"/>
        </w:rPr>
        <w:t>celu weryfikacji kwalifikowalności uczestników ww. dane mogą być udostępniane również marszałkom województw.</w:t>
      </w:r>
    </w:p>
    <w:p w14:paraId="57737159" w14:textId="77777777" w:rsidR="00555DC0" w:rsidRPr="0040535D" w:rsidRDefault="00555DC0" w:rsidP="009A0EE5">
      <w:pPr>
        <w:spacing w:after="0" w:line="360" w:lineRule="auto"/>
        <w:jc w:val="both"/>
        <w:rPr>
          <w:rFonts w:ascii="Times New Roman" w:hAnsi="Times New Roman"/>
          <w:sz w:val="24"/>
          <w:szCs w:val="24"/>
        </w:rPr>
      </w:pPr>
    </w:p>
    <w:p w14:paraId="02D055C0"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odpowiednich przepisach </w:t>
      </w:r>
      <w:r w:rsidR="0087154C" w:rsidRPr="0040535D">
        <w:rPr>
          <w:rFonts w:ascii="Times New Roman" w:hAnsi="Times New Roman"/>
          <w:sz w:val="24"/>
          <w:szCs w:val="24"/>
        </w:rPr>
        <w:t xml:space="preserve">ustawy </w:t>
      </w:r>
      <w:r w:rsidRPr="0040535D">
        <w:rPr>
          <w:rFonts w:ascii="Times New Roman" w:hAnsi="Times New Roman"/>
          <w:sz w:val="24"/>
          <w:szCs w:val="24"/>
        </w:rPr>
        <w:t xml:space="preserve">z dnia 9 listopada 2000 r. o utworzeniu Polskiej Agencji Rozwoju Przedsiębiorczości, </w:t>
      </w:r>
      <w:r w:rsidR="0087154C" w:rsidRPr="0040535D">
        <w:rPr>
          <w:rFonts w:ascii="Times New Roman" w:hAnsi="Times New Roman"/>
          <w:sz w:val="24"/>
          <w:szCs w:val="24"/>
        </w:rPr>
        <w:t xml:space="preserve">ustawy </w:t>
      </w:r>
      <w:r w:rsidRPr="0040535D">
        <w:rPr>
          <w:rFonts w:ascii="Times New Roman" w:hAnsi="Times New Roman"/>
          <w:sz w:val="24"/>
          <w:szCs w:val="24"/>
        </w:rPr>
        <w:t>z dnia 27 kwietnia 2001 r. P</w:t>
      </w:r>
      <w:r w:rsidRPr="0040535D">
        <w:rPr>
          <w:rFonts w:ascii="Times New Roman" w:eastAsia="Times New Roman" w:hAnsi="Times New Roman"/>
          <w:kern w:val="36"/>
          <w:sz w:val="24"/>
          <w:szCs w:val="24"/>
          <w:lang w:eastAsia="pl-PL"/>
        </w:rPr>
        <w:t xml:space="preserve">rawo ochrony środowiska, </w:t>
      </w:r>
      <w:r w:rsidR="0087154C" w:rsidRPr="0040535D">
        <w:rPr>
          <w:rFonts w:ascii="Times New Roman" w:eastAsia="Times New Roman" w:hAnsi="Times New Roman"/>
          <w:kern w:val="36"/>
          <w:sz w:val="24"/>
          <w:szCs w:val="24"/>
          <w:lang w:eastAsia="pl-PL"/>
        </w:rPr>
        <w:t xml:space="preserve">ustawy </w:t>
      </w:r>
      <w:r w:rsidRPr="0040535D">
        <w:rPr>
          <w:rFonts w:ascii="Times New Roman" w:hAnsi="Times New Roman"/>
          <w:sz w:val="24"/>
          <w:szCs w:val="24"/>
          <w:lang w:eastAsia="pl-PL"/>
        </w:rPr>
        <w:t xml:space="preserve">z dnia 24 kwietnia 2003 r. </w:t>
      </w:r>
      <w:r w:rsidRPr="0040535D">
        <w:rPr>
          <w:rFonts w:ascii="Times New Roman" w:eastAsia="Times New Roman" w:hAnsi="Times New Roman"/>
          <w:kern w:val="36"/>
          <w:sz w:val="24"/>
          <w:szCs w:val="24"/>
          <w:lang w:eastAsia="pl-PL"/>
        </w:rPr>
        <w:t>o działalności pożytku publicznego i o wolontariacie,</w:t>
      </w:r>
      <w:r w:rsidRPr="0040535D">
        <w:rPr>
          <w:rFonts w:ascii="Times New Roman" w:hAnsi="Times New Roman"/>
          <w:sz w:val="24"/>
          <w:szCs w:val="24"/>
        </w:rPr>
        <w:t xml:space="preserve"> </w:t>
      </w:r>
      <w:r w:rsidR="0087154C" w:rsidRPr="0040535D">
        <w:rPr>
          <w:rFonts w:ascii="Times New Roman" w:hAnsi="Times New Roman"/>
          <w:sz w:val="24"/>
          <w:szCs w:val="24"/>
        </w:rPr>
        <w:t>ustawy</w:t>
      </w:r>
      <w:r w:rsidR="0087154C" w:rsidRPr="0040535D">
        <w:rPr>
          <w:rFonts w:ascii="Times New Roman" w:hAnsi="Times New Roman"/>
          <w:sz w:val="24"/>
          <w:szCs w:val="24"/>
          <w:lang w:eastAsia="pl-PL"/>
        </w:rPr>
        <w:t xml:space="preserve"> </w:t>
      </w:r>
      <w:r w:rsidRPr="0040535D">
        <w:rPr>
          <w:rFonts w:ascii="Times New Roman" w:hAnsi="Times New Roman"/>
          <w:sz w:val="24"/>
          <w:szCs w:val="24"/>
          <w:lang w:eastAsia="pl-PL"/>
        </w:rPr>
        <w:t>z dnia 27 sierpnia 2004 r.</w:t>
      </w:r>
      <w:r w:rsidRPr="0040535D">
        <w:rPr>
          <w:rFonts w:ascii="Times New Roman" w:eastAsia="Times New Roman" w:hAnsi="Times New Roman"/>
          <w:kern w:val="36"/>
          <w:sz w:val="24"/>
          <w:szCs w:val="24"/>
          <w:lang w:eastAsia="pl-PL"/>
        </w:rPr>
        <w:t xml:space="preserve"> o świadczeniach opieki zdrowotnej finansowanych ze środków publicznych, </w:t>
      </w:r>
      <w:r w:rsidR="0087154C" w:rsidRPr="0040535D">
        <w:rPr>
          <w:rStyle w:val="Ppogrubienie"/>
          <w:rFonts w:ascii="Times New Roman" w:hAnsi="Times New Roman"/>
          <w:b w:val="0"/>
          <w:sz w:val="24"/>
          <w:szCs w:val="24"/>
        </w:rPr>
        <w:t xml:space="preserve">ustawy </w:t>
      </w:r>
      <w:r w:rsidR="00932EB8" w:rsidRPr="0040535D">
        <w:rPr>
          <w:rStyle w:val="Ppogrubienie"/>
          <w:rFonts w:ascii="Times New Roman" w:hAnsi="Times New Roman"/>
          <w:b w:val="0"/>
          <w:sz w:val="24"/>
          <w:szCs w:val="24"/>
        </w:rPr>
        <w:t>z dnia 6 grudnia 2006 r. o zasadach prowadzenia polityki rozwoju,</w:t>
      </w:r>
      <w:r w:rsidR="003013E3" w:rsidRPr="0040535D">
        <w:rPr>
          <w:rStyle w:val="Ppogrubienie"/>
          <w:rFonts w:ascii="Times New Roman" w:hAnsi="Times New Roman"/>
          <w:b w:val="0"/>
          <w:sz w:val="24"/>
          <w:szCs w:val="24"/>
        </w:rPr>
        <w:t xml:space="preserve"> </w:t>
      </w:r>
      <w:r w:rsidR="0087154C" w:rsidRPr="0040535D">
        <w:rPr>
          <w:rFonts w:ascii="Times New Roman" w:hAnsi="Times New Roman"/>
          <w:sz w:val="24"/>
          <w:szCs w:val="24"/>
        </w:rPr>
        <w:t>ustawy</w:t>
      </w:r>
      <w:r w:rsidR="0087154C" w:rsidRPr="0040535D">
        <w:rPr>
          <w:rFonts w:ascii="Times New Roman" w:eastAsia="Times New Roman" w:hAnsi="Times New Roman"/>
          <w:sz w:val="24"/>
          <w:szCs w:val="24"/>
          <w:lang w:eastAsia="pl-PL"/>
        </w:rPr>
        <w:t xml:space="preserve"> </w:t>
      </w:r>
      <w:r w:rsidRPr="0040535D">
        <w:rPr>
          <w:rFonts w:ascii="Times New Roman" w:eastAsia="Times New Roman" w:hAnsi="Times New Roman"/>
          <w:sz w:val="24"/>
          <w:szCs w:val="24"/>
          <w:lang w:eastAsia="pl-PL"/>
        </w:rPr>
        <w:t>z</w:t>
      </w:r>
      <w:r w:rsidRPr="0040535D">
        <w:rPr>
          <w:rFonts w:ascii="Times New Roman" w:eastAsia="Times New Roman" w:hAnsi="Times New Roman"/>
          <w:kern w:val="36"/>
          <w:sz w:val="24"/>
          <w:szCs w:val="24"/>
          <w:lang w:eastAsia="pl-PL"/>
        </w:rPr>
        <w:t xml:space="preserve"> dnia 19 grudnia 2008 r. o partnerstwie publiczno-prywatnym, </w:t>
      </w:r>
      <w:r w:rsidRPr="0040535D">
        <w:rPr>
          <w:rFonts w:ascii="Times New Roman" w:hAnsi="Times New Roman"/>
          <w:sz w:val="24"/>
          <w:szCs w:val="24"/>
        </w:rPr>
        <w:t>ustawie</w:t>
      </w:r>
      <w:r w:rsidRPr="0040535D">
        <w:rPr>
          <w:rFonts w:ascii="Times New Roman" w:hAnsi="Times New Roman"/>
          <w:kern w:val="36"/>
          <w:sz w:val="24"/>
          <w:szCs w:val="24"/>
          <w:lang w:eastAsia="pl-PL"/>
        </w:rPr>
        <w:t xml:space="preserve"> z </w:t>
      </w:r>
      <w:r w:rsidRPr="0040535D">
        <w:rPr>
          <w:rFonts w:ascii="Times New Roman" w:hAnsi="Times New Roman"/>
          <w:sz w:val="24"/>
          <w:szCs w:val="24"/>
        </w:rPr>
        <w:t xml:space="preserve">dnia 30 kwietnia 2010 r. </w:t>
      </w:r>
      <w:r w:rsidRPr="0040535D">
        <w:rPr>
          <w:rFonts w:ascii="Times New Roman" w:eastAsia="Times New Roman" w:hAnsi="Times New Roman"/>
          <w:kern w:val="36"/>
          <w:sz w:val="24"/>
          <w:szCs w:val="24"/>
          <w:lang w:eastAsia="pl-PL"/>
        </w:rPr>
        <w:t xml:space="preserve">o Narodowym Centrum Nauki, </w:t>
      </w:r>
      <w:r w:rsidR="0087154C" w:rsidRPr="0040535D">
        <w:rPr>
          <w:rFonts w:ascii="Times New Roman" w:hAnsi="Times New Roman"/>
          <w:sz w:val="24"/>
          <w:szCs w:val="24"/>
        </w:rPr>
        <w:t xml:space="preserve">ustawy </w:t>
      </w:r>
      <w:r w:rsidRPr="0040535D">
        <w:rPr>
          <w:rFonts w:ascii="Times New Roman" w:hAnsi="Times New Roman"/>
          <w:sz w:val="24"/>
          <w:szCs w:val="24"/>
        </w:rPr>
        <w:t xml:space="preserve">z dnia 30 kwietnia 2010 r. </w:t>
      </w:r>
      <w:r w:rsidRPr="0040535D">
        <w:rPr>
          <w:rFonts w:ascii="Times New Roman" w:eastAsia="Times New Roman" w:hAnsi="Times New Roman"/>
          <w:kern w:val="36"/>
          <w:sz w:val="24"/>
          <w:szCs w:val="24"/>
          <w:lang w:eastAsia="pl-PL"/>
        </w:rPr>
        <w:t xml:space="preserve">o Narodowym Centrum Badań i Rozwoju, </w:t>
      </w:r>
      <w:r w:rsidR="0087154C" w:rsidRPr="0040535D">
        <w:rPr>
          <w:rFonts w:ascii="Times New Roman" w:hAnsi="Times New Roman"/>
          <w:sz w:val="24"/>
          <w:szCs w:val="24"/>
        </w:rPr>
        <w:t>ustawy</w:t>
      </w:r>
      <w:r w:rsidR="0087154C" w:rsidRPr="0040535D">
        <w:rPr>
          <w:rFonts w:ascii="Times New Roman" w:hAnsi="Times New Roman"/>
          <w:sz w:val="24"/>
          <w:szCs w:val="24"/>
          <w:lang w:eastAsia="pl-PL"/>
        </w:rPr>
        <w:t xml:space="preserve"> </w:t>
      </w:r>
      <w:r w:rsidRPr="0040535D">
        <w:rPr>
          <w:rFonts w:ascii="Times New Roman" w:hAnsi="Times New Roman"/>
          <w:sz w:val="24"/>
          <w:szCs w:val="24"/>
          <w:lang w:eastAsia="pl-PL"/>
        </w:rPr>
        <w:t xml:space="preserve">z dnia 15 kwietnia 2011 r. o </w:t>
      </w:r>
      <w:r w:rsidRPr="0040535D">
        <w:rPr>
          <w:rFonts w:ascii="Times New Roman" w:eastAsia="Times New Roman" w:hAnsi="Times New Roman"/>
          <w:kern w:val="36"/>
          <w:sz w:val="24"/>
          <w:szCs w:val="24"/>
          <w:lang w:eastAsia="pl-PL"/>
        </w:rPr>
        <w:t xml:space="preserve">działalności leczniczej, </w:t>
      </w:r>
      <w:r w:rsidR="0087154C" w:rsidRPr="0040535D">
        <w:rPr>
          <w:rFonts w:ascii="Times New Roman" w:hAnsi="Times New Roman"/>
          <w:sz w:val="24"/>
          <w:szCs w:val="24"/>
        </w:rPr>
        <w:t xml:space="preserve">ustawy </w:t>
      </w:r>
      <w:r w:rsidRPr="0040535D">
        <w:rPr>
          <w:rFonts w:ascii="Times New Roman" w:hAnsi="Times New Roman"/>
          <w:sz w:val="24"/>
          <w:szCs w:val="24"/>
        </w:rPr>
        <w:t xml:space="preserve">z dnia 10 lipca 2015 r. o </w:t>
      </w:r>
      <w:r w:rsidRPr="0040535D">
        <w:rPr>
          <w:rFonts w:ascii="Times New Roman" w:hAnsi="Times New Roman"/>
          <w:kern w:val="36"/>
          <w:sz w:val="24"/>
          <w:szCs w:val="24"/>
          <w:lang w:eastAsia="pl-PL"/>
        </w:rPr>
        <w:t xml:space="preserve">Agencji Mienia Wojskowego, </w:t>
      </w:r>
      <w:r w:rsidR="0087154C" w:rsidRPr="0040535D">
        <w:rPr>
          <w:rFonts w:ascii="Times New Roman" w:hAnsi="Times New Roman"/>
          <w:sz w:val="24"/>
          <w:szCs w:val="24"/>
        </w:rPr>
        <w:t>ustawy</w:t>
      </w:r>
      <w:r w:rsidR="0087154C" w:rsidRPr="0040535D">
        <w:rPr>
          <w:rFonts w:ascii="Times New Roman" w:hAnsi="Times New Roman"/>
          <w:sz w:val="24"/>
          <w:szCs w:val="24"/>
          <w:lang w:eastAsia="pl-PL"/>
        </w:rPr>
        <w:t xml:space="preserve"> </w:t>
      </w:r>
      <w:r w:rsidRPr="0040535D">
        <w:rPr>
          <w:rFonts w:ascii="Times New Roman" w:hAnsi="Times New Roman"/>
          <w:sz w:val="24"/>
          <w:szCs w:val="24"/>
          <w:lang w:eastAsia="pl-PL"/>
        </w:rPr>
        <w:t xml:space="preserve">z dnia 14 grudnia 2016 r. </w:t>
      </w:r>
      <w:r w:rsidRPr="0040535D">
        <w:rPr>
          <w:rFonts w:ascii="Times New Roman" w:hAnsi="Times New Roman"/>
          <w:kern w:val="36"/>
          <w:sz w:val="24"/>
          <w:szCs w:val="24"/>
          <w:lang w:eastAsia="pl-PL"/>
        </w:rPr>
        <w:t xml:space="preserve">Prawo oświatowe, </w:t>
      </w:r>
      <w:r w:rsidR="0087154C" w:rsidRPr="0040535D">
        <w:rPr>
          <w:rFonts w:ascii="Times New Roman" w:hAnsi="Times New Roman"/>
          <w:sz w:val="24"/>
          <w:szCs w:val="24"/>
        </w:rPr>
        <w:t>ustawy</w:t>
      </w:r>
      <w:r w:rsidR="0087154C" w:rsidRPr="0040535D">
        <w:rPr>
          <w:rFonts w:ascii="Times New Roman" w:hAnsi="Times New Roman"/>
          <w:sz w:val="24"/>
          <w:szCs w:val="24"/>
          <w:lang w:eastAsia="pl-PL"/>
        </w:rPr>
        <w:t xml:space="preserve"> </w:t>
      </w:r>
      <w:r w:rsidRPr="0040535D">
        <w:rPr>
          <w:rFonts w:ascii="Times New Roman" w:hAnsi="Times New Roman"/>
          <w:sz w:val="24"/>
          <w:szCs w:val="24"/>
          <w:lang w:eastAsia="pl-PL"/>
        </w:rPr>
        <w:t xml:space="preserve">z dnia 7 lipca 2017 r. </w:t>
      </w:r>
      <w:r w:rsidRPr="0040535D">
        <w:rPr>
          <w:rFonts w:ascii="Times New Roman" w:eastAsia="Times New Roman" w:hAnsi="Times New Roman"/>
          <w:kern w:val="36"/>
          <w:sz w:val="24"/>
          <w:szCs w:val="24"/>
          <w:lang w:eastAsia="pl-PL"/>
        </w:rPr>
        <w:t xml:space="preserve">o wykonywaniu zadań z zakresu promocji polskiej gospodarki przez Polską Agencję Inwestycji i Handlu Spółka Akcyjna, </w:t>
      </w:r>
      <w:r w:rsidR="0087154C" w:rsidRPr="0040535D">
        <w:rPr>
          <w:rFonts w:ascii="Times New Roman" w:hAnsi="Times New Roman"/>
          <w:sz w:val="24"/>
          <w:szCs w:val="24"/>
        </w:rPr>
        <w:t xml:space="preserve">ustawy </w:t>
      </w:r>
      <w:r w:rsidRPr="0040535D">
        <w:rPr>
          <w:rFonts w:ascii="Times New Roman" w:hAnsi="Times New Roman"/>
          <w:sz w:val="24"/>
          <w:szCs w:val="24"/>
        </w:rPr>
        <w:t xml:space="preserve">z dnia 20 lipca 2017 r. Prawo wodne, </w:t>
      </w:r>
      <w:r w:rsidR="0087154C" w:rsidRPr="0040535D">
        <w:rPr>
          <w:rFonts w:ascii="Times New Roman" w:hAnsi="Times New Roman"/>
          <w:sz w:val="24"/>
          <w:szCs w:val="24"/>
        </w:rPr>
        <w:t>ustawy</w:t>
      </w:r>
      <w:r w:rsidR="0087154C" w:rsidRPr="0040535D">
        <w:rPr>
          <w:rFonts w:ascii="Times New Roman" w:hAnsi="Times New Roman"/>
          <w:sz w:val="24"/>
          <w:szCs w:val="24"/>
          <w:lang w:eastAsia="pl-PL"/>
        </w:rPr>
        <w:t xml:space="preserve"> </w:t>
      </w:r>
      <w:r w:rsidRPr="0040535D">
        <w:rPr>
          <w:rFonts w:ascii="Times New Roman" w:hAnsi="Times New Roman"/>
          <w:sz w:val="24"/>
          <w:szCs w:val="24"/>
          <w:lang w:eastAsia="pl-PL"/>
        </w:rPr>
        <w:t xml:space="preserve">z dnia 10 maja 2018 r. </w:t>
      </w:r>
      <w:r w:rsidRPr="0040535D">
        <w:rPr>
          <w:rFonts w:ascii="Times New Roman" w:eastAsia="Times New Roman" w:hAnsi="Times New Roman"/>
          <w:kern w:val="36"/>
          <w:sz w:val="24"/>
          <w:szCs w:val="24"/>
          <w:lang w:eastAsia="pl-PL"/>
        </w:rPr>
        <w:t xml:space="preserve">o Centralnym Porcie Komunikacyjnym, </w:t>
      </w:r>
      <w:r w:rsidR="0087154C" w:rsidRPr="0040535D">
        <w:rPr>
          <w:rFonts w:ascii="Times New Roman" w:hAnsi="Times New Roman"/>
          <w:sz w:val="24"/>
          <w:szCs w:val="24"/>
        </w:rPr>
        <w:t>ustawy</w:t>
      </w:r>
      <w:r w:rsidR="0087154C" w:rsidRPr="0040535D">
        <w:rPr>
          <w:rFonts w:ascii="Times New Roman" w:eastAsia="Times New Roman" w:hAnsi="Times New Roman"/>
          <w:sz w:val="24"/>
          <w:szCs w:val="24"/>
          <w:lang w:eastAsia="pl-PL"/>
        </w:rPr>
        <w:t xml:space="preserve"> </w:t>
      </w:r>
      <w:r w:rsidRPr="0040535D">
        <w:rPr>
          <w:rFonts w:ascii="Times New Roman" w:eastAsia="Times New Roman" w:hAnsi="Times New Roman"/>
          <w:sz w:val="24"/>
          <w:szCs w:val="24"/>
          <w:lang w:eastAsia="pl-PL"/>
        </w:rPr>
        <w:t xml:space="preserve">z dnia 20 lipca 2018 r. </w:t>
      </w:r>
      <w:r w:rsidRPr="0040535D">
        <w:rPr>
          <w:rFonts w:ascii="Times New Roman" w:eastAsia="Times New Roman" w:hAnsi="Times New Roman"/>
          <w:kern w:val="36"/>
          <w:sz w:val="24"/>
          <w:szCs w:val="24"/>
          <w:lang w:eastAsia="pl-PL"/>
        </w:rPr>
        <w:t xml:space="preserve">Prawo o szkolnictwie wyższym i nauce, </w:t>
      </w:r>
      <w:r w:rsidR="0087154C" w:rsidRPr="0040535D">
        <w:rPr>
          <w:rFonts w:ascii="Times New Roman" w:hAnsi="Times New Roman"/>
          <w:sz w:val="24"/>
          <w:szCs w:val="24"/>
        </w:rPr>
        <w:t xml:space="preserve">ustawy </w:t>
      </w:r>
      <w:r w:rsidRPr="0040535D">
        <w:rPr>
          <w:rFonts w:ascii="Times New Roman" w:hAnsi="Times New Roman"/>
          <w:sz w:val="24"/>
          <w:szCs w:val="24"/>
        </w:rPr>
        <w:t xml:space="preserve">z dnia 19 lipca 2019 r. </w:t>
      </w:r>
      <w:r w:rsidRPr="0040535D">
        <w:rPr>
          <w:rFonts w:ascii="Times New Roman" w:eastAsia="Times New Roman" w:hAnsi="Times New Roman"/>
          <w:kern w:val="36"/>
          <w:sz w:val="24"/>
          <w:szCs w:val="24"/>
          <w:lang w:eastAsia="pl-PL"/>
        </w:rPr>
        <w:t xml:space="preserve">o zapewnianiu dostępności osobom ze szczególnymi potrzebami wskazano </w:t>
      </w:r>
      <w:r w:rsidRPr="0040535D">
        <w:rPr>
          <w:rFonts w:ascii="Times New Roman" w:hAnsi="Times New Roman"/>
          <w:sz w:val="24"/>
          <w:szCs w:val="24"/>
        </w:rPr>
        <w:t xml:space="preserve">ustawę </w:t>
      </w:r>
      <w:r w:rsidR="00973A99" w:rsidRPr="0040535D">
        <w:rPr>
          <w:rFonts w:ascii="Times New Roman" w:hAnsi="Times New Roman"/>
          <w:sz w:val="24"/>
          <w:szCs w:val="24"/>
        </w:rPr>
        <w:t xml:space="preserve">o zasadach realizacji zadań finansowanych ze środków europejskich w perspektywie finansowej 2021-2027 </w:t>
      </w:r>
      <w:r w:rsidRPr="0040535D">
        <w:rPr>
          <w:rFonts w:ascii="Times New Roman" w:hAnsi="Times New Roman"/>
          <w:sz w:val="24"/>
          <w:szCs w:val="24"/>
        </w:rPr>
        <w:t>jako możliwą podstawę prawną finansowania określonych działań wskazanych w zmienianych ustawach.</w:t>
      </w:r>
    </w:p>
    <w:p w14:paraId="0D76683E" w14:textId="77777777" w:rsidR="005E6921" w:rsidRPr="0040535D" w:rsidRDefault="005E6921" w:rsidP="009A0EE5">
      <w:pPr>
        <w:spacing w:after="0" w:line="360" w:lineRule="auto"/>
        <w:jc w:val="both"/>
        <w:rPr>
          <w:rFonts w:ascii="Times New Roman" w:hAnsi="Times New Roman"/>
          <w:sz w:val="24"/>
          <w:szCs w:val="24"/>
        </w:rPr>
      </w:pPr>
    </w:p>
    <w:p w14:paraId="1289BC90" w14:textId="77777777" w:rsidR="00582174" w:rsidRDefault="001125A6" w:rsidP="00F432FD">
      <w:pPr>
        <w:spacing w:after="0" w:line="360" w:lineRule="auto"/>
        <w:jc w:val="both"/>
        <w:rPr>
          <w:rFonts w:ascii="Times New Roman" w:hAnsi="Times New Roman"/>
          <w:sz w:val="24"/>
          <w:szCs w:val="24"/>
        </w:rPr>
      </w:pPr>
      <w:r w:rsidRPr="0040535D">
        <w:rPr>
          <w:rFonts w:ascii="Times New Roman" w:hAnsi="Times New Roman"/>
          <w:sz w:val="24"/>
          <w:szCs w:val="24"/>
        </w:rPr>
        <w:t xml:space="preserve">Zmiany wskazane w </w:t>
      </w:r>
      <w:r w:rsidRPr="0040535D">
        <w:rPr>
          <w:rFonts w:ascii="Times New Roman" w:hAnsi="Times New Roman"/>
          <w:b/>
          <w:sz w:val="24"/>
          <w:szCs w:val="24"/>
        </w:rPr>
        <w:t xml:space="preserve">art. </w:t>
      </w:r>
      <w:r w:rsidR="00E51982" w:rsidRPr="0040535D">
        <w:rPr>
          <w:rFonts w:ascii="Times New Roman" w:hAnsi="Times New Roman"/>
          <w:b/>
          <w:sz w:val="24"/>
          <w:szCs w:val="24"/>
        </w:rPr>
        <w:t>10</w:t>
      </w:r>
      <w:r w:rsidR="00E51982">
        <w:rPr>
          <w:rFonts w:ascii="Times New Roman" w:hAnsi="Times New Roman"/>
          <w:b/>
          <w:sz w:val="24"/>
          <w:szCs w:val="24"/>
        </w:rPr>
        <w:t>1</w:t>
      </w:r>
      <w:r w:rsidR="00E51982" w:rsidRPr="0040535D">
        <w:rPr>
          <w:rFonts w:ascii="Times New Roman" w:hAnsi="Times New Roman"/>
          <w:sz w:val="24"/>
          <w:szCs w:val="24"/>
        </w:rPr>
        <w:t xml:space="preserve"> </w:t>
      </w:r>
      <w:r w:rsidRPr="0040535D">
        <w:rPr>
          <w:rFonts w:ascii="Times New Roman" w:hAnsi="Times New Roman"/>
          <w:sz w:val="24"/>
          <w:szCs w:val="24"/>
        </w:rPr>
        <w:t>w zakresie ustawy z dnia 9 listopada 2000 r. o utworzeniu Polskiej Agencji Rozwoju Przedsiębiorczości (Dz. U. z 2020 r. poz. 299) w art. 6b</w:t>
      </w:r>
      <w:r w:rsidR="00D03B7E">
        <w:rPr>
          <w:rFonts w:ascii="Times New Roman" w:hAnsi="Times New Roman"/>
          <w:sz w:val="24"/>
          <w:szCs w:val="24"/>
        </w:rPr>
        <w:t>, poza zmianami legislacyjnymi w ust</w:t>
      </w:r>
      <w:r w:rsidR="00DA00BA">
        <w:rPr>
          <w:rFonts w:ascii="Times New Roman" w:hAnsi="Times New Roman"/>
          <w:sz w:val="24"/>
          <w:szCs w:val="24"/>
        </w:rPr>
        <w:t>. 1</w:t>
      </w:r>
      <w:r w:rsidR="00D03B7E">
        <w:rPr>
          <w:rFonts w:ascii="Times New Roman" w:hAnsi="Times New Roman"/>
          <w:sz w:val="24"/>
          <w:szCs w:val="24"/>
        </w:rPr>
        <w:t xml:space="preserve"> </w:t>
      </w:r>
      <w:r w:rsidR="00DA00BA">
        <w:rPr>
          <w:rFonts w:ascii="Times New Roman" w:hAnsi="Times New Roman"/>
          <w:sz w:val="24"/>
          <w:szCs w:val="24"/>
        </w:rPr>
        <w:t xml:space="preserve">i </w:t>
      </w:r>
      <w:r w:rsidR="00D03B7E">
        <w:rPr>
          <w:rFonts w:ascii="Times New Roman" w:hAnsi="Times New Roman"/>
          <w:sz w:val="24"/>
          <w:szCs w:val="24"/>
        </w:rPr>
        <w:t>ust. 2 pkt 5, dodano</w:t>
      </w:r>
      <w:r w:rsidR="0094378B" w:rsidRPr="0040535D">
        <w:rPr>
          <w:rFonts w:ascii="Times New Roman" w:hAnsi="Times New Roman"/>
          <w:sz w:val="24"/>
          <w:szCs w:val="24"/>
        </w:rPr>
        <w:t xml:space="preserve"> </w:t>
      </w:r>
      <w:r w:rsidRPr="0040535D">
        <w:rPr>
          <w:rFonts w:ascii="Times New Roman" w:hAnsi="Times New Roman"/>
          <w:sz w:val="24"/>
          <w:szCs w:val="24"/>
        </w:rPr>
        <w:t xml:space="preserve">ust. </w:t>
      </w:r>
      <w:r w:rsidR="008459B7" w:rsidRPr="0040535D">
        <w:rPr>
          <w:rFonts w:ascii="Times New Roman" w:hAnsi="Times New Roman"/>
          <w:sz w:val="24"/>
          <w:szCs w:val="24"/>
        </w:rPr>
        <w:t xml:space="preserve">10b </w:t>
      </w:r>
      <w:r w:rsidRPr="0040535D">
        <w:rPr>
          <w:rFonts w:ascii="Times New Roman" w:hAnsi="Times New Roman"/>
          <w:sz w:val="24"/>
          <w:szCs w:val="24"/>
        </w:rPr>
        <w:t>dotyczą</w:t>
      </w:r>
      <w:r w:rsidR="00D03B7E">
        <w:rPr>
          <w:rFonts w:ascii="Times New Roman" w:hAnsi="Times New Roman"/>
          <w:sz w:val="24"/>
          <w:szCs w:val="24"/>
        </w:rPr>
        <w:t>cy</w:t>
      </w:r>
      <w:r w:rsidRPr="0040535D">
        <w:rPr>
          <w:rFonts w:ascii="Times New Roman" w:hAnsi="Times New Roman"/>
          <w:sz w:val="24"/>
          <w:szCs w:val="24"/>
        </w:rPr>
        <w:t xml:space="preserve"> zastosowania rozwiązania analogicznego do funkcjonującego w perspektywie finansowej 2014-</w:t>
      </w:r>
      <w:r w:rsidR="008E4596" w:rsidRPr="0040535D">
        <w:rPr>
          <w:rFonts w:ascii="Times New Roman" w:hAnsi="Times New Roman"/>
          <w:sz w:val="24"/>
          <w:szCs w:val="24"/>
        </w:rPr>
        <w:t>20</w:t>
      </w:r>
      <w:r w:rsidRPr="0040535D">
        <w:rPr>
          <w:rFonts w:ascii="Times New Roman" w:hAnsi="Times New Roman"/>
          <w:sz w:val="24"/>
          <w:szCs w:val="24"/>
        </w:rPr>
        <w:t>20 w zakresie ustalenia na poziomie rozporządzenia, szczegółowych warunków udzielania wsparcia przez PARP.</w:t>
      </w:r>
    </w:p>
    <w:p w14:paraId="4913A6F8" w14:textId="77777777" w:rsidR="00582174" w:rsidRPr="00582174" w:rsidRDefault="00582174" w:rsidP="00F432FD">
      <w:pPr>
        <w:spacing w:after="0" w:line="360" w:lineRule="auto"/>
        <w:jc w:val="both"/>
        <w:rPr>
          <w:rFonts w:ascii="Times New Roman" w:hAnsi="Times New Roman"/>
          <w:sz w:val="24"/>
          <w:szCs w:val="24"/>
        </w:rPr>
      </w:pPr>
      <w:r w:rsidRPr="00F432FD">
        <w:rPr>
          <w:rFonts w:ascii="Times New Roman" w:hAnsi="Times New Roman"/>
          <w:sz w:val="24"/>
          <w:szCs w:val="24"/>
        </w:rPr>
        <w:t>Potrzeby wprowadzenia zmian w art. 6a ustawy o utworzeniu PARP wynikają z kontynuacji funkcjonowania Bazy Usług Rozwojowych (BUR) w kolejnej perspektywie finansowej w ramach programu FERS oraz planowanego zwiększenia roli i zasięgu tego systemu.</w:t>
      </w:r>
    </w:p>
    <w:p w14:paraId="11F95CF3" w14:textId="77777777" w:rsidR="00582174" w:rsidRPr="00582174" w:rsidRDefault="00582174" w:rsidP="00F432FD">
      <w:pPr>
        <w:spacing w:after="0" w:line="360" w:lineRule="auto"/>
        <w:jc w:val="both"/>
        <w:rPr>
          <w:rFonts w:ascii="Times New Roman" w:hAnsi="Times New Roman"/>
          <w:sz w:val="24"/>
          <w:szCs w:val="24"/>
        </w:rPr>
      </w:pPr>
      <w:r w:rsidRPr="00F432FD">
        <w:rPr>
          <w:rFonts w:ascii="Times New Roman" w:hAnsi="Times New Roman"/>
          <w:sz w:val="24"/>
          <w:szCs w:val="24"/>
        </w:rPr>
        <w:t xml:space="preserve">Proponowane zmiany w art. 6a stanowią odzwierciedlenie pilnych potrzeb Agencji oraz instytucji realizujących zadania w ramach regionalnych programów operacyjnych związanych </w:t>
      </w:r>
      <w:r w:rsidRPr="00F432FD">
        <w:rPr>
          <w:rFonts w:ascii="Times New Roman" w:hAnsi="Times New Roman"/>
          <w:sz w:val="24"/>
          <w:szCs w:val="24"/>
        </w:rPr>
        <w:lastRenderedPageBreak/>
        <w:t>z koniecznością zapewnienia jak najwyższej jakości usług rozwojowych świadczonych przez podmioty za pośrednictwem systemu BUR.</w:t>
      </w:r>
    </w:p>
    <w:p w14:paraId="266F9C7D" w14:textId="77777777" w:rsidR="00582174" w:rsidRPr="00582174" w:rsidRDefault="00582174" w:rsidP="00F432FD">
      <w:pPr>
        <w:spacing w:after="0" w:line="360" w:lineRule="auto"/>
        <w:jc w:val="both"/>
        <w:rPr>
          <w:rFonts w:ascii="Times New Roman" w:hAnsi="Times New Roman"/>
          <w:sz w:val="24"/>
          <w:szCs w:val="24"/>
        </w:rPr>
      </w:pPr>
      <w:r w:rsidRPr="00F432FD">
        <w:rPr>
          <w:rFonts w:ascii="Times New Roman" w:hAnsi="Times New Roman"/>
          <w:sz w:val="24"/>
          <w:szCs w:val="24"/>
        </w:rPr>
        <w:t>Projektowany nowy przepis ust. 1a pozwoli zabezpieczyć interesy użytkowników BUR w sytuacjach, kiedy podmioty, wobec których stwierdzono istotne uchybienia w zakresie spełniania warunków wpisu do rejestru, co skutkowało wykreśleniem tych podmiotów z rejestru, niezwłocznie po wykreśleniu, ubiegają się o ponowny wpis do BUR. Agencja bazując na aktualnych uregulowaniach nie posiada podstaw do odmowy weryfikacji ponownego wniosku o wpis i ostatecznie podmiot wykreślony - bez usunięcia stwierdzonych wobec niego</w:t>
      </w:r>
      <w:r w:rsidRPr="00582174">
        <w:rPr>
          <w:rFonts w:ascii="Times New Roman" w:hAnsi="Times New Roman"/>
          <w:sz w:val="24"/>
          <w:szCs w:val="24"/>
        </w:rPr>
        <w:t xml:space="preserve"> </w:t>
      </w:r>
      <w:r w:rsidRPr="00F432FD">
        <w:rPr>
          <w:rFonts w:ascii="Times New Roman" w:hAnsi="Times New Roman"/>
          <w:sz w:val="24"/>
          <w:szCs w:val="24"/>
        </w:rPr>
        <w:t>uchybień - zostaje wpisany ponownie do BUR. Dwuletni zakaz ponownego wpisu, czyli sankcja wykluczenia z możliwości ubiegania się o wpis wzmocni też sankcję wykreślenia z rejestru i będzie stanowiła narzędzie zabezpieczenia interesów użytkowników BUR i prawidłowego działania rejestru. Dwuletni okres wykluczenia uznaje się za wystarczający dla usunięcia przez podmioty przesłanek będących przyczyną wykreślenia lub zakończenia postępowań</w:t>
      </w:r>
      <w:r w:rsidRPr="00582174">
        <w:rPr>
          <w:rFonts w:ascii="Times New Roman" w:hAnsi="Times New Roman"/>
          <w:sz w:val="24"/>
          <w:szCs w:val="24"/>
        </w:rPr>
        <w:t xml:space="preserve"> </w:t>
      </w:r>
      <w:r w:rsidRPr="00F432FD">
        <w:rPr>
          <w:rFonts w:ascii="Times New Roman" w:hAnsi="Times New Roman"/>
          <w:sz w:val="24"/>
          <w:szCs w:val="24"/>
        </w:rPr>
        <w:t>prowadzonych przez organy ochrony prawa.</w:t>
      </w:r>
    </w:p>
    <w:p w14:paraId="22D32275" w14:textId="77777777" w:rsidR="00582174" w:rsidRPr="00582174" w:rsidRDefault="00582174" w:rsidP="00F432FD">
      <w:pPr>
        <w:spacing w:after="0" w:line="360" w:lineRule="auto"/>
        <w:jc w:val="both"/>
        <w:rPr>
          <w:rFonts w:ascii="Times New Roman" w:hAnsi="Times New Roman"/>
          <w:sz w:val="24"/>
          <w:szCs w:val="24"/>
        </w:rPr>
      </w:pPr>
      <w:r w:rsidRPr="00F432FD">
        <w:rPr>
          <w:rFonts w:ascii="Times New Roman" w:hAnsi="Times New Roman"/>
          <w:sz w:val="24"/>
          <w:szCs w:val="24"/>
        </w:rPr>
        <w:t>Dodatkowo, w projektowanym przepisie wprowadzono zakaz ubiegania się o wpis w okresie wykluczenia przez podmioty powiązane osobowo lub kapitałowo w rozumieniu art. 6c ust. 2 pkt 1–3 ustawy z podmiotem wykreślonym. Propozycja stanowi kompleksową odpowiedź oraz próbę uregulowania sytuacji, z którymi Agencja spotyka się niejednokrotnie po wykreśleniu podmiotu z rejestru, kiedy np. podmiot wykreślony poprzez zmianę wyłącznie formy prawnej czy założenie nowego podmiotu składa wniosek o wpis do rejestru. Należy podkreślić, że brzmienie projektowanego przepisu jest zbieżne z podobnym uregulowaniem określonym w art. 6b ust. 4b ustawy.</w:t>
      </w:r>
    </w:p>
    <w:p w14:paraId="18DD9B14" w14:textId="77777777" w:rsidR="00582174" w:rsidRPr="00582174" w:rsidRDefault="00582174" w:rsidP="00F432FD">
      <w:pPr>
        <w:spacing w:after="0" w:line="360" w:lineRule="auto"/>
        <w:jc w:val="both"/>
        <w:rPr>
          <w:rFonts w:ascii="Times New Roman" w:hAnsi="Times New Roman"/>
          <w:sz w:val="24"/>
          <w:szCs w:val="24"/>
        </w:rPr>
      </w:pPr>
      <w:r w:rsidRPr="00F432FD">
        <w:rPr>
          <w:rFonts w:ascii="Times New Roman" w:hAnsi="Times New Roman"/>
          <w:sz w:val="24"/>
          <w:szCs w:val="24"/>
        </w:rPr>
        <w:t>Konsekwencją wprowadzenia nowego ust. 1a jest zmiana w ust. 1 pkt 4 polegająca na rozszerzeniu o podmioty, o których mowa w ust. 1a, grupy podmiotów, do których nie mogą należeć podmioty ubiegające się o wpis do rejestru. W celu uporządkowania procesu dokonywania wykreśleń przez Agencję w projektowanym brzmieniu przepisu art. 6a ust. 3a wprowadzono możliwość dokonywania wykreślenia podmiotu z rejestru również na jego wniosek.</w:t>
      </w:r>
    </w:p>
    <w:p w14:paraId="08930711" w14:textId="77777777" w:rsidR="00582174" w:rsidRPr="00582174" w:rsidRDefault="00582174" w:rsidP="00F432FD">
      <w:pPr>
        <w:spacing w:after="0" w:line="360" w:lineRule="auto"/>
        <w:jc w:val="both"/>
        <w:rPr>
          <w:rFonts w:ascii="Times New Roman" w:hAnsi="Times New Roman"/>
          <w:sz w:val="24"/>
          <w:szCs w:val="24"/>
        </w:rPr>
      </w:pPr>
      <w:r w:rsidRPr="00F432FD">
        <w:rPr>
          <w:rFonts w:ascii="Times New Roman" w:hAnsi="Times New Roman"/>
          <w:sz w:val="24"/>
          <w:szCs w:val="24"/>
        </w:rPr>
        <w:t xml:space="preserve">Proponowany przepis art. 6a ust. 3b ma na celu zabezpieczenie interesów użytkowników rejestru oraz zwiększenie bezpieczeństwa środków publicznych poprzez udaremnienie możliwości dalszego świadczenia usług niezgodnie z warunkami i wymogami ustawy przez podmioty wpisane do rejestru, wobec których Agencja w wyniku podjętych działań </w:t>
      </w:r>
      <w:r w:rsidRPr="00F432FD">
        <w:rPr>
          <w:rFonts w:ascii="Times New Roman" w:hAnsi="Times New Roman"/>
          <w:sz w:val="24"/>
          <w:szCs w:val="24"/>
        </w:rPr>
        <w:lastRenderedPageBreak/>
        <w:t>sprawdzających stwierdziła prawdopodobieństwo wystąpienia przesłanek wykreślenia podmiotu z rejestru, ale nie doszło jeszcze do wykreślenia podmiotu z rejestru.</w:t>
      </w:r>
    </w:p>
    <w:p w14:paraId="0B82BE84" w14:textId="77777777" w:rsidR="00582174" w:rsidRPr="00582174" w:rsidRDefault="00582174" w:rsidP="00F432FD">
      <w:pPr>
        <w:spacing w:after="0" w:line="360" w:lineRule="auto"/>
        <w:jc w:val="both"/>
        <w:rPr>
          <w:rFonts w:ascii="Times New Roman" w:hAnsi="Times New Roman"/>
          <w:sz w:val="24"/>
          <w:szCs w:val="24"/>
        </w:rPr>
      </w:pPr>
      <w:r w:rsidRPr="00F432FD">
        <w:rPr>
          <w:rFonts w:ascii="Times New Roman" w:hAnsi="Times New Roman"/>
          <w:sz w:val="24"/>
          <w:szCs w:val="24"/>
        </w:rPr>
        <w:t>Wprowadzenie do ustawy mechanizmów blokujących publikację usług lub świadczenie już opublikowanych przez podmioty usług, wobec których istnieją podejrzenia o nierzetelne ich świadczenie i wobec których Agencja rozpoczęła postępowanie wyjaśniające, pozwoli na zabezpieczenie interesów przede wszystkim użytkowników systemu. Zabezpieczy też interes publiczny związany z weryfikacją kwalifikowalności wydatków przez operatorów odpowiedzialnych za rozliczanie zrealizowanych usług w regionach.</w:t>
      </w:r>
    </w:p>
    <w:p w14:paraId="31D38F4B" w14:textId="77777777" w:rsidR="00582174" w:rsidRPr="00582174" w:rsidRDefault="00582174" w:rsidP="00F432FD">
      <w:pPr>
        <w:spacing w:after="0" w:line="360" w:lineRule="auto"/>
        <w:jc w:val="both"/>
        <w:rPr>
          <w:rFonts w:ascii="Times New Roman" w:hAnsi="Times New Roman"/>
          <w:sz w:val="24"/>
          <w:szCs w:val="24"/>
        </w:rPr>
      </w:pPr>
      <w:r w:rsidRPr="00F432FD">
        <w:rPr>
          <w:rFonts w:ascii="Times New Roman" w:hAnsi="Times New Roman"/>
          <w:sz w:val="24"/>
          <w:szCs w:val="24"/>
        </w:rPr>
        <w:t>Wyniki prowadzonych audytów, monitoringów usług, a przede wszystkim zgłoszenia operatorów pokazują sytuacje, co do których istnieją wątpliwości, które bezpośrednio wskazują na nieuczciwość podmiotów świadczących usługi rozwojowe za pośrednictwem BUR. Przykładem może być zgłoszenie od operatora, który otrzymał do rozliczenia fakturę za zrealizowane szkolenie, które jak się okazało po dogłębnej analizie zebranych informacji, w ogóle się nie odbyło (podmiot wskazywał na przeprowadzenie szkolenia podczas lockdownu</w:t>
      </w:r>
      <w:r w:rsidRPr="00582174">
        <w:rPr>
          <w:rFonts w:ascii="Times New Roman" w:hAnsi="Times New Roman"/>
          <w:sz w:val="24"/>
          <w:szCs w:val="24"/>
        </w:rPr>
        <w:t xml:space="preserve"> </w:t>
      </w:r>
      <w:r w:rsidRPr="00F432FD">
        <w:rPr>
          <w:rFonts w:ascii="Times New Roman" w:hAnsi="Times New Roman"/>
          <w:sz w:val="24"/>
          <w:szCs w:val="24"/>
        </w:rPr>
        <w:t>w pokoju hotelowym w okresie zamknięcia branży hotelowej). W takiej sytuacji istnieje bezpośrednia konieczność zastosowania narzędzia pozwalającego na</w:t>
      </w:r>
      <w:r w:rsidRPr="00582174">
        <w:rPr>
          <w:rFonts w:ascii="Times New Roman" w:hAnsi="Times New Roman"/>
          <w:sz w:val="24"/>
          <w:szCs w:val="24"/>
        </w:rPr>
        <w:t xml:space="preserve"> </w:t>
      </w:r>
      <w:r w:rsidRPr="00F432FD">
        <w:rPr>
          <w:rFonts w:ascii="Times New Roman" w:hAnsi="Times New Roman"/>
          <w:sz w:val="24"/>
          <w:szCs w:val="24"/>
        </w:rPr>
        <w:t>zablokowanie w systemie podmiotu, uniemożliwiając mu dalsze świadczenie usług do czasu wyjaśnienia sprawy. Podobnie sytuacja wygląda w przypadku rażąco wysokich cen za usługi i konieczności złożenia przez podmiot wyjaśnień i kalkulacji cen. W takich sytuacjach często podmioty nie zgadzają się na składanie wyjaśnień, przedłużają terminy na przesłanie informacji, publikując i realizując w tym samym czasie usługi na dotychczasowych, budzących zastrzeżenia zasadach.</w:t>
      </w:r>
    </w:p>
    <w:p w14:paraId="1C2CF2B6" w14:textId="77777777" w:rsidR="00582174" w:rsidRPr="00582174" w:rsidRDefault="00582174" w:rsidP="00F432FD">
      <w:pPr>
        <w:spacing w:after="0" w:line="360" w:lineRule="auto"/>
        <w:jc w:val="both"/>
        <w:rPr>
          <w:rFonts w:ascii="Times New Roman" w:hAnsi="Times New Roman"/>
          <w:sz w:val="24"/>
          <w:szCs w:val="24"/>
        </w:rPr>
      </w:pPr>
      <w:r w:rsidRPr="00F432FD">
        <w:rPr>
          <w:rFonts w:ascii="Times New Roman" w:hAnsi="Times New Roman"/>
          <w:sz w:val="24"/>
          <w:szCs w:val="24"/>
        </w:rPr>
        <w:t>Na wzór rozwiązania przyjętego w art. 6c ust. 5 ustawy proponuje się ograniczenie czasowe zastosowania swoistych środków zabezpieczających określonych w zaproponowanym ust. 3b – na czas nie dłuższy niż 6 miesięcy.</w:t>
      </w:r>
    </w:p>
    <w:p w14:paraId="0367E805" w14:textId="77777777" w:rsidR="00582174" w:rsidRPr="00F432FD" w:rsidRDefault="00582174" w:rsidP="00F432FD">
      <w:pPr>
        <w:spacing w:after="0" w:line="360" w:lineRule="auto"/>
        <w:jc w:val="both"/>
        <w:rPr>
          <w:rFonts w:ascii="Times New Roman" w:hAnsi="Times New Roman"/>
          <w:sz w:val="24"/>
          <w:szCs w:val="24"/>
        </w:rPr>
      </w:pPr>
      <w:r w:rsidRPr="00F432FD">
        <w:rPr>
          <w:rFonts w:ascii="Times New Roman" w:hAnsi="Times New Roman"/>
          <w:sz w:val="24"/>
          <w:szCs w:val="24"/>
        </w:rPr>
        <w:t xml:space="preserve">W związku z rozszerzeniem zakresu działań Agencji związanych z prowadzeniem rejestru podmiotów świadczących usługi rozwojowe o nowe działania polegające na wstrzymaniu lub zablokowaniu wpisu do rejestru uzupełniony został ust. 4 oraz ust. 5 pkt 3. Zgodnie z nowym brzmieniem ust. 4 nie stosuje się przepisów ustawy z dnia 14 czerwca 1960 r. – Kodeks postępowania administracyjnego zarówno do postępowania w sprawie wpisu, zmiany, w tym sprostowania, lub wykreślenia z rejestru, jak i nowych narzędzi polegających na wstrzymaniu lub zablokowaniu wpisu. W ust. 5 w pkt 3 uzupełniono delegację dla ministra właściwego do spraw gospodarki do określenia w drodze rozporządzenia szczegółowego sposobu i trybu </w:t>
      </w:r>
      <w:r w:rsidRPr="00F432FD">
        <w:rPr>
          <w:rFonts w:ascii="Times New Roman" w:hAnsi="Times New Roman"/>
          <w:sz w:val="24"/>
          <w:szCs w:val="24"/>
        </w:rPr>
        <w:lastRenderedPageBreak/>
        <w:t>dokonywania wpisu do rejestru, o którym mowa w art. 6 ust. 1 pkt 8, zmiany, w tym sprostowania, wstrzymania, zablokowania oraz wykreślenia wpisu.</w:t>
      </w:r>
    </w:p>
    <w:p w14:paraId="443CA843" w14:textId="77777777" w:rsidR="00582174" w:rsidRPr="0040535D" w:rsidRDefault="00582174" w:rsidP="009A0EE5">
      <w:pPr>
        <w:spacing w:after="0" w:line="360" w:lineRule="auto"/>
        <w:jc w:val="both"/>
        <w:rPr>
          <w:rFonts w:ascii="Times New Roman" w:hAnsi="Times New Roman"/>
          <w:sz w:val="24"/>
          <w:szCs w:val="24"/>
        </w:rPr>
      </w:pPr>
    </w:p>
    <w:p w14:paraId="660FDEC4" w14:textId="77777777" w:rsidR="00AC1586" w:rsidRPr="0040535D" w:rsidRDefault="00AC1586" w:rsidP="00E97850">
      <w:pPr>
        <w:spacing w:before="120" w:after="120" w:line="360" w:lineRule="auto"/>
        <w:jc w:val="both"/>
        <w:rPr>
          <w:rFonts w:ascii="Times New Roman" w:hAnsi="Times New Roman"/>
          <w:sz w:val="24"/>
          <w:szCs w:val="24"/>
        </w:rPr>
      </w:pPr>
      <w:r w:rsidRPr="0040535D">
        <w:rPr>
          <w:rFonts w:ascii="Times New Roman" w:hAnsi="Times New Roman"/>
          <w:b/>
          <w:sz w:val="24"/>
          <w:szCs w:val="24"/>
        </w:rPr>
        <w:t xml:space="preserve">Art. </w:t>
      </w:r>
      <w:r w:rsidR="00E51982" w:rsidRPr="0040535D">
        <w:rPr>
          <w:rFonts w:ascii="Times New Roman" w:hAnsi="Times New Roman"/>
          <w:b/>
          <w:sz w:val="24"/>
          <w:szCs w:val="24"/>
        </w:rPr>
        <w:t>10</w:t>
      </w:r>
      <w:r w:rsidR="00E51982">
        <w:rPr>
          <w:rFonts w:ascii="Times New Roman" w:hAnsi="Times New Roman"/>
          <w:b/>
          <w:sz w:val="24"/>
          <w:szCs w:val="24"/>
        </w:rPr>
        <w:t>2</w:t>
      </w:r>
      <w:r w:rsidR="00E51982" w:rsidRPr="0040535D">
        <w:rPr>
          <w:rFonts w:ascii="Times New Roman" w:hAnsi="Times New Roman"/>
          <w:sz w:val="24"/>
          <w:szCs w:val="24"/>
        </w:rPr>
        <w:t xml:space="preserve"> </w:t>
      </w:r>
      <w:r w:rsidRPr="0040535D">
        <w:rPr>
          <w:rFonts w:ascii="Times New Roman" w:hAnsi="Times New Roman"/>
          <w:sz w:val="24"/>
          <w:szCs w:val="24"/>
        </w:rPr>
        <w:t>zawiera zmiany w ustawie z dnia 21 grudnia 2000 r. o jakości handlowej artykułów rolno-spożywczych (Dz.U. z 2021 r. poz. 630). Zmiany polegają na dodaniu do zadań Inspekcji Jakości Handlowej Artykułów Rolno-Spożywczych zadań związanych ze współpracą z jednostkami organizacyjnymi uczestniczącymi w realizacji operacji współfinansowanych ze środków Europejskiego Funduszu Społecznego Plus</w:t>
      </w:r>
      <w:r w:rsidRPr="0040535D">
        <w:rPr>
          <w:rStyle w:val="Pogrubienie"/>
          <w:rFonts w:ascii="Times New Roman" w:hAnsi="Times New Roman"/>
          <w:sz w:val="24"/>
          <w:szCs w:val="24"/>
        </w:rPr>
        <w:t xml:space="preserve"> </w:t>
      </w:r>
      <w:r w:rsidRPr="0040535D">
        <w:rPr>
          <w:rFonts w:ascii="Times New Roman" w:hAnsi="Times New Roman"/>
          <w:sz w:val="24"/>
          <w:szCs w:val="24"/>
        </w:rPr>
        <w:t xml:space="preserve">(EFS+) przeznaczonych na zwalczanie deprywacji materialnej, </w:t>
      </w:r>
      <w:r w:rsidR="00DA00BA" w:rsidRPr="00DA00BA">
        <w:rPr>
          <w:rFonts w:ascii="Times New Roman" w:hAnsi="Times New Roman"/>
          <w:sz w:val="24"/>
          <w:szCs w:val="24"/>
        </w:rPr>
        <w:t>zlecanych przez Krajowy Ośrodek Wsparcia Rolnictwa w ramach zawartego porozumienia</w:t>
      </w:r>
      <w:r w:rsidR="00DA00BA">
        <w:rPr>
          <w:rFonts w:ascii="Times New Roman" w:hAnsi="Times New Roman"/>
          <w:sz w:val="24"/>
          <w:szCs w:val="24"/>
        </w:rPr>
        <w:t>,</w:t>
      </w:r>
      <w:r w:rsidR="00DA00BA" w:rsidRPr="00DA00BA">
        <w:rPr>
          <w:rFonts w:ascii="Times New Roman" w:hAnsi="Times New Roman"/>
          <w:sz w:val="24"/>
          <w:szCs w:val="24"/>
        </w:rPr>
        <w:t xml:space="preserve"> </w:t>
      </w:r>
      <w:r w:rsidRPr="0040535D">
        <w:rPr>
          <w:rFonts w:ascii="Times New Roman" w:hAnsi="Times New Roman"/>
          <w:sz w:val="24"/>
          <w:szCs w:val="24"/>
        </w:rPr>
        <w:t xml:space="preserve">analogicznie jak to jest obecnie w przypadku FEAD. </w:t>
      </w:r>
    </w:p>
    <w:p w14:paraId="09E1E989" w14:textId="77777777" w:rsidR="00AC1586" w:rsidRPr="0040535D" w:rsidRDefault="00AC1586" w:rsidP="00AC1586">
      <w:pPr>
        <w:spacing w:after="0" w:line="360" w:lineRule="auto"/>
        <w:jc w:val="both"/>
        <w:rPr>
          <w:rFonts w:ascii="Times New Roman" w:hAnsi="Times New Roman"/>
          <w:sz w:val="24"/>
          <w:szCs w:val="24"/>
        </w:rPr>
      </w:pPr>
      <w:r w:rsidRPr="0040535D">
        <w:rPr>
          <w:rFonts w:ascii="Times New Roman" w:hAnsi="Times New Roman"/>
          <w:b/>
          <w:sz w:val="24"/>
          <w:szCs w:val="24"/>
        </w:rPr>
        <w:t xml:space="preserve">Art. </w:t>
      </w:r>
      <w:r w:rsidR="00E51982" w:rsidRPr="0040535D">
        <w:rPr>
          <w:rFonts w:ascii="Times New Roman" w:hAnsi="Times New Roman"/>
          <w:b/>
          <w:sz w:val="24"/>
          <w:szCs w:val="24"/>
        </w:rPr>
        <w:t>10</w:t>
      </w:r>
      <w:r w:rsidR="00E51982">
        <w:rPr>
          <w:rFonts w:ascii="Times New Roman" w:hAnsi="Times New Roman"/>
          <w:b/>
          <w:sz w:val="24"/>
          <w:szCs w:val="24"/>
        </w:rPr>
        <w:t>5</w:t>
      </w:r>
      <w:r w:rsidR="00502D73">
        <w:rPr>
          <w:rFonts w:ascii="Times New Roman" w:hAnsi="Times New Roman"/>
          <w:b/>
          <w:sz w:val="24"/>
          <w:szCs w:val="24"/>
        </w:rPr>
        <w:t xml:space="preserve"> </w:t>
      </w:r>
      <w:r w:rsidRPr="0040535D">
        <w:rPr>
          <w:rFonts w:ascii="Times New Roman" w:hAnsi="Times New Roman"/>
          <w:sz w:val="24"/>
          <w:szCs w:val="24"/>
        </w:rPr>
        <w:t>wprowadza zmiany do ustawy z dnia 12 marca 2004 r. o pomocy społecznej (Dz. U. z 202</w:t>
      </w:r>
      <w:r w:rsidR="00F4756A">
        <w:rPr>
          <w:rFonts w:ascii="Times New Roman" w:hAnsi="Times New Roman"/>
          <w:sz w:val="24"/>
          <w:szCs w:val="24"/>
        </w:rPr>
        <w:t>1</w:t>
      </w:r>
      <w:r w:rsidRPr="0040535D">
        <w:rPr>
          <w:rFonts w:ascii="Times New Roman" w:hAnsi="Times New Roman"/>
          <w:sz w:val="24"/>
          <w:szCs w:val="24"/>
        </w:rPr>
        <w:t xml:space="preserve"> r.  poz. </w:t>
      </w:r>
      <w:r w:rsidR="00F4756A">
        <w:rPr>
          <w:rFonts w:ascii="Times New Roman" w:hAnsi="Times New Roman"/>
          <w:sz w:val="24"/>
          <w:szCs w:val="24"/>
        </w:rPr>
        <w:t>2268,</w:t>
      </w:r>
      <w:r w:rsidR="00464D12">
        <w:rPr>
          <w:rFonts w:ascii="Times New Roman" w:hAnsi="Times New Roman"/>
          <w:sz w:val="24"/>
          <w:szCs w:val="24"/>
        </w:rPr>
        <w:t xml:space="preserve"> </w:t>
      </w:r>
      <w:r w:rsidR="00F4756A">
        <w:rPr>
          <w:rFonts w:ascii="Times New Roman" w:hAnsi="Times New Roman"/>
          <w:sz w:val="24"/>
          <w:szCs w:val="24"/>
        </w:rPr>
        <w:t xml:space="preserve">z </w:t>
      </w:r>
      <w:proofErr w:type="spellStart"/>
      <w:r w:rsidR="00F4756A">
        <w:rPr>
          <w:rFonts w:ascii="Times New Roman" w:hAnsi="Times New Roman"/>
          <w:sz w:val="24"/>
          <w:szCs w:val="24"/>
        </w:rPr>
        <w:t>późn</w:t>
      </w:r>
      <w:proofErr w:type="spellEnd"/>
      <w:r w:rsidR="00F4756A">
        <w:rPr>
          <w:rFonts w:ascii="Times New Roman" w:hAnsi="Times New Roman"/>
          <w:sz w:val="24"/>
          <w:szCs w:val="24"/>
        </w:rPr>
        <w:t>. zm.</w:t>
      </w:r>
      <w:r w:rsidRPr="0040535D">
        <w:rPr>
          <w:rFonts w:ascii="Times New Roman" w:hAnsi="Times New Roman"/>
          <w:sz w:val="24"/>
          <w:szCs w:val="24"/>
        </w:rPr>
        <w:t>) w celu ustanowienia przepisów regulujących wdrażanie programu dotyczącego zwalczania deprywacji materialnej, finansowanego ze środków Europejskiego Funduszu Społecznego Plus (następcy Programu Operacyjnego Pomoc Żywnościowa 2014-2020).</w:t>
      </w:r>
    </w:p>
    <w:p w14:paraId="3AC8E890" w14:textId="77777777" w:rsidR="00AC1586" w:rsidRPr="0040535D" w:rsidRDefault="00AC1586" w:rsidP="00AC1586">
      <w:pPr>
        <w:spacing w:after="0" w:line="360" w:lineRule="auto"/>
        <w:jc w:val="both"/>
        <w:rPr>
          <w:rFonts w:ascii="Times New Roman" w:hAnsi="Times New Roman"/>
          <w:sz w:val="24"/>
          <w:szCs w:val="24"/>
        </w:rPr>
      </w:pPr>
      <w:r w:rsidRPr="0040535D">
        <w:rPr>
          <w:rFonts w:ascii="Times New Roman" w:hAnsi="Times New Roman"/>
          <w:sz w:val="24"/>
          <w:szCs w:val="24"/>
        </w:rPr>
        <w:t>Pomoc żywnościowa realizowana dotychczas w ramach odrębnego Europejskiego Funduszu Pomocy Najbardziej Potrzebującym (FEAD) została w perspektywie finansowej 2021-2027 włączona do Europejskiego Funduszu Społecznego Plus. Z uwagi na pewne odrębności przewidziane w przepisach rozporządzenia ogólnego uzasadnione jest zawarcie przepisów dotyczących nowego programu w ustawie z dnia 12 marca 2004 r. o pomocy społecznej, analogicznie jak w perspektywie finansowej 2014-2020.</w:t>
      </w:r>
    </w:p>
    <w:p w14:paraId="488EB434" w14:textId="77777777" w:rsidR="00AC1586" w:rsidRPr="0040535D" w:rsidRDefault="00AC1586" w:rsidP="00AC1586">
      <w:pPr>
        <w:spacing w:after="0" w:line="360" w:lineRule="auto"/>
        <w:jc w:val="both"/>
        <w:rPr>
          <w:rFonts w:ascii="Times New Roman" w:hAnsi="Times New Roman"/>
          <w:sz w:val="24"/>
          <w:szCs w:val="24"/>
        </w:rPr>
      </w:pPr>
      <w:r w:rsidRPr="0040535D">
        <w:rPr>
          <w:rFonts w:ascii="Times New Roman" w:hAnsi="Times New Roman"/>
          <w:sz w:val="24"/>
          <w:szCs w:val="24"/>
        </w:rPr>
        <w:t xml:space="preserve">W ustawie z dnia 12 marca 2004 r. o pomocy społecznej dodaje się nowy rozdział IIIB. Jednocześnie w celu zakończenia działań związanych z Programem Operacyjnym Pomoc Żywnościowa 2014-2020 pozostawia się bez zmian rozdział IIIA. </w:t>
      </w:r>
    </w:p>
    <w:p w14:paraId="25A40B34" w14:textId="77777777" w:rsidR="00AC1586" w:rsidRPr="0040535D" w:rsidRDefault="00AC1586" w:rsidP="00AC1586">
      <w:pPr>
        <w:spacing w:after="0" w:line="360" w:lineRule="auto"/>
        <w:jc w:val="both"/>
        <w:rPr>
          <w:rFonts w:ascii="Times New Roman" w:hAnsi="Times New Roman"/>
          <w:sz w:val="24"/>
          <w:szCs w:val="24"/>
        </w:rPr>
      </w:pPr>
      <w:r w:rsidRPr="0040535D">
        <w:rPr>
          <w:rFonts w:ascii="Times New Roman" w:hAnsi="Times New Roman"/>
          <w:sz w:val="24"/>
          <w:szCs w:val="24"/>
        </w:rPr>
        <w:t xml:space="preserve">W art. 134n określa się zadania ministra właściwego do spraw zabezpieczenia społecznego dotyczące realizacji działań finansowanych z udziałem środków Europejskiego Funduszu Społecznego Plus przeznaczonych na zwalczanie deprywacji materialnej. Ten minister będzie pełnił funkcję instytucji zarządzającej programem, stąd charakter powierzanych mu zadań obejmujących między innymi opracowanie treści nowego programu, przeprowadzanie sprawozdań i ewaluacji programu, dokonywanie wyboru beneficjentów - organizacji partnerskich biorących udział w dystrybucji żywności, wydawanie wytycznych dla instytucji </w:t>
      </w:r>
      <w:r w:rsidRPr="0040535D">
        <w:rPr>
          <w:rFonts w:ascii="Times New Roman" w:hAnsi="Times New Roman"/>
          <w:sz w:val="24"/>
          <w:szCs w:val="24"/>
        </w:rPr>
        <w:lastRenderedPageBreak/>
        <w:t xml:space="preserve">pośredniczącej i beneficjentów, współpracę z Krajowym Ośrodkiem Wsparcia Rolnictwa (KOWR), zadania kontrolne, wydawanie decyzji w zakresie nieprawidłowości. </w:t>
      </w:r>
    </w:p>
    <w:p w14:paraId="214E9B57" w14:textId="77777777" w:rsidR="00AC1586" w:rsidRPr="0040535D" w:rsidRDefault="00AC1586" w:rsidP="00AC1586">
      <w:pPr>
        <w:spacing w:after="0" w:line="360" w:lineRule="auto"/>
        <w:jc w:val="both"/>
        <w:rPr>
          <w:rFonts w:ascii="Times New Roman" w:hAnsi="Times New Roman"/>
          <w:sz w:val="24"/>
          <w:szCs w:val="24"/>
        </w:rPr>
      </w:pPr>
      <w:r w:rsidRPr="0040535D">
        <w:rPr>
          <w:rFonts w:ascii="Times New Roman" w:hAnsi="Times New Roman"/>
          <w:sz w:val="24"/>
          <w:szCs w:val="24"/>
        </w:rPr>
        <w:t xml:space="preserve">Art. 134o określa zadania KOWR, który będzie pełnił funkcje instytucji pośredniczącej i beneficjenta w nowym programie. KOWR w szczególności będzie odpowiedzialny za zakup żywności w ramach programu, zawieranie i rozliczanie umów z beneficjentami - organizacjami partnerskimi dotyczącymi dystrybucji żywności dla osób korzystających z pomocy określonej w programie, dokonywanie wypłat wykonawcom dostarczającym artykuły spożywcze oraz beneficjentom - organizacjom partnerskim, sprawozdawanie do ministra właściwego do spraw zabezpieczenia społecznego, wykonywanie zadań z zakresu widoczności, przejrzystości i komunikacji. </w:t>
      </w:r>
    </w:p>
    <w:p w14:paraId="5FAA1D17" w14:textId="77777777" w:rsidR="00AC1586" w:rsidRPr="0040535D" w:rsidRDefault="00AC1586" w:rsidP="00AC1586">
      <w:pPr>
        <w:spacing w:after="0" w:line="360" w:lineRule="auto"/>
        <w:jc w:val="both"/>
        <w:rPr>
          <w:rFonts w:ascii="Times New Roman" w:hAnsi="Times New Roman"/>
          <w:sz w:val="24"/>
          <w:szCs w:val="24"/>
        </w:rPr>
      </w:pPr>
      <w:r w:rsidRPr="0040535D">
        <w:rPr>
          <w:rFonts w:ascii="Times New Roman" w:hAnsi="Times New Roman"/>
          <w:sz w:val="24"/>
          <w:szCs w:val="24"/>
        </w:rPr>
        <w:t xml:space="preserve">Art. 134p zobowiązuje ministra właściwego do spraw zabezpieczenia społecznego do zatwierdzania procedur dokonywania czynności w ramach zadań powierzonych KOWR. </w:t>
      </w:r>
    </w:p>
    <w:p w14:paraId="1C2AD5F2" w14:textId="77777777" w:rsidR="00AC1586" w:rsidRPr="0040535D" w:rsidRDefault="00AC1586" w:rsidP="00AC1586">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8459B7" w:rsidRPr="0040535D">
        <w:rPr>
          <w:rFonts w:ascii="Times New Roman" w:hAnsi="Times New Roman"/>
          <w:sz w:val="24"/>
          <w:szCs w:val="24"/>
        </w:rPr>
        <w:t xml:space="preserve">134q </w:t>
      </w:r>
      <w:r w:rsidRPr="0040535D">
        <w:rPr>
          <w:rFonts w:ascii="Times New Roman" w:hAnsi="Times New Roman"/>
          <w:sz w:val="24"/>
          <w:szCs w:val="24"/>
        </w:rPr>
        <w:t xml:space="preserve">powierza ministrowi właściwemu do spraw finansów publicznych wykonywanie zadań z zakresu księgowania wydatków w nowym programie. </w:t>
      </w:r>
    </w:p>
    <w:p w14:paraId="325E6F8B" w14:textId="77777777" w:rsidR="00AC1586" w:rsidRPr="0040535D" w:rsidRDefault="00AC1586" w:rsidP="00AC1586">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8459B7" w:rsidRPr="0040535D">
        <w:rPr>
          <w:rFonts w:ascii="Times New Roman" w:hAnsi="Times New Roman"/>
          <w:sz w:val="24"/>
          <w:szCs w:val="24"/>
        </w:rPr>
        <w:t xml:space="preserve">134r </w:t>
      </w:r>
      <w:r w:rsidRPr="0040535D">
        <w:rPr>
          <w:rFonts w:ascii="Times New Roman" w:hAnsi="Times New Roman"/>
          <w:sz w:val="24"/>
          <w:szCs w:val="24"/>
        </w:rPr>
        <w:t>wskazuje instytucję audytową, którą będzie Szef Krajowej Administracji Skarbowej.</w:t>
      </w:r>
    </w:p>
    <w:p w14:paraId="6BE9FE09" w14:textId="77777777" w:rsidR="00AC1586" w:rsidRPr="0040535D" w:rsidRDefault="00AC1586" w:rsidP="00AC1586">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8459B7" w:rsidRPr="0040535D">
        <w:rPr>
          <w:rFonts w:ascii="Times New Roman" w:hAnsi="Times New Roman"/>
          <w:sz w:val="24"/>
          <w:szCs w:val="24"/>
        </w:rPr>
        <w:t xml:space="preserve">134s </w:t>
      </w:r>
      <w:r w:rsidRPr="0040535D">
        <w:rPr>
          <w:rFonts w:ascii="Times New Roman" w:hAnsi="Times New Roman"/>
          <w:sz w:val="24"/>
          <w:szCs w:val="24"/>
        </w:rPr>
        <w:t xml:space="preserve">wyznacza obszar, na którym mogą być wyprodukowane produkty dostarczane do beneficjentów-organizacji partnerskich.  </w:t>
      </w:r>
    </w:p>
    <w:p w14:paraId="0AC3979C" w14:textId="77777777" w:rsidR="00AC1586" w:rsidRPr="0040535D" w:rsidRDefault="00AC1586" w:rsidP="00AC1586">
      <w:pPr>
        <w:spacing w:after="0" w:line="360" w:lineRule="auto"/>
        <w:jc w:val="both"/>
        <w:rPr>
          <w:rFonts w:ascii="Times New Roman" w:hAnsi="Times New Roman"/>
          <w:sz w:val="24"/>
          <w:szCs w:val="24"/>
        </w:rPr>
      </w:pPr>
      <w:r w:rsidRPr="0040535D">
        <w:rPr>
          <w:rFonts w:ascii="Times New Roman" w:hAnsi="Times New Roman"/>
          <w:sz w:val="24"/>
          <w:szCs w:val="24"/>
        </w:rPr>
        <w:t xml:space="preserve">W art. </w:t>
      </w:r>
      <w:r w:rsidR="008459B7" w:rsidRPr="0040535D">
        <w:rPr>
          <w:rFonts w:ascii="Times New Roman" w:hAnsi="Times New Roman"/>
          <w:sz w:val="24"/>
          <w:szCs w:val="24"/>
        </w:rPr>
        <w:t>134t</w:t>
      </w:r>
      <w:r w:rsidRPr="0040535D">
        <w:rPr>
          <w:rFonts w:ascii="Times New Roman" w:hAnsi="Times New Roman"/>
          <w:sz w:val="24"/>
          <w:szCs w:val="24"/>
        </w:rPr>
        <w:t xml:space="preserve">, w celu zachowania w maksymalnym stopniu zasad i procedur stosowanych na podstawie projektowanej ustawy o zasadach realizacji zadań finansowanych ze środków europejskich  w perspektywie finansowej 2021-2027, wskazano przepisy tej ustawy, które będą miały zastosowanie do wyboru przez instytucję zarządzającą beneficjentów-organizacji partnerskich. Przepis nakłada obowiązek wyboru tych organizacji na ministra właściwego do spraw zabezpieczenia społecznego. </w:t>
      </w:r>
    </w:p>
    <w:p w14:paraId="0C9BE45D" w14:textId="77777777" w:rsidR="00AC1586" w:rsidRPr="0040535D" w:rsidRDefault="00AC1586" w:rsidP="00AC1586">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8459B7" w:rsidRPr="0040535D">
        <w:rPr>
          <w:rFonts w:ascii="Times New Roman" w:hAnsi="Times New Roman"/>
          <w:sz w:val="24"/>
          <w:szCs w:val="24"/>
        </w:rPr>
        <w:t xml:space="preserve">134u </w:t>
      </w:r>
      <w:r w:rsidRPr="0040535D">
        <w:rPr>
          <w:rFonts w:ascii="Times New Roman" w:hAnsi="Times New Roman"/>
          <w:sz w:val="24"/>
          <w:szCs w:val="24"/>
        </w:rPr>
        <w:t>stanowi upoważnienie do wydania przez ministra właściwego do spraw zabezpieczenia społecznego, w porozumieniu z ministrem właściwym do spraw rynków rolnych, aktu wykonawczego określającego szczegółowe przeznaczenie, warunki i tryb udzielania przez KOWR wypłat w ramach nowego programu.</w:t>
      </w:r>
    </w:p>
    <w:p w14:paraId="53946919" w14:textId="77777777" w:rsidR="00AC1586" w:rsidRPr="0040535D" w:rsidRDefault="00AC1586" w:rsidP="00AC1586">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8459B7" w:rsidRPr="0040535D">
        <w:rPr>
          <w:rFonts w:ascii="Times New Roman" w:hAnsi="Times New Roman"/>
          <w:sz w:val="24"/>
          <w:szCs w:val="24"/>
        </w:rPr>
        <w:t xml:space="preserve">134v </w:t>
      </w:r>
      <w:r w:rsidRPr="0040535D">
        <w:rPr>
          <w:rFonts w:ascii="Times New Roman" w:hAnsi="Times New Roman"/>
          <w:sz w:val="24"/>
          <w:szCs w:val="24"/>
        </w:rPr>
        <w:t>dotyczy przetwarzania danych osobowych osób korzystających z pomocy określonej w programie.</w:t>
      </w:r>
    </w:p>
    <w:p w14:paraId="7F90CF73" w14:textId="77777777" w:rsidR="00AD1F85" w:rsidRPr="0040535D" w:rsidRDefault="00AC1586" w:rsidP="00AC1586">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8459B7" w:rsidRPr="0040535D">
        <w:rPr>
          <w:rFonts w:ascii="Times New Roman" w:hAnsi="Times New Roman"/>
          <w:sz w:val="24"/>
          <w:szCs w:val="24"/>
        </w:rPr>
        <w:t xml:space="preserve">134w </w:t>
      </w:r>
      <w:r w:rsidRPr="0040535D">
        <w:rPr>
          <w:rFonts w:ascii="Times New Roman" w:hAnsi="Times New Roman"/>
          <w:sz w:val="24"/>
          <w:szCs w:val="24"/>
        </w:rPr>
        <w:t xml:space="preserve">upoważnia ośrodki pomocy społecznej, za zgodą osób korzystających z pomocy określonej w programie, do przekazywania danych osobowych tych osób beneficjentom-organizacjom partnerskim, w celu realizacji zadań tych organizacji polegających na dystrybucji żywności.   </w:t>
      </w:r>
    </w:p>
    <w:p w14:paraId="71737A24" w14:textId="77777777" w:rsidR="00AC1586" w:rsidRPr="0040535D" w:rsidRDefault="00AC1586" w:rsidP="00AC1586">
      <w:pPr>
        <w:spacing w:after="0" w:line="360" w:lineRule="auto"/>
        <w:jc w:val="both"/>
        <w:rPr>
          <w:rFonts w:ascii="Times New Roman" w:hAnsi="Times New Roman"/>
          <w:sz w:val="24"/>
          <w:szCs w:val="24"/>
        </w:rPr>
      </w:pPr>
    </w:p>
    <w:p w14:paraId="7621B195" w14:textId="77777777" w:rsidR="00D63B72" w:rsidRPr="0040535D" w:rsidRDefault="00D63B72"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Przepisy </w:t>
      </w:r>
      <w:r w:rsidRPr="0040535D">
        <w:rPr>
          <w:rFonts w:ascii="Times New Roman" w:hAnsi="Times New Roman"/>
          <w:b/>
          <w:sz w:val="24"/>
          <w:szCs w:val="24"/>
        </w:rPr>
        <w:t xml:space="preserve">art. </w:t>
      </w:r>
      <w:r w:rsidR="001811ED" w:rsidRPr="0040535D">
        <w:rPr>
          <w:rFonts w:ascii="Times New Roman" w:hAnsi="Times New Roman"/>
          <w:b/>
          <w:sz w:val="24"/>
          <w:szCs w:val="24"/>
        </w:rPr>
        <w:t>10</w:t>
      </w:r>
      <w:r w:rsidR="001811ED">
        <w:rPr>
          <w:rFonts w:ascii="Times New Roman" w:hAnsi="Times New Roman"/>
          <w:b/>
          <w:sz w:val="24"/>
          <w:szCs w:val="24"/>
        </w:rPr>
        <w:t>6</w:t>
      </w:r>
      <w:r w:rsidR="001811ED" w:rsidRPr="0040535D">
        <w:rPr>
          <w:rFonts w:ascii="Times New Roman" w:hAnsi="Times New Roman"/>
          <w:sz w:val="24"/>
          <w:szCs w:val="24"/>
        </w:rPr>
        <w:t xml:space="preserve"> </w:t>
      </w:r>
      <w:r w:rsidRPr="0040535D">
        <w:rPr>
          <w:rFonts w:ascii="Times New Roman" w:hAnsi="Times New Roman"/>
          <w:sz w:val="24"/>
          <w:szCs w:val="24"/>
        </w:rPr>
        <w:t>zmieniają ustawę z dnia 20 kwietnia 2004 r. o promocji zatrudnienia i instytucjach rynku pracy (Dz. U. z</w:t>
      </w:r>
      <w:r w:rsidR="00DF7FEE" w:rsidRPr="0040535D">
        <w:rPr>
          <w:rFonts w:ascii="Times New Roman" w:hAnsi="Times New Roman"/>
          <w:sz w:val="24"/>
          <w:szCs w:val="24"/>
        </w:rPr>
        <w:t xml:space="preserve"> </w:t>
      </w:r>
      <w:r w:rsidRPr="0040535D">
        <w:rPr>
          <w:rFonts w:ascii="Times New Roman" w:hAnsi="Times New Roman"/>
          <w:sz w:val="24"/>
          <w:szCs w:val="24"/>
        </w:rPr>
        <w:t>202</w:t>
      </w:r>
      <w:r w:rsidR="006443AC" w:rsidRPr="0040535D">
        <w:rPr>
          <w:rFonts w:ascii="Times New Roman" w:hAnsi="Times New Roman"/>
          <w:sz w:val="24"/>
          <w:szCs w:val="24"/>
        </w:rPr>
        <w:t>1</w:t>
      </w:r>
      <w:r w:rsidRPr="0040535D">
        <w:rPr>
          <w:rFonts w:ascii="Times New Roman" w:hAnsi="Times New Roman"/>
          <w:sz w:val="24"/>
          <w:szCs w:val="24"/>
        </w:rPr>
        <w:t xml:space="preserve"> r. poz. </w:t>
      </w:r>
      <w:r w:rsidR="006443AC" w:rsidRPr="0040535D">
        <w:rPr>
          <w:rFonts w:ascii="Times New Roman" w:hAnsi="Times New Roman"/>
          <w:sz w:val="24"/>
          <w:szCs w:val="24"/>
        </w:rPr>
        <w:t>1100</w:t>
      </w:r>
      <w:r w:rsidR="009660D9" w:rsidRPr="0040535D">
        <w:rPr>
          <w:rFonts w:ascii="Times New Roman" w:hAnsi="Times New Roman"/>
          <w:sz w:val="24"/>
          <w:szCs w:val="24"/>
        </w:rPr>
        <w:t xml:space="preserve">, z </w:t>
      </w:r>
      <w:proofErr w:type="spellStart"/>
      <w:r w:rsidR="009660D9" w:rsidRPr="0040535D">
        <w:rPr>
          <w:rFonts w:ascii="Times New Roman" w:hAnsi="Times New Roman"/>
          <w:sz w:val="24"/>
          <w:szCs w:val="24"/>
        </w:rPr>
        <w:t>późn</w:t>
      </w:r>
      <w:proofErr w:type="spellEnd"/>
      <w:r w:rsidR="009660D9" w:rsidRPr="0040535D">
        <w:rPr>
          <w:rFonts w:ascii="Times New Roman" w:hAnsi="Times New Roman"/>
          <w:sz w:val="24"/>
          <w:szCs w:val="24"/>
        </w:rPr>
        <w:t>. zm.</w:t>
      </w:r>
      <w:r w:rsidRPr="0040535D">
        <w:rPr>
          <w:rFonts w:ascii="Times New Roman" w:hAnsi="Times New Roman"/>
          <w:sz w:val="24"/>
          <w:szCs w:val="24"/>
        </w:rPr>
        <w:t xml:space="preserve">). W pkt 1 dostosowano dotychczasową definicję projektów współfinansowanych z Europejskiego Funduszu Społecznego do Europejskiego Funduszu Społecznego Plus. Dodano </w:t>
      </w:r>
      <w:r w:rsidR="000C4982" w:rsidRPr="0040535D">
        <w:rPr>
          <w:rFonts w:ascii="Times New Roman" w:hAnsi="Times New Roman"/>
          <w:sz w:val="24"/>
          <w:szCs w:val="24"/>
        </w:rPr>
        <w:t xml:space="preserve">postanowienia </w:t>
      </w:r>
      <w:r w:rsidRPr="0040535D">
        <w:rPr>
          <w:rFonts w:ascii="Times New Roman" w:hAnsi="Times New Roman"/>
          <w:sz w:val="24"/>
          <w:szCs w:val="24"/>
        </w:rPr>
        <w:t xml:space="preserve">mówiące, że do zadań samorządu powiatu w zakresie polityki rynku pracy należy również realizowanie projektów w zakresie promocji zatrudnienia, w tym przeciwdziałania bezrobociu, łagodzenia skutków bezrobocia i aktywizacji zawodowej bezrobotnych i osób poszukujących pracy, wynikających z programów operacyjnych </w:t>
      </w:r>
      <w:r w:rsidR="00D908D9" w:rsidRPr="0040535D">
        <w:rPr>
          <w:rFonts w:ascii="Times New Roman" w:hAnsi="Times New Roman"/>
          <w:sz w:val="24"/>
          <w:szCs w:val="24"/>
        </w:rPr>
        <w:t xml:space="preserve">finansowanych z udziałem </w:t>
      </w:r>
      <w:r w:rsidRPr="0040535D">
        <w:rPr>
          <w:rFonts w:ascii="Times New Roman" w:hAnsi="Times New Roman"/>
          <w:sz w:val="24"/>
          <w:szCs w:val="24"/>
        </w:rPr>
        <w:t xml:space="preserve">środków </w:t>
      </w:r>
      <w:r w:rsidR="00C547B4" w:rsidRPr="0040535D">
        <w:rPr>
          <w:rFonts w:ascii="Times New Roman" w:hAnsi="Times New Roman"/>
          <w:sz w:val="24"/>
          <w:szCs w:val="24"/>
        </w:rPr>
        <w:t>Europejskiego Funduszu Społecznego lub E</w:t>
      </w:r>
      <w:r w:rsidRPr="0040535D">
        <w:rPr>
          <w:rFonts w:ascii="Times New Roman" w:hAnsi="Times New Roman"/>
          <w:sz w:val="24"/>
          <w:szCs w:val="24"/>
        </w:rPr>
        <w:t>uropejskiego Funduszu Społecznego Plus i Funduszu Pracy oraz zwiększające elastyczność finansowania kosztów zarządzania realizowanymi projektami współfinansowanymi z Europejskiego Funduszu Społecznego ze środków Funduszu Pracy, w ramach kwoty przyznanej na finansowanie innych fakultatywnych zadań realizowanych przez powiatowe urzędy pracy. Obecnie urzędy pracy mogą realizować projekty ze źródeł innych niż Fundusz Pracy, w szczególności ze środków Europejskiego Funduszu Społecznego, wyłącznie na zasadach wynikających z ustawy o promocji zatrudnienia i instytucjach rynku pracy, co ogranicza możliwości ich działania z wykorzystaniem niestandardowych metod pracy z klientami urzędów. Konieczne jest więc wprowadzenie możliwości pozyskiwania dodatkowych środków przez powiatowe i wojewódzkie urzędy pracy, innych niż Fundusz Pracy, w szczególności środków unijnych, w celu poszerzenia oferty urzędów w zakresie promocji zatrudnienia i aktywizacji zawodowej dla osób wymagających ich pomocy. Z kolei środki Funduszu Pracy mogłyby stanowić uzupełnienie finansowania w tych projektach jako wkład własny, ale w tym zakresie pomoc musiałaby być oferowana na zasadach określonych w ustawie, zgodnie z dotychczasową praktyką.</w:t>
      </w:r>
    </w:p>
    <w:p w14:paraId="05A6A0BC" w14:textId="77777777" w:rsidR="00D63B72" w:rsidRPr="0040535D" w:rsidRDefault="00A30AAC"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1811ED" w:rsidRPr="0040535D">
        <w:rPr>
          <w:rFonts w:ascii="Times New Roman" w:hAnsi="Times New Roman"/>
          <w:sz w:val="24"/>
          <w:szCs w:val="24"/>
        </w:rPr>
        <w:t>10</w:t>
      </w:r>
      <w:r w:rsidR="001811ED">
        <w:rPr>
          <w:rFonts w:ascii="Times New Roman" w:hAnsi="Times New Roman"/>
          <w:sz w:val="24"/>
          <w:szCs w:val="24"/>
        </w:rPr>
        <w:t>6</w:t>
      </w:r>
      <w:r w:rsidR="001811ED" w:rsidRPr="0040535D">
        <w:rPr>
          <w:rFonts w:ascii="Times New Roman" w:hAnsi="Times New Roman"/>
          <w:sz w:val="24"/>
          <w:szCs w:val="24"/>
        </w:rPr>
        <w:t xml:space="preserve"> </w:t>
      </w:r>
      <w:r w:rsidR="00D63B72" w:rsidRPr="0040535D">
        <w:rPr>
          <w:rFonts w:ascii="Times New Roman" w:hAnsi="Times New Roman"/>
          <w:sz w:val="24"/>
          <w:szCs w:val="24"/>
        </w:rPr>
        <w:t xml:space="preserve">pkt </w:t>
      </w:r>
      <w:r w:rsidR="000F3157" w:rsidRPr="0040535D">
        <w:rPr>
          <w:rFonts w:ascii="Times New Roman" w:hAnsi="Times New Roman"/>
          <w:sz w:val="24"/>
          <w:szCs w:val="24"/>
        </w:rPr>
        <w:t>4</w:t>
      </w:r>
      <w:r w:rsidR="00D63B72" w:rsidRPr="0040535D">
        <w:rPr>
          <w:rFonts w:ascii="Times New Roman" w:hAnsi="Times New Roman"/>
          <w:sz w:val="24"/>
          <w:szCs w:val="24"/>
        </w:rPr>
        <w:t xml:space="preserve"> ustawy zmienia art. 46 ust. 1 pkt 2 ustawy o promocji zatrudnienia i instytucjach rynku pracy. Proponuje się w ten sposób ograniczyć grupę osób uprawnionych do skorzystania z bezzwrotnych środków na podjęcie działalności gospodarczej tylko do tych osób, które faktycznie pozostawały bez pracy. Natomiast pozostała, szeroka grupa osób, mogłaby ubiegać się o pożyczkę na podjęcie działalności gospodarczej (Program Wsparcie w Starcie). W świetle bowiem wyników badania oceny ex-</w:t>
      </w:r>
      <w:proofErr w:type="spellStart"/>
      <w:r w:rsidR="00D63B72" w:rsidRPr="0040535D">
        <w:rPr>
          <w:rFonts w:ascii="Times New Roman" w:hAnsi="Times New Roman"/>
          <w:sz w:val="24"/>
          <w:szCs w:val="24"/>
        </w:rPr>
        <w:t>ante</w:t>
      </w:r>
      <w:proofErr w:type="spellEnd"/>
      <w:r w:rsidR="00D63B72" w:rsidRPr="0040535D">
        <w:rPr>
          <w:rFonts w:ascii="Times New Roman" w:hAnsi="Times New Roman"/>
          <w:sz w:val="24"/>
          <w:szCs w:val="24"/>
        </w:rPr>
        <w:t xml:space="preserve"> instrumentów w obszarze samozatrudnienia 2/3 osób otrzymujących wsparcie dotacyjne zrezygnowało z dotychczasowej pracy w celu założenia własnej firmy, co wskazuje na pewną fikcyjność obecnego wsparcia bezzwrotnego jako narzędzia aktywnej polityki rynku pracy. </w:t>
      </w:r>
    </w:p>
    <w:p w14:paraId="64710CA9" w14:textId="77777777" w:rsidR="00D63B72" w:rsidRPr="0040535D" w:rsidRDefault="00A30AAC" w:rsidP="009A0EE5">
      <w:pPr>
        <w:spacing w:after="0" w:line="360" w:lineRule="auto"/>
        <w:jc w:val="both"/>
        <w:rPr>
          <w:rFonts w:ascii="Times New Roman" w:hAnsi="Times New Roman"/>
          <w:sz w:val="24"/>
          <w:szCs w:val="24"/>
        </w:rPr>
      </w:pPr>
      <w:r w:rsidRPr="0040535D">
        <w:rPr>
          <w:rFonts w:ascii="Times New Roman" w:hAnsi="Times New Roman"/>
          <w:sz w:val="24"/>
          <w:szCs w:val="24"/>
        </w:rPr>
        <w:lastRenderedPageBreak/>
        <w:t xml:space="preserve">Art. </w:t>
      </w:r>
      <w:r w:rsidR="001811ED" w:rsidRPr="0040535D">
        <w:rPr>
          <w:rFonts w:ascii="Times New Roman" w:hAnsi="Times New Roman"/>
          <w:sz w:val="24"/>
          <w:szCs w:val="24"/>
        </w:rPr>
        <w:t>10</w:t>
      </w:r>
      <w:r w:rsidR="001811ED">
        <w:rPr>
          <w:rFonts w:ascii="Times New Roman" w:hAnsi="Times New Roman"/>
          <w:sz w:val="24"/>
          <w:szCs w:val="24"/>
        </w:rPr>
        <w:t>6</w:t>
      </w:r>
      <w:r w:rsidR="001811ED" w:rsidRPr="0040535D">
        <w:rPr>
          <w:rFonts w:ascii="Times New Roman" w:hAnsi="Times New Roman"/>
          <w:sz w:val="24"/>
          <w:szCs w:val="24"/>
        </w:rPr>
        <w:t xml:space="preserve"> </w:t>
      </w:r>
      <w:r w:rsidR="00D63B72" w:rsidRPr="0040535D">
        <w:rPr>
          <w:rFonts w:ascii="Times New Roman" w:hAnsi="Times New Roman"/>
          <w:sz w:val="24"/>
          <w:szCs w:val="24"/>
        </w:rPr>
        <w:t>pkt 5</w:t>
      </w:r>
      <w:r w:rsidR="009E1120" w:rsidRPr="0040535D">
        <w:rPr>
          <w:rFonts w:ascii="Times New Roman" w:hAnsi="Times New Roman"/>
          <w:sz w:val="24"/>
          <w:szCs w:val="24"/>
        </w:rPr>
        <w:t xml:space="preserve"> i 6</w:t>
      </w:r>
      <w:r w:rsidR="00D63B72" w:rsidRPr="0040535D">
        <w:rPr>
          <w:rFonts w:ascii="Times New Roman" w:hAnsi="Times New Roman"/>
          <w:sz w:val="24"/>
          <w:szCs w:val="24"/>
        </w:rPr>
        <w:t xml:space="preserve"> ustawy zmienia art. 61e oraz dodaje art. 61ea w ustawie o promocji zatrudnienia i instytucjach rynku pracy. W świetle wyników badania oceny ex-</w:t>
      </w:r>
      <w:proofErr w:type="spellStart"/>
      <w:r w:rsidR="00D63B72" w:rsidRPr="0040535D">
        <w:rPr>
          <w:rFonts w:ascii="Times New Roman" w:hAnsi="Times New Roman"/>
          <w:sz w:val="24"/>
          <w:szCs w:val="24"/>
        </w:rPr>
        <w:t>ante</w:t>
      </w:r>
      <w:proofErr w:type="spellEnd"/>
      <w:r w:rsidR="00D63B72" w:rsidRPr="0040535D">
        <w:rPr>
          <w:rFonts w:ascii="Times New Roman" w:hAnsi="Times New Roman"/>
          <w:sz w:val="24"/>
          <w:szCs w:val="24"/>
        </w:rPr>
        <w:t xml:space="preserve"> instrumentów w obszarze samozatrudnienia w obecnym systemie wsparcia samozatrudnienia brakuje narzędzi wprost ukierunkowanych na promocję przedsiębiorczości, skierowanych nie tylko do osób pozostających bez pracy, ale także osób aktualnie pracujących, planujących założenie własnej działalności gospodarczej (również bez natychmiastowej rezygnacji z obecnego zatrudnienia, w celu ograniczenia ryzyka braku odpowiednich dochodów w pierwszym okresie prowadzenia firmy). Osoby te często nie mają wystarczających środków własnych niezbędnych do uruchomienia własnej działalności w zaplanowanym zakresie, a oferta komercyjna jest niedostosowana do ich potrzeb. Dlatego proponuje się rozszerzyć grupę osób, które mogłyby ubiegać się o pożyczkę na podjęcie działalności gospodarczej. W grupie tych osób proponuje się uwzględnić wszystkie osoby poszukujące pracy (nie tylko absolwentów), w tym osoby poszukujące pracy, o których mowa w art. 49 pkt 7, a także pewne grupy osób pracujących. </w:t>
      </w:r>
    </w:p>
    <w:p w14:paraId="5FFF8A5B" w14:textId="77777777" w:rsidR="00D63B72" w:rsidRPr="0040535D" w:rsidRDefault="00D63B72" w:rsidP="009A0EE5">
      <w:pPr>
        <w:spacing w:after="0" w:line="360" w:lineRule="auto"/>
        <w:jc w:val="both"/>
        <w:rPr>
          <w:rFonts w:ascii="Times New Roman" w:hAnsi="Times New Roman"/>
          <w:sz w:val="24"/>
          <w:szCs w:val="24"/>
        </w:rPr>
      </w:pPr>
      <w:r w:rsidRPr="0040535D">
        <w:rPr>
          <w:rFonts w:ascii="Times New Roman" w:hAnsi="Times New Roman"/>
          <w:sz w:val="24"/>
          <w:szCs w:val="24"/>
        </w:rPr>
        <w:t>Wnioski z badania wskazują na potrzebę wprowadzenia ogólnokrajowego systemu wsparcia samozatrudnienia, które powinno koncentrować się na zapewnieniu dostępu do preferencyjnego, zwrotnego finansowania zewnętrznego dla osób nieposiadających wystarczających środków własnych oraz kompleksowym wsparciu pozafinansowym, do elastycznego wykorzystania przez osoby rozpoczynające własną działalność gospodarczą. Wsparcie to powinno być kierowane do wszystkich osób rozpoczynających działalność, w tym osób pracujących w momencie ubiegania się o wsparcie. Ograniczy to biurokrację i niepotrzebny okres bezrobocia osób rejestrujących się w PUP jedynie w celu uzyskania dotacji oraz zwiększy atrakcyjność zakładania firmy przy początkowej kontynuacji dotychczasowego zatrudnienia, co zmniejszy ryzyko utraty źródła dochodów w pierwszym okresie prowadzenia firmy. Zmniejszy także ryzyko faktycznego bezrobocia osób, które dzisiaj rezygnują z zatrudnienia w celu aplikowania o środki jeszcze przed założeniem firmy, a w przypadku negatywnej decyzji mogą nie mieć możliwości powrotu do wcześniejszego pracodawcy.</w:t>
      </w:r>
    </w:p>
    <w:p w14:paraId="696BB287" w14:textId="3F8AB995" w:rsidR="00D63B72" w:rsidRPr="0040535D" w:rsidRDefault="00D63B72" w:rsidP="009A0EE5">
      <w:pPr>
        <w:spacing w:after="0" w:line="360" w:lineRule="auto"/>
        <w:jc w:val="both"/>
        <w:rPr>
          <w:rFonts w:ascii="Times New Roman" w:hAnsi="Times New Roman"/>
          <w:sz w:val="24"/>
          <w:szCs w:val="24"/>
        </w:rPr>
      </w:pPr>
      <w:r w:rsidRPr="0040535D">
        <w:rPr>
          <w:rFonts w:ascii="Times New Roman" w:hAnsi="Times New Roman"/>
          <w:sz w:val="24"/>
          <w:szCs w:val="24"/>
        </w:rPr>
        <w:t>Zmiany</w:t>
      </w:r>
      <w:r w:rsidR="00A30AAC" w:rsidRPr="0040535D">
        <w:rPr>
          <w:rFonts w:ascii="Times New Roman" w:hAnsi="Times New Roman"/>
          <w:sz w:val="24"/>
          <w:szCs w:val="24"/>
        </w:rPr>
        <w:t xml:space="preserve"> określone </w:t>
      </w:r>
      <w:r w:rsidR="00A30AAC" w:rsidRPr="000925F3">
        <w:rPr>
          <w:rFonts w:ascii="Times New Roman" w:hAnsi="Times New Roman"/>
          <w:sz w:val="24"/>
          <w:szCs w:val="24"/>
        </w:rPr>
        <w:t xml:space="preserve">w art. </w:t>
      </w:r>
      <w:r w:rsidR="001811ED" w:rsidRPr="000925F3">
        <w:rPr>
          <w:rFonts w:ascii="Times New Roman" w:hAnsi="Times New Roman"/>
          <w:sz w:val="24"/>
          <w:szCs w:val="24"/>
        </w:rPr>
        <w:t xml:space="preserve">106 </w:t>
      </w:r>
      <w:r w:rsidRPr="000925F3">
        <w:rPr>
          <w:rFonts w:ascii="Times New Roman" w:hAnsi="Times New Roman"/>
          <w:sz w:val="24"/>
          <w:szCs w:val="24"/>
        </w:rPr>
        <w:t xml:space="preserve">pkt </w:t>
      </w:r>
      <w:r w:rsidR="009E1120" w:rsidRPr="000925F3">
        <w:rPr>
          <w:rFonts w:ascii="Times New Roman" w:hAnsi="Times New Roman"/>
          <w:sz w:val="24"/>
          <w:szCs w:val="24"/>
        </w:rPr>
        <w:t>7</w:t>
      </w:r>
      <w:r w:rsidRPr="000925F3">
        <w:rPr>
          <w:rFonts w:ascii="Times New Roman" w:hAnsi="Times New Roman"/>
          <w:sz w:val="24"/>
          <w:szCs w:val="24"/>
        </w:rPr>
        <w:t xml:space="preserve">, </w:t>
      </w:r>
      <w:r w:rsidR="009E1120" w:rsidRPr="000925F3">
        <w:rPr>
          <w:rFonts w:ascii="Times New Roman" w:hAnsi="Times New Roman"/>
          <w:sz w:val="24"/>
          <w:szCs w:val="24"/>
        </w:rPr>
        <w:t>1</w:t>
      </w:r>
      <w:r w:rsidR="000925F3" w:rsidRPr="000925F3">
        <w:rPr>
          <w:rFonts w:ascii="Times New Roman" w:hAnsi="Times New Roman"/>
          <w:sz w:val="24"/>
          <w:szCs w:val="24"/>
        </w:rPr>
        <w:t>3</w:t>
      </w:r>
      <w:r w:rsidRPr="000925F3">
        <w:rPr>
          <w:rFonts w:ascii="Times New Roman" w:hAnsi="Times New Roman"/>
          <w:sz w:val="24"/>
          <w:szCs w:val="24"/>
        </w:rPr>
        <w:t>, 1</w:t>
      </w:r>
      <w:r w:rsidR="000925F3" w:rsidRPr="000925F3">
        <w:rPr>
          <w:rFonts w:ascii="Times New Roman" w:hAnsi="Times New Roman"/>
          <w:sz w:val="24"/>
          <w:szCs w:val="24"/>
        </w:rPr>
        <w:t>8</w:t>
      </w:r>
      <w:r w:rsidRPr="000925F3">
        <w:rPr>
          <w:rFonts w:ascii="Times New Roman" w:hAnsi="Times New Roman"/>
          <w:sz w:val="24"/>
          <w:szCs w:val="24"/>
        </w:rPr>
        <w:t xml:space="preserve">, </w:t>
      </w:r>
      <w:r w:rsidR="000925F3" w:rsidRPr="000925F3">
        <w:rPr>
          <w:rFonts w:ascii="Times New Roman" w:hAnsi="Times New Roman"/>
          <w:sz w:val="24"/>
          <w:szCs w:val="24"/>
        </w:rPr>
        <w:t>20</w:t>
      </w:r>
      <w:r w:rsidRPr="000925F3">
        <w:rPr>
          <w:rFonts w:ascii="Times New Roman" w:hAnsi="Times New Roman"/>
          <w:sz w:val="24"/>
          <w:szCs w:val="24"/>
        </w:rPr>
        <w:t xml:space="preserve">, </w:t>
      </w:r>
      <w:r w:rsidR="00FD7D0D" w:rsidRPr="000925F3">
        <w:rPr>
          <w:rFonts w:ascii="Times New Roman" w:hAnsi="Times New Roman"/>
          <w:sz w:val="24"/>
          <w:szCs w:val="24"/>
        </w:rPr>
        <w:t>2</w:t>
      </w:r>
      <w:r w:rsidR="000925F3" w:rsidRPr="000925F3">
        <w:rPr>
          <w:rFonts w:ascii="Times New Roman" w:hAnsi="Times New Roman"/>
          <w:sz w:val="24"/>
          <w:szCs w:val="24"/>
        </w:rPr>
        <w:t>1</w:t>
      </w:r>
      <w:r w:rsidRPr="000925F3">
        <w:rPr>
          <w:rFonts w:ascii="Times New Roman" w:hAnsi="Times New Roman"/>
          <w:sz w:val="24"/>
          <w:szCs w:val="24"/>
        </w:rPr>
        <w:t>, 2</w:t>
      </w:r>
      <w:r w:rsidR="000925F3" w:rsidRPr="000925F3">
        <w:rPr>
          <w:rFonts w:ascii="Times New Roman" w:hAnsi="Times New Roman"/>
          <w:sz w:val="24"/>
          <w:szCs w:val="24"/>
        </w:rPr>
        <w:t>4</w:t>
      </w:r>
      <w:r w:rsidRPr="000925F3">
        <w:rPr>
          <w:rFonts w:ascii="Times New Roman" w:hAnsi="Times New Roman"/>
          <w:sz w:val="24"/>
          <w:szCs w:val="24"/>
        </w:rPr>
        <w:t xml:space="preserve"> i 2</w:t>
      </w:r>
      <w:r w:rsidR="000925F3" w:rsidRPr="000925F3">
        <w:rPr>
          <w:rFonts w:ascii="Times New Roman" w:hAnsi="Times New Roman"/>
          <w:sz w:val="24"/>
          <w:szCs w:val="24"/>
        </w:rPr>
        <w:t>6</w:t>
      </w:r>
      <w:r w:rsidRPr="0040535D">
        <w:rPr>
          <w:rFonts w:ascii="Times New Roman" w:hAnsi="Times New Roman"/>
          <w:sz w:val="24"/>
          <w:szCs w:val="24"/>
        </w:rPr>
        <w:t xml:space="preserve"> wynikają z dodania nowego art. 61ea do ustawy o promocji zatrudnienia i instytucjach rynku pracy. </w:t>
      </w:r>
    </w:p>
    <w:p w14:paraId="63ACCD57" w14:textId="77777777" w:rsidR="00D63B72" w:rsidRPr="0040535D" w:rsidRDefault="00A30AAC"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1811ED" w:rsidRPr="0040535D">
        <w:rPr>
          <w:rFonts w:ascii="Times New Roman" w:hAnsi="Times New Roman"/>
          <w:sz w:val="24"/>
          <w:szCs w:val="24"/>
        </w:rPr>
        <w:t>10</w:t>
      </w:r>
      <w:r w:rsidR="001811ED">
        <w:rPr>
          <w:rFonts w:ascii="Times New Roman" w:hAnsi="Times New Roman"/>
          <w:sz w:val="24"/>
          <w:szCs w:val="24"/>
        </w:rPr>
        <w:t>6</w:t>
      </w:r>
      <w:r w:rsidR="001811ED" w:rsidRPr="0040535D">
        <w:rPr>
          <w:rFonts w:ascii="Times New Roman" w:hAnsi="Times New Roman"/>
          <w:sz w:val="24"/>
          <w:szCs w:val="24"/>
        </w:rPr>
        <w:t xml:space="preserve"> </w:t>
      </w:r>
      <w:r w:rsidR="00D63B72" w:rsidRPr="0040535D">
        <w:rPr>
          <w:rFonts w:ascii="Times New Roman" w:hAnsi="Times New Roman"/>
          <w:sz w:val="24"/>
          <w:szCs w:val="24"/>
        </w:rPr>
        <w:t xml:space="preserve">pkt </w:t>
      </w:r>
      <w:r w:rsidR="0012749C" w:rsidRPr="0040535D">
        <w:rPr>
          <w:rFonts w:ascii="Times New Roman" w:hAnsi="Times New Roman"/>
          <w:sz w:val="24"/>
          <w:szCs w:val="24"/>
        </w:rPr>
        <w:t>8</w:t>
      </w:r>
      <w:r w:rsidR="00D63B72" w:rsidRPr="0040535D">
        <w:rPr>
          <w:rFonts w:ascii="Times New Roman" w:hAnsi="Times New Roman"/>
          <w:sz w:val="24"/>
          <w:szCs w:val="24"/>
        </w:rPr>
        <w:t xml:space="preserve"> ustawy zmienia art. 61h ustawy o promocji zatrudnienia i instytucjach rynku pracy. Dodanie do art. 61h ust. 2c jest odpowiedzią na spadki stóp procentowych. Oprocentowanie pożyczek, o których mowa w art. 61e, uzależnione jest od wysokości stopy redyskonta weksli NBP. Spadek stopy redyskonta weksli NBP poniżej 0% – przy aktualnym </w:t>
      </w:r>
      <w:r w:rsidR="00D63B72" w:rsidRPr="0040535D">
        <w:rPr>
          <w:rFonts w:ascii="Times New Roman" w:hAnsi="Times New Roman"/>
          <w:sz w:val="24"/>
          <w:szCs w:val="24"/>
        </w:rPr>
        <w:lastRenderedPageBreak/>
        <w:t>brzmieniu ustawy – oznacza konieczność pokrywania z powierzonych środków Programu ujemnego oprocentowania pożyczek (a więc w praktyce – wypłaty do pożyczkobiorców dodatkowych środków z tytułu negatywnych odsetek). Dodanie do ustawy ust. 2c ograniczy sytuację, w której oprocentowanie pożyczek udzielanych w ramach Programu Wsparcie w starcie spadnie poniżej zera.</w:t>
      </w:r>
    </w:p>
    <w:p w14:paraId="774E7CCF" w14:textId="77777777" w:rsidR="00D63B72" w:rsidRPr="0040535D" w:rsidRDefault="00D63B72"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Wykreślenie </w:t>
      </w:r>
      <w:r w:rsidR="001F6191" w:rsidRPr="0040535D">
        <w:rPr>
          <w:rFonts w:ascii="Times New Roman" w:hAnsi="Times New Roman"/>
          <w:sz w:val="24"/>
          <w:szCs w:val="24"/>
        </w:rPr>
        <w:t>postanowienia</w:t>
      </w:r>
      <w:r w:rsidR="00CF2F03" w:rsidRPr="0040535D">
        <w:rPr>
          <w:rFonts w:ascii="Times New Roman" w:hAnsi="Times New Roman"/>
          <w:sz w:val="24"/>
          <w:szCs w:val="24"/>
        </w:rPr>
        <w:t xml:space="preserve"> </w:t>
      </w:r>
      <w:r w:rsidRPr="0040535D">
        <w:rPr>
          <w:rFonts w:ascii="Times New Roman" w:hAnsi="Times New Roman"/>
          <w:sz w:val="24"/>
          <w:szCs w:val="24"/>
        </w:rPr>
        <w:t>w art. 61h ust. 5 o równych ratach umożliwi pośrednikom finansowym elastyczne podejście do płatności pożyczkobiorców w przypadku np. czasowych problemów z płynnością działalności. Aktualne brzmienie ustawy nie daje możliwości zastosowania przez pośredników żadnych działań restrukturyzacyjnych wobec pożyczkobiorców, którzy mają przejściowe problemy finansowe. Jedynym rozwiązaniem o jakie aktualnie może ubiegać się pożyczkobiorca to umorzenie, o którym mowa w art. 61q, jednakże od początku wdrażania Programu, żaden z wnioskujących pożyczkobiorców go nie uzyskał. W opinii BGK umożliwienie pośrednikom modyfikację wysokości rat pożyczki ograniczy sytuację, w których pośrednik zmuszony jest wypowiedzieć umowę pożyczki przedsiębiorcy, który posiada chwilowe problemy finansowe.</w:t>
      </w:r>
    </w:p>
    <w:p w14:paraId="617E70FE" w14:textId="77777777" w:rsidR="008066EF" w:rsidRDefault="00A30AAC"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1811ED" w:rsidRPr="0040535D">
        <w:rPr>
          <w:rFonts w:ascii="Times New Roman" w:hAnsi="Times New Roman"/>
          <w:sz w:val="24"/>
          <w:szCs w:val="24"/>
        </w:rPr>
        <w:t>10</w:t>
      </w:r>
      <w:r w:rsidR="001811ED">
        <w:rPr>
          <w:rFonts w:ascii="Times New Roman" w:hAnsi="Times New Roman"/>
          <w:sz w:val="24"/>
          <w:szCs w:val="24"/>
        </w:rPr>
        <w:t>6</w:t>
      </w:r>
      <w:r w:rsidR="001811ED" w:rsidRPr="0040535D">
        <w:rPr>
          <w:rFonts w:ascii="Times New Roman" w:hAnsi="Times New Roman"/>
          <w:sz w:val="24"/>
          <w:szCs w:val="24"/>
        </w:rPr>
        <w:t xml:space="preserve"> </w:t>
      </w:r>
      <w:r w:rsidR="00D63B72" w:rsidRPr="0040535D">
        <w:rPr>
          <w:rFonts w:ascii="Times New Roman" w:hAnsi="Times New Roman"/>
          <w:sz w:val="24"/>
          <w:szCs w:val="24"/>
        </w:rPr>
        <w:t xml:space="preserve">pkt </w:t>
      </w:r>
      <w:r w:rsidR="00354B41" w:rsidRPr="0040535D">
        <w:rPr>
          <w:rFonts w:ascii="Times New Roman" w:hAnsi="Times New Roman"/>
          <w:sz w:val="24"/>
          <w:szCs w:val="24"/>
        </w:rPr>
        <w:t>9</w:t>
      </w:r>
      <w:r w:rsidR="00D63B72" w:rsidRPr="0040535D">
        <w:rPr>
          <w:rFonts w:ascii="Times New Roman" w:hAnsi="Times New Roman"/>
          <w:sz w:val="24"/>
          <w:szCs w:val="24"/>
        </w:rPr>
        <w:t xml:space="preserve"> ustawy zmienia art. 61i ustawy o promocji zatrudnienia i instytucjach rynku pracy. Zmiany te są analogiczne do zmian wprowadzonych w art. 61h, przy czym dotyczą pożyczek na podjęcie działalności gospodarczej (art. 61h dotyczy pożyczek na utworzenie stanowiska pracy). </w:t>
      </w:r>
    </w:p>
    <w:p w14:paraId="19171B38" w14:textId="6A307ED4" w:rsidR="00D63B72" w:rsidRPr="0040535D" w:rsidRDefault="001D61EF" w:rsidP="009A0EE5">
      <w:pPr>
        <w:spacing w:after="0" w:line="360" w:lineRule="auto"/>
        <w:jc w:val="both"/>
        <w:rPr>
          <w:rFonts w:ascii="Times New Roman" w:hAnsi="Times New Roman"/>
          <w:sz w:val="24"/>
          <w:szCs w:val="24"/>
        </w:rPr>
      </w:pPr>
      <w:r>
        <w:rPr>
          <w:rFonts w:ascii="Times New Roman" w:hAnsi="Times New Roman"/>
          <w:sz w:val="24"/>
          <w:szCs w:val="24"/>
        </w:rPr>
        <w:t>W art. 106 pkt 10 proponuje się uchylić ust. 3 w art. 61j.</w:t>
      </w:r>
    </w:p>
    <w:p w14:paraId="1809CCFC" w14:textId="77777777" w:rsidR="000925F3" w:rsidRDefault="007C435A"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1811ED" w:rsidRPr="0040535D">
        <w:rPr>
          <w:rFonts w:ascii="Times New Roman" w:hAnsi="Times New Roman"/>
          <w:sz w:val="24"/>
          <w:szCs w:val="24"/>
        </w:rPr>
        <w:t>10</w:t>
      </w:r>
      <w:r w:rsidR="001811ED">
        <w:rPr>
          <w:rFonts w:ascii="Times New Roman" w:hAnsi="Times New Roman"/>
          <w:sz w:val="24"/>
          <w:szCs w:val="24"/>
        </w:rPr>
        <w:t>6</w:t>
      </w:r>
      <w:r w:rsidR="001811ED" w:rsidRPr="0040535D">
        <w:rPr>
          <w:rFonts w:ascii="Times New Roman" w:hAnsi="Times New Roman"/>
          <w:sz w:val="24"/>
          <w:szCs w:val="24"/>
        </w:rPr>
        <w:t xml:space="preserve"> </w:t>
      </w:r>
      <w:r w:rsidR="00997753" w:rsidRPr="0040535D">
        <w:rPr>
          <w:rFonts w:ascii="Times New Roman" w:hAnsi="Times New Roman"/>
          <w:sz w:val="24"/>
          <w:szCs w:val="24"/>
        </w:rPr>
        <w:t>pkt 1</w:t>
      </w:r>
      <w:r w:rsidR="001D61EF">
        <w:rPr>
          <w:rFonts w:ascii="Times New Roman" w:hAnsi="Times New Roman"/>
          <w:sz w:val="24"/>
          <w:szCs w:val="24"/>
        </w:rPr>
        <w:t>1</w:t>
      </w:r>
      <w:r w:rsidR="00997753" w:rsidRPr="0040535D">
        <w:rPr>
          <w:rFonts w:ascii="Times New Roman" w:hAnsi="Times New Roman"/>
          <w:sz w:val="24"/>
          <w:szCs w:val="24"/>
        </w:rPr>
        <w:t xml:space="preserve"> ustawy zmienia art. 61k  ust. 1 ustawy o promocji zatrudnienia i instytucjach rynku pracy. Dodawany pkt 3a poszerza zakres wymagań wobec podmiotów którym może zostać udzielona pożyczka  na utworzenie stanowiska pracy. </w:t>
      </w:r>
    </w:p>
    <w:p w14:paraId="267BFD4D" w14:textId="0E98D400" w:rsidR="00D63B72" w:rsidRPr="0040535D" w:rsidRDefault="00A30AAC"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1811ED" w:rsidRPr="0040535D">
        <w:rPr>
          <w:rFonts w:ascii="Times New Roman" w:hAnsi="Times New Roman"/>
          <w:sz w:val="24"/>
          <w:szCs w:val="24"/>
        </w:rPr>
        <w:t>10</w:t>
      </w:r>
      <w:r w:rsidR="001811ED">
        <w:rPr>
          <w:rFonts w:ascii="Times New Roman" w:hAnsi="Times New Roman"/>
          <w:sz w:val="24"/>
          <w:szCs w:val="24"/>
        </w:rPr>
        <w:t>6</w:t>
      </w:r>
      <w:r w:rsidR="001811ED" w:rsidRPr="0040535D">
        <w:rPr>
          <w:rFonts w:ascii="Times New Roman" w:hAnsi="Times New Roman"/>
          <w:sz w:val="24"/>
          <w:szCs w:val="24"/>
        </w:rPr>
        <w:t xml:space="preserve"> </w:t>
      </w:r>
      <w:r w:rsidR="00D63B72" w:rsidRPr="0040535D">
        <w:rPr>
          <w:rFonts w:ascii="Times New Roman" w:hAnsi="Times New Roman"/>
          <w:sz w:val="24"/>
          <w:szCs w:val="24"/>
        </w:rPr>
        <w:t>pkt</w:t>
      </w:r>
      <w:r w:rsidR="00354B41" w:rsidRPr="0040535D">
        <w:rPr>
          <w:rFonts w:ascii="Times New Roman" w:hAnsi="Times New Roman"/>
          <w:sz w:val="24"/>
          <w:szCs w:val="24"/>
        </w:rPr>
        <w:t xml:space="preserve"> 1</w:t>
      </w:r>
      <w:r w:rsidR="001D61EF">
        <w:rPr>
          <w:rFonts w:ascii="Times New Roman" w:hAnsi="Times New Roman"/>
          <w:sz w:val="24"/>
          <w:szCs w:val="24"/>
        </w:rPr>
        <w:t>2</w:t>
      </w:r>
      <w:r w:rsidR="00D63B72" w:rsidRPr="0040535D">
        <w:rPr>
          <w:rFonts w:ascii="Times New Roman" w:hAnsi="Times New Roman"/>
          <w:sz w:val="24"/>
          <w:szCs w:val="24"/>
        </w:rPr>
        <w:t xml:space="preserve"> ustawy zmienia art. 61l ustawy o promocji zatrudnienia i instytucjach rynku pracy. W związku z rozszerzeniem w art. 61ea grupy docelowej pożyczek o pewne grupy osób pracujących, niezbędna jest również zmiana art. 61l. Dodano też do art. 61l pkt 4, aby zapewnić, że pożyczki nie są  udzielane osobom, które nie regulują swoich zobowiązań. </w:t>
      </w:r>
    </w:p>
    <w:p w14:paraId="7DB13129" w14:textId="4ABB31FF" w:rsidR="00D63B72" w:rsidRPr="0040535D" w:rsidRDefault="00D63B72" w:rsidP="009A0EE5">
      <w:pPr>
        <w:spacing w:after="0" w:line="360" w:lineRule="auto"/>
        <w:jc w:val="both"/>
        <w:rPr>
          <w:rFonts w:ascii="Times New Roman" w:hAnsi="Times New Roman"/>
          <w:sz w:val="24"/>
          <w:szCs w:val="24"/>
        </w:rPr>
      </w:pPr>
      <w:r w:rsidRPr="0040535D">
        <w:rPr>
          <w:rFonts w:ascii="Times New Roman" w:hAnsi="Times New Roman"/>
          <w:sz w:val="24"/>
          <w:szCs w:val="24"/>
        </w:rPr>
        <w:t>Art.</w:t>
      </w:r>
      <w:r w:rsidR="00A30AAC" w:rsidRPr="0040535D">
        <w:rPr>
          <w:rFonts w:ascii="Times New Roman" w:hAnsi="Times New Roman"/>
          <w:sz w:val="24"/>
          <w:szCs w:val="24"/>
        </w:rPr>
        <w:t xml:space="preserve"> </w:t>
      </w:r>
      <w:r w:rsidR="001811ED" w:rsidRPr="0040535D">
        <w:rPr>
          <w:rFonts w:ascii="Times New Roman" w:hAnsi="Times New Roman"/>
          <w:sz w:val="24"/>
          <w:szCs w:val="24"/>
        </w:rPr>
        <w:t>10</w:t>
      </w:r>
      <w:r w:rsidR="001811ED">
        <w:rPr>
          <w:rFonts w:ascii="Times New Roman" w:hAnsi="Times New Roman"/>
          <w:sz w:val="24"/>
          <w:szCs w:val="24"/>
        </w:rPr>
        <w:t>6</w:t>
      </w:r>
      <w:r w:rsidR="001811ED" w:rsidRPr="0040535D">
        <w:rPr>
          <w:rFonts w:ascii="Times New Roman" w:hAnsi="Times New Roman"/>
          <w:sz w:val="24"/>
          <w:szCs w:val="24"/>
        </w:rPr>
        <w:t xml:space="preserve"> </w:t>
      </w:r>
      <w:r w:rsidRPr="0040535D">
        <w:rPr>
          <w:rFonts w:ascii="Times New Roman" w:hAnsi="Times New Roman"/>
          <w:sz w:val="24"/>
          <w:szCs w:val="24"/>
        </w:rPr>
        <w:t>pkt 1</w:t>
      </w:r>
      <w:r w:rsidR="001D61EF">
        <w:rPr>
          <w:rFonts w:ascii="Times New Roman" w:hAnsi="Times New Roman"/>
          <w:sz w:val="24"/>
          <w:szCs w:val="24"/>
        </w:rPr>
        <w:t>4</w:t>
      </w:r>
      <w:r w:rsidRPr="0040535D">
        <w:rPr>
          <w:rFonts w:ascii="Times New Roman" w:hAnsi="Times New Roman"/>
          <w:sz w:val="24"/>
          <w:szCs w:val="24"/>
        </w:rPr>
        <w:t xml:space="preserve"> ustawy zmienia art. 61n ustawy o promocji zatrudnienia i instytucjach rynku pracy. Nowym rozwiązaniem przy umowie pożyczki na podjęcie działalności gospodarczej jest wprowadzenie możliwości zawieszenia działalności gospodarczej na okres nie dłuższy niż 6 miesięcy. Przedmiotowe rozwiązanie umożliwi pożyczkobiorcom zawieszenie działalności w przypadku przejściowych problemów finansowych bez podnoszenia oprocentowania pożyczki.</w:t>
      </w:r>
    </w:p>
    <w:p w14:paraId="11B7E8F5" w14:textId="77777777" w:rsidR="00D63B72" w:rsidRPr="0040535D" w:rsidRDefault="00D63B72" w:rsidP="009A0EE5">
      <w:pPr>
        <w:spacing w:after="0" w:line="360" w:lineRule="auto"/>
        <w:jc w:val="both"/>
        <w:rPr>
          <w:rFonts w:ascii="Times New Roman" w:hAnsi="Times New Roman"/>
          <w:sz w:val="24"/>
          <w:szCs w:val="24"/>
        </w:rPr>
      </w:pPr>
      <w:r w:rsidRPr="0040535D">
        <w:rPr>
          <w:rFonts w:ascii="Times New Roman" w:hAnsi="Times New Roman"/>
          <w:sz w:val="24"/>
          <w:szCs w:val="24"/>
        </w:rPr>
        <w:lastRenderedPageBreak/>
        <w:t xml:space="preserve">Konsekwencje przerwania prowadzenia działalności gospodarczej przed upływem 12 miesięcy pozostały takie same jak w dotychczas obowiązującej ustawie – obowiązek zwrotu niespłaconej części pożyczki z odsetkami ustawowymi od dnia jej otrzymania oraz różnicy pomiędzy preferencyjnym oprocentowaniem spłaconej części pożyczki w stosunku do oprocentowania równego stopie referencyjnej. W projekcie zlikwidowano natomiast konsekwencje prowadzenia działalności gospodarczej przez okres krótszy niż 36 miesięcy. W dotychczas obowiązującej ustawie, jeżeli osoba, która uzyskała pożyczkę na podjęcie działalności gospodarczej, prowadziła ją krócej niż 36 miesięcy, zobowiązana była do spłaty pozostałej pożyczki z podwyższonym oprocentowaniem. Zniesienie tego przepisu koresponduje z rozwiązaniem stosowanym przy środkach bezzwrotnych. Przy dofinansowaniu obowiązek prowadzenia działalności gospodarczej wynosi 12 miesięcy, po tym okresie umowę uważa się za zrealizowaną. </w:t>
      </w:r>
    </w:p>
    <w:p w14:paraId="5770CA9B" w14:textId="77777777" w:rsidR="00D63B72" w:rsidRPr="0040535D" w:rsidRDefault="00D63B72" w:rsidP="009A0EE5">
      <w:pPr>
        <w:spacing w:after="0" w:line="360" w:lineRule="auto"/>
        <w:jc w:val="both"/>
        <w:rPr>
          <w:rFonts w:ascii="Times New Roman" w:hAnsi="Times New Roman"/>
          <w:sz w:val="24"/>
          <w:szCs w:val="24"/>
        </w:rPr>
      </w:pPr>
      <w:r w:rsidRPr="005E6479">
        <w:rPr>
          <w:rFonts w:ascii="Times New Roman" w:hAnsi="Times New Roman"/>
          <w:sz w:val="24"/>
          <w:szCs w:val="24"/>
        </w:rPr>
        <w:t>Przy pożyczce na utworzenie stanowiska pracy dla bezrobotnego lub poszukującego pracy niepozostającego w zatrudnieniu lub niewykonującego innej pracy zarobkowej opiekuna osoby niepełnosprawnej, w tym skierowanych przez powiatowy urząd pracy, analogicznie jak przy pożyczce na podjęcie działalności gospodarczej, pozostawiono niezmienione przepisy dotyczące konsekwencji nieutrzymania stanowiska pracy przez 12 miesięcy. Skrócono jednak okres, w którym nieutrzymanie utworzonego stanowiska pracy lub zatrudnienia pracownika na utworzonym stanowisku pracy powoduje konsekwencje w postaci podwyższonego oprocentowania dla niespłaconej części pożyczki. W przypadku środków bezzwrotnych okres, po którym uznaje się, że umowa została wykonana przez podmiot korzystający z refundacji to 24 miesiące. Zrównano więc okres, po którym uznaje się, że podmiot korzystający z pożyczki wywiązał się z umowy, z okresem określonym przy środkach bezzwrotnych.</w:t>
      </w:r>
    </w:p>
    <w:p w14:paraId="1D1980B7" w14:textId="02FB42EC" w:rsidR="00D63B72" w:rsidRPr="0040535D" w:rsidRDefault="00A30AAC"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1811ED" w:rsidRPr="0040535D">
        <w:rPr>
          <w:rFonts w:ascii="Times New Roman" w:hAnsi="Times New Roman"/>
          <w:sz w:val="24"/>
          <w:szCs w:val="24"/>
        </w:rPr>
        <w:t>10</w:t>
      </w:r>
      <w:r w:rsidR="001811ED">
        <w:rPr>
          <w:rFonts w:ascii="Times New Roman" w:hAnsi="Times New Roman"/>
          <w:sz w:val="24"/>
          <w:szCs w:val="24"/>
        </w:rPr>
        <w:t>6</w:t>
      </w:r>
      <w:r w:rsidR="001811ED" w:rsidRPr="0040535D">
        <w:rPr>
          <w:rFonts w:ascii="Times New Roman" w:hAnsi="Times New Roman"/>
          <w:sz w:val="24"/>
          <w:szCs w:val="24"/>
        </w:rPr>
        <w:t xml:space="preserve"> </w:t>
      </w:r>
      <w:r w:rsidR="00D63B72" w:rsidRPr="0040535D">
        <w:rPr>
          <w:rFonts w:ascii="Times New Roman" w:hAnsi="Times New Roman"/>
          <w:sz w:val="24"/>
          <w:szCs w:val="24"/>
        </w:rPr>
        <w:t>pkt 1</w:t>
      </w:r>
      <w:r w:rsidR="001D61EF">
        <w:rPr>
          <w:rFonts w:ascii="Times New Roman" w:hAnsi="Times New Roman"/>
          <w:sz w:val="24"/>
          <w:szCs w:val="24"/>
        </w:rPr>
        <w:t>5</w:t>
      </w:r>
      <w:r w:rsidR="00D63B72" w:rsidRPr="0040535D">
        <w:rPr>
          <w:rFonts w:ascii="Times New Roman" w:hAnsi="Times New Roman"/>
          <w:sz w:val="24"/>
          <w:szCs w:val="24"/>
        </w:rPr>
        <w:t xml:space="preserve"> ustawy zmienia art. 61o ustawy o promocji zatrudnienia i instytucjach rynku pracy. W związku ze zmianą art. 61n, niezbędna jest zmiana art. 61o ust. 3. Przepisy dotyczące pożyczek zostały także dostosowane do przepisów ustawy o zarządzie sukcesyjnym przedsiębiorstwem osoby fizycznej. W przypadku śmierci osoby prowadzącej działalność gospodarczą przed upływem 12 miesięcy jej prowadzenia, do okresu prowadzenia działalności gospodarczej wlicza się okres prowadzenia przedsiębiorstwa przez zarządcę sukcesyjnego lub następcę prawnego zmarłego przedsiębiorcy, o którym mowa w art. 3 pkt 1 i 2 ustawy o zarządzie sukcesyjnym przedsiębiorstwem osoby fizycznej. Natomiast w przypadku pożyczek na utworzenie stanowiska pracy do okresu utrzymania stanowiska pracy lub zatrudnienia na utworzonym stanowisku pracy wliczany jest okres wykonywania pracy na utworzonym </w:t>
      </w:r>
      <w:r w:rsidR="00D63B72" w:rsidRPr="0040535D">
        <w:rPr>
          <w:rFonts w:ascii="Times New Roman" w:hAnsi="Times New Roman"/>
          <w:sz w:val="24"/>
          <w:szCs w:val="24"/>
        </w:rPr>
        <w:lastRenderedPageBreak/>
        <w:t>stanowisku pracy w okresie prowadzenia przedsiębiorstwa przez zarządcę sukcesyjnego lub następcę prawnego zmarłego przedsiębiorcy.</w:t>
      </w:r>
    </w:p>
    <w:p w14:paraId="766BAF3D" w14:textId="77777777" w:rsidR="00D63B72" w:rsidRPr="0040535D" w:rsidRDefault="00D63B72"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Jeżeli zarząd sukcesyjny nie zostanie ustanowiony powstaje obowiązek zwrotu pozostałego do spłaty kapitału pożyczki z utrzymaniem preferencyjnego oprocentowania.  </w:t>
      </w:r>
    </w:p>
    <w:p w14:paraId="1C2EB14C" w14:textId="77777777" w:rsidR="00D63B72" w:rsidRPr="0040535D" w:rsidRDefault="00D63B72" w:rsidP="009A0EE5">
      <w:pPr>
        <w:spacing w:after="0" w:line="360" w:lineRule="auto"/>
        <w:jc w:val="both"/>
        <w:rPr>
          <w:rFonts w:ascii="Times New Roman" w:hAnsi="Times New Roman"/>
          <w:sz w:val="24"/>
          <w:szCs w:val="24"/>
        </w:rPr>
      </w:pPr>
      <w:r w:rsidRPr="0040535D">
        <w:rPr>
          <w:rFonts w:ascii="Times New Roman" w:hAnsi="Times New Roman"/>
          <w:sz w:val="24"/>
          <w:szCs w:val="24"/>
        </w:rPr>
        <w:t>Wprowadzone zmiany niwelują konieczność spłaty pożyczki z podwyższonymi odsetkami po śmierci pożyczkobiorcy.</w:t>
      </w:r>
    </w:p>
    <w:p w14:paraId="46546715" w14:textId="017B6E1D" w:rsidR="00D63B72" w:rsidRPr="0040535D" w:rsidRDefault="00A30AAC"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1811ED" w:rsidRPr="0040535D">
        <w:rPr>
          <w:rFonts w:ascii="Times New Roman" w:hAnsi="Times New Roman"/>
          <w:sz w:val="24"/>
          <w:szCs w:val="24"/>
        </w:rPr>
        <w:t>10</w:t>
      </w:r>
      <w:r w:rsidR="001811ED">
        <w:rPr>
          <w:rFonts w:ascii="Times New Roman" w:hAnsi="Times New Roman"/>
          <w:sz w:val="24"/>
          <w:szCs w:val="24"/>
        </w:rPr>
        <w:t>6</w:t>
      </w:r>
      <w:r w:rsidR="001811ED" w:rsidRPr="0040535D">
        <w:rPr>
          <w:rFonts w:ascii="Times New Roman" w:hAnsi="Times New Roman"/>
          <w:sz w:val="24"/>
          <w:szCs w:val="24"/>
        </w:rPr>
        <w:t xml:space="preserve"> </w:t>
      </w:r>
      <w:r w:rsidR="00D63B72" w:rsidRPr="0040535D">
        <w:rPr>
          <w:rFonts w:ascii="Times New Roman" w:hAnsi="Times New Roman"/>
          <w:sz w:val="24"/>
          <w:szCs w:val="24"/>
        </w:rPr>
        <w:t>pkt 1</w:t>
      </w:r>
      <w:r w:rsidR="001D61EF">
        <w:rPr>
          <w:rFonts w:ascii="Times New Roman" w:hAnsi="Times New Roman"/>
          <w:sz w:val="24"/>
          <w:szCs w:val="24"/>
        </w:rPr>
        <w:t>6</w:t>
      </w:r>
      <w:r w:rsidR="00D63B72" w:rsidRPr="0040535D">
        <w:rPr>
          <w:rFonts w:ascii="Times New Roman" w:hAnsi="Times New Roman"/>
          <w:sz w:val="24"/>
          <w:szCs w:val="24"/>
        </w:rPr>
        <w:t xml:space="preserve"> ustawy zmienia art. 61p ustawy o promocji zatrudnienia i instytucjach rynku pracy. </w:t>
      </w:r>
      <w:r w:rsidR="001D61EF" w:rsidRPr="001D61EF">
        <w:rPr>
          <w:rFonts w:ascii="Times New Roman" w:hAnsi="Times New Roman"/>
          <w:sz w:val="24"/>
          <w:szCs w:val="24"/>
        </w:rPr>
        <w:t>Dotychczas pożyczka na działalność gospodarczą i pożyczk</w:t>
      </w:r>
      <w:r w:rsidR="008066EF">
        <w:rPr>
          <w:rFonts w:ascii="Times New Roman" w:hAnsi="Times New Roman"/>
          <w:sz w:val="24"/>
          <w:szCs w:val="24"/>
        </w:rPr>
        <w:t>a</w:t>
      </w:r>
      <w:r w:rsidR="001D61EF" w:rsidRPr="001D61EF">
        <w:rPr>
          <w:rFonts w:ascii="Times New Roman" w:hAnsi="Times New Roman"/>
          <w:sz w:val="24"/>
          <w:szCs w:val="24"/>
        </w:rPr>
        <w:t xml:space="preserve"> na utworzenie stanowiska pracy były traktowane jako jedna pożyczka. Zgodnie z art. 61j ust. 3 pożyczka na utworzenie stanowiska pracy powiększała kapitał zadłużenia z tytułu pożyczki udzielonej na podjęcie działalności gospodarczej, a jej spłata następowała zgodnie z harmonogramem spłaty pożyczki udzielonej na podjęcie działalności gospodarczej. Zgodnie z art. 61p w przypadku utrzymania przez 12 miesięcy utworzonego stanowiska pracy minister umarzał jednorazowo należność z tytułu udzielonej pożyczki na podjęcie działalności gospodarczej w kwocie pozostałej do spłaty pożyczki udzielonej na utworzenie pierwszego stanowiska pracy dla bezrobotnego skierowanego przez powiatowy urząd pracy.</w:t>
      </w:r>
    </w:p>
    <w:p w14:paraId="2F036C7E" w14:textId="0B9D3F7B" w:rsidR="00D63B72" w:rsidRPr="0040535D" w:rsidRDefault="00D63B72" w:rsidP="009A0EE5">
      <w:pPr>
        <w:spacing w:after="0" w:line="360" w:lineRule="auto"/>
        <w:jc w:val="both"/>
        <w:rPr>
          <w:rFonts w:ascii="Times New Roman" w:hAnsi="Times New Roman"/>
          <w:sz w:val="24"/>
          <w:szCs w:val="24"/>
        </w:rPr>
      </w:pPr>
      <w:r w:rsidRPr="0040535D">
        <w:rPr>
          <w:rFonts w:ascii="Times New Roman" w:hAnsi="Times New Roman"/>
          <w:sz w:val="24"/>
          <w:szCs w:val="24"/>
        </w:rPr>
        <w:t>Art.</w:t>
      </w:r>
      <w:r w:rsidR="00A30AAC" w:rsidRPr="0040535D">
        <w:rPr>
          <w:rFonts w:ascii="Times New Roman" w:hAnsi="Times New Roman"/>
          <w:sz w:val="24"/>
          <w:szCs w:val="24"/>
        </w:rPr>
        <w:t xml:space="preserve"> </w:t>
      </w:r>
      <w:r w:rsidR="001811ED" w:rsidRPr="0040535D">
        <w:rPr>
          <w:rFonts w:ascii="Times New Roman" w:hAnsi="Times New Roman"/>
          <w:sz w:val="24"/>
          <w:szCs w:val="24"/>
        </w:rPr>
        <w:t>10</w:t>
      </w:r>
      <w:r w:rsidR="001811ED">
        <w:rPr>
          <w:rFonts w:ascii="Times New Roman" w:hAnsi="Times New Roman"/>
          <w:sz w:val="24"/>
          <w:szCs w:val="24"/>
        </w:rPr>
        <w:t>6</w:t>
      </w:r>
      <w:r w:rsidR="001811ED" w:rsidRPr="0040535D">
        <w:rPr>
          <w:rFonts w:ascii="Times New Roman" w:hAnsi="Times New Roman"/>
          <w:sz w:val="24"/>
          <w:szCs w:val="24"/>
        </w:rPr>
        <w:t xml:space="preserve"> </w:t>
      </w:r>
      <w:r w:rsidRPr="0040535D">
        <w:rPr>
          <w:rFonts w:ascii="Times New Roman" w:hAnsi="Times New Roman"/>
          <w:sz w:val="24"/>
          <w:szCs w:val="24"/>
        </w:rPr>
        <w:t>pkt 1</w:t>
      </w:r>
      <w:r w:rsidR="001D61EF">
        <w:rPr>
          <w:rFonts w:ascii="Times New Roman" w:hAnsi="Times New Roman"/>
          <w:sz w:val="24"/>
          <w:szCs w:val="24"/>
        </w:rPr>
        <w:t>7</w:t>
      </w:r>
      <w:r w:rsidRPr="0040535D">
        <w:rPr>
          <w:rFonts w:ascii="Times New Roman" w:hAnsi="Times New Roman"/>
          <w:sz w:val="24"/>
          <w:szCs w:val="24"/>
        </w:rPr>
        <w:t xml:space="preserve"> ustawy wprowadza nowy art. 61pa do ustawy o promocji zatrudnienia i instytucjach rynku pracy. Jednym z wniosków oceny ex-</w:t>
      </w:r>
      <w:proofErr w:type="spellStart"/>
      <w:r w:rsidRPr="0040535D">
        <w:rPr>
          <w:rFonts w:ascii="Times New Roman" w:hAnsi="Times New Roman"/>
          <w:sz w:val="24"/>
          <w:szCs w:val="24"/>
        </w:rPr>
        <w:t>ante</w:t>
      </w:r>
      <w:proofErr w:type="spellEnd"/>
      <w:r w:rsidRPr="0040535D">
        <w:rPr>
          <w:rFonts w:ascii="Times New Roman" w:hAnsi="Times New Roman"/>
          <w:sz w:val="24"/>
          <w:szCs w:val="24"/>
        </w:rPr>
        <w:t xml:space="preserve"> instrumentów na samozatrudnienie jest połączenie wsparcia dotacyjnego ze zwrotnym w postaci częściowo umarzalnych pożyczek. Takie rozwiązanie pozwoliłoby lepiej zaadresować potrzeby osób niepracujących, które do założenia firmy potrzebują większych środków niż możliwe do uzyskania w postaci bezzwrotnych środków, a jednocześnie nie pozbawiałoby ich korzyści wynikających z możliwości uzyskania tych środków. </w:t>
      </w:r>
    </w:p>
    <w:p w14:paraId="3165EBC6" w14:textId="77777777" w:rsidR="00D63B72" w:rsidRPr="0040535D" w:rsidRDefault="00D63B72"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Ze względu jednak na możliwe problemy ze skoordynowaniem procesu udzielania wsparcia bezzwrotnego (PUP) i zwrotnego (pośrednicy finansowi i BGK) oraz koniecznością uniknięcia podwójnego finansowania wydatków, proponuje się, aby pożyczki udzielane osobom uprawnionym do skorzystania ze wsparcia bezzwrotnego, mogły być umarzane do wysokości tego wsparcia. Wysokość umorzenia ograniczono jednocześnie do wartości maksymalnie 50% pożyczki ze względu na projektowane przepisy rozporządzenia ogólnego (UE) na perspektywę finansową 2021-2027, które przewidują takie ograniczenie. Dzięki temu również środki na pożyczki nie zostaną nadmiernie uszczuplone. </w:t>
      </w:r>
    </w:p>
    <w:p w14:paraId="2E12E824" w14:textId="77777777" w:rsidR="00D63B72" w:rsidRPr="0040535D" w:rsidRDefault="00D63B72"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Umorzenie jest adresowane wyłącznie do osób, które mogą skorzystać z bezzwrotnych środków. Celem umorzenia jest zrównanie sytuacji faktycznej tych osób, z osobami </w:t>
      </w:r>
      <w:r w:rsidRPr="0040535D">
        <w:rPr>
          <w:rFonts w:ascii="Times New Roman" w:hAnsi="Times New Roman"/>
          <w:sz w:val="24"/>
          <w:szCs w:val="24"/>
        </w:rPr>
        <w:lastRenderedPageBreak/>
        <w:t>korzystającymi z bezzwrotnych środków. Utrzymanie bowiem przez pożyczkobiorcę działalności gospodarczej przez 12 miesięcy pożyczki pozwoli na umorzenie części pożyczki w wysokości równej bezzwrotnym środkom. Podobnie, osoba która na podstawie ustawy otrzymała bezzwrotne środki i utrzyma działalność gospodarczą przez 12 miesięcy, nie musi zwracać tych środków.</w:t>
      </w:r>
    </w:p>
    <w:p w14:paraId="2660856C" w14:textId="77777777" w:rsidR="00D63B72" w:rsidRPr="0040535D" w:rsidRDefault="00D63B72"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Zgodnie z art. 61 ust. 1 pkt 5 </w:t>
      </w:r>
      <w:proofErr w:type="spellStart"/>
      <w:r w:rsidR="00790CFA" w:rsidRPr="0040535D">
        <w:rPr>
          <w:rFonts w:ascii="Times New Roman" w:hAnsi="Times New Roman"/>
          <w:sz w:val="24"/>
          <w:szCs w:val="24"/>
        </w:rPr>
        <w:t>ufp</w:t>
      </w:r>
      <w:proofErr w:type="spellEnd"/>
      <w:r w:rsidRPr="0040535D">
        <w:rPr>
          <w:rFonts w:ascii="Times New Roman" w:hAnsi="Times New Roman"/>
          <w:sz w:val="24"/>
          <w:szCs w:val="24"/>
        </w:rPr>
        <w:t xml:space="preserve"> organem właściwym do wydawania decyzji w stosunku do należności publicznoprawnych stanowiących przychody państwowego funduszu celowego jest dysponent tego funduszu. Ponieważ jednak pożyczka jest umową cywilnoprawną pomiędzy pożyczkobiorcą a pośrednikiem finansowym, należności z niej wynikające mają charakter cywilnoprawny. Do umorzeń z art. 61pa nie będzie miał zatem zastosowania art. 61 ust. 1 pkt 5 ustawy o finansach publicznych. Dlatego przewidziano możliwość dokonywania umorzeń przez pośredników finansowych, co nie narusza przepisów o finansach publicznych, a jednocześnie przyczyni się do usprawnienia tego procesu. To pośrednicy finansowi obsługują bezpośrednio umowy pożyczki i posiadają informacje wystarczające do udzielenia umorzenia. Zwłaszcza, że przesłanki do umorzenia określone w art. 61pa nie pozostawiają pola do uznania pośrednika, lecz jasno przesądzają, w których przypadkach pożyczka podlega umorzeniu.</w:t>
      </w:r>
    </w:p>
    <w:p w14:paraId="5FEB39A1" w14:textId="49AD1B7B" w:rsidR="00D63B72" w:rsidRPr="0040535D" w:rsidRDefault="00A30AAC"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1811ED" w:rsidRPr="0040535D">
        <w:rPr>
          <w:rFonts w:ascii="Times New Roman" w:hAnsi="Times New Roman"/>
          <w:sz w:val="24"/>
          <w:szCs w:val="24"/>
        </w:rPr>
        <w:t>10</w:t>
      </w:r>
      <w:r w:rsidR="001811ED">
        <w:rPr>
          <w:rFonts w:ascii="Times New Roman" w:hAnsi="Times New Roman"/>
          <w:sz w:val="24"/>
          <w:szCs w:val="24"/>
        </w:rPr>
        <w:t>6</w:t>
      </w:r>
      <w:r w:rsidR="001811ED" w:rsidRPr="0040535D">
        <w:rPr>
          <w:rFonts w:ascii="Times New Roman" w:hAnsi="Times New Roman"/>
          <w:sz w:val="24"/>
          <w:szCs w:val="24"/>
        </w:rPr>
        <w:t xml:space="preserve"> </w:t>
      </w:r>
      <w:r w:rsidR="00D63B72" w:rsidRPr="0040535D">
        <w:rPr>
          <w:rFonts w:ascii="Times New Roman" w:hAnsi="Times New Roman"/>
          <w:sz w:val="24"/>
          <w:szCs w:val="24"/>
        </w:rPr>
        <w:t>pkt 1</w:t>
      </w:r>
      <w:r w:rsidR="001D61EF">
        <w:rPr>
          <w:rFonts w:ascii="Times New Roman" w:hAnsi="Times New Roman"/>
          <w:sz w:val="24"/>
          <w:szCs w:val="24"/>
        </w:rPr>
        <w:t>9</w:t>
      </w:r>
      <w:r w:rsidR="00D63B72" w:rsidRPr="0040535D">
        <w:rPr>
          <w:rFonts w:ascii="Times New Roman" w:hAnsi="Times New Roman"/>
          <w:sz w:val="24"/>
          <w:szCs w:val="24"/>
        </w:rPr>
        <w:t xml:space="preserve"> ustawy zmienia art. 61r ustawy o promocji zatrudnienia i instytucjach rynku pracy. Ponieważ w nowym art. 61pa wprowadzono dodatkowe umorzenie dla pożyczek na podjęcie działalności gospodarczej, niezbędne jest uwzględnienie tego umorzenia również w art. 61r, który przesądza o zasadach udzielania pomocy w postaci umorzenia.</w:t>
      </w:r>
    </w:p>
    <w:p w14:paraId="5E0EB492" w14:textId="68151E2C" w:rsidR="00D63B72" w:rsidRPr="0040535D" w:rsidRDefault="00A30AAC"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1811ED" w:rsidRPr="0040535D">
        <w:rPr>
          <w:rFonts w:ascii="Times New Roman" w:hAnsi="Times New Roman"/>
          <w:sz w:val="24"/>
          <w:szCs w:val="24"/>
        </w:rPr>
        <w:t>10</w:t>
      </w:r>
      <w:r w:rsidR="001811ED">
        <w:rPr>
          <w:rFonts w:ascii="Times New Roman" w:hAnsi="Times New Roman"/>
          <w:sz w:val="24"/>
          <w:szCs w:val="24"/>
        </w:rPr>
        <w:t>6</w:t>
      </w:r>
      <w:r w:rsidR="001811ED" w:rsidRPr="0040535D">
        <w:rPr>
          <w:rFonts w:ascii="Times New Roman" w:hAnsi="Times New Roman"/>
          <w:sz w:val="24"/>
          <w:szCs w:val="24"/>
        </w:rPr>
        <w:t xml:space="preserve"> </w:t>
      </w:r>
      <w:r w:rsidR="00D63B72" w:rsidRPr="0040535D">
        <w:rPr>
          <w:rFonts w:ascii="Times New Roman" w:hAnsi="Times New Roman"/>
          <w:sz w:val="24"/>
          <w:szCs w:val="24"/>
        </w:rPr>
        <w:t xml:space="preserve">pkt </w:t>
      </w:r>
      <w:r w:rsidR="00B462C0" w:rsidRPr="0040535D">
        <w:rPr>
          <w:rFonts w:ascii="Times New Roman" w:hAnsi="Times New Roman"/>
          <w:sz w:val="24"/>
          <w:szCs w:val="24"/>
        </w:rPr>
        <w:t>2</w:t>
      </w:r>
      <w:r w:rsidR="001D61EF">
        <w:rPr>
          <w:rFonts w:ascii="Times New Roman" w:hAnsi="Times New Roman"/>
          <w:sz w:val="24"/>
          <w:szCs w:val="24"/>
        </w:rPr>
        <w:t>2</w:t>
      </w:r>
      <w:r w:rsidR="00D63B72" w:rsidRPr="0040535D">
        <w:rPr>
          <w:rFonts w:ascii="Times New Roman" w:hAnsi="Times New Roman"/>
          <w:sz w:val="24"/>
          <w:szCs w:val="24"/>
        </w:rPr>
        <w:t xml:space="preserve"> ustawy zmienia art. 61v ustawy o promocji zatrudnienia i instytucjach rynku pracy. Ponieważ w nowym art. 61pa wprowadzono dodatkowe umorzenie dla pożyczek na podjęcie działalności gospodarczej, niezbędne jest uwzględnienie w ramach zadań pośrednika finansowego również umarzania pożyczek na podstawie art. 61pa. Ponadto doprecyzowano treść pkt 5 i 6, gdyż nie dotyczą one nowego umorzenia przewidzianego w art. 61pa.</w:t>
      </w:r>
    </w:p>
    <w:p w14:paraId="75323222" w14:textId="7B17EF8E" w:rsidR="00D63B72" w:rsidRPr="0040535D" w:rsidRDefault="00A30AAC"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1811ED" w:rsidRPr="0040535D">
        <w:rPr>
          <w:rFonts w:ascii="Times New Roman" w:hAnsi="Times New Roman"/>
          <w:sz w:val="24"/>
          <w:szCs w:val="24"/>
        </w:rPr>
        <w:t>10</w:t>
      </w:r>
      <w:r w:rsidR="001811ED">
        <w:rPr>
          <w:rFonts w:ascii="Times New Roman" w:hAnsi="Times New Roman"/>
          <w:sz w:val="24"/>
          <w:szCs w:val="24"/>
        </w:rPr>
        <w:t>6</w:t>
      </w:r>
      <w:r w:rsidR="001811ED" w:rsidRPr="0040535D">
        <w:rPr>
          <w:rFonts w:ascii="Times New Roman" w:hAnsi="Times New Roman"/>
          <w:sz w:val="24"/>
          <w:szCs w:val="24"/>
        </w:rPr>
        <w:t xml:space="preserve"> </w:t>
      </w:r>
      <w:r w:rsidR="00D63B72" w:rsidRPr="0040535D">
        <w:rPr>
          <w:rFonts w:ascii="Times New Roman" w:hAnsi="Times New Roman"/>
          <w:sz w:val="24"/>
          <w:szCs w:val="24"/>
        </w:rPr>
        <w:t>pkt 2</w:t>
      </w:r>
      <w:r w:rsidR="00FB14D6">
        <w:rPr>
          <w:rFonts w:ascii="Times New Roman" w:hAnsi="Times New Roman"/>
          <w:sz w:val="24"/>
          <w:szCs w:val="24"/>
        </w:rPr>
        <w:t>3</w:t>
      </w:r>
      <w:r w:rsidR="00D63B72" w:rsidRPr="0040535D">
        <w:rPr>
          <w:rFonts w:ascii="Times New Roman" w:hAnsi="Times New Roman"/>
          <w:sz w:val="24"/>
          <w:szCs w:val="24"/>
        </w:rPr>
        <w:t xml:space="preserve"> ustawy zmienia art. 61w ustawy o promocji zatrudnienia i instytucjach rynku pracy. W związku z rozszerzeniem w art. 61ea grupy docelowej o wszystkie osoby poszukujące pracy, niezbędna jest również zmiana art. 61w.</w:t>
      </w:r>
    </w:p>
    <w:p w14:paraId="21BA2E2D" w14:textId="719AC21F" w:rsidR="001F34E3" w:rsidRPr="0040535D" w:rsidRDefault="00A30AAC"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1811ED" w:rsidRPr="0040535D">
        <w:rPr>
          <w:rFonts w:ascii="Times New Roman" w:hAnsi="Times New Roman"/>
          <w:sz w:val="24"/>
          <w:szCs w:val="24"/>
        </w:rPr>
        <w:t>10</w:t>
      </w:r>
      <w:r w:rsidR="001811ED">
        <w:rPr>
          <w:rFonts w:ascii="Times New Roman" w:hAnsi="Times New Roman"/>
          <w:sz w:val="24"/>
          <w:szCs w:val="24"/>
        </w:rPr>
        <w:t>6</w:t>
      </w:r>
      <w:r w:rsidR="001811ED" w:rsidRPr="0040535D">
        <w:rPr>
          <w:rFonts w:ascii="Times New Roman" w:hAnsi="Times New Roman"/>
          <w:sz w:val="24"/>
          <w:szCs w:val="24"/>
        </w:rPr>
        <w:t xml:space="preserve"> </w:t>
      </w:r>
      <w:r w:rsidR="00D63B72" w:rsidRPr="0040535D">
        <w:rPr>
          <w:rFonts w:ascii="Times New Roman" w:hAnsi="Times New Roman"/>
          <w:sz w:val="24"/>
          <w:szCs w:val="24"/>
        </w:rPr>
        <w:t>pkt 2</w:t>
      </w:r>
      <w:r w:rsidR="001D61EF">
        <w:rPr>
          <w:rFonts w:ascii="Times New Roman" w:hAnsi="Times New Roman"/>
          <w:sz w:val="24"/>
          <w:szCs w:val="24"/>
        </w:rPr>
        <w:t>8</w:t>
      </w:r>
      <w:r w:rsidR="00D63B72" w:rsidRPr="0040535D">
        <w:rPr>
          <w:rFonts w:ascii="Times New Roman" w:hAnsi="Times New Roman"/>
          <w:sz w:val="24"/>
          <w:szCs w:val="24"/>
        </w:rPr>
        <w:t xml:space="preserve"> ustawy zmienia art. 109g ustawy o promocji zatrudnienia i instytucjach rynku pracy. Zmiany mają na celu doprecyzowanie zasad finansowania pożyczek na utworzenie stanowiska pracy lub pożyczek na podjęcie działalności gospodarczej oraz usług doradczych i szkoleniowych, a także kosztów z związanych z udzielaniem i obsługą pożyczek ze środków Unii Europejskiej.</w:t>
      </w:r>
    </w:p>
    <w:p w14:paraId="7E8A3681" w14:textId="77777777" w:rsidR="00555DC0" w:rsidRPr="0040535D" w:rsidRDefault="00555DC0" w:rsidP="009A0EE5">
      <w:pPr>
        <w:spacing w:after="0" w:line="360" w:lineRule="auto"/>
        <w:jc w:val="both"/>
        <w:outlineLvl w:val="1"/>
        <w:rPr>
          <w:rFonts w:ascii="Times New Roman" w:hAnsi="Times New Roman"/>
          <w:sz w:val="24"/>
          <w:szCs w:val="24"/>
        </w:rPr>
      </w:pPr>
    </w:p>
    <w:p w14:paraId="175A01FB" w14:textId="77777777" w:rsidR="005A47FE" w:rsidRPr="0040535D" w:rsidRDefault="005A47FE"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 xml:space="preserve">art. </w:t>
      </w:r>
      <w:r w:rsidR="001811ED" w:rsidRPr="0040535D">
        <w:rPr>
          <w:rFonts w:ascii="Times New Roman" w:hAnsi="Times New Roman"/>
          <w:b/>
          <w:sz w:val="24"/>
          <w:szCs w:val="24"/>
        </w:rPr>
        <w:t>10</w:t>
      </w:r>
      <w:r w:rsidR="001811ED">
        <w:rPr>
          <w:rFonts w:ascii="Times New Roman" w:hAnsi="Times New Roman"/>
          <w:b/>
          <w:sz w:val="24"/>
          <w:szCs w:val="24"/>
        </w:rPr>
        <w:t>8</w:t>
      </w:r>
      <w:r w:rsidR="001811ED" w:rsidRPr="0040535D">
        <w:rPr>
          <w:rFonts w:ascii="Times New Roman" w:hAnsi="Times New Roman"/>
          <w:sz w:val="24"/>
          <w:szCs w:val="24"/>
        </w:rPr>
        <w:t xml:space="preserve"> </w:t>
      </w:r>
      <w:r w:rsidRPr="0040535D">
        <w:rPr>
          <w:rFonts w:ascii="Times New Roman" w:hAnsi="Times New Roman"/>
          <w:sz w:val="24"/>
          <w:szCs w:val="24"/>
        </w:rPr>
        <w:t>wprowadzono zmiany</w:t>
      </w:r>
      <w:r w:rsidR="00651A8B" w:rsidRPr="0040535D">
        <w:rPr>
          <w:rFonts w:ascii="Times New Roman" w:hAnsi="Times New Roman"/>
          <w:b/>
          <w:sz w:val="24"/>
          <w:szCs w:val="24"/>
        </w:rPr>
        <w:t xml:space="preserve"> </w:t>
      </w:r>
      <w:r w:rsidR="00651A8B" w:rsidRPr="0040535D">
        <w:rPr>
          <w:rFonts w:ascii="Times New Roman" w:hAnsi="Times New Roman"/>
          <w:sz w:val="24"/>
          <w:szCs w:val="24"/>
        </w:rPr>
        <w:t xml:space="preserve">w </w:t>
      </w:r>
      <w:r w:rsidR="00651A8B" w:rsidRPr="0040535D">
        <w:rPr>
          <w:rStyle w:val="Ppogrubienie"/>
          <w:rFonts w:ascii="Times New Roman" w:hAnsi="Times New Roman"/>
          <w:b w:val="0"/>
          <w:sz w:val="24"/>
          <w:szCs w:val="24"/>
        </w:rPr>
        <w:t>ustawie z dnia 6 grudnia 2006 r. o zasadach prowadzenia polityki rozwoju (Dz. U. z 2021 r. poz. 1057)</w:t>
      </w:r>
      <w:r w:rsidR="00EC44E6" w:rsidRPr="0040535D">
        <w:rPr>
          <w:rStyle w:val="Ppogrubienie"/>
          <w:rFonts w:ascii="Times New Roman" w:hAnsi="Times New Roman"/>
          <w:b w:val="0"/>
          <w:sz w:val="24"/>
          <w:szCs w:val="24"/>
        </w:rPr>
        <w:t>,</w:t>
      </w:r>
      <w:r w:rsidR="00651A8B" w:rsidRPr="0040535D">
        <w:rPr>
          <w:rStyle w:val="Ppogrubienie"/>
          <w:rFonts w:ascii="Times New Roman" w:hAnsi="Times New Roman"/>
          <w:sz w:val="24"/>
          <w:szCs w:val="24"/>
        </w:rPr>
        <w:t xml:space="preserve"> </w:t>
      </w:r>
      <w:r w:rsidRPr="0040535D">
        <w:rPr>
          <w:rFonts w:ascii="Times New Roman" w:hAnsi="Times New Roman"/>
          <w:sz w:val="24"/>
          <w:szCs w:val="24"/>
        </w:rPr>
        <w:t xml:space="preserve">których celem jest </w:t>
      </w:r>
      <w:r w:rsidR="002330E0" w:rsidRPr="0040535D">
        <w:rPr>
          <w:rFonts w:ascii="Times New Roman" w:hAnsi="Times New Roman"/>
          <w:sz w:val="24"/>
          <w:szCs w:val="24"/>
        </w:rPr>
        <w:t xml:space="preserve">m.in. </w:t>
      </w:r>
      <w:r w:rsidRPr="0040535D">
        <w:rPr>
          <w:rFonts w:ascii="Times New Roman" w:hAnsi="Times New Roman"/>
          <w:sz w:val="24"/>
          <w:szCs w:val="24"/>
        </w:rPr>
        <w:t>umożliwienie realizacji planów rozwojowych.</w:t>
      </w:r>
    </w:p>
    <w:p w14:paraId="730AAB42" w14:textId="77777777" w:rsidR="00633654" w:rsidRPr="0040535D" w:rsidRDefault="005A47FE"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art. </w:t>
      </w:r>
      <w:r w:rsidR="001811ED" w:rsidRPr="0040535D">
        <w:rPr>
          <w:rFonts w:ascii="Times New Roman" w:hAnsi="Times New Roman"/>
          <w:sz w:val="24"/>
          <w:szCs w:val="24"/>
        </w:rPr>
        <w:t>10</w:t>
      </w:r>
      <w:r w:rsidR="001811ED">
        <w:rPr>
          <w:rFonts w:ascii="Times New Roman" w:hAnsi="Times New Roman"/>
          <w:sz w:val="24"/>
          <w:szCs w:val="24"/>
        </w:rPr>
        <w:t>8</w:t>
      </w:r>
      <w:r w:rsidR="001811ED" w:rsidRPr="0040535D">
        <w:rPr>
          <w:rFonts w:ascii="Times New Roman" w:hAnsi="Times New Roman"/>
          <w:sz w:val="24"/>
          <w:szCs w:val="24"/>
        </w:rPr>
        <w:t xml:space="preserve"> </w:t>
      </w:r>
      <w:r w:rsidRPr="0040535D">
        <w:rPr>
          <w:rFonts w:ascii="Times New Roman" w:hAnsi="Times New Roman"/>
          <w:sz w:val="24"/>
          <w:szCs w:val="24"/>
        </w:rPr>
        <w:t xml:space="preserve">pkt </w:t>
      </w:r>
      <w:r w:rsidR="003A3F0A" w:rsidRPr="0040535D">
        <w:rPr>
          <w:rFonts w:ascii="Times New Roman" w:hAnsi="Times New Roman"/>
          <w:sz w:val="24"/>
          <w:szCs w:val="24"/>
        </w:rPr>
        <w:t>5</w:t>
      </w:r>
      <w:r w:rsidR="00EC44E6" w:rsidRPr="0040535D">
        <w:rPr>
          <w:rFonts w:ascii="Times New Roman" w:hAnsi="Times New Roman"/>
          <w:sz w:val="24"/>
          <w:szCs w:val="24"/>
        </w:rPr>
        <w:t xml:space="preserve"> nadano nowe brzmienie definicji planu rozwojowego </w:t>
      </w:r>
      <w:r w:rsidR="006443AC" w:rsidRPr="0040535D">
        <w:rPr>
          <w:rFonts w:ascii="Times New Roman" w:hAnsi="Times New Roman"/>
          <w:sz w:val="24"/>
          <w:szCs w:val="24"/>
        </w:rPr>
        <w:t>poprzez odesłanie do rozporządzenia Parlamentu Europejskiego i Rady (UE) 2021/241 z dnia 12 lutego 2021 r. ustanawiające Instrument na rzecz Odbudowy i Zwiększania Odporności (Dz. Urz. UE L 57 z 18.02.2021, s. 17)</w:t>
      </w:r>
      <w:r w:rsidR="00791BB8" w:rsidRPr="0040535D">
        <w:rPr>
          <w:rFonts w:ascii="Times New Roman" w:hAnsi="Times New Roman"/>
          <w:sz w:val="24"/>
          <w:szCs w:val="24"/>
        </w:rPr>
        <w:t xml:space="preserve">. </w:t>
      </w:r>
    </w:p>
    <w:p w14:paraId="7B590234" w14:textId="77777777" w:rsidR="005A47FE" w:rsidRPr="0040535D" w:rsidRDefault="00791BB8"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pkt </w:t>
      </w:r>
      <w:r w:rsidR="003A3F0A" w:rsidRPr="0040535D">
        <w:rPr>
          <w:rFonts w:ascii="Times New Roman" w:hAnsi="Times New Roman"/>
          <w:sz w:val="24"/>
          <w:szCs w:val="24"/>
        </w:rPr>
        <w:t>6</w:t>
      </w:r>
      <w:r w:rsidRPr="0040535D">
        <w:rPr>
          <w:rFonts w:ascii="Times New Roman" w:hAnsi="Times New Roman"/>
          <w:sz w:val="24"/>
          <w:szCs w:val="24"/>
        </w:rPr>
        <w:t xml:space="preserve"> nadano nowe brzmienie rozdziałowi 2aa Plan rozwojowy. Na potrzeby tego rozdziału dodano słownik </w:t>
      </w:r>
      <w:r w:rsidR="005A47FE" w:rsidRPr="0040535D">
        <w:rPr>
          <w:rFonts w:ascii="Times New Roman" w:hAnsi="Times New Roman"/>
          <w:sz w:val="24"/>
          <w:szCs w:val="24"/>
        </w:rPr>
        <w:t>pojęć</w:t>
      </w:r>
      <w:r w:rsidRPr="0040535D">
        <w:rPr>
          <w:rFonts w:ascii="Times New Roman" w:hAnsi="Times New Roman"/>
          <w:sz w:val="24"/>
          <w:szCs w:val="24"/>
        </w:rPr>
        <w:t>, w którym</w:t>
      </w:r>
      <w:r w:rsidR="005A47FE" w:rsidRPr="0040535D">
        <w:rPr>
          <w:rFonts w:ascii="Times New Roman" w:hAnsi="Times New Roman"/>
          <w:sz w:val="24"/>
          <w:szCs w:val="24"/>
        </w:rPr>
        <w:t xml:space="preserve"> znalazła się przede wszystkim definicja pojęcia: instytucja odpowiedzialna za realizację inwestycji (pkt 1) i instytucja odpowiedzialna za realizację reformy (pkt </w:t>
      </w:r>
      <w:r w:rsidRPr="0040535D">
        <w:rPr>
          <w:rFonts w:ascii="Times New Roman" w:hAnsi="Times New Roman"/>
          <w:sz w:val="24"/>
          <w:szCs w:val="24"/>
        </w:rPr>
        <w:t>2</w:t>
      </w:r>
      <w:r w:rsidR="005A47FE" w:rsidRPr="0040535D">
        <w:rPr>
          <w:rFonts w:ascii="Times New Roman" w:hAnsi="Times New Roman"/>
          <w:sz w:val="24"/>
          <w:szCs w:val="24"/>
        </w:rPr>
        <w:t xml:space="preserve">) – w </w:t>
      </w:r>
      <w:r w:rsidR="009522AF" w:rsidRPr="0040535D">
        <w:rPr>
          <w:rFonts w:ascii="Times New Roman" w:hAnsi="Times New Roman"/>
          <w:sz w:val="24"/>
          <w:szCs w:val="24"/>
        </w:rPr>
        <w:t xml:space="preserve">pierwszym przypadku jest </w:t>
      </w:r>
      <w:r w:rsidR="005A47FE" w:rsidRPr="0040535D">
        <w:rPr>
          <w:rFonts w:ascii="Times New Roman" w:hAnsi="Times New Roman"/>
          <w:sz w:val="24"/>
          <w:szCs w:val="24"/>
        </w:rPr>
        <w:t xml:space="preserve">to </w:t>
      </w:r>
      <w:r w:rsidR="009522AF" w:rsidRPr="0040535D">
        <w:rPr>
          <w:rFonts w:ascii="Times New Roman" w:hAnsi="Times New Roman"/>
          <w:sz w:val="24"/>
          <w:szCs w:val="24"/>
        </w:rPr>
        <w:t xml:space="preserve">minister kierujący działem administracji rządowej, któremu zgodnie z planem rozwojowym zostało powierzone zadanie, w drugim poza wspomnianym  ministrem może być to także inny podmiot , któremu zgodnie z planem rozwojowym zostało powierzone zadanie Należy zaznaczyć, że </w:t>
      </w:r>
      <w:r w:rsidR="005A47FE" w:rsidRPr="0040535D">
        <w:rPr>
          <w:rFonts w:ascii="Times New Roman" w:hAnsi="Times New Roman"/>
          <w:sz w:val="24"/>
          <w:szCs w:val="24"/>
        </w:rPr>
        <w:t xml:space="preserve">ten sam minister może być zarówno instytucją odpowiedzialną za realizację inwestycji i instytucją odpowiedzialną za realizację reformy. Instytucja odpowiedzialna za realizację inwestycji może powierzyć realizację zadań związanych z realizacją inwestycji jednostce wspierającej </w:t>
      </w:r>
      <w:r w:rsidR="00C93093" w:rsidRPr="0040535D">
        <w:rPr>
          <w:rFonts w:ascii="Times New Roman" w:hAnsi="Times New Roman"/>
          <w:sz w:val="24"/>
          <w:szCs w:val="24"/>
        </w:rPr>
        <w:t xml:space="preserve">plan rozwojowy (pkt </w:t>
      </w:r>
      <w:r w:rsidRPr="0040535D">
        <w:rPr>
          <w:rFonts w:ascii="Times New Roman" w:hAnsi="Times New Roman"/>
          <w:sz w:val="24"/>
          <w:szCs w:val="24"/>
        </w:rPr>
        <w:t>4</w:t>
      </w:r>
      <w:r w:rsidR="005A47FE" w:rsidRPr="0040535D">
        <w:rPr>
          <w:rFonts w:ascii="Times New Roman" w:hAnsi="Times New Roman"/>
          <w:sz w:val="24"/>
          <w:szCs w:val="24"/>
        </w:rPr>
        <w:t>). W słowniczku zawarto t</w:t>
      </w:r>
      <w:r w:rsidR="00C93093" w:rsidRPr="0040535D">
        <w:rPr>
          <w:rFonts w:ascii="Times New Roman" w:hAnsi="Times New Roman"/>
          <w:sz w:val="24"/>
          <w:szCs w:val="24"/>
        </w:rPr>
        <w:t xml:space="preserve">akże definicje inwestycji (pkt </w:t>
      </w:r>
      <w:r w:rsidRPr="0040535D">
        <w:rPr>
          <w:rFonts w:ascii="Times New Roman" w:hAnsi="Times New Roman"/>
          <w:sz w:val="24"/>
          <w:szCs w:val="24"/>
        </w:rPr>
        <w:t>3</w:t>
      </w:r>
      <w:r w:rsidR="00C93093" w:rsidRPr="0040535D">
        <w:rPr>
          <w:rFonts w:ascii="Times New Roman" w:hAnsi="Times New Roman"/>
          <w:sz w:val="24"/>
          <w:szCs w:val="24"/>
        </w:rPr>
        <w:t xml:space="preserve">) i reformy (pkt </w:t>
      </w:r>
      <w:r w:rsidR="007A50CD">
        <w:rPr>
          <w:rFonts w:ascii="Times New Roman" w:hAnsi="Times New Roman"/>
          <w:sz w:val="24"/>
          <w:szCs w:val="24"/>
        </w:rPr>
        <w:t>9</w:t>
      </w:r>
      <w:r w:rsidR="005A47FE" w:rsidRPr="0040535D">
        <w:rPr>
          <w:rFonts w:ascii="Times New Roman" w:hAnsi="Times New Roman"/>
          <w:sz w:val="24"/>
          <w:szCs w:val="24"/>
        </w:rPr>
        <w:t xml:space="preserve">), które stanowią centralne elementy </w:t>
      </w:r>
      <w:r w:rsidR="00C93093" w:rsidRPr="0040535D">
        <w:rPr>
          <w:rFonts w:ascii="Times New Roman" w:hAnsi="Times New Roman"/>
          <w:sz w:val="24"/>
          <w:szCs w:val="24"/>
        </w:rPr>
        <w:t>planu rozwojowego</w:t>
      </w:r>
      <w:r w:rsidR="005A47FE" w:rsidRPr="0040535D">
        <w:rPr>
          <w:rFonts w:ascii="Times New Roman" w:hAnsi="Times New Roman"/>
          <w:sz w:val="24"/>
          <w:szCs w:val="24"/>
        </w:rPr>
        <w:t xml:space="preserve">. Biorąc pod </w:t>
      </w:r>
      <w:r w:rsidR="00C93093" w:rsidRPr="0040535D">
        <w:rPr>
          <w:rFonts w:ascii="Times New Roman" w:hAnsi="Times New Roman"/>
          <w:sz w:val="24"/>
          <w:szCs w:val="24"/>
        </w:rPr>
        <w:t>uwagę wielość pojęć, jakie w samym planie rozwojowym mogą wypełniać</w:t>
      </w:r>
      <w:r w:rsidR="005A47FE" w:rsidRPr="0040535D">
        <w:rPr>
          <w:rFonts w:ascii="Times New Roman" w:hAnsi="Times New Roman"/>
          <w:sz w:val="24"/>
          <w:szCs w:val="24"/>
        </w:rPr>
        <w:t xml:space="preserve"> zakres pojęcia „inwestycja”, konieczne było odwołanie się do wszystkich pojęć używanych w </w:t>
      </w:r>
      <w:r w:rsidR="00C93093" w:rsidRPr="0040535D">
        <w:rPr>
          <w:rFonts w:ascii="Times New Roman" w:hAnsi="Times New Roman"/>
          <w:sz w:val="24"/>
          <w:szCs w:val="24"/>
        </w:rPr>
        <w:t>planach rozwojowych</w:t>
      </w:r>
      <w:r w:rsidR="005A47FE" w:rsidRPr="0040535D">
        <w:rPr>
          <w:rFonts w:ascii="Times New Roman" w:hAnsi="Times New Roman"/>
          <w:sz w:val="24"/>
          <w:szCs w:val="24"/>
        </w:rPr>
        <w:t>, stanowiących synonimy pojęcia „inwestycja”. Jednocześnie występować będą sytuacje, w których dopiero zespół danych instytucji (np. zespół projektów) będzie odpowiadał zakresem pojęciu inwestycja. Miernikiem postępu realizacji inwestycji są wska</w:t>
      </w:r>
      <w:r w:rsidR="00C93093" w:rsidRPr="0040535D">
        <w:rPr>
          <w:rFonts w:ascii="Times New Roman" w:hAnsi="Times New Roman"/>
          <w:sz w:val="24"/>
          <w:szCs w:val="24"/>
        </w:rPr>
        <w:t>źniki</w:t>
      </w:r>
      <w:r w:rsidR="005A47FE" w:rsidRPr="0040535D">
        <w:rPr>
          <w:rFonts w:ascii="Times New Roman" w:hAnsi="Times New Roman"/>
          <w:sz w:val="24"/>
          <w:szCs w:val="24"/>
        </w:rPr>
        <w:t>. Postęp realizacji reformy, która będzie się składać zasadniczo z zespołu działań o charakterze regulacyjnym lub organizacyjnym, będzie natomiast mierzony osiąg</w:t>
      </w:r>
      <w:r w:rsidR="00C93093" w:rsidRPr="0040535D">
        <w:rPr>
          <w:rFonts w:ascii="Times New Roman" w:hAnsi="Times New Roman"/>
          <w:sz w:val="24"/>
          <w:szCs w:val="24"/>
        </w:rPr>
        <w:t>anymi kamieniami milowymi</w:t>
      </w:r>
      <w:r w:rsidR="005A47FE" w:rsidRPr="0040535D">
        <w:rPr>
          <w:rFonts w:ascii="Times New Roman" w:hAnsi="Times New Roman"/>
          <w:sz w:val="24"/>
          <w:szCs w:val="24"/>
        </w:rPr>
        <w:t xml:space="preserve">. W ramach inwestycji mogą być realizowane przedsięwzięcia, których stopień postępu </w:t>
      </w:r>
      <w:r w:rsidR="00C93093" w:rsidRPr="0040535D">
        <w:rPr>
          <w:rFonts w:ascii="Times New Roman" w:hAnsi="Times New Roman"/>
          <w:sz w:val="24"/>
          <w:szCs w:val="24"/>
        </w:rPr>
        <w:t xml:space="preserve">jest mierzony wskaźnikami (pkt </w:t>
      </w:r>
      <w:r w:rsidR="007A50CD">
        <w:rPr>
          <w:rFonts w:ascii="Times New Roman" w:hAnsi="Times New Roman"/>
          <w:sz w:val="24"/>
          <w:szCs w:val="24"/>
        </w:rPr>
        <w:t>11</w:t>
      </w:r>
      <w:r w:rsidR="005A47FE" w:rsidRPr="0040535D">
        <w:rPr>
          <w:rFonts w:ascii="Times New Roman" w:hAnsi="Times New Roman"/>
          <w:sz w:val="24"/>
          <w:szCs w:val="24"/>
        </w:rPr>
        <w:t>). Przedsięwzięcia są realizowane przez ostate</w:t>
      </w:r>
      <w:r w:rsidR="00C93093" w:rsidRPr="0040535D">
        <w:rPr>
          <w:rFonts w:ascii="Times New Roman" w:hAnsi="Times New Roman"/>
          <w:sz w:val="24"/>
          <w:szCs w:val="24"/>
        </w:rPr>
        <w:t xml:space="preserve">cznych odbiorców wsparcia (pkt </w:t>
      </w:r>
      <w:r w:rsidR="007A50CD">
        <w:rPr>
          <w:rFonts w:ascii="Times New Roman" w:hAnsi="Times New Roman"/>
          <w:sz w:val="24"/>
          <w:szCs w:val="24"/>
        </w:rPr>
        <w:t>6</w:t>
      </w:r>
      <w:r w:rsidR="005A47FE" w:rsidRPr="0040535D">
        <w:rPr>
          <w:rFonts w:ascii="Times New Roman" w:hAnsi="Times New Roman"/>
          <w:sz w:val="24"/>
          <w:szCs w:val="24"/>
        </w:rPr>
        <w:t xml:space="preserve">). W </w:t>
      </w:r>
      <w:r w:rsidRPr="0040535D">
        <w:rPr>
          <w:rFonts w:ascii="Times New Roman" w:hAnsi="Times New Roman"/>
          <w:sz w:val="24"/>
          <w:szCs w:val="24"/>
        </w:rPr>
        <w:t xml:space="preserve">słowniku </w:t>
      </w:r>
      <w:r w:rsidR="005A47FE" w:rsidRPr="0040535D">
        <w:rPr>
          <w:rFonts w:ascii="Times New Roman" w:hAnsi="Times New Roman"/>
          <w:sz w:val="24"/>
          <w:szCs w:val="24"/>
        </w:rPr>
        <w:t xml:space="preserve">zawarto ponadto definicję </w:t>
      </w:r>
      <w:r w:rsidR="00815BF6">
        <w:rPr>
          <w:rFonts w:ascii="Times New Roman" w:hAnsi="Times New Roman"/>
          <w:sz w:val="24"/>
          <w:szCs w:val="24"/>
        </w:rPr>
        <w:t>„</w:t>
      </w:r>
      <w:r w:rsidR="005A47FE" w:rsidRPr="0040535D">
        <w:rPr>
          <w:rFonts w:ascii="Times New Roman" w:hAnsi="Times New Roman"/>
          <w:sz w:val="24"/>
          <w:szCs w:val="24"/>
        </w:rPr>
        <w:t>systemu teleinformatycznego</w:t>
      </w:r>
      <w:r w:rsidR="00815BF6">
        <w:rPr>
          <w:rFonts w:ascii="Times New Roman" w:hAnsi="Times New Roman"/>
          <w:sz w:val="24"/>
          <w:szCs w:val="24"/>
        </w:rPr>
        <w:t>”</w:t>
      </w:r>
      <w:r w:rsidR="005A47FE" w:rsidRPr="0040535D">
        <w:rPr>
          <w:rFonts w:ascii="Times New Roman" w:hAnsi="Times New Roman"/>
          <w:sz w:val="24"/>
          <w:szCs w:val="24"/>
        </w:rPr>
        <w:t xml:space="preserve">, który będzie służył wymianie danych dotyczących </w:t>
      </w:r>
      <w:r w:rsidR="00C4500F" w:rsidRPr="0040535D">
        <w:rPr>
          <w:rFonts w:ascii="Times New Roman" w:hAnsi="Times New Roman"/>
          <w:sz w:val="24"/>
          <w:szCs w:val="24"/>
        </w:rPr>
        <w:t xml:space="preserve">reform i inwestycji </w:t>
      </w:r>
      <w:r w:rsidR="005A47FE" w:rsidRPr="0040535D">
        <w:rPr>
          <w:rFonts w:ascii="Times New Roman" w:hAnsi="Times New Roman"/>
          <w:sz w:val="24"/>
          <w:szCs w:val="24"/>
        </w:rPr>
        <w:t xml:space="preserve">między instytucją odpowiedzialną za realizację reformy lub instytucją odpowiedzialną za realizację inwestycji a ministrem właściwym do spraw rozwoju </w:t>
      </w:r>
      <w:r w:rsidR="005A47FE" w:rsidRPr="0040535D">
        <w:rPr>
          <w:rFonts w:ascii="Times New Roman" w:hAnsi="Times New Roman"/>
          <w:sz w:val="24"/>
          <w:szCs w:val="24"/>
        </w:rPr>
        <w:lastRenderedPageBreak/>
        <w:t>regionalnego. System ten będzie udostępniony przez ministra właściwego do spraw rozwoju re</w:t>
      </w:r>
      <w:r w:rsidR="00C93093" w:rsidRPr="0040535D">
        <w:rPr>
          <w:rFonts w:ascii="Times New Roman" w:hAnsi="Times New Roman"/>
          <w:sz w:val="24"/>
          <w:szCs w:val="24"/>
        </w:rPr>
        <w:t xml:space="preserve">gionalnego (pkt </w:t>
      </w:r>
      <w:r w:rsidRPr="0040535D">
        <w:rPr>
          <w:rFonts w:ascii="Times New Roman" w:hAnsi="Times New Roman"/>
          <w:sz w:val="24"/>
          <w:szCs w:val="24"/>
        </w:rPr>
        <w:t>10</w:t>
      </w:r>
      <w:r w:rsidR="005A47FE" w:rsidRPr="0040535D">
        <w:rPr>
          <w:rFonts w:ascii="Times New Roman" w:hAnsi="Times New Roman"/>
          <w:sz w:val="24"/>
          <w:szCs w:val="24"/>
        </w:rPr>
        <w:t xml:space="preserve">). </w:t>
      </w:r>
    </w:p>
    <w:p w14:paraId="20B66F37" w14:textId="77777777" w:rsidR="00C93093" w:rsidRPr="0040535D" w:rsidRDefault="0073655E" w:rsidP="0073655E">
      <w:pPr>
        <w:spacing w:after="0" w:line="360" w:lineRule="auto"/>
        <w:jc w:val="both"/>
        <w:rPr>
          <w:rFonts w:ascii="Times New Roman" w:hAnsi="Times New Roman"/>
          <w:sz w:val="24"/>
          <w:szCs w:val="24"/>
        </w:rPr>
      </w:pPr>
      <w:r>
        <w:rPr>
          <w:rFonts w:ascii="Times New Roman" w:hAnsi="Times New Roman"/>
          <w:sz w:val="24"/>
          <w:szCs w:val="24"/>
        </w:rPr>
        <w:t>W art. 14lb przesądzono że p</w:t>
      </w:r>
      <w:r w:rsidRPr="0073655E">
        <w:rPr>
          <w:rFonts w:ascii="Times New Roman" w:hAnsi="Times New Roman"/>
          <w:sz w:val="24"/>
          <w:szCs w:val="24"/>
        </w:rPr>
        <w:t>rojekt planu rozwojowego opracowuje minister właściwy do spraw rozwoju regionalnego we współpracy z właściwymi ministrami, zarządami województw oraz partnerami społecznymi i gospodar</w:t>
      </w:r>
      <w:r>
        <w:rPr>
          <w:rFonts w:ascii="Times New Roman" w:hAnsi="Times New Roman"/>
          <w:sz w:val="24"/>
          <w:szCs w:val="24"/>
        </w:rPr>
        <w:t xml:space="preserve">czymi. </w:t>
      </w:r>
      <w:r w:rsidRPr="0073655E">
        <w:rPr>
          <w:rFonts w:ascii="Times New Roman" w:hAnsi="Times New Roman"/>
          <w:sz w:val="24"/>
          <w:szCs w:val="24"/>
        </w:rPr>
        <w:t>Przy opracowywaniu projektu planu rozwojowego uwzględnia się strategie rozwoju,</w:t>
      </w:r>
      <w:r>
        <w:rPr>
          <w:rFonts w:ascii="Times New Roman" w:hAnsi="Times New Roman"/>
          <w:sz w:val="24"/>
          <w:szCs w:val="24"/>
        </w:rPr>
        <w:t xml:space="preserve"> </w:t>
      </w:r>
      <w:r w:rsidRPr="0073655E">
        <w:rPr>
          <w:rFonts w:ascii="Times New Roman" w:hAnsi="Times New Roman"/>
          <w:sz w:val="24"/>
          <w:szCs w:val="24"/>
        </w:rPr>
        <w:t>Plan  rozwojowy jest przyjmowany przez Radę Ministrów, w drodze uchwały, na wniosek ministra właściwego</w:t>
      </w:r>
      <w:r>
        <w:rPr>
          <w:rFonts w:ascii="Times New Roman" w:hAnsi="Times New Roman"/>
          <w:sz w:val="24"/>
          <w:szCs w:val="24"/>
        </w:rPr>
        <w:t xml:space="preserve"> do spraw rozwoju regionalnego. </w:t>
      </w:r>
    </w:p>
    <w:p w14:paraId="11D5613B" w14:textId="77777777" w:rsidR="00F77678" w:rsidRPr="0040535D" w:rsidRDefault="00791BB8" w:rsidP="009A0EE5">
      <w:pPr>
        <w:spacing w:after="0" w:line="360" w:lineRule="auto"/>
        <w:jc w:val="both"/>
        <w:rPr>
          <w:rFonts w:ascii="Times New Roman" w:hAnsi="Times New Roman"/>
          <w:sz w:val="24"/>
          <w:szCs w:val="24"/>
        </w:rPr>
      </w:pPr>
      <w:r w:rsidRPr="0040535D">
        <w:rPr>
          <w:rFonts w:ascii="Times New Roman" w:hAnsi="Times New Roman"/>
          <w:sz w:val="24"/>
          <w:szCs w:val="24"/>
        </w:rPr>
        <w:t>W art. 14lc uregulowano kwestie dotyczące pomocy publicznej.</w:t>
      </w:r>
      <w:r w:rsidR="00F77678" w:rsidRPr="0040535D">
        <w:rPr>
          <w:rFonts w:ascii="Times New Roman" w:hAnsi="Times New Roman"/>
          <w:sz w:val="24"/>
          <w:szCs w:val="24"/>
        </w:rPr>
        <w:t xml:space="preserve"> </w:t>
      </w:r>
      <w:r w:rsidRPr="0040535D">
        <w:rPr>
          <w:rFonts w:ascii="Times New Roman" w:hAnsi="Times New Roman"/>
          <w:sz w:val="24"/>
          <w:szCs w:val="24"/>
        </w:rPr>
        <w:t>W</w:t>
      </w:r>
      <w:r w:rsidR="00F77678" w:rsidRPr="0040535D">
        <w:rPr>
          <w:rFonts w:ascii="Times New Roman" w:hAnsi="Times New Roman"/>
          <w:sz w:val="24"/>
          <w:szCs w:val="24"/>
        </w:rPr>
        <w:t xml:space="preserve"> zakresie, w jakim w ramach planu rozwojowego jest udzielana pomoc publiczna w rozumieniu art. 107 ust. 1 Traktatu o funkcjonowaniu Unii Europejskiej, pomoc de </w:t>
      </w:r>
      <w:proofErr w:type="spellStart"/>
      <w:r w:rsidR="00F77678" w:rsidRPr="0040535D">
        <w:rPr>
          <w:rFonts w:ascii="Times New Roman" w:hAnsi="Times New Roman"/>
          <w:sz w:val="24"/>
          <w:szCs w:val="24"/>
        </w:rPr>
        <w:t>minimis</w:t>
      </w:r>
      <w:proofErr w:type="spellEnd"/>
      <w:r w:rsidR="00F77678" w:rsidRPr="0040535D">
        <w:rPr>
          <w:rFonts w:ascii="Times New Roman" w:hAnsi="Times New Roman"/>
          <w:sz w:val="24"/>
          <w:szCs w:val="24"/>
        </w:rPr>
        <w:t xml:space="preserve"> lub pomoc de </w:t>
      </w:r>
      <w:proofErr w:type="spellStart"/>
      <w:r w:rsidR="00F77678" w:rsidRPr="0040535D">
        <w:rPr>
          <w:rFonts w:ascii="Times New Roman" w:hAnsi="Times New Roman"/>
          <w:sz w:val="24"/>
          <w:szCs w:val="24"/>
        </w:rPr>
        <w:t>minimis</w:t>
      </w:r>
      <w:proofErr w:type="spellEnd"/>
      <w:r w:rsidR="00F77678" w:rsidRPr="0040535D">
        <w:rPr>
          <w:rFonts w:ascii="Times New Roman" w:hAnsi="Times New Roman"/>
          <w:sz w:val="24"/>
          <w:szCs w:val="24"/>
        </w:rPr>
        <w:t xml:space="preserve"> w rolnictwie lub rybołówstwie zastosowanie mają szczegółowe warunki i tryb udzielania pomocy. Oznacza to, że w przypadku, kiedy środki planu rozwojowego są wydatkowane jako ww. pomoc potrzebna jest podstawa prawna umożliwiająca jej udzielenie (ust. 1). W ust. 2 i 3 wskazano katalog podmiotów, które mogą udzielać pomocy w ramach planu rozwojowego. W ust. 4 wskazano podmioty uprawnione do wydania rozporządzeń określających szczegółowe przeznaczenie, warunki i tryb udzielania tej pomocy, a także podmioty jej udzielające – w sytuacji, gdy odrębne przepisy nie określają szczegółowego przeznaczenia, warunków lub trybu udzielania tej pomocy. Podmiotami uprawnionymi do wydania takich rozporządzeń  właściwy minister pełniący funkcję instytucji odpowiedzialnej za realizację inwestycji – w zakresie, w jakim pomoc, o której mowa w ust. 1</w:t>
      </w:r>
      <w:r w:rsidR="00161D1B" w:rsidRPr="0040535D">
        <w:rPr>
          <w:rFonts w:ascii="Times New Roman" w:hAnsi="Times New Roman"/>
          <w:sz w:val="24"/>
          <w:szCs w:val="24"/>
        </w:rPr>
        <w:t>,</w:t>
      </w:r>
      <w:r w:rsidR="00F77678" w:rsidRPr="0040535D">
        <w:rPr>
          <w:rFonts w:ascii="Times New Roman" w:hAnsi="Times New Roman"/>
          <w:sz w:val="24"/>
          <w:szCs w:val="24"/>
        </w:rPr>
        <w:t xml:space="preserve"> ma być udzielana w ramach inwestycji. Szczegółowe przeznaczenie, warunki i tryb udzielania pomocy, o której mowa w ust. 1, nieobjętej przepisami, o których mowa w ust. 4, lub innymi przepisami określa akt będący podstawą jej udzielenia (ust. 5)</w:t>
      </w:r>
      <w:r w:rsidR="00132016" w:rsidRPr="0040535D">
        <w:rPr>
          <w:rFonts w:ascii="Times New Roman" w:hAnsi="Times New Roman"/>
          <w:sz w:val="24"/>
          <w:szCs w:val="24"/>
        </w:rPr>
        <w:t>, w szczególności umowa o objęciu danego przedsięwzięcia wsparciem w sytuacji, gdy udzielana jest indywidualna pomoc podlegająca notyfikacji.</w:t>
      </w:r>
    </w:p>
    <w:p w14:paraId="41FFDC84" w14:textId="77777777" w:rsidR="00C93093" w:rsidRPr="0040535D" w:rsidRDefault="00F77678"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Po art. </w:t>
      </w:r>
      <w:r w:rsidR="00791BB8" w:rsidRPr="0040535D">
        <w:rPr>
          <w:rFonts w:ascii="Times New Roman" w:hAnsi="Times New Roman"/>
          <w:sz w:val="24"/>
          <w:szCs w:val="24"/>
        </w:rPr>
        <w:t xml:space="preserve">14lc </w:t>
      </w:r>
      <w:r w:rsidRPr="0040535D">
        <w:rPr>
          <w:rFonts w:ascii="Times New Roman" w:hAnsi="Times New Roman"/>
          <w:sz w:val="24"/>
          <w:szCs w:val="24"/>
        </w:rPr>
        <w:t>wprowad</w:t>
      </w:r>
      <w:r w:rsidR="0020124B" w:rsidRPr="0040535D">
        <w:rPr>
          <w:rFonts w:ascii="Times New Roman" w:hAnsi="Times New Roman"/>
          <w:sz w:val="24"/>
          <w:szCs w:val="24"/>
        </w:rPr>
        <w:t xml:space="preserve">zono kolejne artykuły </w:t>
      </w:r>
      <w:r w:rsidR="00791BB8" w:rsidRPr="0040535D">
        <w:rPr>
          <w:rFonts w:ascii="Times New Roman" w:hAnsi="Times New Roman"/>
          <w:sz w:val="24"/>
          <w:szCs w:val="24"/>
        </w:rPr>
        <w:t>14ld</w:t>
      </w:r>
      <w:r w:rsidR="0020124B" w:rsidRPr="0040535D">
        <w:rPr>
          <w:rFonts w:ascii="Times New Roman" w:hAnsi="Times New Roman"/>
          <w:sz w:val="24"/>
          <w:szCs w:val="24"/>
        </w:rPr>
        <w:t>-</w:t>
      </w:r>
      <w:r w:rsidR="00791BB8" w:rsidRPr="0040535D">
        <w:rPr>
          <w:rFonts w:ascii="Times New Roman" w:hAnsi="Times New Roman"/>
          <w:sz w:val="24"/>
          <w:szCs w:val="24"/>
        </w:rPr>
        <w:t>14lz</w:t>
      </w:r>
      <w:r w:rsidR="00F56CDF" w:rsidRPr="0040535D">
        <w:rPr>
          <w:rFonts w:ascii="Times New Roman" w:hAnsi="Times New Roman"/>
          <w:sz w:val="24"/>
          <w:szCs w:val="24"/>
        </w:rPr>
        <w:t>n</w:t>
      </w:r>
      <w:r w:rsidRPr="0040535D">
        <w:rPr>
          <w:rFonts w:ascii="Times New Roman" w:hAnsi="Times New Roman"/>
          <w:sz w:val="24"/>
          <w:szCs w:val="24"/>
        </w:rPr>
        <w:t>.</w:t>
      </w:r>
    </w:p>
    <w:p w14:paraId="0FBB83C1" w14:textId="77777777" w:rsidR="00C93093" w:rsidRPr="0040535D" w:rsidRDefault="00C93093"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art. </w:t>
      </w:r>
      <w:r w:rsidR="00791BB8" w:rsidRPr="0040535D">
        <w:rPr>
          <w:rFonts w:ascii="Times New Roman" w:hAnsi="Times New Roman"/>
          <w:sz w:val="24"/>
          <w:szCs w:val="24"/>
        </w:rPr>
        <w:t xml:space="preserve">14ld </w:t>
      </w:r>
      <w:r w:rsidRPr="0040535D">
        <w:rPr>
          <w:rFonts w:ascii="Times New Roman" w:hAnsi="Times New Roman"/>
          <w:sz w:val="24"/>
          <w:szCs w:val="24"/>
        </w:rPr>
        <w:t>u</w:t>
      </w:r>
      <w:r w:rsidR="00F77678" w:rsidRPr="0040535D">
        <w:rPr>
          <w:rFonts w:ascii="Times New Roman" w:hAnsi="Times New Roman"/>
          <w:sz w:val="24"/>
          <w:szCs w:val="24"/>
        </w:rPr>
        <w:t>regulowano system realizacji planu rozwojowego</w:t>
      </w:r>
      <w:r w:rsidRPr="0040535D">
        <w:rPr>
          <w:rFonts w:ascii="Times New Roman" w:hAnsi="Times New Roman"/>
          <w:sz w:val="24"/>
          <w:szCs w:val="24"/>
        </w:rPr>
        <w:t xml:space="preserve">. Systemem realizacji zawiera warunki i procedury obowiązujące podmioty tworzące system instytucjonalny </w:t>
      </w:r>
      <w:r w:rsidR="00F77678" w:rsidRPr="0040535D">
        <w:rPr>
          <w:rFonts w:ascii="Times New Roman" w:hAnsi="Times New Roman"/>
          <w:sz w:val="24"/>
          <w:szCs w:val="24"/>
        </w:rPr>
        <w:t>planu rozwojowego</w:t>
      </w:r>
      <w:r w:rsidRPr="0040535D">
        <w:rPr>
          <w:rFonts w:ascii="Times New Roman" w:hAnsi="Times New Roman"/>
          <w:sz w:val="24"/>
          <w:szCs w:val="24"/>
        </w:rPr>
        <w:t>, uczestniczące we wdrażaniu tego planu. W ust. 1 wskazano, że</w:t>
      </w:r>
      <w:r w:rsidR="00F77678" w:rsidRPr="0040535D">
        <w:rPr>
          <w:rFonts w:ascii="Times New Roman" w:hAnsi="Times New Roman"/>
          <w:sz w:val="24"/>
          <w:szCs w:val="24"/>
        </w:rPr>
        <w:t xml:space="preserve"> podstawę systemu realizacji planu rozwojowego </w:t>
      </w:r>
      <w:r w:rsidRPr="0040535D">
        <w:rPr>
          <w:rFonts w:ascii="Times New Roman" w:hAnsi="Times New Roman"/>
          <w:sz w:val="24"/>
          <w:szCs w:val="24"/>
        </w:rPr>
        <w:t xml:space="preserve">stanowią w szczególności przepisy prawa powszechnie obowiązującego zawierające procedury działania podmiotów </w:t>
      </w:r>
      <w:r w:rsidR="00F77678" w:rsidRPr="0040535D">
        <w:rPr>
          <w:rFonts w:ascii="Times New Roman" w:hAnsi="Times New Roman"/>
          <w:sz w:val="24"/>
          <w:szCs w:val="24"/>
        </w:rPr>
        <w:t>uczestniczących w realizacji planu rozwojowego</w:t>
      </w:r>
      <w:r w:rsidRPr="0040535D">
        <w:rPr>
          <w:rFonts w:ascii="Times New Roman" w:hAnsi="Times New Roman"/>
          <w:sz w:val="24"/>
          <w:szCs w:val="24"/>
        </w:rPr>
        <w:t>, w tym realizacji reform lub inwestycj</w:t>
      </w:r>
      <w:r w:rsidR="00F77678" w:rsidRPr="0040535D">
        <w:rPr>
          <w:rFonts w:ascii="Times New Roman" w:hAnsi="Times New Roman"/>
          <w:sz w:val="24"/>
          <w:szCs w:val="24"/>
        </w:rPr>
        <w:t>i, oraz sam plan rozwojowy</w:t>
      </w:r>
      <w:r w:rsidRPr="0040535D">
        <w:rPr>
          <w:rFonts w:ascii="Times New Roman" w:hAnsi="Times New Roman"/>
          <w:sz w:val="24"/>
          <w:szCs w:val="24"/>
        </w:rPr>
        <w:t xml:space="preserve">. Mając na względzie, że reformy i inwestycje będą realizowane głównie w oparciu o przepisy, na podstawie których poszczególni ministrowie (odpowiednio instytucje odpowiedzialne za </w:t>
      </w:r>
      <w:r w:rsidRPr="0040535D">
        <w:rPr>
          <w:rFonts w:ascii="Times New Roman" w:hAnsi="Times New Roman"/>
          <w:sz w:val="24"/>
          <w:szCs w:val="24"/>
        </w:rPr>
        <w:lastRenderedPageBreak/>
        <w:t>realizację reform i instytucje odpowiedzialne za realizację inwestycji) wdrażają działania o podobnym zakresie, finansowane z innych źródeł, to te przepisy (akty prawne) będą stanowić podstawę realizacji refo</w:t>
      </w:r>
      <w:r w:rsidR="00F77678" w:rsidRPr="0040535D">
        <w:rPr>
          <w:rFonts w:ascii="Times New Roman" w:hAnsi="Times New Roman"/>
          <w:sz w:val="24"/>
          <w:szCs w:val="24"/>
        </w:rPr>
        <w:t>rm i inwestycji wskazanych w planie rozwojowym</w:t>
      </w:r>
      <w:r w:rsidRPr="0040535D">
        <w:rPr>
          <w:rFonts w:ascii="Times New Roman" w:hAnsi="Times New Roman"/>
          <w:sz w:val="24"/>
          <w:szCs w:val="24"/>
        </w:rPr>
        <w:t xml:space="preserve">. Podstawę systemu realizacji będą również stanowiły akty prawne regulujące określone obszary dotyczące wydatkowania środków publicznych, jak np. obszar zamówień publicznych czy ochrony środowiska, a także projektowana ustawa. Źródłem systemu realizacji </w:t>
      </w:r>
      <w:r w:rsidR="00F77678" w:rsidRPr="0040535D">
        <w:rPr>
          <w:rFonts w:ascii="Times New Roman" w:hAnsi="Times New Roman"/>
          <w:sz w:val="24"/>
          <w:szCs w:val="24"/>
        </w:rPr>
        <w:t>będzie również sam plan rozwojowy</w:t>
      </w:r>
      <w:r w:rsidRPr="0040535D">
        <w:rPr>
          <w:rFonts w:ascii="Times New Roman" w:hAnsi="Times New Roman"/>
          <w:sz w:val="24"/>
          <w:szCs w:val="24"/>
        </w:rPr>
        <w:t>. W ust. 2 wskazano, że reforma lub inwestycja są realizowane na podstawie przepisów właściwych dla działu administracji rządowej, w ramach którego jest realizowana odpowiednio reforma lub inwestycja. Jest to konsekwencją przyjęcia założenia, że reformy i inwestycje powinny być realizowane na podstawie przepisów, w oparciu o które wdrażane są analogiczne interwencje finansowane z innych źródeł. W przypadku, gdy dana reforma lub inwestycja obejmuje obszar dwóch lub więcej działów administracji rządowej, przepisy właściwe dla każdego działu znajdą zastosowanie w odniesieniu do odpowiednich obszarów reformy lub inwestycji. Jeżeli nie ma regulacji sektorowych, na podstawie których mogłyby być realizowane reformy lub inwestycje</w:t>
      </w:r>
      <w:r w:rsidR="00F0593E" w:rsidRPr="0040535D">
        <w:rPr>
          <w:rFonts w:ascii="Times New Roman" w:hAnsi="Times New Roman"/>
          <w:sz w:val="24"/>
          <w:szCs w:val="24"/>
        </w:rPr>
        <w:t xml:space="preserve"> lub ich części</w:t>
      </w:r>
      <w:r w:rsidRPr="0040535D">
        <w:rPr>
          <w:rFonts w:ascii="Times New Roman" w:hAnsi="Times New Roman"/>
          <w:sz w:val="24"/>
          <w:szCs w:val="24"/>
        </w:rPr>
        <w:t xml:space="preserve">, albo regulacje te nie </w:t>
      </w:r>
      <w:r w:rsidR="0077120A" w:rsidRPr="0040535D">
        <w:rPr>
          <w:rFonts w:ascii="Times New Roman" w:hAnsi="Times New Roman"/>
          <w:sz w:val="24"/>
          <w:szCs w:val="24"/>
        </w:rPr>
        <w:t xml:space="preserve">określają </w:t>
      </w:r>
      <w:r w:rsidRPr="0040535D">
        <w:rPr>
          <w:rFonts w:ascii="Times New Roman" w:hAnsi="Times New Roman"/>
          <w:sz w:val="24"/>
          <w:szCs w:val="24"/>
        </w:rPr>
        <w:t>jakiegoś obszaru uregulowanego w projektowanej ustawie, zastosowanie znajdą, odpowiednio, wszystkie albo tylko niektóre przepisy ustawy (ust. 3).</w:t>
      </w:r>
    </w:p>
    <w:p w14:paraId="27BA47C0" w14:textId="105F6EBD" w:rsidR="00513D38" w:rsidRPr="0040535D" w:rsidRDefault="00F77678" w:rsidP="00671FAD">
      <w:pPr>
        <w:pStyle w:val="ZARTzmartartykuempunktem"/>
        <w:ind w:left="0" w:firstLine="0"/>
        <w:rPr>
          <w:rFonts w:ascii="Times New Roman" w:hAnsi="Times New Roman" w:cs="Times New Roman"/>
          <w:szCs w:val="24"/>
        </w:rPr>
      </w:pPr>
      <w:r w:rsidRPr="0040535D">
        <w:rPr>
          <w:rFonts w:ascii="Times New Roman" w:hAnsi="Times New Roman" w:cs="Times New Roman"/>
          <w:szCs w:val="24"/>
        </w:rPr>
        <w:t xml:space="preserve">W art. </w:t>
      </w:r>
      <w:r w:rsidR="00791BB8" w:rsidRPr="0040535D">
        <w:rPr>
          <w:rFonts w:ascii="Times New Roman" w:hAnsi="Times New Roman" w:cs="Times New Roman"/>
          <w:szCs w:val="24"/>
        </w:rPr>
        <w:t xml:space="preserve">14le </w:t>
      </w:r>
      <w:r w:rsidR="00C93093" w:rsidRPr="0040535D">
        <w:rPr>
          <w:rFonts w:ascii="Times New Roman" w:hAnsi="Times New Roman" w:cs="Times New Roman"/>
          <w:szCs w:val="24"/>
        </w:rPr>
        <w:t>wskazano, że za koordynację rea</w:t>
      </w:r>
      <w:r w:rsidRPr="0040535D">
        <w:rPr>
          <w:rFonts w:ascii="Times New Roman" w:hAnsi="Times New Roman" w:cs="Times New Roman"/>
          <w:szCs w:val="24"/>
        </w:rPr>
        <w:t>lizacji planu rozwojowego</w:t>
      </w:r>
      <w:r w:rsidR="00C93093" w:rsidRPr="0040535D">
        <w:rPr>
          <w:rFonts w:ascii="Times New Roman" w:hAnsi="Times New Roman" w:cs="Times New Roman"/>
          <w:szCs w:val="24"/>
        </w:rPr>
        <w:t xml:space="preserve"> odpowiada minister właściwy do spraw rozwoju regionalnego (ust. 1). W ust. 2 zawarto otwarty katalog zadań koordynacyjnych ministra właściwego do spraw rozwoju regionalnego. </w:t>
      </w:r>
      <w:r w:rsidR="009461E5" w:rsidRPr="0040535D">
        <w:rPr>
          <w:rFonts w:ascii="Times New Roman" w:hAnsi="Times New Roman" w:cs="Times New Roman"/>
          <w:szCs w:val="24"/>
        </w:rPr>
        <w:t xml:space="preserve">Należy podkreślić, że realizacja ww. zadań koordynacyjnych, w szczególności związanych z zawieraniem porozumień w przedmiocie realizacji konkretnych reform i inwestycji z odpowiednimi instytucjami oraz związanych z kompleksowym monitorowaniem realizacji planu rozwojowego, będzie służyła zapewnieniu transparentności procesu realizacji planu rozwojowego na każdym etapie, jak również będzie miała na celu zapewnienie respektowania zasady równego traktowania wszystkich podmiotów zainteresowanych udziałem w realizacji przedsięwzięć finansowanych w ramach planu rozwojowego, niezależnie od charakteru prawnego tych podmiotów. </w:t>
      </w:r>
      <w:r w:rsidR="00C93093" w:rsidRPr="0040535D">
        <w:rPr>
          <w:rFonts w:ascii="Times New Roman" w:hAnsi="Times New Roman" w:cs="Times New Roman"/>
          <w:szCs w:val="24"/>
        </w:rPr>
        <w:t xml:space="preserve">W ust. 3 uregulowano zawartość porozumień o realizacji reform lub porozumień o realizacji inwestycji zawieranych przez ministra właściwego do spraw rozwoju regionalnego z instytucjami odpowiedzialnymi za reformy lub z instytucjami odpowiedzialnymi za inwestycje. W </w:t>
      </w:r>
      <w:r w:rsidR="00513D38" w:rsidRPr="0040535D">
        <w:rPr>
          <w:rFonts w:ascii="Times New Roman" w:hAnsi="Times New Roman" w:cs="Times New Roman"/>
          <w:szCs w:val="24"/>
        </w:rPr>
        <w:t xml:space="preserve">przepisie tym </w:t>
      </w:r>
      <w:r w:rsidR="00C93093" w:rsidRPr="0040535D">
        <w:rPr>
          <w:rFonts w:ascii="Times New Roman" w:hAnsi="Times New Roman" w:cs="Times New Roman"/>
          <w:szCs w:val="24"/>
        </w:rPr>
        <w:t>wskazano otwarty katalog elementów, jakie powinny zawierać przedmiotowe porozumienia, w tym</w:t>
      </w:r>
      <w:r w:rsidR="00513D38" w:rsidRPr="0040535D">
        <w:rPr>
          <w:rFonts w:ascii="Times New Roman" w:hAnsi="Times New Roman" w:cs="Times New Roman"/>
          <w:szCs w:val="24"/>
        </w:rPr>
        <w:t xml:space="preserve">: </w:t>
      </w:r>
      <w:r w:rsidR="005C31B6" w:rsidRPr="0040535D">
        <w:rPr>
          <w:rFonts w:ascii="Times New Roman" w:hAnsi="Times New Roman" w:cs="Times New Roman"/>
          <w:szCs w:val="24"/>
        </w:rPr>
        <w:t xml:space="preserve">wskazanie reformy </w:t>
      </w:r>
      <w:r w:rsidR="00F14D1B">
        <w:rPr>
          <w:rFonts w:ascii="Times New Roman" w:hAnsi="Times New Roman" w:cs="Times New Roman"/>
          <w:szCs w:val="24"/>
        </w:rPr>
        <w:t>lub</w:t>
      </w:r>
      <w:r w:rsidR="00F14D1B" w:rsidRPr="0040535D">
        <w:rPr>
          <w:rFonts w:ascii="Times New Roman" w:hAnsi="Times New Roman" w:cs="Times New Roman"/>
          <w:szCs w:val="24"/>
        </w:rPr>
        <w:t xml:space="preserve"> </w:t>
      </w:r>
      <w:r w:rsidR="005C31B6" w:rsidRPr="0040535D">
        <w:rPr>
          <w:rFonts w:ascii="Times New Roman" w:hAnsi="Times New Roman" w:cs="Times New Roman"/>
          <w:szCs w:val="24"/>
        </w:rPr>
        <w:t xml:space="preserve">inwestycji oraz terminy osiągania kamieni milowych i wskaźników, a w przypadku inwestycji także cele na </w:t>
      </w:r>
      <w:r w:rsidR="005C31B6" w:rsidRPr="0040535D">
        <w:rPr>
          <w:rFonts w:ascii="Times New Roman" w:hAnsi="Times New Roman" w:cs="Times New Roman"/>
          <w:szCs w:val="24"/>
        </w:rPr>
        <w:lastRenderedPageBreak/>
        <w:t>jakie mają zostać przeznaczone środki</w:t>
      </w:r>
      <w:r w:rsidR="00513D38" w:rsidRPr="0040535D">
        <w:rPr>
          <w:rFonts w:ascii="Times New Roman" w:hAnsi="Times New Roman" w:cs="Times New Roman"/>
          <w:szCs w:val="24"/>
        </w:rPr>
        <w:t>; opis działań wykonywanych bezpośrednio przez instytucję odpowiedzialną za realizację reformy albo przez instytucję odpowiedzialną za realizację inwestycji lub jednostkę wspierającą plan rozwojowy, w ramach realizowanej przez tą instytucję lub jednostkę reformy albo inwestycji</w:t>
      </w:r>
      <w:r w:rsidR="00B853D0">
        <w:rPr>
          <w:rFonts w:ascii="Times New Roman" w:hAnsi="Times New Roman" w:cs="Times New Roman"/>
          <w:szCs w:val="24"/>
        </w:rPr>
        <w:t>. D</w:t>
      </w:r>
      <w:r w:rsidR="00B853D0" w:rsidRPr="00B853D0">
        <w:rPr>
          <w:rFonts w:ascii="Times New Roman" w:hAnsi="Times New Roman" w:cs="Times New Roman"/>
          <w:szCs w:val="24"/>
        </w:rPr>
        <w:t xml:space="preserve">ziałania wykonywane bezpośrednio, wskazane w </w:t>
      </w:r>
      <w:r w:rsidR="00AD5172">
        <w:rPr>
          <w:rFonts w:ascii="Times New Roman" w:hAnsi="Times New Roman" w:cs="Times New Roman"/>
          <w:szCs w:val="24"/>
        </w:rPr>
        <w:t xml:space="preserve">tym </w:t>
      </w:r>
      <w:r w:rsidR="00B853D0" w:rsidRPr="00B853D0">
        <w:rPr>
          <w:rFonts w:ascii="Times New Roman" w:hAnsi="Times New Roman" w:cs="Times New Roman"/>
          <w:szCs w:val="24"/>
        </w:rPr>
        <w:t>przepisie</w:t>
      </w:r>
      <w:r w:rsidR="00AD5172">
        <w:rPr>
          <w:rFonts w:ascii="Times New Roman" w:hAnsi="Times New Roman" w:cs="Times New Roman"/>
          <w:szCs w:val="24"/>
        </w:rPr>
        <w:t>,</w:t>
      </w:r>
      <w:r w:rsidR="00B853D0">
        <w:rPr>
          <w:rFonts w:ascii="Times New Roman" w:hAnsi="Times New Roman" w:cs="Times New Roman"/>
          <w:szCs w:val="24"/>
        </w:rPr>
        <w:t xml:space="preserve"> będą </w:t>
      </w:r>
      <w:r w:rsidR="00B853D0" w:rsidRPr="00B853D0">
        <w:rPr>
          <w:rFonts w:ascii="Times New Roman" w:hAnsi="Times New Roman" w:cs="Times New Roman"/>
          <w:szCs w:val="24"/>
        </w:rPr>
        <w:t>stanowi</w:t>
      </w:r>
      <w:r w:rsidR="00B853D0">
        <w:rPr>
          <w:rFonts w:ascii="Times New Roman" w:hAnsi="Times New Roman" w:cs="Times New Roman"/>
          <w:szCs w:val="24"/>
        </w:rPr>
        <w:t>ły</w:t>
      </w:r>
      <w:r w:rsidR="00B853D0" w:rsidRPr="00B853D0">
        <w:rPr>
          <w:rFonts w:ascii="Times New Roman" w:hAnsi="Times New Roman" w:cs="Times New Roman"/>
          <w:szCs w:val="24"/>
        </w:rPr>
        <w:t xml:space="preserve"> pewien zakres zadań w ramach inwestycji objętej KPO,</w:t>
      </w:r>
      <w:r w:rsidR="00B853D0">
        <w:rPr>
          <w:rFonts w:ascii="Times New Roman" w:hAnsi="Times New Roman" w:cs="Times New Roman"/>
          <w:szCs w:val="24"/>
        </w:rPr>
        <w:t xml:space="preserve"> </w:t>
      </w:r>
      <w:r w:rsidR="00B853D0" w:rsidRPr="00B853D0">
        <w:rPr>
          <w:rFonts w:ascii="Times New Roman" w:hAnsi="Times New Roman" w:cs="Times New Roman"/>
          <w:szCs w:val="24"/>
        </w:rPr>
        <w:t>który zostanie zrealizowany bezpośrednio przez instytucję odpowiedzialną za inwestycję</w:t>
      </w:r>
      <w:r w:rsidR="00AD5172">
        <w:rPr>
          <w:rFonts w:ascii="Times New Roman" w:hAnsi="Times New Roman" w:cs="Times New Roman"/>
          <w:szCs w:val="24"/>
        </w:rPr>
        <w:t xml:space="preserve">, </w:t>
      </w:r>
      <w:r w:rsidR="00B853D0">
        <w:rPr>
          <w:rFonts w:ascii="Times New Roman" w:hAnsi="Times New Roman" w:cs="Times New Roman"/>
          <w:szCs w:val="24"/>
        </w:rPr>
        <w:t xml:space="preserve"> </w:t>
      </w:r>
      <w:r w:rsidR="00AD5172">
        <w:rPr>
          <w:rFonts w:ascii="Times New Roman" w:hAnsi="Times New Roman" w:cs="Times New Roman"/>
          <w:szCs w:val="24"/>
        </w:rPr>
        <w:t>czyli</w:t>
      </w:r>
      <w:r w:rsidR="00B853D0" w:rsidRPr="00B853D0">
        <w:rPr>
          <w:rFonts w:ascii="Times New Roman" w:hAnsi="Times New Roman" w:cs="Times New Roman"/>
          <w:szCs w:val="24"/>
        </w:rPr>
        <w:t xml:space="preserve"> nie zostanie delegowany na inny podmiot, i na który instytucja ta otrzyma środki</w:t>
      </w:r>
      <w:r w:rsidR="00AD5172">
        <w:rPr>
          <w:rFonts w:ascii="Times New Roman" w:hAnsi="Times New Roman" w:cs="Times New Roman"/>
          <w:szCs w:val="24"/>
        </w:rPr>
        <w:t xml:space="preserve"> </w:t>
      </w:r>
      <w:r w:rsidR="00B853D0" w:rsidRPr="00B853D0">
        <w:rPr>
          <w:rFonts w:ascii="Times New Roman" w:hAnsi="Times New Roman" w:cs="Times New Roman"/>
          <w:szCs w:val="24"/>
        </w:rPr>
        <w:t>finansowe.</w:t>
      </w:r>
      <w:r w:rsidR="00513D38" w:rsidRPr="0040535D">
        <w:rPr>
          <w:rFonts w:ascii="Times New Roman" w:hAnsi="Times New Roman" w:cs="Times New Roman"/>
          <w:szCs w:val="24"/>
        </w:rPr>
        <w:t>; harmonogram wydatków ponoszonych na realizację działań, przez instytucję odpowiedzialną za realizację inwestycji lub jednostkę wspierającą plan rozwojowy; wysokość środków przeznaczonych na realizację inwestycji, w tym wysokość środków przeznaczonych na wydatki ponoszone na realizację działań przez instytucję odpowiedzialną za realizację inwestycji lub jednostkę wspierającą plan rozwojowy; termin i sposób weryfikacji realizacji reform i kamieni milowych albo inwestycji i wskaźników; oraz warunki i terminy zwrotu środków przeznaczonych na wydatki ponoszone na realizację działań przez instytucję odpowiedzialną za realizację inwestycji pobranych a niewydatkowanych.</w:t>
      </w:r>
    </w:p>
    <w:p w14:paraId="305F52EA" w14:textId="77777777" w:rsidR="00513D38" w:rsidRPr="0040535D" w:rsidRDefault="00513D38" w:rsidP="008D4E79">
      <w:pPr>
        <w:spacing w:after="0" w:line="360" w:lineRule="auto"/>
        <w:jc w:val="both"/>
        <w:rPr>
          <w:rFonts w:ascii="Times New Roman" w:hAnsi="Times New Roman"/>
          <w:sz w:val="24"/>
          <w:szCs w:val="24"/>
        </w:rPr>
      </w:pPr>
      <w:r w:rsidRPr="0040535D">
        <w:rPr>
          <w:rFonts w:ascii="Times New Roman" w:hAnsi="Times New Roman"/>
          <w:sz w:val="24"/>
          <w:szCs w:val="24"/>
        </w:rPr>
        <w:t>Dodatkowo w przypadku realizacji inwestycji finansowanej w formie wsparcia zwrotnego porozumienie określa także zasady realizacji tego rodzaju inwestycji</w:t>
      </w:r>
      <w:r w:rsidR="00742DCE" w:rsidRPr="0040535D">
        <w:rPr>
          <w:rFonts w:ascii="Times New Roman" w:hAnsi="Times New Roman"/>
          <w:sz w:val="24"/>
          <w:szCs w:val="24"/>
        </w:rPr>
        <w:t xml:space="preserve"> (ust. 4).</w:t>
      </w:r>
    </w:p>
    <w:p w14:paraId="53FC9D65" w14:textId="77777777" w:rsidR="00C93093" w:rsidRPr="0040535D" w:rsidRDefault="00C93093" w:rsidP="00A01FB5">
      <w:pPr>
        <w:spacing w:after="0" w:line="360" w:lineRule="auto"/>
        <w:jc w:val="both"/>
        <w:rPr>
          <w:rFonts w:ascii="Times New Roman" w:hAnsi="Times New Roman"/>
          <w:sz w:val="24"/>
          <w:szCs w:val="24"/>
        </w:rPr>
      </w:pPr>
      <w:r w:rsidRPr="0040535D">
        <w:rPr>
          <w:rFonts w:ascii="Times New Roman" w:hAnsi="Times New Roman"/>
          <w:sz w:val="24"/>
          <w:szCs w:val="24"/>
        </w:rPr>
        <w:t xml:space="preserve">W ust. 3 pojawia się pojęcie </w:t>
      </w:r>
      <w:r w:rsidR="00513D38" w:rsidRPr="0040535D">
        <w:rPr>
          <w:rFonts w:ascii="Times New Roman" w:hAnsi="Times New Roman"/>
          <w:sz w:val="24"/>
          <w:szCs w:val="24"/>
        </w:rPr>
        <w:t>„środków przeznaczonych na wydatki ponoszone na realizację działań przez instytucję odpowiedzialną za realizację inwestycji”</w:t>
      </w:r>
      <w:r w:rsidRPr="0040535D">
        <w:rPr>
          <w:rFonts w:ascii="Times New Roman" w:hAnsi="Times New Roman"/>
          <w:sz w:val="24"/>
          <w:szCs w:val="24"/>
        </w:rPr>
        <w:t xml:space="preserve">, przez które należy rozumieć te wydatki, które dana instytucja ponosi samodzielnie na realizację celów reformy lub inwestycji, w sytuacji, w której sama realizuje część reformy lub inwestycji. </w:t>
      </w:r>
      <w:r w:rsidR="00C7219F" w:rsidRPr="0040535D">
        <w:rPr>
          <w:rFonts w:ascii="Times New Roman" w:hAnsi="Times New Roman"/>
          <w:sz w:val="24"/>
          <w:szCs w:val="24"/>
        </w:rPr>
        <w:t>Należy zauważyć, że w ramach planu rozwojowego</w:t>
      </w:r>
      <w:r w:rsidRPr="0040535D">
        <w:rPr>
          <w:rFonts w:ascii="Times New Roman" w:hAnsi="Times New Roman"/>
          <w:sz w:val="24"/>
          <w:szCs w:val="24"/>
        </w:rPr>
        <w:t xml:space="preserve"> ww. instytucje nie przekazują środków do innych podmiotów (w szczególności do ostatecznych odbiorców wsparcia) –</w:t>
      </w:r>
      <w:r w:rsidR="00C7219F" w:rsidRPr="0040535D">
        <w:rPr>
          <w:rFonts w:ascii="Times New Roman" w:hAnsi="Times New Roman"/>
          <w:sz w:val="24"/>
          <w:szCs w:val="24"/>
        </w:rPr>
        <w:t xml:space="preserve"> czyni to </w:t>
      </w:r>
      <w:r w:rsidR="0064190C" w:rsidRPr="0040535D">
        <w:rPr>
          <w:rFonts w:ascii="Times New Roman" w:hAnsi="Times New Roman"/>
          <w:sz w:val="24"/>
          <w:szCs w:val="24"/>
        </w:rPr>
        <w:t>PFR</w:t>
      </w:r>
      <w:r w:rsidRPr="0040535D">
        <w:rPr>
          <w:rFonts w:ascii="Times New Roman" w:hAnsi="Times New Roman"/>
          <w:sz w:val="24"/>
          <w:szCs w:val="24"/>
        </w:rPr>
        <w:t xml:space="preserve"> po wystawieniu zlecenia </w:t>
      </w:r>
      <w:r w:rsidR="00FC6D9B" w:rsidRPr="0040535D">
        <w:rPr>
          <w:rFonts w:ascii="Times New Roman" w:hAnsi="Times New Roman"/>
          <w:sz w:val="24"/>
          <w:szCs w:val="24"/>
        </w:rPr>
        <w:t xml:space="preserve">wypłaty </w:t>
      </w:r>
      <w:r w:rsidRPr="0040535D">
        <w:rPr>
          <w:rFonts w:ascii="Times New Roman" w:hAnsi="Times New Roman"/>
          <w:sz w:val="24"/>
          <w:szCs w:val="24"/>
        </w:rPr>
        <w:t>przez właściwą instytucję lub jedn</w:t>
      </w:r>
      <w:r w:rsidR="00C7219F" w:rsidRPr="0040535D">
        <w:rPr>
          <w:rFonts w:ascii="Times New Roman" w:hAnsi="Times New Roman"/>
          <w:sz w:val="24"/>
          <w:szCs w:val="24"/>
        </w:rPr>
        <w:t>ostkę wspierającą realizację plan rozwojowy</w:t>
      </w:r>
      <w:r w:rsidRPr="0040535D">
        <w:rPr>
          <w:rFonts w:ascii="Times New Roman" w:hAnsi="Times New Roman"/>
          <w:sz w:val="24"/>
          <w:szCs w:val="24"/>
        </w:rPr>
        <w:t>. Biorąc pod uwagę, że wskazane podmioty będą ponosić wydatki, w ustawie wskazano, że w porozumieniu należy określić warunki i terminy zwrotu środków przeznaczonych na wydatki przez nie ponoszone, pobranych w nadmiernej wysokości lub w sposób nienależny.</w:t>
      </w:r>
    </w:p>
    <w:p w14:paraId="1D2F02FC" w14:textId="77777777" w:rsidR="00FD35BA" w:rsidRPr="0040535D" w:rsidRDefault="00FD35BA" w:rsidP="00892DB5">
      <w:pPr>
        <w:spacing w:after="0" w:line="360" w:lineRule="auto"/>
        <w:jc w:val="both"/>
        <w:rPr>
          <w:rFonts w:ascii="Times New Roman" w:hAnsi="Times New Roman"/>
          <w:sz w:val="24"/>
          <w:szCs w:val="24"/>
        </w:rPr>
      </w:pPr>
      <w:r w:rsidRPr="0040535D">
        <w:rPr>
          <w:rFonts w:ascii="Times New Roman" w:hAnsi="Times New Roman"/>
          <w:sz w:val="24"/>
          <w:szCs w:val="24"/>
        </w:rPr>
        <w:t xml:space="preserve">W ust. 5 przesadzono natomiast że w przypadku, gdy minister właściwy do spraw rozwoju regionalnego jest instytucją odpowiedzialną za realizację reformy lub instytucją odpowiedzialną za realizację inwestycji podejmuje on decyzję o realizacji reformy lub decyzję o realizacji inwestycji. W decyzji minister będzie obowiązany zawrzeć takie same elementy jak w przypadku postanowienia.  </w:t>
      </w:r>
    </w:p>
    <w:p w14:paraId="2F92487A" w14:textId="77777777" w:rsidR="00C93093" w:rsidRPr="0040535D" w:rsidRDefault="00C7219F" w:rsidP="002B30D0">
      <w:pPr>
        <w:spacing w:after="0" w:line="360" w:lineRule="auto"/>
        <w:jc w:val="both"/>
        <w:rPr>
          <w:rFonts w:ascii="Times New Roman" w:hAnsi="Times New Roman"/>
          <w:sz w:val="24"/>
          <w:szCs w:val="24"/>
        </w:rPr>
      </w:pPr>
      <w:r w:rsidRPr="0040535D">
        <w:rPr>
          <w:rFonts w:ascii="Times New Roman" w:hAnsi="Times New Roman"/>
          <w:sz w:val="24"/>
          <w:szCs w:val="24"/>
        </w:rPr>
        <w:lastRenderedPageBreak/>
        <w:t xml:space="preserve">W art. </w:t>
      </w:r>
      <w:r w:rsidR="00791BB8" w:rsidRPr="0040535D">
        <w:rPr>
          <w:rFonts w:ascii="Times New Roman" w:hAnsi="Times New Roman"/>
          <w:sz w:val="24"/>
          <w:szCs w:val="24"/>
        </w:rPr>
        <w:t xml:space="preserve">14lf </w:t>
      </w:r>
      <w:r w:rsidR="005A47FE" w:rsidRPr="0040535D">
        <w:rPr>
          <w:rFonts w:ascii="Times New Roman" w:hAnsi="Times New Roman"/>
          <w:sz w:val="24"/>
          <w:szCs w:val="24"/>
        </w:rPr>
        <w:t>wskazano, że jeżeli ustawa nie stanowi inaczej, zadania państwa członkowskiego wskazane w rozporządzeniu 2021/241 wykonuje minister właściwy do spraw rozwoju regionalnego</w:t>
      </w:r>
      <w:r w:rsidR="00C60880" w:rsidRPr="0040535D">
        <w:rPr>
          <w:rFonts w:ascii="Times New Roman" w:hAnsi="Times New Roman"/>
          <w:sz w:val="24"/>
          <w:szCs w:val="24"/>
        </w:rPr>
        <w:t xml:space="preserve">, doprecyzowując jednocześnie  zadania w zakresie negocjacji i podpisania umowy pożyczki, o której mowa w art. 6 ust. 1 lit. b. </w:t>
      </w:r>
      <w:r w:rsidR="000A12AE" w:rsidRPr="0040535D">
        <w:rPr>
          <w:rFonts w:ascii="Times New Roman" w:hAnsi="Times New Roman"/>
          <w:sz w:val="24"/>
          <w:szCs w:val="24"/>
        </w:rPr>
        <w:t>r</w:t>
      </w:r>
      <w:r w:rsidR="00C60880" w:rsidRPr="0040535D">
        <w:rPr>
          <w:rFonts w:ascii="Times New Roman" w:hAnsi="Times New Roman"/>
          <w:sz w:val="24"/>
          <w:szCs w:val="24"/>
        </w:rPr>
        <w:t>ozporządzenia 2021/241.</w:t>
      </w:r>
      <w:r w:rsidR="005A47FE" w:rsidRPr="0040535D">
        <w:rPr>
          <w:rFonts w:ascii="Times New Roman" w:hAnsi="Times New Roman"/>
          <w:sz w:val="24"/>
          <w:szCs w:val="24"/>
        </w:rPr>
        <w:t xml:space="preserve"> W rozporządzeniu 2021/241 uregulowano głównie relacje występujące na linii Komisja Europejska i państwo członkowskie, skupiając się na obowiązkach ww. podmiotów. Przykładami zadań państwa członkowskiego realizowanymi przez podmioty inne niż minister właściwy do spraw rozwoju regionalnego są np. audyty, za realizację których odpowiada Szef Krajowej Administracji Skarbowej.</w:t>
      </w:r>
    </w:p>
    <w:p w14:paraId="19F33C60" w14:textId="77777777" w:rsidR="00624CE0" w:rsidRPr="0040535D" w:rsidRDefault="004075EF" w:rsidP="004B71D0">
      <w:pPr>
        <w:spacing w:after="0" w:line="360" w:lineRule="auto"/>
        <w:jc w:val="both"/>
        <w:rPr>
          <w:rFonts w:ascii="Times New Roman" w:hAnsi="Times New Roman"/>
          <w:sz w:val="24"/>
          <w:szCs w:val="24"/>
        </w:rPr>
      </w:pPr>
      <w:r w:rsidRPr="0040535D">
        <w:rPr>
          <w:rFonts w:ascii="Times New Roman" w:hAnsi="Times New Roman"/>
          <w:sz w:val="24"/>
          <w:szCs w:val="24"/>
        </w:rPr>
        <w:t xml:space="preserve">W art. </w:t>
      </w:r>
      <w:r w:rsidR="00791BB8" w:rsidRPr="0040535D">
        <w:rPr>
          <w:rFonts w:ascii="Times New Roman" w:hAnsi="Times New Roman"/>
          <w:sz w:val="24"/>
          <w:szCs w:val="24"/>
        </w:rPr>
        <w:t xml:space="preserve">14lg </w:t>
      </w:r>
      <w:r w:rsidR="00976E8C" w:rsidRPr="0040535D">
        <w:rPr>
          <w:rFonts w:ascii="Times New Roman" w:hAnsi="Times New Roman"/>
          <w:sz w:val="24"/>
          <w:szCs w:val="24"/>
        </w:rPr>
        <w:t xml:space="preserve">i art. 14lh </w:t>
      </w:r>
      <w:r w:rsidR="005A47FE" w:rsidRPr="0040535D">
        <w:rPr>
          <w:rFonts w:ascii="Times New Roman" w:hAnsi="Times New Roman"/>
          <w:sz w:val="24"/>
          <w:szCs w:val="24"/>
        </w:rPr>
        <w:t>zawarto regulacj</w:t>
      </w:r>
      <w:r w:rsidR="00976E8C" w:rsidRPr="0040535D">
        <w:rPr>
          <w:rFonts w:ascii="Times New Roman" w:hAnsi="Times New Roman"/>
          <w:sz w:val="24"/>
          <w:szCs w:val="24"/>
        </w:rPr>
        <w:t>e</w:t>
      </w:r>
      <w:r w:rsidR="005A47FE" w:rsidRPr="0040535D">
        <w:rPr>
          <w:rFonts w:ascii="Times New Roman" w:hAnsi="Times New Roman"/>
          <w:sz w:val="24"/>
          <w:szCs w:val="24"/>
        </w:rPr>
        <w:t xml:space="preserve"> dotycząc</w:t>
      </w:r>
      <w:r w:rsidR="00976E8C" w:rsidRPr="0040535D">
        <w:rPr>
          <w:rFonts w:ascii="Times New Roman" w:hAnsi="Times New Roman"/>
          <w:sz w:val="24"/>
          <w:szCs w:val="24"/>
        </w:rPr>
        <w:t>e odpowiednio</w:t>
      </w:r>
      <w:r w:rsidR="005A47FE" w:rsidRPr="0040535D">
        <w:rPr>
          <w:rFonts w:ascii="Times New Roman" w:hAnsi="Times New Roman"/>
          <w:sz w:val="24"/>
          <w:szCs w:val="24"/>
        </w:rPr>
        <w:t xml:space="preserve"> instytucji odpowiedzialnej za realizację reformy</w:t>
      </w:r>
      <w:r w:rsidR="00976E8C" w:rsidRPr="0040535D">
        <w:rPr>
          <w:rFonts w:ascii="Times New Roman" w:hAnsi="Times New Roman"/>
          <w:sz w:val="24"/>
          <w:szCs w:val="24"/>
        </w:rPr>
        <w:t xml:space="preserve"> i instytucji odpowiedzialnej za realizację inwestycji </w:t>
      </w:r>
      <w:r w:rsidR="000A12AE" w:rsidRPr="0040535D">
        <w:rPr>
          <w:rFonts w:ascii="Times New Roman" w:hAnsi="Times New Roman"/>
          <w:sz w:val="24"/>
          <w:szCs w:val="24"/>
        </w:rPr>
        <w:t>wskazując</w:t>
      </w:r>
      <w:r w:rsidR="00624CE0" w:rsidRPr="0040535D">
        <w:rPr>
          <w:rFonts w:ascii="Times New Roman" w:hAnsi="Times New Roman"/>
          <w:sz w:val="24"/>
          <w:szCs w:val="24"/>
        </w:rPr>
        <w:t xml:space="preserve"> przykładowe zadania, które wykonuj</w:t>
      </w:r>
      <w:r w:rsidR="00976E8C" w:rsidRPr="0040535D">
        <w:rPr>
          <w:rFonts w:ascii="Times New Roman" w:hAnsi="Times New Roman"/>
          <w:sz w:val="24"/>
          <w:szCs w:val="24"/>
        </w:rPr>
        <w:t>ą</w:t>
      </w:r>
      <w:r w:rsidR="00624CE0" w:rsidRPr="0040535D">
        <w:rPr>
          <w:rFonts w:ascii="Times New Roman" w:hAnsi="Times New Roman"/>
          <w:sz w:val="24"/>
          <w:szCs w:val="24"/>
        </w:rPr>
        <w:t xml:space="preserve"> </w:t>
      </w:r>
      <w:r w:rsidR="00976E8C" w:rsidRPr="0040535D">
        <w:rPr>
          <w:rFonts w:ascii="Times New Roman" w:hAnsi="Times New Roman"/>
          <w:sz w:val="24"/>
          <w:szCs w:val="24"/>
        </w:rPr>
        <w:t xml:space="preserve">te </w:t>
      </w:r>
      <w:r w:rsidR="00624CE0" w:rsidRPr="0040535D">
        <w:rPr>
          <w:rFonts w:ascii="Times New Roman" w:hAnsi="Times New Roman"/>
          <w:sz w:val="24"/>
          <w:szCs w:val="24"/>
        </w:rPr>
        <w:t>instytucj</w:t>
      </w:r>
      <w:r w:rsidR="00976E8C" w:rsidRPr="0040535D">
        <w:rPr>
          <w:rFonts w:ascii="Times New Roman" w:hAnsi="Times New Roman"/>
          <w:sz w:val="24"/>
          <w:szCs w:val="24"/>
        </w:rPr>
        <w:t>e</w:t>
      </w:r>
      <w:r w:rsidR="00624CE0" w:rsidRPr="0040535D">
        <w:rPr>
          <w:rFonts w:ascii="Times New Roman" w:hAnsi="Times New Roman"/>
          <w:sz w:val="24"/>
          <w:szCs w:val="24"/>
        </w:rPr>
        <w:t xml:space="preserve"> w procesie wdrażania planu rozwojowego</w:t>
      </w:r>
      <w:r w:rsidR="005A47FE" w:rsidRPr="0040535D">
        <w:rPr>
          <w:rFonts w:ascii="Times New Roman" w:hAnsi="Times New Roman"/>
          <w:sz w:val="24"/>
          <w:szCs w:val="24"/>
        </w:rPr>
        <w:t xml:space="preserve">. </w:t>
      </w:r>
      <w:r w:rsidRPr="0040535D">
        <w:rPr>
          <w:rFonts w:ascii="Times New Roman" w:hAnsi="Times New Roman"/>
          <w:sz w:val="24"/>
          <w:szCs w:val="24"/>
        </w:rPr>
        <w:t xml:space="preserve">Zgodnie z treścią art. </w:t>
      </w:r>
      <w:r w:rsidR="00791BB8" w:rsidRPr="0040535D">
        <w:rPr>
          <w:rFonts w:ascii="Times New Roman" w:hAnsi="Times New Roman"/>
          <w:sz w:val="24"/>
          <w:szCs w:val="24"/>
        </w:rPr>
        <w:t xml:space="preserve">14li </w:t>
      </w:r>
      <w:r w:rsidR="005A47FE" w:rsidRPr="0040535D">
        <w:rPr>
          <w:rFonts w:ascii="Times New Roman" w:hAnsi="Times New Roman"/>
          <w:sz w:val="24"/>
          <w:szCs w:val="24"/>
        </w:rPr>
        <w:t>ust. 1, instytucja odpowiedzialna za realizację inwestycji może powierzyć realizację zadań związanych z jej realizacją jednostce ws</w:t>
      </w:r>
      <w:r w:rsidRPr="0040535D">
        <w:rPr>
          <w:rFonts w:ascii="Times New Roman" w:hAnsi="Times New Roman"/>
          <w:sz w:val="24"/>
          <w:szCs w:val="24"/>
        </w:rPr>
        <w:t>pierającej plan rozwojowy</w:t>
      </w:r>
      <w:r w:rsidR="00D70AAB">
        <w:rPr>
          <w:rFonts w:ascii="Times New Roman" w:hAnsi="Times New Roman"/>
          <w:sz w:val="24"/>
          <w:szCs w:val="24"/>
        </w:rPr>
        <w:t xml:space="preserve"> </w:t>
      </w:r>
      <w:r w:rsidR="005A47FE" w:rsidRPr="0040535D">
        <w:rPr>
          <w:rFonts w:ascii="Times New Roman" w:hAnsi="Times New Roman"/>
          <w:sz w:val="24"/>
          <w:szCs w:val="24"/>
        </w:rPr>
        <w:t xml:space="preserve">Powierzenie realizacji zadań następuje w drodze umowy </w:t>
      </w:r>
      <w:r w:rsidR="00027C2E" w:rsidRPr="0040535D">
        <w:rPr>
          <w:rFonts w:ascii="Times New Roman" w:hAnsi="Times New Roman"/>
          <w:sz w:val="24"/>
          <w:szCs w:val="24"/>
        </w:rPr>
        <w:t>lub</w:t>
      </w:r>
      <w:r w:rsidR="005A47FE" w:rsidRPr="0040535D">
        <w:rPr>
          <w:rFonts w:ascii="Times New Roman" w:hAnsi="Times New Roman"/>
          <w:sz w:val="24"/>
          <w:szCs w:val="24"/>
        </w:rPr>
        <w:t xml:space="preserve"> porozumienia</w:t>
      </w:r>
      <w:r w:rsidR="005E6479">
        <w:rPr>
          <w:rFonts w:ascii="Times New Roman" w:hAnsi="Times New Roman"/>
          <w:sz w:val="24"/>
          <w:szCs w:val="24"/>
        </w:rPr>
        <w:t xml:space="preserve">. </w:t>
      </w:r>
      <w:r w:rsidR="005A47FE" w:rsidRPr="0040535D">
        <w:rPr>
          <w:rFonts w:ascii="Times New Roman" w:hAnsi="Times New Roman"/>
          <w:sz w:val="24"/>
          <w:szCs w:val="24"/>
        </w:rPr>
        <w:t xml:space="preserve">Umowa </w:t>
      </w:r>
      <w:r w:rsidR="00027C2E" w:rsidRPr="0040535D">
        <w:rPr>
          <w:rFonts w:ascii="Times New Roman" w:hAnsi="Times New Roman"/>
          <w:sz w:val="24"/>
          <w:szCs w:val="24"/>
        </w:rPr>
        <w:t>lub</w:t>
      </w:r>
      <w:r w:rsidR="005A47FE" w:rsidRPr="0040535D">
        <w:rPr>
          <w:rFonts w:ascii="Times New Roman" w:hAnsi="Times New Roman"/>
          <w:sz w:val="24"/>
          <w:szCs w:val="24"/>
        </w:rPr>
        <w:t xml:space="preserve"> porozumienie określają zakres powierzonych zadań oraz zasady odpowiedzialności za ich </w:t>
      </w:r>
      <w:r w:rsidR="000E71E2" w:rsidRPr="0040535D">
        <w:rPr>
          <w:rFonts w:ascii="Times New Roman" w:hAnsi="Times New Roman"/>
          <w:sz w:val="24"/>
          <w:szCs w:val="24"/>
        </w:rPr>
        <w:t xml:space="preserve">nieprawidłową </w:t>
      </w:r>
      <w:r w:rsidR="005A47FE" w:rsidRPr="0040535D">
        <w:rPr>
          <w:rFonts w:ascii="Times New Roman" w:hAnsi="Times New Roman"/>
          <w:sz w:val="24"/>
          <w:szCs w:val="24"/>
        </w:rPr>
        <w:t>realizację, mogą zawierać również inne postanowienia np. w zakresie współpracy stron porozumienia lub umowy (ust. 2). Ustawa nie przesądza tego, jakie zadania mogą zostać powierzone przez instytucję odpowiedzialną za realizację inwestycji jednostce ws</w:t>
      </w:r>
      <w:r w:rsidR="00C97037" w:rsidRPr="0040535D">
        <w:rPr>
          <w:rFonts w:ascii="Times New Roman" w:hAnsi="Times New Roman"/>
          <w:sz w:val="24"/>
          <w:szCs w:val="24"/>
        </w:rPr>
        <w:t>pierającej plan rozwojowy</w:t>
      </w:r>
      <w:r w:rsidR="005A47FE" w:rsidRPr="0040535D">
        <w:rPr>
          <w:rFonts w:ascii="Times New Roman" w:hAnsi="Times New Roman"/>
          <w:sz w:val="24"/>
          <w:szCs w:val="24"/>
        </w:rPr>
        <w:t>, nie wskazuje również, że realizacja jakichś zadań nie może zostać powierzona ww. jednostce. Ustawa nie reguluje również zagadnienia odpowiedzialności za nieprawidłową realizację powierzonych zadań, choć poza postanowieniami umownymi zastosowanie w tym zakresie będą mogły znaleźć także przepisy prawa powszechnie obowiązującego, w szczególności z zakresu dyscypliny finansów publicznych.</w:t>
      </w:r>
      <w:r w:rsidR="00624CE0" w:rsidRPr="0040535D">
        <w:rPr>
          <w:rFonts w:ascii="Times New Roman" w:hAnsi="Times New Roman"/>
          <w:sz w:val="24"/>
          <w:szCs w:val="24"/>
        </w:rPr>
        <w:t xml:space="preserve"> </w:t>
      </w:r>
    </w:p>
    <w:p w14:paraId="235FF05D" w14:textId="77777777" w:rsidR="005A47FE" w:rsidRPr="0040535D" w:rsidRDefault="00624CE0" w:rsidP="00312C3F">
      <w:pPr>
        <w:spacing w:after="0" w:line="360" w:lineRule="auto"/>
        <w:jc w:val="both"/>
        <w:rPr>
          <w:rFonts w:ascii="Times New Roman" w:hAnsi="Times New Roman"/>
          <w:sz w:val="24"/>
          <w:szCs w:val="24"/>
        </w:rPr>
      </w:pPr>
      <w:r w:rsidRPr="0040535D">
        <w:rPr>
          <w:rFonts w:ascii="Times New Roman" w:hAnsi="Times New Roman"/>
          <w:sz w:val="24"/>
          <w:szCs w:val="24"/>
        </w:rPr>
        <w:t>W ust. 3 jednoznacznie przesądzono natomiast, że powierzenie jednostce wspierającej plan rozwojowy zadań</w:t>
      </w:r>
      <w:r w:rsidR="00027C2E" w:rsidRPr="0040535D">
        <w:rPr>
          <w:rFonts w:ascii="Times New Roman" w:hAnsi="Times New Roman"/>
          <w:sz w:val="24"/>
          <w:szCs w:val="24"/>
        </w:rPr>
        <w:t xml:space="preserve"> </w:t>
      </w:r>
      <w:r w:rsidRPr="0040535D">
        <w:rPr>
          <w:rFonts w:ascii="Times New Roman" w:hAnsi="Times New Roman"/>
          <w:sz w:val="24"/>
          <w:szCs w:val="24"/>
        </w:rPr>
        <w:t>nie wyłącza odpowiedzialności podmiotu odpowiedzialnego za ich realizację.</w:t>
      </w:r>
    </w:p>
    <w:p w14:paraId="3294F02F" w14:textId="77777777" w:rsidR="0016588A" w:rsidRPr="0040535D" w:rsidRDefault="0016588A" w:rsidP="00100244">
      <w:pPr>
        <w:spacing w:after="0" w:line="360" w:lineRule="auto"/>
        <w:jc w:val="both"/>
        <w:rPr>
          <w:rFonts w:ascii="Times New Roman" w:hAnsi="Times New Roman"/>
          <w:sz w:val="24"/>
          <w:szCs w:val="24"/>
        </w:rPr>
      </w:pPr>
    </w:p>
    <w:p w14:paraId="16CF1118" w14:textId="77777777" w:rsidR="00BA248E" w:rsidRPr="0040535D" w:rsidRDefault="00BA248E" w:rsidP="009A0EE5">
      <w:pPr>
        <w:spacing w:line="360" w:lineRule="auto"/>
        <w:jc w:val="both"/>
        <w:rPr>
          <w:rFonts w:ascii="Times New Roman" w:hAnsi="Times New Roman"/>
          <w:sz w:val="24"/>
          <w:szCs w:val="24"/>
        </w:rPr>
      </w:pPr>
      <w:r w:rsidRPr="0040535D">
        <w:rPr>
          <w:rFonts w:ascii="Times New Roman" w:hAnsi="Times New Roman"/>
          <w:sz w:val="24"/>
          <w:szCs w:val="24"/>
        </w:rPr>
        <w:t>Zgodnie z art. 14lj za realizację zadań związanych z finansowaniem inwestycji w formie wsparcia  zwrotnego</w:t>
      </w:r>
      <w:r w:rsidR="00303D38" w:rsidRPr="0040535D">
        <w:rPr>
          <w:rFonts w:ascii="Times New Roman" w:hAnsi="Times New Roman"/>
          <w:sz w:val="24"/>
          <w:szCs w:val="24"/>
        </w:rPr>
        <w:t>, w tym wsparcia zwrotnego w formie pożyczek, o których mowa w art. 14ll ust. 2 pkt 1,</w:t>
      </w:r>
      <w:r w:rsidR="00553554">
        <w:rPr>
          <w:rFonts w:ascii="Times New Roman" w:hAnsi="Times New Roman"/>
          <w:sz w:val="24"/>
          <w:szCs w:val="24"/>
        </w:rPr>
        <w:t xml:space="preserve"> </w:t>
      </w:r>
      <w:r w:rsidRPr="0040535D">
        <w:rPr>
          <w:rFonts w:ascii="Times New Roman" w:hAnsi="Times New Roman"/>
          <w:sz w:val="24"/>
          <w:szCs w:val="24"/>
        </w:rPr>
        <w:t xml:space="preserve">odpowiada instytucja odpowiedzialna za inwestycję. Instytucja ta może powierzyć Bankowi Gospodarstwa Krajowemu realizację zadań związanych z wyborem i finansowaniem przedsięwzięć ostatecznych odbiorców wsparcia. BGK jako państwowy bank </w:t>
      </w:r>
      <w:r w:rsidRPr="0040535D">
        <w:rPr>
          <w:rFonts w:ascii="Times New Roman" w:hAnsi="Times New Roman"/>
          <w:sz w:val="24"/>
          <w:szCs w:val="24"/>
        </w:rPr>
        <w:lastRenderedPageBreak/>
        <w:t xml:space="preserve">rozwoju, którego misją jest wspieranie zrównoważonego rozwoju społeczno-gospodarczego kraju, jest instytucją finansową posiadającą wieloletnie doświadczenie w  finansowaniu różnych przedsięwzięć rozwojowych z wykorzystaniem instrumentów dłużnych, gwarancyjnych i kapitałowych. Podobnie jak w przypadku instrumentów finansowych wdrażanych ze środków programów operacyjnych polityki spójności, BGK może dokonywać wyboru przedsięwzięć i przekazywać im finansowanie bezpośrednio albo z wykorzystaniem tzw. pośredników finansowych – podmiotów wyspecjalizowanych w określonych rodzajach finansowania (np. banki komercyjne i spółdzielcze, fundusze pożyczkowe, fundusze </w:t>
      </w:r>
      <w:proofErr w:type="spellStart"/>
      <w:r w:rsidRPr="0040535D">
        <w:rPr>
          <w:rFonts w:ascii="Times New Roman" w:hAnsi="Times New Roman"/>
          <w:sz w:val="24"/>
          <w:szCs w:val="24"/>
        </w:rPr>
        <w:t>private</w:t>
      </w:r>
      <w:proofErr w:type="spellEnd"/>
      <w:r w:rsidRPr="0040535D">
        <w:rPr>
          <w:rFonts w:ascii="Times New Roman" w:hAnsi="Times New Roman"/>
          <w:sz w:val="24"/>
          <w:szCs w:val="24"/>
        </w:rPr>
        <w:t xml:space="preserve"> equity/venture </w:t>
      </w:r>
      <w:proofErr w:type="spellStart"/>
      <w:r w:rsidRPr="0040535D">
        <w:rPr>
          <w:rFonts w:ascii="Times New Roman" w:hAnsi="Times New Roman"/>
          <w:sz w:val="24"/>
          <w:szCs w:val="24"/>
        </w:rPr>
        <w:t>capital</w:t>
      </w:r>
      <w:proofErr w:type="spellEnd"/>
      <w:r w:rsidRPr="0040535D">
        <w:rPr>
          <w:rFonts w:ascii="Times New Roman" w:hAnsi="Times New Roman"/>
          <w:sz w:val="24"/>
          <w:szCs w:val="24"/>
        </w:rPr>
        <w:t xml:space="preserve">). </w:t>
      </w:r>
      <w:r w:rsidR="00F3519C">
        <w:rPr>
          <w:rFonts w:ascii="Times New Roman" w:hAnsi="Times New Roman"/>
          <w:sz w:val="24"/>
          <w:szCs w:val="24"/>
        </w:rPr>
        <w:t xml:space="preserve">Zadania związane z realizacją inwestycji może realizować również </w:t>
      </w:r>
      <w:r w:rsidR="00F3519C" w:rsidRPr="00F3519C">
        <w:rPr>
          <w:rFonts w:ascii="Times New Roman" w:hAnsi="Times New Roman"/>
          <w:sz w:val="24"/>
          <w:szCs w:val="24"/>
        </w:rPr>
        <w:t>Narodowy Fundusz Ochrony Środowiska i Gospodarki Wodnej</w:t>
      </w:r>
      <w:r w:rsidR="00F3519C">
        <w:rPr>
          <w:rFonts w:ascii="Times New Roman" w:hAnsi="Times New Roman"/>
          <w:sz w:val="24"/>
          <w:szCs w:val="24"/>
        </w:rPr>
        <w:t xml:space="preserve"> (NFOŚ)</w:t>
      </w:r>
      <w:r w:rsidR="00F3519C" w:rsidRPr="00F3519C">
        <w:rPr>
          <w:rFonts w:ascii="Times New Roman" w:hAnsi="Times New Roman"/>
          <w:sz w:val="24"/>
          <w:szCs w:val="24"/>
        </w:rPr>
        <w:t>, na podstawie i w zakresie umowy zawartej z instytucją odpowiedzialną za realizację inwestycji – w zakresie inwestycji finansowanych w formie pożyczek, o których mowa w art. 14ll ust. 2 pkt 1</w:t>
      </w:r>
      <w:r w:rsidR="00F3519C">
        <w:rPr>
          <w:rFonts w:ascii="Times New Roman" w:hAnsi="Times New Roman"/>
          <w:sz w:val="24"/>
          <w:szCs w:val="24"/>
        </w:rPr>
        <w:t>.</w:t>
      </w:r>
    </w:p>
    <w:p w14:paraId="20CF8D47" w14:textId="77777777" w:rsidR="00BA248E" w:rsidRPr="0040535D" w:rsidRDefault="00BA248E" w:rsidP="009A0EE5">
      <w:pPr>
        <w:spacing w:line="360" w:lineRule="auto"/>
        <w:jc w:val="both"/>
        <w:rPr>
          <w:rFonts w:ascii="Times New Roman" w:hAnsi="Times New Roman"/>
          <w:sz w:val="24"/>
          <w:szCs w:val="24"/>
        </w:rPr>
      </w:pPr>
      <w:r w:rsidRPr="0040535D">
        <w:rPr>
          <w:rFonts w:ascii="Times New Roman" w:hAnsi="Times New Roman"/>
          <w:sz w:val="24"/>
          <w:szCs w:val="24"/>
        </w:rPr>
        <w:t>Szczegółowe zasady wyboru i finansowania przedsięwzięć określone będą w umowie zawieranej przez instytucję odpowiedzialną za inwestycję</w:t>
      </w:r>
      <w:r w:rsidR="00F3519C">
        <w:rPr>
          <w:rFonts w:ascii="Times New Roman" w:hAnsi="Times New Roman"/>
          <w:sz w:val="24"/>
          <w:szCs w:val="24"/>
        </w:rPr>
        <w:t>,</w:t>
      </w:r>
      <w:r w:rsidRPr="0040535D">
        <w:rPr>
          <w:rFonts w:ascii="Times New Roman" w:hAnsi="Times New Roman"/>
          <w:sz w:val="24"/>
          <w:szCs w:val="24"/>
        </w:rPr>
        <w:t xml:space="preserve"> BGK</w:t>
      </w:r>
      <w:r w:rsidR="00F3519C">
        <w:rPr>
          <w:rFonts w:ascii="Times New Roman" w:hAnsi="Times New Roman"/>
          <w:sz w:val="24"/>
          <w:szCs w:val="24"/>
        </w:rPr>
        <w:t xml:space="preserve"> oraz NFOŚ</w:t>
      </w:r>
      <w:r w:rsidRPr="0040535D">
        <w:rPr>
          <w:rFonts w:ascii="Times New Roman" w:hAnsi="Times New Roman"/>
          <w:sz w:val="24"/>
          <w:szCs w:val="24"/>
        </w:rPr>
        <w:t xml:space="preserve">. </w:t>
      </w:r>
      <w:r w:rsidR="005C20AE" w:rsidRPr="0040535D">
        <w:rPr>
          <w:rFonts w:ascii="Times New Roman" w:hAnsi="Times New Roman"/>
          <w:sz w:val="24"/>
          <w:szCs w:val="24"/>
        </w:rPr>
        <w:t xml:space="preserve">W </w:t>
      </w:r>
      <w:r w:rsidR="00F3519C" w:rsidRPr="0040535D">
        <w:rPr>
          <w:rFonts w:ascii="Times New Roman" w:hAnsi="Times New Roman"/>
          <w:sz w:val="24"/>
          <w:szCs w:val="24"/>
        </w:rPr>
        <w:t>umow</w:t>
      </w:r>
      <w:r w:rsidR="00F3519C">
        <w:rPr>
          <w:rFonts w:ascii="Times New Roman" w:hAnsi="Times New Roman"/>
          <w:sz w:val="24"/>
          <w:szCs w:val="24"/>
        </w:rPr>
        <w:t>ie</w:t>
      </w:r>
      <w:r w:rsidR="00F3519C" w:rsidRPr="0040535D">
        <w:rPr>
          <w:rFonts w:ascii="Times New Roman" w:hAnsi="Times New Roman"/>
          <w:sz w:val="24"/>
          <w:szCs w:val="24"/>
        </w:rPr>
        <w:t xml:space="preserve"> </w:t>
      </w:r>
      <w:r w:rsidR="005C20AE" w:rsidRPr="0040535D">
        <w:rPr>
          <w:rFonts w:ascii="Times New Roman" w:hAnsi="Times New Roman"/>
          <w:sz w:val="24"/>
          <w:szCs w:val="24"/>
        </w:rPr>
        <w:t xml:space="preserve">zawarte zostaną postanowienia </w:t>
      </w:r>
      <w:r w:rsidRPr="0040535D">
        <w:rPr>
          <w:rFonts w:ascii="Times New Roman" w:hAnsi="Times New Roman"/>
          <w:sz w:val="24"/>
          <w:szCs w:val="24"/>
        </w:rPr>
        <w:t xml:space="preserve"> dotyczące min.  strategii inwestycyjnej i sposobu jej wdrażania, w tym określi, czy BGK będzie realizował wyznaczone zadania związane z wyborem i finansowaniem przedsięwzięć bezpośrednio, czy też z wykorzystaniem pośredników finansowych. </w:t>
      </w:r>
      <w:r w:rsidR="005C20AE" w:rsidRPr="0040535D">
        <w:rPr>
          <w:rFonts w:ascii="Times New Roman" w:hAnsi="Times New Roman"/>
          <w:sz w:val="24"/>
          <w:szCs w:val="24"/>
        </w:rPr>
        <w:t>Umowa określi</w:t>
      </w:r>
      <w:r w:rsidRPr="0040535D">
        <w:rPr>
          <w:rFonts w:ascii="Times New Roman" w:hAnsi="Times New Roman"/>
          <w:sz w:val="24"/>
          <w:szCs w:val="24"/>
        </w:rPr>
        <w:t xml:space="preserve"> także cele oraz wskaźniki służące do monitorowania i oceny realizacji inwestycji. Dokument ten </w:t>
      </w:r>
      <w:r w:rsidR="005C20AE" w:rsidRPr="0040535D">
        <w:rPr>
          <w:rFonts w:ascii="Times New Roman" w:hAnsi="Times New Roman"/>
          <w:sz w:val="24"/>
          <w:szCs w:val="24"/>
        </w:rPr>
        <w:t xml:space="preserve">będzie </w:t>
      </w:r>
      <w:r w:rsidRPr="0040535D">
        <w:rPr>
          <w:rFonts w:ascii="Times New Roman" w:hAnsi="Times New Roman"/>
          <w:sz w:val="24"/>
          <w:szCs w:val="24"/>
        </w:rPr>
        <w:t>zawiera</w:t>
      </w:r>
      <w:r w:rsidR="005C20AE" w:rsidRPr="0040535D">
        <w:rPr>
          <w:rFonts w:ascii="Times New Roman" w:hAnsi="Times New Roman"/>
          <w:sz w:val="24"/>
          <w:szCs w:val="24"/>
        </w:rPr>
        <w:t>ł</w:t>
      </w:r>
      <w:r w:rsidRPr="0040535D">
        <w:rPr>
          <w:rFonts w:ascii="Times New Roman" w:hAnsi="Times New Roman"/>
          <w:sz w:val="24"/>
          <w:szCs w:val="24"/>
        </w:rPr>
        <w:t xml:space="preserve"> również postanowienia dotyczące sposobu postępowania z odsetkami i innymi przychodami </w:t>
      </w:r>
      <w:r w:rsidR="0078351E" w:rsidRPr="0040535D">
        <w:rPr>
          <w:rFonts w:ascii="Times New Roman" w:hAnsi="Times New Roman"/>
          <w:sz w:val="24"/>
          <w:szCs w:val="24"/>
        </w:rPr>
        <w:t xml:space="preserve">i zyskami </w:t>
      </w:r>
      <w:r w:rsidRPr="0040535D">
        <w:rPr>
          <w:rFonts w:ascii="Times New Roman" w:hAnsi="Times New Roman"/>
          <w:sz w:val="24"/>
          <w:szCs w:val="24"/>
        </w:rPr>
        <w:t xml:space="preserve">pochodzącymi od wkładu finansowego przekazanego na finansowanie przedsięwzięć. </w:t>
      </w:r>
      <w:r w:rsidR="005C20AE" w:rsidRPr="0040535D">
        <w:rPr>
          <w:rFonts w:ascii="Times New Roman" w:hAnsi="Times New Roman"/>
          <w:sz w:val="24"/>
          <w:szCs w:val="24"/>
        </w:rPr>
        <w:t>W umowie znajd</w:t>
      </w:r>
      <w:r w:rsidR="00553554">
        <w:rPr>
          <w:rFonts w:ascii="Times New Roman" w:hAnsi="Times New Roman"/>
          <w:sz w:val="24"/>
          <w:szCs w:val="24"/>
        </w:rPr>
        <w:t>ą</w:t>
      </w:r>
      <w:r w:rsidR="005C20AE" w:rsidRPr="0040535D">
        <w:rPr>
          <w:rFonts w:ascii="Times New Roman" w:hAnsi="Times New Roman"/>
          <w:sz w:val="24"/>
          <w:szCs w:val="24"/>
        </w:rPr>
        <w:t xml:space="preserve"> się</w:t>
      </w:r>
      <w:r w:rsidRPr="0040535D">
        <w:rPr>
          <w:rFonts w:ascii="Times New Roman" w:hAnsi="Times New Roman"/>
          <w:sz w:val="24"/>
          <w:szCs w:val="24"/>
        </w:rPr>
        <w:t xml:space="preserve"> także zobowiązania dotyczące wytwarzania i przechowywania dokumentów na potrzeby kontroli i audytu. Częścią umowy </w:t>
      </w:r>
      <w:r w:rsidR="005C20AE" w:rsidRPr="0040535D">
        <w:rPr>
          <w:rFonts w:ascii="Times New Roman" w:hAnsi="Times New Roman"/>
          <w:sz w:val="24"/>
          <w:szCs w:val="24"/>
        </w:rPr>
        <w:t>będą</w:t>
      </w:r>
      <w:r w:rsidRPr="0040535D">
        <w:rPr>
          <w:rFonts w:ascii="Times New Roman" w:hAnsi="Times New Roman"/>
          <w:sz w:val="24"/>
          <w:szCs w:val="24"/>
        </w:rPr>
        <w:t xml:space="preserve"> również zapisy dotyczące zasad dotyczących wynagrodzenia należnego BGK za zarządzanie instrumentem. Dokument określ</w:t>
      </w:r>
      <w:r w:rsidR="005C20AE" w:rsidRPr="0040535D">
        <w:rPr>
          <w:rFonts w:ascii="Times New Roman" w:hAnsi="Times New Roman"/>
          <w:sz w:val="24"/>
          <w:szCs w:val="24"/>
        </w:rPr>
        <w:t>i</w:t>
      </w:r>
      <w:r w:rsidRPr="0040535D">
        <w:rPr>
          <w:rFonts w:ascii="Times New Roman" w:hAnsi="Times New Roman"/>
          <w:sz w:val="24"/>
          <w:szCs w:val="24"/>
        </w:rPr>
        <w:t xml:space="preserve"> </w:t>
      </w:r>
      <w:r w:rsidR="005C20AE" w:rsidRPr="0040535D">
        <w:rPr>
          <w:rFonts w:ascii="Times New Roman" w:hAnsi="Times New Roman"/>
          <w:sz w:val="24"/>
          <w:szCs w:val="24"/>
        </w:rPr>
        <w:t>ponadto</w:t>
      </w:r>
      <w:r w:rsidRPr="0040535D">
        <w:rPr>
          <w:rFonts w:ascii="Times New Roman" w:hAnsi="Times New Roman"/>
          <w:sz w:val="24"/>
          <w:szCs w:val="24"/>
        </w:rPr>
        <w:t xml:space="preserve"> zasady częściowego lub całkowitego wycofania środków przekazanych na realizację inwestycji</w:t>
      </w:r>
      <w:r w:rsidR="00553554">
        <w:rPr>
          <w:rFonts w:ascii="Times New Roman" w:hAnsi="Times New Roman"/>
          <w:sz w:val="24"/>
          <w:szCs w:val="24"/>
        </w:rPr>
        <w:t xml:space="preserve">  a także </w:t>
      </w:r>
      <w:r w:rsidR="00553554">
        <w:rPr>
          <w:rFonts w:ascii="Times New Roman" w:hAnsi="Times New Roman"/>
        </w:rPr>
        <w:t>warunki wyboru pośredników finansowych</w:t>
      </w:r>
      <w:r w:rsidR="00502D73">
        <w:rPr>
          <w:rFonts w:ascii="Times New Roman" w:hAnsi="Times New Roman"/>
        </w:rPr>
        <w:t xml:space="preserve">, </w:t>
      </w:r>
      <w:r w:rsidR="00502D73" w:rsidRPr="00502D73">
        <w:rPr>
          <w:rFonts w:ascii="Times New Roman" w:hAnsi="Times New Roman"/>
        </w:rPr>
        <w:t>z wyłączeniem inwestycji finansowanych w formie pożyczek, o których mowa w art. 14ll ust. 2 pkt 1.</w:t>
      </w:r>
    </w:p>
    <w:p w14:paraId="556BA22D" w14:textId="77777777" w:rsidR="00697676" w:rsidRPr="0040535D" w:rsidRDefault="00697676" w:rsidP="009A0EE5">
      <w:pPr>
        <w:spacing w:line="360" w:lineRule="auto"/>
        <w:jc w:val="both"/>
        <w:rPr>
          <w:rFonts w:ascii="Times New Roman" w:hAnsi="Times New Roman"/>
          <w:sz w:val="24"/>
          <w:szCs w:val="24"/>
        </w:rPr>
      </w:pPr>
      <w:r w:rsidRPr="0040535D">
        <w:rPr>
          <w:rFonts w:ascii="Times New Roman" w:hAnsi="Times New Roman"/>
          <w:sz w:val="24"/>
          <w:szCs w:val="24"/>
        </w:rPr>
        <w:t>W przypadku inwestycji finansowanych w formie wsparcia zwrotnego ze środków części pożyczkowej RRF, Bank Gospodarstwa Krajowego realizuje zadania związane z realizacją inwestycji w zakresie wsparcia zwrotnego przyznawanego w formie pożyczek.</w:t>
      </w:r>
    </w:p>
    <w:p w14:paraId="1D3979D5" w14:textId="77777777" w:rsidR="005A47FE" w:rsidRPr="0040535D" w:rsidRDefault="00C97037" w:rsidP="00345DD6">
      <w:pPr>
        <w:spacing w:after="0" w:line="360" w:lineRule="auto"/>
        <w:jc w:val="both"/>
        <w:rPr>
          <w:rFonts w:ascii="Times New Roman" w:hAnsi="Times New Roman"/>
          <w:sz w:val="24"/>
          <w:szCs w:val="24"/>
        </w:rPr>
      </w:pPr>
      <w:r w:rsidRPr="0040535D">
        <w:rPr>
          <w:rFonts w:ascii="Times New Roman" w:hAnsi="Times New Roman"/>
          <w:sz w:val="24"/>
          <w:szCs w:val="24"/>
        </w:rPr>
        <w:t xml:space="preserve">Zgodnie z art. </w:t>
      </w:r>
      <w:r w:rsidR="00BC6CB0" w:rsidRPr="0040535D">
        <w:rPr>
          <w:rFonts w:ascii="Times New Roman" w:hAnsi="Times New Roman"/>
          <w:sz w:val="24"/>
          <w:szCs w:val="24"/>
        </w:rPr>
        <w:t>14l</w:t>
      </w:r>
      <w:r w:rsidR="00791BB8" w:rsidRPr="0040535D">
        <w:rPr>
          <w:rFonts w:ascii="Times New Roman" w:hAnsi="Times New Roman"/>
          <w:sz w:val="24"/>
          <w:szCs w:val="24"/>
        </w:rPr>
        <w:t>k</w:t>
      </w:r>
      <w:r w:rsidR="00BC6CB0" w:rsidRPr="0040535D">
        <w:rPr>
          <w:rFonts w:ascii="Times New Roman" w:hAnsi="Times New Roman"/>
          <w:sz w:val="24"/>
          <w:szCs w:val="24"/>
        </w:rPr>
        <w:t xml:space="preserve"> </w:t>
      </w:r>
      <w:r w:rsidRPr="0040535D">
        <w:rPr>
          <w:rFonts w:ascii="Times New Roman" w:hAnsi="Times New Roman"/>
          <w:sz w:val="24"/>
          <w:szCs w:val="24"/>
        </w:rPr>
        <w:t>ust. 1, r</w:t>
      </w:r>
      <w:r w:rsidR="005A47FE" w:rsidRPr="0040535D">
        <w:rPr>
          <w:rFonts w:ascii="Times New Roman" w:hAnsi="Times New Roman"/>
          <w:sz w:val="24"/>
          <w:szCs w:val="24"/>
        </w:rPr>
        <w:t>ea</w:t>
      </w:r>
      <w:r w:rsidRPr="0040535D">
        <w:rPr>
          <w:rFonts w:ascii="Times New Roman" w:hAnsi="Times New Roman"/>
          <w:sz w:val="24"/>
          <w:szCs w:val="24"/>
        </w:rPr>
        <w:t>lizacja planu rozwojowego</w:t>
      </w:r>
      <w:r w:rsidR="005A47FE" w:rsidRPr="0040535D">
        <w:rPr>
          <w:rFonts w:ascii="Times New Roman" w:hAnsi="Times New Roman"/>
          <w:sz w:val="24"/>
          <w:szCs w:val="24"/>
        </w:rPr>
        <w:t xml:space="preserve"> podlega monitorowaniu przez Komitet Monitorujący d</w:t>
      </w:r>
      <w:r w:rsidRPr="0040535D">
        <w:rPr>
          <w:rFonts w:ascii="Times New Roman" w:hAnsi="Times New Roman"/>
          <w:sz w:val="24"/>
          <w:szCs w:val="24"/>
        </w:rPr>
        <w:t>o spraw planu rozwojowego</w:t>
      </w:r>
      <w:r w:rsidR="005A47FE" w:rsidRPr="0040535D">
        <w:rPr>
          <w:rFonts w:ascii="Times New Roman" w:hAnsi="Times New Roman"/>
          <w:sz w:val="24"/>
          <w:szCs w:val="24"/>
        </w:rPr>
        <w:t xml:space="preserve">, powoływany w drodze zarządzenia przez ministra </w:t>
      </w:r>
      <w:r w:rsidR="005A47FE" w:rsidRPr="0040535D">
        <w:rPr>
          <w:rFonts w:ascii="Times New Roman" w:hAnsi="Times New Roman"/>
          <w:sz w:val="24"/>
          <w:szCs w:val="24"/>
        </w:rPr>
        <w:lastRenderedPageBreak/>
        <w:t xml:space="preserve">właściwego do spraw rozwoju regionalnego (ust. 2). W skład Komitetu Monitorującego wchodzą </w:t>
      </w:r>
      <w:r w:rsidR="00F313C2" w:rsidRPr="0040535D">
        <w:rPr>
          <w:rFonts w:ascii="Times New Roman" w:hAnsi="Times New Roman"/>
          <w:sz w:val="24"/>
          <w:szCs w:val="24"/>
        </w:rPr>
        <w:t xml:space="preserve">przedstawiciele ministrów </w:t>
      </w:r>
      <w:r w:rsidR="005A47FE" w:rsidRPr="0040535D">
        <w:rPr>
          <w:rFonts w:ascii="Times New Roman" w:hAnsi="Times New Roman"/>
          <w:sz w:val="24"/>
          <w:szCs w:val="24"/>
        </w:rPr>
        <w:t>realizujący</w:t>
      </w:r>
      <w:r w:rsidR="00F313C2" w:rsidRPr="0040535D">
        <w:rPr>
          <w:rFonts w:ascii="Times New Roman" w:hAnsi="Times New Roman"/>
          <w:sz w:val="24"/>
          <w:szCs w:val="24"/>
        </w:rPr>
        <w:t>ch</w:t>
      </w:r>
      <w:r w:rsidR="005A47FE" w:rsidRPr="0040535D">
        <w:rPr>
          <w:rFonts w:ascii="Times New Roman" w:hAnsi="Times New Roman"/>
          <w:sz w:val="24"/>
          <w:szCs w:val="24"/>
        </w:rPr>
        <w:t xml:space="preserve"> określone za</w:t>
      </w:r>
      <w:r w:rsidRPr="0040535D">
        <w:rPr>
          <w:rFonts w:ascii="Times New Roman" w:hAnsi="Times New Roman"/>
          <w:sz w:val="24"/>
          <w:szCs w:val="24"/>
        </w:rPr>
        <w:t>dania w ramach planu rozwojowego</w:t>
      </w:r>
      <w:r w:rsidR="005A47FE" w:rsidRPr="0040535D">
        <w:rPr>
          <w:rFonts w:ascii="Times New Roman" w:hAnsi="Times New Roman"/>
          <w:sz w:val="24"/>
          <w:szCs w:val="24"/>
        </w:rPr>
        <w:t xml:space="preserve">, </w:t>
      </w:r>
      <w:r w:rsidR="00F313C2" w:rsidRPr="0040535D">
        <w:rPr>
          <w:rFonts w:ascii="Times New Roman" w:hAnsi="Times New Roman"/>
          <w:sz w:val="24"/>
          <w:szCs w:val="24"/>
        </w:rPr>
        <w:t>instytucji odpowiedzialnych za realizację reform</w:t>
      </w:r>
      <w:r w:rsidR="00F313C2" w:rsidRPr="0040535D" w:rsidDel="00F313C2">
        <w:rPr>
          <w:rFonts w:ascii="Times New Roman" w:hAnsi="Times New Roman"/>
          <w:sz w:val="24"/>
          <w:szCs w:val="24"/>
        </w:rPr>
        <w:t xml:space="preserve"> </w:t>
      </w:r>
      <w:r w:rsidR="00F313C2" w:rsidRPr="0040535D">
        <w:rPr>
          <w:rFonts w:ascii="Times New Roman" w:hAnsi="Times New Roman"/>
          <w:sz w:val="24"/>
          <w:szCs w:val="24"/>
        </w:rPr>
        <w:t xml:space="preserve">i instytucji odpowiedzialnych za realizację inwestycji, </w:t>
      </w:r>
      <w:r w:rsidR="005A47FE" w:rsidRPr="0040535D">
        <w:rPr>
          <w:rFonts w:ascii="Times New Roman" w:hAnsi="Times New Roman"/>
          <w:sz w:val="24"/>
          <w:szCs w:val="24"/>
        </w:rPr>
        <w:t>samorządów terytorialnych, organizacji związkowych i pracodawców</w:t>
      </w:r>
      <w:r w:rsidR="00345DD6">
        <w:rPr>
          <w:rFonts w:ascii="Times New Roman" w:hAnsi="Times New Roman"/>
          <w:sz w:val="24"/>
          <w:szCs w:val="24"/>
        </w:rPr>
        <w:t>,</w:t>
      </w:r>
      <w:r w:rsidR="005A47FE" w:rsidRPr="0040535D">
        <w:rPr>
          <w:rFonts w:ascii="Times New Roman" w:hAnsi="Times New Roman"/>
          <w:sz w:val="24"/>
          <w:szCs w:val="24"/>
        </w:rPr>
        <w:t xml:space="preserve"> organizacji pozarządowych </w:t>
      </w:r>
      <w:r w:rsidR="00345DD6">
        <w:rPr>
          <w:rFonts w:ascii="Times New Roman" w:hAnsi="Times New Roman"/>
          <w:sz w:val="24"/>
          <w:szCs w:val="24"/>
        </w:rPr>
        <w:t xml:space="preserve">oraz </w:t>
      </w:r>
      <w:r w:rsidR="00345DD6" w:rsidRPr="00345DD6">
        <w:rPr>
          <w:rFonts w:ascii="Times New Roman" w:hAnsi="Times New Roman"/>
          <w:sz w:val="24"/>
          <w:szCs w:val="24"/>
        </w:rPr>
        <w:t>organizacji promujących prawa p</w:t>
      </w:r>
      <w:r w:rsidR="00345DD6">
        <w:rPr>
          <w:rFonts w:ascii="Times New Roman" w:hAnsi="Times New Roman"/>
          <w:sz w:val="24"/>
          <w:szCs w:val="24"/>
        </w:rPr>
        <w:t>odstawowe oraz niedyskryminację i środowiska naukowego</w:t>
      </w:r>
      <w:r w:rsidR="00345DD6" w:rsidRPr="00345DD6">
        <w:rPr>
          <w:rFonts w:ascii="Times New Roman" w:hAnsi="Times New Roman"/>
          <w:sz w:val="24"/>
          <w:szCs w:val="24"/>
        </w:rPr>
        <w:t xml:space="preserve">. </w:t>
      </w:r>
      <w:r w:rsidR="005A47FE" w:rsidRPr="0040535D">
        <w:rPr>
          <w:rFonts w:ascii="Times New Roman" w:hAnsi="Times New Roman"/>
          <w:sz w:val="24"/>
          <w:szCs w:val="24"/>
        </w:rPr>
        <w:t xml:space="preserve">(ust. 3). </w:t>
      </w:r>
      <w:r w:rsidR="007A055A" w:rsidRPr="0040535D">
        <w:rPr>
          <w:rFonts w:ascii="Times New Roman" w:hAnsi="Times New Roman"/>
          <w:sz w:val="24"/>
          <w:szCs w:val="24"/>
        </w:rPr>
        <w:t>Sposób wyboru przedstawicieli wchodzących w skład Komitetu oraz ich liczbę określają przepisy ust. 4-1</w:t>
      </w:r>
      <w:r w:rsidR="00AF6B06" w:rsidRPr="0040535D">
        <w:rPr>
          <w:rFonts w:ascii="Times New Roman" w:hAnsi="Times New Roman"/>
          <w:sz w:val="24"/>
          <w:szCs w:val="24"/>
        </w:rPr>
        <w:t>0</w:t>
      </w:r>
      <w:r w:rsidR="007A055A" w:rsidRPr="0040535D">
        <w:rPr>
          <w:rFonts w:ascii="Times New Roman" w:hAnsi="Times New Roman"/>
          <w:sz w:val="24"/>
          <w:szCs w:val="24"/>
        </w:rPr>
        <w:t>. P</w:t>
      </w:r>
      <w:r w:rsidR="005A47FE" w:rsidRPr="0040535D">
        <w:rPr>
          <w:rFonts w:ascii="Times New Roman" w:hAnsi="Times New Roman"/>
          <w:sz w:val="24"/>
          <w:szCs w:val="24"/>
        </w:rPr>
        <w:t>racom</w:t>
      </w:r>
      <w:r w:rsidR="007A055A" w:rsidRPr="0040535D">
        <w:rPr>
          <w:rFonts w:ascii="Times New Roman" w:hAnsi="Times New Roman"/>
          <w:sz w:val="24"/>
          <w:szCs w:val="24"/>
        </w:rPr>
        <w:t xml:space="preserve"> Komitetu </w:t>
      </w:r>
      <w:r w:rsidR="005A47FE" w:rsidRPr="0040535D">
        <w:rPr>
          <w:rFonts w:ascii="Times New Roman" w:hAnsi="Times New Roman"/>
          <w:sz w:val="24"/>
          <w:szCs w:val="24"/>
        </w:rPr>
        <w:t xml:space="preserve">przewodniczy przedstawiciel ministra właściwego do spraw rozwoju regionalnego (ust. </w:t>
      </w:r>
      <w:r w:rsidR="00624CE0" w:rsidRPr="0040535D">
        <w:rPr>
          <w:rFonts w:ascii="Times New Roman" w:hAnsi="Times New Roman"/>
          <w:sz w:val="24"/>
          <w:szCs w:val="24"/>
        </w:rPr>
        <w:t>1</w:t>
      </w:r>
      <w:r w:rsidR="00AF6B06" w:rsidRPr="0040535D">
        <w:rPr>
          <w:rFonts w:ascii="Times New Roman" w:hAnsi="Times New Roman"/>
          <w:sz w:val="24"/>
          <w:szCs w:val="24"/>
        </w:rPr>
        <w:t>2</w:t>
      </w:r>
      <w:r w:rsidR="005A47FE" w:rsidRPr="0040535D">
        <w:rPr>
          <w:rFonts w:ascii="Times New Roman" w:hAnsi="Times New Roman"/>
          <w:sz w:val="24"/>
          <w:szCs w:val="24"/>
        </w:rPr>
        <w:t xml:space="preserve">). </w:t>
      </w:r>
      <w:r w:rsidR="00624CE0" w:rsidRPr="0040535D">
        <w:rPr>
          <w:rFonts w:ascii="Times New Roman" w:hAnsi="Times New Roman"/>
          <w:sz w:val="24"/>
          <w:szCs w:val="24"/>
        </w:rPr>
        <w:t>Komitet działa na podstawie przyjętego przez siebie regulaminu (ust. 1</w:t>
      </w:r>
      <w:r w:rsidR="00AF6B06" w:rsidRPr="0040535D">
        <w:rPr>
          <w:rFonts w:ascii="Times New Roman" w:hAnsi="Times New Roman"/>
          <w:sz w:val="24"/>
          <w:szCs w:val="24"/>
        </w:rPr>
        <w:t>3</w:t>
      </w:r>
      <w:r w:rsidR="00624CE0" w:rsidRPr="0040535D">
        <w:rPr>
          <w:rFonts w:ascii="Times New Roman" w:hAnsi="Times New Roman"/>
          <w:sz w:val="24"/>
          <w:szCs w:val="24"/>
        </w:rPr>
        <w:t>)</w:t>
      </w:r>
      <w:r w:rsidR="00AF6B06" w:rsidRPr="0040535D">
        <w:rPr>
          <w:rFonts w:ascii="Times New Roman" w:hAnsi="Times New Roman"/>
          <w:sz w:val="24"/>
          <w:szCs w:val="24"/>
        </w:rPr>
        <w:t>. Regulamin Komitetu może określać w szczególności skład i zadania podkomitetów monitorujących do spraw planu rozwojowego jako organów pomocniczych Komitetu (ust. 14)</w:t>
      </w:r>
      <w:r w:rsidR="007A055A" w:rsidRPr="0040535D">
        <w:rPr>
          <w:rFonts w:ascii="Times New Roman" w:hAnsi="Times New Roman"/>
          <w:sz w:val="24"/>
          <w:szCs w:val="24"/>
        </w:rPr>
        <w:t xml:space="preserve"> i podejmuje uchwały zwykłą większością głosów w obecności co najmniej połowy przedstawicieli podmiotów, o których mowa w ust. 3. W przypadku równej liczby głosów decyduje głos przewodniczącego Komitetu (ust.15). </w:t>
      </w:r>
      <w:r w:rsidR="005A47FE" w:rsidRPr="0040535D">
        <w:rPr>
          <w:rFonts w:ascii="Times New Roman" w:hAnsi="Times New Roman"/>
          <w:sz w:val="24"/>
          <w:szCs w:val="24"/>
        </w:rPr>
        <w:t xml:space="preserve">W ust. </w:t>
      </w:r>
      <w:r w:rsidR="00AF6B06" w:rsidRPr="0040535D">
        <w:rPr>
          <w:rFonts w:ascii="Times New Roman" w:hAnsi="Times New Roman"/>
          <w:sz w:val="24"/>
          <w:szCs w:val="24"/>
        </w:rPr>
        <w:t>11</w:t>
      </w:r>
      <w:r w:rsidR="005A47FE" w:rsidRPr="0040535D">
        <w:rPr>
          <w:rFonts w:ascii="Times New Roman" w:hAnsi="Times New Roman"/>
          <w:sz w:val="24"/>
          <w:szCs w:val="24"/>
        </w:rPr>
        <w:t xml:space="preserve"> wskazano katalog zadań realizowanych przez Komitet. Katalog ma charakter otwarty.</w:t>
      </w:r>
      <w:r w:rsidR="00624CE0" w:rsidRPr="0040535D">
        <w:rPr>
          <w:rFonts w:ascii="Times New Roman" w:hAnsi="Times New Roman"/>
          <w:sz w:val="24"/>
          <w:szCs w:val="24"/>
        </w:rPr>
        <w:t xml:space="preserve"> </w:t>
      </w:r>
    </w:p>
    <w:p w14:paraId="41039FEB" w14:textId="77777777" w:rsidR="007E2C84" w:rsidRPr="0040535D" w:rsidRDefault="00C97037" w:rsidP="008D4E79">
      <w:pPr>
        <w:spacing w:after="0" w:line="360" w:lineRule="auto"/>
        <w:jc w:val="both"/>
        <w:rPr>
          <w:rFonts w:ascii="Times New Roman" w:hAnsi="Times New Roman"/>
          <w:sz w:val="24"/>
          <w:szCs w:val="24"/>
        </w:rPr>
      </w:pPr>
      <w:r w:rsidRPr="0040535D">
        <w:rPr>
          <w:rFonts w:ascii="Times New Roman" w:hAnsi="Times New Roman"/>
          <w:sz w:val="24"/>
          <w:szCs w:val="24"/>
        </w:rPr>
        <w:t xml:space="preserve">W art. </w:t>
      </w:r>
      <w:r w:rsidR="00BC6CB0" w:rsidRPr="0040535D">
        <w:rPr>
          <w:rFonts w:ascii="Times New Roman" w:hAnsi="Times New Roman"/>
          <w:sz w:val="24"/>
          <w:szCs w:val="24"/>
        </w:rPr>
        <w:t>14l</w:t>
      </w:r>
      <w:r w:rsidR="00791BB8" w:rsidRPr="0040535D">
        <w:rPr>
          <w:rFonts w:ascii="Times New Roman" w:hAnsi="Times New Roman"/>
          <w:sz w:val="24"/>
          <w:szCs w:val="24"/>
        </w:rPr>
        <w:t>l</w:t>
      </w:r>
      <w:r w:rsidR="00BC6CB0" w:rsidRPr="0040535D">
        <w:rPr>
          <w:rFonts w:ascii="Times New Roman" w:hAnsi="Times New Roman"/>
          <w:sz w:val="24"/>
          <w:szCs w:val="24"/>
        </w:rPr>
        <w:t xml:space="preserve"> </w:t>
      </w:r>
      <w:r w:rsidR="007E4FA8" w:rsidRPr="0040535D">
        <w:rPr>
          <w:rFonts w:ascii="Times New Roman" w:hAnsi="Times New Roman"/>
          <w:sz w:val="24"/>
          <w:szCs w:val="24"/>
        </w:rPr>
        <w:t xml:space="preserve">i </w:t>
      </w:r>
      <w:r w:rsidR="00BC6CB0" w:rsidRPr="0040535D">
        <w:rPr>
          <w:rFonts w:ascii="Times New Roman" w:hAnsi="Times New Roman"/>
          <w:sz w:val="24"/>
          <w:szCs w:val="24"/>
        </w:rPr>
        <w:t>14</w:t>
      </w:r>
      <w:r w:rsidR="007A05CD">
        <w:rPr>
          <w:rFonts w:ascii="Times New Roman" w:hAnsi="Times New Roman"/>
          <w:sz w:val="24"/>
          <w:szCs w:val="24"/>
        </w:rPr>
        <w:t>l</w:t>
      </w:r>
      <w:r w:rsidR="00791BB8" w:rsidRPr="0040535D">
        <w:rPr>
          <w:rFonts w:ascii="Times New Roman" w:hAnsi="Times New Roman"/>
          <w:sz w:val="24"/>
          <w:szCs w:val="24"/>
        </w:rPr>
        <w:t>m</w:t>
      </w:r>
      <w:r w:rsidR="00BC6CB0" w:rsidRPr="0040535D">
        <w:rPr>
          <w:rFonts w:ascii="Times New Roman" w:hAnsi="Times New Roman"/>
          <w:sz w:val="24"/>
          <w:szCs w:val="24"/>
        </w:rPr>
        <w:t xml:space="preserve"> </w:t>
      </w:r>
      <w:r w:rsidR="005A47FE" w:rsidRPr="0040535D">
        <w:rPr>
          <w:rFonts w:ascii="Times New Roman" w:hAnsi="Times New Roman"/>
          <w:sz w:val="24"/>
          <w:szCs w:val="24"/>
        </w:rPr>
        <w:t xml:space="preserve">określono źródła finansowania </w:t>
      </w:r>
      <w:r w:rsidRPr="0040535D">
        <w:rPr>
          <w:rFonts w:ascii="Times New Roman" w:hAnsi="Times New Roman"/>
          <w:sz w:val="24"/>
          <w:szCs w:val="24"/>
        </w:rPr>
        <w:t>planu rozwojowego. Plan rozwojowy</w:t>
      </w:r>
      <w:r w:rsidR="005A47FE" w:rsidRPr="0040535D">
        <w:rPr>
          <w:rFonts w:ascii="Times New Roman" w:hAnsi="Times New Roman"/>
          <w:sz w:val="24"/>
          <w:szCs w:val="24"/>
        </w:rPr>
        <w:t xml:space="preserve"> będzie finansowany ze środków pochodzących z Unii Europejskiej – środków Instrumentu na rzecz Odbudowy i Zwiększania Odporności (</w:t>
      </w:r>
      <w:proofErr w:type="spellStart"/>
      <w:r w:rsidR="005A47FE" w:rsidRPr="0040535D">
        <w:rPr>
          <w:rFonts w:ascii="Times New Roman" w:hAnsi="Times New Roman"/>
          <w:sz w:val="24"/>
          <w:szCs w:val="24"/>
        </w:rPr>
        <w:t>Recovery</w:t>
      </w:r>
      <w:proofErr w:type="spellEnd"/>
      <w:r w:rsidR="005A47FE" w:rsidRPr="0040535D">
        <w:rPr>
          <w:rFonts w:ascii="Times New Roman" w:hAnsi="Times New Roman"/>
          <w:sz w:val="24"/>
          <w:szCs w:val="24"/>
        </w:rPr>
        <w:t xml:space="preserve"> and </w:t>
      </w:r>
      <w:proofErr w:type="spellStart"/>
      <w:r w:rsidR="005A47FE" w:rsidRPr="0040535D">
        <w:rPr>
          <w:rFonts w:ascii="Times New Roman" w:hAnsi="Times New Roman"/>
          <w:sz w:val="24"/>
          <w:szCs w:val="24"/>
        </w:rPr>
        <w:t>Resilience</w:t>
      </w:r>
      <w:proofErr w:type="spellEnd"/>
      <w:r w:rsidR="005A47FE" w:rsidRPr="0040535D">
        <w:rPr>
          <w:rFonts w:ascii="Times New Roman" w:hAnsi="Times New Roman"/>
          <w:sz w:val="24"/>
          <w:szCs w:val="24"/>
        </w:rPr>
        <w:t xml:space="preserve"> </w:t>
      </w:r>
      <w:proofErr w:type="spellStart"/>
      <w:r w:rsidR="005A47FE" w:rsidRPr="0040535D">
        <w:rPr>
          <w:rFonts w:ascii="Times New Roman" w:hAnsi="Times New Roman"/>
          <w:sz w:val="24"/>
          <w:szCs w:val="24"/>
        </w:rPr>
        <w:t>Facility</w:t>
      </w:r>
      <w:proofErr w:type="spellEnd"/>
      <w:r w:rsidR="005A47FE" w:rsidRPr="0040535D">
        <w:rPr>
          <w:rFonts w:ascii="Times New Roman" w:hAnsi="Times New Roman"/>
          <w:sz w:val="24"/>
          <w:szCs w:val="24"/>
        </w:rPr>
        <w:t xml:space="preserve"> – RRF). </w:t>
      </w:r>
      <w:r w:rsidR="009B0360" w:rsidRPr="0040535D">
        <w:rPr>
          <w:rFonts w:ascii="Times New Roman" w:hAnsi="Times New Roman"/>
          <w:sz w:val="24"/>
          <w:szCs w:val="24"/>
        </w:rPr>
        <w:t>Środki pochodzące z części bezzwrotnej RRF</w:t>
      </w:r>
      <w:r w:rsidR="005A47FE" w:rsidRPr="0040535D">
        <w:rPr>
          <w:rFonts w:ascii="Times New Roman" w:hAnsi="Times New Roman"/>
          <w:sz w:val="24"/>
          <w:szCs w:val="24"/>
        </w:rPr>
        <w:t xml:space="preserve"> </w:t>
      </w:r>
      <w:r w:rsidR="00A24CAE" w:rsidRPr="0040535D">
        <w:rPr>
          <w:rFonts w:ascii="Times New Roman" w:hAnsi="Times New Roman"/>
          <w:sz w:val="24"/>
          <w:szCs w:val="24"/>
        </w:rPr>
        <w:t xml:space="preserve">zostaną ujęte </w:t>
      </w:r>
      <w:r w:rsidR="005A47FE" w:rsidRPr="0040535D">
        <w:rPr>
          <w:rFonts w:ascii="Times New Roman" w:hAnsi="Times New Roman"/>
          <w:sz w:val="24"/>
          <w:szCs w:val="24"/>
        </w:rPr>
        <w:t xml:space="preserve">w budżecie środków europejskich. </w:t>
      </w:r>
      <w:r w:rsidR="00063188" w:rsidRPr="0040535D">
        <w:rPr>
          <w:rFonts w:ascii="Times New Roman" w:hAnsi="Times New Roman"/>
          <w:sz w:val="24"/>
          <w:szCs w:val="24"/>
        </w:rPr>
        <w:t>Natomiast ta część</w:t>
      </w:r>
      <w:r w:rsidR="00106319" w:rsidRPr="0040535D">
        <w:rPr>
          <w:rFonts w:ascii="Times New Roman" w:hAnsi="Times New Roman"/>
          <w:sz w:val="24"/>
          <w:szCs w:val="24"/>
        </w:rPr>
        <w:t xml:space="preserve"> </w:t>
      </w:r>
      <w:r w:rsidR="00063188" w:rsidRPr="0040535D">
        <w:rPr>
          <w:rFonts w:ascii="Times New Roman" w:hAnsi="Times New Roman"/>
          <w:sz w:val="24"/>
          <w:szCs w:val="24"/>
        </w:rPr>
        <w:t xml:space="preserve">inwestycji </w:t>
      </w:r>
      <w:r w:rsidR="00106319" w:rsidRPr="0040535D">
        <w:rPr>
          <w:rFonts w:ascii="Times New Roman" w:hAnsi="Times New Roman"/>
          <w:sz w:val="24"/>
          <w:szCs w:val="24"/>
        </w:rPr>
        <w:t>w ramach planu rozwojowego, których realizacja jest finansowana z wykorzystaniem środków pożyczki</w:t>
      </w:r>
      <w:r w:rsidR="00063188" w:rsidRPr="0040535D">
        <w:rPr>
          <w:rFonts w:ascii="Times New Roman" w:hAnsi="Times New Roman"/>
          <w:sz w:val="24"/>
          <w:szCs w:val="24"/>
        </w:rPr>
        <w:t xml:space="preserve"> RRF</w:t>
      </w:r>
      <w:r w:rsidR="00106319" w:rsidRPr="0040535D">
        <w:rPr>
          <w:rFonts w:ascii="Times New Roman" w:hAnsi="Times New Roman"/>
          <w:sz w:val="24"/>
          <w:szCs w:val="24"/>
        </w:rPr>
        <w:t xml:space="preserve">, o której mowa w art. 6 ust. 1 lit. b rozporządzenia 2021/241, będą finansowane </w:t>
      </w:r>
      <w:r w:rsidR="00063188" w:rsidRPr="0040535D">
        <w:rPr>
          <w:rFonts w:ascii="Times New Roman" w:hAnsi="Times New Roman"/>
          <w:sz w:val="24"/>
          <w:szCs w:val="24"/>
        </w:rPr>
        <w:t xml:space="preserve">w ramach rozchodów </w:t>
      </w:r>
      <w:r w:rsidR="00106319" w:rsidRPr="0040535D">
        <w:rPr>
          <w:rFonts w:ascii="Times New Roman" w:hAnsi="Times New Roman"/>
          <w:sz w:val="24"/>
          <w:szCs w:val="24"/>
        </w:rPr>
        <w:t>budżetu państwa</w:t>
      </w:r>
      <w:r w:rsidR="00063188" w:rsidRPr="0040535D">
        <w:rPr>
          <w:rFonts w:ascii="Times New Roman" w:hAnsi="Times New Roman"/>
          <w:sz w:val="24"/>
          <w:szCs w:val="24"/>
        </w:rPr>
        <w:t>. Ze środków tych będą udzielane pożyczki z budżetu państwa</w:t>
      </w:r>
      <w:r w:rsidR="00106319" w:rsidRPr="0040535D">
        <w:rPr>
          <w:rFonts w:ascii="Times New Roman" w:hAnsi="Times New Roman"/>
          <w:sz w:val="24"/>
          <w:szCs w:val="24"/>
        </w:rPr>
        <w:t xml:space="preserve"> na podstawie umowy zawieranej z ostatecznym odbiorcą wsparcia. </w:t>
      </w:r>
    </w:p>
    <w:p w14:paraId="431AD569" w14:textId="77777777" w:rsidR="007E2C84" w:rsidRPr="00383928" w:rsidRDefault="007E2C84" w:rsidP="007E2C84">
      <w:pPr>
        <w:spacing w:after="0" w:line="360" w:lineRule="auto"/>
        <w:jc w:val="both"/>
        <w:rPr>
          <w:rFonts w:ascii="Times New Roman" w:hAnsi="Times New Roman"/>
          <w:sz w:val="24"/>
          <w:szCs w:val="24"/>
        </w:rPr>
      </w:pPr>
      <w:r w:rsidRPr="00383928">
        <w:rPr>
          <w:rFonts w:ascii="Times New Roman" w:hAnsi="Times New Roman"/>
          <w:sz w:val="24"/>
          <w:szCs w:val="24"/>
        </w:rPr>
        <w:t>Zgodnie z art. 14ll Inwestycje w ramach planu rozwojowego, których realizacja jest finansowana ze środków wsparcia bezzwrotnego, o którym mowa w art. 6 ust. 1 lit. a rozporządzenia 2021/241, w zakresie objętym finansowaniem z tego wsparcia, są finansowane ze środków pochodzących z budżetu środków europejskich lub ze środków PFR</w:t>
      </w:r>
      <w:r w:rsidR="00AE6833" w:rsidRPr="00383928">
        <w:rPr>
          <w:rFonts w:ascii="Times New Roman" w:hAnsi="Times New Roman"/>
          <w:sz w:val="24"/>
          <w:szCs w:val="24"/>
        </w:rPr>
        <w:t>,</w:t>
      </w:r>
      <w:r w:rsidR="00AE6833" w:rsidRPr="00383928">
        <w:t xml:space="preserve"> </w:t>
      </w:r>
      <w:r w:rsidR="00AE6833" w:rsidRPr="00383928">
        <w:rPr>
          <w:rFonts w:ascii="Times New Roman" w:hAnsi="Times New Roman"/>
          <w:sz w:val="24"/>
          <w:szCs w:val="24"/>
        </w:rPr>
        <w:t>o których mowa  w art. 16a ustawy z dnia 4 lipca 2019 r. o systemie instytucji rozwoju (Dz. U. z 2021 r. poz. 1010)</w:t>
      </w:r>
      <w:r w:rsidR="00084433" w:rsidRPr="00383928">
        <w:rPr>
          <w:rFonts w:ascii="Times New Roman" w:hAnsi="Times New Roman"/>
          <w:sz w:val="24"/>
          <w:szCs w:val="24"/>
        </w:rPr>
        <w:t>.</w:t>
      </w:r>
    </w:p>
    <w:p w14:paraId="7779EB37" w14:textId="77777777" w:rsidR="007E2C84" w:rsidRPr="00383928" w:rsidRDefault="007E2C84" w:rsidP="007E2C84">
      <w:pPr>
        <w:spacing w:after="0" w:line="360" w:lineRule="auto"/>
        <w:jc w:val="both"/>
        <w:rPr>
          <w:rFonts w:ascii="Times New Roman" w:hAnsi="Times New Roman"/>
          <w:sz w:val="24"/>
          <w:szCs w:val="24"/>
        </w:rPr>
      </w:pPr>
      <w:r w:rsidRPr="00383928">
        <w:rPr>
          <w:rFonts w:ascii="Times New Roman" w:hAnsi="Times New Roman"/>
          <w:sz w:val="24"/>
          <w:szCs w:val="24"/>
        </w:rPr>
        <w:t xml:space="preserve">Inwestycje w ramach planu rozwojowego, których realizacja jest finansowana z wykorzystaniem środków pożyczki, o której mowa w art. 6 ust. 1 lit. b rozporządzenia 2021/241, w zakresie objętym finansowaniem z tej pożyczki, mogą być finansowane z budżetu </w:t>
      </w:r>
      <w:r w:rsidRPr="00383928">
        <w:rPr>
          <w:rFonts w:ascii="Times New Roman" w:hAnsi="Times New Roman"/>
          <w:sz w:val="24"/>
          <w:szCs w:val="24"/>
        </w:rPr>
        <w:lastRenderedPageBreak/>
        <w:t>państwa w formie wsparcia zwrotnego przyznawanego w formie pożyczki, na zasadach określonych w niniejszej ustawie albo wsparcia bezzwrotnego  o charakterze bezzwrotnym, na zasadach określonych w ustawie z dnia 27 sierpnia 2009 r. o finansach publicznych,  do wysokości określonej w ustawie budżetowej na dany rok.</w:t>
      </w:r>
    </w:p>
    <w:p w14:paraId="1B41A787" w14:textId="380DC450" w:rsidR="00084433" w:rsidRPr="00383928" w:rsidRDefault="007E2C84" w:rsidP="007E2C84">
      <w:pPr>
        <w:spacing w:after="0" w:line="360" w:lineRule="auto"/>
        <w:jc w:val="both"/>
        <w:rPr>
          <w:rFonts w:ascii="Times New Roman" w:hAnsi="Times New Roman"/>
          <w:sz w:val="24"/>
          <w:szCs w:val="24"/>
        </w:rPr>
      </w:pPr>
      <w:r w:rsidRPr="00383928">
        <w:rPr>
          <w:rFonts w:ascii="Times New Roman" w:hAnsi="Times New Roman"/>
          <w:sz w:val="24"/>
          <w:szCs w:val="24"/>
        </w:rPr>
        <w:t xml:space="preserve">W budżecie państwa zostanie utworzona rezerwę celową w wysokości odpowiadającej kwocie wsparcia bezzwrotnego. Podziału rezerwy celowej dokonuje się na wniosek właściwego dysponenta części budżetowej zaakceptowany przez ministra właściwego do spraw rozwoju regionalnego. Wsparcie bezzwrotne będzie udzielane w latach 2022-2026 i nie może przekroczyć równowartości w złotych kwoty </w:t>
      </w:r>
      <w:r w:rsidR="00884E15">
        <w:rPr>
          <w:rFonts w:ascii="Times New Roman" w:hAnsi="Times New Roman"/>
          <w:sz w:val="24"/>
          <w:szCs w:val="24"/>
        </w:rPr>
        <w:t>2,067</w:t>
      </w:r>
      <w:r w:rsidRPr="00383928">
        <w:rPr>
          <w:rFonts w:ascii="Times New Roman" w:hAnsi="Times New Roman"/>
          <w:sz w:val="24"/>
          <w:szCs w:val="24"/>
        </w:rPr>
        <w:t xml:space="preserve"> mld euro.</w:t>
      </w:r>
      <w:r w:rsidR="00502D73">
        <w:rPr>
          <w:rFonts w:ascii="Times New Roman" w:hAnsi="Times New Roman"/>
          <w:sz w:val="24"/>
          <w:szCs w:val="24"/>
        </w:rPr>
        <w:t xml:space="preserve"> </w:t>
      </w:r>
      <w:r w:rsidR="00084433" w:rsidRPr="00383928">
        <w:rPr>
          <w:rFonts w:ascii="Times New Roman" w:hAnsi="Times New Roman"/>
          <w:sz w:val="24"/>
          <w:szCs w:val="24"/>
        </w:rPr>
        <w:t>Inwestycje, w zakresie objętym finansowaniem z pożyczki, o której mowa w  art. 6 ust. 1 lit. b rozporządzenia 2021/241, mogą być finansowane do równowartości w złotych kwot pożyczki otrzymanych na ten cel, przeliczonych według kursu średniego euro Narodowego Banku Polskiego ogłoszonego dwa dni operacyjne przed datą ich wpływu na rachunek, o którym mowa w art. 14lm ust. 1, przy czym przez dni operacyjne rozumie się dni robocze  od poniedziałku do piątku, w których Narodowy Bank Polski przyjmuje i realizuje zlecenia płatnicze i inne dyspozycje posiadaczy rachunków bankowych.</w:t>
      </w:r>
    </w:p>
    <w:p w14:paraId="40C493F9" w14:textId="77777777" w:rsidR="00E42221" w:rsidRPr="00383928" w:rsidRDefault="007E2C84" w:rsidP="00C3452D">
      <w:pPr>
        <w:spacing w:after="0" w:line="360" w:lineRule="auto"/>
        <w:jc w:val="both"/>
        <w:rPr>
          <w:rFonts w:ascii="Times New Roman" w:hAnsi="Times New Roman"/>
          <w:sz w:val="24"/>
          <w:szCs w:val="24"/>
        </w:rPr>
      </w:pPr>
      <w:r w:rsidRPr="00383928">
        <w:rPr>
          <w:rFonts w:ascii="Times New Roman" w:hAnsi="Times New Roman"/>
          <w:sz w:val="24"/>
          <w:szCs w:val="24"/>
        </w:rPr>
        <w:t>Wykaz inwestycji w ramach planu rozwojowego, kwalifikujących się do objęcia wsparciem w trybie wsparcia bezzwrotnego zostanie określony w rozporządzeniu ministra właściwego do spraw rozwoju regionalnego działającego w  porozumieniu z ministrem właściwym do spraw finansów publicznych.</w:t>
      </w:r>
    </w:p>
    <w:p w14:paraId="506D9E8F" w14:textId="77777777" w:rsidR="00E42221" w:rsidRPr="00383928" w:rsidRDefault="00E42221" w:rsidP="00C3452D">
      <w:pPr>
        <w:spacing w:after="0" w:line="360" w:lineRule="auto"/>
        <w:jc w:val="both"/>
        <w:rPr>
          <w:rFonts w:ascii="Times New Roman" w:hAnsi="Times New Roman"/>
          <w:sz w:val="24"/>
          <w:szCs w:val="24"/>
        </w:rPr>
      </w:pPr>
    </w:p>
    <w:p w14:paraId="1868AB65" w14:textId="77777777" w:rsidR="00E42221" w:rsidRPr="00383928" w:rsidRDefault="00E42221" w:rsidP="00C3452D">
      <w:pPr>
        <w:spacing w:after="0" w:line="360" w:lineRule="auto"/>
        <w:jc w:val="both"/>
        <w:rPr>
          <w:rFonts w:ascii="Times New Roman" w:hAnsi="Times New Roman"/>
          <w:sz w:val="24"/>
          <w:szCs w:val="24"/>
        </w:rPr>
      </w:pPr>
      <w:r w:rsidRPr="00383928">
        <w:rPr>
          <w:rFonts w:ascii="Times New Roman" w:hAnsi="Times New Roman"/>
          <w:sz w:val="24"/>
          <w:szCs w:val="24"/>
        </w:rPr>
        <w:t>Z uwagi na duże potrzeby inwestycyjne zgłaszane w trakcie konsultacji społecznych, podjęto decyzję o wnioskowanie do KE o środki z części pożyczkowej RRF. Ponieważ, zarówno część grantowa jak i część pożyczkowa muszą spełniać warunki wskazane w rozporządzeniu RRF, w tym 37% na wydatki związane z transformacją klimatyczna i 20% na transformację cyfrową, zakres interwencji musiał zostać odpowiednio dopasowany aby spełnić ww. wymogi. W większości przypadków inwestycje zostały już wcześniej wskazane w KPO, natomiast zwiększono ich alokację, w niektórych przypadkach wskazane zostały nowe inwestycje zgłaszane w trakcie konsultacji społecznych.</w:t>
      </w:r>
    </w:p>
    <w:p w14:paraId="0283F432" w14:textId="5A436984" w:rsidR="00B0376E" w:rsidRPr="00345DD6" w:rsidRDefault="00B0376E" w:rsidP="00B0376E">
      <w:pPr>
        <w:spacing w:after="0" w:line="360" w:lineRule="auto"/>
        <w:jc w:val="both"/>
        <w:rPr>
          <w:rFonts w:ascii="Times New Roman" w:hAnsi="Times New Roman"/>
          <w:sz w:val="24"/>
          <w:szCs w:val="24"/>
        </w:rPr>
      </w:pPr>
      <w:r w:rsidRPr="009F6287">
        <w:rPr>
          <w:rFonts w:ascii="Times New Roman" w:hAnsi="Times New Roman"/>
          <w:color w:val="000000"/>
          <w:sz w:val="24"/>
          <w:szCs w:val="24"/>
          <w:lang w:eastAsia="pl-PL"/>
        </w:rPr>
        <w:t xml:space="preserve">Przepis przewiduje zapewnienie możliwości częściowego umorzenia pożyczek w ramach limitu </w:t>
      </w:r>
      <w:r w:rsidR="005C79A9">
        <w:rPr>
          <w:rFonts w:ascii="Times New Roman" w:hAnsi="Times New Roman"/>
          <w:color w:val="000000"/>
          <w:sz w:val="24"/>
          <w:szCs w:val="24"/>
          <w:lang w:eastAsia="pl-PL"/>
        </w:rPr>
        <w:t>2,067</w:t>
      </w:r>
      <w:r w:rsidRPr="009F6287">
        <w:rPr>
          <w:rFonts w:ascii="Times New Roman" w:hAnsi="Times New Roman"/>
          <w:color w:val="000000"/>
          <w:sz w:val="24"/>
          <w:szCs w:val="24"/>
          <w:lang w:eastAsia="pl-PL"/>
        </w:rPr>
        <w:t xml:space="preserve"> mld euro (na część bezzwrotną z części pożyczkowej RRF)</w:t>
      </w:r>
      <w:r w:rsidR="00383928" w:rsidRPr="009F6287">
        <w:rPr>
          <w:rFonts w:ascii="Times New Roman" w:hAnsi="Times New Roman"/>
          <w:color w:val="000000"/>
          <w:sz w:val="24"/>
          <w:szCs w:val="24"/>
          <w:lang w:eastAsia="pl-PL"/>
        </w:rPr>
        <w:t>.</w:t>
      </w:r>
    </w:p>
    <w:p w14:paraId="1B3BE5FA" w14:textId="77777777" w:rsidR="007E2C84" w:rsidRPr="0040535D" w:rsidRDefault="007E2C84" w:rsidP="008D4E79">
      <w:pPr>
        <w:spacing w:after="0" w:line="360" w:lineRule="auto"/>
        <w:jc w:val="both"/>
        <w:rPr>
          <w:rFonts w:ascii="Times New Roman" w:hAnsi="Times New Roman"/>
          <w:sz w:val="24"/>
          <w:szCs w:val="24"/>
        </w:rPr>
      </w:pPr>
    </w:p>
    <w:p w14:paraId="63F26A0F" w14:textId="77777777" w:rsidR="007E2C84" w:rsidRPr="0040535D" w:rsidRDefault="00106319" w:rsidP="008D4E79">
      <w:pPr>
        <w:spacing w:after="0" w:line="360" w:lineRule="auto"/>
        <w:jc w:val="both"/>
        <w:rPr>
          <w:rFonts w:ascii="Times New Roman" w:hAnsi="Times New Roman"/>
          <w:sz w:val="24"/>
          <w:szCs w:val="24"/>
        </w:rPr>
      </w:pPr>
      <w:r w:rsidRPr="0040535D">
        <w:rPr>
          <w:rFonts w:ascii="Times New Roman" w:hAnsi="Times New Roman"/>
          <w:sz w:val="24"/>
          <w:szCs w:val="24"/>
        </w:rPr>
        <w:t>Art. 14l</w:t>
      </w:r>
      <w:r w:rsidR="004D25D4" w:rsidRPr="0040535D">
        <w:rPr>
          <w:rFonts w:ascii="Times New Roman" w:hAnsi="Times New Roman"/>
          <w:sz w:val="24"/>
          <w:szCs w:val="24"/>
        </w:rPr>
        <w:t>m</w:t>
      </w:r>
      <w:r w:rsidRPr="0040535D">
        <w:rPr>
          <w:rFonts w:ascii="Times New Roman" w:hAnsi="Times New Roman"/>
          <w:sz w:val="24"/>
          <w:szCs w:val="24"/>
        </w:rPr>
        <w:t xml:space="preserve"> ust. 3-5 określa sposób post</w:t>
      </w:r>
      <w:r w:rsidR="004D25D4" w:rsidRPr="0040535D">
        <w:rPr>
          <w:rFonts w:ascii="Times New Roman" w:hAnsi="Times New Roman"/>
          <w:sz w:val="24"/>
          <w:szCs w:val="24"/>
        </w:rPr>
        <w:t>ę</w:t>
      </w:r>
      <w:r w:rsidRPr="0040535D">
        <w:rPr>
          <w:rFonts w:ascii="Times New Roman" w:hAnsi="Times New Roman"/>
          <w:sz w:val="24"/>
          <w:szCs w:val="24"/>
        </w:rPr>
        <w:t>powania z</w:t>
      </w:r>
      <w:r w:rsidR="005472DA" w:rsidRPr="0040535D">
        <w:rPr>
          <w:rFonts w:ascii="Times New Roman" w:hAnsi="Times New Roman"/>
          <w:sz w:val="24"/>
          <w:szCs w:val="24"/>
        </w:rPr>
        <w:t>e</w:t>
      </w:r>
      <w:r w:rsidRPr="0040535D">
        <w:rPr>
          <w:rFonts w:ascii="Times New Roman" w:hAnsi="Times New Roman"/>
          <w:sz w:val="24"/>
          <w:szCs w:val="24"/>
        </w:rPr>
        <w:t xml:space="preserve"> środkami pożyczki.</w:t>
      </w:r>
    </w:p>
    <w:p w14:paraId="65DBA1CE" w14:textId="77777777" w:rsidR="005A47FE" w:rsidRPr="0040535D" w:rsidRDefault="005A47FE" w:rsidP="00A01FB5">
      <w:pPr>
        <w:spacing w:after="0" w:line="360" w:lineRule="auto"/>
        <w:jc w:val="both"/>
        <w:rPr>
          <w:rFonts w:ascii="Times New Roman" w:hAnsi="Times New Roman"/>
          <w:sz w:val="24"/>
          <w:szCs w:val="24"/>
        </w:rPr>
      </w:pPr>
      <w:r w:rsidRPr="0040535D">
        <w:rPr>
          <w:rFonts w:ascii="Times New Roman" w:hAnsi="Times New Roman"/>
          <w:sz w:val="24"/>
          <w:szCs w:val="24"/>
        </w:rPr>
        <w:lastRenderedPageBreak/>
        <w:t xml:space="preserve">Jednocześnie, specyfika wdrażania i finansowania Planu odbudowy dla Europy – przekazywanie środków finansowych w transzach, uzależnionych od osiągania przez państwa członkowskie tzw. kamieni milowych, powoduje konieczność zapewnienia – przez państwa – finansowania przejściowego. Proponuje się </w:t>
      </w:r>
      <w:r w:rsidR="0064190C" w:rsidRPr="0040535D">
        <w:rPr>
          <w:rFonts w:ascii="Times New Roman" w:hAnsi="Times New Roman"/>
          <w:sz w:val="24"/>
          <w:szCs w:val="24"/>
        </w:rPr>
        <w:t>zaangażowanie PFR</w:t>
      </w:r>
      <w:r w:rsidRPr="0040535D">
        <w:rPr>
          <w:rFonts w:ascii="Times New Roman" w:hAnsi="Times New Roman"/>
          <w:sz w:val="24"/>
          <w:szCs w:val="24"/>
        </w:rPr>
        <w:t>, który – gdy będzie taka potrzeba – zapewni przejściowe finansowanie inwestycji</w:t>
      </w:r>
      <w:r w:rsidR="00063188" w:rsidRPr="0040535D">
        <w:rPr>
          <w:rFonts w:ascii="Times New Roman" w:hAnsi="Times New Roman"/>
          <w:sz w:val="24"/>
          <w:szCs w:val="24"/>
        </w:rPr>
        <w:t xml:space="preserve"> w części finansowanej ze środków bezzwrotnych z RRF</w:t>
      </w:r>
      <w:r w:rsidRPr="0040535D">
        <w:rPr>
          <w:rFonts w:ascii="Times New Roman" w:hAnsi="Times New Roman"/>
          <w:sz w:val="24"/>
          <w:szCs w:val="24"/>
        </w:rPr>
        <w:t xml:space="preserve">. </w:t>
      </w:r>
    </w:p>
    <w:p w14:paraId="35DB4C4E" w14:textId="77777777" w:rsidR="005A47FE" w:rsidRPr="0040535D" w:rsidRDefault="0064190C" w:rsidP="00892DB5">
      <w:pPr>
        <w:spacing w:after="0" w:line="360" w:lineRule="auto"/>
        <w:jc w:val="both"/>
        <w:rPr>
          <w:rFonts w:ascii="Times New Roman" w:hAnsi="Times New Roman"/>
          <w:sz w:val="24"/>
          <w:szCs w:val="24"/>
        </w:rPr>
      </w:pPr>
      <w:r w:rsidRPr="0040535D">
        <w:rPr>
          <w:rFonts w:ascii="Times New Roman" w:hAnsi="Times New Roman"/>
          <w:sz w:val="24"/>
          <w:szCs w:val="24"/>
        </w:rPr>
        <w:t>Za zaangażowaniem</w:t>
      </w:r>
      <w:r w:rsidR="005A47FE" w:rsidRPr="0040535D">
        <w:rPr>
          <w:rFonts w:ascii="Times New Roman" w:hAnsi="Times New Roman"/>
          <w:sz w:val="24"/>
          <w:szCs w:val="24"/>
        </w:rPr>
        <w:t xml:space="preserve"> tego podmiotu przemawia jego doświadczenie we wdrażaniu podobnych instrumentów (m. in. tzw. „Tarcz antykryzysowych”) oraz zdolność pozyskiwania finansowania dłużnego na rynkach finansowych. Pla</w:t>
      </w:r>
      <w:r w:rsidR="003E0C4D" w:rsidRPr="0040535D">
        <w:rPr>
          <w:rFonts w:ascii="Times New Roman" w:hAnsi="Times New Roman"/>
          <w:sz w:val="24"/>
          <w:szCs w:val="24"/>
        </w:rPr>
        <w:t xml:space="preserve">nuje się zasilanie </w:t>
      </w:r>
      <w:r w:rsidRPr="0040535D">
        <w:rPr>
          <w:rFonts w:ascii="Times New Roman" w:hAnsi="Times New Roman"/>
          <w:sz w:val="24"/>
          <w:szCs w:val="24"/>
        </w:rPr>
        <w:t>PFR</w:t>
      </w:r>
      <w:r w:rsidR="005A47FE" w:rsidRPr="0040535D">
        <w:rPr>
          <w:rFonts w:ascii="Times New Roman" w:hAnsi="Times New Roman"/>
          <w:sz w:val="24"/>
          <w:szCs w:val="24"/>
        </w:rPr>
        <w:t xml:space="preserve"> środkami RRF – w formie płatności z budżetu środków europejskich. Mechanizm tego zasilenia przewiduje przekazanie środków zaplanowanych w budżecie środków europejskich a pocho</w:t>
      </w:r>
      <w:r w:rsidR="003E0C4D" w:rsidRPr="0040535D">
        <w:rPr>
          <w:rFonts w:ascii="Times New Roman" w:hAnsi="Times New Roman"/>
          <w:sz w:val="24"/>
          <w:szCs w:val="24"/>
        </w:rPr>
        <w:t xml:space="preserve">dzących z zaliczki i </w:t>
      </w:r>
      <w:r w:rsidR="00063188" w:rsidRPr="0040535D">
        <w:rPr>
          <w:rFonts w:ascii="Times New Roman" w:hAnsi="Times New Roman"/>
          <w:sz w:val="24"/>
          <w:szCs w:val="24"/>
        </w:rPr>
        <w:t>płatności okresowych</w:t>
      </w:r>
      <w:r w:rsidR="005A47FE" w:rsidRPr="0040535D">
        <w:rPr>
          <w:rFonts w:ascii="Times New Roman" w:hAnsi="Times New Roman"/>
          <w:sz w:val="24"/>
          <w:szCs w:val="24"/>
        </w:rPr>
        <w:t xml:space="preserve"> z KE, na </w:t>
      </w:r>
      <w:r w:rsidR="00063188" w:rsidRPr="0040535D">
        <w:rPr>
          <w:rFonts w:ascii="Times New Roman" w:hAnsi="Times New Roman"/>
          <w:sz w:val="24"/>
          <w:szCs w:val="24"/>
        </w:rPr>
        <w:t xml:space="preserve">podstawie zlecenie płatności złożonego w BGK przez </w:t>
      </w:r>
      <w:r w:rsidR="005A47FE" w:rsidRPr="0040535D">
        <w:rPr>
          <w:rFonts w:ascii="Times New Roman" w:hAnsi="Times New Roman"/>
          <w:sz w:val="24"/>
          <w:szCs w:val="24"/>
        </w:rPr>
        <w:t>ministra właściwego do spraw rozwo</w:t>
      </w:r>
      <w:r w:rsidR="003E0C4D" w:rsidRPr="0040535D">
        <w:rPr>
          <w:rFonts w:ascii="Times New Roman" w:hAnsi="Times New Roman"/>
          <w:sz w:val="24"/>
          <w:szCs w:val="24"/>
        </w:rPr>
        <w:t>ju regio</w:t>
      </w:r>
      <w:r w:rsidRPr="0040535D">
        <w:rPr>
          <w:rFonts w:ascii="Times New Roman" w:hAnsi="Times New Roman"/>
          <w:sz w:val="24"/>
          <w:szCs w:val="24"/>
        </w:rPr>
        <w:t>nalnego, PFR</w:t>
      </w:r>
      <w:r w:rsidR="005A47FE" w:rsidRPr="0040535D">
        <w:rPr>
          <w:rFonts w:ascii="Times New Roman" w:hAnsi="Times New Roman"/>
          <w:sz w:val="24"/>
          <w:szCs w:val="24"/>
        </w:rPr>
        <w:t xml:space="preserve">. </w:t>
      </w:r>
      <w:r w:rsidR="00063188" w:rsidRPr="0040535D">
        <w:rPr>
          <w:rFonts w:ascii="Times New Roman" w:hAnsi="Times New Roman"/>
          <w:sz w:val="24"/>
          <w:szCs w:val="24"/>
        </w:rPr>
        <w:t xml:space="preserve">Po </w:t>
      </w:r>
      <w:r w:rsidR="005A47FE" w:rsidRPr="0040535D">
        <w:rPr>
          <w:rFonts w:ascii="Times New Roman" w:hAnsi="Times New Roman"/>
          <w:sz w:val="24"/>
          <w:szCs w:val="24"/>
        </w:rPr>
        <w:t xml:space="preserve">wyczerpaniu środków przekazanych z budżetu środków europejskich </w:t>
      </w:r>
      <w:r w:rsidR="00063188" w:rsidRPr="0040535D">
        <w:rPr>
          <w:rFonts w:ascii="Times New Roman" w:hAnsi="Times New Roman"/>
          <w:sz w:val="24"/>
          <w:szCs w:val="24"/>
        </w:rPr>
        <w:t xml:space="preserve">PFR zapewni finansowanie przejściowe ze środków pochodzących z emisji </w:t>
      </w:r>
      <w:r w:rsidR="005A47FE" w:rsidRPr="0040535D">
        <w:rPr>
          <w:rFonts w:ascii="Times New Roman" w:hAnsi="Times New Roman"/>
          <w:sz w:val="24"/>
          <w:szCs w:val="24"/>
        </w:rPr>
        <w:t>obligacji na rynkach kr</w:t>
      </w:r>
      <w:r w:rsidRPr="0040535D">
        <w:rPr>
          <w:rFonts w:ascii="Times New Roman" w:hAnsi="Times New Roman"/>
          <w:sz w:val="24"/>
          <w:szCs w:val="24"/>
        </w:rPr>
        <w:t>ajowym i zagranicznych. PFR</w:t>
      </w:r>
      <w:r w:rsidR="005A47FE" w:rsidRPr="0040535D">
        <w:rPr>
          <w:rFonts w:ascii="Times New Roman" w:hAnsi="Times New Roman"/>
          <w:sz w:val="24"/>
          <w:szCs w:val="24"/>
        </w:rPr>
        <w:t xml:space="preserve"> będzie odpowiadał </w:t>
      </w:r>
      <w:r w:rsidR="00063188" w:rsidRPr="0040535D">
        <w:rPr>
          <w:rFonts w:ascii="Times New Roman" w:hAnsi="Times New Roman"/>
          <w:sz w:val="24"/>
          <w:szCs w:val="24"/>
        </w:rPr>
        <w:t xml:space="preserve">wyłącznie </w:t>
      </w:r>
      <w:r w:rsidR="005A47FE" w:rsidRPr="0040535D">
        <w:rPr>
          <w:rFonts w:ascii="Times New Roman" w:hAnsi="Times New Roman"/>
          <w:sz w:val="24"/>
          <w:szCs w:val="24"/>
        </w:rPr>
        <w:t>za zapewnienia i przekazywa</w:t>
      </w:r>
      <w:r w:rsidR="003E0C4D" w:rsidRPr="0040535D">
        <w:rPr>
          <w:rFonts w:ascii="Times New Roman" w:hAnsi="Times New Roman"/>
          <w:sz w:val="24"/>
          <w:szCs w:val="24"/>
        </w:rPr>
        <w:t xml:space="preserve">nie finansowania </w:t>
      </w:r>
      <w:r w:rsidR="00063188" w:rsidRPr="0040535D">
        <w:rPr>
          <w:rFonts w:ascii="Times New Roman" w:hAnsi="Times New Roman"/>
          <w:sz w:val="24"/>
          <w:szCs w:val="24"/>
        </w:rPr>
        <w:t xml:space="preserve">do uprawnionych odbiorców wypłat. </w:t>
      </w:r>
      <w:r w:rsidRPr="0040535D">
        <w:rPr>
          <w:rFonts w:ascii="Times New Roman" w:hAnsi="Times New Roman"/>
          <w:sz w:val="24"/>
          <w:szCs w:val="24"/>
        </w:rPr>
        <w:t>PFR nie będzie miał możliwości podejmowania merytorycznych decyzji odnośnie do dokonywania wypłat na rzecz uprawnionych podmiotów</w:t>
      </w:r>
      <w:r w:rsidR="005A47FE" w:rsidRPr="0040535D">
        <w:rPr>
          <w:rFonts w:ascii="Times New Roman" w:hAnsi="Times New Roman"/>
          <w:sz w:val="24"/>
          <w:szCs w:val="24"/>
        </w:rPr>
        <w:t xml:space="preserve">. Decyzje co do przyznawania środków na poszczególne </w:t>
      </w:r>
      <w:r w:rsidR="00CE3E8B" w:rsidRPr="0040535D">
        <w:rPr>
          <w:rFonts w:ascii="Times New Roman" w:hAnsi="Times New Roman"/>
          <w:sz w:val="24"/>
          <w:szCs w:val="24"/>
        </w:rPr>
        <w:t xml:space="preserve">przedsięwzięcia </w:t>
      </w:r>
      <w:r w:rsidR="005A47FE" w:rsidRPr="0040535D">
        <w:rPr>
          <w:rFonts w:ascii="Times New Roman" w:hAnsi="Times New Roman"/>
          <w:sz w:val="24"/>
          <w:szCs w:val="24"/>
        </w:rPr>
        <w:t>będą podejmowane przez wyznaczone do tego organy –</w:t>
      </w:r>
      <w:r w:rsidR="00C16A7C" w:rsidRPr="0040535D">
        <w:rPr>
          <w:rFonts w:ascii="Times New Roman" w:hAnsi="Times New Roman"/>
          <w:sz w:val="24"/>
          <w:szCs w:val="24"/>
        </w:rPr>
        <w:t xml:space="preserve"> </w:t>
      </w:r>
      <w:r w:rsidR="005A47FE" w:rsidRPr="0040535D">
        <w:rPr>
          <w:rFonts w:ascii="Times New Roman" w:hAnsi="Times New Roman"/>
          <w:sz w:val="24"/>
          <w:szCs w:val="24"/>
        </w:rPr>
        <w:t>instytucje odpowiedzialne za inwestycje i jednostki wspierające. Szczegółowe zasady wykon</w:t>
      </w:r>
      <w:r w:rsidR="003E0C4D" w:rsidRPr="0040535D">
        <w:rPr>
          <w:rFonts w:ascii="Times New Roman" w:hAnsi="Times New Roman"/>
          <w:sz w:val="24"/>
          <w:szCs w:val="24"/>
        </w:rPr>
        <w:t xml:space="preserve">ywania zadań przez </w:t>
      </w:r>
      <w:r w:rsidRPr="0040535D">
        <w:rPr>
          <w:rFonts w:ascii="Times New Roman" w:hAnsi="Times New Roman"/>
          <w:sz w:val="24"/>
          <w:szCs w:val="24"/>
        </w:rPr>
        <w:t>PFR</w:t>
      </w:r>
      <w:r w:rsidR="005A47FE" w:rsidRPr="0040535D">
        <w:rPr>
          <w:rFonts w:ascii="Times New Roman" w:hAnsi="Times New Roman"/>
          <w:sz w:val="24"/>
          <w:szCs w:val="24"/>
        </w:rPr>
        <w:t xml:space="preserve"> zostaną ustalone w umowie, którą </w:t>
      </w:r>
      <w:r w:rsidRPr="0040535D">
        <w:rPr>
          <w:rFonts w:ascii="Times New Roman" w:hAnsi="Times New Roman"/>
          <w:sz w:val="24"/>
          <w:szCs w:val="24"/>
        </w:rPr>
        <w:t>PFR</w:t>
      </w:r>
      <w:r w:rsidR="005A47FE" w:rsidRPr="0040535D">
        <w:rPr>
          <w:rFonts w:ascii="Times New Roman" w:hAnsi="Times New Roman"/>
          <w:sz w:val="24"/>
          <w:szCs w:val="24"/>
        </w:rPr>
        <w:t xml:space="preserve"> będzie zawierał z ministrem właściwym d</w:t>
      </w:r>
      <w:r w:rsidR="00471599" w:rsidRPr="0040535D">
        <w:rPr>
          <w:rFonts w:ascii="Times New Roman" w:hAnsi="Times New Roman"/>
          <w:sz w:val="24"/>
          <w:szCs w:val="24"/>
        </w:rPr>
        <w:t>o spraw</w:t>
      </w:r>
      <w:r w:rsidR="005A47FE" w:rsidRPr="0040535D">
        <w:rPr>
          <w:rFonts w:ascii="Times New Roman" w:hAnsi="Times New Roman"/>
          <w:sz w:val="24"/>
          <w:szCs w:val="24"/>
        </w:rPr>
        <w:t xml:space="preserve"> rozwoju regionalnego</w:t>
      </w:r>
      <w:r w:rsidR="00471599" w:rsidRPr="0040535D">
        <w:rPr>
          <w:rFonts w:ascii="Times New Roman" w:hAnsi="Times New Roman"/>
          <w:sz w:val="24"/>
          <w:szCs w:val="24"/>
        </w:rPr>
        <w:t xml:space="preserve"> </w:t>
      </w:r>
      <w:r w:rsidR="008743B6" w:rsidRPr="0040535D">
        <w:rPr>
          <w:rFonts w:ascii="Times New Roman" w:hAnsi="Times New Roman"/>
          <w:sz w:val="24"/>
          <w:szCs w:val="24"/>
        </w:rPr>
        <w:t xml:space="preserve">(podmiot odpowiedzialny za koordynację realizacji planu rozwojowego) </w:t>
      </w:r>
      <w:r w:rsidR="00471599" w:rsidRPr="0040535D">
        <w:rPr>
          <w:rFonts w:ascii="Times New Roman" w:hAnsi="Times New Roman"/>
          <w:sz w:val="24"/>
          <w:szCs w:val="24"/>
        </w:rPr>
        <w:t xml:space="preserve">działającym w porozumieniu z ministrem właściwym do sprawę finansów publicznych </w:t>
      </w:r>
      <w:r w:rsidR="005A47FE" w:rsidRPr="0040535D">
        <w:rPr>
          <w:rFonts w:ascii="Times New Roman" w:hAnsi="Times New Roman"/>
          <w:sz w:val="24"/>
          <w:szCs w:val="24"/>
        </w:rPr>
        <w:t xml:space="preserve"> </w:t>
      </w:r>
      <w:r w:rsidR="00100244" w:rsidRPr="0040535D">
        <w:rPr>
          <w:rFonts w:ascii="Times New Roman" w:hAnsi="Times New Roman"/>
          <w:sz w:val="24"/>
          <w:szCs w:val="24"/>
        </w:rPr>
        <w:t xml:space="preserve"> (art. 14ln).</w:t>
      </w:r>
      <w:r w:rsidR="005A47FE" w:rsidRPr="0040535D">
        <w:rPr>
          <w:rFonts w:ascii="Times New Roman" w:hAnsi="Times New Roman"/>
          <w:sz w:val="24"/>
          <w:szCs w:val="24"/>
        </w:rPr>
        <w:t xml:space="preserve"> W celu zapewnienia bezpieczeństwa środków budżetowych powie</w:t>
      </w:r>
      <w:r w:rsidR="009343FA" w:rsidRPr="0040535D">
        <w:rPr>
          <w:rFonts w:ascii="Times New Roman" w:hAnsi="Times New Roman"/>
          <w:sz w:val="24"/>
          <w:szCs w:val="24"/>
        </w:rPr>
        <w:t xml:space="preserve">rzanych w zarząd </w:t>
      </w:r>
      <w:r w:rsidRPr="0040535D">
        <w:rPr>
          <w:rFonts w:ascii="Times New Roman" w:hAnsi="Times New Roman"/>
          <w:sz w:val="24"/>
          <w:szCs w:val="24"/>
        </w:rPr>
        <w:t>PFR</w:t>
      </w:r>
      <w:r w:rsidR="005A47FE" w:rsidRPr="0040535D">
        <w:rPr>
          <w:rFonts w:ascii="Times New Roman" w:hAnsi="Times New Roman"/>
          <w:sz w:val="24"/>
          <w:szCs w:val="24"/>
        </w:rPr>
        <w:t>, umowa będzie zawierana na kształt umowy dotacyjnej, o której mowa w art. 150-152 ustawy o finansach publicznych. W kwestiach nieuregulowanych będą stosowane zasady przewidziane dla umowy dotacji.</w:t>
      </w:r>
    </w:p>
    <w:p w14:paraId="390B1877" w14:textId="77777777" w:rsidR="00D672DC" w:rsidRPr="0040535D" w:rsidRDefault="00D672DC" w:rsidP="00892DB5">
      <w:pPr>
        <w:spacing w:after="0" w:line="360" w:lineRule="auto"/>
        <w:jc w:val="both"/>
        <w:rPr>
          <w:rFonts w:ascii="Times New Roman" w:hAnsi="Times New Roman"/>
          <w:sz w:val="24"/>
          <w:szCs w:val="24"/>
        </w:rPr>
      </w:pPr>
      <w:r w:rsidRPr="0040535D">
        <w:rPr>
          <w:rFonts w:ascii="Times New Roman" w:hAnsi="Times New Roman"/>
          <w:sz w:val="24"/>
          <w:szCs w:val="24"/>
        </w:rPr>
        <w:t>Środki na pokrycie wynagrodzenia PFR oraz kosztów pozyskania, obsługi i spłaty finansowania pozyskanego przez PFR, w części w której nie zostaną sfinansowane ze środków budżetu środków europejskich zasilanego środkami Funduszu Odbudowy i Rozwoju, zostaną pokryte z wydatków budżetu państwa. Wydatki na ten cel zostaną zabezpieczone przez Ministra Finansów na wniosek ministra właściwego do spraw rozwoju regionalnego w rezerwach celowych lub limicie części 34 – Rozwój regionalny, poprzez jego odpowiednie zwiększenie</w:t>
      </w:r>
      <w:r w:rsidR="00100244" w:rsidRPr="0040535D">
        <w:rPr>
          <w:rFonts w:ascii="Times New Roman" w:hAnsi="Times New Roman"/>
          <w:sz w:val="24"/>
          <w:szCs w:val="24"/>
        </w:rPr>
        <w:t>.</w:t>
      </w:r>
    </w:p>
    <w:p w14:paraId="79B655AF" w14:textId="77777777" w:rsidR="00100244" w:rsidRPr="0040535D" w:rsidRDefault="005A47FE" w:rsidP="009A0EE5">
      <w:pPr>
        <w:spacing w:after="0" w:line="360" w:lineRule="auto"/>
        <w:jc w:val="both"/>
        <w:rPr>
          <w:rFonts w:ascii="Times New Roman" w:hAnsi="Times New Roman"/>
          <w:sz w:val="24"/>
          <w:szCs w:val="24"/>
        </w:rPr>
      </w:pPr>
      <w:r w:rsidRPr="0040535D">
        <w:rPr>
          <w:rFonts w:ascii="Times New Roman" w:hAnsi="Times New Roman"/>
          <w:sz w:val="24"/>
          <w:szCs w:val="24"/>
        </w:rPr>
        <w:lastRenderedPageBreak/>
        <w:t>Podmiotami odpowiedzialnymi za meryto</w:t>
      </w:r>
      <w:r w:rsidR="009343FA" w:rsidRPr="0040535D">
        <w:rPr>
          <w:rFonts w:ascii="Times New Roman" w:hAnsi="Times New Roman"/>
          <w:sz w:val="24"/>
          <w:szCs w:val="24"/>
        </w:rPr>
        <w:t>ryczną realizację planu rozwojowego</w:t>
      </w:r>
      <w:r w:rsidRPr="0040535D">
        <w:rPr>
          <w:rFonts w:ascii="Times New Roman" w:hAnsi="Times New Roman"/>
          <w:sz w:val="24"/>
          <w:szCs w:val="24"/>
        </w:rPr>
        <w:t xml:space="preserve"> są instytucje odpowiedzialne za inwestycję oraz jednostki wspierające</w:t>
      </w:r>
      <w:r w:rsidR="008743B6" w:rsidRPr="0040535D">
        <w:rPr>
          <w:rFonts w:ascii="Times New Roman" w:hAnsi="Times New Roman"/>
          <w:sz w:val="24"/>
          <w:szCs w:val="24"/>
        </w:rPr>
        <w:t xml:space="preserve"> i również</w:t>
      </w:r>
      <w:r w:rsidRPr="0040535D">
        <w:rPr>
          <w:rFonts w:ascii="Times New Roman" w:hAnsi="Times New Roman"/>
          <w:sz w:val="24"/>
          <w:szCs w:val="24"/>
        </w:rPr>
        <w:t xml:space="preserve"> decyzja o wypłacie środków </w:t>
      </w:r>
      <w:r w:rsidR="008743B6" w:rsidRPr="0040535D">
        <w:rPr>
          <w:rFonts w:ascii="Times New Roman" w:hAnsi="Times New Roman"/>
          <w:sz w:val="24"/>
          <w:szCs w:val="24"/>
        </w:rPr>
        <w:t xml:space="preserve">będzie </w:t>
      </w:r>
      <w:r w:rsidRPr="0040535D">
        <w:rPr>
          <w:rFonts w:ascii="Times New Roman" w:hAnsi="Times New Roman"/>
          <w:sz w:val="24"/>
          <w:szCs w:val="24"/>
        </w:rPr>
        <w:t>leżeć w kompetencji tych podmiotów.</w:t>
      </w:r>
      <w:r w:rsidR="009343FA" w:rsidRPr="0040535D">
        <w:rPr>
          <w:rFonts w:ascii="Times New Roman" w:hAnsi="Times New Roman"/>
          <w:sz w:val="24"/>
          <w:szCs w:val="24"/>
        </w:rPr>
        <w:t xml:space="preserve"> Proponuje się, aby </w:t>
      </w:r>
      <w:r w:rsidR="0064190C" w:rsidRPr="0040535D">
        <w:rPr>
          <w:rFonts w:ascii="Times New Roman" w:hAnsi="Times New Roman"/>
          <w:sz w:val="24"/>
          <w:szCs w:val="24"/>
        </w:rPr>
        <w:t>PFR</w:t>
      </w:r>
      <w:r w:rsidRPr="0040535D">
        <w:rPr>
          <w:rFonts w:ascii="Times New Roman" w:hAnsi="Times New Roman"/>
          <w:sz w:val="24"/>
          <w:szCs w:val="24"/>
        </w:rPr>
        <w:t xml:space="preserve"> dokonywał wypłat </w:t>
      </w:r>
      <w:r w:rsidR="009A0EE5" w:rsidRPr="0040535D">
        <w:rPr>
          <w:rFonts w:ascii="Times New Roman" w:hAnsi="Times New Roman"/>
          <w:sz w:val="24"/>
          <w:szCs w:val="24"/>
        </w:rPr>
        <w:t xml:space="preserve">(1) </w:t>
      </w:r>
      <w:r w:rsidR="00100244" w:rsidRPr="0040535D">
        <w:rPr>
          <w:rFonts w:ascii="Times New Roman" w:hAnsi="Times New Roman"/>
          <w:sz w:val="24"/>
          <w:szCs w:val="24"/>
        </w:rPr>
        <w:t xml:space="preserve">ostatecznemu odbiorcy wsparcia – na podstawie zlecenia wypłaty wystawionego przez instytucję odpowiedzialną za realizację inwestycji lub jednostkę wspierającą plan rozwojowy; </w:t>
      </w:r>
      <w:r w:rsidR="009A0EE5" w:rsidRPr="0040535D">
        <w:rPr>
          <w:rFonts w:ascii="Times New Roman" w:hAnsi="Times New Roman"/>
          <w:sz w:val="24"/>
          <w:szCs w:val="24"/>
        </w:rPr>
        <w:t xml:space="preserve">(2) </w:t>
      </w:r>
      <w:r w:rsidR="00100244" w:rsidRPr="0040535D">
        <w:rPr>
          <w:rFonts w:ascii="Times New Roman" w:hAnsi="Times New Roman"/>
          <w:sz w:val="24"/>
          <w:szCs w:val="24"/>
        </w:rPr>
        <w:t xml:space="preserve">instytucji odpowiedzialnej za realizację inwestycji lub jednostki wspierającej plan rozwojowy – na zlecenie wypłaty wystawione przez instytucję odpowiedzialną za realizację inwestycji; </w:t>
      </w:r>
      <w:r w:rsidR="009A0EE5" w:rsidRPr="0040535D">
        <w:rPr>
          <w:rFonts w:ascii="Times New Roman" w:hAnsi="Times New Roman"/>
          <w:sz w:val="24"/>
          <w:szCs w:val="24"/>
        </w:rPr>
        <w:t xml:space="preserve">(3) </w:t>
      </w:r>
      <w:r w:rsidR="00100244" w:rsidRPr="0040535D">
        <w:rPr>
          <w:rFonts w:ascii="Times New Roman" w:hAnsi="Times New Roman"/>
          <w:sz w:val="24"/>
          <w:szCs w:val="24"/>
        </w:rPr>
        <w:t>Bankowi Gospodarstwa Krajowego – na zlecenie wypłaty wystawione przez instytucję odpowiedzialną za reali</w:t>
      </w:r>
      <w:r w:rsidR="00B603B4" w:rsidRPr="0040535D">
        <w:rPr>
          <w:rFonts w:ascii="Times New Roman" w:hAnsi="Times New Roman"/>
          <w:sz w:val="24"/>
          <w:szCs w:val="24"/>
        </w:rPr>
        <w:t>zację inwestycji (</w:t>
      </w:r>
      <w:r w:rsidR="00C16A7C" w:rsidRPr="0040535D">
        <w:rPr>
          <w:rFonts w:ascii="Times New Roman" w:hAnsi="Times New Roman"/>
          <w:sz w:val="24"/>
          <w:szCs w:val="24"/>
        </w:rPr>
        <w:t>a</w:t>
      </w:r>
      <w:r w:rsidR="00B603B4" w:rsidRPr="0040535D">
        <w:rPr>
          <w:rFonts w:ascii="Times New Roman" w:hAnsi="Times New Roman"/>
          <w:sz w:val="24"/>
          <w:szCs w:val="24"/>
        </w:rPr>
        <w:t>rt. 14lp).</w:t>
      </w:r>
    </w:p>
    <w:p w14:paraId="63020D36" w14:textId="77777777" w:rsidR="005A47FE" w:rsidRPr="0040535D" w:rsidRDefault="005A47FE" w:rsidP="00EC2541">
      <w:pPr>
        <w:spacing w:after="0" w:line="360" w:lineRule="auto"/>
        <w:jc w:val="both"/>
        <w:rPr>
          <w:rFonts w:ascii="Times New Roman" w:hAnsi="Times New Roman"/>
          <w:sz w:val="24"/>
          <w:szCs w:val="24"/>
        </w:rPr>
      </w:pPr>
    </w:p>
    <w:p w14:paraId="60C1CD85" w14:textId="77777777" w:rsidR="005A47FE" w:rsidRPr="0040535D" w:rsidRDefault="005A47FE" w:rsidP="00523EA5">
      <w:pPr>
        <w:spacing w:after="0" w:line="360" w:lineRule="auto"/>
        <w:jc w:val="both"/>
        <w:rPr>
          <w:rFonts w:ascii="Times New Roman" w:hAnsi="Times New Roman"/>
          <w:sz w:val="24"/>
          <w:szCs w:val="24"/>
        </w:rPr>
      </w:pPr>
      <w:r w:rsidRPr="0040535D">
        <w:rPr>
          <w:rFonts w:ascii="Times New Roman" w:hAnsi="Times New Roman"/>
          <w:sz w:val="24"/>
          <w:szCs w:val="24"/>
        </w:rPr>
        <w:t>Instrument wypłaty został wprowadzony z uwagi na konieczność odróżnienia od formy przekazywania środków w drodze dotacji oraz z uwagi na odrębność od instrumentu płatności z budżetu środków europejskich. W przypadku państwowych jednostek budżetowych proponuje się ich pozabudżetowy przepływ, w ramach wydzielonego rachunku, z odrębnym planem finansowym. Z uwagi na pozabudżetowe ujęcie środków i obostrzenia w zaciąganiu zobowiązań przez państwowe jednostki budżetowe, konieczne jest wprowadzenie podstawy prawnej do zaciągania ww. zobowiązań przez te jednostki.</w:t>
      </w:r>
    </w:p>
    <w:p w14:paraId="05F65FA8" w14:textId="77777777" w:rsidR="00782361" w:rsidRPr="0040535D" w:rsidRDefault="00523EA5" w:rsidP="009A0EE5">
      <w:pPr>
        <w:spacing w:after="0" w:line="360" w:lineRule="auto"/>
        <w:jc w:val="both"/>
        <w:rPr>
          <w:rFonts w:ascii="Times New Roman" w:hAnsi="Times New Roman"/>
          <w:sz w:val="24"/>
          <w:szCs w:val="24"/>
        </w:rPr>
      </w:pPr>
      <w:r w:rsidRPr="0040535D">
        <w:rPr>
          <w:rFonts w:ascii="Times New Roman" w:hAnsi="Times New Roman"/>
          <w:sz w:val="24"/>
          <w:szCs w:val="24"/>
        </w:rPr>
        <w:t>W przypadku państwowych jednostek budżetowych (</w:t>
      </w:r>
      <w:proofErr w:type="spellStart"/>
      <w:r w:rsidRPr="0040535D">
        <w:rPr>
          <w:rFonts w:ascii="Times New Roman" w:hAnsi="Times New Roman"/>
          <w:sz w:val="24"/>
          <w:szCs w:val="24"/>
        </w:rPr>
        <w:t>pjb</w:t>
      </w:r>
      <w:proofErr w:type="spellEnd"/>
      <w:r w:rsidRPr="0040535D">
        <w:rPr>
          <w:rFonts w:ascii="Times New Roman" w:hAnsi="Times New Roman"/>
          <w:sz w:val="24"/>
          <w:szCs w:val="24"/>
        </w:rPr>
        <w:t>) środki otrzymane od PFR gromadzone są na wydzielonych rachunkach dochodów i przeznacz</w:t>
      </w:r>
      <w:r w:rsidR="00F53118" w:rsidRPr="0040535D">
        <w:rPr>
          <w:rFonts w:ascii="Times New Roman" w:hAnsi="Times New Roman"/>
          <w:sz w:val="24"/>
          <w:szCs w:val="24"/>
        </w:rPr>
        <w:t>ane</w:t>
      </w:r>
      <w:r w:rsidRPr="0040535D">
        <w:rPr>
          <w:rFonts w:ascii="Times New Roman" w:hAnsi="Times New Roman"/>
          <w:sz w:val="24"/>
          <w:szCs w:val="24"/>
        </w:rPr>
        <w:t xml:space="preserve"> na wydatki związane z realizacją inwestycji i przedsięwzięć objętych wsparciem z planu rozwojowego, w ramach planu finansowego tych rachunków. Plan finansowy, przygotowywany jest z uwzględnieniem terminów osiągania wskaźników określonych w planie rozwojowym. </w:t>
      </w:r>
      <w:r w:rsidR="00F53118" w:rsidRPr="0040535D">
        <w:rPr>
          <w:rFonts w:ascii="Times New Roman" w:hAnsi="Times New Roman"/>
          <w:sz w:val="24"/>
          <w:szCs w:val="24"/>
        </w:rPr>
        <w:t>O</w:t>
      </w:r>
      <w:r w:rsidRPr="0040535D">
        <w:rPr>
          <w:rFonts w:ascii="Times New Roman" w:hAnsi="Times New Roman"/>
          <w:sz w:val="24"/>
          <w:szCs w:val="24"/>
        </w:rPr>
        <w:t xml:space="preserve">bejmuje </w:t>
      </w:r>
      <w:r w:rsidR="00F53118" w:rsidRPr="0040535D">
        <w:rPr>
          <w:rFonts w:ascii="Times New Roman" w:hAnsi="Times New Roman"/>
          <w:sz w:val="24"/>
          <w:szCs w:val="24"/>
        </w:rPr>
        <w:t xml:space="preserve">on </w:t>
      </w:r>
      <w:r w:rsidRPr="0040535D">
        <w:rPr>
          <w:rFonts w:ascii="Times New Roman" w:hAnsi="Times New Roman"/>
          <w:sz w:val="24"/>
          <w:szCs w:val="24"/>
        </w:rPr>
        <w:t>okres roku kalendarzowego i jest zatwierdzany przez kierownika jednostki w terminie do dnia 15 grudnia roku poprzedzającego rok kalendarzowy, którego plan ma dotyczyć. Plan przygotowywany jest w szczegółowości nie mniejszej niż określona dla sprawozdań z jego wykonania,  Kierownik jednostki może dokonywać w ciągu roku zmian w planie finansowym. Plan finansowy i jego aktualizacje kierownik jednostki przekazuje niezwłocznie dysponentowi części budżetowej właściwej dla finansowania danej jednostki.</w:t>
      </w:r>
      <w:r w:rsidR="00F53118" w:rsidRPr="0040535D">
        <w:rPr>
          <w:rFonts w:ascii="Times New Roman" w:hAnsi="Times New Roman"/>
          <w:sz w:val="24"/>
          <w:szCs w:val="24"/>
        </w:rPr>
        <w:t xml:space="preserve"> </w:t>
      </w:r>
      <w:r w:rsidRPr="0040535D">
        <w:rPr>
          <w:rFonts w:ascii="Times New Roman" w:hAnsi="Times New Roman"/>
          <w:sz w:val="24"/>
          <w:szCs w:val="24"/>
        </w:rPr>
        <w:t>Z wykonania planu finansowego, w danym roku budżetowym państwowa jednostka budżetowa sporządza sprawozdanie,</w:t>
      </w:r>
      <w:r w:rsidR="00782361" w:rsidRPr="0040535D">
        <w:rPr>
          <w:rFonts w:ascii="Times New Roman" w:hAnsi="Times New Roman"/>
          <w:sz w:val="24"/>
          <w:szCs w:val="24"/>
        </w:rPr>
        <w:t xml:space="preserve"> kwartalne, za okresy I-III kwartał, które przekazuje w terminie do </w:t>
      </w:r>
      <w:r w:rsidR="0054764B" w:rsidRPr="0054764B">
        <w:rPr>
          <w:rFonts w:ascii="Times New Roman" w:hAnsi="Times New Roman"/>
          <w:sz w:val="24"/>
          <w:szCs w:val="24"/>
        </w:rPr>
        <w:t>10 dnia miesiąca następującego po upływie kwartału</w:t>
      </w:r>
      <w:r w:rsidR="00782361" w:rsidRPr="0040535D">
        <w:rPr>
          <w:rFonts w:ascii="Times New Roman" w:hAnsi="Times New Roman"/>
          <w:sz w:val="24"/>
          <w:szCs w:val="24"/>
        </w:rPr>
        <w:t xml:space="preserve"> oraz roczne,</w:t>
      </w:r>
      <w:r w:rsidRPr="0040535D">
        <w:rPr>
          <w:rFonts w:ascii="Times New Roman" w:hAnsi="Times New Roman"/>
          <w:sz w:val="24"/>
          <w:szCs w:val="24"/>
        </w:rPr>
        <w:t xml:space="preserve"> które przekazuje w terminie do dnia 31 stycznia następnego roku do dysponenta części właściwego do jej finansowania </w:t>
      </w:r>
      <w:r w:rsidR="00782361" w:rsidRPr="0040535D">
        <w:rPr>
          <w:rFonts w:ascii="Times New Roman" w:hAnsi="Times New Roman"/>
          <w:sz w:val="24"/>
          <w:szCs w:val="24"/>
        </w:rPr>
        <w:t xml:space="preserve">(odrębnego sprawozdania za IV kwartał nie sporządza się). </w:t>
      </w:r>
    </w:p>
    <w:p w14:paraId="57C05891" w14:textId="77777777" w:rsidR="00523EA5" w:rsidRPr="0040535D" w:rsidRDefault="00523EA5" w:rsidP="009A0EE5">
      <w:pPr>
        <w:spacing w:after="0" w:line="360" w:lineRule="auto"/>
        <w:jc w:val="both"/>
        <w:rPr>
          <w:rFonts w:ascii="Times New Roman" w:hAnsi="Times New Roman"/>
          <w:sz w:val="24"/>
          <w:szCs w:val="24"/>
        </w:rPr>
      </w:pPr>
      <w:r w:rsidRPr="0040535D">
        <w:rPr>
          <w:rFonts w:ascii="Times New Roman" w:hAnsi="Times New Roman"/>
          <w:sz w:val="24"/>
          <w:szCs w:val="24"/>
        </w:rPr>
        <w:lastRenderedPageBreak/>
        <w:t>Dysponent części sporządza zbiorcze sprawozdania z wykonania planów finansowych państwowych jednostek budżetowych finansowanych w danej części budżetowej, które przekazuje</w:t>
      </w:r>
      <w:r w:rsidR="00782361" w:rsidRPr="0040535D">
        <w:rPr>
          <w:rFonts w:ascii="Times New Roman" w:hAnsi="Times New Roman"/>
          <w:sz w:val="24"/>
          <w:szCs w:val="24"/>
        </w:rPr>
        <w:t xml:space="preserve"> odpowiednio do dnia </w:t>
      </w:r>
      <w:r w:rsidR="0054764B" w:rsidRPr="0054764B">
        <w:rPr>
          <w:rFonts w:ascii="Times New Roman" w:hAnsi="Times New Roman"/>
          <w:sz w:val="24"/>
          <w:szCs w:val="24"/>
        </w:rPr>
        <w:t xml:space="preserve">20 miesiąca następującego po upływie kwartału </w:t>
      </w:r>
      <w:r w:rsidR="00782361" w:rsidRPr="0040535D">
        <w:rPr>
          <w:rFonts w:ascii="Times New Roman" w:hAnsi="Times New Roman"/>
          <w:sz w:val="24"/>
          <w:szCs w:val="24"/>
        </w:rPr>
        <w:t xml:space="preserve">oraz </w:t>
      </w:r>
      <w:r w:rsidRPr="0040535D">
        <w:rPr>
          <w:rFonts w:ascii="Times New Roman" w:hAnsi="Times New Roman"/>
          <w:sz w:val="24"/>
          <w:szCs w:val="24"/>
        </w:rPr>
        <w:t xml:space="preserve">w terminie do dnia 15 lutego następnego roku do ministra właściwego do spraw finansów publicznych oraz ministra właściwego do spraw rozwoju regionalnego. Minister właściwy do spraw finansów publicznych w porozumieniu z ministrem właściwym do spraw rozwoju regionalnego </w:t>
      </w:r>
      <w:r w:rsidR="0054764B" w:rsidRPr="0054764B">
        <w:rPr>
          <w:rFonts w:ascii="Times New Roman" w:hAnsi="Times New Roman"/>
          <w:sz w:val="24"/>
          <w:szCs w:val="24"/>
        </w:rPr>
        <w:t xml:space="preserve">udostępni w Biuletynie Informacji Publicznej na stronie podmiotowej urzędu obsługującego ministra właściwego do spraw finansów publicznych </w:t>
      </w:r>
      <w:r w:rsidRPr="0040535D">
        <w:rPr>
          <w:rFonts w:ascii="Times New Roman" w:hAnsi="Times New Roman"/>
          <w:sz w:val="24"/>
          <w:szCs w:val="24"/>
        </w:rPr>
        <w:t xml:space="preserve">wzory sprawozdań dla państwowych jednostek budżetowych oraz dla dysponentów części, uwzględniając konieczność zapewnienie prawidłowego rozliczenia środków publicznych przeznaczonych na finansowanie planu rozwojowego. </w:t>
      </w:r>
    </w:p>
    <w:p w14:paraId="091296C9" w14:textId="77777777" w:rsidR="00F53118" w:rsidRPr="0040535D" w:rsidRDefault="00F53118" w:rsidP="009A0EE5">
      <w:pPr>
        <w:pStyle w:val="ZARTzmartartykuempunktem"/>
        <w:ind w:left="0" w:firstLine="0"/>
        <w:rPr>
          <w:rFonts w:ascii="Times New Roman" w:hAnsi="Times New Roman" w:cs="Times New Roman"/>
          <w:szCs w:val="24"/>
        </w:rPr>
      </w:pPr>
      <w:r w:rsidRPr="0040535D">
        <w:rPr>
          <w:rFonts w:ascii="Times New Roman" w:hAnsi="Times New Roman" w:cs="Times New Roman"/>
          <w:szCs w:val="24"/>
        </w:rPr>
        <w:t xml:space="preserve">Zgodnie z art. 14lq </w:t>
      </w:r>
      <w:r w:rsidR="00782361" w:rsidRPr="0040535D">
        <w:rPr>
          <w:rFonts w:ascii="Times New Roman" w:hAnsi="Times New Roman" w:cs="Times New Roman"/>
          <w:szCs w:val="24"/>
        </w:rPr>
        <w:t xml:space="preserve">minister właściwy do spraw finansów publicznych przekazuje instytucjom odpowiedzialnym za realizację inwestycji środki z budżetu państwa, w celu o którym mowa </w:t>
      </w:r>
      <w:r w:rsidRPr="0040535D">
        <w:rPr>
          <w:rFonts w:ascii="Times New Roman" w:hAnsi="Times New Roman" w:cs="Times New Roman"/>
          <w:szCs w:val="24"/>
        </w:rPr>
        <w:t>w art. 14ll ust. 2</w:t>
      </w:r>
      <w:r w:rsidR="00782361" w:rsidRPr="0040535D">
        <w:rPr>
          <w:rFonts w:ascii="Times New Roman" w:hAnsi="Times New Roman" w:cs="Times New Roman"/>
          <w:szCs w:val="24"/>
        </w:rPr>
        <w:t xml:space="preserve"> pkt 1</w:t>
      </w:r>
      <w:r w:rsidRPr="0040535D">
        <w:rPr>
          <w:rFonts w:ascii="Times New Roman" w:hAnsi="Times New Roman" w:cs="Times New Roman"/>
          <w:szCs w:val="24"/>
        </w:rPr>
        <w:t>, Podstawą dokonania przez ministra właściwego do spraw finansów publicznych wypłaty środków instytucji odpowiedzialnej za realizację inwestycji jest zlecenie wypłaty wystawione przez instytucję odpowiedzialną za realizację inwestycji oraz zgoda ministra właściwego do spraw rozwoju regionalnego na dokonanie wypłaty. Wypłata środków następuje zgodnie z harmonogramem. Minister właściwy do spraw rozwoju regionalnego może udzielać zgody każdorazowo lub pisemnie ustalić dla instytucji odpowiedzialnej za realizację inwestycji limit wypłat środków, informując o tym ministra właściwego do spraw finansów publicznych. Zlecenia wypłaty dotyczą:</w:t>
      </w:r>
    </w:p>
    <w:p w14:paraId="292F43E9" w14:textId="77777777" w:rsidR="00F53118" w:rsidRPr="0040535D" w:rsidRDefault="00EC7046" w:rsidP="00F53118">
      <w:pPr>
        <w:pStyle w:val="ZPKTzmpktartykuempunktem"/>
        <w:rPr>
          <w:rFonts w:ascii="Times New Roman" w:hAnsi="Times New Roman" w:cs="Times New Roman"/>
          <w:szCs w:val="24"/>
        </w:rPr>
      </w:pPr>
      <w:r w:rsidRPr="0040535D">
        <w:rPr>
          <w:rFonts w:ascii="Times New Roman" w:hAnsi="Times New Roman" w:cs="Times New Roman"/>
          <w:szCs w:val="24"/>
        </w:rPr>
        <w:t>1</w:t>
      </w:r>
      <w:r w:rsidR="00F53118" w:rsidRPr="0040535D">
        <w:rPr>
          <w:rFonts w:ascii="Times New Roman" w:hAnsi="Times New Roman" w:cs="Times New Roman"/>
          <w:szCs w:val="24"/>
        </w:rPr>
        <w:t>)</w:t>
      </w:r>
      <w:r w:rsidR="00F53118" w:rsidRPr="0040535D">
        <w:rPr>
          <w:rFonts w:ascii="Times New Roman" w:hAnsi="Times New Roman" w:cs="Times New Roman"/>
          <w:szCs w:val="24"/>
        </w:rPr>
        <w:tab/>
        <w:t xml:space="preserve">środków na realizację przedsięwzięcia zgodnie z umową, o której mowa w art. 14lzh ust. </w:t>
      </w:r>
      <w:r w:rsidR="00405B37" w:rsidRPr="0040535D">
        <w:rPr>
          <w:rFonts w:ascii="Times New Roman" w:hAnsi="Times New Roman" w:cs="Times New Roman"/>
          <w:szCs w:val="24"/>
        </w:rPr>
        <w:t>3</w:t>
      </w:r>
      <w:r w:rsidR="00F53118" w:rsidRPr="0040535D">
        <w:rPr>
          <w:rFonts w:ascii="Times New Roman" w:hAnsi="Times New Roman" w:cs="Times New Roman"/>
          <w:szCs w:val="24"/>
        </w:rPr>
        <w:t>;</w:t>
      </w:r>
    </w:p>
    <w:p w14:paraId="154CFF8A" w14:textId="77777777" w:rsidR="00F53118" w:rsidRPr="0040535D" w:rsidRDefault="00EC7046" w:rsidP="00F53118">
      <w:pPr>
        <w:pStyle w:val="ZPKTzmpktartykuempunktem"/>
        <w:rPr>
          <w:rFonts w:ascii="Times New Roman" w:hAnsi="Times New Roman" w:cs="Times New Roman"/>
          <w:szCs w:val="24"/>
        </w:rPr>
      </w:pPr>
      <w:r w:rsidRPr="0040535D">
        <w:rPr>
          <w:rFonts w:ascii="Times New Roman" w:hAnsi="Times New Roman" w:cs="Times New Roman"/>
          <w:szCs w:val="24"/>
        </w:rPr>
        <w:t>2</w:t>
      </w:r>
      <w:r w:rsidR="00F53118" w:rsidRPr="0040535D">
        <w:rPr>
          <w:rFonts w:ascii="Times New Roman" w:hAnsi="Times New Roman" w:cs="Times New Roman"/>
          <w:szCs w:val="24"/>
        </w:rPr>
        <w:t>)</w:t>
      </w:r>
      <w:r w:rsidR="00F53118" w:rsidRPr="0040535D">
        <w:rPr>
          <w:rFonts w:ascii="Times New Roman" w:hAnsi="Times New Roman" w:cs="Times New Roman"/>
          <w:szCs w:val="24"/>
        </w:rPr>
        <w:tab/>
        <w:t>środków przekazanych zgodnie z umową, o której mowa w art. 14lj ust. 1 pkt 2</w:t>
      </w:r>
      <w:r w:rsidR="00CB3EB4">
        <w:rPr>
          <w:rFonts w:ascii="Times New Roman" w:hAnsi="Times New Roman" w:cs="Times New Roman"/>
          <w:szCs w:val="24"/>
        </w:rPr>
        <w:t xml:space="preserve"> i 3</w:t>
      </w:r>
      <w:r w:rsidR="00F53118" w:rsidRPr="0040535D">
        <w:rPr>
          <w:rFonts w:ascii="Times New Roman" w:hAnsi="Times New Roman" w:cs="Times New Roman"/>
          <w:szCs w:val="24"/>
        </w:rPr>
        <w:t>.</w:t>
      </w:r>
    </w:p>
    <w:p w14:paraId="45F405F5" w14:textId="77777777" w:rsidR="00F53118" w:rsidRPr="0040535D" w:rsidRDefault="00F53118" w:rsidP="009A0EE5">
      <w:pPr>
        <w:pStyle w:val="ZPKTzmpktartykuempunktem"/>
        <w:ind w:left="0" w:firstLine="0"/>
        <w:rPr>
          <w:rFonts w:ascii="Times New Roman" w:hAnsi="Times New Roman" w:cs="Times New Roman"/>
          <w:szCs w:val="24"/>
        </w:rPr>
      </w:pPr>
      <w:r w:rsidRPr="0040535D">
        <w:rPr>
          <w:rFonts w:ascii="Times New Roman" w:hAnsi="Times New Roman" w:cs="Times New Roman"/>
          <w:szCs w:val="24"/>
        </w:rPr>
        <w:t>Instytucje odpowiedzialne za realizację inwestycji gromadzą środki na wydzielonych rachunkach i przeznaczają te środki na wydatki związane z realizacją inwestycji i przedsięwzięć zgodnie z art. 14lr oraz prowadzą ewidencję księgową operacji na tym rachunku i przygotowują dla ministra właściwego do spraw finansów publicznych oraz ministra właściwego do spraw rozwoju regionalnego zapotrzebowania na środki oraz informacje o wykorzystaniu środków na rachunku.</w:t>
      </w:r>
    </w:p>
    <w:p w14:paraId="3D956404" w14:textId="77777777" w:rsidR="00F53118" w:rsidRPr="0040535D" w:rsidRDefault="00F53118" w:rsidP="009A0EE5">
      <w:pPr>
        <w:pStyle w:val="ZPKTzmpktartykuempunktem"/>
        <w:ind w:left="0" w:firstLine="0"/>
        <w:rPr>
          <w:rFonts w:ascii="Times New Roman" w:hAnsi="Times New Roman" w:cs="Times New Roman"/>
          <w:szCs w:val="24"/>
        </w:rPr>
      </w:pPr>
      <w:r w:rsidRPr="0040535D">
        <w:rPr>
          <w:rFonts w:ascii="Times New Roman" w:hAnsi="Times New Roman" w:cs="Times New Roman"/>
          <w:szCs w:val="24"/>
        </w:rPr>
        <w:t>Instytucja odpowiedzialna za realizację inwestycji przekazuje środki pochodzące ze środków, o których mowa w 14ll ust. 2</w:t>
      </w:r>
      <w:r w:rsidR="00BE4BDF">
        <w:rPr>
          <w:rFonts w:ascii="Times New Roman" w:hAnsi="Times New Roman" w:cs="Times New Roman"/>
          <w:szCs w:val="24"/>
        </w:rPr>
        <w:t>,</w:t>
      </w:r>
      <w:r w:rsidRPr="0040535D">
        <w:rPr>
          <w:rFonts w:ascii="Times New Roman" w:hAnsi="Times New Roman" w:cs="Times New Roman"/>
          <w:szCs w:val="24"/>
        </w:rPr>
        <w:t xml:space="preserve"> ostatecznemu odbiorcy wsparcia, zgodnie z umową, o której mowa w art. 14lzc ust. 1 Bankowi Gospodarstwa Krajowego, zgodnie z umową, o której mowa </w:t>
      </w:r>
      <w:r w:rsidRPr="0040535D">
        <w:rPr>
          <w:rFonts w:ascii="Times New Roman" w:hAnsi="Times New Roman" w:cs="Times New Roman"/>
          <w:szCs w:val="24"/>
        </w:rPr>
        <w:lastRenderedPageBreak/>
        <w:t>w art. 14lj ust. 1 pkt 2</w:t>
      </w:r>
      <w:r w:rsidR="00CB3EB4">
        <w:rPr>
          <w:rFonts w:ascii="Times New Roman" w:hAnsi="Times New Roman" w:cs="Times New Roman"/>
          <w:szCs w:val="24"/>
        </w:rPr>
        <w:t>,</w:t>
      </w:r>
      <w:r w:rsidR="00CB3EB4" w:rsidRPr="00CB3EB4">
        <w:t xml:space="preserve"> </w:t>
      </w:r>
      <w:r w:rsidR="00CB3EB4" w:rsidRPr="00CB3EB4">
        <w:rPr>
          <w:rFonts w:ascii="Times New Roman" w:hAnsi="Times New Roman" w:cs="Times New Roman"/>
          <w:szCs w:val="24"/>
        </w:rPr>
        <w:t>Narodowemu Funduszowi Ochrony Środowiska i Gospodarki Wodnej, zgodnie z umową, o której mowa w art. 14lj ust. 1 pkt 3.</w:t>
      </w:r>
      <w:r w:rsidRPr="0040535D">
        <w:rPr>
          <w:rFonts w:ascii="Times New Roman" w:hAnsi="Times New Roman" w:cs="Times New Roman"/>
          <w:szCs w:val="24"/>
        </w:rPr>
        <w:t>.</w:t>
      </w:r>
    </w:p>
    <w:p w14:paraId="272AC964" w14:textId="77777777" w:rsidR="00F53118" w:rsidRPr="0040535D" w:rsidRDefault="00F53118" w:rsidP="009A0EE5">
      <w:pPr>
        <w:pStyle w:val="ZARTzmartartykuempunktem"/>
        <w:ind w:left="0" w:firstLine="0"/>
        <w:rPr>
          <w:rFonts w:ascii="Times New Roman" w:hAnsi="Times New Roman" w:cs="Times New Roman"/>
          <w:szCs w:val="24"/>
        </w:rPr>
      </w:pPr>
    </w:p>
    <w:p w14:paraId="2F7CD64C" w14:textId="77777777" w:rsidR="00F53118" w:rsidRPr="0040535D" w:rsidRDefault="00F53118" w:rsidP="009A0EE5">
      <w:pPr>
        <w:pStyle w:val="ZARTzmartartykuempunktem"/>
        <w:ind w:left="0" w:firstLine="0"/>
        <w:rPr>
          <w:rFonts w:ascii="Times New Roman" w:hAnsi="Times New Roman" w:cs="Times New Roman"/>
          <w:szCs w:val="24"/>
        </w:rPr>
      </w:pPr>
      <w:r w:rsidRPr="0040535D">
        <w:rPr>
          <w:rFonts w:ascii="Times New Roman" w:hAnsi="Times New Roman" w:cs="Times New Roman"/>
          <w:szCs w:val="24"/>
        </w:rPr>
        <w:t>Art. 14ls Przewiduje mechanizm zwrotu środków w przypadku, gdy środki przeznaczone na realizację planu rozwojowe</w:t>
      </w:r>
      <w:r w:rsidR="009A0EE5" w:rsidRPr="0040535D">
        <w:rPr>
          <w:rFonts w:ascii="Times New Roman" w:hAnsi="Times New Roman" w:cs="Times New Roman"/>
          <w:szCs w:val="24"/>
        </w:rPr>
        <w:t xml:space="preserve">go są </w:t>
      </w:r>
      <w:r w:rsidRPr="0040535D">
        <w:rPr>
          <w:rFonts w:ascii="Times New Roman" w:hAnsi="Times New Roman" w:cs="Times New Roman"/>
          <w:szCs w:val="24"/>
        </w:rPr>
        <w:t xml:space="preserve">wykorzystane niezgodnie z przeznaczeniem, wykorzystane z naruszeniem procedur obowiązujących przy ich wykorzystaniu, w tym postanowień umowy, o której mowa w art. 14lzh, pobrane nienależnie lub w nadmiernej wysokości. </w:t>
      </w:r>
    </w:p>
    <w:p w14:paraId="6335FAB3" w14:textId="77777777" w:rsidR="00F53118" w:rsidRPr="0040535D" w:rsidRDefault="00F53118" w:rsidP="009A0EE5">
      <w:pPr>
        <w:pStyle w:val="ZPKTzmpktartykuempunktem"/>
        <w:ind w:left="0" w:firstLine="0"/>
        <w:rPr>
          <w:rFonts w:ascii="Times New Roman" w:hAnsi="Times New Roman" w:cs="Times New Roman"/>
          <w:szCs w:val="24"/>
        </w:rPr>
      </w:pPr>
      <w:r w:rsidRPr="0040535D">
        <w:rPr>
          <w:rFonts w:ascii="Times New Roman" w:hAnsi="Times New Roman" w:cs="Times New Roman"/>
          <w:szCs w:val="24"/>
        </w:rPr>
        <w:t>Środki podlegają zwrotowi wraz z odsetkami w wysokości określonej jak dla zaległości podatkowych, liczonymi od dnia przekazania środków, w terminie 14 dni od dnia doręczenia ostatecznej decyzji organ</w:t>
      </w:r>
      <w:r w:rsidR="00285FCD" w:rsidRPr="0040535D">
        <w:rPr>
          <w:rFonts w:ascii="Times New Roman" w:hAnsi="Times New Roman" w:cs="Times New Roman"/>
          <w:szCs w:val="24"/>
        </w:rPr>
        <w:t>u pełniącego</w:t>
      </w:r>
      <w:r w:rsidRPr="0040535D">
        <w:rPr>
          <w:rFonts w:ascii="Times New Roman" w:hAnsi="Times New Roman" w:cs="Times New Roman"/>
          <w:szCs w:val="24"/>
        </w:rPr>
        <w:t xml:space="preserve"> funkcję instytucji odpowiedzialnej za realizację inwestycji na wskazany w tej decyzji rachunek bankowy.</w:t>
      </w:r>
      <w:r w:rsidR="00285FCD" w:rsidRPr="0040535D">
        <w:rPr>
          <w:rFonts w:ascii="Times New Roman" w:hAnsi="Times New Roman" w:cs="Times New Roman"/>
          <w:szCs w:val="24"/>
        </w:rPr>
        <w:t xml:space="preserve"> Instytucja odpowiedzialna za realizację inwestycji na podstawie porozumienia lub umowy, może upoważnić jednostkę wspierającą plan rozwojowy będącą jednostką sektora finansów publicznych, do wydawania decyzji.</w:t>
      </w:r>
      <w:r w:rsidR="00155913" w:rsidRPr="0040535D">
        <w:rPr>
          <w:rFonts w:ascii="Times New Roman" w:hAnsi="Times New Roman" w:cs="Times New Roman"/>
          <w:szCs w:val="24"/>
        </w:rPr>
        <w:t xml:space="preserve"> W przypadku stwierdzenia ww. okoliczności, przed wydaniem decyzji, instytucja odpowiedzialna za realizację inwestycji lub jednostka wspierająca plan rozwojowy, wzywa do zwrotu środków w terminie 14 dni od dnia doręczenia wezwania – jeżeli do zwrotu środków jest obowiązany ostateczny odbiorca wsparcia; instytucja odpowiedzialna za realizację inwestycji wzywa do zwrotu środków w terminie 14 dni od dnia doręczenia wezwania – jeżeli do zwrotu środków jest obowiązana jednostka wspierająca plan rozwojowy albo Bank Gospodarstwa Krajowego. </w:t>
      </w:r>
      <w:r w:rsidRPr="0040535D">
        <w:rPr>
          <w:rFonts w:ascii="Times New Roman" w:hAnsi="Times New Roman" w:cs="Times New Roman"/>
          <w:szCs w:val="24"/>
        </w:rPr>
        <w:t>Od decyzji</w:t>
      </w:r>
      <w:r w:rsidR="00285FCD" w:rsidRPr="0040535D">
        <w:rPr>
          <w:rFonts w:ascii="Times New Roman" w:hAnsi="Times New Roman" w:cs="Times New Roman"/>
          <w:szCs w:val="24"/>
        </w:rPr>
        <w:t xml:space="preserve"> </w:t>
      </w:r>
      <w:r w:rsidRPr="0040535D">
        <w:rPr>
          <w:rFonts w:ascii="Times New Roman" w:hAnsi="Times New Roman" w:cs="Times New Roman"/>
          <w:szCs w:val="24"/>
        </w:rPr>
        <w:t>wydanej przez jednostkę wspierającą plan rozwojowy służy odwołanie do właściwej instytucji odpowiedzialnej za realizację inwestycji.</w:t>
      </w:r>
      <w:r w:rsidR="00285FCD" w:rsidRPr="0040535D">
        <w:rPr>
          <w:rFonts w:ascii="Times New Roman" w:hAnsi="Times New Roman" w:cs="Times New Roman"/>
          <w:szCs w:val="24"/>
        </w:rPr>
        <w:t xml:space="preserve"> </w:t>
      </w:r>
      <w:r w:rsidRPr="0040535D">
        <w:rPr>
          <w:rFonts w:ascii="Times New Roman" w:hAnsi="Times New Roman" w:cs="Times New Roman"/>
          <w:szCs w:val="24"/>
        </w:rPr>
        <w:t>W przypadku wydania decyzji w pierwszej instancji przez instytucję odpowiedzialną za realizację inwestycji służy wniosek do tej instytucji o ponowne rozpatrzenie sprawy.</w:t>
      </w:r>
    </w:p>
    <w:p w14:paraId="28DF7DBF" w14:textId="77777777" w:rsidR="005A47FE" w:rsidRPr="0040535D" w:rsidRDefault="005A47FE" w:rsidP="00523EA5">
      <w:pPr>
        <w:spacing w:after="0" w:line="360" w:lineRule="auto"/>
        <w:jc w:val="both"/>
        <w:rPr>
          <w:rFonts w:ascii="Times New Roman" w:hAnsi="Times New Roman"/>
          <w:sz w:val="24"/>
          <w:szCs w:val="24"/>
        </w:rPr>
      </w:pPr>
      <w:r w:rsidRPr="0040535D">
        <w:rPr>
          <w:rFonts w:ascii="Times New Roman" w:hAnsi="Times New Roman"/>
          <w:sz w:val="24"/>
          <w:szCs w:val="24"/>
        </w:rPr>
        <w:t xml:space="preserve">Przepis przewiduje system ich odzyskiwania analogiczny, jak w przypadku środków przekazywanych na realizację programów i projektów w zakresie polityki spójności: ze względu na publicznoprawny tryb udzielania finansowania, przewiduje się także administracyjnoprawny tryb odzyskiwania środków. </w:t>
      </w:r>
    </w:p>
    <w:p w14:paraId="20E7BE43" w14:textId="77777777" w:rsidR="005A47FE" w:rsidRPr="0040535D" w:rsidRDefault="009343FA" w:rsidP="00523EA5">
      <w:pPr>
        <w:spacing w:after="0" w:line="360" w:lineRule="auto"/>
        <w:jc w:val="both"/>
        <w:rPr>
          <w:rFonts w:ascii="Times New Roman" w:hAnsi="Times New Roman"/>
          <w:sz w:val="24"/>
          <w:szCs w:val="24"/>
        </w:rPr>
      </w:pPr>
      <w:r w:rsidRPr="0040535D">
        <w:rPr>
          <w:rFonts w:ascii="Times New Roman" w:hAnsi="Times New Roman"/>
          <w:sz w:val="24"/>
          <w:szCs w:val="24"/>
        </w:rPr>
        <w:t xml:space="preserve">W art. </w:t>
      </w:r>
      <w:r w:rsidR="007D5765" w:rsidRPr="0040535D">
        <w:rPr>
          <w:rFonts w:ascii="Times New Roman" w:hAnsi="Times New Roman"/>
          <w:sz w:val="24"/>
          <w:szCs w:val="24"/>
        </w:rPr>
        <w:t>14l</w:t>
      </w:r>
      <w:r w:rsidR="008D4E79" w:rsidRPr="0040535D">
        <w:rPr>
          <w:rFonts w:ascii="Times New Roman" w:hAnsi="Times New Roman"/>
          <w:sz w:val="24"/>
          <w:szCs w:val="24"/>
        </w:rPr>
        <w:t>t</w:t>
      </w:r>
      <w:r w:rsidR="007D5765" w:rsidRPr="0040535D">
        <w:rPr>
          <w:rFonts w:ascii="Times New Roman" w:hAnsi="Times New Roman"/>
          <w:sz w:val="24"/>
          <w:szCs w:val="24"/>
        </w:rPr>
        <w:t xml:space="preserve"> </w:t>
      </w:r>
      <w:r w:rsidR="005A47FE" w:rsidRPr="0040535D">
        <w:rPr>
          <w:rFonts w:ascii="Times New Roman" w:hAnsi="Times New Roman"/>
          <w:sz w:val="24"/>
          <w:szCs w:val="24"/>
        </w:rPr>
        <w:t xml:space="preserve">wskazano, że instytucja odpowiedzialna za realizację konkretnej reformy, jest równocześnie instytucją odpowiedzialną za prowadzenie kontroli </w:t>
      </w:r>
      <w:r w:rsidR="00572A39" w:rsidRPr="0040535D">
        <w:rPr>
          <w:rFonts w:ascii="Times New Roman" w:hAnsi="Times New Roman"/>
          <w:sz w:val="24"/>
          <w:szCs w:val="24"/>
        </w:rPr>
        <w:t>realizacji reformy, która obejmuje w szczególności sprawdzenie postępu rzeczowej realizacji reformy i terminowego osiągania kamieni milowych.</w:t>
      </w:r>
      <w:r w:rsidR="00572A39" w:rsidRPr="0040535D" w:rsidDel="00572A39">
        <w:rPr>
          <w:rFonts w:ascii="Times New Roman" w:hAnsi="Times New Roman"/>
          <w:sz w:val="24"/>
          <w:szCs w:val="24"/>
        </w:rPr>
        <w:t xml:space="preserve"> </w:t>
      </w:r>
      <w:r w:rsidRPr="0040535D">
        <w:rPr>
          <w:rFonts w:ascii="Times New Roman" w:hAnsi="Times New Roman"/>
          <w:sz w:val="24"/>
          <w:szCs w:val="24"/>
        </w:rPr>
        <w:t xml:space="preserve">Analogicznie, w art. </w:t>
      </w:r>
      <w:r w:rsidR="008F04AA" w:rsidRPr="0040535D">
        <w:rPr>
          <w:rFonts w:ascii="Times New Roman" w:hAnsi="Times New Roman"/>
          <w:sz w:val="24"/>
          <w:szCs w:val="24"/>
        </w:rPr>
        <w:t>14l</w:t>
      </w:r>
      <w:r w:rsidR="008D4E79" w:rsidRPr="0040535D">
        <w:rPr>
          <w:rFonts w:ascii="Times New Roman" w:hAnsi="Times New Roman"/>
          <w:sz w:val="24"/>
          <w:szCs w:val="24"/>
        </w:rPr>
        <w:t>u</w:t>
      </w:r>
      <w:r w:rsidR="008F04AA" w:rsidRPr="0040535D">
        <w:rPr>
          <w:rFonts w:ascii="Times New Roman" w:hAnsi="Times New Roman"/>
          <w:sz w:val="24"/>
          <w:szCs w:val="24"/>
        </w:rPr>
        <w:t xml:space="preserve"> </w:t>
      </w:r>
      <w:r w:rsidR="005A47FE" w:rsidRPr="0040535D">
        <w:rPr>
          <w:rFonts w:ascii="Times New Roman" w:hAnsi="Times New Roman"/>
          <w:sz w:val="24"/>
          <w:szCs w:val="24"/>
        </w:rPr>
        <w:t>określono, że instytucja odpowiedzialna za inwestycję prowadzi kontrole realizacji inwestycji</w:t>
      </w:r>
      <w:r w:rsidR="00A01FB5" w:rsidRPr="0040535D">
        <w:rPr>
          <w:rFonts w:ascii="Times New Roman" w:hAnsi="Times New Roman"/>
          <w:sz w:val="24"/>
          <w:szCs w:val="24"/>
        </w:rPr>
        <w:t xml:space="preserve"> w szczególności przez</w:t>
      </w:r>
      <w:r w:rsidR="005A47FE" w:rsidRPr="0040535D">
        <w:rPr>
          <w:rFonts w:ascii="Times New Roman" w:hAnsi="Times New Roman"/>
          <w:sz w:val="24"/>
          <w:szCs w:val="24"/>
        </w:rPr>
        <w:t xml:space="preserve"> </w:t>
      </w:r>
      <w:r w:rsidR="00A01FB5" w:rsidRPr="0040535D">
        <w:rPr>
          <w:rFonts w:ascii="Times New Roman" w:hAnsi="Times New Roman"/>
          <w:sz w:val="24"/>
          <w:szCs w:val="24"/>
        </w:rPr>
        <w:t xml:space="preserve">sprawdzenie prawidłowości wydatków ponoszonych w związku z realizacją inwestycji i </w:t>
      </w:r>
      <w:r w:rsidR="00A01FB5" w:rsidRPr="0040535D">
        <w:rPr>
          <w:rFonts w:ascii="Times New Roman" w:hAnsi="Times New Roman"/>
          <w:sz w:val="24"/>
          <w:szCs w:val="24"/>
        </w:rPr>
        <w:lastRenderedPageBreak/>
        <w:t>przedsięwzięć, ich zgodności z prawem, w tym postęp rzeczowej realizacji i terminowe osiąganie wskaźników.</w:t>
      </w:r>
    </w:p>
    <w:p w14:paraId="757ADAD1" w14:textId="77777777" w:rsidR="005A47FE" w:rsidRPr="0040535D" w:rsidRDefault="005A47FE" w:rsidP="00523EA5">
      <w:pPr>
        <w:spacing w:after="0" w:line="360" w:lineRule="auto"/>
        <w:jc w:val="both"/>
        <w:rPr>
          <w:rFonts w:ascii="Times New Roman" w:hAnsi="Times New Roman"/>
          <w:sz w:val="24"/>
          <w:szCs w:val="24"/>
        </w:rPr>
      </w:pPr>
      <w:r w:rsidRPr="0040535D">
        <w:rPr>
          <w:rFonts w:ascii="Times New Roman" w:hAnsi="Times New Roman"/>
          <w:sz w:val="24"/>
          <w:szCs w:val="24"/>
        </w:rPr>
        <w:t>Projekt ustawy nie definiuje szczegółowych zasad realizacji k</w:t>
      </w:r>
      <w:r w:rsidR="009343FA" w:rsidRPr="0040535D">
        <w:rPr>
          <w:rFonts w:ascii="Times New Roman" w:hAnsi="Times New Roman"/>
          <w:sz w:val="24"/>
          <w:szCs w:val="24"/>
        </w:rPr>
        <w:t>ontroli</w:t>
      </w:r>
      <w:r w:rsidR="00E21C5B" w:rsidRPr="0040535D">
        <w:rPr>
          <w:rFonts w:ascii="Times New Roman" w:hAnsi="Times New Roman"/>
          <w:sz w:val="24"/>
          <w:szCs w:val="24"/>
        </w:rPr>
        <w:t>,</w:t>
      </w:r>
      <w:r w:rsidR="009343FA" w:rsidRPr="0040535D">
        <w:rPr>
          <w:rFonts w:ascii="Times New Roman" w:hAnsi="Times New Roman"/>
          <w:sz w:val="24"/>
          <w:szCs w:val="24"/>
        </w:rPr>
        <w:t xml:space="preserve"> o których mowa w art. </w:t>
      </w:r>
      <w:r w:rsidR="008F04AA" w:rsidRPr="0040535D">
        <w:rPr>
          <w:rFonts w:ascii="Times New Roman" w:hAnsi="Times New Roman"/>
          <w:sz w:val="24"/>
          <w:szCs w:val="24"/>
        </w:rPr>
        <w:t>14l</w:t>
      </w:r>
      <w:r w:rsidR="008D4E79" w:rsidRPr="0040535D">
        <w:rPr>
          <w:rFonts w:ascii="Times New Roman" w:hAnsi="Times New Roman"/>
          <w:sz w:val="24"/>
          <w:szCs w:val="24"/>
        </w:rPr>
        <w:t>t</w:t>
      </w:r>
      <w:r w:rsidR="008F04AA" w:rsidRPr="0040535D">
        <w:rPr>
          <w:rFonts w:ascii="Times New Roman" w:hAnsi="Times New Roman"/>
          <w:sz w:val="24"/>
          <w:szCs w:val="24"/>
        </w:rPr>
        <w:t xml:space="preserve"> </w:t>
      </w:r>
      <w:r w:rsidR="009343FA" w:rsidRPr="0040535D">
        <w:rPr>
          <w:rFonts w:ascii="Times New Roman" w:hAnsi="Times New Roman"/>
          <w:sz w:val="24"/>
          <w:szCs w:val="24"/>
        </w:rPr>
        <w:t xml:space="preserve">i art. </w:t>
      </w:r>
      <w:r w:rsidR="008F04AA" w:rsidRPr="0040535D">
        <w:rPr>
          <w:rFonts w:ascii="Times New Roman" w:hAnsi="Times New Roman"/>
          <w:sz w:val="24"/>
          <w:szCs w:val="24"/>
        </w:rPr>
        <w:t>14l</w:t>
      </w:r>
      <w:r w:rsidR="008D4E79" w:rsidRPr="0040535D">
        <w:rPr>
          <w:rFonts w:ascii="Times New Roman" w:hAnsi="Times New Roman"/>
          <w:sz w:val="24"/>
          <w:szCs w:val="24"/>
        </w:rPr>
        <w:t>u</w:t>
      </w:r>
      <w:r w:rsidR="008F04AA" w:rsidRPr="0040535D">
        <w:rPr>
          <w:rFonts w:ascii="Times New Roman" w:hAnsi="Times New Roman"/>
          <w:sz w:val="24"/>
          <w:szCs w:val="24"/>
        </w:rPr>
        <w:t xml:space="preserve"> </w:t>
      </w:r>
      <w:r w:rsidRPr="0040535D">
        <w:rPr>
          <w:rFonts w:ascii="Times New Roman" w:hAnsi="Times New Roman"/>
          <w:sz w:val="24"/>
          <w:szCs w:val="24"/>
        </w:rPr>
        <w:t>(np. ich trybów, terminów, procedur), wskazując, że powinny się one odbywać w rygorach przepisów właściwych dla realizowanej reformy (np. ustawy o informatyzacji działalności podmiotów realizujących zadania publicznej) albo przepisów właściwych dla instytucji odpowiedzialnej za realizację reformy (np. ustawy o utworzeniu Polskiej Agencji Rozwoju Przedsiębiorczości albo ustawy o Inspekcji Ochrony Środowiska) albo na podstawie stosowanej odpowiednio ustawy o kontroli w administracji rządowej.</w:t>
      </w:r>
    </w:p>
    <w:p w14:paraId="052972E6" w14:textId="77777777" w:rsidR="005A47FE" w:rsidRPr="0040535D" w:rsidRDefault="005A47FE" w:rsidP="00523EA5">
      <w:pPr>
        <w:spacing w:after="0" w:line="360" w:lineRule="auto"/>
        <w:jc w:val="both"/>
        <w:rPr>
          <w:rFonts w:ascii="Times New Roman" w:hAnsi="Times New Roman"/>
          <w:sz w:val="24"/>
          <w:szCs w:val="24"/>
        </w:rPr>
      </w:pPr>
      <w:r w:rsidRPr="0040535D">
        <w:rPr>
          <w:rFonts w:ascii="Times New Roman" w:hAnsi="Times New Roman"/>
          <w:sz w:val="24"/>
          <w:szCs w:val="24"/>
        </w:rPr>
        <w:t>Procesem równoległym do procesu kontroli jes</w:t>
      </w:r>
      <w:r w:rsidR="009343FA" w:rsidRPr="0040535D">
        <w:rPr>
          <w:rFonts w:ascii="Times New Roman" w:hAnsi="Times New Roman"/>
          <w:sz w:val="24"/>
          <w:szCs w:val="24"/>
        </w:rPr>
        <w:t xml:space="preserve">t audyt planu rozwojowego, o którym mowa w art. </w:t>
      </w:r>
      <w:r w:rsidR="008F04AA" w:rsidRPr="0040535D">
        <w:rPr>
          <w:rFonts w:ascii="Times New Roman" w:hAnsi="Times New Roman"/>
          <w:sz w:val="24"/>
          <w:szCs w:val="24"/>
        </w:rPr>
        <w:t>14l</w:t>
      </w:r>
      <w:r w:rsidR="002B1D42" w:rsidRPr="0040535D">
        <w:rPr>
          <w:rFonts w:ascii="Times New Roman" w:hAnsi="Times New Roman"/>
          <w:sz w:val="24"/>
          <w:szCs w:val="24"/>
        </w:rPr>
        <w:t>v</w:t>
      </w:r>
      <w:r w:rsidR="008F04AA" w:rsidRPr="0040535D">
        <w:rPr>
          <w:rFonts w:ascii="Times New Roman" w:hAnsi="Times New Roman"/>
          <w:sz w:val="24"/>
          <w:szCs w:val="24"/>
        </w:rPr>
        <w:t xml:space="preserve"> </w:t>
      </w:r>
      <w:r w:rsidRPr="0040535D">
        <w:rPr>
          <w:rFonts w:ascii="Times New Roman" w:hAnsi="Times New Roman"/>
          <w:sz w:val="24"/>
          <w:szCs w:val="24"/>
        </w:rPr>
        <w:t>projektowanej ustawy. Audyt ten prowadzi Szef Krajowej Administracji Skarbowej, angażując w ten proces swoje zasoby kadrowe w Ministerstwie Finansów oraz w administracji skarbowej na poziomie regionalnym.</w:t>
      </w:r>
    </w:p>
    <w:p w14:paraId="2229957B" w14:textId="77777777" w:rsidR="00486BFC" w:rsidRPr="0040535D" w:rsidRDefault="005A47FE" w:rsidP="009A0EE5">
      <w:pPr>
        <w:pStyle w:val="ZARTzmartartykuempunktem"/>
        <w:ind w:left="0" w:firstLine="0"/>
        <w:rPr>
          <w:rFonts w:ascii="Times New Roman" w:hAnsi="Times New Roman" w:cs="Times New Roman"/>
          <w:szCs w:val="24"/>
        </w:rPr>
      </w:pPr>
      <w:r w:rsidRPr="0040535D">
        <w:rPr>
          <w:rFonts w:ascii="Times New Roman" w:hAnsi="Times New Roman" w:cs="Times New Roman"/>
          <w:szCs w:val="24"/>
        </w:rPr>
        <w:t>Audyty są prowadzone stosownie do przyjętej przez Szefa KAS strategii audytu</w:t>
      </w:r>
      <w:r w:rsidR="000C3D15" w:rsidRPr="0040535D">
        <w:rPr>
          <w:rFonts w:ascii="Times New Roman" w:hAnsi="Times New Roman" w:cs="Times New Roman"/>
          <w:szCs w:val="24"/>
        </w:rPr>
        <w:t xml:space="preserve"> (ust. 3)</w:t>
      </w:r>
      <w:r w:rsidRPr="0040535D">
        <w:rPr>
          <w:rFonts w:ascii="Times New Roman" w:hAnsi="Times New Roman" w:cs="Times New Roman"/>
          <w:szCs w:val="24"/>
        </w:rPr>
        <w:t xml:space="preserve">. Audyt obejmuje </w:t>
      </w:r>
      <w:r w:rsidR="00486BFC" w:rsidRPr="0040535D">
        <w:rPr>
          <w:rFonts w:ascii="Times New Roman" w:hAnsi="Times New Roman" w:cs="Times New Roman"/>
          <w:szCs w:val="24"/>
        </w:rPr>
        <w:t>sprawdzenie</w:t>
      </w:r>
      <w:r w:rsidR="00486BFC" w:rsidRPr="0040535D">
        <w:rPr>
          <w:rFonts w:ascii="Times New Roman" w:hAnsi="Times New Roman" w:cs="Times New Roman"/>
          <w:szCs w:val="24"/>
        </w:rPr>
        <w:tab/>
        <w:t>prawidłowości gospodarowania środkami w ramach planu rozwojowego, osiągnięcia kamieni milowych oraz wskaźników w ramach reform albo inwestycji, prawidłowości funkcjonowania systemu realizacji reformy lub inwestycji, w tym ich kontroli, skuteczności mechanizmów</w:t>
      </w:r>
      <w:r w:rsidR="00D0052A" w:rsidRPr="0040535D">
        <w:rPr>
          <w:rFonts w:ascii="Times New Roman" w:hAnsi="Times New Roman" w:cs="Times New Roman"/>
          <w:szCs w:val="24"/>
        </w:rPr>
        <w:t xml:space="preserve"> (</w:t>
      </w:r>
      <w:r w:rsidR="00486BFC" w:rsidRPr="0040535D">
        <w:rPr>
          <w:rFonts w:ascii="Times New Roman" w:hAnsi="Times New Roman" w:cs="Times New Roman"/>
          <w:szCs w:val="24"/>
        </w:rPr>
        <w:t>w tym zapobiegania, wykrywania i korygowania nieprawidłowości przy realizacji reformy lub inwestycji, zapobiegania konfliktowi interesów, korupcji i nadużyciom finansowym, unikania podwójnego finansowania) oraz bezpieczeństwa systemu teleinformatycznego służącego wymianie danych dotyczących reform i inwestycji, udostępnionego przez ministra właściwego do spraw rozwoju regionalnego</w:t>
      </w:r>
      <w:r w:rsidR="000C3D15" w:rsidRPr="0040535D">
        <w:rPr>
          <w:rFonts w:ascii="Times New Roman" w:hAnsi="Times New Roman" w:cs="Times New Roman"/>
          <w:szCs w:val="24"/>
        </w:rPr>
        <w:t xml:space="preserve"> (ust. 2)</w:t>
      </w:r>
      <w:r w:rsidR="00486BFC" w:rsidRPr="0040535D">
        <w:rPr>
          <w:rFonts w:ascii="Times New Roman" w:hAnsi="Times New Roman" w:cs="Times New Roman"/>
          <w:szCs w:val="24"/>
        </w:rPr>
        <w:t>.</w:t>
      </w:r>
      <w:r w:rsidR="00E11167" w:rsidRPr="0040535D">
        <w:rPr>
          <w:rFonts w:ascii="Times New Roman" w:hAnsi="Times New Roman" w:cs="Times New Roman"/>
          <w:szCs w:val="24"/>
        </w:rPr>
        <w:t xml:space="preserve"> Podmiotami podlegającymi audytowi s</w:t>
      </w:r>
      <w:r w:rsidR="0068238C" w:rsidRPr="0040535D">
        <w:rPr>
          <w:rFonts w:ascii="Times New Roman" w:hAnsi="Times New Roman" w:cs="Times New Roman"/>
          <w:szCs w:val="24"/>
        </w:rPr>
        <w:t>ą</w:t>
      </w:r>
      <w:r w:rsidR="00E11167" w:rsidRPr="0040535D">
        <w:rPr>
          <w:rFonts w:ascii="Times New Roman" w:hAnsi="Times New Roman" w:cs="Times New Roman"/>
          <w:szCs w:val="24"/>
        </w:rPr>
        <w:t xml:space="preserve"> natomiast instytucja koordynująca plan rozwojowy, instytucje odpowiedzialne za realizację reformy, instytucje odpowiedzialne za realizację inwestycji, jednostki wspierające plan rozwojowy</w:t>
      </w:r>
      <w:r w:rsidR="00C16A7C" w:rsidRPr="0040535D">
        <w:rPr>
          <w:rFonts w:ascii="Times New Roman" w:hAnsi="Times New Roman" w:cs="Times New Roman"/>
          <w:szCs w:val="24"/>
        </w:rPr>
        <w:t xml:space="preserve">, </w:t>
      </w:r>
      <w:r w:rsidR="00E11167" w:rsidRPr="0040535D">
        <w:rPr>
          <w:rFonts w:ascii="Times New Roman" w:hAnsi="Times New Roman" w:cs="Times New Roman"/>
          <w:szCs w:val="24"/>
        </w:rPr>
        <w:t>ostateczni odbiorcy wsparcia, PFR, a także inne podmioty oraz jednostki nieposiadające osobowości prawnej, działające na własny rachunek uczestniczące przy realizacji reformy lub inwestycji</w:t>
      </w:r>
      <w:r w:rsidR="000C3D15" w:rsidRPr="0040535D">
        <w:rPr>
          <w:rFonts w:ascii="Times New Roman" w:hAnsi="Times New Roman" w:cs="Times New Roman"/>
          <w:szCs w:val="24"/>
        </w:rPr>
        <w:t xml:space="preserve"> (ust. 4).</w:t>
      </w:r>
    </w:p>
    <w:p w14:paraId="305864CE" w14:textId="77777777" w:rsidR="000C3D15" w:rsidRPr="0040535D" w:rsidRDefault="000C3D15" w:rsidP="009A0EE5">
      <w:pPr>
        <w:pStyle w:val="ZARTzmartartykuempunktem"/>
        <w:ind w:left="0" w:firstLine="0"/>
        <w:rPr>
          <w:rFonts w:ascii="Times New Roman" w:hAnsi="Times New Roman" w:cs="Times New Roman"/>
          <w:szCs w:val="24"/>
        </w:rPr>
      </w:pPr>
      <w:r w:rsidRPr="0040535D">
        <w:rPr>
          <w:rFonts w:ascii="Times New Roman" w:hAnsi="Times New Roman" w:cs="Times New Roman"/>
          <w:szCs w:val="24"/>
        </w:rPr>
        <w:t>Audyt planu rozwojowego jest realizowany na zasadach stosowanych przy audycie krajowego programu operacyjnego</w:t>
      </w:r>
      <w:r w:rsidR="00F0415B" w:rsidRPr="0040535D">
        <w:rPr>
          <w:rFonts w:ascii="Times New Roman" w:hAnsi="Times New Roman" w:cs="Times New Roman"/>
          <w:szCs w:val="24"/>
        </w:rPr>
        <w:t xml:space="preserve"> </w:t>
      </w:r>
      <w:r w:rsidRPr="0040535D">
        <w:rPr>
          <w:rFonts w:ascii="Times New Roman" w:hAnsi="Times New Roman" w:cs="Times New Roman"/>
          <w:szCs w:val="24"/>
        </w:rPr>
        <w:t xml:space="preserve"> </w:t>
      </w:r>
      <w:r w:rsidR="00F0415B" w:rsidRPr="0040535D">
        <w:rPr>
          <w:rFonts w:ascii="Times New Roman" w:hAnsi="Times New Roman" w:cs="Times New Roman"/>
          <w:szCs w:val="24"/>
        </w:rPr>
        <w:t xml:space="preserve">i krajowego programu </w:t>
      </w:r>
      <w:r w:rsidRPr="0040535D">
        <w:rPr>
          <w:rFonts w:ascii="Times New Roman" w:hAnsi="Times New Roman" w:cs="Times New Roman"/>
          <w:szCs w:val="24"/>
        </w:rPr>
        <w:t>w rozumieniu przepisów ustawy  z dnia 16 listopada 2016 r. o Krajowej Administracji Skarbowej (ust. 5).</w:t>
      </w:r>
    </w:p>
    <w:p w14:paraId="4A1FF380" w14:textId="77777777" w:rsidR="005A47FE" w:rsidRPr="0040535D" w:rsidRDefault="009343FA" w:rsidP="008D4E79">
      <w:pPr>
        <w:spacing w:after="0" w:line="360" w:lineRule="auto"/>
        <w:jc w:val="both"/>
        <w:rPr>
          <w:rFonts w:ascii="Times New Roman" w:hAnsi="Times New Roman"/>
          <w:sz w:val="24"/>
          <w:szCs w:val="24"/>
        </w:rPr>
      </w:pPr>
      <w:r w:rsidRPr="0040535D">
        <w:rPr>
          <w:rFonts w:ascii="Times New Roman" w:hAnsi="Times New Roman"/>
          <w:sz w:val="24"/>
          <w:szCs w:val="24"/>
        </w:rPr>
        <w:t xml:space="preserve">Zgodnie z art. </w:t>
      </w:r>
      <w:r w:rsidR="00082406" w:rsidRPr="0040535D">
        <w:rPr>
          <w:rFonts w:ascii="Times New Roman" w:hAnsi="Times New Roman"/>
          <w:sz w:val="24"/>
          <w:szCs w:val="24"/>
        </w:rPr>
        <w:t>14</w:t>
      </w:r>
      <w:r w:rsidR="005F50BE" w:rsidRPr="0040535D">
        <w:rPr>
          <w:rFonts w:ascii="Times New Roman" w:hAnsi="Times New Roman"/>
          <w:sz w:val="24"/>
          <w:szCs w:val="24"/>
        </w:rPr>
        <w:t>l</w:t>
      </w:r>
      <w:r w:rsidR="00562B90" w:rsidRPr="0040535D">
        <w:rPr>
          <w:rFonts w:ascii="Times New Roman" w:hAnsi="Times New Roman"/>
          <w:sz w:val="24"/>
          <w:szCs w:val="24"/>
        </w:rPr>
        <w:t>w</w:t>
      </w:r>
      <w:r w:rsidR="00082406" w:rsidRPr="0040535D">
        <w:rPr>
          <w:rFonts w:ascii="Times New Roman" w:hAnsi="Times New Roman"/>
          <w:sz w:val="24"/>
          <w:szCs w:val="24"/>
        </w:rPr>
        <w:t xml:space="preserve"> </w:t>
      </w:r>
      <w:r w:rsidR="005A47FE" w:rsidRPr="0040535D">
        <w:rPr>
          <w:rFonts w:ascii="Times New Roman" w:hAnsi="Times New Roman"/>
          <w:sz w:val="24"/>
          <w:szCs w:val="24"/>
        </w:rPr>
        <w:t xml:space="preserve">ust. 1 monitorowanie reform jest prowadzone w szczególności na podstawie danych pochodzących z poziomu projektów, ze statystyki publicznej oraz z analiz i ewaluacji poszczególnych reform lub ich elementów. Biorąc pod uwagę, że ww. katalog źródeł danych </w:t>
      </w:r>
      <w:r w:rsidR="005A47FE" w:rsidRPr="0040535D">
        <w:rPr>
          <w:rFonts w:ascii="Times New Roman" w:hAnsi="Times New Roman"/>
          <w:sz w:val="24"/>
          <w:szCs w:val="24"/>
        </w:rPr>
        <w:lastRenderedPageBreak/>
        <w:t>jest katalogiem otwartym, możliwe jest również korzystanie z danych pochodzących z innych źródeł.</w:t>
      </w:r>
    </w:p>
    <w:p w14:paraId="46CD45F9" w14:textId="77777777" w:rsidR="005A47FE" w:rsidRPr="0040535D" w:rsidRDefault="005A47FE" w:rsidP="00A01FB5">
      <w:pPr>
        <w:spacing w:after="0" w:line="360" w:lineRule="auto"/>
        <w:jc w:val="both"/>
        <w:rPr>
          <w:rFonts w:ascii="Times New Roman" w:hAnsi="Times New Roman"/>
          <w:sz w:val="24"/>
          <w:szCs w:val="24"/>
        </w:rPr>
      </w:pPr>
      <w:r w:rsidRPr="0040535D">
        <w:rPr>
          <w:rFonts w:ascii="Times New Roman" w:hAnsi="Times New Roman"/>
          <w:sz w:val="24"/>
          <w:szCs w:val="24"/>
        </w:rPr>
        <w:t>W ust. 2 wskazano, że monitorowanie inwestycji jest prowadzone w szczególności na podstawie danych pochodzących z poziomu przedsięwzięć, ze statystyki publicznej oraz z analiz i ewaluacji poszczególnych inwestycji lub ich elementów. Podobnie, jak w przypadku źródeł danych służących do monitorowania reform, katalog źródeł danych do monitorowania inwestycji jest katalogiem otwartym.</w:t>
      </w:r>
    </w:p>
    <w:p w14:paraId="4C023E71" w14:textId="77777777" w:rsidR="005A47FE" w:rsidRPr="0040535D" w:rsidRDefault="005A47FE" w:rsidP="00892DB5">
      <w:pPr>
        <w:spacing w:after="0" w:line="360" w:lineRule="auto"/>
        <w:jc w:val="both"/>
        <w:rPr>
          <w:rFonts w:ascii="Times New Roman" w:hAnsi="Times New Roman"/>
          <w:sz w:val="24"/>
          <w:szCs w:val="24"/>
        </w:rPr>
      </w:pPr>
      <w:r w:rsidRPr="0040535D">
        <w:rPr>
          <w:rFonts w:ascii="Times New Roman" w:hAnsi="Times New Roman"/>
          <w:sz w:val="24"/>
          <w:szCs w:val="24"/>
        </w:rPr>
        <w:t>Dane dotyczące inwestycji przekazywane są przez instytucje odpowiedzialne za realizację reform lub przez instytucje odpowiedzialne za realizacj</w:t>
      </w:r>
      <w:r w:rsidR="009343FA" w:rsidRPr="0040535D">
        <w:rPr>
          <w:rFonts w:ascii="Times New Roman" w:hAnsi="Times New Roman"/>
          <w:sz w:val="24"/>
          <w:szCs w:val="24"/>
        </w:rPr>
        <w:t xml:space="preserve">ę inwestycji </w:t>
      </w:r>
      <w:r w:rsidRPr="0040535D">
        <w:rPr>
          <w:rFonts w:ascii="Times New Roman" w:hAnsi="Times New Roman"/>
          <w:sz w:val="24"/>
          <w:szCs w:val="24"/>
        </w:rPr>
        <w:t>do ministra właściwego do spraw rozwoju regionalnego za pośrednictwem syst</w:t>
      </w:r>
      <w:r w:rsidR="009343FA" w:rsidRPr="0040535D">
        <w:rPr>
          <w:rFonts w:ascii="Times New Roman" w:hAnsi="Times New Roman"/>
          <w:sz w:val="24"/>
          <w:szCs w:val="24"/>
        </w:rPr>
        <w:t xml:space="preserve">emu teleinformatycznego (art. </w:t>
      </w:r>
      <w:r w:rsidR="00082406" w:rsidRPr="0040535D">
        <w:rPr>
          <w:rFonts w:ascii="Times New Roman" w:hAnsi="Times New Roman"/>
          <w:sz w:val="24"/>
          <w:szCs w:val="24"/>
        </w:rPr>
        <w:t>14l</w:t>
      </w:r>
      <w:r w:rsidR="009405DE" w:rsidRPr="0040535D">
        <w:rPr>
          <w:rFonts w:ascii="Times New Roman" w:hAnsi="Times New Roman"/>
          <w:sz w:val="24"/>
          <w:szCs w:val="24"/>
        </w:rPr>
        <w:t>x</w:t>
      </w:r>
      <w:r w:rsidR="00082406" w:rsidRPr="0040535D">
        <w:rPr>
          <w:rFonts w:ascii="Times New Roman" w:hAnsi="Times New Roman"/>
          <w:sz w:val="24"/>
          <w:szCs w:val="24"/>
        </w:rPr>
        <w:t xml:space="preserve"> </w:t>
      </w:r>
      <w:r w:rsidRPr="0040535D">
        <w:rPr>
          <w:rFonts w:ascii="Times New Roman" w:hAnsi="Times New Roman"/>
          <w:sz w:val="24"/>
          <w:szCs w:val="24"/>
        </w:rPr>
        <w:t>ust. 1). W zależności od konkretnego przypadku oraz treści ew. porozumień między instytucjami odpowiedzialnymi za realizację reform i instytucjami odpowiedzialnymi za realizację inwestycji, dane dotyczące inwestycji mogą być przekazywane zarówno przez instytucje odpowiedzialne za realizację reform, jak i instytucje odpowiedzialne za realizację inwestycji. W przypadku gdy z powodów technicznych przekazanie danych za pośrednictwem systemu teleinformatycznego nie jest możliwe, instytucja odpowiedzialna za realizację reformy lub instytucja odpowiedzialna za realizację inwestycji, za zgodą ministra właściwego do spraw rozwoju regionalnego, przekazuje je w inny sposób wskazany przez tego ministra (ust. 3). W ust. 2 wskazano, że zakres danych pochodzących z poziomu inwestycji obejmuje w szczególności dane</w:t>
      </w:r>
      <w:r w:rsidR="00E21C5B" w:rsidRPr="0040535D">
        <w:rPr>
          <w:rFonts w:ascii="Times New Roman" w:hAnsi="Times New Roman"/>
          <w:sz w:val="24"/>
          <w:szCs w:val="24"/>
        </w:rPr>
        <w:t>,</w:t>
      </w:r>
      <w:r w:rsidRPr="0040535D">
        <w:rPr>
          <w:rFonts w:ascii="Times New Roman" w:hAnsi="Times New Roman"/>
          <w:sz w:val="24"/>
          <w:szCs w:val="24"/>
        </w:rPr>
        <w:t xml:space="preserve"> o których mowa w art. 22 ust. 2 lit. d rozporządzenia 2021/241</w:t>
      </w:r>
      <w:r w:rsidR="00E21C5B" w:rsidRPr="0040535D">
        <w:rPr>
          <w:rFonts w:ascii="Times New Roman" w:hAnsi="Times New Roman"/>
          <w:sz w:val="24"/>
          <w:szCs w:val="24"/>
        </w:rPr>
        <w:t>,</w:t>
      </w:r>
      <w:r w:rsidRPr="0040535D">
        <w:rPr>
          <w:rFonts w:ascii="Times New Roman" w:hAnsi="Times New Roman"/>
          <w:sz w:val="24"/>
          <w:szCs w:val="24"/>
        </w:rPr>
        <w:t xml:space="preserve"> oraz dane dotyczące wyznaczonych</w:t>
      </w:r>
      <w:r w:rsidR="009405DE" w:rsidRPr="0040535D">
        <w:rPr>
          <w:rFonts w:ascii="Times New Roman" w:hAnsi="Times New Roman"/>
          <w:sz w:val="24"/>
          <w:szCs w:val="24"/>
        </w:rPr>
        <w:t xml:space="preserve"> </w:t>
      </w:r>
      <w:r w:rsidRPr="0040535D">
        <w:rPr>
          <w:rFonts w:ascii="Times New Roman" w:hAnsi="Times New Roman"/>
          <w:sz w:val="24"/>
          <w:szCs w:val="24"/>
        </w:rPr>
        <w:t xml:space="preserve"> wskaźników.</w:t>
      </w:r>
    </w:p>
    <w:p w14:paraId="0D225EDA" w14:textId="77777777" w:rsidR="005A47FE" w:rsidRPr="0040535D" w:rsidRDefault="009343FA" w:rsidP="00EC2541">
      <w:pPr>
        <w:spacing w:after="0" w:line="360" w:lineRule="auto"/>
        <w:jc w:val="both"/>
        <w:rPr>
          <w:rFonts w:ascii="Times New Roman" w:hAnsi="Times New Roman"/>
          <w:sz w:val="24"/>
          <w:szCs w:val="24"/>
        </w:rPr>
      </w:pPr>
      <w:r w:rsidRPr="0040535D">
        <w:rPr>
          <w:rFonts w:ascii="Times New Roman" w:hAnsi="Times New Roman"/>
          <w:sz w:val="24"/>
          <w:szCs w:val="24"/>
        </w:rPr>
        <w:t xml:space="preserve">Zgodnie z regulacją art. </w:t>
      </w:r>
      <w:r w:rsidR="00082406" w:rsidRPr="0040535D">
        <w:rPr>
          <w:rFonts w:ascii="Times New Roman" w:hAnsi="Times New Roman"/>
          <w:sz w:val="24"/>
          <w:szCs w:val="24"/>
        </w:rPr>
        <w:t>14l</w:t>
      </w:r>
      <w:r w:rsidR="007744DF" w:rsidRPr="0040535D">
        <w:rPr>
          <w:rFonts w:ascii="Times New Roman" w:hAnsi="Times New Roman"/>
          <w:sz w:val="24"/>
          <w:szCs w:val="24"/>
        </w:rPr>
        <w:t>y</w:t>
      </w:r>
      <w:r w:rsidR="005A47FE" w:rsidRPr="0040535D">
        <w:rPr>
          <w:rFonts w:ascii="Times New Roman" w:hAnsi="Times New Roman"/>
          <w:sz w:val="24"/>
          <w:szCs w:val="24"/>
        </w:rPr>
        <w:t>, objęte wspa</w:t>
      </w:r>
      <w:r w:rsidRPr="0040535D">
        <w:rPr>
          <w:rFonts w:ascii="Times New Roman" w:hAnsi="Times New Roman"/>
          <w:sz w:val="24"/>
          <w:szCs w:val="24"/>
        </w:rPr>
        <w:t>rciem z planu rozwojowego</w:t>
      </w:r>
      <w:r w:rsidR="005A47FE" w:rsidRPr="0040535D">
        <w:rPr>
          <w:rFonts w:ascii="Times New Roman" w:hAnsi="Times New Roman"/>
          <w:sz w:val="24"/>
          <w:szCs w:val="24"/>
        </w:rPr>
        <w:t xml:space="preserve"> może być wyłącznie przedsięwzięcie wybrane do objęcia wsparciem. Oznacza to, że zawarcie umowy o objęcie danego przedsięwzięcia wsparciem musi w każdym przypadku zostać poprzedzone aktem wybrania przedsięwzięcia do objęcia wspa</w:t>
      </w:r>
      <w:r w:rsidR="003A75F3" w:rsidRPr="0040535D">
        <w:rPr>
          <w:rFonts w:ascii="Times New Roman" w:hAnsi="Times New Roman"/>
          <w:sz w:val="24"/>
          <w:szCs w:val="24"/>
        </w:rPr>
        <w:t>rciem z planu rozwojowego</w:t>
      </w:r>
      <w:r w:rsidR="005A47FE" w:rsidRPr="0040535D">
        <w:rPr>
          <w:rFonts w:ascii="Times New Roman" w:hAnsi="Times New Roman"/>
          <w:sz w:val="24"/>
          <w:szCs w:val="24"/>
        </w:rPr>
        <w:t>.</w:t>
      </w:r>
    </w:p>
    <w:p w14:paraId="7A9D96F3" w14:textId="77777777" w:rsidR="005A47FE" w:rsidRPr="0040535D" w:rsidRDefault="003A75F3" w:rsidP="00EC2541">
      <w:pPr>
        <w:spacing w:after="0" w:line="360" w:lineRule="auto"/>
        <w:jc w:val="both"/>
        <w:rPr>
          <w:rFonts w:ascii="Times New Roman" w:hAnsi="Times New Roman"/>
          <w:sz w:val="24"/>
          <w:szCs w:val="24"/>
        </w:rPr>
      </w:pPr>
      <w:r w:rsidRPr="0040535D">
        <w:rPr>
          <w:rFonts w:ascii="Times New Roman" w:hAnsi="Times New Roman"/>
          <w:sz w:val="24"/>
          <w:szCs w:val="24"/>
        </w:rPr>
        <w:t xml:space="preserve">Zgodnie z art. </w:t>
      </w:r>
      <w:r w:rsidR="00082406" w:rsidRPr="0040535D">
        <w:rPr>
          <w:rFonts w:ascii="Times New Roman" w:hAnsi="Times New Roman"/>
          <w:sz w:val="24"/>
          <w:szCs w:val="24"/>
        </w:rPr>
        <w:t>14l</w:t>
      </w:r>
      <w:r w:rsidR="007744DF" w:rsidRPr="0040535D">
        <w:rPr>
          <w:rFonts w:ascii="Times New Roman" w:hAnsi="Times New Roman"/>
          <w:sz w:val="24"/>
          <w:szCs w:val="24"/>
        </w:rPr>
        <w:t>z</w:t>
      </w:r>
      <w:r w:rsidR="005A47FE" w:rsidRPr="0040535D">
        <w:rPr>
          <w:rFonts w:ascii="Times New Roman" w:hAnsi="Times New Roman"/>
          <w:sz w:val="24"/>
          <w:szCs w:val="24"/>
        </w:rPr>
        <w:t xml:space="preserve">, możliwe jest zastosowanie dwóch metod wyboru przedsięwzięcia do objęcia wsparciem z </w:t>
      </w:r>
      <w:r w:rsidRPr="0040535D">
        <w:rPr>
          <w:rFonts w:ascii="Times New Roman" w:hAnsi="Times New Roman"/>
          <w:sz w:val="24"/>
          <w:szCs w:val="24"/>
        </w:rPr>
        <w:t>planu rozwojowego</w:t>
      </w:r>
      <w:r w:rsidR="005A47FE" w:rsidRPr="0040535D">
        <w:rPr>
          <w:rFonts w:ascii="Times New Roman" w:hAnsi="Times New Roman"/>
          <w:sz w:val="24"/>
          <w:szCs w:val="24"/>
        </w:rPr>
        <w:t xml:space="preserve">. </w:t>
      </w:r>
    </w:p>
    <w:p w14:paraId="0AB4EC9B" w14:textId="77777777" w:rsidR="005A47FE" w:rsidRPr="0040535D" w:rsidRDefault="005A47FE" w:rsidP="004B71D0">
      <w:pPr>
        <w:spacing w:after="0" w:line="360" w:lineRule="auto"/>
        <w:jc w:val="both"/>
        <w:rPr>
          <w:rFonts w:ascii="Times New Roman" w:hAnsi="Times New Roman"/>
          <w:sz w:val="24"/>
          <w:szCs w:val="24"/>
        </w:rPr>
      </w:pPr>
      <w:r w:rsidRPr="0040535D">
        <w:rPr>
          <w:rFonts w:ascii="Times New Roman" w:hAnsi="Times New Roman"/>
          <w:sz w:val="24"/>
          <w:szCs w:val="24"/>
        </w:rPr>
        <w:t>Wybrane do objęcia wspa</w:t>
      </w:r>
      <w:r w:rsidR="003A75F3" w:rsidRPr="0040535D">
        <w:rPr>
          <w:rFonts w:ascii="Times New Roman" w:hAnsi="Times New Roman"/>
          <w:sz w:val="24"/>
          <w:szCs w:val="24"/>
        </w:rPr>
        <w:t>rciem z planu rozwojowego</w:t>
      </w:r>
      <w:r w:rsidRPr="0040535D">
        <w:rPr>
          <w:rFonts w:ascii="Times New Roman" w:hAnsi="Times New Roman"/>
          <w:sz w:val="24"/>
          <w:szCs w:val="24"/>
        </w:rPr>
        <w:t xml:space="preserve"> może być przedsięwzięcie zgłaszane do objęcia wsparciem przez podmiot jednoznacznie określony ze względu na charakter lub cel przedsięwzięcia, wskazane przez instytucję odpowiedzialną za realizację inwestycji (pkt 1). Regulacja ta będzie miała zastosowanie, gdy ze względu na typ przedsięwzięcia nie jest możliwe albo uzasadnione zastosowanie konkurencyjnej procedury wyboru przedsięwzięcia do objęcia wspa</w:t>
      </w:r>
      <w:r w:rsidR="003A75F3" w:rsidRPr="0040535D">
        <w:rPr>
          <w:rFonts w:ascii="Times New Roman" w:hAnsi="Times New Roman"/>
          <w:sz w:val="24"/>
          <w:szCs w:val="24"/>
        </w:rPr>
        <w:t>rciem z planu rozwojowego</w:t>
      </w:r>
      <w:r w:rsidRPr="0040535D">
        <w:rPr>
          <w:rFonts w:ascii="Times New Roman" w:hAnsi="Times New Roman"/>
          <w:sz w:val="24"/>
          <w:szCs w:val="24"/>
        </w:rPr>
        <w:t xml:space="preserve">. Będzie to miało miejsce np. w sytuacji, gdy podmiot </w:t>
      </w:r>
      <w:r w:rsidRPr="0040535D">
        <w:rPr>
          <w:rFonts w:ascii="Times New Roman" w:hAnsi="Times New Roman"/>
          <w:sz w:val="24"/>
          <w:szCs w:val="24"/>
        </w:rPr>
        <w:lastRenderedPageBreak/>
        <w:t xml:space="preserve">zgłaszający przedsięwzięcie do objęcia wsparciem ma monopol prawny albo naturalny w określonym obszarze działalności. Wybrane do objęcia wsparciem może być również przedsięwzięcie, którego wybór odbywa się na zasadach określonych wskazanych w </w:t>
      </w:r>
      <w:r w:rsidR="00D03B7E" w:rsidRPr="00D03B7E">
        <w:rPr>
          <w:rFonts w:ascii="Times New Roman" w:hAnsi="Times New Roman"/>
          <w:sz w:val="24"/>
          <w:szCs w:val="24"/>
        </w:rPr>
        <w:t xml:space="preserve">art. 14lza–14lzf  </w:t>
      </w:r>
      <w:r w:rsidRPr="0040535D">
        <w:rPr>
          <w:rFonts w:ascii="Times New Roman" w:hAnsi="Times New Roman"/>
          <w:sz w:val="24"/>
          <w:szCs w:val="24"/>
        </w:rPr>
        <w:t>(pkt 2). W taki sposób będą wybierane przedsięwzięcia w sytuacji, gdy w określonym obszarze realizacji inwestycji występuje lub może występować konkurencja między różnymi podmiotami, które mogą realizować przedsięwzięcia przyczyniające się do osiągania celów inwestycji.</w:t>
      </w:r>
    </w:p>
    <w:p w14:paraId="59E5A164" w14:textId="77777777" w:rsidR="005A47FE" w:rsidRPr="0040535D" w:rsidRDefault="003A75F3" w:rsidP="00312C3F">
      <w:pPr>
        <w:spacing w:after="0" w:line="360" w:lineRule="auto"/>
        <w:jc w:val="both"/>
        <w:rPr>
          <w:rFonts w:ascii="Times New Roman" w:hAnsi="Times New Roman"/>
          <w:sz w:val="24"/>
          <w:szCs w:val="24"/>
        </w:rPr>
      </w:pPr>
      <w:r w:rsidRPr="0040535D">
        <w:rPr>
          <w:rFonts w:ascii="Times New Roman" w:hAnsi="Times New Roman"/>
          <w:sz w:val="24"/>
          <w:szCs w:val="24"/>
        </w:rPr>
        <w:t xml:space="preserve">W art. </w:t>
      </w:r>
      <w:r w:rsidR="004C629B" w:rsidRPr="0040535D">
        <w:rPr>
          <w:rFonts w:ascii="Times New Roman" w:hAnsi="Times New Roman"/>
          <w:sz w:val="24"/>
          <w:szCs w:val="24"/>
        </w:rPr>
        <w:t>14l</w:t>
      </w:r>
      <w:r w:rsidR="00CA6C73" w:rsidRPr="0040535D">
        <w:rPr>
          <w:rFonts w:ascii="Times New Roman" w:hAnsi="Times New Roman"/>
          <w:sz w:val="24"/>
          <w:szCs w:val="24"/>
        </w:rPr>
        <w:t>za</w:t>
      </w:r>
      <w:r w:rsidR="004C629B" w:rsidRPr="0040535D">
        <w:rPr>
          <w:rFonts w:ascii="Times New Roman" w:hAnsi="Times New Roman"/>
          <w:sz w:val="24"/>
          <w:szCs w:val="24"/>
        </w:rPr>
        <w:t xml:space="preserve"> </w:t>
      </w:r>
      <w:r w:rsidR="005A47FE" w:rsidRPr="0040535D">
        <w:rPr>
          <w:rFonts w:ascii="Times New Roman" w:hAnsi="Times New Roman"/>
          <w:sz w:val="24"/>
          <w:szCs w:val="24"/>
        </w:rPr>
        <w:t>ust. 1 nałożono na instytucję odpowiedzialną za realizację inwestycji obowiązek zachowania</w:t>
      </w:r>
      <w:r w:rsidR="009C268F" w:rsidRPr="0040535D">
        <w:rPr>
          <w:rFonts w:ascii="Times New Roman" w:hAnsi="Times New Roman"/>
          <w:sz w:val="24"/>
          <w:szCs w:val="24"/>
        </w:rPr>
        <w:t xml:space="preserve"> przejrzystości</w:t>
      </w:r>
      <w:r w:rsidR="005A47FE" w:rsidRPr="0040535D">
        <w:rPr>
          <w:rFonts w:ascii="Times New Roman" w:hAnsi="Times New Roman"/>
          <w:sz w:val="24"/>
          <w:szCs w:val="24"/>
        </w:rPr>
        <w:t xml:space="preserve">, rzetelności i </w:t>
      </w:r>
      <w:r w:rsidR="009C268F" w:rsidRPr="0040535D">
        <w:rPr>
          <w:rFonts w:ascii="Times New Roman" w:hAnsi="Times New Roman"/>
          <w:sz w:val="24"/>
          <w:szCs w:val="24"/>
        </w:rPr>
        <w:t xml:space="preserve">bezstronności </w:t>
      </w:r>
      <w:r w:rsidR="005A47FE" w:rsidRPr="0040535D">
        <w:rPr>
          <w:rFonts w:ascii="Times New Roman" w:hAnsi="Times New Roman"/>
          <w:sz w:val="24"/>
          <w:szCs w:val="24"/>
        </w:rPr>
        <w:t xml:space="preserve">w procesie wyboru przedsięwzięć do objęcia wsparciem z </w:t>
      </w:r>
      <w:r w:rsidRPr="0040535D">
        <w:rPr>
          <w:rFonts w:ascii="Times New Roman" w:hAnsi="Times New Roman"/>
          <w:sz w:val="24"/>
          <w:szCs w:val="24"/>
        </w:rPr>
        <w:t>planu rozwojowego</w:t>
      </w:r>
      <w:r w:rsidR="005A47FE" w:rsidRPr="0040535D">
        <w:rPr>
          <w:rFonts w:ascii="Times New Roman" w:hAnsi="Times New Roman"/>
          <w:sz w:val="24"/>
          <w:szCs w:val="24"/>
        </w:rPr>
        <w:t xml:space="preserve">. Przedmiotowy obowiązek jest niezależny od tego, czy wyboru przedsięwzięć </w:t>
      </w:r>
      <w:r w:rsidRPr="0040535D">
        <w:rPr>
          <w:rFonts w:ascii="Times New Roman" w:hAnsi="Times New Roman"/>
          <w:sz w:val="24"/>
          <w:szCs w:val="24"/>
        </w:rPr>
        <w:t xml:space="preserve">dokonuje się w oparciu o art. </w:t>
      </w:r>
      <w:r w:rsidR="004C629B" w:rsidRPr="0040535D">
        <w:rPr>
          <w:rFonts w:ascii="Times New Roman" w:hAnsi="Times New Roman"/>
          <w:sz w:val="24"/>
          <w:szCs w:val="24"/>
        </w:rPr>
        <w:t>14l</w:t>
      </w:r>
      <w:r w:rsidR="00CA6C73" w:rsidRPr="0040535D">
        <w:rPr>
          <w:rFonts w:ascii="Times New Roman" w:hAnsi="Times New Roman"/>
          <w:sz w:val="24"/>
          <w:szCs w:val="24"/>
        </w:rPr>
        <w:t>z</w:t>
      </w:r>
      <w:r w:rsidR="004C629B" w:rsidRPr="0040535D">
        <w:rPr>
          <w:rFonts w:ascii="Times New Roman" w:hAnsi="Times New Roman"/>
          <w:sz w:val="24"/>
          <w:szCs w:val="24"/>
        </w:rPr>
        <w:t xml:space="preserve"> </w:t>
      </w:r>
      <w:r w:rsidRPr="0040535D">
        <w:rPr>
          <w:rFonts w:ascii="Times New Roman" w:hAnsi="Times New Roman"/>
          <w:sz w:val="24"/>
          <w:szCs w:val="24"/>
        </w:rPr>
        <w:t xml:space="preserve">pkt 1 czy </w:t>
      </w:r>
      <w:r w:rsidR="005A47FE" w:rsidRPr="0040535D">
        <w:rPr>
          <w:rFonts w:ascii="Times New Roman" w:hAnsi="Times New Roman"/>
          <w:sz w:val="24"/>
          <w:szCs w:val="24"/>
        </w:rPr>
        <w:t>pkt 2, oraz od tego, czy wyboru przedsięwzięć dokonuje się w oparciu o przepisy projektowanej ustawy, czy w oparciu o przepisy innych ustaw. Instytucja odpowiedzialna za realizację inwestycji jest również obowiązana do zapewnienia równego dostępu do informacji o warunkach i sposobie wyboru przedsięwzięć do objęcia wspa</w:t>
      </w:r>
      <w:r w:rsidR="002A5B99" w:rsidRPr="0040535D">
        <w:rPr>
          <w:rFonts w:ascii="Times New Roman" w:hAnsi="Times New Roman"/>
          <w:sz w:val="24"/>
          <w:szCs w:val="24"/>
        </w:rPr>
        <w:t>rciem z planu rozwojowego</w:t>
      </w:r>
      <w:r w:rsidR="005A47FE" w:rsidRPr="0040535D">
        <w:rPr>
          <w:rFonts w:ascii="Times New Roman" w:hAnsi="Times New Roman"/>
          <w:sz w:val="24"/>
          <w:szCs w:val="24"/>
        </w:rPr>
        <w:t xml:space="preserve"> oraz równego traktowania podmiotów wnioskujących o objęcie wsparciem (ust. 2). Treść obowiązku wskazanego w ust. 2 będzie się różniła w zależności od tego, czy wyboru przedsięwzięć </w:t>
      </w:r>
      <w:r w:rsidRPr="0040535D">
        <w:rPr>
          <w:rFonts w:ascii="Times New Roman" w:hAnsi="Times New Roman"/>
          <w:sz w:val="24"/>
          <w:szCs w:val="24"/>
        </w:rPr>
        <w:t xml:space="preserve">dokonuje się w oparciu o art. </w:t>
      </w:r>
      <w:r w:rsidR="004C629B" w:rsidRPr="0040535D">
        <w:rPr>
          <w:rFonts w:ascii="Times New Roman" w:hAnsi="Times New Roman"/>
          <w:sz w:val="24"/>
          <w:szCs w:val="24"/>
        </w:rPr>
        <w:t>14l</w:t>
      </w:r>
      <w:r w:rsidR="00CA6C73" w:rsidRPr="0040535D">
        <w:rPr>
          <w:rFonts w:ascii="Times New Roman" w:hAnsi="Times New Roman"/>
          <w:sz w:val="24"/>
          <w:szCs w:val="24"/>
        </w:rPr>
        <w:t>z</w:t>
      </w:r>
      <w:r w:rsidR="004C629B" w:rsidRPr="0040535D">
        <w:rPr>
          <w:rFonts w:ascii="Times New Roman" w:hAnsi="Times New Roman"/>
          <w:sz w:val="24"/>
          <w:szCs w:val="24"/>
        </w:rPr>
        <w:t xml:space="preserve"> </w:t>
      </w:r>
      <w:r w:rsidRPr="0040535D">
        <w:rPr>
          <w:rFonts w:ascii="Times New Roman" w:hAnsi="Times New Roman"/>
          <w:sz w:val="24"/>
          <w:szCs w:val="24"/>
        </w:rPr>
        <w:t xml:space="preserve">pkt 1 czy </w:t>
      </w:r>
      <w:r w:rsidR="005A47FE" w:rsidRPr="0040535D">
        <w:rPr>
          <w:rFonts w:ascii="Times New Roman" w:hAnsi="Times New Roman"/>
          <w:sz w:val="24"/>
          <w:szCs w:val="24"/>
        </w:rPr>
        <w:t>pkt 2, gdyż w przypadku wyboru przedsięwzięć do objęcia wspar</w:t>
      </w:r>
      <w:r w:rsidRPr="0040535D">
        <w:rPr>
          <w:rFonts w:ascii="Times New Roman" w:hAnsi="Times New Roman"/>
          <w:sz w:val="24"/>
          <w:szCs w:val="24"/>
        </w:rPr>
        <w:t xml:space="preserve">ciem w sposób wskazany w art. </w:t>
      </w:r>
      <w:r w:rsidR="004C629B" w:rsidRPr="0040535D">
        <w:rPr>
          <w:rFonts w:ascii="Times New Roman" w:hAnsi="Times New Roman"/>
          <w:sz w:val="24"/>
          <w:szCs w:val="24"/>
        </w:rPr>
        <w:t>14l</w:t>
      </w:r>
      <w:r w:rsidR="00CA6C73" w:rsidRPr="0040535D">
        <w:rPr>
          <w:rFonts w:ascii="Times New Roman" w:hAnsi="Times New Roman"/>
          <w:sz w:val="24"/>
          <w:szCs w:val="24"/>
        </w:rPr>
        <w:t>z</w:t>
      </w:r>
      <w:r w:rsidR="004C629B" w:rsidRPr="0040535D">
        <w:rPr>
          <w:rFonts w:ascii="Times New Roman" w:hAnsi="Times New Roman"/>
          <w:sz w:val="24"/>
          <w:szCs w:val="24"/>
        </w:rPr>
        <w:t xml:space="preserve"> </w:t>
      </w:r>
      <w:r w:rsidR="005A47FE" w:rsidRPr="0040535D">
        <w:rPr>
          <w:rFonts w:ascii="Times New Roman" w:hAnsi="Times New Roman"/>
          <w:sz w:val="24"/>
          <w:szCs w:val="24"/>
        </w:rPr>
        <w:t xml:space="preserve">pkt 1 nie będzie mowy o równym traktowaniu podmiotów wnioskujących o udzielenie wsparcia. </w:t>
      </w:r>
    </w:p>
    <w:p w14:paraId="596D642D" w14:textId="77777777" w:rsidR="005A47FE" w:rsidRPr="0040535D" w:rsidRDefault="005A47FE" w:rsidP="00100244">
      <w:pPr>
        <w:spacing w:after="0" w:line="360" w:lineRule="auto"/>
        <w:jc w:val="both"/>
        <w:rPr>
          <w:rFonts w:ascii="Times New Roman" w:hAnsi="Times New Roman"/>
          <w:sz w:val="24"/>
          <w:szCs w:val="24"/>
        </w:rPr>
      </w:pPr>
      <w:r w:rsidRPr="0040535D">
        <w:rPr>
          <w:rFonts w:ascii="Times New Roman" w:hAnsi="Times New Roman"/>
          <w:sz w:val="24"/>
          <w:szCs w:val="24"/>
        </w:rPr>
        <w:t>Instytucja odpowiedzialna za inwestycję dokonuje wyboru przedsięwzięć do objęcia wspa</w:t>
      </w:r>
      <w:r w:rsidR="002A5B99" w:rsidRPr="0040535D">
        <w:rPr>
          <w:rFonts w:ascii="Times New Roman" w:hAnsi="Times New Roman"/>
          <w:sz w:val="24"/>
          <w:szCs w:val="24"/>
        </w:rPr>
        <w:t>rciem z planu rozwojowego</w:t>
      </w:r>
      <w:r w:rsidRPr="0040535D">
        <w:rPr>
          <w:rFonts w:ascii="Times New Roman" w:hAnsi="Times New Roman"/>
          <w:sz w:val="24"/>
          <w:szCs w:val="24"/>
        </w:rPr>
        <w:t xml:space="preserve"> na podstawie przepisów właściwych dla realizacji określonej inwestycji lub jej części (ust. 3) a w przypadku braku przepisów właściwych, do wyboru przedsięwzięć do objęc</w:t>
      </w:r>
      <w:r w:rsidR="003A75F3" w:rsidRPr="0040535D">
        <w:rPr>
          <w:rFonts w:ascii="Times New Roman" w:hAnsi="Times New Roman"/>
          <w:sz w:val="24"/>
          <w:szCs w:val="24"/>
        </w:rPr>
        <w:t>ia wsparciem</w:t>
      </w:r>
      <w:r w:rsidR="00110DDA" w:rsidRPr="0040535D">
        <w:rPr>
          <w:rFonts w:ascii="Times New Roman" w:hAnsi="Times New Roman"/>
          <w:sz w:val="24"/>
          <w:szCs w:val="24"/>
        </w:rPr>
        <w:t>, w tym do ew</w:t>
      </w:r>
      <w:r w:rsidR="00CB3EB4">
        <w:rPr>
          <w:rFonts w:ascii="Times New Roman" w:hAnsi="Times New Roman"/>
          <w:sz w:val="24"/>
          <w:szCs w:val="24"/>
        </w:rPr>
        <w:t>entualnych</w:t>
      </w:r>
      <w:r w:rsidR="00CB3EB4" w:rsidRPr="0040535D">
        <w:rPr>
          <w:rFonts w:ascii="Times New Roman" w:hAnsi="Times New Roman"/>
          <w:sz w:val="24"/>
          <w:szCs w:val="24"/>
        </w:rPr>
        <w:t xml:space="preserve"> </w:t>
      </w:r>
      <w:r w:rsidR="00110DDA" w:rsidRPr="0040535D">
        <w:rPr>
          <w:rFonts w:ascii="Times New Roman" w:hAnsi="Times New Roman"/>
          <w:sz w:val="24"/>
          <w:szCs w:val="24"/>
        </w:rPr>
        <w:t>środków odwoławczych przysługujących podmiotowi wnioskującemu o objęcie przedsięwzięcia wsparciem</w:t>
      </w:r>
      <w:r w:rsidR="003A75F3" w:rsidRPr="0040535D">
        <w:rPr>
          <w:rFonts w:ascii="Times New Roman" w:hAnsi="Times New Roman"/>
          <w:sz w:val="24"/>
          <w:szCs w:val="24"/>
        </w:rPr>
        <w:t xml:space="preserve"> stosuje się art. </w:t>
      </w:r>
      <w:r w:rsidR="00CA6C73" w:rsidRPr="0040535D">
        <w:rPr>
          <w:rFonts w:ascii="Times New Roman" w:hAnsi="Times New Roman"/>
          <w:sz w:val="24"/>
          <w:szCs w:val="24"/>
        </w:rPr>
        <w:t>14lzb-14lzf</w:t>
      </w:r>
      <w:r w:rsidR="00CA6C73" w:rsidRPr="0040535D" w:rsidDel="00CA6C73">
        <w:rPr>
          <w:rFonts w:ascii="Times New Roman" w:hAnsi="Times New Roman"/>
          <w:sz w:val="24"/>
          <w:szCs w:val="24"/>
        </w:rPr>
        <w:t xml:space="preserve"> </w:t>
      </w:r>
      <w:r w:rsidRPr="0040535D">
        <w:rPr>
          <w:rFonts w:ascii="Times New Roman" w:hAnsi="Times New Roman"/>
          <w:sz w:val="24"/>
          <w:szCs w:val="24"/>
        </w:rPr>
        <w:t xml:space="preserve">ustawy (ust. 4). </w:t>
      </w:r>
    </w:p>
    <w:p w14:paraId="54A8ECEF" w14:textId="77777777" w:rsidR="005A47FE" w:rsidRPr="0040535D" w:rsidRDefault="003A75F3" w:rsidP="00100244">
      <w:pPr>
        <w:spacing w:after="0" w:line="360" w:lineRule="auto"/>
        <w:jc w:val="both"/>
        <w:rPr>
          <w:rFonts w:ascii="Times New Roman" w:hAnsi="Times New Roman"/>
          <w:sz w:val="24"/>
          <w:szCs w:val="24"/>
        </w:rPr>
      </w:pPr>
      <w:r w:rsidRPr="0040535D">
        <w:rPr>
          <w:rFonts w:ascii="Times New Roman" w:hAnsi="Times New Roman"/>
          <w:sz w:val="24"/>
          <w:szCs w:val="24"/>
        </w:rPr>
        <w:t xml:space="preserve">Zgodnie z art. </w:t>
      </w:r>
      <w:r w:rsidR="004C629B" w:rsidRPr="0040535D">
        <w:rPr>
          <w:rFonts w:ascii="Times New Roman" w:hAnsi="Times New Roman"/>
          <w:sz w:val="24"/>
          <w:szCs w:val="24"/>
        </w:rPr>
        <w:t>14l</w:t>
      </w:r>
      <w:r w:rsidR="00CA6C73" w:rsidRPr="0040535D">
        <w:rPr>
          <w:rFonts w:ascii="Times New Roman" w:hAnsi="Times New Roman"/>
          <w:sz w:val="24"/>
          <w:szCs w:val="24"/>
        </w:rPr>
        <w:t>zb</w:t>
      </w:r>
      <w:r w:rsidR="004C629B" w:rsidRPr="0040535D">
        <w:rPr>
          <w:rFonts w:ascii="Times New Roman" w:hAnsi="Times New Roman"/>
          <w:sz w:val="24"/>
          <w:szCs w:val="24"/>
        </w:rPr>
        <w:t xml:space="preserve"> </w:t>
      </w:r>
      <w:r w:rsidR="005A47FE" w:rsidRPr="0040535D">
        <w:rPr>
          <w:rFonts w:ascii="Times New Roman" w:hAnsi="Times New Roman"/>
          <w:sz w:val="24"/>
          <w:szCs w:val="24"/>
        </w:rPr>
        <w:t>ust. 1, instytucja odpowiedzialna za realizację inwestycji przyjmuje regulamin wyboru przedsięwzięć do objęcia wspa</w:t>
      </w:r>
      <w:r w:rsidR="002A5B99" w:rsidRPr="0040535D">
        <w:rPr>
          <w:rFonts w:ascii="Times New Roman" w:hAnsi="Times New Roman"/>
          <w:sz w:val="24"/>
          <w:szCs w:val="24"/>
        </w:rPr>
        <w:t>rciem z planu rozwojowego</w:t>
      </w:r>
      <w:r w:rsidR="005A47FE" w:rsidRPr="0040535D">
        <w:rPr>
          <w:rFonts w:ascii="Times New Roman" w:hAnsi="Times New Roman"/>
          <w:sz w:val="24"/>
          <w:szCs w:val="24"/>
        </w:rPr>
        <w:t xml:space="preserve"> i podaje go do publicznej wiadomości. Ustawa reguluje, w jaki sposób regulamin wyboru powinien być podany do publicznej wiadomości, wskazując, że powinien on zostać podany do publicznej wiadomości w szczególności na stronie internetowej instytucji odpowiedzialnej za inwestycję. W ust. 2 wskazano minimalny zakres regulaminu, który powinien obejmować w szczególności kryteria wyboru przedsięwzięć, termin i sposób składania wniosków o objęcie przedsięwzięcia </w:t>
      </w:r>
      <w:r w:rsidR="005A47FE" w:rsidRPr="0040535D">
        <w:rPr>
          <w:rFonts w:ascii="Times New Roman" w:hAnsi="Times New Roman"/>
          <w:sz w:val="24"/>
          <w:szCs w:val="24"/>
        </w:rPr>
        <w:lastRenderedPageBreak/>
        <w:t>wsparciem</w:t>
      </w:r>
      <w:r w:rsidR="00211034" w:rsidRPr="0040535D">
        <w:rPr>
          <w:rFonts w:ascii="Times New Roman" w:hAnsi="Times New Roman"/>
          <w:sz w:val="24"/>
          <w:szCs w:val="24"/>
        </w:rPr>
        <w:t>,</w:t>
      </w:r>
      <w:r w:rsidR="005A47FE" w:rsidRPr="0040535D">
        <w:rPr>
          <w:rFonts w:ascii="Times New Roman" w:hAnsi="Times New Roman"/>
          <w:sz w:val="24"/>
          <w:szCs w:val="24"/>
        </w:rPr>
        <w:t xml:space="preserve"> opis procedury oceny przedsięwzięć</w:t>
      </w:r>
      <w:r w:rsidR="00211034" w:rsidRPr="0040535D">
        <w:rPr>
          <w:rFonts w:ascii="Times New Roman" w:hAnsi="Times New Roman"/>
          <w:sz w:val="24"/>
          <w:szCs w:val="24"/>
        </w:rPr>
        <w:t xml:space="preserve"> oraz opis procedury ponownej oceny przedsięwzięć</w:t>
      </w:r>
      <w:r w:rsidR="005A47FE" w:rsidRPr="0040535D">
        <w:rPr>
          <w:rFonts w:ascii="Times New Roman" w:hAnsi="Times New Roman"/>
          <w:sz w:val="24"/>
          <w:szCs w:val="24"/>
        </w:rPr>
        <w:t>.</w:t>
      </w:r>
      <w:r w:rsidR="009C268F" w:rsidRPr="0040535D">
        <w:rPr>
          <w:rFonts w:ascii="Times New Roman" w:hAnsi="Times New Roman"/>
          <w:sz w:val="24"/>
          <w:szCs w:val="24"/>
        </w:rPr>
        <w:t xml:space="preserve"> Zgodnie z ust. 3 instytucja odpowiedzialna za realizację inwestycji, w przypadku powierzenia części zadań związanych z realizacją inwestycji samorządowi województwa działającemu jako jednostka wspierająca realizację planu rozwojowego, jeżeli jednocześnie nie powierza samorządowi województwa przyjęcia regulaminu wyboru przedsięwzięć do objęcia wsparciem, przedstawia do zaopiniowania właściwemu zarządowi województwa kryteria wyboru przedsięwzięć.</w:t>
      </w:r>
    </w:p>
    <w:p w14:paraId="6F967DD0" w14:textId="77777777" w:rsidR="005A47FE" w:rsidRPr="0040535D" w:rsidRDefault="005A47FE" w:rsidP="00B603B4">
      <w:pPr>
        <w:spacing w:after="0" w:line="360" w:lineRule="auto"/>
        <w:jc w:val="both"/>
        <w:rPr>
          <w:rFonts w:ascii="Times New Roman" w:hAnsi="Times New Roman"/>
          <w:sz w:val="24"/>
          <w:szCs w:val="24"/>
        </w:rPr>
      </w:pPr>
      <w:r w:rsidRPr="0040535D">
        <w:rPr>
          <w:rFonts w:ascii="Times New Roman" w:hAnsi="Times New Roman"/>
          <w:sz w:val="24"/>
          <w:szCs w:val="24"/>
        </w:rPr>
        <w:t xml:space="preserve">Instytucja odpowiedzialna za realizację inwestycji ocenia przedsięwzięcia w zakresie spełniania kryteriów wyboru przedsięwzięć </w:t>
      </w:r>
      <w:r w:rsidR="002A5B99" w:rsidRPr="0040535D">
        <w:rPr>
          <w:rFonts w:ascii="Times New Roman" w:hAnsi="Times New Roman"/>
          <w:sz w:val="24"/>
          <w:szCs w:val="24"/>
        </w:rPr>
        <w:t xml:space="preserve">(art. </w:t>
      </w:r>
      <w:r w:rsidR="00226FD1" w:rsidRPr="0040535D">
        <w:rPr>
          <w:rFonts w:ascii="Times New Roman" w:hAnsi="Times New Roman"/>
          <w:sz w:val="24"/>
          <w:szCs w:val="24"/>
        </w:rPr>
        <w:t>14l</w:t>
      </w:r>
      <w:r w:rsidR="007D5765" w:rsidRPr="0040535D">
        <w:rPr>
          <w:rFonts w:ascii="Times New Roman" w:hAnsi="Times New Roman"/>
          <w:sz w:val="24"/>
          <w:szCs w:val="24"/>
        </w:rPr>
        <w:t>z</w:t>
      </w:r>
      <w:r w:rsidR="004B09D2" w:rsidRPr="0040535D">
        <w:rPr>
          <w:rFonts w:ascii="Times New Roman" w:hAnsi="Times New Roman"/>
          <w:sz w:val="24"/>
          <w:szCs w:val="24"/>
        </w:rPr>
        <w:t>c</w:t>
      </w:r>
      <w:r w:rsidRPr="0040535D">
        <w:rPr>
          <w:rFonts w:ascii="Times New Roman" w:hAnsi="Times New Roman"/>
          <w:sz w:val="24"/>
          <w:szCs w:val="24"/>
        </w:rPr>
        <w:t>). Z przedmiotowej regulacji wynika, że żadne inne okoliczności, nieokreślone kryteriami, nie powinny wpływać na wybranie (albo niewybranie) danego przedsięwzięcia do objęcia wspa</w:t>
      </w:r>
      <w:r w:rsidR="002A5B99" w:rsidRPr="0040535D">
        <w:rPr>
          <w:rFonts w:ascii="Times New Roman" w:hAnsi="Times New Roman"/>
          <w:sz w:val="24"/>
          <w:szCs w:val="24"/>
        </w:rPr>
        <w:t>rciem z planu rozwojowego</w:t>
      </w:r>
      <w:r w:rsidRPr="0040535D">
        <w:rPr>
          <w:rFonts w:ascii="Times New Roman" w:hAnsi="Times New Roman"/>
          <w:sz w:val="24"/>
          <w:szCs w:val="24"/>
        </w:rPr>
        <w:t>. Wyjątkiem są przepisy prawa powszechnie obowiązującego, które mogą stać na przeszkodzie wyborowi danego przedsięwzięcia do objęcia wsparciem (np. przepisy z zakresu pomocy publicznej).</w:t>
      </w:r>
    </w:p>
    <w:p w14:paraId="7B659177" w14:textId="77777777" w:rsidR="005A47FE" w:rsidRPr="0040535D" w:rsidRDefault="005A47FE" w:rsidP="00523EA5">
      <w:pPr>
        <w:spacing w:after="0" w:line="360" w:lineRule="auto"/>
        <w:jc w:val="both"/>
        <w:rPr>
          <w:rFonts w:ascii="Times New Roman" w:hAnsi="Times New Roman"/>
          <w:sz w:val="24"/>
          <w:szCs w:val="24"/>
        </w:rPr>
      </w:pPr>
      <w:r w:rsidRPr="0040535D">
        <w:rPr>
          <w:rFonts w:ascii="Times New Roman" w:hAnsi="Times New Roman"/>
          <w:sz w:val="24"/>
          <w:szCs w:val="24"/>
        </w:rPr>
        <w:t>Niezwłocznie po dokonaniu oceny przedsięwzięć, instytucja odpowiedzialna za realizację inwestycji informuje podmioty wnioskujące o objęcie w</w:t>
      </w:r>
      <w:r w:rsidR="002A5B99" w:rsidRPr="0040535D">
        <w:rPr>
          <w:rFonts w:ascii="Times New Roman" w:hAnsi="Times New Roman"/>
          <w:sz w:val="24"/>
          <w:szCs w:val="24"/>
        </w:rPr>
        <w:t xml:space="preserve">sparciem o wyniku oceny (art. </w:t>
      </w:r>
      <w:r w:rsidR="00226FD1" w:rsidRPr="0040535D">
        <w:rPr>
          <w:rFonts w:ascii="Times New Roman" w:hAnsi="Times New Roman"/>
          <w:sz w:val="24"/>
          <w:szCs w:val="24"/>
        </w:rPr>
        <w:t>14z</w:t>
      </w:r>
      <w:r w:rsidR="004B09D2" w:rsidRPr="0040535D">
        <w:rPr>
          <w:rFonts w:ascii="Times New Roman" w:hAnsi="Times New Roman"/>
          <w:sz w:val="24"/>
          <w:szCs w:val="24"/>
        </w:rPr>
        <w:t>d</w:t>
      </w:r>
      <w:r w:rsidRPr="0040535D">
        <w:rPr>
          <w:rFonts w:ascii="Times New Roman" w:hAnsi="Times New Roman"/>
          <w:sz w:val="24"/>
          <w:szCs w:val="24"/>
        </w:rPr>
        <w:t xml:space="preserve">). Ustawa nie przesądza, w jakiej formie oraz w jakim maksymalnym terminie powinno nastąpić przekazanie ww. informacji, pozostawiając instytucji odpowiedzialnej za realizację inwestycji pewną swobodę w tym zakresie. </w:t>
      </w:r>
    </w:p>
    <w:p w14:paraId="028A7AA5" w14:textId="77777777" w:rsidR="0008290A" w:rsidRPr="0040535D" w:rsidRDefault="00504C3E" w:rsidP="00523EA5">
      <w:pPr>
        <w:spacing w:after="0" w:line="360" w:lineRule="auto"/>
        <w:jc w:val="both"/>
        <w:rPr>
          <w:rFonts w:ascii="Times New Roman" w:hAnsi="Times New Roman"/>
          <w:sz w:val="24"/>
          <w:szCs w:val="24"/>
        </w:rPr>
      </w:pPr>
      <w:r w:rsidRPr="0040535D">
        <w:rPr>
          <w:rFonts w:ascii="Times New Roman" w:hAnsi="Times New Roman"/>
          <w:sz w:val="24"/>
          <w:szCs w:val="24"/>
        </w:rPr>
        <w:t>W a</w:t>
      </w:r>
      <w:r w:rsidR="00E13942" w:rsidRPr="0040535D">
        <w:rPr>
          <w:rFonts w:ascii="Times New Roman" w:hAnsi="Times New Roman"/>
          <w:sz w:val="24"/>
          <w:szCs w:val="24"/>
        </w:rPr>
        <w:t>rt. 14lz</w:t>
      </w:r>
      <w:r w:rsidR="008C361F" w:rsidRPr="0040535D">
        <w:rPr>
          <w:rFonts w:ascii="Times New Roman" w:hAnsi="Times New Roman"/>
          <w:sz w:val="24"/>
          <w:szCs w:val="24"/>
        </w:rPr>
        <w:t>e</w:t>
      </w:r>
      <w:r w:rsidR="00E13942" w:rsidRPr="0040535D">
        <w:rPr>
          <w:rFonts w:ascii="Times New Roman" w:hAnsi="Times New Roman"/>
          <w:sz w:val="24"/>
          <w:szCs w:val="24"/>
        </w:rPr>
        <w:t xml:space="preserve"> </w:t>
      </w:r>
      <w:r w:rsidR="008C361F" w:rsidRPr="0040535D">
        <w:rPr>
          <w:rFonts w:ascii="Times New Roman" w:hAnsi="Times New Roman"/>
          <w:sz w:val="24"/>
          <w:szCs w:val="24"/>
        </w:rPr>
        <w:t>u</w:t>
      </w:r>
      <w:r w:rsidRPr="0040535D">
        <w:rPr>
          <w:rFonts w:ascii="Times New Roman" w:hAnsi="Times New Roman"/>
          <w:sz w:val="24"/>
          <w:szCs w:val="24"/>
        </w:rPr>
        <w:t xml:space="preserve">regulowano kwestie dotyczące środków odwoławczych przysługujących podmiotowi wnioskującemu o objęcie przedsięwzięcia wsparciem. </w:t>
      </w:r>
      <w:r w:rsidR="00E13942" w:rsidRPr="0040535D">
        <w:rPr>
          <w:rFonts w:ascii="Times New Roman" w:hAnsi="Times New Roman"/>
          <w:sz w:val="24"/>
          <w:szCs w:val="24"/>
        </w:rPr>
        <w:t>Podmiotowi wnioskującemu o objęcie przedsięwzięcia wsparciem, którego przedsięwzięcie nie zostało objęte wsparciem, przysługuje wniosek o ponowną ocenę przedsięwzięcia (ust. 1)</w:t>
      </w:r>
      <w:r w:rsidRPr="0040535D">
        <w:rPr>
          <w:rFonts w:ascii="Times New Roman" w:hAnsi="Times New Roman"/>
          <w:sz w:val="24"/>
          <w:szCs w:val="24"/>
        </w:rPr>
        <w:t xml:space="preserve">. </w:t>
      </w:r>
      <w:r w:rsidR="00B21218" w:rsidRPr="0040535D">
        <w:rPr>
          <w:rFonts w:ascii="Times New Roman" w:hAnsi="Times New Roman"/>
          <w:sz w:val="24"/>
          <w:szCs w:val="24"/>
        </w:rPr>
        <w:t xml:space="preserve">Wniosek wnosi się </w:t>
      </w:r>
      <w:r w:rsidR="0008290A" w:rsidRPr="0040535D">
        <w:rPr>
          <w:rFonts w:ascii="Times New Roman" w:hAnsi="Times New Roman"/>
          <w:sz w:val="24"/>
          <w:szCs w:val="24"/>
        </w:rPr>
        <w:t xml:space="preserve">odpowiednio do instytucji odpowiedzialnej za realizację inwestycji lub do jednostki wspierającej plan rozwojowy (jeśli dokonywała ona oceny przedsięwzięcia) </w:t>
      </w:r>
      <w:r w:rsidR="00B21218" w:rsidRPr="0040535D">
        <w:rPr>
          <w:rFonts w:ascii="Times New Roman" w:hAnsi="Times New Roman"/>
          <w:sz w:val="24"/>
          <w:szCs w:val="24"/>
        </w:rPr>
        <w:t xml:space="preserve">w terminie 7 dni od dnia otrzymania informacji, o której mowa w art. 14lzd (ust. 2). </w:t>
      </w:r>
      <w:r w:rsidR="0008290A" w:rsidRPr="0040535D">
        <w:rPr>
          <w:rFonts w:ascii="Times New Roman" w:hAnsi="Times New Roman"/>
          <w:sz w:val="24"/>
          <w:szCs w:val="24"/>
        </w:rPr>
        <w:t>Powierzenie ponownej oceny instytucji która oceniała przedsięwzięcie pierwotnie ma zapewnić możliwość sprawnego i adekwatnego przeprowadzenia procesu rozpatrzenia wniosku o ponowną ocenę przedsięwzięcia.</w:t>
      </w:r>
    </w:p>
    <w:p w14:paraId="158FBB86" w14:textId="77777777" w:rsidR="0008290A" w:rsidRPr="0040535D" w:rsidRDefault="0008290A" w:rsidP="00523EA5">
      <w:pPr>
        <w:spacing w:after="0" w:line="360" w:lineRule="auto"/>
        <w:jc w:val="both"/>
        <w:rPr>
          <w:rFonts w:ascii="Times New Roman" w:hAnsi="Times New Roman"/>
          <w:sz w:val="24"/>
          <w:szCs w:val="24"/>
        </w:rPr>
      </w:pPr>
      <w:r w:rsidRPr="0040535D">
        <w:rPr>
          <w:rFonts w:ascii="Times New Roman" w:hAnsi="Times New Roman"/>
          <w:sz w:val="24"/>
          <w:szCs w:val="24"/>
        </w:rPr>
        <w:t>Właściwa i</w:t>
      </w:r>
      <w:r w:rsidR="00B21218" w:rsidRPr="0040535D">
        <w:rPr>
          <w:rFonts w:ascii="Times New Roman" w:hAnsi="Times New Roman"/>
          <w:sz w:val="24"/>
          <w:szCs w:val="24"/>
        </w:rPr>
        <w:t>nstytucja dokonuje ponownej oceny przedsięwzięcia w terminie 14 dni od jego otrzymania. Z tym że może ona określić, w regulaminie wyboru przedsięwzięć do objęcia wsparciem z planu rozwojowego, inny termin na dokonanie ponownej oceny przedsięwzięcia, który nie może być jednak krótszy niż 7 dni i nie dłuższy niż 90 dni od dnia otrzymania wniosku</w:t>
      </w:r>
      <w:r w:rsidRPr="0040535D">
        <w:rPr>
          <w:rFonts w:ascii="Times New Roman" w:hAnsi="Times New Roman"/>
          <w:sz w:val="24"/>
          <w:szCs w:val="24"/>
        </w:rPr>
        <w:t xml:space="preserve"> (ust. 5 i 6</w:t>
      </w:r>
      <w:r w:rsidR="00B21218" w:rsidRPr="0040535D">
        <w:rPr>
          <w:rFonts w:ascii="Times New Roman" w:hAnsi="Times New Roman"/>
          <w:sz w:val="24"/>
          <w:szCs w:val="24"/>
        </w:rPr>
        <w:t>).</w:t>
      </w:r>
      <w:r w:rsidRPr="0040535D">
        <w:rPr>
          <w:rFonts w:ascii="Times New Roman" w:hAnsi="Times New Roman"/>
          <w:sz w:val="24"/>
          <w:szCs w:val="24"/>
        </w:rPr>
        <w:t xml:space="preserve"> Takie rozwiązanie pozwoli na dostosowanie terminu na dokonanie oceny do </w:t>
      </w:r>
      <w:r w:rsidRPr="0040535D">
        <w:rPr>
          <w:rFonts w:ascii="Times New Roman" w:hAnsi="Times New Roman"/>
          <w:sz w:val="24"/>
          <w:szCs w:val="24"/>
        </w:rPr>
        <w:lastRenderedPageBreak/>
        <w:t>specyfiki danej inwestycji i proponowanych przedsięwzięć, należy bowiem zakładać że w przypadku niektórych inwestycji liczba podmiotów ubiegających się o objęcie przedsięwzięcia planem rozwojowym a w konsekwencji potencjalnie liczba podmiotów wnoszących o ponowną ocenę w związku z nieprzyznaniem wsparcia w wyniku pierwszej oceny będzie tak duża, że zakończenie ponownej oceny w terminie określonym w ust. 5 będzie angażowało niewspółmiernie zasoby danej instytucji nie gwarantując dotrzymania tego terminu. Ponadto, specyfika poszczególnych inwestycji będzie skutkować różnym zakresem czynności dokonywanych w ramach oceny przedsięwzięć, co będzie miało także wpływ na zakres i sposób przeprowadzenia ponownej oceny przedsięwzięć korzystających z przewidzianego środka odwoławczego, dlatego należy umożliwić dostosowanie terminów i procedur zarówno do zakresu inwestycji jak i zasad jakie stosuje dana instytucja w obszarze danego procesu.</w:t>
      </w:r>
    </w:p>
    <w:p w14:paraId="4619C445" w14:textId="77777777" w:rsidR="0008290A" w:rsidRPr="0040535D" w:rsidRDefault="0008290A" w:rsidP="00523EA5">
      <w:pPr>
        <w:spacing w:after="0" w:line="360" w:lineRule="auto"/>
        <w:jc w:val="both"/>
        <w:rPr>
          <w:rFonts w:ascii="Times New Roman" w:hAnsi="Times New Roman"/>
          <w:sz w:val="24"/>
          <w:szCs w:val="24"/>
        </w:rPr>
      </w:pPr>
    </w:p>
    <w:p w14:paraId="658B6B92" w14:textId="77777777" w:rsidR="0008290A" w:rsidRPr="0040535D" w:rsidRDefault="00B21218" w:rsidP="00523EA5">
      <w:pPr>
        <w:spacing w:after="0" w:line="360" w:lineRule="auto"/>
        <w:jc w:val="both"/>
        <w:rPr>
          <w:rFonts w:ascii="Times New Roman" w:hAnsi="Times New Roman"/>
          <w:sz w:val="24"/>
          <w:szCs w:val="24"/>
        </w:rPr>
      </w:pPr>
      <w:r w:rsidRPr="0040535D">
        <w:rPr>
          <w:rFonts w:ascii="Times New Roman" w:hAnsi="Times New Roman"/>
          <w:sz w:val="24"/>
          <w:szCs w:val="24"/>
        </w:rPr>
        <w:t xml:space="preserve"> </w:t>
      </w:r>
      <w:r w:rsidR="0008290A" w:rsidRPr="0040535D">
        <w:rPr>
          <w:rFonts w:ascii="Times New Roman" w:hAnsi="Times New Roman"/>
          <w:sz w:val="24"/>
          <w:szCs w:val="24"/>
        </w:rPr>
        <w:t>Określenie maksymalnego terminu na dokonanie ponownej oceny oraz określenie procedury ponownej oceny przedsięwzięć w regulaminie wyboru przedsięwzięć do objęcia wsparciem z planu rozwojowego  zapewni podmiotom ubiegającym się o wsparcie już na etapie ubiegania się o objęcie wsparciem informację o terminach i szczegółowym sposobie realizacji środka odwoławczego, co zapewni transparentność tego procesu.</w:t>
      </w:r>
    </w:p>
    <w:p w14:paraId="30AABE72" w14:textId="77777777" w:rsidR="0008290A" w:rsidRPr="0040535D" w:rsidRDefault="0008290A" w:rsidP="00523EA5">
      <w:pPr>
        <w:spacing w:after="0" w:line="360" w:lineRule="auto"/>
        <w:jc w:val="both"/>
        <w:rPr>
          <w:rFonts w:ascii="Times New Roman" w:hAnsi="Times New Roman"/>
          <w:sz w:val="24"/>
          <w:szCs w:val="24"/>
        </w:rPr>
      </w:pPr>
      <w:r w:rsidRPr="0040535D">
        <w:rPr>
          <w:rFonts w:ascii="Times New Roman" w:hAnsi="Times New Roman"/>
          <w:sz w:val="24"/>
          <w:szCs w:val="24"/>
        </w:rPr>
        <w:t>Właściwa instytucja niezwłocznie po dokonaniu ponownej oceny przedsięwzięcia, informuje podmiot wnioskujący o objęcie wsparciem o wyniku ponownej oceny pouczając o prawie złożenia skargi do sadu administracyjnego (ust. 7).</w:t>
      </w:r>
    </w:p>
    <w:p w14:paraId="2158DF4D" w14:textId="77777777" w:rsidR="0008290A" w:rsidRPr="0040535D" w:rsidRDefault="0008290A" w:rsidP="0008290A">
      <w:pPr>
        <w:spacing w:after="0" w:line="360" w:lineRule="auto"/>
        <w:jc w:val="both"/>
        <w:rPr>
          <w:rFonts w:ascii="Times New Roman" w:hAnsi="Times New Roman"/>
          <w:sz w:val="24"/>
          <w:szCs w:val="24"/>
        </w:rPr>
      </w:pPr>
      <w:r w:rsidRPr="0040535D">
        <w:rPr>
          <w:rFonts w:ascii="Times New Roman" w:hAnsi="Times New Roman"/>
          <w:sz w:val="24"/>
          <w:szCs w:val="24"/>
        </w:rPr>
        <w:t>Jednocześnie, uwzględniając reżim czasowy dotyczący realizacji wskaźników określonych dla poszczególnych inwestycji jako wymaganych dla możliwości uznania danej inwestycji za rozliczoną/zrealizowaną zgodnie z wymaganiami planu rozwojowego uzgodnionego z Komisją Europejską, wskazano że proces przeprowadzania ponownej oceny przedsięwzięć ubiegających się o wsparcie nie wstrzymuje procesu udzielania wsparcia na rzecz przedsięwzięć wybranych do objęcia wsparciem (ust. 8).</w:t>
      </w:r>
    </w:p>
    <w:p w14:paraId="697B562D" w14:textId="77777777" w:rsidR="0008290A" w:rsidRPr="0040535D" w:rsidRDefault="0008290A" w:rsidP="00523EA5">
      <w:pPr>
        <w:spacing w:after="0" w:line="360" w:lineRule="auto"/>
        <w:jc w:val="both"/>
        <w:rPr>
          <w:rFonts w:ascii="Times New Roman" w:hAnsi="Times New Roman"/>
          <w:sz w:val="24"/>
          <w:szCs w:val="24"/>
        </w:rPr>
      </w:pPr>
    </w:p>
    <w:p w14:paraId="3BA5E7F2" w14:textId="77777777" w:rsidR="00110DDA" w:rsidRPr="0040535D" w:rsidRDefault="00504C3E" w:rsidP="00523EA5">
      <w:pPr>
        <w:spacing w:after="0" w:line="360" w:lineRule="auto"/>
        <w:jc w:val="both"/>
        <w:rPr>
          <w:rFonts w:ascii="Times New Roman" w:hAnsi="Times New Roman"/>
          <w:sz w:val="24"/>
          <w:szCs w:val="24"/>
        </w:rPr>
      </w:pPr>
      <w:r w:rsidRPr="0040535D">
        <w:rPr>
          <w:rFonts w:ascii="Times New Roman" w:hAnsi="Times New Roman"/>
          <w:sz w:val="24"/>
          <w:szCs w:val="24"/>
        </w:rPr>
        <w:t>Przedmiotowa regulacja nie wskazuje</w:t>
      </w:r>
      <w:r w:rsidR="00A57D2F" w:rsidRPr="0040535D">
        <w:rPr>
          <w:rFonts w:ascii="Times New Roman" w:hAnsi="Times New Roman"/>
          <w:sz w:val="24"/>
          <w:szCs w:val="24"/>
        </w:rPr>
        <w:t>,</w:t>
      </w:r>
      <w:r w:rsidRPr="0040535D">
        <w:rPr>
          <w:rFonts w:ascii="Times New Roman" w:hAnsi="Times New Roman"/>
          <w:sz w:val="24"/>
          <w:szCs w:val="24"/>
        </w:rPr>
        <w:t xml:space="preserve"> w jakiej formie i jaką drogą powinien być wniesiony środek odwoławczy oraz</w:t>
      </w:r>
      <w:r w:rsidR="00A57D2F" w:rsidRPr="0040535D">
        <w:rPr>
          <w:rFonts w:ascii="Times New Roman" w:hAnsi="Times New Roman"/>
          <w:sz w:val="24"/>
          <w:szCs w:val="24"/>
        </w:rPr>
        <w:t>,</w:t>
      </w:r>
      <w:r w:rsidRPr="0040535D">
        <w:rPr>
          <w:rFonts w:ascii="Times New Roman" w:hAnsi="Times New Roman"/>
          <w:sz w:val="24"/>
          <w:szCs w:val="24"/>
        </w:rPr>
        <w:t xml:space="preserve"> w jakiej formie i jaką drogą powinna być przekazana informacja o wyniku ponownej oceny przedsięwzięcia. </w:t>
      </w:r>
      <w:r w:rsidR="00A57D2F" w:rsidRPr="0040535D">
        <w:rPr>
          <w:rFonts w:ascii="Times New Roman" w:hAnsi="Times New Roman"/>
          <w:sz w:val="24"/>
          <w:szCs w:val="24"/>
        </w:rPr>
        <w:t xml:space="preserve">Ustawa nie reguluje również terminów na dokonanie ww. czynności. W zależności od specyfiki poszczególnych inwestycji, instytucja odpowiedzialna za realizację inwestycji będzie miała w tym zakresie pewną elastyczność, która </w:t>
      </w:r>
      <w:r w:rsidR="00A57D2F" w:rsidRPr="0040535D">
        <w:rPr>
          <w:rFonts w:ascii="Times New Roman" w:hAnsi="Times New Roman"/>
          <w:sz w:val="24"/>
          <w:szCs w:val="24"/>
        </w:rPr>
        <w:lastRenderedPageBreak/>
        <w:t>jest ograniczona koniecznością zapewnienia realnego dostępu podmiotów wnioskujących o objęcie przedsięwzięcia wsparciem do środków odwoławczych.</w:t>
      </w:r>
    </w:p>
    <w:p w14:paraId="66C00275" w14:textId="77777777" w:rsidR="00D5476F" w:rsidRPr="0040535D" w:rsidRDefault="00D5476F" w:rsidP="00C3452D">
      <w:pPr>
        <w:pStyle w:val="ZARTzmartartykuempunktem"/>
        <w:ind w:left="0"/>
        <w:rPr>
          <w:rFonts w:ascii="Times New Roman" w:hAnsi="Times New Roman" w:cs="Times New Roman"/>
          <w:szCs w:val="24"/>
        </w:rPr>
      </w:pPr>
      <w:r w:rsidRPr="0040535D">
        <w:rPr>
          <w:rFonts w:ascii="Times New Roman" w:hAnsi="Times New Roman" w:cs="Times New Roman"/>
          <w:szCs w:val="24"/>
        </w:rPr>
        <w:t>Do postępowania w zakresie wyboru przedsięwzięcia do objęcia wsparciem oraz ponownej oceny przedsięwzięcia nie stosuje się przepisów ustawy z dnia 14 czerwca 1960 r. – Kodeks postępowania administracyjnego, z wyjątkiem art. 24 oraz przepisów dotyczących doręczeń i sposobu obliczania terminów, które stosuje się odpowiednio</w:t>
      </w:r>
      <w:r w:rsidR="00054445" w:rsidRPr="0040535D">
        <w:rPr>
          <w:rFonts w:ascii="Times New Roman" w:hAnsi="Times New Roman" w:cs="Times New Roman"/>
          <w:szCs w:val="24"/>
        </w:rPr>
        <w:t>. W przypadku ponownej negatywnej oceny przedsięwzięcia podmiot wnioskujący o objęcie przedsięwzięcia wsparciem może w tym zakresie wnieść skargę do sądu administracyjnego, zgodnie z art. 3§ 3 ustawy z dnia 30 sierpnia 2002 r. – Prawo o postępowaniu przed sądami administracyjnymi. Skarga, jest w terminie 14 dni od dnia otrzymania informacji, o której mowa w art. 14lzd, bezpośrednio do wojewódzkiego sądu administracyjnego wraz z kompletną dokumentacją w sprawie. Skarga podlega wpisowi stałemu. Przepisy art. 30c ust. 2a–6 oraz art. 30d–30i stosuje się odpowiednio</w:t>
      </w:r>
      <w:r w:rsidRPr="0040535D">
        <w:rPr>
          <w:rFonts w:ascii="Times New Roman" w:hAnsi="Times New Roman" w:cs="Times New Roman"/>
          <w:szCs w:val="24"/>
        </w:rPr>
        <w:t xml:space="preserve"> (</w:t>
      </w:r>
      <w:r w:rsidRPr="0040535D">
        <w:rPr>
          <w:rStyle w:val="Ppogrubienie"/>
          <w:rFonts w:ascii="Times New Roman" w:hAnsi="Times New Roman" w:cs="Times New Roman"/>
          <w:b w:val="0"/>
          <w:szCs w:val="24"/>
        </w:rPr>
        <w:t>art. 14lzf</w:t>
      </w:r>
      <w:r w:rsidRPr="0040535D">
        <w:rPr>
          <w:rStyle w:val="Ppogrubienie"/>
          <w:rFonts w:ascii="Times New Roman" w:hAnsi="Times New Roman" w:cs="Times New Roman"/>
          <w:szCs w:val="24"/>
        </w:rPr>
        <w:t>)</w:t>
      </w:r>
      <w:r w:rsidRPr="0040535D">
        <w:rPr>
          <w:rFonts w:ascii="Times New Roman" w:hAnsi="Times New Roman" w:cs="Times New Roman"/>
          <w:szCs w:val="24"/>
        </w:rPr>
        <w:t>.</w:t>
      </w:r>
    </w:p>
    <w:p w14:paraId="6F2B30A5" w14:textId="77777777" w:rsidR="00054445" w:rsidRPr="0040535D" w:rsidRDefault="00054445" w:rsidP="009A0EE5">
      <w:pPr>
        <w:pStyle w:val="ZARTzmartartykuempunktem"/>
        <w:ind w:left="0" w:firstLine="0"/>
        <w:rPr>
          <w:rFonts w:ascii="Times New Roman" w:hAnsi="Times New Roman" w:cs="Times New Roman"/>
          <w:szCs w:val="24"/>
        </w:rPr>
      </w:pPr>
    </w:p>
    <w:p w14:paraId="66F62A97" w14:textId="77777777" w:rsidR="00E65E5D" w:rsidRPr="0040535D" w:rsidRDefault="00D5476F" w:rsidP="009A0EE5">
      <w:pPr>
        <w:pStyle w:val="ZARTzmartartykuempunktem"/>
        <w:ind w:left="0" w:firstLine="0"/>
        <w:rPr>
          <w:rFonts w:ascii="Times New Roman" w:hAnsi="Times New Roman" w:cs="Times New Roman"/>
          <w:szCs w:val="24"/>
        </w:rPr>
      </w:pPr>
      <w:r w:rsidRPr="0040535D">
        <w:rPr>
          <w:rFonts w:ascii="Times New Roman" w:hAnsi="Times New Roman" w:cs="Times New Roman"/>
          <w:szCs w:val="24"/>
        </w:rPr>
        <w:t>W przypadku gdy odpowiednio inwestycja albo jej część jest realizowana w formie wsparcia zwrotnego przez Bank Gospodarstwa Krajowego na podstawie i w zakresie umowy, o której mowa w art. 14lj ust. 1 pkt 2</w:t>
      </w:r>
      <w:r w:rsidR="00CB3EB4" w:rsidRPr="00CB3EB4">
        <w:rPr>
          <w:rFonts w:ascii="Times New Roman" w:hAnsi="Times New Roman" w:cs="Times New Roman"/>
          <w:szCs w:val="24"/>
        </w:rPr>
        <w:t>, albo przez Narodowy Fundusz Ochrony Środowiska i Gospodarki Wodnej na podstawie i w zakresie umowy, o której mowa w art. 14lj ust. 1 pkt 3</w:t>
      </w:r>
      <w:r w:rsidR="004F430B">
        <w:rPr>
          <w:rFonts w:ascii="Times New Roman" w:hAnsi="Times New Roman" w:cs="Times New Roman"/>
          <w:szCs w:val="24"/>
        </w:rPr>
        <w:t>, który będzie stosował przepisy właściwe dla realizacji inwestycji lub jej części (np. Prawo ochrony środowiska),</w:t>
      </w:r>
      <w:r w:rsidR="00CB3EB4">
        <w:rPr>
          <w:rFonts w:ascii="Times New Roman" w:hAnsi="Times New Roman" w:cs="Times New Roman"/>
          <w:szCs w:val="24"/>
        </w:rPr>
        <w:t xml:space="preserve"> </w:t>
      </w:r>
      <w:r w:rsidRPr="0040535D">
        <w:rPr>
          <w:rFonts w:ascii="Times New Roman" w:hAnsi="Times New Roman" w:cs="Times New Roman"/>
          <w:szCs w:val="24"/>
        </w:rPr>
        <w:t>przepisy art. 14lza–art.14lzf dotyczące wyboru projektów nie będą znajdowały zastosowania (art. 14lzg).</w:t>
      </w:r>
    </w:p>
    <w:p w14:paraId="0CCCDE6A" w14:textId="77777777" w:rsidR="00D0032B" w:rsidRPr="0040535D" w:rsidRDefault="00D0032B" w:rsidP="009A0EE5">
      <w:pPr>
        <w:pStyle w:val="ZARTzmartartykuempunktem"/>
        <w:ind w:left="0" w:firstLine="0"/>
        <w:rPr>
          <w:rFonts w:ascii="Times New Roman" w:hAnsi="Times New Roman" w:cs="Times New Roman"/>
          <w:szCs w:val="24"/>
        </w:rPr>
      </w:pPr>
    </w:p>
    <w:p w14:paraId="2A7D5024" w14:textId="77777777" w:rsidR="0054341C" w:rsidRPr="0040535D" w:rsidRDefault="00E65E5D" w:rsidP="009A0EE5">
      <w:pPr>
        <w:pStyle w:val="ZARTzmartartykuempunktem"/>
        <w:ind w:left="0" w:firstLine="0"/>
        <w:rPr>
          <w:rFonts w:ascii="Times New Roman" w:hAnsi="Times New Roman" w:cs="Times New Roman"/>
          <w:szCs w:val="24"/>
        </w:rPr>
      </w:pPr>
      <w:r w:rsidRPr="0040535D">
        <w:rPr>
          <w:rFonts w:ascii="Times New Roman" w:hAnsi="Times New Roman" w:cs="Times New Roman"/>
          <w:szCs w:val="24"/>
        </w:rPr>
        <w:t>I</w:t>
      </w:r>
      <w:r w:rsidR="005A47FE" w:rsidRPr="0040535D">
        <w:rPr>
          <w:rFonts w:ascii="Times New Roman" w:hAnsi="Times New Roman" w:cs="Times New Roman"/>
          <w:szCs w:val="24"/>
        </w:rPr>
        <w:t>nstytucja odpowiedzialna za realizację inwestycji zawiera z podmiotem wnioskującym o objęcie wsparciem, którego przedsięwzięcie zostało wybrane do objęcia wspa</w:t>
      </w:r>
      <w:r w:rsidR="002A5B99" w:rsidRPr="0040535D">
        <w:rPr>
          <w:rFonts w:ascii="Times New Roman" w:hAnsi="Times New Roman" w:cs="Times New Roman"/>
          <w:szCs w:val="24"/>
        </w:rPr>
        <w:t>rciem z planu rozwojowego</w:t>
      </w:r>
      <w:r w:rsidR="005A47FE" w:rsidRPr="0040535D">
        <w:rPr>
          <w:rFonts w:ascii="Times New Roman" w:hAnsi="Times New Roman" w:cs="Times New Roman"/>
          <w:szCs w:val="24"/>
        </w:rPr>
        <w:t>, umowę o objęcie przedsięwzięcia wsparci</w:t>
      </w:r>
      <w:r w:rsidR="002A5B99" w:rsidRPr="0040535D">
        <w:rPr>
          <w:rFonts w:ascii="Times New Roman" w:hAnsi="Times New Roman" w:cs="Times New Roman"/>
          <w:szCs w:val="24"/>
        </w:rPr>
        <w:t xml:space="preserve">em z planu rozwojowego (art. </w:t>
      </w:r>
      <w:r w:rsidR="00226FD1" w:rsidRPr="0040535D">
        <w:rPr>
          <w:rFonts w:ascii="Times New Roman" w:hAnsi="Times New Roman" w:cs="Times New Roman"/>
          <w:szCs w:val="24"/>
        </w:rPr>
        <w:t>14lz</w:t>
      </w:r>
      <w:r w:rsidR="00D5476F" w:rsidRPr="0040535D">
        <w:rPr>
          <w:rFonts w:ascii="Times New Roman" w:hAnsi="Times New Roman" w:cs="Times New Roman"/>
          <w:szCs w:val="24"/>
        </w:rPr>
        <w:t>h</w:t>
      </w:r>
      <w:r w:rsidR="00226FD1" w:rsidRPr="0040535D">
        <w:rPr>
          <w:rFonts w:ascii="Times New Roman" w:hAnsi="Times New Roman" w:cs="Times New Roman"/>
          <w:szCs w:val="24"/>
        </w:rPr>
        <w:t xml:space="preserve"> </w:t>
      </w:r>
      <w:r w:rsidR="005A47FE" w:rsidRPr="0040535D">
        <w:rPr>
          <w:rFonts w:ascii="Times New Roman" w:hAnsi="Times New Roman" w:cs="Times New Roman"/>
          <w:szCs w:val="24"/>
        </w:rPr>
        <w:t xml:space="preserve">ust. 1). </w:t>
      </w:r>
      <w:r w:rsidR="0054341C" w:rsidRPr="0040535D">
        <w:rPr>
          <w:rFonts w:ascii="Times New Roman" w:hAnsi="Times New Roman" w:cs="Times New Roman"/>
          <w:szCs w:val="24"/>
        </w:rPr>
        <w:t xml:space="preserve">Treść umowy o </w:t>
      </w:r>
    </w:p>
    <w:p w14:paraId="2478416F" w14:textId="77777777" w:rsidR="0054341C" w:rsidRPr="0040535D" w:rsidRDefault="0054341C" w:rsidP="00C3452D">
      <w:pPr>
        <w:pStyle w:val="ZPKTzmpktartykuempunktem"/>
        <w:ind w:left="0" w:firstLine="0"/>
        <w:rPr>
          <w:rFonts w:ascii="Times New Roman" w:hAnsi="Times New Roman" w:cs="Times New Roman"/>
          <w:szCs w:val="24"/>
        </w:rPr>
      </w:pPr>
      <w:r w:rsidRPr="0040535D">
        <w:rPr>
          <w:rFonts w:ascii="Times New Roman" w:hAnsi="Times New Roman" w:cs="Times New Roman"/>
          <w:szCs w:val="24"/>
        </w:rPr>
        <w:t xml:space="preserve">objęcie przedsięwzięcia wsparciem bezzwrotnym z planu rozwojowego oraz o objęcie przedsięwzięcia wsparciem zwrotnym została uregulowana w postaci katalogu </w:t>
      </w:r>
      <w:r w:rsidR="008E7C75" w:rsidRPr="0040535D">
        <w:rPr>
          <w:rFonts w:ascii="Times New Roman" w:hAnsi="Times New Roman" w:cs="Times New Roman"/>
          <w:szCs w:val="24"/>
        </w:rPr>
        <w:t>otwartego</w:t>
      </w:r>
      <w:r w:rsidRPr="0040535D">
        <w:rPr>
          <w:rFonts w:ascii="Times New Roman" w:hAnsi="Times New Roman" w:cs="Times New Roman"/>
          <w:szCs w:val="24"/>
        </w:rPr>
        <w:t xml:space="preserve"> odpowiednio w ust. 2 i 3. </w:t>
      </w:r>
    </w:p>
    <w:p w14:paraId="3472F653" w14:textId="77777777" w:rsidR="00E65E5D" w:rsidRPr="0040535D" w:rsidRDefault="00D45FBF" w:rsidP="009A0EE5">
      <w:pPr>
        <w:pStyle w:val="ZARTzmartartykuempunktem"/>
        <w:ind w:left="0" w:firstLine="0"/>
        <w:rPr>
          <w:rFonts w:ascii="Times New Roman" w:hAnsi="Times New Roman" w:cs="Times New Roman"/>
          <w:szCs w:val="24"/>
        </w:rPr>
      </w:pPr>
      <w:r w:rsidRPr="0040535D">
        <w:rPr>
          <w:rFonts w:ascii="Times New Roman" w:hAnsi="Times New Roman" w:cs="Times New Roman"/>
          <w:szCs w:val="24"/>
        </w:rPr>
        <w:t xml:space="preserve"> </w:t>
      </w:r>
      <w:r w:rsidR="005A47FE" w:rsidRPr="0040535D">
        <w:rPr>
          <w:rFonts w:ascii="Times New Roman" w:hAnsi="Times New Roman" w:cs="Times New Roman"/>
          <w:szCs w:val="24"/>
        </w:rPr>
        <w:t xml:space="preserve">W ust. </w:t>
      </w:r>
      <w:r w:rsidRPr="0040535D">
        <w:rPr>
          <w:rFonts w:ascii="Times New Roman" w:hAnsi="Times New Roman" w:cs="Times New Roman"/>
          <w:szCs w:val="24"/>
        </w:rPr>
        <w:t xml:space="preserve">4 </w:t>
      </w:r>
      <w:r w:rsidR="005A47FE" w:rsidRPr="0040535D">
        <w:rPr>
          <w:rFonts w:ascii="Times New Roman" w:hAnsi="Times New Roman" w:cs="Times New Roman"/>
          <w:szCs w:val="24"/>
        </w:rPr>
        <w:t xml:space="preserve">i </w:t>
      </w:r>
      <w:r w:rsidRPr="0040535D">
        <w:rPr>
          <w:rFonts w:ascii="Times New Roman" w:hAnsi="Times New Roman" w:cs="Times New Roman"/>
          <w:szCs w:val="24"/>
        </w:rPr>
        <w:t xml:space="preserve">5 </w:t>
      </w:r>
      <w:r w:rsidR="005A47FE" w:rsidRPr="0040535D">
        <w:rPr>
          <w:rFonts w:ascii="Times New Roman" w:hAnsi="Times New Roman" w:cs="Times New Roman"/>
          <w:szCs w:val="24"/>
        </w:rPr>
        <w:t>wskazano ograniczenia zastosowania ust. 2, w zależności od typu ostatecznego odbiorcy wsparcia</w:t>
      </w:r>
      <w:r w:rsidR="00D5476F" w:rsidRPr="0040535D">
        <w:rPr>
          <w:rFonts w:ascii="Times New Roman" w:hAnsi="Times New Roman" w:cs="Times New Roman"/>
          <w:szCs w:val="24"/>
        </w:rPr>
        <w:t>.</w:t>
      </w:r>
    </w:p>
    <w:p w14:paraId="39608E11" w14:textId="77777777" w:rsidR="002C5CCE" w:rsidRPr="0040535D" w:rsidRDefault="00A702E4" w:rsidP="009A0EE5">
      <w:pPr>
        <w:pStyle w:val="ZPKTzmpktartykuempunktem"/>
        <w:ind w:left="0" w:firstLine="0"/>
        <w:rPr>
          <w:rFonts w:ascii="Times New Roman" w:hAnsi="Times New Roman" w:cs="Times New Roman"/>
          <w:szCs w:val="24"/>
        </w:rPr>
      </w:pPr>
      <w:r w:rsidRPr="0040535D">
        <w:rPr>
          <w:rFonts w:ascii="Times New Roman" w:hAnsi="Times New Roman" w:cs="Times New Roman"/>
          <w:szCs w:val="24"/>
        </w:rPr>
        <w:t xml:space="preserve">W myśl art. 14lzi </w:t>
      </w:r>
      <w:r w:rsidR="004F14BE" w:rsidRPr="0040535D">
        <w:rPr>
          <w:rFonts w:ascii="Times New Roman" w:hAnsi="Times New Roman" w:cs="Times New Roman"/>
          <w:szCs w:val="24"/>
        </w:rPr>
        <w:t>ś</w:t>
      </w:r>
      <w:r w:rsidR="005A47FE" w:rsidRPr="0040535D">
        <w:rPr>
          <w:rFonts w:ascii="Times New Roman" w:hAnsi="Times New Roman" w:cs="Times New Roman"/>
          <w:szCs w:val="24"/>
        </w:rPr>
        <w:t>rodki finansowe przekazane na realizację inwestycji lub jej części w formie wsparcia zwrotnego, po wykonaniu zobowiązań wynikających z umowy o objęcie</w:t>
      </w:r>
      <w:r w:rsidR="002C5CCE" w:rsidRPr="0040535D">
        <w:rPr>
          <w:rFonts w:ascii="Times New Roman" w:hAnsi="Times New Roman" w:cs="Times New Roman"/>
          <w:szCs w:val="24"/>
        </w:rPr>
        <w:t xml:space="preserve"> </w:t>
      </w:r>
      <w:r w:rsidR="002C5CCE" w:rsidRPr="0040535D">
        <w:rPr>
          <w:rFonts w:ascii="Times New Roman" w:hAnsi="Times New Roman" w:cs="Times New Roman"/>
          <w:szCs w:val="24"/>
        </w:rPr>
        <w:lastRenderedPageBreak/>
        <w:t>przedsięwzięcia</w:t>
      </w:r>
      <w:r w:rsidR="005A47FE" w:rsidRPr="0040535D">
        <w:rPr>
          <w:rFonts w:ascii="Times New Roman" w:hAnsi="Times New Roman" w:cs="Times New Roman"/>
          <w:szCs w:val="24"/>
        </w:rPr>
        <w:t xml:space="preserve"> wsparci</w:t>
      </w:r>
      <w:r w:rsidR="002A5B99" w:rsidRPr="0040535D">
        <w:rPr>
          <w:rFonts w:ascii="Times New Roman" w:hAnsi="Times New Roman" w:cs="Times New Roman"/>
          <w:szCs w:val="24"/>
        </w:rPr>
        <w:t>em z planu rozwojowego</w:t>
      </w:r>
      <w:r w:rsidR="005A47FE" w:rsidRPr="0040535D">
        <w:rPr>
          <w:rFonts w:ascii="Times New Roman" w:hAnsi="Times New Roman" w:cs="Times New Roman"/>
          <w:szCs w:val="24"/>
        </w:rPr>
        <w:t xml:space="preserve"> , oraz odsetki i inne przychody, a także zyski powstałe na skutek obrotu tymi środkami, podlegają zwrotowi na rachunek wskazany przez ministra właściwego do spraw rozwoju regionalnego</w:t>
      </w:r>
      <w:r w:rsidR="002C5CCE" w:rsidRPr="0040535D">
        <w:rPr>
          <w:rFonts w:ascii="Times New Roman" w:hAnsi="Times New Roman" w:cs="Times New Roman"/>
          <w:szCs w:val="24"/>
        </w:rPr>
        <w:t xml:space="preserve"> - w przypadku wsparcia finansowanego ze środków, o których mowa w art. 14ll ust. 1 -</w:t>
      </w:r>
      <w:r w:rsidR="005A47FE" w:rsidRPr="0040535D">
        <w:rPr>
          <w:rFonts w:ascii="Times New Roman" w:hAnsi="Times New Roman" w:cs="Times New Roman"/>
          <w:szCs w:val="24"/>
        </w:rPr>
        <w:t xml:space="preserve"> i są ponownie wykorzystywane w formie wsparcia zwrotnego na realizację celów, na jakie wsparcie zwrotne było przeznaczone w ramach </w:t>
      </w:r>
      <w:r w:rsidR="00D66CF3" w:rsidRPr="0040535D">
        <w:rPr>
          <w:rFonts w:ascii="Times New Roman" w:hAnsi="Times New Roman" w:cs="Times New Roman"/>
          <w:szCs w:val="24"/>
        </w:rPr>
        <w:t xml:space="preserve">Krajowy Plan Odbudowy i Zwiększania Odporności, </w:t>
      </w:r>
      <w:r w:rsidR="002A5B99" w:rsidRPr="0040535D">
        <w:rPr>
          <w:rFonts w:ascii="Times New Roman" w:hAnsi="Times New Roman" w:cs="Times New Roman"/>
          <w:szCs w:val="24"/>
        </w:rPr>
        <w:t>(</w:t>
      </w:r>
      <w:r w:rsidR="005A47FE" w:rsidRPr="0040535D">
        <w:rPr>
          <w:rFonts w:ascii="Times New Roman" w:hAnsi="Times New Roman" w:cs="Times New Roman"/>
          <w:szCs w:val="24"/>
        </w:rPr>
        <w:t>ust. 1</w:t>
      </w:r>
      <w:r w:rsidR="002C5CCE" w:rsidRPr="0040535D">
        <w:rPr>
          <w:rFonts w:ascii="Times New Roman" w:hAnsi="Times New Roman" w:cs="Times New Roman"/>
          <w:szCs w:val="24"/>
        </w:rPr>
        <w:t xml:space="preserve"> pkt</w:t>
      </w:r>
      <w:r w:rsidR="004F14BE" w:rsidRPr="0040535D">
        <w:rPr>
          <w:rFonts w:ascii="Times New Roman" w:hAnsi="Times New Roman" w:cs="Times New Roman"/>
          <w:szCs w:val="24"/>
        </w:rPr>
        <w:t xml:space="preserve"> 1</w:t>
      </w:r>
      <w:r w:rsidR="002C5CCE" w:rsidRPr="0040535D">
        <w:rPr>
          <w:rFonts w:ascii="Times New Roman" w:hAnsi="Times New Roman" w:cs="Times New Roman"/>
          <w:szCs w:val="24"/>
        </w:rPr>
        <w:t>i ust. 3</w:t>
      </w:r>
      <w:r w:rsidR="005A47FE" w:rsidRPr="0040535D">
        <w:rPr>
          <w:rFonts w:ascii="Times New Roman" w:hAnsi="Times New Roman" w:cs="Times New Roman"/>
          <w:szCs w:val="24"/>
        </w:rPr>
        <w:t xml:space="preserve">). Minister właściwy do spraw rozwoju regionalnego jest dysponentem środków, </w:t>
      </w:r>
      <w:r w:rsidR="002A5B99" w:rsidRPr="0040535D">
        <w:rPr>
          <w:rFonts w:ascii="Times New Roman" w:hAnsi="Times New Roman" w:cs="Times New Roman"/>
          <w:szCs w:val="24"/>
        </w:rPr>
        <w:t>o których mowa w ust. 1</w:t>
      </w:r>
      <w:r w:rsidR="002C5CCE" w:rsidRPr="0040535D">
        <w:rPr>
          <w:rFonts w:ascii="Times New Roman" w:hAnsi="Times New Roman" w:cs="Times New Roman"/>
          <w:szCs w:val="24"/>
        </w:rPr>
        <w:t xml:space="preserve"> pkt 1</w:t>
      </w:r>
      <w:r w:rsidR="002A5B99" w:rsidRPr="0040535D">
        <w:rPr>
          <w:rFonts w:ascii="Times New Roman" w:hAnsi="Times New Roman" w:cs="Times New Roman"/>
          <w:szCs w:val="24"/>
        </w:rPr>
        <w:t xml:space="preserve"> </w:t>
      </w:r>
      <w:r w:rsidR="002C5CCE" w:rsidRPr="0040535D">
        <w:rPr>
          <w:rFonts w:ascii="Times New Roman" w:hAnsi="Times New Roman" w:cs="Times New Roman"/>
          <w:szCs w:val="24"/>
        </w:rPr>
        <w:t>(</w:t>
      </w:r>
      <w:r w:rsidR="005A47FE" w:rsidRPr="0040535D">
        <w:rPr>
          <w:rFonts w:ascii="Times New Roman" w:hAnsi="Times New Roman" w:cs="Times New Roman"/>
          <w:szCs w:val="24"/>
        </w:rPr>
        <w:t xml:space="preserve">ust. </w:t>
      </w:r>
      <w:r w:rsidR="002C5CCE" w:rsidRPr="0040535D">
        <w:rPr>
          <w:rFonts w:ascii="Times New Roman" w:hAnsi="Times New Roman" w:cs="Times New Roman"/>
          <w:szCs w:val="24"/>
        </w:rPr>
        <w:t>4</w:t>
      </w:r>
      <w:r w:rsidR="005A47FE" w:rsidRPr="0040535D">
        <w:rPr>
          <w:rFonts w:ascii="Times New Roman" w:hAnsi="Times New Roman" w:cs="Times New Roman"/>
          <w:szCs w:val="24"/>
        </w:rPr>
        <w:t xml:space="preserve">), jednak ww. środki nie stanowią dochodu ani dysponenta ani podmiotów, którym środki mogą być przekazane w celu ich ponownego </w:t>
      </w:r>
      <w:r w:rsidR="002A5B99" w:rsidRPr="0040535D">
        <w:rPr>
          <w:rFonts w:ascii="Times New Roman" w:hAnsi="Times New Roman" w:cs="Times New Roman"/>
          <w:szCs w:val="24"/>
        </w:rPr>
        <w:t>wykorzystania (</w:t>
      </w:r>
      <w:r w:rsidR="005A47FE" w:rsidRPr="0040535D">
        <w:rPr>
          <w:rFonts w:ascii="Times New Roman" w:hAnsi="Times New Roman" w:cs="Times New Roman"/>
          <w:szCs w:val="24"/>
        </w:rPr>
        <w:t xml:space="preserve">ust. </w:t>
      </w:r>
      <w:r w:rsidR="002C5CCE" w:rsidRPr="0040535D">
        <w:rPr>
          <w:rFonts w:ascii="Times New Roman" w:hAnsi="Times New Roman" w:cs="Times New Roman"/>
          <w:szCs w:val="24"/>
        </w:rPr>
        <w:t>5</w:t>
      </w:r>
      <w:r w:rsidR="005A47FE" w:rsidRPr="0040535D">
        <w:rPr>
          <w:rFonts w:ascii="Times New Roman" w:hAnsi="Times New Roman" w:cs="Times New Roman"/>
          <w:szCs w:val="24"/>
        </w:rPr>
        <w:t xml:space="preserve">). </w:t>
      </w:r>
      <w:r w:rsidR="004F14BE" w:rsidRPr="0040535D">
        <w:rPr>
          <w:rFonts w:ascii="Times New Roman" w:hAnsi="Times New Roman" w:cs="Times New Roman"/>
          <w:szCs w:val="24"/>
        </w:rPr>
        <w:t>Ś</w:t>
      </w:r>
      <w:r w:rsidR="00F67F38" w:rsidRPr="0040535D">
        <w:rPr>
          <w:rFonts w:ascii="Times New Roman" w:hAnsi="Times New Roman" w:cs="Times New Roman"/>
          <w:szCs w:val="24"/>
        </w:rPr>
        <w:t>rodki te</w:t>
      </w:r>
      <w:r w:rsidR="005A47FE" w:rsidRPr="0040535D">
        <w:rPr>
          <w:rFonts w:ascii="Times New Roman" w:hAnsi="Times New Roman" w:cs="Times New Roman"/>
          <w:szCs w:val="24"/>
        </w:rPr>
        <w:t xml:space="preserve"> wydatkowane i rozliczane na podstawie właściwych umów albo porozumień przez podmioty, którym minister właściwy do spraw finansów publicznych przekaże te środki do dalszego wykorzyst</w:t>
      </w:r>
      <w:r w:rsidR="002A5B99" w:rsidRPr="0040535D">
        <w:rPr>
          <w:rFonts w:ascii="Times New Roman" w:hAnsi="Times New Roman" w:cs="Times New Roman"/>
          <w:szCs w:val="24"/>
        </w:rPr>
        <w:t>ywania zgodnie z ust. 1 (</w:t>
      </w:r>
      <w:r w:rsidR="00C16A7C" w:rsidRPr="0040535D">
        <w:rPr>
          <w:rFonts w:ascii="Times New Roman" w:hAnsi="Times New Roman" w:cs="Times New Roman"/>
          <w:szCs w:val="24"/>
        </w:rPr>
        <w:t xml:space="preserve">ust. </w:t>
      </w:r>
      <w:r w:rsidR="002C5CCE" w:rsidRPr="0040535D">
        <w:rPr>
          <w:rFonts w:ascii="Times New Roman" w:hAnsi="Times New Roman" w:cs="Times New Roman"/>
          <w:szCs w:val="24"/>
        </w:rPr>
        <w:t>6</w:t>
      </w:r>
      <w:r w:rsidR="005A47FE" w:rsidRPr="0040535D">
        <w:rPr>
          <w:rFonts w:ascii="Times New Roman" w:hAnsi="Times New Roman" w:cs="Times New Roman"/>
          <w:szCs w:val="24"/>
        </w:rPr>
        <w:t xml:space="preserve">). W ust. </w:t>
      </w:r>
      <w:r w:rsidR="002C5CCE" w:rsidRPr="0040535D">
        <w:rPr>
          <w:rFonts w:ascii="Times New Roman" w:hAnsi="Times New Roman" w:cs="Times New Roman"/>
          <w:szCs w:val="24"/>
        </w:rPr>
        <w:t>7</w:t>
      </w:r>
      <w:r w:rsidR="005A47FE" w:rsidRPr="0040535D">
        <w:rPr>
          <w:rFonts w:ascii="Times New Roman" w:hAnsi="Times New Roman" w:cs="Times New Roman"/>
          <w:szCs w:val="24"/>
        </w:rPr>
        <w:t xml:space="preserve"> określono minimalną zawartość umów lub </w:t>
      </w:r>
      <w:r w:rsidR="002A5B99" w:rsidRPr="0040535D">
        <w:rPr>
          <w:rFonts w:ascii="Times New Roman" w:hAnsi="Times New Roman" w:cs="Times New Roman"/>
          <w:szCs w:val="24"/>
        </w:rPr>
        <w:t xml:space="preserve">porozumień wskazanych w ust. </w:t>
      </w:r>
      <w:r w:rsidR="002C5CCE" w:rsidRPr="0040535D">
        <w:rPr>
          <w:rFonts w:ascii="Times New Roman" w:hAnsi="Times New Roman" w:cs="Times New Roman"/>
          <w:szCs w:val="24"/>
        </w:rPr>
        <w:t>6</w:t>
      </w:r>
      <w:r w:rsidR="002A5B99" w:rsidRPr="0040535D">
        <w:rPr>
          <w:rFonts w:ascii="Times New Roman" w:hAnsi="Times New Roman" w:cs="Times New Roman"/>
          <w:szCs w:val="24"/>
        </w:rPr>
        <w:t>.</w:t>
      </w:r>
      <w:r w:rsidR="002C5CCE" w:rsidRPr="0040535D">
        <w:rPr>
          <w:rFonts w:ascii="Times New Roman" w:hAnsi="Times New Roman" w:cs="Times New Roman"/>
          <w:szCs w:val="24"/>
        </w:rPr>
        <w:t xml:space="preserve"> </w:t>
      </w:r>
    </w:p>
    <w:p w14:paraId="4836F9B1" w14:textId="77777777" w:rsidR="002C5CCE" w:rsidRPr="0040535D" w:rsidRDefault="002C5CCE" w:rsidP="008D25C4">
      <w:pPr>
        <w:spacing w:after="0" w:line="360" w:lineRule="auto"/>
        <w:jc w:val="both"/>
        <w:rPr>
          <w:rFonts w:ascii="Times New Roman" w:hAnsi="Times New Roman"/>
          <w:sz w:val="24"/>
          <w:szCs w:val="24"/>
        </w:rPr>
      </w:pPr>
      <w:r w:rsidRPr="0040535D">
        <w:rPr>
          <w:rFonts w:ascii="Times New Roman" w:hAnsi="Times New Roman"/>
          <w:sz w:val="24"/>
          <w:szCs w:val="24"/>
        </w:rPr>
        <w:t>Natomiast w przypadku wsparcia finansowanego ze środków, o których m</w:t>
      </w:r>
      <w:r w:rsidR="002E5706" w:rsidRPr="0040535D">
        <w:rPr>
          <w:rFonts w:ascii="Times New Roman" w:hAnsi="Times New Roman"/>
          <w:sz w:val="24"/>
          <w:szCs w:val="24"/>
        </w:rPr>
        <w:t>owa w art. 14ll ust. 2,</w:t>
      </w:r>
      <w:r w:rsidRPr="0040535D">
        <w:rPr>
          <w:rFonts w:ascii="Times New Roman" w:hAnsi="Times New Roman"/>
          <w:sz w:val="24"/>
          <w:szCs w:val="24"/>
        </w:rPr>
        <w:t xml:space="preserve"> środki finansowe przekazane na realizację inwestycji lub jej części w formie wsparcia zwrotnego, po wykonaniu zobowiązań wynikających z umowy o objęcie przedsięwzięcia wsparciem z planu rozwojowego, oraz odsetki i inne przychody, a także zyski powstałe na skutek obrotu tymi środkami, podlegają zwrotowi</w:t>
      </w:r>
      <w:r w:rsidR="00A702E4" w:rsidRPr="0040535D">
        <w:rPr>
          <w:rFonts w:ascii="Times New Roman" w:hAnsi="Times New Roman"/>
          <w:sz w:val="24"/>
          <w:szCs w:val="24"/>
        </w:rPr>
        <w:t xml:space="preserve"> instytucji odpowiedzialnej za realizację inwestycji, a następnie są przekazywane na rachunek wskazany przez ministra właściwego do spraw finansów publicznych (ust. 1 pkt 2 i ust.</w:t>
      </w:r>
      <w:r w:rsidR="003D29CE" w:rsidRPr="0040535D">
        <w:rPr>
          <w:rFonts w:ascii="Times New Roman" w:hAnsi="Times New Roman"/>
          <w:sz w:val="24"/>
          <w:szCs w:val="24"/>
        </w:rPr>
        <w:t xml:space="preserve"> </w:t>
      </w:r>
      <w:r w:rsidR="00A702E4" w:rsidRPr="0040535D">
        <w:rPr>
          <w:rFonts w:ascii="Times New Roman" w:hAnsi="Times New Roman"/>
          <w:sz w:val="24"/>
          <w:szCs w:val="24"/>
        </w:rPr>
        <w:t>2).</w:t>
      </w:r>
    </w:p>
    <w:p w14:paraId="0015DB23" w14:textId="77777777" w:rsidR="005A47FE" w:rsidRPr="0040535D" w:rsidRDefault="002A5B99" w:rsidP="008D25C4">
      <w:pPr>
        <w:spacing w:after="0" w:line="360" w:lineRule="auto"/>
        <w:jc w:val="both"/>
        <w:rPr>
          <w:rFonts w:ascii="Times New Roman" w:hAnsi="Times New Roman"/>
          <w:sz w:val="24"/>
          <w:szCs w:val="24"/>
        </w:rPr>
      </w:pPr>
      <w:r w:rsidRPr="0040535D">
        <w:rPr>
          <w:rFonts w:ascii="Times New Roman" w:hAnsi="Times New Roman"/>
          <w:sz w:val="24"/>
          <w:szCs w:val="24"/>
        </w:rPr>
        <w:t xml:space="preserve">W art. </w:t>
      </w:r>
      <w:r w:rsidR="007D5765" w:rsidRPr="0040535D">
        <w:rPr>
          <w:rFonts w:ascii="Times New Roman" w:hAnsi="Times New Roman"/>
          <w:sz w:val="24"/>
          <w:szCs w:val="24"/>
        </w:rPr>
        <w:t>14lz</w:t>
      </w:r>
      <w:r w:rsidR="00E110F8" w:rsidRPr="0040535D">
        <w:rPr>
          <w:rFonts w:ascii="Times New Roman" w:hAnsi="Times New Roman"/>
          <w:sz w:val="24"/>
          <w:szCs w:val="24"/>
        </w:rPr>
        <w:t>j</w:t>
      </w:r>
      <w:r w:rsidR="007D5765" w:rsidRPr="0040535D">
        <w:rPr>
          <w:rFonts w:ascii="Times New Roman" w:hAnsi="Times New Roman"/>
          <w:sz w:val="24"/>
          <w:szCs w:val="24"/>
        </w:rPr>
        <w:t xml:space="preserve"> </w:t>
      </w:r>
      <w:r w:rsidR="005A47FE" w:rsidRPr="0040535D">
        <w:rPr>
          <w:rFonts w:ascii="Times New Roman" w:hAnsi="Times New Roman"/>
          <w:sz w:val="24"/>
          <w:szCs w:val="24"/>
        </w:rPr>
        <w:t>wskazano, że w celu realizacji, kontroli, audytu i ewaluacji reform i inwestycji na zasadach określonych w ustawie lub rozporządzeniu 2021/241, minister właściwy do spraw rozwoju regionalnego, instytucja odpowiedzialna za realizację reformy, instytucja odpowiedzialna za realizację inwestycji, jednostka w</w:t>
      </w:r>
      <w:r w:rsidRPr="0040535D">
        <w:rPr>
          <w:rFonts w:ascii="Times New Roman" w:hAnsi="Times New Roman"/>
          <w:sz w:val="24"/>
          <w:szCs w:val="24"/>
        </w:rPr>
        <w:t>spierająca plan rozwojowy</w:t>
      </w:r>
      <w:r w:rsidR="005A47FE" w:rsidRPr="0040535D">
        <w:rPr>
          <w:rFonts w:ascii="Times New Roman" w:hAnsi="Times New Roman"/>
          <w:sz w:val="24"/>
          <w:szCs w:val="24"/>
        </w:rPr>
        <w:t xml:space="preserve"> oraz ostateczni odbiorcy wsparcia przetwarzają dane osobowe. </w:t>
      </w:r>
    </w:p>
    <w:p w14:paraId="61848D67" w14:textId="77777777" w:rsidR="005A47FE" w:rsidRPr="0040535D" w:rsidRDefault="005A47FE" w:rsidP="008D4E79">
      <w:pPr>
        <w:spacing w:after="0" w:line="360" w:lineRule="auto"/>
        <w:jc w:val="both"/>
        <w:rPr>
          <w:rFonts w:ascii="Times New Roman" w:hAnsi="Times New Roman"/>
          <w:sz w:val="24"/>
          <w:szCs w:val="24"/>
        </w:rPr>
      </w:pPr>
      <w:r w:rsidRPr="0040535D">
        <w:rPr>
          <w:rFonts w:ascii="Times New Roman" w:hAnsi="Times New Roman"/>
          <w:sz w:val="24"/>
          <w:szCs w:val="24"/>
        </w:rPr>
        <w:t>Przedmiotowy przepis reguluje zarówno cel przetwarzania danych osobowych, jak i podmioty, które w procesie rea</w:t>
      </w:r>
      <w:r w:rsidR="002A5B99" w:rsidRPr="0040535D">
        <w:rPr>
          <w:rFonts w:ascii="Times New Roman" w:hAnsi="Times New Roman"/>
          <w:sz w:val="24"/>
          <w:szCs w:val="24"/>
        </w:rPr>
        <w:t>lizacji planu rozwojowego</w:t>
      </w:r>
      <w:r w:rsidRPr="0040535D">
        <w:rPr>
          <w:rFonts w:ascii="Times New Roman" w:hAnsi="Times New Roman"/>
          <w:sz w:val="24"/>
          <w:szCs w:val="24"/>
        </w:rPr>
        <w:t xml:space="preserve"> mogą przetwarzać takie dane. </w:t>
      </w:r>
    </w:p>
    <w:p w14:paraId="35319165" w14:textId="77777777" w:rsidR="005A47FE" w:rsidRPr="0040535D" w:rsidRDefault="005A47FE" w:rsidP="00A01FB5">
      <w:pPr>
        <w:spacing w:after="0" w:line="360" w:lineRule="auto"/>
        <w:jc w:val="both"/>
        <w:rPr>
          <w:rFonts w:ascii="Times New Roman" w:hAnsi="Times New Roman"/>
          <w:sz w:val="24"/>
          <w:szCs w:val="24"/>
        </w:rPr>
      </w:pPr>
      <w:r w:rsidRPr="0040535D">
        <w:rPr>
          <w:rFonts w:ascii="Times New Roman" w:hAnsi="Times New Roman"/>
          <w:sz w:val="24"/>
          <w:szCs w:val="24"/>
        </w:rPr>
        <w:t>Cele przetwarzania danych osobowych wynikają z przepisów rozporządzenia 2021/241, zgodnie z którym państwa członkowskie oraz Komisja Europejska przetwarzają dane osobowe tylko wtedy, gdy jest to niezbędne do wypełniania ciążących na nich obowiązków wynikających z rozporządzenia.</w:t>
      </w:r>
    </w:p>
    <w:p w14:paraId="49A3A329" w14:textId="77777777" w:rsidR="005A47FE" w:rsidRPr="0040535D" w:rsidRDefault="005A47FE" w:rsidP="00892DB5">
      <w:pPr>
        <w:spacing w:after="0" w:line="360" w:lineRule="auto"/>
        <w:jc w:val="both"/>
        <w:rPr>
          <w:rFonts w:ascii="Times New Roman" w:hAnsi="Times New Roman"/>
          <w:sz w:val="24"/>
          <w:szCs w:val="24"/>
        </w:rPr>
      </w:pPr>
      <w:r w:rsidRPr="0040535D">
        <w:rPr>
          <w:rFonts w:ascii="Times New Roman" w:hAnsi="Times New Roman"/>
          <w:sz w:val="24"/>
          <w:szCs w:val="24"/>
        </w:rPr>
        <w:t>Bez względu na sposób przetwarzania (elektroniczny, papierowy) dane osobowe są przetwarzane w każdym procesie wymienionym w art. 30.</w:t>
      </w:r>
    </w:p>
    <w:p w14:paraId="25B74313" w14:textId="77777777" w:rsidR="005A47FE" w:rsidRPr="0040535D" w:rsidRDefault="00C05EC4" w:rsidP="002B30D0">
      <w:pPr>
        <w:spacing w:after="0" w:line="360" w:lineRule="auto"/>
        <w:jc w:val="both"/>
        <w:rPr>
          <w:rFonts w:ascii="Times New Roman" w:hAnsi="Times New Roman"/>
          <w:sz w:val="24"/>
          <w:szCs w:val="24"/>
        </w:rPr>
      </w:pPr>
      <w:r w:rsidRPr="0040535D">
        <w:rPr>
          <w:rFonts w:ascii="Times New Roman" w:hAnsi="Times New Roman"/>
          <w:sz w:val="24"/>
          <w:szCs w:val="24"/>
        </w:rPr>
        <w:lastRenderedPageBreak/>
        <w:t xml:space="preserve">Podmioty wskazane w art. </w:t>
      </w:r>
      <w:r w:rsidR="007D5765" w:rsidRPr="0040535D">
        <w:rPr>
          <w:rFonts w:ascii="Times New Roman" w:hAnsi="Times New Roman"/>
          <w:sz w:val="24"/>
          <w:szCs w:val="24"/>
        </w:rPr>
        <w:t>14lz</w:t>
      </w:r>
      <w:r w:rsidR="007C1DBF" w:rsidRPr="0040535D">
        <w:rPr>
          <w:rFonts w:ascii="Times New Roman" w:hAnsi="Times New Roman"/>
          <w:sz w:val="24"/>
          <w:szCs w:val="24"/>
        </w:rPr>
        <w:t>j</w:t>
      </w:r>
      <w:r w:rsidR="007D5765" w:rsidRPr="0040535D">
        <w:rPr>
          <w:rFonts w:ascii="Times New Roman" w:hAnsi="Times New Roman"/>
          <w:sz w:val="24"/>
          <w:szCs w:val="24"/>
        </w:rPr>
        <w:t xml:space="preserve"> </w:t>
      </w:r>
      <w:r w:rsidR="005A47FE" w:rsidRPr="0040535D">
        <w:rPr>
          <w:rFonts w:ascii="Times New Roman" w:hAnsi="Times New Roman"/>
          <w:sz w:val="24"/>
          <w:szCs w:val="24"/>
        </w:rPr>
        <w:t>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w:t>
      </w:r>
      <w:r w:rsidRPr="0040535D">
        <w:rPr>
          <w:rFonts w:ascii="Times New Roman" w:hAnsi="Times New Roman"/>
          <w:sz w:val="24"/>
          <w:szCs w:val="24"/>
        </w:rPr>
        <w:t xml:space="preserve">6, str. 1, z </w:t>
      </w:r>
      <w:proofErr w:type="spellStart"/>
      <w:r w:rsidRPr="0040535D">
        <w:rPr>
          <w:rFonts w:ascii="Times New Roman" w:hAnsi="Times New Roman"/>
          <w:sz w:val="24"/>
          <w:szCs w:val="24"/>
        </w:rPr>
        <w:t>późn</w:t>
      </w:r>
      <w:proofErr w:type="spellEnd"/>
      <w:r w:rsidRPr="0040535D">
        <w:rPr>
          <w:rFonts w:ascii="Times New Roman" w:hAnsi="Times New Roman"/>
          <w:sz w:val="24"/>
          <w:szCs w:val="24"/>
        </w:rPr>
        <w:t xml:space="preserve">. zm.) (art. </w:t>
      </w:r>
      <w:r w:rsidR="00E13942" w:rsidRPr="0040535D">
        <w:rPr>
          <w:rFonts w:ascii="Times New Roman" w:hAnsi="Times New Roman"/>
          <w:sz w:val="24"/>
          <w:szCs w:val="24"/>
        </w:rPr>
        <w:t>14lz</w:t>
      </w:r>
      <w:r w:rsidR="007C1DBF" w:rsidRPr="0040535D">
        <w:rPr>
          <w:rFonts w:ascii="Times New Roman" w:hAnsi="Times New Roman"/>
          <w:sz w:val="24"/>
          <w:szCs w:val="24"/>
        </w:rPr>
        <w:t>k</w:t>
      </w:r>
      <w:r w:rsidR="005A47FE" w:rsidRPr="0040535D">
        <w:rPr>
          <w:rFonts w:ascii="Times New Roman" w:hAnsi="Times New Roman"/>
          <w:sz w:val="24"/>
          <w:szCs w:val="24"/>
        </w:rPr>
        <w:t>).</w:t>
      </w:r>
    </w:p>
    <w:p w14:paraId="0294E7F4" w14:textId="77777777" w:rsidR="005A47FE" w:rsidRPr="0040535D" w:rsidRDefault="005A47FE" w:rsidP="00EC2541">
      <w:pPr>
        <w:spacing w:after="0" w:line="360" w:lineRule="auto"/>
        <w:jc w:val="both"/>
        <w:rPr>
          <w:rFonts w:ascii="Times New Roman" w:hAnsi="Times New Roman"/>
          <w:sz w:val="24"/>
          <w:szCs w:val="24"/>
        </w:rPr>
      </w:pPr>
      <w:r w:rsidRPr="0040535D">
        <w:rPr>
          <w:rFonts w:ascii="Times New Roman" w:hAnsi="Times New Roman"/>
          <w:sz w:val="24"/>
          <w:szCs w:val="24"/>
        </w:rPr>
        <w:t>Zakres obowiązków podmiotów pełniących funkcje administratorów danych wynika bezpośrednio z RODO. Administratorzy przetwarzają dane osobowe zgodnie z przepisami RODO. Każdy z administratorów w swoim zakresie wypełnia obowiązki nałożone na niego przez RODO, tym ustala cele i sposoby przetwarzania danych; zapewnia przestrzeganie przepisów i rozliczalność (zgodność z prawem, rzetelność i przejrzystość, ograniczenie celu, minimalizację danych, prawidłowość, ograniczenie przechowywania, integralność i poufność); realizuje uprawnienia osób, których dane dotyczą; zapewnia środki techniczne i organizacyjne umożliwiające należyte zabezpieczenie danych osobowych, wymagane przepisami prawa;  ponosi odpowiedzialność za szkody powstałe w związku z niezgodnym z prawem przetwarzaniem danych osobowych.</w:t>
      </w:r>
    </w:p>
    <w:p w14:paraId="25932A06" w14:textId="77777777" w:rsidR="005A47FE" w:rsidRPr="0040535D" w:rsidRDefault="005A47FE" w:rsidP="004B71D0">
      <w:pPr>
        <w:spacing w:after="0" w:line="360" w:lineRule="auto"/>
        <w:jc w:val="both"/>
        <w:rPr>
          <w:rFonts w:ascii="Times New Roman" w:hAnsi="Times New Roman"/>
          <w:sz w:val="24"/>
          <w:szCs w:val="24"/>
        </w:rPr>
      </w:pPr>
      <w:r w:rsidRPr="0040535D">
        <w:rPr>
          <w:rFonts w:ascii="Times New Roman" w:hAnsi="Times New Roman"/>
          <w:sz w:val="24"/>
          <w:szCs w:val="24"/>
        </w:rPr>
        <w:t>Na podmiotach pełniących role administratorów danych spoczywa obowiązek minimalizacji przetwarzanych danych, z którego wynika, że administratorzy przetwarzają dane osobowe tylko w takim zakresie, jaki jest niezbędny do realizacji ciążących na nich zadań wynikających z prawa unijnego i krajowego.</w:t>
      </w:r>
    </w:p>
    <w:p w14:paraId="19BFEC5F" w14:textId="77777777" w:rsidR="005A47FE" w:rsidRPr="0040535D" w:rsidRDefault="005A47FE" w:rsidP="00312C3F">
      <w:pPr>
        <w:spacing w:after="0" w:line="360" w:lineRule="auto"/>
        <w:jc w:val="both"/>
        <w:rPr>
          <w:rFonts w:ascii="Times New Roman" w:hAnsi="Times New Roman"/>
          <w:sz w:val="24"/>
          <w:szCs w:val="24"/>
        </w:rPr>
      </w:pPr>
      <w:r w:rsidRPr="0040535D">
        <w:rPr>
          <w:rFonts w:ascii="Times New Roman" w:hAnsi="Times New Roman"/>
          <w:sz w:val="24"/>
          <w:szCs w:val="24"/>
        </w:rPr>
        <w:t>Dostęp do danych osobowych i informacji gromadzonych przez administratorów przysługuje ministrowi właściwemu do spraw rozwoju regionalnego, instytucji odpowiedzialnej za realizację reformy, instytucji odpowiedzialnej za realizację inwestycji, jednostce ws</w:t>
      </w:r>
      <w:r w:rsidR="00C05EC4" w:rsidRPr="0040535D">
        <w:rPr>
          <w:rFonts w:ascii="Times New Roman" w:hAnsi="Times New Roman"/>
          <w:sz w:val="24"/>
          <w:szCs w:val="24"/>
        </w:rPr>
        <w:t>pierającej plan rozwojowy</w:t>
      </w:r>
      <w:r w:rsidRPr="0040535D">
        <w:rPr>
          <w:rFonts w:ascii="Times New Roman" w:hAnsi="Times New Roman"/>
          <w:sz w:val="24"/>
          <w:szCs w:val="24"/>
        </w:rPr>
        <w:t xml:space="preserve"> i </w:t>
      </w:r>
      <w:r w:rsidR="007C1DBF" w:rsidRPr="0040535D">
        <w:rPr>
          <w:rFonts w:ascii="Times New Roman" w:hAnsi="Times New Roman"/>
          <w:sz w:val="24"/>
          <w:szCs w:val="24"/>
        </w:rPr>
        <w:t>S</w:t>
      </w:r>
      <w:r w:rsidRPr="0040535D">
        <w:rPr>
          <w:rFonts w:ascii="Times New Roman" w:hAnsi="Times New Roman"/>
          <w:sz w:val="24"/>
          <w:szCs w:val="24"/>
        </w:rPr>
        <w:t xml:space="preserve">zefowi Krajowej Administracji Skarbowej oraz właściwym jednostkom organizacyjnym Krajowej Administracji </w:t>
      </w:r>
      <w:r w:rsidR="00C05EC4" w:rsidRPr="0040535D">
        <w:rPr>
          <w:rFonts w:ascii="Times New Roman" w:hAnsi="Times New Roman"/>
          <w:sz w:val="24"/>
          <w:szCs w:val="24"/>
        </w:rPr>
        <w:t xml:space="preserve">Skarbowej (art. </w:t>
      </w:r>
      <w:r w:rsidR="007D5765" w:rsidRPr="0040535D">
        <w:rPr>
          <w:rFonts w:ascii="Times New Roman" w:hAnsi="Times New Roman"/>
          <w:sz w:val="24"/>
          <w:szCs w:val="24"/>
        </w:rPr>
        <w:t>14lz</w:t>
      </w:r>
      <w:r w:rsidR="007C1DBF" w:rsidRPr="0040535D">
        <w:rPr>
          <w:rFonts w:ascii="Times New Roman" w:hAnsi="Times New Roman"/>
          <w:sz w:val="24"/>
          <w:szCs w:val="24"/>
        </w:rPr>
        <w:t>l</w:t>
      </w:r>
      <w:r w:rsidRPr="0040535D">
        <w:rPr>
          <w:rFonts w:ascii="Times New Roman" w:hAnsi="Times New Roman"/>
          <w:sz w:val="24"/>
          <w:szCs w:val="24"/>
        </w:rPr>
        <w:t>). Regulacja ma na celu zapewnienie właściwym podmiotom dostępu do danych osobowych bez konieczności zawierania dodatkowych umów lub porozumień w tym zakresie.</w:t>
      </w:r>
    </w:p>
    <w:p w14:paraId="72DBA7DD" w14:textId="77777777" w:rsidR="005A47FE" w:rsidRPr="0040535D" w:rsidRDefault="005A47FE" w:rsidP="00312C3F">
      <w:pPr>
        <w:spacing w:after="0" w:line="360" w:lineRule="auto"/>
        <w:jc w:val="both"/>
        <w:rPr>
          <w:rFonts w:ascii="Times New Roman" w:hAnsi="Times New Roman"/>
          <w:sz w:val="24"/>
          <w:szCs w:val="24"/>
        </w:rPr>
      </w:pPr>
      <w:r w:rsidRPr="0040535D">
        <w:rPr>
          <w:rFonts w:ascii="Times New Roman" w:hAnsi="Times New Roman"/>
          <w:sz w:val="24"/>
          <w:szCs w:val="24"/>
        </w:rPr>
        <w:t xml:space="preserve">Administratorzy udostępniają sobie nawzajem dane osobowe niezbędne </w:t>
      </w:r>
      <w:r w:rsidR="00C05EC4" w:rsidRPr="0040535D">
        <w:rPr>
          <w:rFonts w:ascii="Times New Roman" w:hAnsi="Times New Roman"/>
          <w:sz w:val="24"/>
          <w:szCs w:val="24"/>
        </w:rPr>
        <w:t xml:space="preserve">do realizacji ich zadań (art. </w:t>
      </w:r>
      <w:r w:rsidR="007D5765" w:rsidRPr="0040535D">
        <w:rPr>
          <w:rFonts w:ascii="Times New Roman" w:hAnsi="Times New Roman"/>
          <w:sz w:val="24"/>
          <w:szCs w:val="24"/>
        </w:rPr>
        <w:t>14lz</w:t>
      </w:r>
      <w:r w:rsidR="007C1DBF" w:rsidRPr="0040535D">
        <w:rPr>
          <w:rFonts w:ascii="Times New Roman" w:hAnsi="Times New Roman"/>
          <w:sz w:val="24"/>
          <w:szCs w:val="24"/>
        </w:rPr>
        <w:t>m</w:t>
      </w:r>
      <w:r w:rsidRPr="0040535D">
        <w:rPr>
          <w:rFonts w:ascii="Times New Roman" w:hAnsi="Times New Roman"/>
          <w:sz w:val="24"/>
          <w:szCs w:val="24"/>
        </w:rPr>
        <w:t>).</w:t>
      </w:r>
    </w:p>
    <w:p w14:paraId="6FC3C1B1" w14:textId="77777777" w:rsidR="005A47FE" w:rsidRPr="0040535D" w:rsidRDefault="00C05EC4" w:rsidP="00471599">
      <w:pPr>
        <w:spacing w:after="0" w:line="360" w:lineRule="auto"/>
        <w:jc w:val="both"/>
        <w:rPr>
          <w:rFonts w:ascii="Times New Roman" w:hAnsi="Times New Roman"/>
          <w:sz w:val="24"/>
          <w:szCs w:val="24"/>
        </w:rPr>
      </w:pPr>
      <w:r w:rsidRPr="0040535D">
        <w:rPr>
          <w:rFonts w:ascii="Times New Roman" w:hAnsi="Times New Roman"/>
          <w:sz w:val="24"/>
          <w:szCs w:val="24"/>
        </w:rPr>
        <w:t xml:space="preserve">Zgodnie z art. </w:t>
      </w:r>
      <w:r w:rsidR="007D5765" w:rsidRPr="0040535D">
        <w:rPr>
          <w:rFonts w:ascii="Times New Roman" w:hAnsi="Times New Roman"/>
          <w:sz w:val="24"/>
          <w:szCs w:val="24"/>
        </w:rPr>
        <w:t>14lz</w:t>
      </w:r>
      <w:r w:rsidR="007C1DBF" w:rsidRPr="0040535D">
        <w:rPr>
          <w:rFonts w:ascii="Times New Roman" w:hAnsi="Times New Roman"/>
          <w:sz w:val="24"/>
          <w:szCs w:val="24"/>
        </w:rPr>
        <w:t>n</w:t>
      </w:r>
      <w:r w:rsidR="005A47FE" w:rsidRPr="0040535D">
        <w:rPr>
          <w:rFonts w:ascii="Times New Roman" w:hAnsi="Times New Roman"/>
          <w:sz w:val="24"/>
          <w:szCs w:val="24"/>
        </w:rPr>
        <w:t>, dane są przechowywane przez okres niezbędny do realiz</w:t>
      </w:r>
      <w:r w:rsidRPr="0040535D">
        <w:rPr>
          <w:rFonts w:ascii="Times New Roman" w:hAnsi="Times New Roman"/>
          <w:sz w:val="24"/>
          <w:szCs w:val="24"/>
        </w:rPr>
        <w:t xml:space="preserve">acji zadań określonych w art. </w:t>
      </w:r>
      <w:r w:rsidR="007D5765" w:rsidRPr="0040535D">
        <w:rPr>
          <w:rFonts w:ascii="Times New Roman" w:hAnsi="Times New Roman"/>
          <w:sz w:val="24"/>
          <w:szCs w:val="24"/>
        </w:rPr>
        <w:t>14lz</w:t>
      </w:r>
      <w:r w:rsidR="007C1DBF" w:rsidRPr="0040535D">
        <w:rPr>
          <w:rFonts w:ascii="Times New Roman" w:hAnsi="Times New Roman"/>
          <w:sz w:val="24"/>
          <w:szCs w:val="24"/>
        </w:rPr>
        <w:t>j</w:t>
      </w:r>
      <w:r w:rsidR="005A47FE" w:rsidRPr="0040535D">
        <w:rPr>
          <w:rFonts w:ascii="Times New Roman" w:hAnsi="Times New Roman"/>
          <w:sz w:val="24"/>
          <w:szCs w:val="24"/>
        </w:rPr>
        <w:t>. Administratorzy danych mają możliwość skorzystania z zapisów art. 89 ust. 1 RODO. Tym samym, ustawodawca korzysta z prawnie dozwolonej możliwości nie regulowania szczegółowo kwestii okresu przechowywania danych.</w:t>
      </w:r>
    </w:p>
    <w:p w14:paraId="43EA9F9B" w14:textId="77777777" w:rsidR="008B49E9" w:rsidRPr="0040535D" w:rsidRDefault="008B49E9" w:rsidP="00100244">
      <w:pPr>
        <w:spacing w:after="0" w:line="360" w:lineRule="auto"/>
        <w:jc w:val="both"/>
        <w:rPr>
          <w:rFonts w:ascii="Times New Roman" w:hAnsi="Times New Roman"/>
          <w:sz w:val="24"/>
          <w:szCs w:val="24"/>
        </w:rPr>
      </w:pPr>
    </w:p>
    <w:p w14:paraId="1AF9E456" w14:textId="77777777" w:rsidR="00A016EB" w:rsidRPr="0040535D" w:rsidRDefault="00666410" w:rsidP="00100244">
      <w:pPr>
        <w:spacing w:after="0" w:line="360" w:lineRule="auto"/>
        <w:jc w:val="both"/>
        <w:rPr>
          <w:rFonts w:ascii="Times New Roman" w:hAnsi="Times New Roman"/>
          <w:sz w:val="24"/>
          <w:szCs w:val="24"/>
        </w:rPr>
      </w:pPr>
      <w:r w:rsidRPr="0040535D">
        <w:rPr>
          <w:rFonts w:ascii="Times New Roman" w:hAnsi="Times New Roman"/>
          <w:sz w:val="24"/>
          <w:szCs w:val="24"/>
        </w:rPr>
        <w:lastRenderedPageBreak/>
        <w:t xml:space="preserve">Dodatkowo w </w:t>
      </w:r>
      <w:r w:rsidR="00A016EB" w:rsidRPr="0040535D">
        <w:rPr>
          <w:rFonts w:ascii="Times New Roman" w:hAnsi="Times New Roman"/>
          <w:sz w:val="24"/>
          <w:szCs w:val="24"/>
        </w:rPr>
        <w:t xml:space="preserve"> </w:t>
      </w:r>
      <w:proofErr w:type="spellStart"/>
      <w:r w:rsidR="006443AC" w:rsidRPr="0040535D">
        <w:rPr>
          <w:rFonts w:ascii="Times New Roman" w:hAnsi="Times New Roman"/>
          <w:sz w:val="24"/>
          <w:szCs w:val="24"/>
        </w:rPr>
        <w:t>uzppr</w:t>
      </w:r>
      <w:proofErr w:type="spellEnd"/>
      <w:r w:rsidR="006443AC" w:rsidRPr="0040535D">
        <w:rPr>
          <w:rFonts w:ascii="Times New Roman" w:hAnsi="Times New Roman"/>
          <w:sz w:val="24"/>
          <w:szCs w:val="24"/>
        </w:rPr>
        <w:t xml:space="preserve"> </w:t>
      </w:r>
      <w:r w:rsidR="00A016EB" w:rsidRPr="0040535D">
        <w:rPr>
          <w:rFonts w:ascii="Times New Roman" w:hAnsi="Times New Roman"/>
          <w:sz w:val="24"/>
          <w:szCs w:val="24"/>
        </w:rPr>
        <w:t xml:space="preserve">dodaje się trzy nowe rozdziały </w:t>
      </w:r>
      <w:r w:rsidR="0069353E" w:rsidRPr="0040535D">
        <w:rPr>
          <w:rFonts w:ascii="Times New Roman" w:hAnsi="Times New Roman"/>
          <w:sz w:val="24"/>
          <w:szCs w:val="24"/>
        </w:rPr>
        <w:t xml:space="preserve">od </w:t>
      </w:r>
      <w:r w:rsidRPr="0040535D">
        <w:rPr>
          <w:rFonts w:ascii="Times New Roman" w:hAnsi="Times New Roman"/>
          <w:sz w:val="24"/>
          <w:szCs w:val="24"/>
        </w:rPr>
        <w:t>4a</w:t>
      </w:r>
      <w:r w:rsidR="0069353E" w:rsidRPr="0040535D">
        <w:rPr>
          <w:rFonts w:ascii="Times New Roman" w:hAnsi="Times New Roman"/>
          <w:sz w:val="24"/>
          <w:szCs w:val="24"/>
        </w:rPr>
        <w:t xml:space="preserve"> do </w:t>
      </w:r>
      <w:r w:rsidRPr="0040535D">
        <w:rPr>
          <w:rFonts w:ascii="Times New Roman" w:hAnsi="Times New Roman"/>
          <w:sz w:val="24"/>
          <w:szCs w:val="24"/>
        </w:rPr>
        <w:t>4c.</w:t>
      </w:r>
    </w:p>
    <w:p w14:paraId="7FB987B6" w14:textId="77777777" w:rsidR="00A016EB" w:rsidRPr="00BE4BDF" w:rsidRDefault="00A016EB" w:rsidP="00B603B4">
      <w:pPr>
        <w:spacing w:after="0" w:line="360" w:lineRule="auto"/>
        <w:jc w:val="both"/>
        <w:rPr>
          <w:rFonts w:ascii="Times New Roman" w:hAnsi="Times New Roman"/>
          <w:sz w:val="24"/>
          <w:szCs w:val="24"/>
        </w:rPr>
      </w:pPr>
      <w:r w:rsidRPr="0040535D">
        <w:rPr>
          <w:rFonts w:ascii="Times New Roman" w:hAnsi="Times New Roman"/>
          <w:sz w:val="24"/>
          <w:szCs w:val="24"/>
        </w:rPr>
        <w:t xml:space="preserve">Rozdział 4a - </w:t>
      </w:r>
      <w:proofErr w:type="spellStart"/>
      <w:r w:rsidRPr="0040535D">
        <w:rPr>
          <w:rFonts w:ascii="Times New Roman" w:hAnsi="Times New Roman"/>
          <w:sz w:val="24"/>
          <w:szCs w:val="24"/>
        </w:rPr>
        <w:t>Pobrexitowa</w:t>
      </w:r>
      <w:proofErr w:type="spellEnd"/>
      <w:r w:rsidRPr="0040535D">
        <w:rPr>
          <w:rFonts w:ascii="Times New Roman" w:hAnsi="Times New Roman"/>
          <w:sz w:val="24"/>
          <w:szCs w:val="24"/>
        </w:rPr>
        <w:t xml:space="preserve"> rezerwa dostosowawcza - </w:t>
      </w:r>
      <w:r w:rsidRPr="00BE4BDF">
        <w:rPr>
          <w:rFonts w:ascii="Times New Roman" w:hAnsi="Times New Roman"/>
          <w:sz w:val="24"/>
          <w:szCs w:val="24"/>
        </w:rPr>
        <w:t xml:space="preserve">zawiera przepisy umożliwiające stosowanie </w:t>
      </w:r>
      <w:r w:rsidR="004122F4" w:rsidRPr="00BE4BDF">
        <w:rPr>
          <w:rStyle w:val="Ppogrubienie"/>
          <w:rFonts w:ascii="Times New Roman" w:hAnsi="Times New Roman"/>
          <w:b w:val="0"/>
          <w:sz w:val="24"/>
          <w:szCs w:val="24"/>
        </w:rPr>
        <w:t xml:space="preserve">rozporządzenia Parlamentu Europejskiego i Rady (UE) nr 2021/1755 z dnia 6 października 2021 r. ustanawiającego  </w:t>
      </w:r>
      <w:proofErr w:type="spellStart"/>
      <w:r w:rsidR="004122F4" w:rsidRPr="00BE4BDF">
        <w:rPr>
          <w:rStyle w:val="Ppogrubienie"/>
          <w:rFonts w:ascii="Times New Roman" w:hAnsi="Times New Roman"/>
          <w:b w:val="0"/>
          <w:sz w:val="24"/>
          <w:szCs w:val="24"/>
        </w:rPr>
        <w:t>pobrexitową</w:t>
      </w:r>
      <w:proofErr w:type="spellEnd"/>
      <w:r w:rsidR="004122F4" w:rsidRPr="00BE4BDF">
        <w:rPr>
          <w:rStyle w:val="Ppogrubienie"/>
          <w:rFonts w:ascii="Times New Roman" w:hAnsi="Times New Roman"/>
          <w:b w:val="0"/>
          <w:sz w:val="24"/>
          <w:szCs w:val="24"/>
        </w:rPr>
        <w:t xml:space="preserve"> rezerwę dostosowawczą (Dz. Urz. UE L 351 z 08.10.2021, str. 1), </w:t>
      </w:r>
      <w:r w:rsidR="004122F4" w:rsidRPr="00BE4BDF">
        <w:rPr>
          <w:rFonts w:ascii="Times New Roman" w:hAnsi="Times New Roman"/>
          <w:sz w:val="24"/>
          <w:szCs w:val="24"/>
        </w:rPr>
        <w:t>,</w:t>
      </w:r>
      <w:r w:rsidR="0023292E" w:rsidRPr="00BE4BDF">
        <w:rPr>
          <w:rFonts w:ascii="Times New Roman" w:hAnsi="Times New Roman"/>
          <w:sz w:val="24"/>
          <w:szCs w:val="24"/>
        </w:rPr>
        <w:t>zwan</w:t>
      </w:r>
      <w:r w:rsidR="004122F4" w:rsidRPr="00BE4BDF">
        <w:rPr>
          <w:rFonts w:ascii="Times New Roman" w:hAnsi="Times New Roman"/>
          <w:sz w:val="24"/>
          <w:szCs w:val="24"/>
        </w:rPr>
        <w:t>ego</w:t>
      </w:r>
      <w:r w:rsidR="0023292E" w:rsidRPr="00BE4BDF">
        <w:rPr>
          <w:rFonts w:ascii="Times New Roman" w:hAnsi="Times New Roman"/>
          <w:sz w:val="24"/>
          <w:szCs w:val="24"/>
        </w:rPr>
        <w:t xml:space="preserve"> dalej „rozporządzeniem BAR”.</w:t>
      </w:r>
    </w:p>
    <w:p w14:paraId="0B985478" w14:textId="77777777" w:rsidR="00A016EB" w:rsidRPr="0040535D" w:rsidRDefault="0023292E" w:rsidP="00523EA5">
      <w:pPr>
        <w:spacing w:after="0" w:line="360" w:lineRule="auto"/>
        <w:jc w:val="both"/>
        <w:rPr>
          <w:rFonts w:ascii="Times New Roman" w:hAnsi="Times New Roman"/>
          <w:sz w:val="24"/>
          <w:szCs w:val="24"/>
        </w:rPr>
      </w:pPr>
      <w:r w:rsidRPr="0040535D">
        <w:rPr>
          <w:rFonts w:ascii="Times New Roman" w:hAnsi="Times New Roman"/>
          <w:sz w:val="24"/>
          <w:szCs w:val="24"/>
        </w:rPr>
        <w:t>W a</w:t>
      </w:r>
      <w:r w:rsidR="00666410" w:rsidRPr="0040535D">
        <w:rPr>
          <w:rFonts w:ascii="Times New Roman" w:hAnsi="Times New Roman"/>
          <w:sz w:val="24"/>
          <w:szCs w:val="24"/>
        </w:rPr>
        <w:t>rt. 24a</w:t>
      </w:r>
      <w:r w:rsidR="00A016EB" w:rsidRPr="0040535D">
        <w:rPr>
          <w:rFonts w:ascii="Times New Roman" w:hAnsi="Times New Roman"/>
          <w:sz w:val="24"/>
          <w:szCs w:val="24"/>
        </w:rPr>
        <w:t xml:space="preserve"> </w:t>
      </w:r>
      <w:r w:rsidR="00666410" w:rsidRPr="0040535D">
        <w:rPr>
          <w:rFonts w:ascii="Times New Roman" w:hAnsi="Times New Roman"/>
          <w:sz w:val="24"/>
          <w:szCs w:val="24"/>
        </w:rPr>
        <w:t xml:space="preserve">jednoznacznie </w:t>
      </w:r>
      <w:r w:rsidR="00464958" w:rsidRPr="0040535D">
        <w:rPr>
          <w:rFonts w:ascii="Times New Roman" w:hAnsi="Times New Roman"/>
          <w:sz w:val="24"/>
          <w:szCs w:val="24"/>
        </w:rPr>
        <w:t>przesądzono</w:t>
      </w:r>
      <w:r w:rsidR="00666410" w:rsidRPr="0040535D">
        <w:rPr>
          <w:rFonts w:ascii="Times New Roman" w:hAnsi="Times New Roman"/>
          <w:sz w:val="24"/>
          <w:szCs w:val="24"/>
        </w:rPr>
        <w:t>,</w:t>
      </w:r>
      <w:r w:rsidRPr="0040535D">
        <w:rPr>
          <w:rFonts w:ascii="Times New Roman" w:hAnsi="Times New Roman"/>
          <w:sz w:val="24"/>
          <w:szCs w:val="24"/>
        </w:rPr>
        <w:t xml:space="preserve"> że </w:t>
      </w:r>
      <w:r w:rsidR="00A016EB" w:rsidRPr="0040535D">
        <w:rPr>
          <w:rFonts w:ascii="Times New Roman" w:hAnsi="Times New Roman"/>
          <w:sz w:val="24"/>
          <w:szCs w:val="24"/>
        </w:rPr>
        <w:t xml:space="preserve">zadania państwa członkowskiego określone w rozporządzeniu </w:t>
      </w:r>
      <w:r w:rsidRPr="0040535D">
        <w:rPr>
          <w:rFonts w:ascii="Times New Roman" w:hAnsi="Times New Roman"/>
          <w:sz w:val="24"/>
          <w:szCs w:val="24"/>
        </w:rPr>
        <w:t>BAR będzie wykonywał minister właściwy do spraw rozwoju regionalnego</w:t>
      </w:r>
      <w:r w:rsidR="00666410" w:rsidRPr="0040535D">
        <w:rPr>
          <w:rFonts w:ascii="Times New Roman" w:hAnsi="Times New Roman"/>
          <w:sz w:val="24"/>
          <w:szCs w:val="24"/>
        </w:rPr>
        <w:t xml:space="preserve"> (ust. 1)</w:t>
      </w:r>
      <w:r w:rsidR="006443AC" w:rsidRPr="0040535D">
        <w:rPr>
          <w:rFonts w:ascii="Times New Roman" w:hAnsi="Times New Roman"/>
          <w:sz w:val="24"/>
          <w:szCs w:val="24"/>
        </w:rPr>
        <w:t>.</w:t>
      </w:r>
    </w:p>
    <w:p w14:paraId="6DED431A" w14:textId="77777777" w:rsidR="00666410" w:rsidRPr="0040535D" w:rsidRDefault="0023292E" w:rsidP="00285FCD">
      <w:pPr>
        <w:spacing w:after="0" w:line="360" w:lineRule="auto"/>
        <w:jc w:val="both"/>
        <w:rPr>
          <w:rFonts w:ascii="Times New Roman" w:hAnsi="Times New Roman"/>
          <w:sz w:val="24"/>
          <w:szCs w:val="24"/>
        </w:rPr>
      </w:pPr>
      <w:r w:rsidRPr="0040535D">
        <w:rPr>
          <w:rFonts w:ascii="Times New Roman" w:hAnsi="Times New Roman"/>
          <w:sz w:val="24"/>
          <w:szCs w:val="24"/>
        </w:rPr>
        <w:t>Na podstawie ust. 2 m</w:t>
      </w:r>
      <w:r w:rsidR="00A016EB" w:rsidRPr="0040535D">
        <w:rPr>
          <w:rFonts w:ascii="Times New Roman" w:hAnsi="Times New Roman"/>
          <w:sz w:val="24"/>
          <w:szCs w:val="24"/>
        </w:rPr>
        <w:t xml:space="preserve">inister właściwy do spraw rozwoju regionalnego </w:t>
      </w:r>
      <w:r w:rsidRPr="0040535D">
        <w:rPr>
          <w:rFonts w:ascii="Times New Roman" w:hAnsi="Times New Roman"/>
          <w:sz w:val="24"/>
          <w:szCs w:val="24"/>
        </w:rPr>
        <w:t xml:space="preserve">będzie mógł  powierzać, </w:t>
      </w:r>
      <w:r w:rsidR="00A016EB" w:rsidRPr="0040535D">
        <w:rPr>
          <w:rFonts w:ascii="Times New Roman" w:hAnsi="Times New Roman"/>
          <w:sz w:val="24"/>
          <w:szCs w:val="24"/>
        </w:rPr>
        <w:t xml:space="preserve">zadania związane z zarządzaniem wkładem finansowym, lub jego częścią, z </w:t>
      </w:r>
      <w:proofErr w:type="spellStart"/>
      <w:r w:rsidR="00A016EB" w:rsidRPr="0040535D">
        <w:rPr>
          <w:rFonts w:ascii="Times New Roman" w:hAnsi="Times New Roman"/>
          <w:sz w:val="24"/>
          <w:szCs w:val="24"/>
        </w:rPr>
        <w:t>pobrexitowej</w:t>
      </w:r>
      <w:proofErr w:type="spellEnd"/>
      <w:r w:rsidR="00A016EB" w:rsidRPr="0040535D">
        <w:rPr>
          <w:rFonts w:ascii="Times New Roman" w:hAnsi="Times New Roman"/>
          <w:sz w:val="24"/>
          <w:szCs w:val="24"/>
        </w:rPr>
        <w:t xml:space="preserve"> rezerwy dostosowawczej, podmiotowi zarządzającemu Łódzką Specjalną Strefą Ekonomiczną, zwanemu dalej „podmiotem zarządzającym”.</w:t>
      </w:r>
      <w:r w:rsidRPr="0040535D">
        <w:rPr>
          <w:rFonts w:ascii="Times New Roman" w:hAnsi="Times New Roman"/>
          <w:sz w:val="24"/>
          <w:szCs w:val="24"/>
        </w:rPr>
        <w:t xml:space="preserve"> Powierzenie zadań będzie następowało w formie umowy zawartej pomiędzy ww</w:t>
      </w:r>
      <w:r w:rsidR="008F29F8" w:rsidRPr="0040535D">
        <w:rPr>
          <w:rFonts w:ascii="Times New Roman" w:hAnsi="Times New Roman"/>
          <w:sz w:val="24"/>
          <w:szCs w:val="24"/>
        </w:rPr>
        <w:t>.</w:t>
      </w:r>
      <w:r w:rsidRPr="0040535D">
        <w:rPr>
          <w:rFonts w:ascii="Times New Roman" w:hAnsi="Times New Roman"/>
          <w:sz w:val="24"/>
          <w:szCs w:val="24"/>
        </w:rPr>
        <w:t xml:space="preserve"> podmiotami. Elementy umowy zostały określone w formie katalogu otwartego w ust. 3.  </w:t>
      </w:r>
    </w:p>
    <w:p w14:paraId="42342F89" w14:textId="012F9E99" w:rsidR="00282FAB" w:rsidRPr="0040535D" w:rsidRDefault="00282FAB" w:rsidP="00B32507">
      <w:pPr>
        <w:spacing w:after="0" w:line="360" w:lineRule="auto"/>
        <w:jc w:val="both"/>
        <w:rPr>
          <w:rFonts w:ascii="Times New Roman" w:hAnsi="Times New Roman"/>
          <w:sz w:val="24"/>
          <w:szCs w:val="24"/>
        </w:rPr>
      </w:pPr>
      <w:r w:rsidRPr="0040535D">
        <w:rPr>
          <w:rFonts w:ascii="Times New Roman" w:hAnsi="Times New Roman"/>
          <w:sz w:val="24"/>
          <w:szCs w:val="24"/>
        </w:rPr>
        <w:t>Zgodnie z a</w:t>
      </w:r>
      <w:r w:rsidR="00A016EB" w:rsidRPr="0040535D">
        <w:rPr>
          <w:rFonts w:ascii="Times New Roman" w:hAnsi="Times New Roman"/>
          <w:sz w:val="24"/>
          <w:szCs w:val="24"/>
        </w:rPr>
        <w:t xml:space="preserve">rt. </w:t>
      </w:r>
      <w:r w:rsidR="005F537B" w:rsidRPr="0040535D">
        <w:rPr>
          <w:rFonts w:ascii="Times New Roman" w:hAnsi="Times New Roman"/>
          <w:sz w:val="24"/>
          <w:szCs w:val="24"/>
        </w:rPr>
        <w:t>24b</w:t>
      </w:r>
      <w:r w:rsidR="00A016EB" w:rsidRPr="0040535D">
        <w:rPr>
          <w:rFonts w:ascii="Times New Roman" w:hAnsi="Times New Roman"/>
          <w:sz w:val="24"/>
          <w:szCs w:val="24"/>
        </w:rPr>
        <w:t xml:space="preserve"> </w:t>
      </w:r>
      <w:r w:rsidRPr="0040535D">
        <w:rPr>
          <w:rFonts w:ascii="Times New Roman" w:hAnsi="Times New Roman"/>
          <w:sz w:val="24"/>
          <w:szCs w:val="24"/>
        </w:rPr>
        <w:t>ust. 1 w</w:t>
      </w:r>
      <w:r w:rsidR="00A016EB" w:rsidRPr="0040535D">
        <w:rPr>
          <w:rFonts w:ascii="Times New Roman" w:hAnsi="Times New Roman"/>
          <w:sz w:val="24"/>
          <w:szCs w:val="24"/>
        </w:rPr>
        <w:t xml:space="preserve"> zakresie, w jakim w ramach </w:t>
      </w:r>
      <w:proofErr w:type="spellStart"/>
      <w:r w:rsidR="00A016EB" w:rsidRPr="0040535D">
        <w:rPr>
          <w:rFonts w:ascii="Times New Roman" w:hAnsi="Times New Roman"/>
          <w:sz w:val="24"/>
          <w:szCs w:val="24"/>
        </w:rPr>
        <w:t>pobrexitowej</w:t>
      </w:r>
      <w:proofErr w:type="spellEnd"/>
      <w:r w:rsidR="00A016EB" w:rsidRPr="0040535D">
        <w:rPr>
          <w:rFonts w:ascii="Times New Roman" w:hAnsi="Times New Roman"/>
          <w:sz w:val="24"/>
          <w:szCs w:val="24"/>
        </w:rPr>
        <w:t xml:space="preserve"> rezerwy dostosowawczej </w:t>
      </w:r>
      <w:r w:rsidRPr="0040535D">
        <w:rPr>
          <w:rFonts w:ascii="Times New Roman" w:hAnsi="Times New Roman"/>
          <w:sz w:val="24"/>
          <w:szCs w:val="24"/>
        </w:rPr>
        <w:t xml:space="preserve">będzie  udzielana </w:t>
      </w:r>
      <w:r w:rsidR="00A016EB" w:rsidRPr="0040535D">
        <w:rPr>
          <w:rFonts w:ascii="Times New Roman" w:hAnsi="Times New Roman"/>
          <w:sz w:val="24"/>
          <w:szCs w:val="24"/>
        </w:rPr>
        <w:t xml:space="preserve"> pomoc publiczna w rozumieniu art. 107 ust. 1 Traktatu o fun</w:t>
      </w:r>
      <w:r w:rsidRPr="0040535D">
        <w:rPr>
          <w:rFonts w:ascii="Times New Roman" w:hAnsi="Times New Roman"/>
          <w:sz w:val="24"/>
          <w:szCs w:val="24"/>
        </w:rPr>
        <w:t xml:space="preserve">kcjonowaniu Unii Europejskiej,  pomoc de </w:t>
      </w:r>
      <w:proofErr w:type="spellStart"/>
      <w:r w:rsidRPr="0040535D">
        <w:rPr>
          <w:rFonts w:ascii="Times New Roman" w:hAnsi="Times New Roman"/>
          <w:sz w:val="24"/>
          <w:szCs w:val="24"/>
        </w:rPr>
        <w:t>minimis</w:t>
      </w:r>
      <w:proofErr w:type="spellEnd"/>
      <w:r w:rsidRPr="0040535D">
        <w:rPr>
          <w:rFonts w:ascii="Times New Roman" w:hAnsi="Times New Roman"/>
          <w:sz w:val="24"/>
          <w:szCs w:val="24"/>
        </w:rPr>
        <w:t xml:space="preserve"> lub </w:t>
      </w:r>
      <w:r w:rsidR="00A016EB" w:rsidRPr="0040535D">
        <w:rPr>
          <w:rFonts w:ascii="Times New Roman" w:hAnsi="Times New Roman"/>
          <w:sz w:val="24"/>
          <w:szCs w:val="24"/>
        </w:rPr>
        <w:t xml:space="preserve"> pomoc de </w:t>
      </w:r>
      <w:proofErr w:type="spellStart"/>
      <w:r w:rsidR="00A016EB" w:rsidRPr="0040535D">
        <w:rPr>
          <w:rFonts w:ascii="Times New Roman" w:hAnsi="Times New Roman"/>
          <w:sz w:val="24"/>
          <w:szCs w:val="24"/>
        </w:rPr>
        <w:t>minimis</w:t>
      </w:r>
      <w:proofErr w:type="spellEnd"/>
      <w:r w:rsidR="00A016EB" w:rsidRPr="0040535D">
        <w:rPr>
          <w:rFonts w:ascii="Times New Roman" w:hAnsi="Times New Roman"/>
          <w:sz w:val="24"/>
          <w:szCs w:val="24"/>
        </w:rPr>
        <w:t xml:space="preserve"> </w:t>
      </w:r>
      <w:r w:rsidRPr="0040535D">
        <w:rPr>
          <w:rFonts w:ascii="Times New Roman" w:hAnsi="Times New Roman"/>
          <w:sz w:val="24"/>
          <w:szCs w:val="24"/>
        </w:rPr>
        <w:t xml:space="preserve">w rolnictwie lub rybołówstwie, </w:t>
      </w:r>
      <w:r w:rsidR="00A016EB" w:rsidRPr="0040535D">
        <w:rPr>
          <w:rFonts w:ascii="Times New Roman" w:hAnsi="Times New Roman"/>
          <w:sz w:val="24"/>
          <w:szCs w:val="24"/>
        </w:rPr>
        <w:t xml:space="preserve">zastosowanie </w:t>
      </w:r>
      <w:r w:rsidRPr="0040535D">
        <w:rPr>
          <w:rFonts w:ascii="Times New Roman" w:hAnsi="Times New Roman"/>
          <w:sz w:val="24"/>
          <w:szCs w:val="24"/>
        </w:rPr>
        <w:t xml:space="preserve">znajdą </w:t>
      </w:r>
      <w:r w:rsidR="00A016EB" w:rsidRPr="0040535D">
        <w:rPr>
          <w:rFonts w:ascii="Times New Roman" w:hAnsi="Times New Roman"/>
          <w:sz w:val="24"/>
          <w:szCs w:val="24"/>
        </w:rPr>
        <w:t>szczegółowe wa</w:t>
      </w:r>
      <w:r w:rsidRPr="0040535D">
        <w:rPr>
          <w:rFonts w:ascii="Times New Roman" w:hAnsi="Times New Roman"/>
          <w:sz w:val="24"/>
          <w:szCs w:val="24"/>
        </w:rPr>
        <w:t>runki i tryb udzielania pomocy. W ww. przypadkach p</w:t>
      </w:r>
      <w:r w:rsidR="00A016EB" w:rsidRPr="0040535D">
        <w:rPr>
          <w:rFonts w:ascii="Times New Roman" w:hAnsi="Times New Roman"/>
          <w:sz w:val="24"/>
          <w:szCs w:val="24"/>
        </w:rPr>
        <w:t xml:space="preserve">odmiotem udzielającym pomocy, </w:t>
      </w:r>
      <w:r w:rsidRPr="0040535D">
        <w:rPr>
          <w:rFonts w:ascii="Times New Roman" w:hAnsi="Times New Roman"/>
          <w:sz w:val="24"/>
          <w:szCs w:val="24"/>
        </w:rPr>
        <w:t xml:space="preserve">będzie </w:t>
      </w:r>
      <w:r w:rsidR="00A016EB" w:rsidRPr="0040535D">
        <w:rPr>
          <w:rFonts w:ascii="Times New Roman" w:hAnsi="Times New Roman"/>
          <w:sz w:val="24"/>
          <w:szCs w:val="24"/>
        </w:rPr>
        <w:t xml:space="preserve">podmiot zarządzający. </w:t>
      </w:r>
      <w:r w:rsidR="008F1BE9" w:rsidRPr="008F1BE9">
        <w:rPr>
          <w:rFonts w:ascii="Times New Roman" w:hAnsi="Times New Roman"/>
          <w:sz w:val="24"/>
          <w:szCs w:val="24"/>
        </w:rPr>
        <w:t>Proponowany przepis w zakresie pomocy publicznej możliwie elastyczne określa ramy podmiotowe dotyczące udzielania pomocy publicznej, tak aby ramy te były następnie adekwatne, do konkretnych konfiguracji podmiotowych występujących w związku z konkretną pomocą publiczną. Proponowany przepis jest analogiczny do funkcjonujących od lat delegacji dla programów pomocowych w programach polityki spójności i jest zgodny z zasadami pomocy publicznej.</w:t>
      </w:r>
    </w:p>
    <w:p w14:paraId="6710749B" w14:textId="462D74B9" w:rsidR="0072374D" w:rsidRPr="0040535D" w:rsidRDefault="0072374D" w:rsidP="00B853D0">
      <w:pPr>
        <w:spacing w:after="0" w:line="360" w:lineRule="auto"/>
        <w:jc w:val="both"/>
        <w:rPr>
          <w:rFonts w:ascii="Times New Roman" w:hAnsi="Times New Roman"/>
          <w:sz w:val="24"/>
          <w:szCs w:val="24"/>
        </w:rPr>
      </w:pPr>
      <w:r w:rsidRPr="0040535D">
        <w:rPr>
          <w:rFonts w:ascii="Times New Roman" w:hAnsi="Times New Roman"/>
          <w:sz w:val="24"/>
          <w:szCs w:val="24"/>
        </w:rPr>
        <w:t>W przypadku gdy odrębne przepisy nie określają szczegółowego przeznaczenia, warunków lub trybu udzielania tej pomocy, minister właściwy do spraw rozwoju regionalnego, będzie mógł je określić  w formie rozporządzenia. Zawarte w ust. 3 upoważnieni</w:t>
      </w:r>
      <w:r w:rsidR="00464958" w:rsidRPr="0040535D">
        <w:rPr>
          <w:rFonts w:ascii="Times New Roman" w:hAnsi="Times New Roman"/>
          <w:sz w:val="24"/>
          <w:szCs w:val="24"/>
        </w:rPr>
        <w:t>e dla</w:t>
      </w:r>
      <w:r w:rsidRPr="0040535D">
        <w:rPr>
          <w:rFonts w:ascii="Times New Roman" w:hAnsi="Times New Roman"/>
          <w:sz w:val="24"/>
          <w:szCs w:val="24"/>
        </w:rPr>
        <w:t xml:space="preserve"> ministra  do wydania</w:t>
      </w:r>
      <w:r w:rsidR="00464958" w:rsidRPr="0040535D">
        <w:rPr>
          <w:rFonts w:ascii="Times New Roman" w:hAnsi="Times New Roman"/>
          <w:sz w:val="24"/>
          <w:szCs w:val="24"/>
        </w:rPr>
        <w:t xml:space="preserve"> przepisów wykonawczych </w:t>
      </w:r>
      <w:r w:rsidRPr="0040535D">
        <w:rPr>
          <w:rFonts w:ascii="Times New Roman" w:hAnsi="Times New Roman"/>
          <w:sz w:val="24"/>
          <w:szCs w:val="24"/>
        </w:rPr>
        <w:t xml:space="preserve">ma charakter fakultatywny. Ust. 4 przewiduje natomiast, że w przypadku braku przepisów określających szczegółowe przeznaczenie, warunki i tryb udzielania pomocy, o której mowa w art. 24b ust. 1, </w:t>
      </w:r>
      <w:r w:rsidR="00A016EB" w:rsidRPr="0040535D">
        <w:rPr>
          <w:rFonts w:ascii="Times New Roman" w:hAnsi="Times New Roman"/>
          <w:sz w:val="24"/>
          <w:szCs w:val="24"/>
        </w:rPr>
        <w:t>określa</w:t>
      </w:r>
      <w:r w:rsidRPr="0040535D">
        <w:rPr>
          <w:rFonts w:ascii="Times New Roman" w:hAnsi="Times New Roman"/>
          <w:sz w:val="24"/>
          <w:szCs w:val="24"/>
        </w:rPr>
        <w:t xml:space="preserve"> je</w:t>
      </w:r>
      <w:r w:rsidR="00A016EB" w:rsidRPr="0040535D">
        <w:rPr>
          <w:rFonts w:ascii="Times New Roman" w:hAnsi="Times New Roman"/>
          <w:sz w:val="24"/>
          <w:szCs w:val="24"/>
        </w:rPr>
        <w:t xml:space="preserve"> akt będący podstawą jej udzielenia.</w:t>
      </w:r>
      <w:r w:rsidR="00B853D0" w:rsidRPr="00B853D0">
        <w:t xml:space="preserve"> </w:t>
      </w:r>
    </w:p>
    <w:p w14:paraId="7D565657" w14:textId="77777777" w:rsidR="00B076D5" w:rsidRPr="0040535D" w:rsidRDefault="007A4FFE" w:rsidP="005D004E">
      <w:pPr>
        <w:spacing w:after="0" w:line="360" w:lineRule="auto"/>
        <w:jc w:val="both"/>
        <w:rPr>
          <w:rFonts w:ascii="Times New Roman" w:hAnsi="Times New Roman"/>
          <w:sz w:val="24"/>
          <w:szCs w:val="24"/>
        </w:rPr>
      </w:pPr>
      <w:r w:rsidRPr="0040535D">
        <w:rPr>
          <w:rFonts w:ascii="Times New Roman" w:hAnsi="Times New Roman"/>
          <w:sz w:val="24"/>
          <w:szCs w:val="24"/>
        </w:rPr>
        <w:t>K</w:t>
      </w:r>
      <w:r w:rsidR="00FA19FE" w:rsidRPr="0040535D">
        <w:rPr>
          <w:rFonts w:ascii="Times New Roman" w:hAnsi="Times New Roman"/>
          <w:sz w:val="24"/>
          <w:szCs w:val="24"/>
        </w:rPr>
        <w:t xml:space="preserve">westie przekazywania przez podmiot zarządzający środków pochodzących z wkładu finansowego z </w:t>
      </w:r>
      <w:proofErr w:type="spellStart"/>
      <w:r w:rsidR="00FA19FE" w:rsidRPr="0040535D">
        <w:rPr>
          <w:rFonts w:ascii="Times New Roman" w:hAnsi="Times New Roman"/>
          <w:sz w:val="24"/>
          <w:szCs w:val="24"/>
        </w:rPr>
        <w:t>pobrexitowej</w:t>
      </w:r>
      <w:proofErr w:type="spellEnd"/>
      <w:r w:rsidR="00FA19FE" w:rsidRPr="0040535D">
        <w:rPr>
          <w:rFonts w:ascii="Times New Roman" w:hAnsi="Times New Roman"/>
          <w:sz w:val="24"/>
          <w:szCs w:val="24"/>
        </w:rPr>
        <w:t xml:space="preserve"> rezerwy dostosowawczej  na rzecz ostatecznych odbiorców</w:t>
      </w:r>
      <w:r w:rsidRPr="0040535D">
        <w:rPr>
          <w:rFonts w:ascii="Times New Roman" w:hAnsi="Times New Roman"/>
          <w:sz w:val="24"/>
          <w:szCs w:val="24"/>
        </w:rPr>
        <w:t xml:space="preserve">, </w:t>
      </w:r>
      <w:r w:rsidRPr="0040535D">
        <w:rPr>
          <w:rFonts w:ascii="Times New Roman" w:hAnsi="Times New Roman"/>
          <w:sz w:val="24"/>
          <w:szCs w:val="24"/>
        </w:rPr>
        <w:lastRenderedPageBreak/>
        <w:t>zostały uregulowane w art.</w:t>
      </w:r>
      <w:r w:rsidR="00020939" w:rsidRPr="0040535D">
        <w:rPr>
          <w:rFonts w:ascii="Times New Roman" w:hAnsi="Times New Roman"/>
          <w:sz w:val="24"/>
          <w:szCs w:val="24"/>
        </w:rPr>
        <w:t xml:space="preserve"> </w:t>
      </w:r>
      <w:r w:rsidR="005F537B" w:rsidRPr="0040535D">
        <w:rPr>
          <w:rFonts w:ascii="Times New Roman" w:hAnsi="Times New Roman"/>
          <w:sz w:val="24"/>
          <w:szCs w:val="24"/>
        </w:rPr>
        <w:t>24c</w:t>
      </w:r>
      <w:r w:rsidR="00FA19FE" w:rsidRPr="0040535D">
        <w:rPr>
          <w:rFonts w:ascii="Times New Roman" w:hAnsi="Times New Roman"/>
          <w:sz w:val="24"/>
          <w:szCs w:val="24"/>
        </w:rPr>
        <w:t xml:space="preserve">. Zgodnie z  ww. przepisem </w:t>
      </w:r>
      <w:r w:rsidRPr="0040535D">
        <w:rPr>
          <w:rFonts w:ascii="Times New Roman" w:hAnsi="Times New Roman"/>
          <w:sz w:val="24"/>
          <w:szCs w:val="24"/>
        </w:rPr>
        <w:t xml:space="preserve">ich </w:t>
      </w:r>
      <w:r w:rsidR="00FA19FE" w:rsidRPr="0040535D">
        <w:rPr>
          <w:rFonts w:ascii="Times New Roman" w:hAnsi="Times New Roman"/>
          <w:sz w:val="24"/>
          <w:szCs w:val="24"/>
        </w:rPr>
        <w:t xml:space="preserve">przekazanie następuje na podstawie </w:t>
      </w:r>
      <w:r w:rsidR="00145DDB" w:rsidRPr="0040535D">
        <w:rPr>
          <w:rFonts w:ascii="Times New Roman" w:hAnsi="Times New Roman"/>
          <w:sz w:val="24"/>
          <w:szCs w:val="24"/>
        </w:rPr>
        <w:t>umowy</w:t>
      </w:r>
      <w:r w:rsidR="00020939" w:rsidRPr="0040535D">
        <w:rPr>
          <w:rFonts w:ascii="Times New Roman" w:hAnsi="Times New Roman"/>
          <w:sz w:val="24"/>
          <w:szCs w:val="24"/>
        </w:rPr>
        <w:t xml:space="preserve">, której </w:t>
      </w:r>
      <w:r w:rsidR="005E027F" w:rsidRPr="0040535D">
        <w:rPr>
          <w:rFonts w:ascii="Times New Roman" w:hAnsi="Times New Roman"/>
          <w:sz w:val="24"/>
          <w:szCs w:val="24"/>
        </w:rPr>
        <w:t>elementy określon</w:t>
      </w:r>
      <w:r w:rsidR="00FC4D2D" w:rsidRPr="0040535D">
        <w:rPr>
          <w:rFonts w:ascii="Times New Roman" w:hAnsi="Times New Roman"/>
          <w:sz w:val="24"/>
          <w:szCs w:val="24"/>
        </w:rPr>
        <w:t>o</w:t>
      </w:r>
      <w:r w:rsidR="005E027F" w:rsidRPr="0040535D">
        <w:rPr>
          <w:rFonts w:ascii="Times New Roman" w:hAnsi="Times New Roman"/>
          <w:sz w:val="24"/>
          <w:szCs w:val="24"/>
        </w:rPr>
        <w:t xml:space="preserve"> w formie katalogu otwartego. </w:t>
      </w:r>
    </w:p>
    <w:p w14:paraId="743B475B" w14:textId="77777777" w:rsidR="00145DDB" w:rsidRPr="0040535D" w:rsidRDefault="0063430D" w:rsidP="00697676">
      <w:pPr>
        <w:spacing w:after="0" w:line="360" w:lineRule="auto"/>
        <w:jc w:val="both"/>
        <w:rPr>
          <w:rFonts w:ascii="Times New Roman" w:hAnsi="Times New Roman"/>
          <w:sz w:val="24"/>
          <w:szCs w:val="24"/>
        </w:rPr>
      </w:pPr>
      <w:r w:rsidRPr="0040535D">
        <w:rPr>
          <w:rFonts w:ascii="Times New Roman" w:hAnsi="Times New Roman"/>
          <w:sz w:val="24"/>
          <w:szCs w:val="24"/>
        </w:rPr>
        <w:t xml:space="preserve">Ustawa przewiduje odrębny sposób przekazywania środków </w:t>
      </w:r>
      <w:r w:rsidR="00145DDB" w:rsidRPr="0040535D">
        <w:rPr>
          <w:rFonts w:ascii="Times New Roman" w:hAnsi="Times New Roman"/>
          <w:sz w:val="24"/>
          <w:szCs w:val="24"/>
        </w:rPr>
        <w:t>w</w:t>
      </w:r>
      <w:r w:rsidR="00A016EB" w:rsidRPr="0040535D">
        <w:rPr>
          <w:rFonts w:ascii="Times New Roman" w:hAnsi="Times New Roman"/>
          <w:sz w:val="24"/>
          <w:szCs w:val="24"/>
        </w:rPr>
        <w:t xml:space="preserve"> zakresie zadań państwowych jednostek budżetowych objętych finansowaniem ze środków </w:t>
      </w:r>
      <w:proofErr w:type="spellStart"/>
      <w:r w:rsidR="00A016EB" w:rsidRPr="0040535D">
        <w:rPr>
          <w:rFonts w:ascii="Times New Roman" w:hAnsi="Times New Roman"/>
          <w:sz w:val="24"/>
          <w:szCs w:val="24"/>
        </w:rPr>
        <w:t>pobrexitowej</w:t>
      </w:r>
      <w:proofErr w:type="spellEnd"/>
      <w:r w:rsidR="00A016EB" w:rsidRPr="0040535D">
        <w:rPr>
          <w:rFonts w:ascii="Times New Roman" w:hAnsi="Times New Roman"/>
          <w:sz w:val="24"/>
          <w:szCs w:val="24"/>
        </w:rPr>
        <w:t xml:space="preserve"> rezerwy dostosowawczej oraz środków pomocy technicznej przeznaczonych </w:t>
      </w:r>
      <w:r w:rsidRPr="0040535D">
        <w:rPr>
          <w:rFonts w:ascii="Times New Roman" w:hAnsi="Times New Roman"/>
          <w:sz w:val="24"/>
          <w:szCs w:val="24"/>
        </w:rPr>
        <w:t xml:space="preserve">na koszty realizacji </w:t>
      </w:r>
      <w:r w:rsidR="00153299" w:rsidRPr="0040535D">
        <w:rPr>
          <w:rFonts w:ascii="Times New Roman" w:hAnsi="Times New Roman"/>
          <w:sz w:val="24"/>
          <w:szCs w:val="24"/>
        </w:rPr>
        <w:t>przedmiotowych</w:t>
      </w:r>
      <w:r w:rsidRPr="0040535D">
        <w:rPr>
          <w:rFonts w:ascii="Times New Roman" w:hAnsi="Times New Roman"/>
          <w:sz w:val="24"/>
          <w:szCs w:val="24"/>
        </w:rPr>
        <w:t xml:space="preserve"> zadań. W takim przypadku </w:t>
      </w:r>
      <w:r w:rsidR="00A016EB" w:rsidRPr="0040535D">
        <w:rPr>
          <w:rFonts w:ascii="Times New Roman" w:hAnsi="Times New Roman"/>
          <w:sz w:val="24"/>
          <w:szCs w:val="24"/>
        </w:rPr>
        <w:t xml:space="preserve"> </w:t>
      </w:r>
      <w:r w:rsidRPr="0040535D">
        <w:rPr>
          <w:rFonts w:ascii="Times New Roman" w:hAnsi="Times New Roman"/>
          <w:sz w:val="24"/>
          <w:szCs w:val="24"/>
        </w:rPr>
        <w:t xml:space="preserve">minister właściwy do spraw rozwoju regionalnego zawiera z tymi jednostkami </w:t>
      </w:r>
      <w:r w:rsidR="00A016EB" w:rsidRPr="0040535D">
        <w:rPr>
          <w:rFonts w:ascii="Times New Roman" w:hAnsi="Times New Roman"/>
          <w:sz w:val="24"/>
          <w:szCs w:val="24"/>
        </w:rPr>
        <w:t>porozumienia. Do porozumień tych art. 24</w:t>
      </w:r>
      <w:r w:rsidR="00725094" w:rsidRPr="0040535D">
        <w:rPr>
          <w:rFonts w:ascii="Times New Roman" w:hAnsi="Times New Roman"/>
          <w:sz w:val="24"/>
          <w:szCs w:val="24"/>
        </w:rPr>
        <w:t>c</w:t>
      </w:r>
      <w:r w:rsidR="00A016EB" w:rsidRPr="0040535D">
        <w:rPr>
          <w:rFonts w:ascii="Times New Roman" w:hAnsi="Times New Roman"/>
          <w:sz w:val="24"/>
          <w:szCs w:val="24"/>
        </w:rPr>
        <w:t xml:space="preserve"> stosuje się odpowiednio</w:t>
      </w:r>
      <w:r w:rsidR="00153299" w:rsidRPr="0040535D">
        <w:rPr>
          <w:rFonts w:ascii="Times New Roman" w:hAnsi="Times New Roman"/>
          <w:sz w:val="24"/>
          <w:szCs w:val="24"/>
        </w:rPr>
        <w:t xml:space="preserve"> (</w:t>
      </w:r>
      <w:r w:rsidR="005D537F" w:rsidRPr="0040535D">
        <w:rPr>
          <w:rFonts w:ascii="Times New Roman" w:hAnsi="Times New Roman"/>
          <w:sz w:val="24"/>
          <w:szCs w:val="24"/>
        </w:rPr>
        <w:t>art</w:t>
      </w:r>
      <w:r w:rsidR="00153299" w:rsidRPr="0040535D">
        <w:rPr>
          <w:rFonts w:ascii="Times New Roman" w:hAnsi="Times New Roman"/>
          <w:sz w:val="24"/>
          <w:szCs w:val="24"/>
        </w:rPr>
        <w:t xml:space="preserve">. </w:t>
      </w:r>
      <w:r w:rsidR="005D537F" w:rsidRPr="0040535D">
        <w:rPr>
          <w:rFonts w:ascii="Times New Roman" w:hAnsi="Times New Roman"/>
          <w:sz w:val="24"/>
          <w:szCs w:val="24"/>
        </w:rPr>
        <w:t>24</w:t>
      </w:r>
      <w:r w:rsidR="00725094" w:rsidRPr="0040535D">
        <w:rPr>
          <w:rFonts w:ascii="Times New Roman" w:hAnsi="Times New Roman"/>
          <w:sz w:val="24"/>
          <w:szCs w:val="24"/>
        </w:rPr>
        <w:t>d</w:t>
      </w:r>
      <w:r w:rsidR="00153299" w:rsidRPr="0040535D">
        <w:rPr>
          <w:rFonts w:ascii="Times New Roman" w:hAnsi="Times New Roman"/>
          <w:sz w:val="24"/>
          <w:szCs w:val="24"/>
        </w:rPr>
        <w:t>)</w:t>
      </w:r>
      <w:r w:rsidR="00A65C35" w:rsidRPr="0040535D">
        <w:rPr>
          <w:rFonts w:ascii="Times New Roman" w:hAnsi="Times New Roman"/>
          <w:sz w:val="24"/>
          <w:szCs w:val="24"/>
        </w:rPr>
        <w:t>.</w:t>
      </w:r>
    </w:p>
    <w:p w14:paraId="212D62B9" w14:textId="77777777" w:rsidR="00A016EB" w:rsidRPr="0040535D" w:rsidRDefault="00153299" w:rsidP="00697676">
      <w:pPr>
        <w:spacing w:after="0" w:line="360" w:lineRule="auto"/>
        <w:jc w:val="both"/>
        <w:rPr>
          <w:rFonts w:ascii="Times New Roman" w:hAnsi="Times New Roman"/>
          <w:sz w:val="24"/>
          <w:szCs w:val="24"/>
        </w:rPr>
      </w:pPr>
      <w:r w:rsidRPr="0040535D">
        <w:rPr>
          <w:rFonts w:ascii="Times New Roman" w:hAnsi="Times New Roman"/>
          <w:sz w:val="24"/>
          <w:szCs w:val="24"/>
        </w:rPr>
        <w:t>Realizacja zadań powierzonych</w:t>
      </w:r>
      <w:r w:rsidR="00A016EB" w:rsidRPr="0040535D">
        <w:rPr>
          <w:rFonts w:ascii="Times New Roman" w:hAnsi="Times New Roman"/>
          <w:sz w:val="24"/>
          <w:szCs w:val="24"/>
        </w:rPr>
        <w:t xml:space="preserve"> </w:t>
      </w:r>
      <w:r w:rsidRPr="0040535D">
        <w:rPr>
          <w:rFonts w:ascii="Times New Roman" w:hAnsi="Times New Roman"/>
          <w:sz w:val="24"/>
          <w:szCs w:val="24"/>
        </w:rPr>
        <w:t xml:space="preserve">podmiotowi zarządzającemu </w:t>
      </w:r>
      <w:r w:rsidR="00464958" w:rsidRPr="0040535D">
        <w:rPr>
          <w:rFonts w:ascii="Times New Roman" w:hAnsi="Times New Roman"/>
          <w:sz w:val="24"/>
          <w:szCs w:val="24"/>
        </w:rPr>
        <w:t xml:space="preserve">podlega </w:t>
      </w:r>
      <w:r w:rsidR="00050EA4" w:rsidRPr="0040535D">
        <w:rPr>
          <w:rFonts w:ascii="Times New Roman" w:hAnsi="Times New Roman"/>
          <w:sz w:val="24"/>
          <w:szCs w:val="24"/>
        </w:rPr>
        <w:t>audytowi.</w:t>
      </w:r>
      <w:r w:rsidR="00464958" w:rsidRPr="0040535D">
        <w:rPr>
          <w:rFonts w:ascii="Times New Roman" w:hAnsi="Times New Roman"/>
          <w:sz w:val="24"/>
          <w:szCs w:val="24"/>
        </w:rPr>
        <w:t xml:space="preserve"> </w:t>
      </w:r>
      <w:r w:rsidRPr="0040535D">
        <w:rPr>
          <w:rFonts w:ascii="Times New Roman" w:hAnsi="Times New Roman"/>
          <w:sz w:val="24"/>
          <w:szCs w:val="24"/>
        </w:rPr>
        <w:t xml:space="preserve">Na podstawie art. </w:t>
      </w:r>
      <w:r w:rsidR="005D537F" w:rsidRPr="0040535D">
        <w:rPr>
          <w:rFonts w:ascii="Times New Roman" w:hAnsi="Times New Roman"/>
          <w:sz w:val="24"/>
          <w:szCs w:val="24"/>
        </w:rPr>
        <w:t>24e</w:t>
      </w:r>
      <w:r w:rsidR="00887E7E" w:rsidRPr="0040535D">
        <w:rPr>
          <w:rFonts w:ascii="Times New Roman" w:hAnsi="Times New Roman"/>
          <w:sz w:val="24"/>
          <w:szCs w:val="24"/>
        </w:rPr>
        <w:t xml:space="preserve"> </w:t>
      </w:r>
      <w:r w:rsidRPr="0040535D">
        <w:rPr>
          <w:rFonts w:ascii="Times New Roman" w:hAnsi="Times New Roman"/>
          <w:sz w:val="24"/>
          <w:szCs w:val="24"/>
        </w:rPr>
        <w:t xml:space="preserve">ust. 1 </w:t>
      </w:r>
      <w:r w:rsidR="007867DC" w:rsidRPr="0040535D">
        <w:rPr>
          <w:rFonts w:ascii="Times New Roman" w:hAnsi="Times New Roman"/>
          <w:sz w:val="24"/>
          <w:szCs w:val="24"/>
        </w:rPr>
        <w:t xml:space="preserve">audyty </w:t>
      </w:r>
      <w:r w:rsidRPr="0040535D">
        <w:rPr>
          <w:rFonts w:ascii="Times New Roman" w:hAnsi="Times New Roman"/>
          <w:sz w:val="24"/>
          <w:szCs w:val="24"/>
        </w:rPr>
        <w:t>w tym zakresie prowadzi</w:t>
      </w:r>
      <w:r w:rsidR="007867DC" w:rsidRPr="0040535D">
        <w:rPr>
          <w:rStyle w:val="Ppogrubienie"/>
          <w:rFonts w:ascii="Times New Roman" w:hAnsi="Times New Roman"/>
          <w:b w:val="0"/>
          <w:sz w:val="24"/>
          <w:szCs w:val="24"/>
        </w:rPr>
        <w:t xml:space="preserve"> Szef Krajowej Administracji Skarbowej,</w:t>
      </w:r>
      <w:r w:rsidR="007867DC" w:rsidRPr="0040535D">
        <w:rPr>
          <w:rFonts w:ascii="Times New Roman" w:hAnsi="Times New Roman"/>
          <w:sz w:val="24"/>
          <w:szCs w:val="24"/>
        </w:rPr>
        <w:t xml:space="preserve"> </w:t>
      </w:r>
      <w:r w:rsidR="007867DC" w:rsidRPr="0040535D">
        <w:rPr>
          <w:rStyle w:val="Ppogrubienie"/>
          <w:rFonts w:ascii="Times New Roman" w:hAnsi="Times New Roman"/>
          <w:b w:val="0"/>
          <w:sz w:val="24"/>
          <w:szCs w:val="24"/>
        </w:rPr>
        <w:t>w oparciu o ustawę z dnia 16 listopada 2016 r. o Krajowej Administracji Skarbowej.</w:t>
      </w:r>
      <w:r w:rsidR="005506D7" w:rsidRPr="0040535D">
        <w:rPr>
          <w:rStyle w:val="Ppogrubienie"/>
          <w:rFonts w:ascii="Times New Roman" w:hAnsi="Times New Roman"/>
          <w:b w:val="0"/>
          <w:sz w:val="24"/>
          <w:szCs w:val="24"/>
        </w:rPr>
        <w:t xml:space="preserve"> Audyt będzie realizowany na zasadach stosowanych przy audycie krajowego programu operacyjnego i krajowego programu w rozumieniu przepisów ustawy z dnia 16 listopada 2016 r. o Krajowej Administracji Skarbowej</w:t>
      </w:r>
      <w:r w:rsidR="00050EA4" w:rsidRPr="0040535D">
        <w:rPr>
          <w:rStyle w:val="Ppogrubienie"/>
          <w:rFonts w:ascii="Times New Roman" w:hAnsi="Times New Roman"/>
          <w:b w:val="0"/>
          <w:sz w:val="24"/>
          <w:szCs w:val="24"/>
        </w:rPr>
        <w:t xml:space="preserve"> (ust. 3). W ust. 2 został wskazany katalog podmiotów i instytucji systemu wdrażania BAR, w których może być prowadzony audyt. </w:t>
      </w:r>
      <w:r w:rsidRPr="0040535D">
        <w:rPr>
          <w:rFonts w:ascii="Times New Roman" w:hAnsi="Times New Roman"/>
          <w:sz w:val="24"/>
          <w:szCs w:val="24"/>
        </w:rPr>
        <w:t xml:space="preserve"> </w:t>
      </w:r>
    </w:p>
    <w:p w14:paraId="65312600" w14:textId="77777777" w:rsidR="00145DDB" w:rsidRPr="0040535D" w:rsidRDefault="00145DDB" w:rsidP="009A0EE5">
      <w:pPr>
        <w:spacing w:after="0" w:line="360" w:lineRule="auto"/>
        <w:jc w:val="both"/>
        <w:rPr>
          <w:rFonts w:ascii="Times New Roman" w:hAnsi="Times New Roman"/>
          <w:sz w:val="24"/>
          <w:szCs w:val="24"/>
        </w:rPr>
      </w:pPr>
    </w:p>
    <w:p w14:paraId="298BC331" w14:textId="77777777" w:rsidR="00A016EB" w:rsidRPr="0040535D" w:rsidRDefault="007A4FFE" w:rsidP="009A0EE5">
      <w:pPr>
        <w:spacing w:after="0" w:line="360" w:lineRule="auto"/>
        <w:jc w:val="both"/>
        <w:rPr>
          <w:rFonts w:ascii="Times New Roman" w:hAnsi="Times New Roman"/>
          <w:sz w:val="24"/>
          <w:szCs w:val="24"/>
        </w:rPr>
      </w:pPr>
      <w:r w:rsidRPr="0040535D">
        <w:rPr>
          <w:rFonts w:ascii="Times New Roman" w:hAnsi="Times New Roman"/>
          <w:sz w:val="24"/>
          <w:szCs w:val="24"/>
        </w:rPr>
        <w:t>Dodawany rozdział 4b  określa natomiast możliwość p</w:t>
      </w:r>
      <w:r w:rsidR="00A016EB" w:rsidRPr="0040535D">
        <w:rPr>
          <w:rFonts w:ascii="Times New Roman" w:hAnsi="Times New Roman"/>
          <w:sz w:val="24"/>
          <w:szCs w:val="24"/>
        </w:rPr>
        <w:t>owierzenie wykonywania zadań z zakresu administracji rządowej</w:t>
      </w:r>
      <w:r w:rsidR="0021710D" w:rsidRPr="0040535D">
        <w:rPr>
          <w:rFonts w:ascii="Times New Roman" w:hAnsi="Times New Roman"/>
          <w:sz w:val="24"/>
          <w:szCs w:val="24"/>
        </w:rPr>
        <w:t>.</w:t>
      </w:r>
    </w:p>
    <w:p w14:paraId="71CBE592" w14:textId="77777777" w:rsidR="00A016EB" w:rsidRPr="0040535D" w:rsidRDefault="007A4FFE"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Zgodnie z art. </w:t>
      </w:r>
      <w:r w:rsidR="005D537F" w:rsidRPr="0040535D">
        <w:rPr>
          <w:rFonts w:ascii="Times New Roman" w:hAnsi="Times New Roman"/>
          <w:sz w:val="24"/>
          <w:szCs w:val="24"/>
        </w:rPr>
        <w:t>24</w:t>
      </w:r>
      <w:r w:rsidR="0066562F" w:rsidRPr="0040535D">
        <w:rPr>
          <w:rFonts w:ascii="Times New Roman" w:hAnsi="Times New Roman"/>
          <w:sz w:val="24"/>
          <w:szCs w:val="24"/>
        </w:rPr>
        <w:t>f</w:t>
      </w:r>
      <w:r w:rsidR="006B4365" w:rsidRPr="0040535D">
        <w:rPr>
          <w:rFonts w:ascii="Times New Roman" w:hAnsi="Times New Roman"/>
          <w:sz w:val="24"/>
          <w:szCs w:val="24"/>
        </w:rPr>
        <w:t xml:space="preserve"> </w:t>
      </w:r>
      <w:r w:rsidRPr="0040535D">
        <w:rPr>
          <w:rFonts w:ascii="Times New Roman" w:hAnsi="Times New Roman"/>
          <w:sz w:val="24"/>
          <w:szCs w:val="24"/>
        </w:rPr>
        <w:t xml:space="preserve"> m</w:t>
      </w:r>
      <w:r w:rsidR="00A016EB" w:rsidRPr="0040535D">
        <w:rPr>
          <w:rFonts w:ascii="Times New Roman" w:hAnsi="Times New Roman"/>
          <w:sz w:val="24"/>
          <w:szCs w:val="24"/>
        </w:rPr>
        <w:t xml:space="preserve">inister właściwy do spraw rozwoju regionalnego lub inny organ administracji rządowej </w:t>
      </w:r>
      <w:r w:rsidRPr="0040535D">
        <w:rPr>
          <w:rFonts w:ascii="Times New Roman" w:hAnsi="Times New Roman"/>
          <w:sz w:val="24"/>
          <w:szCs w:val="24"/>
        </w:rPr>
        <w:t>będzie mógł</w:t>
      </w:r>
      <w:r w:rsidR="00A016EB" w:rsidRPr="0040535D">
        <w:rPr>
          <w:rFonts w:ascii="Times New Roman" w:hAnsi="Times New Roman"/>
          <w:sz w:val="24"/>
          <w:szCs w:val="24"/>
        </w:rPr>
        <w:t xml:space="preserve"> powierzyć </w:t>
      </w:r>
      <w:r w:rsidR="00D03B7E">
        <w:rPr>
          <w:rFonts w:ascii="Times New Roman" w:hAnsi="Times New Roman"/>
          <w:sz w:val="24"/>
          <w:szCs w:val="24"/>
        </w:rPr>
        <w:t>Fundacji Fundusz Współpracy</w:t>
      </w:r>
      <w:r w:rsidR="00A016EB" w:rsidRPr="0040535D">
        <w:rPr>
          <w:rFonts w:ascii="Times New Roman" w:hAnsi="Times New Roman"/>
          <w:sz w:val="24"/>
          <w:szCs w:val="24"/>
        </w:rPr>
        <w:t>, wykonywanie zadań z zakresu administracji rządowej, wynikających w szczególności z dokumentów i programów przyjętych przez Radę Min</w:t>
      </w:r>
      <w:r w:rsidRPr="0040535D">
        <w:rPr>
          <w:rFonts w:ascii="Times New Roman" w:hAnsi="Times New Roman"/>
          <w:sz w:val="24"/>
          <w:szCs w:val="24"/>
        </w:rPr>
        <w:t xml:space="preserve">istrów lub właściwego ministra. </w:t>
      </w:r>
      <w:r w:rsidR="00A016EB" w:rsidRPr="0040535D">
        <w:rPr>
          <w:rFonts w:ascii="Times New Roman" w:hAnsi="Times New Roman"/>
          <w:sz w:val="24"/>
          <w:szCs w:val="24"/>
        </w:rPr>
        <w:t>Powierzając zadania organy</w:t>
      </w:r>
      <w:r w:rsidR="001C2E42" w:rsidRPr="0040535D">
        <w:rPr>
          <w:rFonts w:ascii="Times New Roman" w:hAnsi="Times New Roman"/>
          <w:sz w:val="24"/>
          <w:szCs w:val="24"/>
        </w:rPr>
        <w:t xml:space="preserve"> administracji rządowej</w:t>
      </w:r>
      <w:r w:rsidRPr="0040535D">
        <w:rPr>
          <w:rFonts w:ascii="Times New Roman" w:hAnsi="Times New Roman"/>
          <w:sz w:val="24"/>
          <w:szCs w:val="24"/>
        </w:rPr>
        <w:t xml:space="preserve"> przekażą</w:t>
      </w:r>
      <w:r w:rsidR="00A016EB" w:rsidRPr="0040535D">
        <w:rPr>
          <w:rFonts w:ascii="Times New Roman" w:hAnsi="Times New Roman"/>
          <w:sz w:val="24"/>
          <w:szCs w:val="24"/>
        </w:rPr>
        <w:t xml:space="preserve"> </w:t>
      </w:r>
      <w:r w:rsidR="00D03B7E">
        <w:rPr>
          <w:rFonts w:ascii="Times New Roman" w:hAnsi="Times New Roman"/>
          <w:sz w:val="24"/>
          <w:szCs w:val="24"/>
        </w:rPr>
        <w:t xml:space="preserve">Fundacji Fundusz Współpracy </w:t>
      </w:r>
      <w:r w:rsidR="00A016EB" w:rsidRPr="0040535D">
        <w:rPr>
          <w:rFonts w:ascii="Times New Roman" w:hAnsi="Times New Roman"/>
          <w:sz w:val="24"/>
          <w:szCs w:val="24"/>
        </w:rPr>
        <w:t>i odpowiednie środki finansowe na ich realizację w drodze dotacji celowej</w:t>
      </w:r>
      <w:r w:rsidR="00683EA4" w:rsidRPr="0040535D">
        <w:rPr>
          <w:rFonts w:ascii="Times New Roman" w:hAnsi="Times New Roman"/>
          <w:sz w:val="24"/>
          <w:szCs w:val="24"/>
        </w:rPr>
        <w:t>, na podstawie umowy zawartej</w:t>
      </w:r>
      <w:r w:rsidR="00A016EB" w:rsidRPr="0040535D">
        <w:rPr>
          <w:rFonts w:ascii="Times New Roman" w:hAnsi="Times New Roman"/>
          <w:sz w:val="24"/>
          <w:szCs w:val="24"/>
        </w:rPr>
        <w:t xml:space="preserve"> zgodnie z art. 150 ustawy z dnia 27 sierpnia 2009 r. o finansach publicznych.</w:t>
      </w:r>
    </w:p>
    <w:p w14:paraId="363309C7" w14:textId="77777777" w:rsidR="00A016EB" w:rsidRPr="0040535D" w:rsidRDefault="00A016EB" w:rsidP="009A0EE5">
      <w:pPr>
        <w:spacing w:after="0" w:line="360" w:lineRule="auto"/>
        <w:jc w:val="both"/>
        <w:rPr>
          <w:rFonts w:ascii="Times New Roman" w:hAnsi="Times New Roman"/>
          <w:sz w:val="24"/>
          <w:szCs w:val="24"/>
        </w:rPr>
      </w:pPr>
    </w:p>
    <w:p w14:paraId="5F0AD4F5" w14:textId="77777777" w:rsidR="00A016EB" w:rsidRPr="0040535D" w:rsidRDefault="007A4FFE" w:rsidP="009A0EE5">
      <w:pPr>
        <w:spacing w:after="0" w:line="360" w:lineRule="auto"/>
        <w:jc w:val="both"/>
        <w:rPr>
          <w:rFonts w:ascii="Times New Roman" w:hAnsi="Times New Roman"/>
          <w:sz w:val="24"/>
          <w:szCs w:val="24"/>
        </w:rPr>
      </w:pPr>
      <w:r w:rsidRPr="0040535D">
        <w:rPr>
          <w:rFonts w:ascii="Times New Roman" w:hAnsi="Times New Roman"/>
          <w:sz w:val="24"/>
          <w:szCs w:val="24"/>
        </w:rPr>
        <w:t>Dodawany rozdział</w:t>
      </w:r>
      <w:r w:rsidR="00A016EB" w:rsidRPr="0040535D">
        <w:rPr>
          <w:rFonts w:ascii="Times New Roman" w:hAnsi="Times New Roman"/>
          <w:sz w:val="24"/>
          <w:szCs w:val="24"/>
        </w:rPr>
        <w:t xml:space="preserve"> 4c</w:t>
      </w:r>
      <w:r w:rsidRPr="0040535D">
        <w:rPr>
          <w:rFonts w:ascii="Times New Roman" w:hAnsi="Times New Roman"/>
          <w:sz w:val="24"/>
          <w:szCs w:val="24"/>
        </w:rPr>
        <w:t xml:space="preserve"> reguluje kwestie  związane z </w:t>
      </w:r>
      <w:r w:rsidR="009B0773" w:rsidRPr="0040535D">
        <w:rPr>
          <w:rFonts w:ascii="Times New Roman" w:hAnsi="Times New Roman"/>
          <w:sz w:val="24"/>
          <w:szCs w:val="24"/>
        </w:rPr>
        <w:t>utworzeniem Funduszu</w:t>
      </w:r>
      <w:r w:rsidR="00A016EB" w:rsidRPr="0040535D">
        <w:rPr>
          <w:rFonts w:ascii="Times New Roman" w:hAnsi="Times New Roman"/>
          <w:sz w:val="24"/>
          <w:szCs w:val="24"/>
        </w:rPr>
        <w:t xml:space="preserve"> Rozwoju Regionalnego</w:t>
      </w:r>
      <w:r w:rsidR="0066562F" w:rsidRPr="0040535D">
        <w:rPr>
          <w:rFonts w:ascii="Times New Roman" w:hAnsi="Times New Roman"/>
          <w:sz w:val="24"/>
          <w:szCs w:val="24"/>
        </w:rPr>
        <w:t>.</w:t>
      </w:r>
    </w:p>
    <w:p w14:paraId="3D98A7A7" w14:textId="77777777" w:rsidR="00A016EB" w:rsidRPr="0040535D" w:rsidRDefault="007A4FFE" w:rsidP="009A0EE5">
      <w:pPr>
        <w:spacing w:after="0" w:line="360" w:lineRule="auto"/>
        <w:jc w:val="both"/>
        <w:rPr>
          <w:rFonts w:ascii="Times New Roman" w:hAnsi="Times New Roman"/>
          <w:sz w:val="24"/>
          <w:szCs w:val="24"/>
        </w:rPr>
      </w:pPr>
      <w:r w:rsidRPr="0040535D">
        <w:rPr>
          <w:rFonts w:ascii="Times New Roman" w:hAnsi="Times New Roman"/>
          <w:sz w:val="24"/>
          <w:szCs w:val="24"/>
        </w:rPr>
        <w:t>Zgodnie z art.</w:t>
      </w:r>
      <w:r w:rsidR="0019766A" w:rsidRPr="0040535D">
        <w:rPr>
          <w:rFonts w:ascii="Times New Roman" w:hAnsi="Times New Roman"/>
          <w:sz w:val="24"/>
          <w:szCs w:val="24"/>
        </w:rPr>
        <w:t xml:space="preserve"> </w:t>
      </w:r>
      <w:r w:rsidR="005D537F" w:rsidRPr="0040535D">
        <w:rPr>
          <w:rFonts w:ascii="Times New Roman" w:hAnsi="Times New Roman"/>
          <w:sz w:val="24"/>
          <w:szCs w:val="24"/>
        </w:rPr>
        <w:t>24</w:t>
      </w:r>
      <w:r w:rsidR="0066562F" w:rsidRPr="0040535D">
        <w:rPr>
          <w:rFonts w:ascii="Times New Roman" w:hAnsi="Times New Roman"/>
          <w:sz w:val="24"/>
          <w:szCs w:val="24"/>
        </w:rPr>
        <w:t>g</w:t>
      </w:r>
      <w:r w:rsidRPr="0040535D">
        <w:rPr>
          <w:rFonts w:ascii="Times New Roman" w:hAnsi="Times New Roman"/>
          <w:sz w:val="24"/>
          <w:szCs w:val="24"/>
        </w:rPr>
        <w:t xml:space="preserve">. Funduszem Rozwoju Regionalnego </w:t>
      </w:r>
      <w:r w:rsidR="009B0773" w:rsidRPr="0040535D">
        <w:rPr>
          <w:rFonts w:ascii="Times New Roman" w:hAnsi="Times New Roman"/>
          <w:sz w:val="24"/>
          <w:szCs w:val="24"/>
        </w:rPr>
        <w:t>jest państwowym f</w:t>
      </w:r>
      <w:r w:rsidR="00A016EB" w:rsidRPr="0040535D">
        <w:rPr>
          <w:rFonts w:ascii="Times New Roman" w:hAnsi="Times New Roman"/>
          <w:sz w:val="24"/>
          <w:szCs w:val="24"/>
        </w:rPr>
        <w:t>unduszem celowym, w rozumieniu przepisów ustawy z dnia 27 sierpnia 2</w:t>
      </w:r>
      <w:r w:rsidRPr="0040535D">
        <w:rPr>
          <w:rFonts w:ascii="Times New Roman" w:hAnsi="Times New Roman"/>
          <w:sz w:val="24"/>
          <w:szCs w:val="24"/>
        </w:rPr>
        <w:t>009 r. o finansach publicznych</w:t>
      </w:r>
      <w:r w:rsidR="0066562F" w:rsidRPr="0040535D">
        <w:rPr>
          <w:rFonts w:ascii="Times New Roman" w:hAnsi="Times New Roman"/>
          <w:sz w:val="24"/>
          <w:szCs w:val="24"/>
        </w:rPr>
        <w:t>,</w:t>
      </w:r>
      <w:r w:rsidRPr="0040535D">
        <w:rPr>
          <w:rFonts w:ascii="Times New Roman" w:hAnsi="Times New Roman"/>
          <w:sz w:val="24"/>
          <w:szCs w:val="24"/>
        </w:rPr>
        <w:t xml:space="preserve"> a jego dysponentem </w:t>
      </w:r>
      <w:r w:rsidR="00A016EB" w:rsidRPr="0040535D">
        <w:rPr>
          <w:rFonts w:ascii="Times New Roman" w:hAnsi="Times New Roman"/>
          <w:sz w:val="24"/>
          <w:szCs w:val="24"/>
        </w:rPr>
        <w:t>jest minister właściwy do spraw rozwoju regionalnego.</w:t>
      </w:r>
      <w:r w:rsidR="003049E7" w:rsidRPr="0040535D">
        <w:rPr>
          <w:rFonts w:ascii="Times New Roman" w:hAnsi="Times New Roman"/>
          <w:sz w:val="24"/>
          <w:szCs w:val="24"/>
        </w:rPr>
        <w:t xml:space="preserve"> Środki </w:t>
      </w:r>
      <w:r w:rsidR="009B0773" w:rsidRPr="0040535D">
        <w:rPr>
          <w:rFonts w:ascii="Times New Roman" w:hAnsi="Times New Roman"/>
          <w:sz w:val="24"/>
          <w:szCs w:val="24"/>
        </w:rPr>
        <w:t>F</w:t>
      </w:r>
      <w:r w:rsidR="00A016EB" w:rsidRPr="0040535D">
        <w:rPr>
          <w:rFonts w:ascii="Times New Roman" w:hAnsi="Times New Roman"/>
          <w:sz w:val="24"/>
          <w:szCs w:val="24"/>
        </w:rPr>
        <w:t xml:space="preserve">unduszu </w:t>
      </w:r>
      <w:r w:rsidR="003049E7" w:rsidRPr="0040535D">
        <w:rPr>
          <w:rFonts w:ascii="Times New Roman" w:hAnsi="Times New Roman"/>
          <w:sz w:val="24"/>
          <w:szCs w:val="24"/>
        </w:rPr>
        <w:t>mają być przeznaczane</w:t>
      </w:r>
      <w:r w:rsidR="00A016EB" w:rsidRPr="0040535D">
        <w:rPr>
          <w:rFonts w:ascii="Times New Roman" w:hAnsi="Times New Roman"/>
          <w:sz w:val="24"/>
          <w:szCs w:val="24"/>
        </w:rPr>
        <w:t xml:space="preserve"> na realizację zadań polegających na wsparciu działań w zakresie organizacji lub promocji inicjatyw służących promowaniu społeczno-gospodarczego, regionalnego i </w:t>
      </w:r>
      <w:r w:rsidR="00A016EB" w:rsidRPr="0040535D">
        <w:rPr>
          <w:rFonts w:ascii="Times New Roman" w:hAnsi="Times New Roman"/>
          <w:sz w:val="24"/>
          <w:szCs w:val="24"/>
        </w:rPr>
        <w:lastRenderedPageBreak/>
        <w:t>przestrzennego rozwoju kraju, rozwoju społeczności lokalnych lub wzmacnianiu społeczeństwa obywatelskiego.</w:t>
      </w:r>
    </w:p>
    <w:p w14:paraId="246473AF" w14:textId="77777777" w:rsidR="0066562F" w:rsidRPr="0040535D" w:rsidRDefault="0066562F" w:rsidP="009A0EE5">
      <w:pPr>
        <w:spacing w:after="0" w:line="360" w:lineRule="auto"/>
        <w:jc w:val="both"/>
        <w:rPr>
          <w:rFonts w:ascii="Times New Roman" w:hAnsi="Times New Roman"/>
          <w:sz w:val="24"/>
          <w:szCs w:val="24"/>
        </w:rPr>
      </w:pPr>
      <w:r w:rsidRPr="0040535D">
        <w:rPr>
          <w:rFonts w:ascii="Times New Roman" w:hAnsi="Times New Roman"/>
          <w:sz w:val="24"/>
          <w:szCs w:val="24"/>
        </w:rPr>
        <w:t>Podmiotem prowadzącym obsługę bankową Funduszu jest Bank Gospodarstwa Krajowego na zasadach określonych w umowie z dysponentem Funduszu.</w:t>
      </w:r>
    </w:p>
    <w:p w14:paraId="3CB6B506" w14:textId="77777777" w:rsidR="00A016EB" w:rsidRPr="0040535D" w:rsidRDefault="009B0773"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myśl art. </w:t>
      </w:r>
      <w:r w:rsidR="005D537F" w:rsidRPr="0040535D">
        <w:rPr>
          <w:rFonts w:ascii="Times New Roman" w:hAnsi="Times New Roman"/>
          <w:sz w:val="24"/>
          <w:szCs w:val="24"/>
        </w:rPr>
        <w:t>24</w:t>
      </w:r>
      <w:r w:rsidR="0066562F" w:rsidRPr="0040535D">
        <w:rPr>
          <w:rFonts w:ascii="Times New Roman" w:hAnsi="Times New Roman"/>
          <w:sz w:val="24"/>
          <w:szCs w:val="24"/>
        </w:rPr>
        <w:t>h</w:t>
      </w:r>
      <w:r w:rsidR="005D537F" w:rsidRPr="0040535D">
        <w:rPr>
          <w:rFonts w:ascii="Times New Roman" w:hAnsi="Times New Roman"/>
          <w:sz w:val="24"/>
          <w:szCs w:val="24"/>
        </w:rPr>
        <w:t xml:space="preserve"> </w:t>
      </w:r>
      <w:r w:rsidRPr="0040535D">
        <w:rPr>
          <w:rFonts w:ascii="Times New Roman" w:hAnsi="Times New Roman"/>
          <w:sz w:val="24"/>
          <w:szCs w:val="24"/>
        </w:rPr>
        <w:t>źródłami pochodzenia środków</w:t>
      </w:r>
      <w:r w:rsidR="00A016EB" w:rsidRPr="0040535D">
        <w:rPr>
          <w:rFonts w:ascii="Times New Roman" w:hAnsi="Times New Roman"/>
          <w:sz w:val="24"/>
          <w:szCs w:val="24"/>
        </w:rPr>
        <w:t xml:space="preserve"> Funduszu </w:t>
      </w:r>
      <w:r w:rsidRPr="0040535D">
        <w:rPr>
          <w:rFonts w:ascii="Times New Roman" w:hAnsi="Times New Roman"/>
          <w:sz w:val="24"/>
          <w:szCs w:val="24"/>
        </w:rPr>
        <w:t>są:</w:t>
      </w:r>
    </w:p>
    <w:p w14:paraId="484B86B7" w14:textId="77777777" w:rsidR="00A016EB" w:rsidRPr="0040535D" w:rsidRDefault="00A016EB" w:rsidP="009A0EE5">
      <w:pPr>
        <w:spacing w:after="0" w:line="360" w:lineRule="auto"/>
        <w:ind w:left="426"/>
        <w:jc w:val="both"/>
        <w:rPr>
          <w:rFonts w:ascii="Times New Roman" w:hAnsi="Times New Roman"/>
          <w:sz w:val="24"/>
          <w:szCs w:val="24"/>
        </w:rPr>
      </w:pPr>
      <w:r w:rsidRPr="0040535D">
        <w:rPr>
          <w:rFonts w:ascii="Times New Roman" w:hAnsi="Times New Roman"/>
          <w:sz w:val="24"/>
          <w:szCs w:val="24"/>
        </w:rPr>
        <w:t xml:space="preserve">1) </w:t>
      </w:r>
      <w:r w:rsidR="009B0773" w:rsidRPr="0040535D">
        <w:rPr>
          <w:rFonts w:ascii="Times New Roman" w:hAnsi="Times New Roman"/>
          <w:sz w:val="24"/>
          <w:szCs w:val="24"/>
        </w:rPr>
        <w:t>odsetki</w:t>
      </w:r>
      <w:r w:rsidRPr="0040535D">
        <w:rPr>
          <w:rFonts w:ascii="Times New Roman" w:hAnsi="Times New Roman"/>
          <w:sz w:val="24"/>
          <w:szCs w:val="24"/>
        </w:rPr>
        <w:t xml:space="preserve">: </w:t>
      </w:r>
    </w:p>
    <w:p w14:paraId="147BE4AA" w14:textId="77777777" w:rsidR="00A016EB" w:rsidRPr="0040535D" w:rsidRDefault="00A016EB" w:rsidP="009A0EE5">
      <w:pPr>
        <w:spacing w:after="0" w:line="360" w:lineRule="auto"/>
        <w:ind w:left="709"/>
        <w:jc w:val="both"/>
        <w:rPr>
          <w:rFonts w:ascii="Times New Roman" w:hAnsi="Times New Roman"/>
          <w:sz w:val="24"/>
          <w:szCs w:val="24"/>
        </w:rPr>
      </w:pPr>
      <w:r w:rsidRPr="0040535D">
        <w:rPr>
          <w:rFonts w:ascii="Times New Roman" w:hAnsi="Times New Roman"/>
          <w:sz w:val="24"/>
          <w:szCs w:val="24"/>
        </w:rPr>
        <w:t xml:space="preserve">a) od środków, o których mowa w art. 207 ust. 1 ustawy z dnia 27 sierpnia 2009 r. o finansach publicznych, </w:t>
      </w:r>
    </w:p>
    <w:p w14:paraId="6FFFFA7D" w14:textId="77777777" w:rsidR="00A016EB" w:rsidRPr="0040535D" w:rsidRDefault="00A016EB" w:rsidP="009A0EE5">
      <w:pPr>
        <w:spacing w:after="0" w:line="360" w:lineRule="auto"/>
        <w:ind w:left="709"/>
        <w:jc w:val="both"/>
        <w:rPr>
          <w:rFonts w:ascii="Times New Roman" w:hAnsi="Times New Roman"/>
          <w:sz w:val="24"/>
          <w:szCs w:val="24"/>
        </w:rPr>
      </w:pPr>
      <w:r w:rsidRPr="0040535D">
        <w:rPr>
          <w:rFonts w:ascii="Times New Roman" w:hAnsi="Times New Roman"/>
          <w:sz w:val="24"/>
          <w:szCs w:val="24"/>
        </w:rPr>
        <w:t>b) o których mowa w art. 189 ust. 3 ustawy z dnia 27 sierpnia 2009 r. o finansach publicznych</w:t>
      </w:r>
    </w:p>
    <w:p w14:paraId="4A39781C" w14:textId="77777777" w:rsidR="00A016EB" w:rsidRPr="0040535D" w:rsidRDefault="00A016EB" w:rsidP="009A0EE5">
      <w:pPr>
        <w:spacing w:after="0" w:line="360" w:lineRule="auto"/>
        <w:ind w:left="709"/>
        <w:jc w:val="both"/>
        <w:rPr>
          <w:rFonts w:ascii="Times New Roman" w:hAnsi="Times New Roman"/>
          <w:sz w:val="24"/>
          <w:szCs w:val="24"/>
        </w:rPr>
      </w:pPr>
      <w:r w:rsidRPr="0040535D">
        <w:rPr>
          <w:rFonts w:ascii="Times New Roman" w:hAnsi="Times New Roman"/>
          <w:sz w:val="24"/>
          <w:szCs w:val="24"/>
        </w:rPr>
        <w:t>- z wyłączeniem przypadków, w których zwrot środków albo zapłata odsetek następuje  przez pomniejszenie kolejnej płatności na rzecz beneficjenta;</w:t>
      </w:r>
    </w:p>
    <w:p w14:paraId="19C196D4" w14:textId="77777777" w:rsidR="00A016EB" w:rsidRPr="0040535D" w:rsidRDefault="009B0773" w:rsidP="009A0EE5">
      <w:pPr>
        <w:spacing w:after="0" w:line="360" w:lineRule="auto"/>
        <w:ind w:left="426"/>
        <w:jc w:val="both"/>
        <w:rPr>
          <w:rFonts w:ascii="Times New Roman" w:hAnsi="Times New Roman"/>
          <w:sz w:val="24"/>
          <w:szCs w:val="24"/>
        </w:rPr>
      </w:pPr>
      <w:r w:rsidRPr="0040535D">
        <w:rPr>
          <w:rFonts w:ascii="Times New Roman" w:hAnsi="Times New Roman"/>
          <w:sz w:val="24"/>
          <w:szCs w:val="24"/>
        </w:rPr>
        <w:t>2) dotacje</w:t>
      </w:r>
      <w:r w:rsidR="00A016EB" w:rsidRPr="0040535D">
        <w:rPr>
          <w:rFonts w:ascii="Times New Roman" w:hAnsi="Times New Roman"/>
          <w:sz w:val="24"/>
          <w:szCs w:val="24"/>
        </w:rPr>
        <w:t xml:space="preserve"> z budżetu państwa;</w:t>
      </w:r>
    </w:p>
    <w:p w14:paraId="32C3EF86" w14:textId="77777777" w:rsidR="00A016EB" w:rsidRPr="0040535D" w:rsidRDefault="004521EC" w:rsidP="009A0EE5">
      <w:pPr>
        <w:spacing w:after="0" w:line="360" w:lineRule="auto"/>
        <w:ind w:left="426"/>
        <w:jc w:val="both"/>
        <w:rPr>
          <w:rFonts w:ascii="Times New Roman" w:hAnsi="Times New Roman"/>
          <w:sz w:val="24"/>
          <w:szCs w:val="24"/>
        </w:rPr>
      </w:pPr>
      <w:r w:rsidRPr="0040535D">
        <w:rPr>
          <w:rFonts w:ascii="Times New Roman" w:hAnsi="Times New Roman"/>
          <w:sz w:val="24"/>
          <w:szCs w:val="24"/>
        </w:rPr>
        <w:t>3</w:t>
      </w:r>
      <w:r w:rsidR="009B0773" w:rsidRPr="0040535D">
        <w:rPr>
          <w:rFonts w:ascii="Times New Roman" w:hAnsi="Times New Roman"/>
          <w:sz w:val="24"/>
          <w:szCs w:val="24"/>
        </w:rPr>
        <w:t>) odsetki</w:t>
      </w:r>
      <w:r w:rsidR="00A016EB" w:rsidRPr="0040535D">
        <w:rPr>
          <w:rFonts w:ascii="Times New Roman" w:hAnsi="Times New Roman"/>
          <w:sz w:val="24"/>
          <w:szCs w:val="24"/>
        </w:rPr>
        <w:t xml:space="preserve"> od lokat środków Funduszu;</w:t>
      </w:r>
    </w:p>
    <w:p w14:paraId="21C8BD7A" w14:textId="77777777" w:rsidR="00A016EB" w:rsidRPr="0040535D" w:rsidRDefault="004521EC" w:rsidP="009A0EE5">
      <w:pPr>
        <w:spacing w:after="0" w:line="360" w:lineRule="auto"/>
        <w:ind w:left="426"/>
        <w:jc w:val="both"/>
        <w:rPr>
          <w:rFonts w:ascii="Times New Roman" w:hAnsi="Times New Roman"/>
          <w:sz w:val="24"/>
          <w:szCs w:val="24"/>
        </w:rPr>
      </w:pPr>
      <w:r w:rsidRPr="0040535D">
        <w:rPr>
          <w:rFonts w:ascii="Times New Roman" w:hAnsi="Times New Roman"/>
          <w:sz w:val="24"/>
          <w:szCs w:val="24"/>
        </w:rPr>
        <w:t>4</w:t>
      </w:r>
      <w:r w:rsidR="00A016EB" w:rsidRPr="0040535D">
        <w:rPr>
          <w:rFonts w:ascii="Times New Roman" w:hAnsi="Times New Roman"/>
          <w:sz w:val="24"/>
          <w:szCs w:val="24"/>
        </w:rPr>
        <w:t>) wpłaty ze zwrotów wparcia udzielonego ze środków Funduszu, wraz z oprocentowaniem;</w:t>
      </w:r>
    </w:p>
    <w:p w14:paraId="2D19A3F9" w14:textId="77777777" w:rsidR="00A016EB" w:rsidRPr="0040535D" w:rsidRDefault="004521EC" w:rsidP="009A0EE5">
      <w:pPr>
        <w:spacing w:after="0" w:line="360" w:lineRule="auto"/>
        <w:ind w:left="426"/>
        <w:jc w:val="both"/>
        <w:rPr>
          <w:rFonts w:ascii="Times New Roman" w:hAnsi="Times New Roman"/>
          <w:sz w:val="24"/>
          <w:szCs w:val="24"/>
        </w:rPr>
      </w:pPr>
      <w:r w:rsidRPr="0040535D">
        <w:rPr>
          <w:rFonts w:ascii="Times New Roman" w:hAnsi="Times New Roman"/>
          <w:sz w:val="24"/>
          <w:szCs w:val="24"/>
        </w:rPr>
        <w:t>5</w:t>
      </w:r>
      <w:r w:rsidR="009B0773" w:rsidRPr="0040535D">
        <w:rPr>
          <w:rFonts w:ascii="Times New Roman" w:hAnsi="Times New Roman"/>
          <w:sz w:val="24"/>
          <w:szCs w:val="24"/>
        </w:rPr>
        <w:t>) inne wpływy</w:t>
      </w:r>
      <w:r w:rsidR="00A016EB" w:rsidRPr="0040535D">
        <w:rPr>
          <w:rFonts w:ascii="Times New Roman" w:hAnsi="Times New Roman"/>
          <w:sz w:val="24"/>
          <w:szCs w:val="24"/>
        </w:rPr>
        <w:t>.</w:t>
      </w:r>
    </w:p>
    <w:p w14:paraId="4BB45934" w14:textId="77777777" w:rsidR="009B0773" w:rsidRPr="0040535D" w:rsidRDefault="009B0773" w:rsidP="009A0EE5">
      <w:pPr>
        <w:spacing w:after="0" w:line="360" w:lineRule="auto"/>
        <w:jc w:val="both"/>
        <w:rPr>
          <w:rFonts w:ascii="Times New Roman" w:hAnsi="Times New Roman"/>
          <w:sz w:val="24"/>
          <w:szCs w:val="24"/>
        </w:rPr>
      </w:pPr>
    </w:p>
    <w:p w14:paraId="60CF003F" w14:textId="77777777" w:rsidR="00A016EB" w:rsidRPr="0040535D" w:rsidRDefault="00A016EB" w:rsidP="009A0EE5">
      <w:pPr>
        <w:spacing w:after="0" w:line="360" w:lineRule="auto"/>
        <w:jc w:val="both"/>
        <w:rPr>
          <w:rFonts w:ascii="Times New Roman" w:hAnsi="Times New Roman"/>
          <w:sz w:val="24"/>
          <w:szCs w:val="24"/>
        </w:rPr>
      </w:pPr>
      <w:r w:rsidRPr="0040535D">
        <w:rPr>
          <w:rFonts w:ascii="Times New Roman" w:hAnsi="Times New Roman"/>
          <w:sz w:val="24"/>
          <w:szCs w:val="24"/>
        </w:rPr>
        <w:t>Powierzenie realizacji zadań, jednostkom niezaliczanym do sektora finansów publicznych, odbywa się w t</w:t>
      </w:r>
      <w:r w:rsidR="009B0773" w:rsidRPr="0040535D">
        <w:rPr>
          <w:rFonts w:ascii="Times New Roman" w:hAnsi="Times New Roman"/>
          <w:sz w:val="24"/>
          <w:szCs w:val="24"/>
        </w:rPr>
        <w:t xml:space="preserve">rybie otwartego konkursu ofert (art. </w:t>
      </w:r>
      <w:r w:rsidR="005D537F" w:rsidRPr="0040535D">
        <w:rPr>
          <w:rFonts w:ascii="Times New Roman" w:hAnsi="Times New Roman"/>
          <w:sz w:val="24"/>
          <w:szCs w:val="24"/>
        </w:rPr>
        <w:t>24</w:t>
      </w:r>
      <w:r w:rsidR="004521EC" w:rsidRPr="0040535D">
        <w:rPr>
          <w:rFonts w:ascii="Times New Roman" w:hAnsi="Times New Roman"/>
          <w:sz w:val="24"/>
          <w:szCs w:val="24"/>
        </w:rPr>
        <w:t>i</w:t>
      </w:r>
      <w:r w:rsidR="009B0773" w:rsidRPr="0040535D">
        <w:rPr>
          <w:rFonts w:ascii="Times New Roman" w:hAnsi="Times New Roman"/>
          <w:sz w:val="24"/>
          <w:szCs w:val="24"/>
        </w:rPr>
        <w:t xml:space="preserve"> ust.1). </w:t>
      </w:r>
      <w:r w:rsidRPr="0040535D">
        <w:rPr>
          <w:rFonts w:ascii="Times New Roman" w:hAnsi="Times New Roman"/>
          <w:sz w:val="24"/>
          <w:szCs w:val="24"/>
        </w:rPr>
        <w:t xml:space="preserve">Dysponent Funduszu udzielając dotacji celowej na realizację w trybie </w:t>
      </w:r>
      <w:r w:rsidR="009B0773" w:rsidRPr="0040535D">
        <w:rPr>
          <w:rFonts w:ascii="Times New Roman" w:hAnsi="Times New Roman"/>
          <w:sz w:val="24"/>
          <w:szCs w:val="24"/>
        </w:rPr>
        <w:t xml:space="preserve">otwartego konkursu ofert zadań </w:t>
      </w:r>
      <w:r w:rsidRPr="0040535D">
        <w:rPr>
          <w:rFonts w:ascii="Times New Roman" w:hAnsi="Times New Roman"/>
          <w:sz w:val="24"/>
          <w:szCs w:val="24"/>
        </w:rPr>
        <w:t>zawiera z jednostką niezaliczaną do sektora finansów publicznych umowę o treści ustalonej przez dysponenta Funduszu</w:t>
      </w:r>
      <w:r w:rsidR="009B0773" w:rsidRPr="0040535D">
        <w:rPr>
          <w:rFonts w:ascii="Times New Roman" w:hAnsi="Times New Roman"/>
          <w:sz w:val="24"/>
          <w:szCs w:val="24"/>
        </w:rPr>
        <w:t xml:space="preserve"> (ust.</w:t>
      </w:r>
      <w:r w:rsidR="00D60903" w:rsidRPr="0040535D">
        <w:rPr>
          <w:rFonts w:ascii="Times New Roman" w:hAnsi="Times New Roman"/>
          <w:sz w:val="24"/>
          <w:szCs w:val="24"/>
        </w:rPr>
        <w:t xml:space="preserve"> </w:t>
      </w:r>
      <w:r w:rsidR="009B0773" w:rsidRPr="0040535D">
        <w:rPr>
          <w:rFonts w:ascii="Times New Roman" w:hAnsi="Times New Roman"/>
          <w:sz w:val="24"/>
          <w:szCs w:val="24"/>
        </w:rPr>
        <w:t>2)</w:t>
      </w:r>
      <w:r w:rsidRPr="0040535D">
        <w:rPr>
          <w:rFonts w:ascii="Times New Roman" w:hAnsi="Times New Roman"/>
          <w:sz w:val="24"/>
          <w:szCs w:val="24"/>
        </w:rPr>
        <w:t xml:space="preserve">. </w:t>
      </w:r>
    </w:p>
    <w:p w14:paraId="0049615C" w14:textId="77777777" w:rsidR="00A016EB" w:rsidRPr="0040535D" w:rsidRDefault="009B0773" w:rsidP="009A0EE5">
      <w:pPr>
        <w:spacing w:after="0" w:line="360" w:lineRule="auto"/>
        <w:jc w:val="both"/>
        <w:rPr>
          <w:rFonts w:ascii="Times New Roman" w:hAnsi="Times New Roman"/>
          <w:sz w:val="24"/>
          <w:szCs w:val="24"/>
        </w:rPr>
      </w:pPr>
      <w:r w:rsidRPr="0040535D">
        <w:rPr>
          <w:rFonts w:ascii="Times New Roman" w:hAnsi="Times New Roman"/>
          <w:sz w:val="24"/>
          <w:szCs w:val="24"/>
        </w:rPr>
        <w:t>W przypadku jednostek</w:t>
      </w:r>
      <w:r w:rsidR="00A016EB" w:rsidRPr="0040535D">
        <w:rPr>
          <w:rFonts w:ascii="Times New Roman" w:hAnsi="Times New Roman"/>
          <w:sz w:val="24"/>
          <w:szCs w:val="24"/>
        </w:rPr>
        <w:t xml:space="preserve"> niezalicza</w:t>
      </w:r>
      <w:r w:rsidRPr="0040535D">
        <w:rPr>
          <w:rFonts w:ascii="Times New Roman" w:hAnsi="Times New Roman"/>
          <w:sz w:val="24"/>
          <w:szCs w:val="24"/>
        </w:rPr>
        <w:t>nych</w:t>
      </w:r>
      <w:r w:rsidR="00A016EB" w:rsidRPr="0040535D">
        <w:rPr>
          <w:rFonts w:ascii="Times New Roman" w:hAnsi="Times New Roman"/>
          <w:sz w:val="24"/>
          <w:szCs w:val="24"/>
        </w:rPr>
        <w:t xml:space="preserve"> do sektora finansów publicznych, z którymi została zawarta umowa</w:t>
      </w:r>
      <w:r w:rsidRPr="0040535D">
        <w:rPr>
          <w:rFonts w:ascii="Times New Roman" w:hAnsi="Times New Roman"/>
          <w:sz w:val="24"/>
          <w:szCs w:val="24"/>
        </w:rPr>
        <w:t xml:space="preserve"> ustawa nakłada obowiązek</w:t>
      </w:r>
      <w:r w:rsidR="00A016EB" w:rsidRPr="0040535D">
        <w:rPr>
          <w:rFonts w:ascii="Times New Roman" w:hAnsi="Times New Roman"/>
          <w:sz w:val="24"/>
          <w:szCs w:val="24"/>
        </w:rPr>
        <w:t xml:space="preserve"> prowadzenia wyodrębnionej ewidencji księgowej otrzymanych środków i dokonywanych z tych środków wydatków oraz posiadania odrębnego rachunku bankowego przeznaczonego tylko do obsługi tych środków</w:t>
      </w:r>
      <w:r w:rsidRPr="0040535D">
        <w:rPr>
          <w:rFonts w:ascii="Times New Roman" w:hAnsi="Times New Roman"/>
          <w:sz w:val="24"/>
          <w:szCs w:val="24"/>
        </w:rPr>
        <w:t xml:space="preserve"> (ust. 3)</w:t>
      </w:r>
      <w:r w:rsidR="00A016EB" w:rsidRPr="0040535D">
        <w:rPr>
          <w:rFonts w:ascii="Times New Roman" w:hAnsi="Times New Roman"/>
          <w:sz w:val="24"/>
          <w:szCs w:val="24"/>
        </w:rPr>
        <w:t>.</w:t>
      </w:r>
    </w:p>
    <w:p w14:paraId="1A28AC30" w14:textId="77777777" w:rsidR="008B49E9" w:rsidRPr="0040535D" w:rsidRDefault="009B0773" w:rsidP="009A0EE5">
      <w:pPr>
        <w:spacing w:after="0" w:line="360" w:lineRule="auto"/>
        <w:jc w:val="both"/>
        <w:rPr>
          <w:rFonts w:ascii="Times New Roman" w:hAnsi="Times New Roman"/>
          <w:sz w:val="24"/>
          <w:szCs w:val="24"/>
        </w:rPr>
      </w:pPr>
      <w:r w:rsidRPr="0040535D">
        <w:rPr>
          <w:rFonts w:ascii="Times New Roman" w:hAnsi="Times New Roman"/>
          <w:sz w:val="24"/>
          <w:szCs w:val="24"/>
        </w:rPr>
        <w:t>Kontrolę</w:t>
      </w:r>
      <w:r w:rsidR="00A016EB" w:rsidRPr="0040535D">
        <w:rPr>
          <w:rFonts w:ascii="Times New Roman" w:hAnsi="Times New Roman"/>
          <w:sz w:val="24"/>
          <w:szCs w:val="24"/>
        </w:rPr>
        <w:t xml:space="preserve"> prawidłowość wydatkowania dotacji udzielonych ze środków Funduszu pod względem racjonalności i legalności ich wydatkowania</w:t>
      </w:r>
      <w:r w:rsidRPr="0040535D">
        <w:rPr>
          <w:rFonts w:ascii="Times New Roman" w:hAnsi="Times New Roman"/>
          <w:sz w:val="24"/>
          <w:szCs w:val="24"/>
        </w:rPr>
        <w:t xml:space="preserve"> wykonuje dysponent Funduszu (Art. </w:t>
      </w:r>
      <w:r w:rsidR="005D537F" w:rsidRPr="0040535D">
        <w:rPr>
          <w:rFonts w:ascii="Times New Roman" w:hAnsi="Times New Roman"/>
          <w:sz w:val="24"/>
          <w:szCs w:val="24"/>
        </w:rPr>
        <w:t>24</w:t>
      </w:r>
      <w:r w:rsidR="004521EC" w:rsidRPr="0040535D">
        <w:rPr>
          <w:rFonts w:ascii="Times New Roman" w:hAnsi="Times New Roman"/>
          <w:sz w:val="24"/>
          <w:szCs w:val="24"/>
        </w:rPr>
        <w:t>j</w:t>
      </w:r>
      <w:r w:rsidRPr="0040535D">
        <w:rPr>
          <w:rFonts w:ascii="Times New Roman" w:hAnsi="Times New Roman"/>
          <w:sz w:val="24"/>
          <w:szCs w:val="24"/>
        </w:rPr>
        <w:t>)</w:t>
      </w:r>
      <w:r w:rsidR="00A65C35" w:rsidRPr="0040535D">
        <w:rPr>
          <w:rFonts w:ascii="Times New Roman" w:hAnsi="Times New Roman"/>
          <w:sz w:val="24"/>
          <w:szCs w:val="24"/>
        </w:rPr>
        <w:t>.</w:t>
      </w:r>
    </w:p>
    <w:p w14:paraId="256275E6" w14:textId="77777777" w:rsidR="004521EC" w:rsidRPr="0040535D" w:rsidRDefault="004521EC" w:rsidP="009A0EE5">
      <w:pPr>
        <w:spacing w:after="0" w:line="360" w:lineRule="auto"/>
        <w:jc w:val="both"/>
        <w:rPr>
          <w:rFonts w:ascii="Times New Roman" w:hAnsi="Times New Roman"/>
          <w:sz w:val="24"/>
          <w:szCs w:val="24"/>
        </w:rPr>
      </w:pPr>
    </w:p>
    <w:p w14:paraId="4D51ACD6" w14:textId="77777777" w:rsidR="008B49E9" w:rsidRPr="0040535D" w:rsidRDefault="00D34954" w:rsidP="009A0EE5">
      <w:pPr>
        <w:spacing w:after="0" w:line="360" w:lineRule="auto"/>
        <w:jc w:val="both"/>
        <w:rPr>
          <w:rFonts w:ascii="Times New Roman" w:hAnsi="Times New Roman"/>
          <w:sz w:val="24"/>
          <w:szCs w:val="24"/>
        </w:rPr>
      </w:pPr>
      <w:r w:rsidRPr="0040535D">
        <w:rPr>
          <w:rFonts w:ascii="Times New Roman" w:hAnsi="Times New Roman"/>
          <w:b/>
          <w:sz w:val="24"/>
          <w:szCs w:val="24"/>
        </w:rPr>
        <w:t xml:space="preserve">Art. </w:t>
      </w:r>
      <w:r w:rsidR="001811ED" w:rsidRPr="0040535D">
        <w:rPr>
          <w:rFonts w:ascii="Times New Roman" w:hAnsi="Times New Roman"/>
          <w:b/>
          <w:sz w:val="24"/>
          <w:szCs w:val="24"/>
        </w:rPr>
        <w:t>1</w:t>
      </w:r>
      <w:r w:rsidR="001811ED">
        <w:rPr>
          <w:rFonts w:ascii="Times New Roman" w:hAnsi="Times New Roman"/>
          <w:b/>
          <w:sz w:val="24"/>
          <w:szCs w:val="24"/>
        </w:rPr>
        <w:t>09</w:t>
      </w:r>
      <w:r w:rsidR="001811ED" w:rsidRPr="0040535D">
        <w:rPr>
          <w:rFonts w:ascii="Times New Roman" w:hAnsi="Times New Roman"/>
          <w:sz w:val="24"/>
          <w:szCs w:val="24"/>
        </w:rPr>
        <w:t xml:space="preserve"> </w:t>
      </w:r>
      <w:r w:rsidRPr="0040535D">
        <w:rPr>
          <w:rFonts w:ascii="Times New Roman" w:hAnsi="Times New Roman"/>
          <w:sz w:val="24"/>
          <w:szCs w:val="24"/>
        </w:rPr>
        <w:t>projektu wprowadza zmiany ustawy z dnia 13 kwietnia 2007 r. o Państwowej Inspekcji Pracy (Dz. U. z 2019 r. poz. 1251</w:t>
      </w:r>
      <w:r w:rsidR="00D95B3A" w:rsidRPr="0040535D">
        <w:rPr>
          <w:rFonts w:ascii="Times New Roman" w:hAnsi="Times New Roman"/>
          <w:sz w:val="24"/>
          <w:szCs w:val="24"/>
        </w:rPr>
        <w:t xml:space="preserve">, z </w:t>
      </w:r>
      <w:proofErr w:type="spellStart"/>
      <w:r w:rsidR="00D95B3A" w:rsidRPr="0040535D">
        <w:rPr>
          <w:rFonts w:ascii="Times New Roman" w:hAnsi="Times New Roman"/>
          <w:sz w:val="24"/>
          <w:szCs w:val="24"/>
        </w:rPr>
        <w:t>późn</w:t>
      </w:r>
      <w:proofErr w:type="spellEnd"/>
      <w:r w:rsidR="00D95B3A" w:rsidRPr="0040535D">
        <w:rPr>
          <w:rFonts w:ascii="Times New Roman" w:hAnsi="Times New Roman"/>
          <w:sz w:val="24"/>
          <w:szCs w:val="24"/>
        </w:rPr>
        <w:t>. zm.</w:t>
      </w:r>
      <w:r w:rsidRPr="0040535D">
        <w:rPr>
          <w:rFonts w:ascii="Times New Roman" w:hAnsi="Times New Roman"/>
          <w:sz w:val="24"/>
          <w:szCs w:val="24"/>
        </w:rPr>
        <w:t xml:space="preserve">).  Proponuje się, aby Państwowej Inspekcji </w:t>
      </w:r>
      <w:r w:rsidRPr="0040535D">
        <w:rPr>
          <w:rFonts w:ascii="Times New Roman" w:hAnsi="Times New Roman"/>
          <w:sz w:val="24"/>
          <w:szCs w:val="24"/>
        </w:rPr>
        <w:lastRenderedPageBreak/>
        <w:t>Pracy, zwanej dalej „PIP”, została powierzona również kontrola podmiotów zatrudniających niebędących pracodawcami w zakresie obowiązków wynikających z ustawy z dnia 4 października 2018 r. o pracowniczych planach kapitałowych (Dz. U. z 2020 r. poz. 1342). Jest to zasadne dla zachowania równego traktowania wszystkich podmiotów zatrudniających (art. 13 ustawy o PIP). Aktualnie PIP nie posiada także uprawnienia do przeprowadzania kontroli podmiotów zatrudniających w zakresie przestrzegania zakazu nakłaniania do rezygnacji z oszczędzania w PPK. Proponuje się więc, aby PIP, która jest wyspecjalizowana w ściganiu tego typu wykroczeń, została powierzona również kontrola w zakresie nakłaniania do rezygnacji z PPK, co pozwoliłoby na prowadzenie przez PIP kompleksowej kontroli podmiotów zatrudniających w zakresie PPK (art. 10 ustawy o PIP).</w:t>
      </w:r>
    </w:p>
    <w:p w14:paraId="51606735" w14:textId="77777777" w:rsidR="00E8476C" w:rsidRPr="0040535D" w:rsidRDefault="00E8476C" w:rsidP="009A0EE5">
      <w:pPr>
        <w:spacing w:after="0" w:line="360" w:lineRule="auto"/>
        <w:jc w:val="both"/>
        <w:rPr>
          <w:rFonts w:ascii="Times New Roman" w:hAnsi="Times New Roman"/>
          <w:sz w:val="24"/>
          <w:szCs w:val="24"/>
        </w:rPr>
      </w:pPr>
    </w:p>
    <w:p w14:paraId="7A643172" w14:textId="77777777" w:rsidR="00D95B3A" w:rsidRPr="0040535D" w:rsidRDefault="00E8476C" w:rsidP="009A0EE5">
      <w:pPr>
        <w:spacing w:after="0" w:line="360" w:lineRule="auto"/>
        <w:jc w:val="both"/>
        <w:rPr>
          <w:rFonts w:ascii="Times New Roman" w:hAnsi="Times New Roman"/>
          <w:sz w:val="24"/>
          <w:szCs w:val="24"/>
        </w:rPr>
      </w:pPr>
      <w:r w:rsidRPr="0040535D">
        <w:rPr>
          <w:rFonts w:ascii="Times New Roman" w:hAnsi="Times New Roman"/>
          <w:b/>
          <w:sz w:val="24"/>
          <w:szCs w:val="24"/>
        </w:rPr>
        <w:t xml:space="preserve">Art. </w:t>
      </w:r>
      <w:r w:rsidR="001811ED" w:rsidRPr="0040535D">
        <w:rPr>
          <w:rFonts w:ascii="Times New Roman" w:hAnsi="Times New Roman"/>
          <w:b/>
          <w:sz w:val="24"/>
          <w:szCs w:val="24"/>
        </w:rPr>
        <w:t>11</w:t>
      </w:r>
      <w:r w:rsidR="001811ED">
        <w:rPr>
          <w:rFonts w:ascii="Times New Roman" w:hAnsi="Times New Roman"/>
          <w:b/>
          <w:sz w:val="24"/>
          <w:szCs w:val="24"/>
        </w:rPr>
        <w:t>0</w:t>
      </w:r>
      <w:r w:rsidR="001811ED" w:rsidRPr="0040535D">
        <w:rPr>
          <w:rFonts w:ascii="Times New Roman" w:hAnsi="Times New Roman"/>
          <w:sz w:val="24"/>
          <w:szCs w:val="24"/>
        </w:rPr>
        <w:t xml:space="preserve"> </w:t>
      </w:r>
      <w:r w:rsidRPr="0040535D">
        <w:rPr>
          <w:rFonts w:ascii="Times New Roman" w:hAnsi="Times New Roman"/>
          <w:sz w:val="24"/>
          <w:szCs w:val="24"/>
        </w:rPr>
        <w:t>zmienia  ustawę z dnia 9 maja 2008 r. o Agencji Restrukturyzacji i Modernizacji Rolnictwa  (Dz. U. z 2019 r. poz. 1505). Proponowana zmiana  art. 4 ust. 1 pkt 8 ma na celu dostosowanie przepisów ustawy do  nowych zadań Agencji.</w:t>
      </w:r>
    </w:p>
    <w:p w14:paraId="70C9D068" w14:textId="77777777" w:rsidR="00E8476C" w:rsidRPr="0040535D" w:rsidRDefault="00E8476C" w:rsidP="009A0EE5">
      <w:pPr>
        <w:spacing w:after="0" w:line="360" w:lineRule="auto"/>
        <w:jc w:val="both"/>
        <w:rPr>
          <w:rFonts w:ascii="Times New Roman" w:hAnsi="Times New Roman"/>
          <w:sz w:val="24"/>
          <w:szCs w:val="24"/>
        </w:rPr>
      </w:pPr>
    </w:p>
    <w:p w14:paraId="094D1880" w14:textId="77777777" w:rsidR="0054764B" w:rsidRDefault="0091331E" w:rsidP="009A0EE5">
      <w:pPr>
        <w:spacing w:after="0" w:line="360" w:lineRule="auto"/>
        <w:jc w:val="both"/>
        <w:rPr>
          <w:rFonts w:ascii="Times New Roman" w:hAnsi="Times New Roman"/>
          <w:color w:val="000000"/>
          <w:lang w:eastAsia="pl-PL"/>
        </w:rPr>
      </w:pPr>
      <w:r w:rsidRPr="0040535D">
        <w:rPr>
          <w:rFonts w:ascii="Times New Roman" w:hAnsi="Times New Roman"/>
          <w:b/>
          <w:sz w:val="24"/>
          <w:szCs w:val="24"/>
        </w:rPr>
        <w:t xml:space="preserve">Art. </w:t>
      </w:r>
      <w:r w:rsidR="001811ED" w:rsidRPr="0040535D">
        <w:rPr>
          <w:rFonts w:ascii="Times New Roman" w:hAnsi="Times New Roman"/>
          <w:b/>
          <w:sz w:val="24"/>
          <w:szCs w:val="24"/>
        </w:rPr>
        <w:t>11</w:t>
      </w:r>
      <w:r w:rsidR="001811ED">
        <w:rPr>
          <w:rFonts w:ascii="Times New Roman" w:hAnsi="Times New Roman"/>
          <w:b/>
          <w:sz w:val="24"/>
          <w:szCs w:val="24"/>
        </w:rPr>
        <w:t>1</w:t>
      </w:r>
      <w:r w:rsidR="001811ED" w:rsidRPr="0040535D">
        <w:rPr>
          <w:rFonts w:ascii="Times New Roman" w:hAnsi="Times New Roman"/>
          <w:sz w:val="24"/>
          <w:szCs w:val="24"/>
        </w:rPr>
        <w:t xml:space="preserve"> </w:t>
      </w:r>
      <w:r w:rsidRPr="0040535D">
        <w:rPr>
          <w:rFonts w:ascii="Times New Roman" w:hAnsi="Times New Roman"/>
          <w:sz w:val="24"/>
          <w:szCs w:val="24"/>
        </w:rPr>
        <w:t>zmienia art. 8 ust. 3a ustawy z dnia 30 maja 2008 r. o niektórych formach wspierania działalności innowacyjnej</w:t>
      </w:r>
      <w:r w:rsidR="00FB7ED3" w:rsidRPr="0040535D">
        <w:rPr>
          <w:rFonts w:ascii="Times New Roman" w:hAnsi="Times New Roman"/>
          <w:sz w:val="24"/>
          <w:szCs w:val="24"/>
        </w:rPr>
        <w:t xml:space="preserve"> (Dz.U z 2021 r. poz. 706)</w:t>
      </w:r>
      <w:r w:rsidRPr="0040535D">
        <w:rPr>
          <w:rFonts w:ascii="Times New Roman" w:hAnsi="Times New Roman"/>
          <w:sz w:val="24"/>
          <w:szCs w:val="24"/>
        </w:rPr>
        <w:t xml:space="preserve">. Obowiązujący art. 8 ust. 3 tej </w:t>
      </w:r>
      <w:r w:rsidR="00FB7ED3" w:rsidRPr="0040535D">
        <w:rPr>
          <w:rFonts w:ascii="Times New Roman" w:hAnsi="Times New Roman"/>
          <w:sz w:val="24"/>
          <w:szCs w:val="24"/>
        </w:rPr>
        <w:t>ustawy</w:t>
      </w:r>
      <w:r w:rsidRPr="0040535D">
        <w:rPr>
          <w:rFonts w:ascii="Times New Roman" w:hAnsi="Times New Roman"/>
          <w:sz w:val="24"/>
          <w:szCs w:val="24"/>
        </w:rPr>
        <w:t xml:space="preserve">  przewiduje możliwość zawierania umów o wypłatę premii technologicznej nie później niż do końca okresu obowiązywania mapy pomocy regionalnej na lata 2014-2020. Zgodnie z rozporządzen</w:t>
      </w:r>
      <w:r w:rsidR="00FB7ED3" w:rsidRPr="0040535D">
        <w:rPr>
          <w:rFonts w:ascii="Times New Roman" w:hAnsi="Times New Roman"/>
          <w:sz w:val="24"/>
          <w:szCs w:val="24"/>
        </w:rPr>
        <w:t>iem</w:t>
      </w:r>
      <w:r w:rsidRPr="0040535D">
        <w:rPr>
          <w:rFonts w:ascii="Times New Roman" w:hAnsi="Times New Roman"/>
          <w:sz w:val="24"/>
          <w:szCs w:val="24"/>
        </w:rPr>
        <w:t xml:space="preserve"> Rady Ministrów z dnia 30 czerwca 2014 r. w sprawie ustalenia mapy pomocy regionalnej na lata 2014–2021 (Dz. U. poz. 878, z </w:t>
      </w:r>
      <w:proofErr w:type="spellStart"/>
      <w:r w:rsidRPr="0040535D">
        <w:rPr>
          <w:rFonts w:ascii="Times New Roman" w:hAnsi="Times New Roman"/>
          <w:sz w:val="24"/>
          <w:szCs w:val="24"/>
        </w:rPr>
        <w:t>późn</w:t>
      </w:r>
      <w:proofErr w:type="spellEnd"/>
      <w:r w:rsidRPr="0040535D">
        <w:rPr>
          <w:rFonts w:ascii="Times New Roman" w:hAnsi="Times New Roman"/>
          <w:sz w:val="24"/>
          <w:szCs w:val="24"/>
        </w:rPr>
        <w:t xml:space="preserve">. zm.) okres obowiązywania aktualnej mapy pomocy regionalnej </w:t>
      </w:r>
      <w:r w:rsidR="0054764B">
        <w:rPr>
          <w:rFonts w:ascii="Times New Roman" w:hAnsi="Times New Roman"/>
          <w:sz w:val="24"/>
          <w:szCs w:val="24"/>
        </w:rPr>
        <w:t>skończył</w:t>
      </w:r>
      <w:r w:rsidR="0054764B" w:rsidRPr="0040535D">
        <w:rPr>
          <w:rFonts w:ascii="Times New Roman" w:hAnsi="Times New Roman"/>
          <w:sz w:val="24"/>
          <w:szCs w:val="24"/>
        </w:rPr>
        <w:t xml:space="preserve"> </w:t>
      </w:r>
      <w:r w:rsidRPr="0040535D">
        <w:rPr>
          <w:rFonts w:ascii="Times New Roman" w:hAnsi="Times New Roman"/>
          <w:sz w:val="24"/>
          <w:szCs w:val="24"/>
        </w:rPr>
        <w:t xml:space="preserve">się w dniu 31 grudnia </w:t>
      </w:r>
      <w:r w:rsidR="0054764B">
        <w:rPr>
          <w:rFonts w:ascii="Times New Roman" w:hAnsi="Times New Roman"/>
          <w:sz w:val="24"/>
          <w:szCs w:val="24"/>
        </w:rPr>
        <w:t>2021 r</w:t>
      </w:r>
      <w:r w:rsidRPr="0040535D">
        <w:rPr>
          <w:rFonts w:ascii="Times New Roman" w:hAnsi="Times New Roman"/>
          <w:sz w:val="24"/>
          <w:szCs w:val="24"/>
        </w:rPr>
        <w:t xml:space="preserve">. Od 1 stycznia 2022 r. </w:t>
      </w:r>
      <w:r w:rsidR="0054764B">
        <w:rPr>
          <w:rFonts w:ascii="Times New Roman" w:hAnsi="Times New Roman"/>
          <w:sz w:val="24"/>
          <w:szCs w:val="24"/>
        </w:rPr>
        <w:t>obowiązuje</w:t>
      </w:r>
      <w:r w:rsidR="0010739A" w:rsidRPr="0040535D">
        <w:rPr>
          <w:rFonts w:ascii="Times New Roman" w:hAnsi="Times New Roman"/>
          <w:sz w:val="24"/>
          <w:szCs w:val="24"/>
        </w:rPr>
        <w:t xml:space="preserve"> nowa mapa pomocy </w:t>
      </w:r>
      <w:r w:rsidRPr="0040535D">
        <w:rPr>
          <w:rFonts w:ascii="Times New Roman" w:hAnsi="Times New Roman"/>
          <w:sz w:val="24"/>
          <w:szCs w:val="24"/>
        </w:rPr>
        <w:t>regionalnej na lata 2022-2027. Oznacza to konieczność zmiany art. 8 ust. 3a ustawy z dniem 1 stycznia 2022 r. tak, aby umożliwić zawieranie umów po tej dacie.</w:t>
      </w:r>
      <w:r w:rsidR="0054764B" w:rsidRPr="0054764B">
        <w:rPr>
          <w:rFonts w:ascii="Times New Roman" w:hAnsi="Times New Roman"/>
          <w:color w:val="000000"/>
          <w:lang w:eastAsia="pl-PL"/>
        </w:rPr>
        <w:t xml:space="preserve"> </w:t>
      </w:r>
    </w:p>
    <w:p w14:paraId="6DB19D92" w14:textId="77777777" w:rsidR="0091331E" w:rsidRPr="0040535D" w:rsidRDefault="0054764B" w:rsidP="009A0EE5">
      <w:pPr>
        <w:spacing w:after="0" w:line="360" w:lineRule="auto"/>
        <w:jc w:val="both"/>
        <w:rPr>
          <w:rFonts w:ascii="Times New Roman" w:hAnsi="Times New Roman"/>
          <w:sz w:val="24"/>
          <w:szCs w:val="24"/>
        </w:rPr>
      </w:pPr>
      <w:r w:rsidRPr="005E6479">
        <w:rPr>
          <w:rFonts w:ascii="Times New Roman" w:hAnsi="Times New Roman"/>
          <w:color w:val="000000"/>
          <w:sz w:val="24"/>
          <w:szCs w:val="24"/>
          <w:lang w:eastAsia="pl-PL"/>
        </w:rPr>
        <w:t>Wprowadzana zmiana</w:t>
      </w:r>
      <w:r>
        <w:rPr>
          <w:rFonts w:ascii="Times New Roman" w:hAnsi="Times New Roman"/>
          <w:color w:val="000000"/>
          <w:lang w:eastAsia="pl-PL"/>
        </w:rPr>
        <w:t xml:space="preserve"> </w:t>
      </w:r>
      <w:r w:rsidRPr="0054764B">
        <w:rPr>
          <w:rFonts w:ascii="Times New Roman" w:hAnsi="Times New Roman"/>
          <w:sz w:val="24"/>
          <w:szCs w:val="24"/>
        </w:rPr>
        <w:t>polega na umożliwieniu udzielania przez BGK pomocy regionalnej w postaci zawierania umów o wypłatę premii technologicznej na podstawie mapy pomocy regionalnej na lata 2022-2027</w:t>
      </w:r>
      <w:r w:rsidR="00814453">
        <w:rPr>
          <w:rFonts w:ascii="Times New Roman" w:hAnsi="Times New Roman"/>
          <w:sz w:val="24"/>
          <w:szCs w:val="24"/>
        </w:rPr>
        <w:t>,</w:t>
      </w:r>
      <w:r w:rsidRPr="0054764B">
        <w:rPr>
          <w:rFonts w:ascii="Times New Roman" w:hAnsi="Times New Roman"/>
          <w:sz w:val="24"/>
          <w:szCs w:val="24"/>
        </w:rPr>
        <w:t xml:space="preserve"> nie nakłada na przedsiębiorców dodatkowych obowiązków, umożliwia natomiast udzielanie przez BGK wsparcia w ramach dostępnych środków. Wskazane jest więc skrócenie </w:t>
      </w:r>
      <w:r w:rsidRPr="0054764B">
        <w:rPr>
          <w:rFonts w:ascii="Times New Roman" w:hAnsi="Times New Roman"/>
          <w:i/>
          <w:iCs/>
          <w:sz w:val="24"/>
          <w:szCs w:val="24"/>
        </w:rPr>
        <w:t>vacatio legis</w:t>
      </w:r>
      <w:r w:rsidRPr="0054764B">
        <w:rPr>
          <w:rFonts w:ascii="Times New Roman" w:hAnsi="Times New Roman"/>
          <w:sz w:val="24"/>
          <w:szCs w:val="24"/>
        </w:rPr>
        <w:t xml:space="preserve"> i umożliwienie szybszego wznowienia wsparcia w tym zakresie.</w:t>
      </w:r>
    </w:p>
    <w:p w14:paraId="51F6D749" w14:textId="77777777" w:rsidR="00555DC0" w:rsidRPr="0040535D" w:rsidRDefault="00555DC0" w:rsidP="009A0EE5">
      <w:pPr>
        <w:spacing w:after="0" w:line="360" w:lineRule="auto"/>
        <w:jc w:val="both"/>
        <w:rPr>
          <w:rFonts w:ascii="Times New Roman" w:hAnsi="Times New Roman"/>
          <w:sz w:val="24"/>
          <w:szCs w:val="24"/>
        </w:rPr>
      </w:pPr>
    </w:p>
    <w:p w14:paraId="05ADDF12" w14:textId="77777777" w:rsidR="00E70911"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b/>
          <w:sz w:val="24"/>
          <w:szCs w:val="24"/>
        </w:rPr>
        <w:t xml:space="preserve">Art. </w:t>
      </w:r>
      <w:r w:rsidR="00932EB8" w:rsidRPr="0040535D">
        <w:rPr>
          <w:rFonts w:ascii="Times New Roman" w:hAnsi="Times New Roman"/>
          <w:b/>
          <w:sz w:val="24"/>
          <w:szCs w:val="24"/>
        </w:rPr>
        <w:t> </w:t>
      </w:r>
      <w:r w:rsidR="001811ED" w:rsidRPr="0040535D">
        <w:rPr>
          <w:rFonts w:ascii="Times New Roman" w:hAnsi="Times New Roman"/>
          <w:b/>
          <w:sz w:val="24"/>
          <w:szCs w:val="24"/>
        </w:rPr>
        <w:t>11</w:t>
      </w:r>
      <w:r w:rsidR="001811ED">
        <w:rPr>
          <w:rFonts w:ascii="Times New Roman" w:hAnsi="Times New Roman"/>
          <w:b/>
          <w:sz w:val="24"/>
          <w:szCs w:val="24"/>
        </w:rPr>
        <w:t>3</w:t>
      </w:r>
      <w:r w:rsidR="001811ED" w:rsidRPr="0040535D">
        <w:rPr>
          <w:rFonts w:ascii="Times New Roman" w:hAnsi="Times New Roman"/>
          <w:sz w:val="24"/>
          <w:szCs w:val="24"/>
        </w:rPr>
        <w:t xml:space="preserve"> </w:t>
      </w:r>
      <w:r w:rsidR="00C05EC4" w:rsidRPr="0040535D">
        <w:rPr>
          <w:rFonts w:ascii="Times New Roman" w:hAnsi="Times New Roman"/>
          <w:sz w:val="24"/>
          <w:szCs w:val="24"/>
        </w:rPr>
        <w:t>wprowadza zmiany</w:t>
      </w:r>
      <w:r w:rsidRPr="0040535D">
        <w:rPr>
          <w:rFonts w:ascii="Times New Roman" w:hAnsi="Times New Roman"/>
          <w:sz w:val="24"/>
          <w:szCs w:val="24"/>
        </w:rPr>
        <w:t xml:space="preserve"> ustawy</w:t>
      </w:r>
      <w:r w:rsidR="00C05EC4" w:rsidRPr="0040535D">
        <w:rPr>
          <w:rFonts w:ascii="Times New Roman" w:hAnsi="Times New Roman"/>
          <w:sz w:val="24"/>
          <w:szCs w:val="24"/>
        </w:rPr>
        <w:t xml:space="preserve"> o finansach publicznych</w:t>
      </w:r>
      <w:r w:rsidR="008721A0" w:rsidRPr="0040535D">
        <w:rPr>
          <w:rFonts w:ascii="Times New Roman" w:hAnsi="Times New Roman"/>
          <w:sz w:val="24"/>
          <w:szCs w:val="24"/>
        </w:rPr>
        <w:t xml:space="preserve"> (Dz. U. z 2021</w:t>
      </w:r>
      <w:r w:rsidR="0021710D" w:rsidRPr="0040535D">
        <w:rPr>
          <w:rFonts w:ascii="Times New Roman" w:hAnsi="Times New Roman"/>
          <w:sz w:val="24"/>
          <w:szCs w:val="24"/>
        </w:rPr>
        <w:t xml:space="preserve"> </w:t>
      </w:r>
      <w:r w:rsidR="008721A0" w:rsidRPr="0040535D">
        <w:rPr>
          <w:rFonts w:ascii="Times New Roman" w:hAnsi="Times New Roman"/>
          <w:sz w:val="24"/>
          <w:szCs w:val="24"/>
        </w:rPr>
        <w:t>r. poz. 305)</w:t>
      </w:r>
      <w:r w:rsidR="00C05EC4" w:rsidRPr="0040535D">
        <w:rPr>
          <w:rFonts w:ascii="Times New Roman" w:hAnsi="Times New Roman"/>
          <w:sz w:val="24"/>
          <w:szCs w:val="24"/>
        </w:rPr>
        <w:t xml:space="preserve">. </w:t>
      </w:r>
    </w:p>
    <w:p w14:paraId="7A5356F4" w14:textId="77777777" w:rsidR="00555DC0" w:rsidRPr="0040535D" w:rsidRDefault="00E70911" w:rsidP="00694B02">
      <w:pPr>
        <w:spacing w:after="0" w:line="360" w:lineRule="auto"/>
        <w:jc w:val="both"/>
        <w:rPr>
          <w:rFonts w:ascii="Times New Roman" w:hAnsi="Times New Roman"/>
          <w:sz w:val="24"/>
          <w:szCs w:val="24"/>
        </w:rPr>
      </w:pPr>
      <w:r w:rsidRPr="0040535D">
        <w:rPr>
          <w:rFonts w:ascii="Times New Roman" w:hAnsi="Times New Roman"/>
          <w:sz w:val="24"/>
          <w:szCs w:val="24"/>
        </w:rPr>
        <w:lastRenderedPageBreak/>
        <w:t>Ustawa zawiera zmianę  mim. a</w:t>
      </w:r>
      <w:r w:rsidR="00555DC0" w:rsidRPr="0040535D">
        <w:rPr>
          <w:rFonts w:ascii="Times New Roman" w:hAnsi="Times New Roman"/>
          <w:sz w:val="24"/>
          <w:szCs w:val="24"/>
        </w:rPr>
        <w:t>rt. 5 ustawy</w:t>
      </w:r>
      <w:r w:rsidRPr="0040535D">
        <w:rPr>
          <w:rFonts w:ascii="Times New Roman" w:hAnsi="Times New Roman"/>
          <w:sz w:val="24"/>
          <w:szCs w:val="24"/>
        </w:rPr>
        <w:t>, który</w:t>
      </w:r>
      <w:r w:rsidR="00555DC0" w:rsidRPr="0040535D">
        <w:rPr>
          <w:rFonts w:ascii="Times New Roman" w:hAnsi="Times New Roman"/>
          <w:sz w:val="24"/>
          <w:szCs w:val="24"/>
        </w:rPr>
        <w:t xml:space="preserve"> wymaga uwzględnienia wśród środków pochodzących z budżetu UE środków Funduszu na rzecz Sprawiedliwej Transformacji</w:t>
      </w:r>
      <w:r w:rsidR="00694B02" w:rsidRPr="0040535D">
        <w:rPr>
          <w:rFonts w:ascii="Times New Roman" w:hAnsi="Times New Roman"/>
          <w:sz w:val="24"/>
          <w:szCs w:val="24"/>
        </w:rPr>
        <w:t xml:space="preserve"> oraz środków z Europejskiego Funduszu Społecznego Plus przeznaczonych na zwalczanie deprywacji materialnej. </w:t>
      </w:r>
    </w:p>
    <w:p w14:paraId="6A3BCF4A" w14:textId="77777777" w:rsidR="00694B02" w:rsidRPr="0040535D" w:rsidRDefault="00694B02" w:rsidP="00694B02">
      <w:pPr>
        <w:spacing w:after="0" w:line="360" w:lineRule="auto"/>
        <w:jc w:val="both"/>
        <w:rPr>
          <w:rFonts w:ascii="Times New Roman" w:hAnsi="Times New Roman"/>
          <w:sz w:val="24"/>
          <w:szCs w:val="24"/>
        </w:rPr>
      </w:pPr>
    </w:p>
    <w:p w14:paraId="138C4571" w14:textId="77777777" w:rsidR="00986BCB"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Ponadto w art. 5 doprecyzowania wymaga określenie środków przeznaczonych na realizację Inicjatywy na rzecz zatrudnienia ludzi młodych poprzez wskazanie, że środki te odnoszą się wyłącznie do perspektywy finansowej 2014-2020. Do czasu rozliczenia i całkowitego zamknięcia perspektywy finansowej 2014-2020 środki te mogą występować w obrocie środków publicznych. W ramach kolejnej perspektywy finansowej środki te będą jednak stanowiły część środków EFS+, więc będą środkami publicznymi na podstawie art. 5 ust. 3 pkt 1 </w:t>
      </w:r>
      <w:proofErr w:type="spellStart"/>
      <w:r w:rsidR="00DD083B" w:rsidRPr="0040535D">
        <w:rPr>
          <w:rFonts w:ascii="Times New Roman" w:hAnsi="Times New Roman"/>
          <w:sz w:val="24"/>
          <w:szCs w:val="24"/>
        </w:rPr>
        <w:t>ufp</w:t>
      </w:r>
      <w:proofErr w:type="spellEnd"/>
      <w:r w:rsidRPr="0040535D">
        <w:rPr>
          <w:rFonts w:ascii="Times New Roman" w:hAnsi="Times New Roman"/>
          <w:sz w:val="24"/>
          <w:szCs w:val="24"/>
        </w:rPr>
        <w:t xml:space="preserve">. Dodatkowa zmiana dotyczy uwzględnienia w art. </w:t>
      </w:r>
      <w:r w:rsidR="00AA5DFC" w:rsidRPr="0040535D">
        <w:rPr>
          <w:rFonts w:ascii="Times New Roman" w:hAnsi="Times New Roman"/>
          <w:sz w:val="24"/>
          <w:szCs w:val="24"/>
        </w:rPr>
        <w:t xml:space="preserve">5 </w:t>
      </w:r>
      <w:r w:rsidRPr="0040535D">
        <w:rPr>
          <w:rFonts w:ascii="Times New Roman" w:hAnsi="Times New Roman"/>
          <w:sz w:val="24"/>
          <w:szCs w:val="24"/>
        </w:rPr>
        <w:t>nowych środków</w:t>
      </w:r>
      <w:r w:rsidR="00430A29" w:rsidRPr="0040535D">
        <w:rPr>
          <w:rFonts w:ascii="Times New Roman" w:hAnsi="Times New Roman"/>
          <w:sz w:val="24"/>
          <w:szCs w:val="24"/>
        </w:rPr>
        <w:t xml:space="preserve"> m. in. </w:t>
      </w:r>
      <w:r w:rsidRPr="0040535D">
        <w:rPr>
          <w:rFonts w:ascii="Times New Roman" w:hAnsi="Times New Roman"/>
          <w:sz w:val="24"/>
          <w:szCs w:val="24"/>
        </w:rPr>
        <w:t xml:space="preserve"> pochodzących z Funduszu na rzecz Sprawiedliwej Transformacji oraz środków instrumentu „Łącząc Europę” (CEF), przeznaczonych na realizację projektów w perspektywie finansowej 2021 – 2027.</w:t>
      </w:r>
      <w:r w:rsidR="00986BCB" w:rsidRPr="0040535D">
        <w:rPr>
          <w:rFonts w:ascii="Times New Roman" w:hAnsi="Times New Roman"/>
          <w:sz w:val="24"/>
          <w:szCs w:val="24"/>
        </w:rPr>
        <w:t xml:space="preserve"> Ostania </w:t>
      </w:r>
      <w:r w:rsidR="00E52DB1" w:rsidRPr="0040535D">
        <w:rPr>
          <w:rFonts w:ascii="Times New Roman" w:hAnsi="Times New Roman"/>
          <w:sz w:val="24"/>
          <w:szCs w:val="24"/>
        </w:rPr>
        <w:t xml:space="preserve">zmiana </w:t>
      </w:r>
      <w:r w:rsidR="00AD58BF" w:rsidRPr="0040535D">
        <w:rPr>
          <w:rFonts w:ascii="Times New Roman" w:hAnsi="Times New Roman"/>
          <w:sz w:val="24"/>
          <w:szCs w:val="24"/>
        </w:rPr>
        <w:t xml:space="preserve">reguluje możliwość wykorzystania </w:t>
      </w:r>
      <w:r w:rsidR="00C20346" w:rsidRPr="0040535D">
        <w:rPr>
          <w:rFonts w:ascii="Times New Roman" w:hAnsi="Times New Roman"/>
          <w:sz w:val="24"/>
          <w:szCs w:val="24"/>
        </w:rPr>
        <w:t>środków</w:t>
      </w:r>
      <w:r w:rsidR="00986BCB" w:rsidRPr="0040535D">
        <w:rPr>
          <w:rFonts w:ascii="Times New Roman" w:hAnsi="Times New Roman"/>
          <w:sz w:val="24"/>
          <w:szCs w:val="24"/>
        </w:rPr>
        <w:t xml:space="preserve"> pozostałych po zakończeniu realizacji programów w ramach celu Europejska Współpraca Terytorialna oraz programów Europejskiego Instrumentu Sąsiedztwa wdrażanych w ramach perspektywy 2014-2020.</w:t>
      </w:r>
    </w:p>
    <w:p w14:paraId="0750C7B0" w14:textId="77777777" w:rsidR="00555DC0" w:rsidRPr="0040535D" w:rsidRDefault="00555DC0" w:rsidP="009A0EE5">
      <w:pPr>
        <w:spacing w:after="0" w:line="360" w:lineRule="auto"/>
        <w:jc w:val="both"/>
        <w:rPr>
          <w:rFonts w:ascii="Times New Roman" w:hAnsi="Times New Roman"/>
          <w:sz w:val="24"/>
          <w:szCs w:val="24"/>
        </w:rPr>
      </w:pPr>
    </w:p>
    <w:p w14:paraId="410950ED"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A940A8" w:rsidRPr="0040535D">
        <w:rPr>
          <w:rFonts w:ascii="Times New Roman" w:hAnsi="Times New Roman"/>
          <w:sz w:val="24"/>
          <w:szCs w:val="24"/>
        </w:rPr>
        <w:t> </w:t>
      </w:r>
      <w:r w:rsidR="001811ED" w:rsidRPr="0040535D">
        <w:rPr>
          <w:rFonts w:ascii="Times New Roman" w:hAnsi="Times New Roman"/>
          <w:sz w:val="24"/>
          <w:szCs w:val="24"/>
        </w:rPr>
        <w:t>11</w:t>
      </w:r>
      <w:r w:rsidR="001811ED">
        <w:rPr>
          <w:rFonts w:ascii="Times New Roman" w:hAnsi="Times New Roman"/>
          <w:sz w:val="24"/>
          <w:szCs w:val="24"/>
        </w:rPr>
        <w:t>3</w:t>
      </w:r>
      <w:r w:rsidR="001811ED" w:rsidRPr="0040535D">
        <w:rPr>
          <w:rFonts w:ascii="Times New Roman" w:hAnsi="Times New Roman"/>
          <w:sz w:val="24"/>
          <w:szCs w:val="24"/>
        </w:rPr>
        <w:t xml:space="preserve"> </w:t>
      </w:r>
      <w:r w:rsidR="009D312C" w:rsidRPr="0040535D">
        <w:rPr>
          <w:rFonts w:ascii="Times New Roman" w:hAnsi="Times New Roman"/>
          <w:sz w:val="24"/>
          <w:szCs w:val="24"/>
        </w:rPr>
        <w:t>pkt 3</w:t>
      </w:r>
      <w:r w:rsidRPr="0040535D">
        <w:rPr>
          <w:rFonts w:ascii="Times New Roman" w:hAnsi="Times New Roman"/>
          <w:sz w:val="24"/>
          <w:szCs w:val="24"/>
        </w:rPr>
        <w:t xml:space="preserve"> </w:t>
      </w:r>
      <w:r w:rsidR="00A45405" w:rsidRPr="0040535D">
        <w:rPr>
          <w:rFonts w:ascii="Times New Roman" w:hAnsi="Times New Roman"/>
          <w:sz w:val="24"/>
          <w:szCs w:val="24"/>
        </w:rPr>
        <w:t xml:space="preserve">ustawy </w:t>
      </w:r>
      <w:r w:rsidRPr="0040535D">
        <w:rPr>
          <w:rFonts w:ascii="Times New Roman" w:hAnsi="Times New Roman"/>
          <w:sz w:val="24"/>
          <w:szCs w:val="24"/>
        </w:rPr>
        <w:t xml:space="preserve">modyfikuje art. 61 </w:t>
      </w:r>
      <w:proofErr w:type="spellStart"/>
      <w:r w:rsidR="00425A9D" w:rsidRPr="0040535D">
        <w:rPr>
          <w:rFonts w:ascii="Times New Roman" w:hAnsi="Times New Roman"/>
          <w:sz w:val="24"/>
          <w:szCs w:val="24"/>
        </w:rPr>
        <w:t>ufp</w:t>
      </w:r>
      <w:proofErr w:type="spellEnd"/>
      <w:r w:rsidR="00A45405" w:rsidRPr="0040535D">
        <w:rPr>
          <w:rFonts w:ascii="Times New Roman" w:hAnsi="Times New Roman"/>
          <w:sz w:val="24"/>
          <w:szCs w:val="24"/>
        </w:rPr>
        <w:t xml:space="preserve"> </w:t>
      </w:r>
      <w:r w:rsidR="00AA5DFC" w:rsidRPr="0040535D">
        <w:rPr>
          <w:rFonts w:ascii="Times New Roman" w:hAnsi="Times New Roman"/>
          <w:sz w:val="24"/>
          <w:szCs w:val="24"/>
        </w:rPr>
        <w:t xml:space="preserve">dotyczący </w:t>
      </w:r>
      <w:r w:rsidRPr="0040535D">
        <w:rPr>
          <w:rFonts w:ascii="Times New Roman" w:hAnsi="Times New Roman"/>
          <w:sz w:val="24"/>
          <w:szCs w:val="24"/>
        </w:rPr>
        <w:t>decyzji w zakresie niepodatkowych należności budżetowych w związku z koniecznością ujęcia w treści przepisu odwołania do nowej ustawy wdrożeniowej</w:t>
      </w:r>
      <w:r w:rsidR="00AA5DFC" w:rsidRPr="0040535D">
        <w:rPr>
          <w:rFonts w:ascii="Times New Roman" w:hAnsi="Times New Roman"/>
          <w:sz w:val="24"/>
          <w:szCs w:val="24"/>
        </w:rPr>
        <w:t xml:space="preserve"> 2021-2027</w:t>
      </w:r>
      <w:r w:rsidRPr="0040535D">
        <w:rPr>
          <w:rFonts w:ascii="Times New Roman" w:hAnsi="Times New Roman"/>
          <w:sz w:val="24"/>
          <w:szCs w:val="24"/>
        </w:rPr>
        <w:t>.</w:t>
      </w:r>
    </w:p>
    <w:p w14:paraId="1D727176" w14:textId="77777777" w:rsidR="00555DC0" w:rsidRPr="0040535D" w:rsidRDefault="00555DC0" w:rsidP="009A0EE5">
      <w:pPr>
        <w:spacing w:after="0" w:line="360" w:lineRule="auto"/>
        <w:jc w:val="both"/>
        <w:rPr>
          <w:rFonts w:ascii="Times New Roman" w:hAnsi="Times New Roman"/>
          <w:sz w:val="24"/>
          <w:szCs w:val="24"/>
        </w:rPr>
      </w:pPr>
    </w:p>
    <w:p w14:paraId="4A777BC8" w14:textId="77777777" w:rsidR="00BF3F70" w:rsidRPr="0040535D" w:rsidRDefault="00555DC0" w:rsidP="007C6DD5">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1811ED" w:rsidRPr="0040535D">
        <w:rPr>
          <w:rFonts w:ascii="Times New Roman" w:hAnsi="Times New Roman"/>
          <w:sz w:val="24"/>
          <w:szCs w:val="24"/>
        </w:rPr>
        <w:t>11</w:t>
      </w:r>
      <w:r w:rsidR="001811ED">
        <w:rPr>
          <w:rFonts w:ascii="Times New Roman" w:hAnsi="Times New Roman"/>
          <w:sz w:val="24"/>
          <w:szCs w:val="24"/>
        </w:rPr>
        <w:t>3</w:t>
      </w:r>
      <w:r w:rsidR="001811ED" w:rsidRPr="0040535D">
        <w:rPr>
          <w:rFonts w:ascii="Times New Roman" w:hAnsi="Times New Roman"/>
          <w:sz w:val="24"/>
          <w:szCs w:val="24"/>
        </w:rPr>
        <w:t xml:space="preserve"> </w:t>
      </w:r>
      <w:r w:rsidR="009D312C" w:rsidRPr="0040535D">
        <w:rPr>
          <w:rFonts w:ascii="Times New Roman" w:hAnsi="Times New Roman"/>
          <w:sz w:val="24"/>
          <w:szCs w:val="24"/>
        </w:rPr>
        <w:t xml:space="preserve">pkt </w:t>
      </w:r>
      <w:r w:rsidR="00983087" w:rsidRPr="0040535D">
        <w:rPr>
          <w:rFonts w:ascii="Times New Roman" w:hAnsi="Times New Roman"/>
          <w:sz w:val="24"/>
          <w:szCs w:val="24"/>
        </w:rPr>
        <w:t>4</w:t>
      </w:r>
      <w:r w:rsidR="009D312C" w:rsidRPr="0040535D">
        <w:rPr>
          <w:rFonts w:ascii="Times New Roman" w:hAnsi="Times New Roman"/>
          <w:sz w:val="24"/>
          <w:szCs w:val="24"/>
        </w:rPr>
        <w:t xml:space="preserve"> i 5</w:t>
      </w:r>
      <w:r w:rsidRPr="0040535D">
        <w:rPr>
          <w:rFonts w:ascii="Times New Roman" w:hAnsi="Times New Roman"/>
          <w:sz w:val="24"/>
          <w:szCs w:val="24"/>
        </w:rPr>
        <w:t xml:space="preserve"> ustawy zmieniające art. 66a </w:t>
      </w:r>
      <w:proofErr w:type="spellStart"/>
      <w:r w:rsidR="00A45405" w:rsidRPr="0040535D">
        <w:rPr>
          <w:rFonts w:ascii="Times New Roman" w:hAnsi="Times New Roman"/>
          <w:sz w:val="24"/>
          <w:szCs w:val="24"/>
        </w:rPr>
        <w:t>ufp</w:t>
      </w:r>
      <w:proofErr w:type="spellEnd"/>
      <w:r w:rsidR="00A45405" w:rsidRPr="0040535D">
        <w:rPr>
          <w:rFonts w:ascii="Times New Roman" w:hAnsi="Times New Roman"/>
          <w:sz w:val="24"/>
          <w:szCs w:val="24"/>
        </w:rPr>
        <w:t xml:space="preserve"> </w:t>
      </w:r>
      <w:r w:rsidRPr="0040535D">
        <w:rPr>
          <w:rFonts w:ascii="Times New Roman" w:hAnsi="Times New Roman"/>
          <w:sz w:val="24"/>
          <w:szCs w:val="24"/>
        </w:rPr>
        <w:t xml:space="preserve">oraz wprowadzające nowy art. 66b </w:t>
      </w:r>
      <w:proofErr w:type="spellStart"/>
      <w:r w:rsidR="00A45405" w:rsidRPr="0040535D">
        <w:rPr>
          <w:rFonts w:ascii="Times New Roman" w:hAnsi="Times New Roman"/>
          <w:sz w:val="24"/>
          <w:szCs w:val="24"/>
        </w:rPr>
        <w:t>ufp</w:t>
      </w:r>
      <w:proofErr w:type="spellEnd"/>
      <w:r w:rsidR="00A45405" w:rsidRPr="0040535D">
        <w:rPr>
          <w:rFonts w:ascii="Times New Roman" w:hAnsi="Times New Roman"/>
          <w:sz w:val="24"/>
          <w:szCs w:val="24"/>
        </w:rPr>
        <w:t xml:space="preserve"> </w:t>
      </w:r>
      <w:r w:rsidRPr="0040535D">
        <w:rPr>
          <w:rFonts w:ascii="Times New Roman" w:hAnsi="Times New Roman"/>
          <w:sz w:val="24"/>
          <w:szCs w:val="24"/>
        </w:rPr>
        <w:t>mają na celu uregulowanie kwestii decyzji o odpowiedzialności osób trzecich za zobowiązania do zwrotu należności z tytułu zwrotu środków przeznaczonych na realizację programów finansowanych z udziałem środków europejskich oraz innych należności związanych z realizacją projektów finansowanych z udziałem tych środków (w tym odsetek). Wspomniane decyzje wydaje się przed upływem pięciu lat od końca roku kalendarzowego, w którym decyzja, o której mowa w art. 189 ust. 3b albo decyzja, o której mowa w 207 ust. 9, stała się ostateczna, a osoby trzecie odpowiedzialne za powstałe zobowiązania ustala się według stanu z momentu powstania określonych naruszeń.</w:t>
      </w:r>
      <w:r w:rsidR="00C00AE1" w:rsidRPr="0040535D">
        <w:rPr>
          <w:rFonts w:ascii="Times New Roman" w:hAnsi="Times New Roman"/>
          <w:sz w:val="24"/>
          <w:szCs w:val="24"/>
        </w:rPr>
        <w:t xml:space="preserve"> </w:t>
      </w:r>
      <w:r w:rsidR="003D5169" w:rsidRPr="0040535D">
        <w:rPr>
          <w:rFonts w:ascii="Times New Roman" w:hAnsi="Times New Roman"/>
          <w:sz w:val="24"/>
          <w:szCs w:val="24"/>
        </w:rPr>
        <w:t>Proponowany art. 66b</w:t>
      </w:r>
      <w:r w:rsidR="007C6DD5" w:rsidRPr="0040535D">
        <w:rPr>
          <w:rFonts w:ascii="Times New Roman" w:hAnsi="Times New Roman"/>
          <w:sz w:val="24"/>
          <w:szCs w:val="24"/>
        </w:rPr>
        <w:t xml:space="preserve"> </w:t>
      </w:r>
      <w:proofErr w:type="spellStart"/>
      <w:r w:rsidR="007C6DD5" w:rsidRPr="0040535D">
        <w:rPr>
          <w:rFonts w:ascii="Times New Roman" w:hAnsi="Times New Roman"/>
          <w:sz w:val="24"/>
          <w:szCs w:val="24"/>
        </w:rPr>
        <w:t>ufp</w:t>
      </w:r>
      <w:proofErr w:type="spellEnd"/>
      <w:r w:rsidR="003D5169" w:rsidRPr="0040535D">
        <w:rPr>
          <w:rFonts w:ascii="Times New Roman" w:hAnsi="Times New Roman"/>
          <w:sz w:val="24"/>
          <w:szCs w:val="24"/>
        </w:rPr>
        <w:t xml:space="preserve"> będzie kompleksowo regulował kwestie wydawania decyzji o odpowiedzialności osób trzecich za zobowiązania do </w:t>
      </w:r>
      <w:r w:rsidR="003D5169" w:rsidRPr="0040535D">
        <w:rPr>
          <w:rFonts w:ascii="Times New Roman" w:hAnsi="Times New Roman"/>
          <w:sz w:val="24"/>
          <w:szCs w:val="24"/>
        </w:rPr>
        <w:lastRenderedPageBreak/>
        <w:t xml:space="preserve">zwrotu należności z tytułu zwrotu środków przeznaczonych na realizację programów. Dotychczas do spraw związanych z tymi decyzjami,  </w:t>
      </w:r>
      <w:r w:rsidR="007C6DD5" w:rsidRPr="0040535D">
        <w:rPr>
          <w:rFonts w:ascii="Times New Roman" w:hAnsi="Times New Roman"/>
          <w:sz w:val="24"/>
          <w:szCs w:val="24"/>
        </w:rPr>
        <w:t xml:space="preserve">w </w:t>
      </w:r>
      <w:r w:rsidR="003D5169" w:rsidRPr="0040535D">
        <w:rPr>
          <w:rFonts w:ascii="Times New Roman" w:hAnsi="Times New Roman"/>
          <w:sz w:val="24"/>
          <w:szCs w:val="24"/>
        </w:rPr>
        <w:t xml:space="preserve">myśl art. 67 ust. 1 </w:t>
      </w:r>
      <w:proofErr w:type="spellStart"/>
      <w:r w:rsidR="003D5169" w:rsidRPr="0040535D">
        <w:rPr>
          <w:rFonts w:ascii="Times New Roman" w:hAnsi="Times New Roman"/>
          <w:sz w:val="24"/>
          <w:szCs w:val="24"/>
        </w:rPr>
        <w:t>ufp</w:t>
      </w:r>
      <w:proofErr w:type="spellEnd"/>
      <w:r w:rsidR="003D5169" w:rsidRPr="0040535D">
        <w:rPr>
          <w:rFonts w:ascii="Times New Roman" w:hAnsi="Times New Roman"/>
          <w:sz w:val="24"/>
          <w:szCs w:val="24"/>
        </w:rPr>
        <w:t xml:space="preserve"> stosowano odpowiednio przepisy działu III ustawy z dnia 29 sierpni</w:t>
      </w:r>
      <w:r w:rsidR="007C6DD5" w:rsidRPr="0040535D">
        <w:rPr>
          <w:rFonts w:ascii="Times New Roman" w:hAnsi="Times New Roman"/>
          <w:sz w:val="24"/>
          <w:szCs w:val="24"/>
        </w:rPr>
        <w:t xml:space="preserve">a 1997 r. - Ordynacja podatkowa oraz </w:t>
      </w:r>
      <w:r w:rsidR="003D5169" w:rsidRPr="0040535D">
        <w:rPr>
          <w:rFonts w:ascii="Times New Roman" w:hAnsi="Times New Roman"/>
          <w:sz w:val="24"/>
          <w:szCs w:val="24"/>
        </w:rPr>
        <w:t>art. 66a ust. 2</w:t>
      </w:r>
      <w:r w:rsidR="007C6DD5" w:rsidRPr="0040535D">
        <w:rPr>
          <w:rFonts w:ascii="Times New Roman" w:hAnsi="Times New Roman"/>
          <w:sz w:val="24"/>
          <w:szCs w:val="24"/>
        </w:rPr>
        <w:t xml:space="preserve"> </w:t>
      </w:r>
      <w:proofErr w:type="spellStart"/>
      <w:r w:rsidR="007C6DD5" w:rsidRPr="0040535D">
        <w:rPr>
          <w:rFonts w:ascii="Times New Roman" w:hAnsi="Times New Roman"/>
          <w:sz w:val="24"/>
          <w:szCs w:val="24"/>
        </w:rPr>
        <w:t>ufp</w:t>
      </w:r>
      <w:proofErr w:type="spellEnd"/>
      <w:r w:rsidR="003D5169" w:rsidRPr="0040535D">
        <w:rPr>
          <w:rFonts w:ascii="Times New Roman" w:hAnsi="Times New Roman"/>
          <w:sz w:val="24"/>
          <w:szCs w:val="24"/>
        </w:rPr>
        <w:t>, zgodnie z którym terminy</w:t>
      </w:r>
      <w:r w:rsidR="007C6DD5" w:rsidRPr="0040535D">
        <w:rPr>
          <w:rFonts w:ascii="Times New Roman" w:hAnsi="Times New Roman"/>
          <w:sz w:val="24"/>
          <w:szCs w:val="24"/>
        </w:rPr>
        <w:t xml:space="preserve"> przedawnienia do zwrotu środków, o których mowa w art. 60 pkt 6, stosuje się także w przypadku odpowiedzialności osób trzecich za zobowiązania do zwrotu tych środków. Odpowiednie stosowanie przepisów Ordynacji podatkowej budzi jednak wątpliwości interpretacyjne, </w:t>
      </w:r>
      <w:r w:rsidR="00C46753">
        <w:rPr>
          <w:rFonts w:ascii="Times New Roman" w:hAnsi="Times New Roman"/>
          <w:sz w:val="24"/>
          <w:szCs w:val="24"/>
        </w:rPr>
        <w:t>i w konsekwencji przekłada się na brak wystarczającej pewności prawnej (niepewność) po stronie osób odpowiedzialnych za ewentualne zobowiązania zwrotowe innego podmiotu (w praktyce stosowania w przedmiotowym zakresie przepisów Ordynacji podatkowej, w tym w orzecznictwie sądów administracyjnych, prezentowane jest niejednolite podejście, m.in. do kwestii momentu powstania zaległości w zakresie zobowiązania do zwrotu środków i związanego z tym ustalenia właściwego kręgu osób odpowiedzialnych za to zobowiązanie). W celu zapewnienia równego (jednolitego pod względem prawnym) i sprawiedliwego traktowania</w:t>
      </w:r>
      <w:r w:rsidR="0021275A">
        <w:rPr>
          <w:rFonts w:ascii="Times New Roman" w:hAnsi="Times New Roman"/>
          <w:sz w:val="24"/>
          <w:szCs w:val="24"/>
        </w:rPr>
        <w:t xml:space="preserve"> osób podlegających odpowiedzialności jako osoby trzecie</w:t>
      </w:r>
      <w:r w:rsidR="00C46753">
        <w:rPr>
          <w:rFonts w:ascii="Times New Roman" w:hAnsi="Times New Roman"/>
          <w:sz w:val="24"/>
          <w:szCs w:val="24"/>
        </w:rPr>
        <w:t xml:space="preserve"> </w:t>
      </w:r>
      <w:r w:rsidR="0021275A">
        <w:rPr>
          <w:rFonts w:ascii="Times New Roman" w:hAnsi="Times New Roman"/>
          <w:sz w:val="24"/>
          <w:szCs w:val="24"/>
        </w:rPr>
        <w:t>celowe jest</w:t>
      </w:r>
      <w:r w:rsidR="007C6DD5" w:rsidRPr="0040535D">
        <w:rPr>
          <w:rFonts w:ascii="Times New Roman" w:hAnsi="Times New Roman"/>
          <w:sz w:val="24"/>
          <w:szCs w:val="24"/>
        </w:rPr>
        <w:t xml:space="preserve"> wprowadzeni</w:t>
      </w:r>
      <w:r w:rsidR="0021275A">
        <w:rPr>
          <w:rFonts w:ascii="Times New Roman" w:hAnsi="Times New Roman"/>
          <w:sz w:val="24"/>
          <w:szCs w:val="24"/>
        </w:rPr>
        <w:t>e</w:t>
      </w:r>
      <w:r w:rsidR="007C6DD5" w:rsidRPr="0040535D">
        <w:rPr>
          <w:rFonts w:ascii="Times New Roman" w:hAnsi="Times New Roman"/>
          <w:sz w:val="24"/>
          <w:szCs w:val="24"/>
        </w:rPr>
        <w:t xml:space="preserve"> regulacji </w:t>
      </w:r>
      <w:r w:rsidR="0021275A">
        <w:rPr>
          <w:rFonts w:ascii="Times New Roman" w:hAnsi="Times New Roman"/>
          <w:sz w:val="24"/>
          <w:szCs w:val="24"/>
        </w:rPr>
        <w:t xml:space="preserve">projektowanego </w:t>
      </w:r>
      <w:r w:rsidR="007C6DD5" w:rsidRPr="0040535D">
        <w:rPr>
          <w:rFonts w:ascii="Times New Roman" w:hAnsi="Times New Roman"/>
          <w:sz w:val="24"/>
          <w:szCs w:val="24"/>
        </w:rPr>
        <w:t xml:space="preserve">art. 66b </w:t>
      </w:r>
      <w:proofErr w:type="spellStart"/>
      <w:r w:rsidR="007C6DD5" w:rsidRPr="0040535D">
        <w:rPr>
          <w:rFonts w:ascii="Times New Roman" w:hAnsi="Times New Roman"/>
          <w:sz w:val="24"/>
          <w:szCs w:val="24"/>
        </w:rPr>
        <w:t>ufp</w:t>
      </w:r>
      <w:proofErr w:type="spellEnd"/>
      <w:r w:rsidR="0021275A">
        <w:rPr>
          <w:rFonts w:ascii="Times New Roman" w:hAnsi="Times New Roman"/>
          <w:sz w:val="24"/>
          <w:szCs w:val="24"/>
        </w:rPr>
        <w:t>, kompleksowo ujmującego te kwestie</w:t>
      </w:r>
      <w:r w:rsidR="007C6DD5" w:rsidRPr="0040535D">
        <w:rPr>
          <w:rFonts w:ascii="Times New Roman" w:hAnsi="Times New Roman"/>
          <w:sz w:val="24"/>
          <w:szCs w:val="24"/>
        </w:rPr>
        <w:t xml:space="preserve">. </w:t>
      </w:r>
      <w:r w:rsidR="00C00AE1" w:rsidRPr="0040535D">
        <w:rPr>
          <w:rFonts w:ascii="Times New Roman" w:hAnsi="Times New Roman"/>
          <w:sz w:val="24"/>
          <w:szCs w:val="24"/>
        </w:rPr>
        <w:t xml:space="preserve">Dodatkowo w art. 66a </w:t>
      </w:r>
      <w:r w:rsidR="00E70911" w:rsidRPr="0040535D">
        <w:rPr>
          <w:rFonts w:ascii="Times New Roman" w:hAnsi="Times New Roman"/>
          <w:sz w:val="24"/>
          <w:szCs w:val="24"/>
        </w:rPr>
        <w:t xml:space="preserve">w </w:t>
      </w:r>
      <w:r w:rsidR="00C00AE1" w:rsidRPr="0040535D">
        <w:rPr>
          <w:rFonts w:ascii="Times New Roman" w:hAnsi="Times New Roman"/>
          <w:sz w:val="24"/>
          <w:szCs w:val="24"/>
        </w:rPr>
        <w:t>ust. 1 wprowadzono przepisy określające terminy przedawnienia zobowiązania do zwrotu środków w ramach persp</w:t>
      </w:r>
      <w:r w:rsidR="001125A6" w:rsidRPr="0040535D">
        <w:rPr>
          <w:rFonts w:ascii="Times New Roman" w:hAnsi="Times New Roman"/>
          <w:sz w:val="24"/>
          <w:szCs w:val="24"/>
        </w:rPr>
        <w:t>e</w:t>
      </w:r>
      <w:r w:rsidR="00C00AE1" w:rsidRPr="0040535D">
        <w:rPr>
          <w:rFonts w:ascii="Times New Roman" w:hAnsi="Times New Roman"/>
          <w:sz w:val="24"/>
          <w:szCs w:val="24"/>
        </w:rPr>
        <w:t>ktywy</w:t>
      </w:r>
      <w:r w:rsidR="001125A6" w:rsidRPr="0040535D">
        <w:rPr>
          <w:rFonts w:ascii="Times New Roman" w:hAnsi="Times New Roman"/>
          <w:sz w:val="24"/>
          <w:szCs w:val="24"/>
        </w:rPr>
        <w:t xml:space="preserve"> </w:t>
      </w:r>
      <w:r w:rsidR="00C00AE1" w:rsidRPr="0040535D">
        <w:rPr>
          <w:rFonts w:ascii="Times New Roman" w:hAnsi="Times New Roman"/>
          <w:sz w:val="24"/>
          <w:szCs w:val="24"/>
        </w:rPr>
        <w:t>w 2021-2027.</w:t>
      </w:r>
      <w:r w:rsidR="00E70911" w:rsidRPr="0040535D">
        <w:rPr>
          <w:rFonts w:ascii="Times New Roman" w:hAnsi="Times New Roman"/>
          <w:sz w:val="24"/>
          <w:szCs w:val="24"/>
        </w:rPr>
        <w:t xml:space="preserve"> </w:t>
      </w:r>
      <w:r w:rsidRPr="0040535D">
        <w:rPr>
          <w:rFonts w:ascii="Times New Roman" w:hAnsi="Times New Roman"/>
          <w:sz w:val="24"/>
          <w:szCs w:val="24"/>
        </w:rPr>
        <w:t xml:space="preserve">Natomiast w ust. 3 wprowadzanego art. 66b uregulowana została kwestia przedawnienia zobowiązań wynikających z decyzji wydanych wobec osób trzecich poprzez odesłanie do terminów przedawnienia zobowiązań do zwrotu środków, o których mowa w art. 60 pkt 6, określonych w art. 66a </w:t>
      </w:r>
      <w:proofErr w:type="spellStart"/>
      <w:r w:rsidR="00DD083B" w:rsidRPr="0040535D">
        <w:rPr>
          <w:rFonts w:ascii="Times New Roman" w:hAnsi="Times New Roman"/>
          <w:sz w:val="24"/>
          <w:szCs w:val="24"/>
        </w:rPr>
        <w:t>ufp</w:t>
      </w:r>
      <w:proofErr w:type="spellEnd"/>
      <w:r w:rsidRPr="0040535D">
        <w:rPr>
          <w:rFonts w:ascii="Times New Roman" w:hAnsi="Times New Roman"/>
          <w:sz w:val="24"/>
          <w:szCs w:val="24"/>
        </w:rPr>
        <w:t xml:space="preserve">. Wprowadzenie do </w:t>
      </w:r>
      <w:proofErr w:type="spellStart"/>
      <w:r w:rsidR="00DD083B" w:rsidRPr="0040535D">
        <w:rPr>
          <w:rFonts w:ascii="Times New Roman" w:hAnsi="Times New Roman"/>
          <w:sz w:val="24"/>
          <w:szCs w:val="24"/>
        </w:rPr>
        <w:t>ufp</w:t>
      </w:r>
      <w:proofErr w:type="spellEnd"/>
      <w:r w:rsidRPr="0040535D">
        <w:rPr>
          <w:rFonts w:ascii="Times New Roman" w:hAnsi="Times New Roman"/>
          <w:sz w:val="24"/>
          <w:szCs w:val="24"/>
        </w:rPr>
        <w:t xml:space="preserve"> art. 66b regulującego kwestie odpowiedzialności osób trzecich spowodowało również zmianę wynikową w postaci uchylenia dotychczasowego ust. 2 w art. 66</w:t>
      </w:r>
      <w:r w:rsidR="00BF3F70" w:rsidRPr="0040535D">
        <w:rPr>
          <w:rFonts w:ascii="Times New Roman" w:hAnsi="Times New Roman"/>
          <w:sz w:val="24"/>
          <w:szCs w:val="24"/>
        </w:rPr>
        <w:t xml:space="preserve">a </w:t>
      </w:r>
      <w:proofErr w:type="spellStart"/>
      <w:r w:rsidR="00CC2033" w:rsidRPr="0040535D">
        <w:rPr>
          <w:rFonts w:ascii="Times New Roman" w:hAnsi="Times New Roman"/>
          <w:sz w:val="24"/>
          <w:szCs w:val="24"/>
        </w:rPr>
        <w:t>ufp</w:t>
      </w:r>
      <w:proofErr w:type="spellEnd"/>
      <w:r w:rsidR="00BF3F70" w:rsidRPr="0040535D">
        <w:rPr>
          <w:rFonts w:ascii="Times New Roman" w:hAnsi="Times New Roman"/>
          <w:sz w:val="24"/>
          <w:szCs w:val="24"/>
        </w:rPr>
        <w:t>.</w:t>
      </w:r>
      <w:r w:rsidR="00153899">
        <w:rPr>
          <w:rFonts w:ascii="Times New Roman" w:hAnsi="Times New Roman"/>
          <w:sz w:val="24"/>
          <w:szCs w:val="24"/>
        </w:rPr>
        <w:t xml:space="preserve"> Projektowane w tym zakresie zmiany wejdą w życie po upływie 3 miesięcy od dnia ogłoszenia ustawy.</w:t>
      </w:r>
    </w:p>
    <w:p w14:paraId="64D47F2C" w14:textId="77777777" w:rsidR="00C2270D" w:rsidRPr="0040535D" w:rsidRDefault="00A20BDD"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1811ED" w:rsidRPr="0040535D">
        <w:rPr>
          <w:rFonts w:ascii="Times New Roman" w:hAnsi="Times New Roman"/>
          <w:sz w:val="24"/>
          <w:szCs w:val="24"/>
        </w:rPr>
        <w:t>11</w:t>
      </w:r>
      <w:r w:rsidR="001811ED">
        <w:rPr>
          <w:rFonts w:ascii="Times New Roman" w:hAnsi="Times New Roman"/>
          <w:sz w:val="24"/>
          <w:szCs w:val="24"/>
        </w:rPr>
        <w:t>3</w:t>
      </w:r>
      <w:r w:rsidR="001811ED" w:rsidRPr="0040535D">
        <w:rPr>
          <w:rFonts w:ascii="Times New Roman" w:hAnsi="Times New Roman"/>
          <w:sz w:val="24"/>
          <w:szCs w:val="24"/>
        </w:rPr>
        <w:t xml:space="preserve"> </w:t>
      </w:r>
      <w:r w:rsidRPr="0040535D">
        <w:rPr>
          <w:rFonts w:ascii="Times New Roman" w:hAnsi="Times New Roman"/>
          <w:sz w:val="24"/>
          <w:szCs w:val="24"/>
        </w:rPr>
        <w:t xml:space="preserve">pkt 7. </w:t>
      </w:r>
      <w:r w:rsidR="00C2270D" w:rsidRPr="0040535D">
        <w:rPr>
          <w:rFonts w:ascii="Times New Roman" w:hAnsi="Times New Roman"/>
          <w:sz w:val="24"/>
          <w:szCs w:val="24"/>
        </w:rPr>
        <w:t xml:space="preserve">Zmiana do art. 154 jest konsekwencją uwzględnienia w ustawie o finansach publicznych środków Europejskiego Funduszu Społecznego Plus przeznaczonych na zwalczanie deprywacji materialnej, którymi będzie dysponował minister do spraw zabezpieczenia społecznego. </w:t>
      </w:r>
    </w:p>
    <w:p w14:paraId="471F9AD1"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1811ED" w:rsidRPr="0040535D">
        <w:rPr>
          <w:rFonts w:ascii="Times New Roman" w:hAnsi="Times New Roman"/>
          <w:sz w:val="24"/>
          <w:szCs w:val="24"/>
        </w:rPr>
        <w:t>11</w:t>
      </w:r>
      <w:r w:rsidR="001811ED">
        <w:rPr>
          <w:rFonts w:ascii="Times New Roman" w:hAnsi="Times New Roman"/>
          <w:sz w:val="24"/>
          <w:szCs w:val="24"/>
        </w:rPr>
        <w:t>3</w:t>
      </w:r>
      <w:r w:rsidR="001811ED" w:rsidRPr="0040535D">
        <w:rPr>
          <w:rFonts w:ascii="Times New Roman" w:hAnsi="Times New Roman"/>
          <w:sz w:val="24"/>
          <w:szCs w:val="24"/>
        </w:rPr>
        <w:t xml:space="preserve"> </w:t>
      </w:r>
      <w:r w:rsidRPr="0040535D">
        <w:rPr>
          <w:rFonts w:ascii="Times New Roman" w:hAnsi="Times New Roman"/>
          <w:sz w:val="24"/>
          <w:szCs w:val="24"/>
        </w:rPr>
        <w:t xml:space="preserve">pkt </w:t>
      </w:r>
      <w:r w:rsidR="007C01B8" w:rsidRPr="0040535D">
        <w:rPr>
          <w:rFonts w:ascii="Times New Roman" w:hAnsi="Times New Roman"/>
          <w:sz w:val="24"/>
          <w:szCs w:val="24"/>
        </w:rPr>
        <w:t>8</w:t>
      </w:r>
      <w:r w:rsidRPr="0040535D">
        <w:rPr>
          <w:rFonts w:ascii="Times New Roman" w:hAnsi="Times New Roman"/>
          <w:sz w:val="24"/>
          <w:szCs w:val="24"/>
        </w:rPr>
        <w:t xml:space="preserve"> ustawy modyfikuje art. 181 </w:t>
      </w:r>
      <w:proofErr w:type="spellStart"/>
      <w:r w:rsidR="00DD083B" w:rsidRPr="0040535D">
        <w:rPr>
          <w:rFonts w:ascii="Times New Roman" w:hAnsi="Times New Roman"/>
          <w:sz w:val="24"/>
          <w:szCs w:val="24"/>
        </w:rPr>
        <w:t>ufp</w:t>
      </w:r>
      <w:proofErr w:type="spellEnd"/>
      <w:r w:rsidRPr="0040535D">
        <w:rPr>
          <w:rFonts w:ascii="Times New Roman" w:hAnsi="Times New Roman"/>
          <w:sz w:val="24"/>
          <w:szCs w:val="24"/>
        </w:rPr>
        <w:t>. Proponowana zmiana ma na celu odzwierciedlenie zmian przyjętych w rozporządzeniu wydanym na podstawie art. 189 ust. 4</w:t>
      </w:r>
      <w:r w:rsidR="001565C3" w:rsidRPr="0040535D">
        <w:rPr>
          <w:rFonts w:ascii="Times New Roman" w:hAnsi="Times New Roman"/>
          <w:sz w:val="24"/>
          <w:szCs w:val="24"/>
        </w:rPr>
        <w:t xml:space="preserve"> </w:t>
      </w:r>
      <w:proofErr w:type="spellStart"/>
      <w:r w:rsidR="001565C3" w:rsidRPr="0040535D">
        <w:rPr>
          <w:rFonts w:ascii="Times New Roman" w:hAnsi="Times New Roman"/>
          <w:sz w:val="24"/>
          <w:szCs w:val="24"/>
        </w:rPr>
        <w:t>ufp</w:t>
      </w:r>
      <w:proofErr w:type="spellEnd"/>
      <w:r w:rsidRPr="0040535D">
        <w:rPr>
          <w:rFonts w:ascii="Times New Roman" w:hAnsi="Times New Roman"/>
          <w:sz w:val="24"/>
          <w:szCs w:val="24"/>
        </w:rPr>
        <w:t>, którego skutkiem jest brak konieczności włączania do wykazu środków niewygasających z końcem roku budżetowego środków przeznaczonych na finansowanie programów z udziałem środków europejskich.</w:t>
      </w:r>
    </w:p>
    <w:p w14:paraId="228329FB" w14:textId="77777777" w:rsidR="00E26427"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lastRenderedPageBreak/>
        <w:t xml:space="preserve">Art. </w:t>
      </w:r>
      <w:r w:rsidR="001811ED" w:rsidRPr="0040535D">
        <w:rPr>
          <w:rFonts w:ascii="Times New Roman" w:hAnsi="Times New Roman"/>
          <w:sz w:val="24"/>
          <w:szCs w:val="24"/>
        </w:rPr>
        <w:t>11</w:t>
      </w:r>
      <w:r w:rsidR="001811ED">
        <w:rPr>
          <w:rFonts w:ascii="Times New Roman" w:hAnsi="Times New Roman"/>
          <w:sz w:val="24"/>
          <w:szCs w:val="24"/>
        </w:rPr>
        <w:t>3</w:t>
      </w:r>
      <w:r w:rsidR="001811ED" w:rsidRPr="0040535D">
        <w:rPr>
          <w:rFonts w:ascii="Times New Roman" w:hAnsi="Times New Roman"/>
          <w:sz w:val="24"/>
          <w:szCs w:val="24"/>
        </w:rPr>
        <w:t xml:space="preserve"> </w:t>
      </w:r>
      <w:r w:rsidR="009D312C" w:rsidRPr="0040535D">
        <w:rPr>
          <w:rFonts w:ascii="Times New Roman" w:hAnsi="Times New Roman"/>
          <w:sz w:val="24"/>
          <w:szCs w:val="24"/>
        </w:rPr>
        <w:t xml:space="preserve">pkt </w:t>
      </w:r>
      <w:r w:rsidR="007C01B8" w:rsidRPr="0040535D">
        <w:rPr>
          <w:rFonts w:ascii="Times New Roman" w:hAnsi="Times New Roman"/>
          <w:sz w:val="24"/>
          <w:szCs w:val="24"/>
        </w:rPr>
        <w:t>10</w:t>
      </w:r>
      <w:r w:rsidRPr="0040535D">
        <w:rPr>
          <w:rFonts w:ascii="Times New Roman" w:hAnsi="Times New Roman"/>
          <w:sz w:val="24"/>
          <w:szCs w:val="24"/>
        </w:rPr>
        <w:t xml:space="preserve"> ustawy zmienia art. 189 </w:t>
      </w:r>
      <w:proofErr w:type="spellStart"/>
      <w:r w:rsidR="00DD083B" w:rsidRPr="0040535D">
        <w:rPr>
          <w:rFonts w:ascii="Times New Roman" w:hAnsi="Times New Roman"/>
          <w:sz w:val="24"/>
          <w:szCs w:val="24"/>
        </w:rPr>
        <w:t>ufp</w:t>
      </w:r>
      <w:proofErr w:type="spellEnd"/>
      <w:r w:rsidRPr="0040535D">
        <w:rPr>
          <w:rFonts w:ascii="Times New Roman" w:hAnsi="Times New Roman"/>
          <w:sz w:val="24"/>
          <w:szCs w:val="24"/>
        </w:rPr>
        <w:t xml:space="preserve">. W ust. 3 omawianego artykułu doprecyzowano, że sankcja w postaci naliczania odsetek jak dla zaległości podatkowych będzie miała zastosowanie wówczas, gdy beneficjent nie złoży wniosku o płatność na kwotę wydatków kwalifikowalnych lub nie zwróci niewykorzystanej części zaliczki w terminie 14 dni od dnia upływu terminu. Ponadto w art. 189 </w:t>
      </w:r>
      <w:proofErr w:type="spellStart"/>
      <w:r w:rsidR="001565C3" w:rsidRPr="0040535D">
        <w:rPr>
          <w:rFonts w:ascii="Times New Roman" w:hAnsi="Times New Roman"/>
          <w:sz w:val="24"/>
          <w:szCs w:val="24"/>
        </w:rPr>
        <w:t>ufp</w:t>
      </w:r>
      <w:proofErr w:type="spellEnd"/>
      <w:r w:rsidR="001565C3" w:rsidRPr="0040535D">
        <w:rPr>
          <w:rFonts w:ascii="Times New Roman" w:hAnsi="Times New Roman"/>
          <w:sz w:val="24"/>
          <w:szCs w:val="24"/>
        </w:rPr>
        <w:t xml:space="preserve"> </w:t>
      </w:r>
      <w:r w:rsidRPr="0040535D">
        <w:rPr>
          <w:rFonts w:ascii="Times New Roman" w:hAnsi="Times New Roman"/>
          <w:sz w:val="24"/>
          <w:szCs w:val="24"/>
        </w:rPr>
        <w:t xml:space="preserve">uchylono ust. 3f, zgodnie z którym projekty rozliczane w całości albo w części w oparciu o tzw. metody uproszczone wyłączone są spod regulacji ust. 3 zawierającego sankcje za nieterminowe lub niepełne rozlicznie zaliczki. W kontekście coraz szerszego zakresu praktycznego stosowania ww. metod oraz zdobytych w jego toku doświadczeń odrębne traktowanie wspomnianej grupy wydatków nie znajduje już uzasadnienia. Dodatkowo w treści </w:t>
      </w:r>
      <w:r w:rsidR="00CC2033" w:rsidRPr="0040535D">
        <w:rPr>
          <w:rFonts w:ascii="Times New Roman" w:hAnsi="Times New Roman"/>
          <w:sz w:val="24"/>
          <w:szCs w:val="24"/>
        </w:rPr>
        <w:t>tego przepisu</w:t>
      </w:r>
      <w:r w:rsidRPr="0040535D">
        <w:rPr>
          <w:rFonts w:ascii="Times New Roman" w:hAnsi="Times New Roman"/>
          <w:sz w:val="24"/>
          <w:szCs w:val="24"/>
        </w:rPr>
        <w:t xml:space="preserve"> zamieszczono odwołania do </w:t>
      </w:r>
      <w:r w:rsidR="00CC2033" w:rsidRPr="0040535D">
        <w:rPr>
          <w:rFonts w:ascii="Times New Roman" w:hAnsi="Times New Roman"/>
          <w:sz w:val="24"/>
          <w:szCs w:val="24"/>
        </w:rPr>
        <w:t xml:space="preserve">nowej </w:t>
      </w:r>
      <w:r w:rsidRPr="0040535D">
        <w:rPr>
          <w:rFonts w:ascii="Times New Roman" w:hAnsi="Times New Roman"/>
          <w:sz w:val="24"/>
          <w:szCs w:val="24"/>
        </w:rPr>
        <w:t xml:space="preserve">ustawy </w:t>
      </w:r>
      <w:r w:rsidR="00CC2033" w:rsidRPr="0040535D">
        <w:rPr>
          <w:rFonts w:ascii="Times New Roman" w:hAnsi="Times New Roman"/>
          <w:sz w:val="24"/>
          <w:szCs w:val="24"/>
        </w:rPr>
        <w:t xml:space="preserve">wdrożeniowej </w:t>
      </w:r>
      <w:r w:rsidRPr="0040535D">
        <w:rPr>
          <w:rFonts w:ascii="Times New Roman" w:hAnsi="Times New Roman"/>
          <w:sz w:val="24"/>
          <w:szCs w:val="24"/>
        </w:rPr>
        <w:t>2021-2027</w:t>
      </w:r>
      <w:r w:rsidR="0019766A" w:rsidRPr="0040535D">
        <w:rPr>
          <w:rFonts w:ascii="Times New Roman" w:hAnsi="Times New Roman"/>
          <w:sz w:val="24"/>
          <w:szCs w:val="24"/>
        </w:rPr>
        <w:t>.</w:t>
      </w:r>
      <w:r w:rsidRPr="0040535D">
        <w:rPr>
          <w:rFonts w:ascii="Times New Roman" w:hAnsi="Times New Roman"/>
          <w:sz w:val="24"/>
          <w:szCs w:val="24"/>
        </w:rPr>
        <w:t xml:space="preserve"> W art. </w:t>
      </w:r>
      <w:r w:rsidR="001811ED" w:rsidRPr="0040535D">
        <w:rPr>
          <w:rFonts w:ascii="Times New Roman" w:hAnsi="Times New Roman"/>
          <w:sz w:val="24"/>
          <w:szCs w:val="24"/>
        </w:rPr>
        <w:t>11</w:t>
      </w:r>
      <w:r w:rsidR="001811ED">
        <w:rPr>
          <w:rFonts w:ascii="Times New Roman" w:hAnsi="Times New Roman"/>
          <w:sz w:val="24"/>
          <w:szCs w:val="24"/>
        </w:rPr>
        <w:t>3</w:t>
      </w:r>
      <w:r w:rsidR="001811ED" w:rsidRPr="0040535D">
        <w:rPr>
          <w:rFonts w:ascii="Times New Roman" w:hAnsi="Times New Roman"/>
          <w:sz w:val="24"/>
          <w:szCs w:val="24"/>
        </w:rPr>
        <w:t xml:space="preserve"> </w:t>
      </w:r>
      <w:r w:rsidR="009D312C" w:rsidRPr="0040535D">
        <w:rPr>
          <w:rFonts w:ascii="Times New Roman" w:hAnsi="Times New Roman"/>
          <w:sz w:val="24"/>
          <w:szCs w:val="24"/>
        </w:rPr>
        <w:t>pkt 1</w:t>
      </w:r>
      <w:r w:rsidR="007C01B8" w:rsidRPr="0040535D">
        <w:rPr>
          <w:rFonts w:ascii="Times New Roman" w:hAnsi="Times New Roman"/>
          <w:sz w:val="24"/>
          <w:szCs w:val="24"/>
        </w:rPr>
        <w:t>1</w:t>
      </w:r>
      <w:r w:rsidRPr="0040535D">
        <w:rPr>
          <w:rFonts w:ascii="Times New Roman" w:hAnsi="Times New Roman"/>
          <w:sz w:val="24"/>
          <w:szCs w:val="24"/>
        </w:rPr>
        <w:t xml:space="preserve"> ustawy znowelizowano przepisy art. 190 </w:t>
      </w:r>
      <w:proofErr w:type="spellStart"/>
      <w:r w:rsidR="00DD083B" w:rsidRPr="0040535D">
        <w:rPr>
          <w:rFonts w:ascii="Times New Roman" w:hAnsi="Times New Roman"/>
          <w:sz w:val="24"/>
          <w:szCs w:val="24"/>
        </w:rPr>
        <w:t>ufp</w:t>
      </w:r>
      <w:proofErr w:type="spellEnd"/>
      <w:r w:rsidRPr="0040535D">
        <w:rPr>
          <w:rFonts w:ascii="Times New Roman" w:hAnsi="Times New Roman"/>
          <w:sz w:val="24"/>
          <w:szCs w:val="24"/>
        </w:rPr>
        <w:t>. W przypadku projektów rozliczanych w oparciu o tzw. uproszczone metody rozliczeń dotychczasowy warunek, nakładający obowiązek ujęcia we wniosku o płatność wydatków faktycznie poniesionych w terminie do 3 miesięcy, nie może być zrealizowany. W przypadku tego rodzaju wydatków rozliczenie odbywa się na warunkach określonych w umowie o dofinansowanie, po realizacji określonych produktów lub osiągnieciu planowanych rezultatów. Wykazanie do rozliczenia we wniosku o płatność kwoty ryczałtowej czy stawki jednostkowe będzie możliwe dopiero po realizacji/osiągnieciu zakładanych wskaźników, ale nie później niż w końcowym wniosku o płatność. W przypadku projektów rozliczanych w oparciu o wydatki faktycznie poniesione doprecyzowano, iż wydatek kwalifikowalny powinien zostać ujęty we wniosku o płatność przekazywanym właściwej instytucji w terminie do 3 miesięcy licząc od dnia końca miesiąca, w którym został on poniesiony.</w:t>
      </w:r>
    </w:p>
    <w:p w14:paraId="1CEE44CC" w14:textId="77777777" w:rsidR="0041328B" w:rsidRPr="0040535D" w:rsidRDefault="00237E61"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art. </w:t>
      </w:r>
      <w:r w:rsidR="001811ED" w:rsidRPr="0040535D">
        <w:rPr>
          <w:rFonts w:ascii="Times New Roman" w:hAnsi="Times New Roman"/>
          <w:sz w:val="24"/>
          <w:szCs w:val="24"/>
        </w:rPr>
        <w:t>11</w:t>
      </w:r>
      <w:r w:rsidR="001811ED">
        <w:rPr>
          <w:rFonts w:ascii="Times New Roman" w:hAnsi="Times New Roman"/>
          <w:sz w:val="24"/>
          <w:szCs w:val="24"/>
        </w:rPr>
        <w:t>3</w:t>
      </w:r>
      <w:r w:rsidR="001811ED" w:rsidRPr="0040535D">
        <w:rPr>
          <w:rFonts w:ascii="Times New Roman" w:hAnsi="Times New Roman"/>
          <w:sz w:val="24"/>
          <w:szCs w:val="24"/>
        </w:rPr>
        <w:t xml:space="preserve"> </w:t>
      </w:r>
      <w:r w:rsidRPr="0040535D">
        <w:rPr>
          <w:rFonts w:ascii="Times New Roman" w:hAnsi="Times New Roman"/>
          <w:sz w:val="24"/>
          <w:szCs w:val="24"/>
        </w:rPr>
        <w:t xml:space="preserve">pkt 13 zmieniającym art. 193 ust. 4 </w:t>
      </w:r>
      <w:proofErr w:type="spellStart"/>
      <w:r w:rsidRPr="0040535D">
        <w:rPr>
          <w:rFonts w:ascii="Times New Roman" w:hAnsi="Times New Roman"/>
          <w:sz w:val="24"/>
          <w:szCs w:val="24"/>
        </w:rPr>
        <w:t>ufp</w:t>
      </w:r>
      <w:proofErr w:type="spellEnd"/>
      <w:r w:rsidRPr="0040535D">
        <w:rPr>
          <w:rFonts w:ascii="Times New Roman" w:hAnsi="Times New Roman"/>
          <w:sz w:val="24"/>
          <w:szCs w:val="24"/>
        </w:rPr>
        <w:t xml:space="preserve"> zniesiono obowiązek informowania Rady Ministrów o wyrażonej przez ministra właściwego do spraw rozwoju regionalnego (w porozumieniu z Ministrem Finansów) zgodzie na zaciągnięcie zobowiązań przekraczających łączną kwotę wydatków programu.</w:t>
      </w:r>
      <w:r w:rsidR="00A20BDD" w:rsidRPr="0040535D">
        <w:rPr>
          <w:rFonts w:ascii="Times New Roman" w:hAnsi="Times New Roman"/>
          <w:sz w:val="24"/>
          <w:szCs w:val="24"/>
        </w:rPr>
        <w:t xml:space="preserve"> </w:t>
      </w:r>
    </w:p>
    <w:p w14:paraId="7BD20BF0" w14:textId="77777777" w:rsidR="00983087" w:rsidRPr="0040535D" w:rsidRDefault="00983087"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Dodatkowo, dla zapewnienia ciągłości przepisów w art. </w:t>
      </w:r>
      <w:r w:rsidR="001811ED" w:rsidRPr="0040535D">
        <w:rPr>
          <w:rFonts w:ascii="Times New Roman" w:hAnsi="Times New Roman"/>
          <w:sz w:val="24"/>
          <w:szCs w:val="24"/>
        </w:rPr>
        <w:t>11</w:t>
      </w:r>
      <w:r w:rsidR="001811ED">
        <w:rPr>
          <w:rFonts w:ascii="Times New Roman" w:hAnsi="Times New Roman"/>
          <w:sz w:val="24"/>
          <w:szCs w:val="24"/>
        </w:rPr>
        <w:t>3</w:t>
      </w:r>
      <w:r w:rsidR="001811ED" w:rsidRPr="0040535D">
        <w:rPr>
          <w:rFonts w:ascii="Times New Roman" w:hAnsi="Times New Roman"/>
          <w:sz w:val="24"/>
          <w:szCs w:val="24"/>
        </w:rPr>
        <w:t xml:space="preserve"> </w:t>
      </w:r>
      <w:r w:rsidRPr="0040535D">
        <w:rPr>
          <w:rFonts w:ascii="Times New Roman" w:hAnsi="Times New Roman"/>
          <w:sz w:val="24"/>
          <w:szCs w:val="24"/>
        </w:rPr>
        <w:t>pkt 14 został zmieniony art. 194 ust. 4 oraz dodany nowy ust. 5a.</w:t>
      </w:r>
    </w:p>
    <w:p w14:paraId="4421017B" w14:textId="77777777" w:rsidR="004B2621"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 art. </w:t>
      </w:r>
      <w:r w:rsidR="001811ED" w:rsidRPr="0040535D">
        <w:rPr>
          <w:rFonts w:ascii="Times New Roman" w:hAnsi="Times New Roman"/>
          <w:sz w:val="24"/>
          <w:szCs w:val="24"/>
        </w:rPr>
        <w:t>11</w:t>
      </w:r>
      <w:r w:rsidR="001811ED">
        <w:rPr>
          <w:rFonts w:ascii="Times New Roman" w:hAnsi="Times New Roman"/>
          <w:sz w:val="24"/>
          <w:szCs w:val="24"/>
        </w:rPr>
        <w:t>3</w:t>
      </w:r>
      <w:r w:rsidR="001811ED" w:rsidRPr="0040535D">
        <w:rPr>
          <w:rFonts w:ascii="Times New Roman" w:hAnsi="Times New Roman"/>
          <w:sz w:val="24"/>
          <w:szCs w:val="24"/>
        </w:rPr>
        <w:t xml:space="preserve"> </w:t>
      </w:r>
      <w:r w:rsidR="009D312C" w:rsidRPr="0040535D">
        <w:rPr>
          <w:rFonts w:ascii="Times New Roman" w:hAnsi="Times New Roman"/>
          <w:sz w:val="24"/>
          <w:szCs w:val="24"/>
        </w:rPr>
        <w:t>pkt 1</w:t>
      </w:r>
      <w:r w:rsidR="0041328B" w:rsidRPr="0040535D">
        <w:rPr>
          <w:rFonts w:ascii="Times New Roman" w:hAnsi="Times New Roman"/>
          <w:sz w:val="24"/>
          <w:szCs w:val="24"/>
        </w:rPr>
        <w:t>5</w:t>
      </w:r>
      <w:r w:rsidR="001811ED">
        <w:rPr>
          <w:rFonts w:ascii="Times New Roman" w:hAnsi="Times New Roman"/>
          <w:sz w:val="24"/>
          <w:szCs w:val="24"/>
        </w:rPr>
        <w:t xml:space="preserve"> </w:t>
      </w:r>
      <w:r w:rsidR="00A45405" w:rsidRPr="0040535D">
        <w:rPr>
          <w:rFonts w:ascii="Times New Roman" w:hAnsi="Times New Roman"/>
          <w:sz w:val="24"/>
          <w:szCs w:val="24"/>
        </w:rPr>
        <w:t xml:space="preserve">ustawy </w:t>
      </w:r>
      <w:r w:rsidRPr="0040535D">
        <w:rPr>
          <w:rFonts w:ascii="Times New Roman" w:hAnsi="Times New Roman"/>
          <w:sz w:val="24"/>
          <w:szCs w:val="24"/>
        </w:rPr>
        <w:t xml:space="preserve">wprowadzono zmiany do art. 202 </w:t>
      </w:r>
      <w:proofErr w:type="spellStart"/>
      <w:r w:rsidR="00DD083B" w:rsidRPr="0040535D">
        <w:rPr>
          <w:rFonts w:ascii="Times New Roman" w:hAnsi="Times New Roman"/>
          <w:sz w:val="24"/>
          <w:szCs w:val="24"/>
        </w:rPr>
        <w:t>ufp</w:t>
      </w:r>
      <w:proofErr w:type="spellEnd"/>
      <w:r w:rsidRPr="0040535D">
        <w:rPr>
          <w:rFonts w:ascii="Times New Roman" w:hAnsi="Times New Roman"/>
          <w:sz w:val="24"/>
          <w:szCs w:val="24"/>
        </w:rPr>
        <w:t xml:space="preserve"> mające na celu wprowadzenie podstawy prawnej do wykorzystania środków finansowych pozostałych po zakończeniu realizacji programów finansowanych ze środków, o których mowa w art. 5 ust. 3 pkt 5 lit a i b </w:t>
      </w:r>
      <w:proofErr w:type="spellStart"/>
      <w:r w:rsidR="00DD083B" w:rsidRPr="0040535D">
        <w:rPr>
          <w:rFonts w:ascii="Times New Roman" w:hAnsi="Times New Roman"/>
          <w:sz w:val="24"/>
          <w:szCs w:val="24"/>
        </w:rPr>
        <w:t>ufp</w:t>
      </w:r>
      <w:proofErr w:type="spellEnd"/>
      <w:r w:rsidRPr="0040535D">
        <w:rPr>
          <w:rFonts w:ascii="Times New Roman" w:hAnsi="Times New Roman"/>
          <w:sz w:val="24"/>
          <w:szCs w:val="24"/>
        </w:rPr>
        <w:t>, które pozostają w dyspozycji ministra właściwego do spraw rozwoju regionalnego.</w:t>
      </w:r>
      <w:r w:rsidR="00986BCB" w:rsidRPr="0040535D">
        <w:rPr>
          <w:rFonts w:ascii="Times New Roman" w:hAnsi="Times New Roman"/>
          <w:sz w:val="24"/>
          <w:szCs w:val="24"/>
        </w:rPr>
        <w:t xml:space="preserve"> Wspomniane środki będą zgromadzone na rachunku ministra właściwego do spraw rozwoju </w:t>
      </w:r>
      <w:r w:rsidR="00986BCB" w:rsidRPr="0040535D">
        <w:rPr>
          <w:rFonts w:ascii="Times New Roman" w:hAnsi="Times New Roman"/>
          <w:sz w:val="24"/>
          <w:szCs w:val="24"/>
        </w:rPr>
        <w:lastRenderedPageBreak/>
        <w:t xml:space="preserve">regionalnego otwartym w </w:t>
      </w:r>
      <w:r w:rsidR="008267E8" w:rsidRPr="0040535D">
        <w:rPr>
          <w:rFonts w:ascii="Times New Roman" w:hAnsi="Times New Roman"/>
          <w:sz w:val="24"/>
          <w:szCs w:val="24"/>
        </w:rPr>
        <w:t>NBP</w:t>
      </w:r>
      <w:r w:rsidR="00986BCB" w:rsidRPr="0040535D">
        <w:rPr>
          <w:rFonts w:ascii="Times New Roman" w:hAnsi="Times New Roman"/>
          <w:sz w:val="24"/>
          <w:szCs w:val="24"/>
        </w:rPr>
        <w:t xml:space="preserve"> i będą uruchamiane wyłącznie na podstawie dyspozycji wspomnianego ministra na realizacj</w:t>
      </w:r>
      <w:r w:rsidR="008267E8" w:rsidRPr="0040535D">
        <w:rPr>
          <w:rFonts w:ascii="Times New Roman" w:hAnsi="Times New Roman"/>
          <w:sz w:val="24"/>
          <w:szCs w:val="24"/>
        </w:rPr>
        <w:t>ę</w:t>
      </w:r>
      <w:r w:rsidR="00986BCB" w:rsidRPr="0040535D">
        <w:rPr>
          <w:rFonts w:ascii="Times New Roman" w:hAnsi="Times New Roman"/>
          <w:sz w:val="24"/>
          <w:szCs w:val="24"/>
        </w:rPr>
        <w:t xml:space="preserve"> zadań w ramach celu Europejska Współpraca Terytorialna lub programów Europejskiego Instrumentu Sąsiedztwa</w:t>
      </w:r>
      <w:r w:rsidR="0041328B" w:rsidRPr="0040535D">
        <w:rPr>
          <w:rFonts w:ascii="Times New Roman" w:hAnsi="Times New Roman"/>
          <w:sz w:val="24"/>
          <w:szCs w:val="24"/>
        </w:rPr>
        <w:t xml:space="preserve"> lub programów w ramach celu Europejska Współpraca Terytorialna  (</w:t>
      </w:r>
      <w:proofErr w:type="spellStart"/>
      <w:r w:rsidR="0041328B" w:rsidRPr="0040535D">
        <w:rPr>
          <w:rFonts w:ascii="Times New Roman" w:hAnsi="Times New Roman"/>
          <w:sz w:val="24"/>
          <w:szCs w:val="24"/>
        </w:rPr>
        <w:t>Interreg</w:t>
      </w:r>
      <w:proofErr w:type="spellEnd"/>
      <w:r w:rsidR="0041328B" w:rsidRPr="0040535D">
        <w:rPr>
          <w:rFonts w:ascii="Times New Roman" w:hAnsi="Times New Roman"/>
          <w:sz w:val="24"/>
          <w:szCs w:val="24"/>
        </w:rPr>
        <w:t>)</w:t>
      </w:r>
      <w:r w:rsidR="008267E8" w:rsidRPr="0040535D">
        <w:rPr>
          <w:rFonts w:ascii="Times New Roman" w:hAnsi="Times New Roman"/>
          <w:sz w:val="24"/>
          <w:szCs w:val="24"/>
        </w:rPr>
        <w:t>.</w:t>
      </w:r>
    </w:p>
    <w:p w14:paraId="414298EF"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1811ED" w:rsidRPr="0040535D">
        <w:rPr>
          <w:rFonts w:ascii="Times New Roman" w:hAnsi="Times New Roman"/>
          <w:sz w:val="24"/>
          <w:szCs w:val="24"/>
        </w:rPr>
        <w:t>11</w:t>
      </w:r>
      <w:r w:rsidR="001811ED">
        <w:rPr>
          <w:rFonts w:ascii="Times New Roman" w:hAnsi="Times New Roman"/>
          <w:sz w:val="24"/>
          <w:szCs w:val="24"/>
        </w:rPr>
        <w:t>3</w:t>
      </w:r>
      <w:r w:rsidR="001811ED" w:rsidRPr="0040535D">
        <w:rPr>
          <w:rFonts w:ascii="Times New Roman" w:hAnsi="Times New Roman"/>
          <w:sz w:val="24"/>
          <w:szCs w:val="24"/>
        </w:rPr>
        <w:t xml:space="preserve"> </w:t>
      </w:r>
      <w:r w:rsidR="009D312C" w:rsidRPr="0040535D">
        <w:rPr>
          <w:rFonts w:ascii="Times New Roman" w:hAnsi="Times New Roman"/>
          <w:sz w:val="24"/>
          <w:szCs w:val="24"/>
        </w:rPr>
        <w:t xml:space="preserve">pkt </w:t>
      </w:r>
      <w:r w:rsidR="00E26427" w:rsidRPr="0040535D">
        <w:rPr>
          <w:rFonts w:ascii="Times New Roman" w:hAnsi="Times New Roman"/>
          <w:sz w:val="24"/>
          <w:szCs w:val="24"/>
        </w:rPr>
        <w:t>1</w:t>
      </w:r>
      <w:r w:rsidR="0041328B" w:rsidRPr="0040535D">
        <w:rPr>
          <w:rFonts w:ascii="Times New Roman" w:hAnsi="Times New Roman"/>
          <w:sz w:val="24"/>
          <w:szCs w:val="24"/>
        </w:rPr>
        <w:t>6</w:t>
      </w:r>
      <w:r w:rsidR="00E26427" w:rsidRPr="0040535D">
        <w:rPr>
          <w:rFonts w:ascii="Times New Roman" w:hAnsi="Times New Roman"/>
          <w:sz w:val="24"/>
          <w:szCs w:val="24"/>
        </w:rPr>
        <w:t xml:space="preserve"> </w:t>
      </w:r>
      <w:r w:rsidRPr="0040535D">
        <w:rPr>
          <w:rFonts w:ascii="Times New Roman" w:hAnsi="Times New Roman"/>
          <w:sz w:val="24"/>
          <w:szCs w:val="24"/>
        </w:rPr>
        <w:t xml:space="preserve">ustawy modyfikuje przepisy art. 206 </w:t>
      </w:r>
      <w:proofErr w:type="spellStart"/>
      <w:r w:rsidR="00DD083B" w:rsidRPr="0040535D">
        <w:rPr>
          <w:rFonts w:ascii="Times New Roman" w:hAnsi="Times New Roman"/>
          <w:sz w:val="24"/>
          <w:szCs w:val="24"/>
        </w:rPr>
        <w:t>ufp</w:t>
      </w:r>
      <w:proofErr w:type="spellEnd"/>
      <w:r w:rsidRPr="0040535D">
        <w:rPr>
          <w:rFonts w:ascii="Times New Roman" w:hAnsi="Times New Roman"/>
          <w:sz w:val="24"/>
          <w:szCs w:val="24"/>
        </w:rPr>
        <w:t>. Proponowane zmiany odzwierciedlają konieczność ujęcia w treści przepisu odwołania do nowej ustawy wdrożeniowej</w:t>
      </w:r>
      <w:r w:rsidR="00A45405" w:rsidRPr="0040535D">
        <w:rPr>
          <w:rFonts w:ascii="Times New Roman" w:hAnsi="Times New Roman"/>
          <w:sz w:val="24"/>
          <w:szCs w:val="24"/>
        </w:rPr>
        <w:t xml:space="preserve"> 2021-2027</w:t>
      </w:r>
      <w:r w:rsidR="00C2270D" w:rsidRPr="0040535D">
        <w:rPr>
          <w:rFonts w:ascii="Times New Roman" w:hAnsi="Times New Roman"/>
          <w:sz w:val="24"/>
          <w:szCs w:val="24"/>
        </w:rPr>
        <w:t xml:space="preserve"> oraz do środków Europejskiego Funduszu Społecznego Plus przeznaczonych na zwalczanie deprywacji materialnej</w:t>
      </w:r>
      <w:r w:rsidRPr="0040535D">
        <w:rPr>
          <w:rFonts w:ascii="Times New Roman" w:hAnsi="Times New Roman"/>
          <w:sz w:val="24"/>
          <w:szCs w:val="24"/>
        </w:rPr>
        <w:t>.</w:t>
      </w:r>
    </w:p>
    <w:p w14:paraId="32F1ED14"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Art. </w:t>
      </w:r>
      <w:r w:rsidR="001811ED" w:rsidRPr="0040535D">
        <w:rPr>
          <w:rFonts w:ascii="Times New Roman" w:hAnsi="Times New Roman"/>
          <w:sz w:val="24"/>
          <w:szCs w:val="24"/>
        </w:rPr>
        <w:t>11</w:t>
      </w:r>
      <w:r w:rsidR="001811ED">
        <w:rPr>
          <w:rFonts w:ascii="Times New Roman" w:hAnsi="Times New Roman"/>
          <w:sz w:val="24"/>
          <w:szCs w:val="24"/>
        </w:rPr>
        <w:t>3</w:t>
      </w:r>
      <w:r w:rsidR="001811ED" w:rsidRPr="0040535D">
        <w:rPr>
          <w:rFonts w:ascii="Times New Roman" w:hAnsi="Times New Roman"/>
          <w:sz w:val="24"/>
          <w:szCs w:val="24"/>
        </w:rPr>
        <w:t xml:space="preserve"> </w:t>
      </w:r>
      <w:r w:rsidR="009D312C" w:rsidRPr="0040535D">
        <w:rPr>
          <w:rFonts w:ascii="Times New Roman" w:hAnsi="Times New Roman"/>
          <w:sz w:val="24"/>
          <w:szCs w:val="24"/>
        </w:rPr>
        <w:t>pkt 1</w:t>
      </w:r>
      <w:r w:rsidR="0041328B" w:rsidRPr="0040535D">
        <w:rPr>
          <w:rFonts w:ascii="Times New Roman" w:hAnsi="Times New Roman"/>
          <w:sz w:val="24"/>
          <w:szCs w:val="24"/>
        </w:rPr>
        <w:t>7</w:t>
      </w:r>
      <w:r w:rsidRPr="0040535D">
        <w:rPr>
          <w:rFonts w:ascii="Times New Roman" w:hAnsi="Times New Roman"/>
          <w:sz w:val="24"/>
          <w:szCs w:val="24"/>
        </w:rPr>
        <w:t xml:space="preserve"> ustawy zmienia art. 207 </w:t>
      </w:r>
      <w:proofErr w:type="spellStart"/>
      <w:r w:rsidR="00DD083B" w:rsidRPr="0040535D">
        <w:rPr>
          <w:rFonts w:ascii="Times New Roman" w:hAnsi="Times New Roman"/>
          <w:sz w:val="24"/>
          <w:szCs w:val="24"/>
        </w:rPr>
        <w:t>ufp</w:t>
      </w:r>
      <w:proofErr w:type="spellEnd"/>
      <w:r w:rsidRPr="0040535D">
        <w:rPr>
          <w:rFonts w:ascii="Times New Roman" w:hAnsi="Times New Roman"/>
          <w:sz w:val="24"/>
          <w:szCs w:val="24"/>
        </w:rPr>
        <w:t xml:space="preserve">. </w:t>
      </w:r>
      <w:r w:rsidR="004223EF" w:rsidRPr="0040535D">
        <w:rPr>
          <w:rFonts w:ascii="Times New Roman" w:hAnsi="Times New Roman"/>
          <w:sz w:val="24"/>
          <w:szCs w:val="24"/>
        </w:rPr>
        <w:t>p</w:t>
      </w:r>
      <w:r w:rsidRPr="0040535D">
        <w:rPr>
          <w:rFonts w:ascii="Times New Roman" w:hAnsi="Times New Roman"/>
          <w:sz w:val="24"/>
          <w:szCs w:val="24"/>
        </w:rPr>
        <w:t>roponowane zmiany mają na celu zamieszczenie odwołania do nowej ustawy wdrożeniowe</w:t>
      </w:r>
      <w:r w:rsidR="00A45405" w:rsidRPr="0040535D">
        <w:rPr>
          <w:rFonts w:ascii="Times New Roman" w:hAnsi="Times New Roman"/>
          <w:sz w:val="24"/>
          <w:szCs w:val="24"/>
        </w:rPr>
        <w:t xml:space="preserve"> 2021-2027</w:t>
      </w:r>
      <w:r w:rsidRPr="0040535D">
        <w:rPr>
          <w:rFonts w:ascii="Times New Roman" w:hAnsi="Times New Roman"/>
          <w:sz w:val="24"/>
          <w:szCs w:val="24"/>
        </w:rPr>
        <w:t xml:space="preserve">. </w:t>
      </w:r>
      <w:r w:rsidR="008355DF" w:rsidRPr="0040535D">
        <w:rPr>
          <w:rFonts w:ascii="Times New Roman" w:hAnsi="Times New Roman"/>
          <w:sz w:val="24"/>
          <w:szCs w:val="24"/>
        </w:rPr>
        <w:t xml:space="preserve">Ponadto doprecyzowano ust. 12 w zakresie </w:t>
      </w:r>
      <w:proofErr w:type="spellStart"/>
      <w:r w:rsidR="008355DF" w:rsidRPr="0040535D">
        <w:rPr>
          <w:rFonts w:ascii="Times New Roman" w:hAnsi="Times New Roman"/>
          <w:sz w:val="24"/>
          <w:szCs w:val="24"/>
        </w:rPr>
        <w:t>odwołań</w:t>
      </w:r>
      <w:proofErr w:type="spellEnd"/>
      <w:r w:rsidR="008355DF" w:rsidRPr="0040535D">
        <w:rPr>
          <w:rFonts w:ascii="Times New Roman" w:hAnsi="Times New Roman"/>
          <w:sz w:val="24"/>
          <w:szCs w:val="24"/>
        </w:rPr>
        <w:t xml:space="preserve"> od decyzji instytucji pośredniczącej, o której mowa w ustawie z dnia 12 marca 2004 r. o pomocy społecznej.</w:t>
      </w:r>
    </w:p>
    <w:p w14:paraId="0620F375" w14:textId="77777777" w:rsidR="00555DC0" w:rsidRPr="0040535D" w:rsidRDefault="00555DC0" w:rsidP="0008133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W art. </w:t>
      </w:r>
      <w:r w:rsidR="001811ED" w:rsidRPr="0040535D">
        <w:rPr>
          <w:rFonts w:ascii="Times New Roman" w:hAnsi="Times New Roman"/>
          <w:sz w:val="24"/>
          <w:szCs w:val="24"/>
        </w:rPr>
        <w:t>11</w:t>
      </w:r>
      <w:r w:rsidR="001811ED">
        <w:rPr>
          <w:rFonts w:ascii="Times New Roman" w:hAnsi="Times New Roman"/>
          <w:sz w:val="24"/>
          <w:szCs w:val="24"/>
        </w:rPr>
        <w:t>3</w:t>
      </w:r>
      <w:r w:rsidR="001811ED" w:rsidRPr="0040535D">
        <w:rPr>
          <w:rFonts w:ascii="Times New Roman" w:hAnsi="Times New Roman"/>
          <w:sz w:val="24"/>
          <w:szCs w:val="24"/>
        </w:rPr>
        <w:t xml:space="preserve"> </w:t>
      </w:r>
      <w:r w:rsidR="009D312C" w:rsidRPr="0040535D">
        <w:rPr>
          <w:rFonts w:ascii="Times New Roman" w:hAnsi="Times New Roman"/>
          <w:sz w:val="24"/>
          <w:szCs w:val="24"/>
        </w:rPr>
        <w:t>pkt 1</w:t>
      </w:r>
      <w:r w:rsidR="0041328B" w:rsidRPr="0040535D">
        <w:rPr>
          <w:rFonts w:ascii="Times New Roman" w:hAnsi="Times New Roman"/>
          <w:sz w:val="24"/>
          <w:szCs w:val="24"/>
        </w:rPr>
        <w:t>9</w:t>
      </w:r>
      <w:r w:rsidRPr="0040535D">
        <w:rPr>
          <w:rFonts w:ascii="Times New Roman" w:hAnsi="Times New Roman"/>
          <w:sz w:val="24"/>
          <w:szCs w:val="24"/>
        </w:rPr>
        <w:t xml:space="preserve"> ustawy znowelizowano przepisy art. 210 </w:t>
      </w:r>
      <w:proofErr w:type="spellStart"/>
      <w:r w:rsidR="00DD083B" w:rsidRPr="0040535D">
        <w:rPr>
          <w:rFonts w:ascii="Times New Roman" w:hAnsi="Times New Roman"/>
          <w:sz w:val="24"/>
          <w:szCs w:val="24"/>
        </w:rPr>
        <w:t>ufp</w:t>
      </w:r>
      <w:proofErr w:type="spellEnd"/>
      <w:r w:rsidRPr="0040535D">
        <w:rPr>
          <w:rFonts w:ascii="Times New Roman" w:hAnsi="Times New Roman"/>
          <w:sz w:val="24"/>
          <w:szCs w:val="24"/>
        </w:rPr>
        <w:t>. Projektowane zmiany mają na celu umożliwienie jednostkom systemu wdrażania funduszy unijnych udostępniania i przekazywania informacji zawartych w rejestrze podmiotów wykluczonych w drodze teletransmisji danych. Umożliwienie instytucjom bezpośredniego wglądu w dane zawarte w rejestrze w sposób znaczący przyspieszyłoby proces uzyskiwania informacji i sprawdzania beneficjentów np. przy weryfikacji składanych wniosków o dofinansowanie projektu. Bez zmian natomiast pozostanie sposób i tryb pozyskiwania danych z rejestru przez samych beneficjentów.</w:t>
      </w:r>
    </w:p>
    <w:p w14:paraId="39288527" w14:textId="77777777" w:rsidR="00C05EC4" w:rsidRPr="0040535D" w:rsidRDefault="00C05EC4"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W art. </w:t>
      </w:r>
      <w:r w:rsidR="001811ED" w:rsidRPr="0040535D">
        <w:rPr>
          <w:rFonts w:ascii="Times New Roman" w:hAnsi="Times New Roman"/>
          <w:sz w:val="24"/>
          <w:szCs w:val="24"/>
        </w:rPr>
        <w:t>11</w:t>
      </w:r>
      <w:r w:rsidR="001811ED">
        <w:rPr>
          <w:rFonts w:ascii="Times New Roman" w:hAnsi="Times New Roman"/>
          <w:sz w:val="24"/>
          <w:szCs w:val="24"/>
        </w:rPr>
        <w:t>3</w:t>
      </w:r>
      <w:r w:rsidR="001811ED" w:rsidRPr="0040535D">
        <w:rPr>
          <w:rFonts w:ascii="Times New Roman" w:hAnsi="Times New Roman"/>
          <w:sz w:val="24"/>
          <w:szCs w:val="24"/>
        </w:rPr>
        <w:t xml:space="preserve"> </w:t>
      </w:r>
      <w:r w:rsidRPr="0040535D">
        <w:rPr>
          <w:rFonts w:ascii="Times New Roman" w:hAnsi="Times New Roman"/>
          <w:sz w:val="24"/>
          <w:szCs w:val="24"/>
        </w:rPr>
        <w:t xml:space="preserve">zaproponowano również szereg zmian koniecznych dla wdrażania planu rozwojowego. Zmiany w art. 2, </w:t>
      </w:r>
      <w:r w:rsidR="009D2671" w:rsidRPr="0040535D">
        <w:rPr>
          <w:rFonts w:ascii="Times New Roman" w:hAnsi="Times New Roman"/>
          <w:sz w:val="24"/>
          <w:szCs w:val="24"/>
        </w:rPr>
        <w:t xml:space="preserve">art. </w:t>
      </w:r>
      <w:r w:rsidRPr="0040535D">
        <w:rPr>
          <w:rFonts w:ascii="Times New Roman" w:hAnsi="Times New Roman"/>
          <w:sz w:val="24"/>
          <w:szCs w:val="24"/>
        </w:rPr>
        <w:t xml:space="preserve">5, </w:t>
      </w:r>
      <w:r w:rsidR="009D2671" w:rsidRPr="0040535D">
        <w:rPr>
          <w:rFonts w:ascii="Times New Roman" w:hAnsi="Times New Roman"/>
          <w:sz w:val="24"/>
          <w:szCs w:val="24"/>
        </w:rPr>
        <w:t xml:space="preserve">art. </w:t>
      </w:r>
      <w:r w:rsidRPr="0040535D">
        <w:rPr>
          <w:rFonts w:ascii="Times New Roman" w:hAnsi="Times New Roman"/>
          <w:sz w:val="24"/>
          <w:szCs w:val="24"/>
        </w:rPr>
        <w:t xml:space="preserve">186 i </w:t>
      </w:r>
      <w:r w:rsidR="009D2671" w:rsidRPr="0040535D">
        <w:rPr>
          <w:rFonts w:ascii="Times New Roman" w:hAnsi="Times New Roman"/>
          <w:sz w:val="24"/>
          <w:szCs w:val="24"/>
        </w:rPr>
        <w:t xml:space="preserve">art. </w:t>
      </w:r>
      <w:r w:rsidRPr="0040535D">
        <w:rPr>
          <w:rFonts w:ascii="Times New Roman" w:hAnsi="Times New Roman"/>
          <w:sz w:val="24"/>
          <w:szCs w:val="24"/>
        </w:rPr>
        <w:t xml:space="preserve">192 ustawy o finansach publicznych związane są z rozszerzeniem katalogu środków europejskich o środki pochodzące z Instrumentu na rzecz Odbudowy i Zwiększania Odporności, przeznaczone na wsparcie o charakterze bezzwrotnym. Zmiana w art. 153 </w:t>
      </w:r>
      <w:r w:rsidR="00877CD4" w:rsidRPr="0040535D">
        <w:rPr>
          <w:rFonts w:ascii="Times New Roman" w:hAnsi="Times New Roman"/>
          <w:sz w:val="24"/>
          <w:szCs w:val="24"/>
          <w:shd w:val="clear" w:color="auto" w:fill="FFFFFF"/>
        </w:rPr>
        <w:t>wyłącza stosowanie zapewnień do środków pochodzących z RRF</w:t>
      </w:r>
      <w:r w:rsidRPr="0040535D">
        <w:rPr>
          <w:rFonts w:ascii="Times New Roman" w:hAnsi="Times New Roman"/>
          <w:sz w:val="24"/>
          <w:szCs w:val="24"/>
        </w:rPr>
        <w:t xml:space="preserve">. Z kolei nowy art. 209a w ust. 1 wskazuje, które z istniejących przepisów ustawy o finansach publicznych nie dotyczą planu rozwojowego (są to: </w:t>
      </w:r>
      <w:r w:rsidR="00E01D92" w:rsidRPr="0040535D">
        <w:rPr>
          <w:rFonts w:ascii="Times New Roman" w:hAnsi="Times New Roman"/>
          <w:sz w:val="24"/>
          <w:szCs w:val="24"/>
        </w:rPr>
        <w:t>art. 122 ust. 1 pkt 2 lit. b i c, art. 171, art. 187-191, art. 192 ust. 5 i 6, art. 193, art. 194, art. 206 oraz art. 207</w:t>
      </w:r>
      <w:r w:rsidRPr="0040535D">
        <w:rPr>
          <w:rFonts w:ascii="Times New Roman" w:hAnsi="Times New Roman"/>
          <w:sz w:val="24"/>
          <w:szCs w:val="24"/>
        </w:rPr>
        <w:t xml:space="preserve">). Zgodnie z ust. 2 i 3 art. 209a środki europejskie w części dotyczącej planu rozwojowego są przekazywane </w:t>
      </w:r>
      <w:r w:rsidR="0064190C" w:rsidRPr="0040535D">
        <w:rPr>
          <w:rFonts w:ascii="Times New Roman" w:hAnsi="Times New Roman"/>
          <w:sz w:val="24"/>
          <w:szCs w:val="24"/>
        </w:rPr>
        <w:t>PFR</w:t>
      </w:r>
      <w:r w:rsidRPr="0040535D">
        <w:rPr>
          <w:rFonts w:ascii="Times New Roman" w:hAnsi="Times New Roman"/>
          <w:sz w:val="24"/>
          <w:szCs w:val="24"/>
        </w:rPr>
        <w:t xml:space="preserve"> przez Bank Gospodarstwa Krajowego na podstawie zlecenia płatności wystawionego przez ministra właściwego do spraw rozwoju regionalnego. Ust. 4 stanowi, że </w:t>
      </w:r>
      <w:r w:rsidRPr="0040535D">
        <w:rPr>
          <w:rFonts w:ascii="Times New Roman" w:hAnsi="Times New Roman"/>
          <w:sz w:val="24"/>
          <w:szCs w:val="24"/>
        </w:rPr>
        <w:lastRenderedPageBreak/>
        <w:t xml:space="preserve">do zwrotu środków europejskich przekazanych </w:t>
      </w:r>
      <w:r w:rsidR="0064190C" w:rsidRPr="0040535D">
        <w:rPr>
          <w:rFonts w:ascii="Times New Roman" w:hAnsi="Times New Roman"/>
          <w:sz w:val="24"/>
          <w:szCs w:val="24"/>
        </w:rPr>
        <w:t>PFR</w:t>
      </w:r>
      <w:r w:rsidRPr="0040535D">
        <w:rPr>
          <w:rFonts w:ascii="Times New Roman" w:hAnsi="Times New Roman"/>
          <w:sz w:val="24"/>
          <w:szCs w:val="24"/>
        </w:rPr>
        <w:t xml:space="preserve"> planu rozwojowego, stosuje się odpowiednio art. 169 ustawy o finansach publicznych dotyczące zwrotu dotacji.</w:t>
      </w:r>
    </w:p>
    <w:p w14:paraId="6289051A" w14:textId="77777777" w:rsidR="007F2AAE" w:rsidRPr="0040535D" w:rsidRDefault="007F2AAE" w:rsidP="007F2AAE">
      <w:pPr>
        <w:spacing w:before="120" w:after="120" w:line="360" w:lineRule="auto"/>
        <w:jc w:val="both"/>
        <w:rPr>
          <w:rFonts w:ascii="Times New Roman" w:hAnsi="Times New Roman"/>
        </w:rPr>
      </w:pPr>
      <w:r w:rsidRPr="0040535D">
        <w:rPr>
          <w:rFonts w:ascii="Times New Roman" w:hAnsi="Times New Roman"/>
          <w:sz w:val="24"/>
          <w:szCs w:val="24"/>
        </w:rPr>
        <w:t xml:space="preserve">W </w:t>
      </w:r>
      <w:r w:rsidRPr="0040535D">
        <w:rPr>
          <w:rFonts w:ascii="Times New Roman" w:hAnsi="Times New Roman"/>
          <w:b/>
          <w:sz w:val="24"/>
          <w:szCs w:val="24"/>
        </w:rPr>
        <w:t xml:space="preserve">art. </w:t>
      </w:r>
      <w:r w:rsidR="001811ED" w:rsidRPr="0040535D">
        <w:rPr>
          <w:rFonts w:ascii="Times New Roman" w:hAnsi="Times New Roman"/>
          <w:b/>
          <w:sz w:val="24"/>
          <w:szCs w:val="24"/>
        </w:rPr>
        <w:t>11</w:t>
      </w:r>
      <w:r w:rsidR="001811ED">
        <w:rPr>
          <w:rFonts w:ascii="Times New Roman" w:hAnsi="Times New Roman"/>
          <w:b/>
          <w:sz w:val="24"/>
          <w:szCs w:val="24"/>
        </w:rPr>
        <w:t>5</w:t>
      </w:r>
      <w:r w:rsidR="001811ED" w:rsidRPr="0040535D">
        <w:rPr>
          <w:rFonts w:ascii="Times New Roman" w:hAnsi="Times New Roman"/>
          <w:sz w:val="24"/>
          <w:szCs w:val="24"/>
        </w:rPr>
        <w:t xml:space="preserve"> </w:t>
      </w:r>
      <w:r w:rsidRPr="0040535D">
        <w:rPr>
          <w:rFonts w:ascii="Times New Roman" w:hAnsi="Times New Roman"/>
        </w:rPr>
        <w:t xml:space="preserve">wprowadzono zmiany do  ustawie z dnia 30 kwietnia 2010 r. o Narodowym Centrum Badań i Rozwoju </w:t>
      </w:r>
      <w:hyperlink r:id="rId8" w:history="1">
        <w:r w:rsidRPr="0040535D">
          <w:rPr>
            <w:rFonts w:ascii="Times New Roman" w:hAnsi="Times New Roman"/>
          </w:rPr>
          <w:t>(Dz. U. z 2020 r. poz. 1861)</w:t>
        </w:r>
      </w:hyperlink>
      <w:r w:rsidRPr="0040535D">
        <w:rPr>
          <w:rFonts w:ascii="Times New Roman" w:hAnsi="Times New Roman"/>
          <w:sz w:val="24"/>
          <w:szCs w:val="24"/>
        </w:rPr>
        <w:t>, które prze de wszystkim  mają na celu określenie  podstawy do przyznawania pomocy publicznej ze środków krajowych.</w:t>
      </w:r>
      <w:r w:rsidRPr="0040535D">
        <w:t xml:space="preserve"> </w:t>
      </w:r>
    </w:p>
    <w:p w14:paraId="3D95B1C7" w14:textId="77777777" w:rsidR="007355F1" w:rsidRPr="0040535D" w:rsidRDefault="00CD2EF5"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W </w:t>
      </w:r>
      <w:r w:rsidRPr="0040535D">
        <w:rPr>
          <w:rFonts w:ascii="Times New Roman" w:hAnsi="Times New Roman"/>
          <w:b/>
          <w:sz w:val="24"/>
          <w:szCs w:val="24"/>
        </w:rPr>
        <w:t xml:space="preserve">art. </w:t>
      </w:r>
      <w:r w:rsidR="001811ED">
        <w:rPr>
          <w:rFonts w:ascii="Times New Roman" w:hAnsi="Times New Roman"/>
          <w:sz w:val="24"/>
          <w:szCs w:val="24"/>
        </w:rPr>
        <w:t> </w:t>
      </w:r>
      <w:r w:rsidR="001811ED" w:rsidRPr="0040535D">
        <w:rPr>
          <w:rFonts w:ascii="Times New Roman" w:hAnsi="Times New Roman"/>
          <w:b/>
          <w:sz w:val="24"/>
          <w:szCs w:val="24"/>
        </w:rPr>
        <w:t>11</w:t>
      </w:r>
      <w:r w:rsidR="001811ED">
        <w:rPr>
          <w:rFonts w:ascii="Times New Roman" w:hAnsi="Times New Roman"/>
          <w:b/>
          <w:sz w:val="24"/>
          <w:szCs w:val="24"/>
        </w:rPr>
        <w:t xml:space="preserve">8 </w:t>
      </w:r>
      <w:r w:rsidRPr="0040535D">
        <w:rPr>
          <w:rFonts w:ascii="Times New Roman" w:hAnsi="Times New Roman"/>
          <w:sz w:val="24"/>
          <w:szCs w:val="24"/>
        </w:rPr>
        <w:t>zaproponowano zmiany do ustawy z dnia 16 listopada 2016 r. o Krajowej Administracji Skarbowej</w:t>
      </w:r>
      <w:r w:rsidR="0093693E" w:rsidRPr="0040535D">
        <w:rPr>
          <w:rFonts w:ascii="Times New Roman" w:hAnsi="Times New Roman"/>
          <w:sz w:val="24"/>
          <w:szCs w:val="24"/>
        </w:rPr>
        <w:t xml:space="preserve"> (</w:t>
      </w:r>
      <w:r w:rsidR="0084090C" w:rsidRPr="0040535D">
        <w:rPr>
          <w:rFonts w:ascii="Times New Roman" w:hAnsi="Times New Roman"/>
          <w:sz w:val="24"/>
          <w:szCs w:val="24"/>
        </w:rPr>
        <w:t>D</w:t>
      </w:r>
      <w:r w:rsidR="0084090C">
        <w:rPr>
          <w:rFonts w:ascii="Times New Roman" w:hAnsi="Times New Roman"/>
          <w:sz w:val="24"/>
          <w:szCs w:val="24"/>
        </w:rPr>
        <w:t>z</w:t>
      </w:r>
      <w:r w:rsidR="0093693E" w:rsidRPr="0040535D">
        <w:rPr>
          <w:rFonts w:ascii="Times New Roman" w:hAnsi="Times New Roman"/>
          <w:sz w:val="24"/>
          <w:szCs w:val="24"/>
        </w:rPr>
        <w:t xml:space="preserve">.U. z 2021 r. poz. 422, z </w:t>
      </w:r>
      <w:proofErr w:type="spellStart"/>
      <w:r w:rsidR="0093693E" w:rsidRPr="0040535D">
        <w:rPr>
          <w:rFonts w:ascii="Times New Roman" w:hAnsi="Times New Roman"/>
          <w:sz w:val="24"/>
          <w:szCs w:val="24"/>
        </w:rPr>
        <w:t>późn</w:t>
      </w:r>
      <w:proofErr w:type="spellEnd"/>
      <w:r w:rsidR="0093693E" w:rsidRPr="0040535D">
        <w:rPr>
          <w:rFonts w:ascii="Times New Roman" w:hAnsi="Times New Roman"/>
          <w:sz w:val="24"/>
          <w:szCs w:val="24"/>
        </w:rPr>
        <w:t xml:space="preserve">. </w:t>
      </w:r>
      <w:proofErr w:type="spellStart"/>
      <w:r w:rsidR="0093693E" w:rsidRPr="0040535D">
        <w:rPr>
          <w:rFonts w:ascii="Times New Roman" w:hAnsi="Times New Roman"/>
          <w:sz w:val="24"/>
          <w:szCs w:val="24"/>
        </w:rPr>
        <w:t>zm</w:t>
      </w:r>
      <w:proofErr w:type="spellEnd"/>
      <w:r w:rsidR="0093693E" w:rsidRPr="0040535D">
        <w:rPr>
          <w:rFonts w:ascii="Times New Roman" w:hAnsi="Times New Roman"/>
          <w:sz w:val="24"/>
          <w:szCs w:val="24"/>
        </w:rPr>
        <w:t>)</w:t>
      </w:r>
      <w:r w:rsidRPr="0040535D">
        <w:rPr>
          <w:rFonts w:ascii="Times New Roman" w:hAnsi="Times New Roman"/>
          <w:sz w:val="24"/>
          <w:szCs w:val="24"/>
        </w:rPr>
        <w:t>. Zmiana ma na celu rozszerzenie narzędzi stosowanych przez Szefa KAS w audytach systemu i audytach operacji Polityki Spójności na czynności wykonywane w ramach audytu programu rozwojowego..</w:t>
      </w:r>
      <w:r w:rsidR="007355F1" w:rsidRPr="0040535D">
        <w:rPr>
          <w:rFonts w:ascii="Times New Roman" w:hAnsi="Times New Roman"/>
          <w:sz w:val="24"/>
          <w:szCs w:val="24"/>
        </w:rPr>
        <w:t xml:space="preserve"> Proponowane w projekcie ustawy zmiany do ustawy o KAS mają związek z prowadzonymi audytami/kontrolami środków finansowych pochodzących z UE oraz krajowych środków publicznych, w tym przeznaczonych na współfinansowanie kraj</w:t>
      </w:r>
      <w:r w:rsidR="009D2671" w:rsidRPr="0040535D">
        <w:rPr>
          <w:rFonts w:ascii="Times New Roman" w:hAnsi="Times New Roman"/>
          <w:sz w:val="24"/>
          <w:szCs w:val="24"/>
        </w:rPr>
        <w:t xml:space="preserve">owe. </w:t>
      </w:r>
      <w:r w:rsidR="007355F1" w:rsidRPr="0040535D">
        <w:rPr>
          <w:rFonts w:ascii="Times New Roman" w:hAnsi="Times New Roman"/>
          <w:sz w:val="24"/>
          <w:szCs w:val="24"/>
        </w:rPr>
        <w:t>Zmiany ustawy mają również na celu dostosowanie obecnych przepisów ustawy o KAS do nowych zadań i ich zakresu dotyczących Szefa KAS oraz organów skarbowych i związanych z wdrążaniem pe</w:t>
      </w:r>
      <w:r w:rsidR="009D2671" w:rsidRPr="0040535D">
        <w:rPr>
          <w:rFonts w:ascii="Times New Roman" w:hAnsi="Times New Roman"/>
          <w:sz w:val="24"/>
          <w:szCs w:val="24"/>
        </w:rPr>
        <w:t xml:space="preserve">rspektywy finansowej 2021-2027. </w:t>
      </w:r>
      <w:r w:rsidR="007355F1" w:rsidRPr="0040535D">
        <w:rPr>
          <w:rFonts w:ascii="Times New Roman" w:hAnsi="Times New Roman"/>
          <w:sz w:val="24"/>
          <w:szCs w:val="24"/>
        </w:rPr>
        <w:t>Jednocześnie należy doprecyzować zasady współpracy z unijnymi i krajowymi instytucjami w zakresie prowadzonych prac/czynności przez Szefa KAS i dyrektor</w:t>
      </w:r>
      <w:r w:rsidR="009D2671" w:rsidRPr="0040535D">
        <w:rPr>
          <w:rFonts w:ascii="Times New Roman" w:hAnsi="Times New Roman"/>
          <w:sz w:val="24"/>
          <w:szCs w:val="24"/>
        </w:rPr>
        <w:t xml:space="preserve">ów izb administracji skarbowej. </w:t>
      </w:r>
      <w:r w:rsidR="007355F1" w:rsidRPr="0040535D">
        <w:rPr>
          <w:rFonts w:ascii="Times New Roman" w:hAnsi="Times New Roman"/>
          <w:sz w:val="24"/>
          <w:szCs w:val="24"/>
        </w:rPr>
        <w:t>Dotychczasowe doświadczenia z lat ubiegłych – w tym z perspektywy finansowej 2014-2020 - ujawniły szereg wątpliwości i rozbieżności interpretacyjnych lub wykazały zbyt ogólne unormowanie uprawnień i obowiązków Szefa KAS i dyrektorów izb administracji skarbowej w ramach audytu środków publicznych i zasad współpracy z innymi organami i instytucjami.</w:t>
      </w:r>
    </w:p>
    <w:p w14:paraId="32D1F862"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Zmiany do ustawy o KAS mają na celu m.in. poszerzenie katalogu zadań Szefa Krajowej Administracji Skarbowej o możliwość przeprowadzania audytu środków pochodzących z UE w</w:t>
      </w:r>
      <w:r w:rsidR="00F36786" w:rsidRPr="0040535D">
        <w:rPr>
          <w:rFonts w:ascii="Times New Roman" w:hAnsi="Times New Roman"/>
          <w:sz w:val="24"/>
          <w:szCs w:val="24"/>
        </w:rPr>
        <w:t xml:space="preserve"> nowej perspektywie finansowej. </w:t>
      </w:r>
      <w:r w:rsidRPr="0040535D">
        <w:rPr>
          <w:rFonts w:ascii="Times New Roman" w:hAnsi="Times New Roman"/>
          <w:sz w:val="24"/>
          <w:szCs w:val="24"/>
        </w:rPr>
        <w:t>Proponowanie brzmienie zmienianych przepisów ustawy o KAS wyznacza obszary kompetencji organów KAS (Szefa KAS i dyrektorów IAS) do wykonywania przedmiotowych audytów.</w:t>
      </w:r>
    </w:p>
    <w:p w14:paraId="3C32A051"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Poprawka wskazana </w:t>
      </w:r>
      <w:r w:rsidR="00F36786" w:rsidRPr="0040535D">
        <w:rPr>
          <w:rFonts w:ascii="Times New Roman" w:hAnsi="Times New Roman"/>
          <w:sz w:val="24"/>
          <w:szCs w:val="24"/>
        </w:rPr>
        <w:t>w art. 14 ust. 1 pkt 10a lit. b</w:t>
      </w:r>
      <w:r w:rsidRPr="0040535D">
        <w:rPr>
          <w:rFonts w:ascii="Times New Roman" w:hAnsi="Times New Roman"/>
          <w:sz w:val="24"/>
          <w:szCs w:val="24"/>
        </w:rPr>
        <w:t xml:space="preserve"> posiada charakter doprecyzowujący, iż Szef KAS sprawuje nadzór nad audytem i jego koordynacją w odniesieniu do dyrektorów izb administracji skarbowej przeprowadzających audyt systemu w ramach regionalnych programów operacyjnych</w:t>
      </w:r>
      <w:r w:rsidR="00C736ED" w:rsidRPr="0040535D">
        <w:rPr>
          <w:rFonts w:ascii="Times New Roman" w:hAnsi="Times New Roman"/>
          <w:sz w:val="24"/>
          <w:szCs w:val="24"/>
        </w:rPr>
        <w:t xml:space="preserve"> i regionalnych programów</w:t>
      </w:r>
      <w:r w:rsidRPr="0040535D">
        <w:rPr>
          <w:rFonts w:ascii="Times New Roman" w:hAnsi="Times New Roman"/>
          <w:sz w:val="24"/>
          <w:szCs w:val="24"/>
        </w:rPr>
        <w:t>.</w:t>
      </w:r>
    </w:p>
    <w:p w14:paraId="7D3D1FA9"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lastRenderedPageBreak/>
        <w:t xml:space="preserve">Poprawka wskazana </w:t>
      </w:r>
      <w:r w:rsidR="00F36786" w:rsidRPr="0040535D">
        <w:rPr>
          <w:rFonts w:ascii="Times New Roman" w:hAnsi="Times New Roman"/>
          <w:sz w:val="24"/>
          <w:szCs w:val="24"/>
        </w:rPr>
        <w:t>w art. 14 ust. 1 pkt 10a lit. c</w:t>
      </w:r>
      <w:r w:rsidRPr="0040535D">
        <w:rPr>
          <w:rFonts w:ascii="Times New Roman" w:hAnsi="Times New Roman"/>
          <w:sz w:val="24"/>
          <w:szCs w:val="24"/>
        </w:rPr>
        <w:t>, posiada charakter doprecyzowujący, iż Szef KAS sprawuje nadzór nad audytem i jego koordynacją w odniesieniu do dyrektorów izb administracji skarbowej przeprowadzających audyt operacji w ramach krajowych i regionalnych programów operacyjnych</w:t>
      </w:r>
      <w:r w:rsidR="00C736ED" w:rsidRPr="0040535D">
        <w:rPr>
          <w:rFonts w:ascii="Times New Roman" w:hAnsi="Times New Roman"/>
          <w:sz w:val="24"/>
          <w:szCs w:val="24"/>
        </w:rPr>
        <w:t>, krajowych i regionalnych programów oraz wspólnej polityki rolnej</w:t>
      </w:r>
      <w:r w:rsidRPr="0040535D">
        <w:rPr>
          <w:rFonts w:ascii="Times New Roman" w:hAnsi="Times New Roman"/>
          <w:sz w:val="24"/>
          <w:szCs w:val="24"/>
        </w:rPr>
        <w:t>.</w:t>
      </w:r>
      <w:r w:rsidR="00E86528" w:rsidRPr="0040535D">
        <w:rPr>
          <w:rFonts w:ascii="Times New Roman" w:hAnsi="Times New Roman"/>
          <w:sz w:val="24"/>
          <w:szCs w:val="24"/>
        </w:rPr>
        <w:t xml:space="preserve"> </w:t>
      </w:r>
    </w:p>
    <w:p w14:paraId="2CF4873D"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Proponowana zmiana stanowi doprecyzowanie zakresu kategorii audytów, nadzorowanych i koordynowanych przez Szefa KAS, a wykonywanych przez dyrektorów Izb Administracji Skarbowej, o których</w:t>
      </w:r>
      <w:r w:rsidR="00F36786" w:rsidRPr="0040535D">
        <w:rPr>
          <w:rFonts w:ascii="Times New Roman" w:hAnsi="Times New Roman"/>
          <w:sz w:val="24"/>
          <w:szCs w:val="24"/>
        </w:rPr>
        <w:t xml:space="preserve"> mowa w art. 14 ust. 1 pkt 10a</w:t>
      </w:r>
      <w:r w:rsidRPr="0040535D">
        <w:rPr>
          <w:rFonts w:ascii="Times New Roman" w:hAnsi="Times New Roman"/>
          <w:sz w:val="24"/>
          <w:szCs w:val="24"/>
        </w:rPr>
        <w:t xml:space="preserve"> ustawy o KAS. Zapis obejmuje uszczegółowienie obecnego brzmienia przepisu, poprzez uwzględnienie w jego treści audytu operacji krajowych programów operacyjnych</w:t>
      </w:r>
      <w:r w:rsidR="00C736ED" w:rsidRPr="0040535D">
        <w:rPr>
          <w:rFonts w:ascii="Times New Roman" w:hAnsi="Times New Roman"/>
          <w:sz w:val="24"/>
          <w:szCs w:val="24"/>
        </w:rPr>
        <w:t>, krajowych programów</w:t>
      </w:r>
      <w:r w:rsidRPr="0040535D">
        <w:rPr>
          <w:rFonts w:ascii="Times New Roman" w:hAnsi="Times New Roman"/>
          <w:sz w:val="24"/>
          <w:szCs w:val="24"/>
        </w:rPr>
        <w:t xml:space="preserve"> oraz wyraźne odniesienie w zakresie regionalnych programów operacyjnych</w:t>
      </w:r>
      <w:r w:rsidR="00C736ED" w:rsidRPr="0040535D">
        <w:rPr>
          <w:rFonts w:ascii="Times New Roman" w:hAnsi="Times New Roman"/>
          <w:sz w:val="24"/>
          <w:szCs w:val="24"/>
        </w:rPr>
        <w:t xml:space="preserve"> i regionalnych programów</w:t>
      </w:r>
      <w:r w:rsidRPr="0040535D">
        <w:rPr>
          <w:rFonts w:ascii="Times New Roman" w:hAnsi="Times New Roman"/>
          <w:sz w:val="24"/>
          <w:szCs w:val="24"/>
        </w:rPr>
        <w:t xml:space="preserve"> do audytu systemu zarządzania i kontroli oraz audytu operacji.</w:t>
      </w:r>
    </w:p>
    <w:p w14:paraId="3BF4F7EB" w14:textId="77777777" w:rsidR="00125209" w:rsidRDefault="00125209" w:rsidP="009A0EE5">
      <w:pPr>
        <w:spacing w:before="120" w:after="120" w:line="360" w:lineRule="auto"/>
        <w:jc w:val="both"/>
        <w:rPr>
          <w:rFonts w:ascii="Times New Roman" w:hAnsi="Times New Roman"/>
          <w:sz w:val="24"/>
          <w:szCs w:val="24"/>
        </w:rPr>
      </w:pPr>
      <w:r w:rsidRPr="00125209">
        <w:rPr>
          <w:rFonts w:ascii="Times New Roman" w:hAnsi="Times New Roman"/>
          <w:sz w:val="24"/>
          <w:szCs w:val="24"/>
        </w:rPr>
        <w:t xml:space="preserve">Dodatkowo, w związku z koniecznością wprowadzenia nowych regulacji w zakresie planu  rozwojowego, który  stanowi podstawę realizacji reform i inwestycji objętych wsparciem ze środków Instrumentu na rzecz Odbudowy i  Zwiększania Odporności wynikających z rozporządzenia Parlamentu Europejskiego i Rady (UE) 2021/241 z dnia 27 października 2021 r. ustanawiającego Instrument na rzecz Odbudowy i Zwiększania oraz </w:t>
      </w:r>
      <w:proofErr w:type="spellStart"/>
      <w:r w:rsidRPr="00125209">
        <w:rPr>
          <w:rFonts w:ascii="Times New Roman" w:hAnsi="Times New Roman"/>
          <w:sz w:val="24"/>
          <w:szCs w:val="24"/>
        </w:rPr>
        <w:t>pobrexitowej</w:t>
      </w:r>
      <w:proofErr w:type="spellEnd"/>
      <w:r w:rsidRPr="00125209">
        <w:rPr>
          <w:rFonts w:ascii="Times New Roman" w:hAnsi="Times New Roman"/>
          <w:sz w:val="24"/>
          <w:szCs w:val="24"/>
        </w:rPr>
        <w:t xml:space="preserve"> rezerwy dostosowawczej wynikającej z rozporządzenia Parlamentu Europejskiego i Rady (UE) nr 2021/1755 z dnia 6 października 2021 r ustanawiającego </w:t>
      </w:r>
      <w:proofErr w:type="spellStart"/>
      <w:r w:rsidRPr="00125209">
        <w:rPr>
          <w:rFonts w:ascii="Times New Roman" w:hAnsi="Times New Roman"/>
          <w:sz w:val="24"/>
          <w:szCs w:val="24"/>
        </w:rPr>
        <w:t>pobrexitową</w:t>
      </w:r>
      <w:proofErr w:type="spellEnd"/>
      <w:r w:rsidRPr="00125209">
        <w:rPr>
          <w:rFonts w:ascii="Times New Roman" w:hAnsi="Times New Roman"/>
          <w:sz w:val="24"/>
          <w:szCs w:val="24"/>
        </w:rPr>
        <w:t xml:space="preserve"> rezerwę dostosowawczą, do zadań Szefa KAS będzie należał audyt gospodarowania środkami w ramach tych instrumentów.</w:t>
      </w:r>
    </w:p>
    <w:p w14:paraId="3FD7B429"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Proponowane dodanie w art. 14 ust. 1 p</w:t>
      </w:r>
      <w:r w:rsidR="00E86528" w:rsidRPr="0040535D">
        <w:rPr>
          <w:rFonts w:ascii="Times New Roman" w:hAnsi="Times New Roman"/>
          <w:sz w:val="24"/>
          <w:szCs w:val="24"/>
        </w:rPr>
        <w:t>kt</w:t>
      </w:r>
      <w:r w:rsidRPr="0040535D">
        <w:rPr>
          <w:rFonts w:ascii="Times New Roman" w:hAnsi="Times New Roman"/>
          <w:sz w:val="24"/>
          <w:szCs w:val="24"/>
        </w:rPr>
        <w:t xml:space="preserve"> 18a wynika z potrzeby uzupełnienia ustawowych zadań Krajowej Administracji Skarbowej oraz zadań Szefa Krajowej Administracji Skarbowej o aspekty związane ze współpracą właściwych komórek organizacyjnych Ministerstwa Finansów, będących jednostkami organizacyjnymi KAS z Europejskim Urzędem ds. Zwalczania Nadużyć Finansowych (OLAF) w zakresie wynikającym z rozporządze</w:t>
      </w:r>
      <w:r w:rsidR="00F36786" w:rsidRPr="0040535D">
        <w:rPr>
          <w:rFonts w:ascii="Times New Roman" w:hAnsi="Times New Roman"/>
          <w:sz w:val="24"/>
          <w:szCs w:val="24"/>
        </w:rPr>
        <w:t xml:space="preserve">nia 883/2013, zgodnie z którym: </w:t>
      </w:r>
      <w:r w:rsidRPr="0040535D">
        <w:rPr>
          <w:rFonts w:ascii="Times New Roman" w:hAnsi="Times New Roman"/>
          <w:sz w:val="24"/>
          <w:szCs w:val="24"/>
        </w:rPr>
        <w:t>„Instytucje, organy, urzędy i agencje oraz, w zakresie, w jakim pozwala na to ich prawo krajowe, właściwe organy państw członkowskich przekazują Urzędowi na jego wniosek lub z własnej inicjatywy wszelkie będące w ich posiadaniu dokumenty lub informacje dotyczące prowadzonego przez</w:t>
      </w:r>
      <w:r w:rsidR="00F36786" w:rsidRPr="0040535D">
        <w:rPr>
          <w:rFonts w:ascii="Times New Roman" w:hAnsi="Times New Roman"/>
          <w:sz w:val="24"/>
          <w:szCs w:val="24"/>
        </w:rPr>
        <w:t xml:space="preserve"> Urząd dochodzenia.”(art. 8 (2))</w:t>
      </w:r>
    </w:p>
    <w:p w14:paraId="51274ECD"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lastRenderedPageBreak/>
        <w:t>„Właściwe organy państw członkowskich udzielają pracownikom Urzędu, zgodnie z przepisami krajowymi, niezbędnego wsparcia w celu umożliwienia im skutecznego wypełniania ich zadań”(art. 7 (3)).</w:t>
      </w:r>
    </w:p>
    <w:p w14:paraId="6C06FA5E"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Ponadto zamieszczenie w ustawie zapisu art. 14 ust. 1 pkt 18a stanowić będzie przewidzianą w prawie krajowym, podstawę prawną dla pełnej realizacji wniosków OLAF, wywodzoną dotychczas wprost z rozporządzenia 883/2013. Powyższe pozwoli również na odpowiednie zasilanie OLAF informacjami w zakresie dochodzeń prowadzonych po stronie dochodowej budżetu (głównie sprawy celne), tzn. przez jednostki organizacyjne KAS właściwe w sprawach skarbowych i celno-skarbowych.</w:t>
      </w:r>
    </w:p>
    <w:p w14:paraId="62BFD791"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Szef KAS – pełniący funkcję specjalnej jednostki o której mowa w art. 14 ust. 1 pkt 13 ustawy o KAS jest odpowiedzialny za prowadzenie kontroli transakcji określoną w Tytule V Rozdział III rozporządzenia UE 1306/2013.</w:t>
      </w:r>
    </w:p>
    <w:p w14:paraId="74BDB368"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Dyrektorzy izb administracji skarbowej realizują wnioski z państw członkowskich UE o przeprowadzenie kontroli transakcji w Polsce u przedsiębiorców na podstawie zleceń otrzymanych od Szefa KAS jako sprawującej funkcję specjalnej jednostki.</w:t>
      </w:r>
    </w:p>
    <w:p w14:paraId="2C98A5E7" w14:textId="77777777" w:rsidR="007355F1" w:rsidRPr="0040535D" w:rsidRDefault="00F36786"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Zmiana </w:t>
      </w:r>
      <w:r w:rsidR="007355F1" w:rsidRPr="0040535D">
        <w:rPr>
          <w:rFonts w:ascii="Times New Roman" w:hAnsi="Times New Roman"/>
          <w:sz w:val="24"/>
          <w:szCs w:val="24"/>
        </w:rPr>
        <w:t>doprecyzowująca i porządkująca w art. 25 ust 1 pkt 5a dotyczy wskazania jako zadanie własne dyrektorów  izb administracji skarbowej - już realizowanych zadań celem uniknięcia powstałych wątpliwości interpretacyjnych w zakresie realizacji kontroli transakcji wskazanej w rozporządzeniu UE 1306/2013.</w:t>
      </w:r>
    </w:p>
    <w:p w14:paraId="772151FA"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W związku z tym należy doprecyzować zakres kategorii audytów, nadzorowanych i koordynowanych przez Szefa KAS jak również wykonywaniem audytu środków finansowych z funduszy UE i krajowych środków publicznych oraz w związku z pełnieniem przez Szefa KAS funkcji Jednostki Specjalnej – o której mowa  w art. 85 rozporządzenia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349 z 20.</w:t>
      </w:r>
      <w:r w:rsidR="000F3527" w:rsidRPr="0040535D">
        <w:rPr>
          <w:rFonts w:ascii="Times New Roman" w:hAnsi="Times New Roman"/>
          <w:sz w:val="24"/>
          <w:szCs w:val="24"/>
        </w:rPr>
        <w:t xml:space="preserve">12.2013 r., s. 549 z </w:t>
      </w:r>
      <w:proofErr w:type="spellStart"/>
      <w:r w:rsidR="000F3527" w:rsidRPr="0040535D">
        <w:rPr>
          <w:rFonts w:ascii="Times New Roman" w:hAnsi="Times New Roman"/>
          <w:sz w:val="24"/>
          <w:szCs w:val="24"/>
        </w:rPr>
        <w:t>późn</w:t>
      </w:r>
      <w:proofErr w:type="spellEnd"/>
      <w:r w:rsidR="000F3527" w:rsidRPr="0040535D">
        <w:rPr>
          <w:rFonts w:ascii="Times New Roman" w:hAnsi="Times New Roman"/>
          <w:sz w:val="24"/>
          <w:szCs w:val="24"/>
        </w:rPr>
        <w:t>. zm.)</w:t>
      </w:r>
      <w:r w:rsidRPr="0040535D">
        <w:rPr>
          <w:rFonts w:ascii="Times New Roman" w:hAnsi="Times New Roman"/>
          <w:sz w:val="24"/>
          <w:szCs w:val="24"/>
        </w:rPr>
        <w:t xml:space="preserve"> i wykonywaniem kontroli transakcji i nadzoru nad innymi służbami kontrolnymi w zakresie prowadzenia przez te służby kontroli transakcji należy dokonać zmian art. 25 w zakresie zadań dyrektorów izb administracji skarbowej poprzez dodanie stosownych zapisów w tym zakresie.</w:t>
      </w:r>
    </w:p>
    <w:p w14:paraId="5452D376"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lastRenderedPageBreak/>
        <w:t>Audyt, o któ</w:t>
      </w:r>
      <w:r w:rsidR="000F3527" w:rsidRPr="0040535D">
        <w:rPr>
          <w:rFonts w:ascii="Times New Roman" w:hAnsi="Times New Roman"/>
          <w:sz w:val="24"/>
          <w:szCs w:val="24"/>
        </w:rPr>
        <w:t>rym mowa art. 14 ust. 1 pkt 10a</w:t>
      </w:r>
      <w:r w:rsidRPr="0040535D">
        <w:rPr>
          <w:rFonts w:ascii="Times New Roman" w:hAnsi="Times New Roman"/>
          <w:sz w:val="24"/>
          <w:szCs w:val="24"/>
        </w:rPr>
        <w:t xml:space="preserve"> ustawy o KAS</w:t>
      </w:r>
      <w:r w:rsidR="000F3527" w:rsidRPr="0040535D">
        <w:rPr>
          <w:rFonts w:ascii="Times New Roman" w:hAnsi="Times New Roman"/>
          <w:sz w:val="24"/>
          <w:szCs w:val="24"/>
        </w:rPr>
        <w:t>,</w:t>
      </w:r>
      <w:r w:rsidRPr="0040535D">
        <w:rPr>
          <w:rFonts w:ascii="Times New Roman" w:hAnsi="Times New Roman"/>
          <w:sz w:val="24"/>
          <w:szCs w:val="24"/>
        </w:rPr>
        <w:t xml:space="preserve"> realizowany jest m.in. na próbie projektów wybieranych do badania w oparciu o ściśle określone wymogi Komisji Europejskiej. Co do zasady wybór próby dokonywany jest przy pomocy metod statystycznych. Powyższe wiąże się z brakiem wpływu na ilość oraz obszar, na którym realizowane są projekty wybrane do badania. W związku z powyższym brak jest możliwości precyzyjnego oszacowania czasu i stopnia trudności poszczególnych audytów, jak również określenia ogólnej ilości audytów, koniecznych do zrealizowania przez poszczególne izby. Powyższe przekłada się na wysokie prawdopodobieństwo nierównomiernego obciążenia pracą komórek audytowych, a w konsekwencji wystąpienia w danym okresie niezaangażowanych, wolnych zasobów kadrowych danej izby przy jednoczesnym zagrożeniu terminowości realizacji audytów przez inną.</w:t>
      </w:r>
    </w:p>
    <w:p w14:paraId="08874896"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Zgodnie z art. 25 ust. 1 pkt 5 ustawy o KAS do zadań dyrektora IAS należy wykonywanie audytów, o których mowa w art. 14 ust. 1 pkt 10a i w art. 95 ust. 1 pkt. 2-7, w ramach których nadzór i koordynację sprawuje Szef KAS. Właściwość miejscowa dyrektorów IAS podyktowana jest administracyjnym podziałem terytorialnym kraju i ograniczona do obszaru danego województwa. Powyższe wynika z wydanego na podstawie art. 11 ust. 5 ustawy o KAS rozporządzenia Ministra Rozwoju i Finansów z dnia 24 lutego 2017 r. w sprawie terytorialnego zasięgu działania oraz siedzib dyrektorów izb administracji skarbowej, naczelników urzędów skarbowych i naczelników urzędów celno-skarbowych oraz siedziby dyrektora Krajowej Informacji Skarbowej (Dz. U. </w:t>
      </w:r>
      <w:r w:rsidR="00455264" w:rsidRPr="0040535D">
        <w:rPr>
          <w:rFonts w:ascii="Times New Roman" w:hAnsi="Times New Roman"/>
          <w:sz w:val="24"/>
          <w:szCs w:val="24"/>
        </w:rPr>
        <w:t xml:space="preserve">z </w:t>
      </w:r>
      <w:r w:rsidRPr="0040535D">
        <w:rPr>
          <w:rFonts w:ascii="Times New Roman" w:hAnsi="Times New Roman"/>
          <w:sz w:val="24"/>
          <w:szCs w:val="24"/>
        </w:rPr>
        <w:t>2017</w:t>
      </w:r>
      <w:r w:rsidR="00455264" w:rsidRPr="0040535D">
        <w:rPr>
          <w:rFonts w:ascii="Times New Roman" w:hAnsi="Times New Roman"/>
          <w:sz w:val="24"/>
          <w:szCs w:val="24"/>
        </w:rPr>
        <w:t xml:space="preserve"> r.</w:t>
      </w:r>
      <w:r w:rsidRPr="0040535D">
        <w:rPr>
          <w:rFonts w:ascii="Times New Roman" w:hAnsi="Times New Roman"/>
          <w:sz w:val="24"/>
          <w:szCs w:val="24"/>
        </w:rPr>
        <w:t xml:space="preserve"> poz. 393</w:t>
      </w:r>
      <w:r w:rsidR="00D73867" w:rsidRPr="0040535D">
        <w:rPr>
          <w:rFonts w:ascii="Times New Roman" w:hAnsi="Times New Roman"/>
          <w:sz w:val="24"/>
          <w:szCs w:val="24"/>
        </w:rPr>
        <w:t>, z późn.zm.</w:t>
      </w:r>
      <w:r w:rsidRPr="0040535D">
        <w:rPr>
          <w:rFonts w:ascii="Times New Roman" w:hAnsi="Times New Roman"/>
          <w:sz w:val="24"/>
          <w:szCs w:val="24"/>
        </w:rPr>
        <w:t>).</w:t>
      </w:r>
    </w:p>
    <w:p w14:paraId="48F8597D"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Rozporządzenie zostało wydane przed nowelizacją ustawy, która nałożyła na Dyrektorów IAS zadanie w zakresie prowadzenia audytów UE oraz krajowych środków publicznych. Rozporządzenie stanowi podstawę ustalenia właściwości miejscowej wskazanych w nim organów KAS, w odniesieniu do całości realizowanych przez nich zadań – zarówno jako organów podatkowych, jak i nadanych ww. nowelizacją ustawy o KAS, zadań w zakresie audytu środków UE oraz krajowych środków publicznych.</w:t>
      </w:r>
    </w:p>
    <w:p w14:paraId="7A8DF6AF"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Mając na względzie konieczność zapewnienia bardziej efektywnego wykonywania zadań audytowych zasadnym jest zmiana zapisów art. 25 u</w:t>
      </w:r>
      <w:r w:rsidR="00455264" w:rsidRPr="0040535D">
        <w:rPr>
          <w:rFonts w:ascii="Times New Roman" w:hAnsi="Times New Roman"/>
          <w:sz w:val="24"/>
          <w:szCs w:val="24"/>
        </w:rPr>
        <w:t>stawy KAS poprzez dodanie ust.</w:t>
      </w:r>
      <w:r w:rsidRPr="0040535D">
        <w:rPr>
          <w:rFonts w:ascii="Times New Roman" w:hAnsi="Times New Roman"/>
          <w:sz w:val="24"/>
          <w:szCs w:val="24"/>
        </w:rPr>
        <w:t xml:space="preserve"> 4  w proponowanym brzmieniu. Umożliwienie prowadzenia audytów oraz kontroli transakcji, o których mowa  w proponowanym pkt 5-5a na terenie całego kraju stanowić będzie podstawę do skorzystania z zasobów kadrowych innych izb. Zmiana przyjmie formę swoistej pomocy pomiędzy izbami administracji skarbowej w przypadku zaistnienia uzasadnionej konieczności wsparcia w realizacji zadań, przyczyni się do poprawy racjonalności wykorzystania potencjału </w:t>
      </w:r>
      <w:r w:rsidRPr="0040535D">
        <w:rPr>
          <w:rFonts w:ascii="Times New Roman" w:hAnsi="Times New Roman"/>
          <w:sz w:val="24"/>
          <w:szCs w:val="24"/>
        </w:rPr>
        <w:lastRenderedPageBreak/>
        <w:t>kadrowego poszczególnych izb, a w konsekwencji pozytywnie wpłynie na efektywność i terminowość realizowanych zadań audytowych.</w:t>
      </w:r>
    </w:p>
    <w:p w14:paraId="333D9574" w14:textId="77777777" w:rsidR="007355F1" w:rsidRPr="0040535D" w:rsidRDefault="00455264"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Propozycja dodania ust.</w:t>
      </w:r>
      <w:r w:rsidR="007355F1" w:rsidRPr="0040535D">
        <w:rPr>
          <w:rFonts w:ascii="Times New Roman" w:hAnsi="Times New Roman"/>
          <w:sz w:val="24"/>
          <w:szCs w:val="24"/>
        </w:rPr>
        <w:t xml:space="preserve"> 4 w art. 25 ustawy o KAS umożliwi dyrektorowi izby administracji skarbowej przeprowadzanie audytów środków pochodzących z UE oraz krajów należących do EFTA, audytów krajowych środków publicznych oraz wykonywania kontroli transakcji finansowanych z EFRG w podmiotach, które prowadzą działalność wielooddziałową lub wielozakładową lub realizacja projektu następuje w miejscach innych niż ich siedziba. Podmioty te, zgodnie z obowiązującym prawem, często prowadzą również oddzielną (od pozostałych oddziałów lub zakładów) rachunkowość, która ujmuje różne etapy tych samych zdarzeń gospodarczych (np. optymalizacja alokacji kosztów, niewłaściwe wykorzystanie środków produkcji, których zakup był współfinansowany ze środków UE, w tym WPR, wykorzystywanie danych kadrowych, tworzenie fikcyjnego łańcucha dostaw). Stan taki wymusza konieczność przeprowadzenia audytów lub kontroli przez jeden organ. Dzieje się tak, aby zagwarantować prawidłowość i zupełność ustaleń audytu lub kontroli. Obecnie obowiązujące w tym zakresie przepisy uniemożliwiają podejmowanie takich działań, co powoduje, że konieczne jest przeprowadzenie audytu lub kontroli przez innego (lub kilku innych) właściwych miejscowo dyrektorów izb administracji skarbowej. Niejednokrotnie nie jest to możliwe w tym samym lub przybliżonym terminie, co wpływa na jakość ustaleń i terminowość wykonania zadań. Agregacja ustaleń dokonanych w całym przedsiębiorstwie audytowanego jest konieczna, aby właściwie zinterpretować: zdarzenia gospodarcze ujęte w księgach rachunkowych, faktyczny stan wdrażania projektu, ocenić wykorzystanie przyznanej dotacji, zakresu prowadzonych badań B+R – mającego wpływ na wypłatę środków z programu operacyjnego lub ocenić realne możliwości podmiotu do zrealizowania kontrolowanej transakcji. Analogiczne rozwiązanie jest uregulowane w art. 61 ustawy o KAS i wyposaża naczelnika urzędu celno-skarbowego w uprawnienie do przeprowadzania kontroli celno-skarbowej na terenie całego kraju. Należy nadmienić, że w audycie lub kontroli transakcji, identyfikowane przestępstwa ekonomiczne, charakteryzują się podobnym modus </w:t>
      </w:r>
      <w:proofErr w:type="spellStart"/>
      <w:r w:rsidR="007355F1" w:rsidRPr="0040535D">
        <w:rPr>
          <w:rFonts w:ascii="Times New Roman" w:hAnsi="Times New Roman"/>
          <w:sz w:val="24"/>
          <w:szCs w:val="24"/>
        </w:rPr>
        <w:t>operandi</w:t>
      </w:r>
      <w:proofErr w:type="spellEnd"/>
      <w:r w:rsidR="007355F1" w:rsidRPr="0040535D">
        <w:rPr>
          <w:rFonts w:ascii="Times New Roman" w:hAnsi="Times New Roman"/>
          <w:sz w:val="24"/>
          <w:szCs w:val="24"/>
        </w:rPr>
        <w:t xml:space="preserve"> sprawców co na gruncie przepisów prawa podatkowego, z tą różnicą, że dotyczą defraudacji dotacji krajowych i unijnych, podwójnego finansowania projektów lub ich części ze środków programów operacyjnych, pozyskiwania finansowania dla transakcji nieistniejących i posługiwania się nierzetelną lub fałszywą dokumentacją handlową i bankową. Zdaniem DAS, powyższe uprawnienie dla dyrektorów izb administracji skarbowych jest istotne i niezbędne </w:t>
      </w:r>
      <w:r w:rsidR="007355F1" w:rsidRPr="0040535D">
        <w:rPr>
          <w:rFonts w:ascii="Times New Roman" w:hAnsi="Times New Roman"/>
          <w:sz w:val="24"/>
          <w:szCs w:val="24"/>
        </w:rPr>
        <w:lastRenderedPageBreak/>
        <w:t>dla bezpieczeństwa finansów publicznych oraz prawidłowego gospodarowania środkami pochodzącymi z UE i budżetu krajowego.</w:t>
      </w:r>
    </w:p>
    <w:p w14:paraId="5C9B62F9"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Zapis art. 96 ust. 4 stanowi przeniesienie na grunt ustawy o Krajowej Administracji Skarbowej regulacji przewidzianej w art. 13 ust. 8  uchylonej ustawy z dnia 28 września 1991 r. o kontroli skarbowe</w:t>
      </w:r>
      <w:r w:rsidR="00455264" w:rsidRPr="0040535D">
        <w:rPr>
          <w:rFonts w:ascii="Times New Roman" w:hAnsi="Times New Roman"/>
          <w:sz w:val="24"/>
          <w:szCs w:val="24"/>
        </w:rPr>
        <w:t xml:space="preserve">j (Dz.U. z 2016 r. poz. 720, </w:t>
      </w:r>
      <w:r w:rsidRPr="0040535D">
        <w:rPr>
          <w:rFonts w:ascii="Times New Roman" w:hAnsi="Times New Roman"/>
          <w:sz w:val="24"/>
          <w:szCs w:val="24"/>
        </w:rPr>
        <w:t xml:space="preserve">z </w:t>
      </w:r>
      <w:proofErr w:type="spellStart"/>
      <w:r w:rsidRPr="0040535D">
        <w:rPr>
          <w:rFonts w:ascii="Times New Roman" w:hAnsi="Times New Roman"/>
          <w:sz w:val="24"/>
          <w:szCs w:val="24"/>
        </w:rPr>
        <w:t>późn</w:t>
      </w:r>
      <w:proofErr w:type="spellEnd"/>
      <w:r w:rsidRPr="0040535D">
        <w:rPr>
          <w:rFonts w:ascii="Times New Roman" w:hAnsi="Times New Roman"/>
          <w:sz w:val="24"/>
          <w:szCs w:val="24"/>
        </w:rPr>
        <w:t>. zm</w:t>
      </w:r>
      <w:r w:rsidR="00455264" w:rsidRPr="0040535D">
        <w:rPr>
          <w:rFonts w:ascii="Times New Roman" w:hAnsi="Times New Roman"/>
          <w:sz w:val="24"/>
          <w:szCs w:val="24"/>
        </w:rPr>
        <w:t xml:space="preserve">.) w ostatnim brzmieniu: </w:t>
      </w:r>
      <w:r w:rsidRPr="0040535D">
        <w:rPr>
          <w:rFonts w:ascii="Times New Roman" w:hAnsi="Times New Roman"/>
          <w:sz w:val="24"/>
          <w:szCs w:val="24"/>
        </w:rPr>
        <w:t>„w czynnościach kontrolnych mogą uczestniczyć osoby uprawnione na podstawie ratyfikowanych przez Rzeczpospolitą Polską umów międzynarodowych, w tym przedstawiciele instytucji Unii Europejskiej, osoby uprawnione na podstawie porozumień, o których mowa w art. 7a ust. 2, a w zakresie realizacji wspólnych programów finansowanych ze środków pochodzących z budżetu Unii Europejskiej - także przedstawiciele innych państw.” Zgodnie z ust. 6 pkt 4 ww. przepisu, osoby, o których mowa powyżej musiały zostać wymienione imienne w upoważnieniu do przeprowadzenia kontroli skarbowej. Upoważnienie do audytu na gruncie obowiązującej ustawy o Krajowej Administracji Skarbowej (art. 62 ust. 8 w zw. z art. 98 ust. 1) przewiduje jedynie wskazanie audytujących przeprowadzających audyt, co bezpośrednio wiąże się z brakiem umocowania podmiotów, o których mowa w art. 96 ust. 4 do uczestniczenia w audycie.</w:t>
      </w:r>
    </w:p>
    <w:p w14:paraId="5030D082"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Przywołany przepis ustawy o kontroli skarbowej dodany został ustawą o zniesieniu Generalnego Inspektora Celnego i zmianie ustawy o kontroli skarbowej z 2002 r. (Dz. U. poz. 804)</w:t>
      </w:r>
      <w:r w:rsidR="003D29CE" w:rsidRPr="0040535D">
        <w:rPr>
          <w:rFonts w:ascii="Times New Roman" w:hAnsi="Times New Roman"/>
          <w:sz w:val="24"/>
          <w:szCs w:val="24"/>
        </w:rPr>
        <w:t xml:space="preserve"> (wówczas ust. 4</w:t>
      </w:r>
      <w:r w:rsidR="00455264" w:rsidRPr="0040535D">
        <w:rPr>
          <w:rFonts w:ascii="Times New Roman" w:hAnsi="Times New Roman"/>
          <w:sz w:val="24"/>
          <w:szCs w:val="24"/>
        </w:rPr>
        <w:t xml:space="preserve">) w brzmieniu: </w:t>
      </w:r>
      <w:r w:rsidRPr="0040535D">
        <w:rPr>
          <w:rFonts w:ascii="Times New Roman" w:hAnsi="Times New Roman"/>
          <w:sz w:val="24"/>
          <w:szCs w:val="24"/>
        </w:rPr>
        <w:t>„ 4. W czynnościach, o których mowa w ust. 3, mogą uczestniczyć osoby uprawnione na podstawie ratyfikowanych przez Rzeczpospolitą Polską umów międzynarodowych, a w przypadku dokonywania kontroli środków przekazanych Rzeczypospolitej Polskiej przez instytucje Unii Europejskiej - przedstawiciele organów Unii Europejskiej.”</w:t>
      </w:r>
    </w:p>
    <w:p w14:paraId="7BBBF433"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Z regulacji wynika, że:</w:t>
      </w:r>
    </w:p>
    <w:p w14:paraId="749434B9"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1)</w:t>
      </w:r>
      <w:r w:rsidRPr="0040535D">
        <w:rPr>
          <w:rFonts w:ascii="Times New Roman" w:hAnsi="Times New Roman"/>
          <w:sz w:val="24"/>
          <w:szCs w:val="24"/>
        </w:rPr>
        <w:tab/>
        <w:t>osoby, o których mowa w art. 13 ust. 4 ustawy o kontroli skarbowej (ostatnie obowiązujące brzmienie to ust. 8) musiały zostać wykazane  imiennie w upoważnieniu do kontroli,</w:t>
      </w:r>
    </w:p>
    <w:p w14:paraId="74B78222"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2) zapis wszedł w życie przed nowelizacją art. 3a ustawy o kontroli skarbowej (zmiana z 2010 r., nadająca nowe brzmienie art. 3a (audyt), przewidująca odesłanie w zakresie audytu do przepisu art. 13   (możliwość uczestnictwa osób z innych państw w audycie i konieczność ich imiennego wykazania w upoważnieniu)</w:t>
      </w:r>
    </w:p>
    <w:p w14:paraId="3F0845F7"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lastRenderedPageBreak/>
        <w:t>3) przepis odnosił się do postępowań podatkowych i na zasadzie odpowiedniego stosowania przejęty do audytu UE, a następnie wprowadzony w ustawie o KAS.</w:t>
      </w:r>
    </w:p>
    <w:p w14:paraId="3B70F90F" w14:textId="77777777" w:rsidR="00455264"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Po zmianie ustawy o kontroli skarbowej z 2010 </w:t>
      </w:r>
      <w:r w:rsidR="00455264" w:rsidRPr="0040535D">
        <w:rPr>
          <w:rFonts w:ascii="Times New Roman" w:hAnsi="Times New Roman"/>
          <w:sz w:val="24"/>
          <w:szCs w:val="24"/>
        </w:rPr>
        <w:t xml:space="preserve">r., przepis otrzymał brzmienie: </w:t>
      </w:r>
      <w:r w:rsidRPr="0040535D">
        <w:rPr>
          <w:rFonts w:ascii="Times New Roman" w:hAnsi="Times New Roman"/>
          <w:sz w:val="24"/>
          <w:szCs w:val="24"/>
        </w:rPr>
        <w:t>„W czynnościach kontrolnych mogą uczestniczyć osoby uprawnione na podstawie ratyfikowanych przez Rzeczpospolitą Polską umów międzynarodowych, w tym także przedstawiciele organów Unii Europejskiej oraz, w zakresie realizacji wspólnych programów finansowanych ze środków pochodzących z budżetu Unii Europejskiej, przedstawiciele innych państw.”</w:t>
      </w:r>
      <w:r w:rsidR="00455264" w:rsidRPr="0040535D">
        <w:rPr>
          <w:rFonts w:ascii="Times New Roman" w:hAnsi="Times New Roman"/>
          <w:sz w:val="24"/>
          <w:szCs w:val="24"/>
        </w:rPr>
        <w:t xml:space="preserve">. </w:t>
      </w:r>
    </w:p>
    <w:p w14:paraId="780F969A"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W zakresie odwołania w treści ostatniego obowiązującego brzmienia przepisu (art. 13 ust. 8) do art. 7a ustawy o kontroli skarbowej (porozumienia)- zapis stanowił implementacje dyrektywy Rady 2011/16/UE z 15 lutego 2011 r. w sprawie współpracy administracyjnej w dziedzinie opodatkowania i uchylającej dyrektywę 77/799/EWG (Dz. Urz. UE 2011 L 64/1 ze zm.) ukierunkowanej na stworzenie skutecznego systemu wymiany informacji między administracjami podatkowymi państw członkowskich Unii Europejskiej.</w:t>
      </w:r>
    </w:p>
    <w:p w14:paraId="09119034"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Tożsamy zapis znajduje się w art. 61 ustawy z dnia 11.10.2013 r. o wzajemnej pomocy przy dochodzeniu podatków, należności celnych i innych należności</w:t>
      </w:r>
      <w:r w:rsidR="00455264" w:rsidRPr="0040535D">
        <w:rPr>
          <w:rFonts w:ascii="Times New Roman" w:hAnsi="Times New Roman"/>
          <w:sz w:val="24"/>
          <w:szCs w:val="24"/>
        </w:rPr>
        <w:t xml:space="preserve"> pieniężnych (</w:t>
      </w:r>
      <w:r w:rsidRPr="0040535D">
        <w:rPr>
          <w:rFonts w:ascii="Times New Roman" w:hAnsi="Times New Roman"/>
          <w:sz w:val="24"/>
          <w:szCs w:val="24"/>
        </w:rPr>
        <w:t>stanowiącej implementację dyrektywy Rady 2010/24/UE), o treści:</w:t>
      </w:r>
    </w:p>
    <w:p w14:paraId="01D5D0EB"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1.W drodze porozumienia między organem wnioskującym a organem współpracującym i na warunkach ustalonych przez organ współpracujący urzędnicy upoważnieni przez organ wnioskujący mogą, w celu wspierania wzajemnej pomocy przewidzianej w niniejszej dyrektywie:</w:t>
      </w:r>
    </w:p>
    <w:p w14:paraId="02BC796D"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a) być obecni w urzędach, w których organy administracyjne współpracującego państwa członkowskiego wykonują swoje obowiązki;</w:t>
      </w:r>
    </w:p>
    <w:p w14:paraId="138B0AF7"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b) być obecni podczas postępowań administracyjnych prowadzonych na terytorium współpracującego państwa członkowskiego;</w:t>
      </w:r>
    </w:p>
    <w:p w14:paraId="58307154"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c) asystować właściwym urzędnikom współpracującego państwa członkowskiego w trakcie postępowań sądowych w tym państwie członkowskim.</w:t>
      </w:r>
    </w:p>
    <w:p w14:paraId="5578804B"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2.Porozumienie</w:t>
      </w:r>
      <w:r w:rsidR="00455264" w:rsidRPr="0040535D">
        <w:rPr>
          <w:rFonts w:ascii="Times New Roman" w:hAnsi="Times New Roman"/>
          <w:sz w:val="24"/>
          <w:szCs w:val="24"/>
        </w:rPr>
        <w:t>, o którym mowa w ust. 1 lit. b</w:t>
      </w:r>
      <w:r w:rsidRPr="0040535D">
        <w:rPr>
          <w:rFonts w:ascii="Times New Roman" w:hAnsi="Times New Roman"/>
          <w:sz w:val="24"/>
          <w:szCs w:val="24"/>
        </w:rPr>
        <w:t>, może przewidywać, że urzędnicy wnioskującego państwa członkowskiego mogą przesłuchiwać osoby fizyczne i analizować dokumentację, pod warunkiem że jest to dozwolone na mocy ustawodawstwa obowiązującego we współpracującym państwie członkowskim.</w:t>
      </w:r>
    </w:p>
    <w:p w14:paraId="0ADEB0A4"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lastRenderedPageBreak/>
        <w:t>3.Urzędnicy upoważnieni przez organ wnioskujący, którzy korzystają z możliwości przewidzianych w ust. 1 i 2, są zawsze w stanie przedstawić pisemne upoważnienie potwierdzające ich tożsamość oraz pełnioną funkcję urzędową</w:t>
      </w:r>
    </w:p>
    <w:p w14:paraId="1C2B2C91"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Poprawka wskazana w art. 96 ust. 3 ma charakter porządkujący bowiem w obecnej treści nie wskazano źródła finansowania – pomoc udzielana przez państwa członkowskie EFTA.</w:t>
      </w:r>
    </w:p>
    <w:p w14:paraId="3F5977DD"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Jednocześnie należy rozdzielić zasady opracowywania dokumentów z audytów środków pochodzących z Unii Europejskiej i krajowego współfinansowania oraz audytów krajowych środków publicznych.</w:t>
      </w:r>
    </w:p>
    <w:p w14:paraId="6658342C"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Dotychczasowe </w:t>
      </w:r>
      <w:r w:rsidR="00271C71" w:rsidRPr="0040535D">
        <w:rPr>
          <w:rFonts w:ascii="Times New Roman" w:hAnsi="Times New Roman"/>
          <w:sz w:val="24"/>
          <w:szCs w:val="24"/>
        </w:rPr>
        <w:t xml:space="preserve">postanowienia </w:t>
      </w:r>
      <w:r w:rsidRPr="0040535D">
        <w:rPr>
          <w:rFonts w:ascii="Times New Roman" w:hAnsi="Times New Roman"/>
          <w:sz w:val="24"/>
          <w:szCs w:val="24"/>
        </w:rPr>
        <w:t>art. 97 łączyły w sobie oba ww. rodzaje audytów, co powodowało wątpliwości interpretacyjne w zakresie rodzaju opracowywanych dokumentów z prac audytowych.</w:t>
      </w:r>
    </w:p>
    <w:p w14:paraId="60D6627C"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W celu uniknięcia wątpliwości i rozbieżności interpretacyjnych należy oddzielić oba rodzaje audytów i precyzyjnie określić jakie dokumenty i w jakim trybie opracowywane są na potrzeby audytów środków pochodzących z UE oraz audytu krajowych środków publicznych i trybu postępowania. W tym celu proponuje się dodanie art. 97a, w którym określono dokumenty i tryb postępowań w ramach audytów krajowych środków publicznych.</w:t>
      </w:r>
    </w:p>
    <w:p w14:paraId="1B8D1B78"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Poprawka ma charakter porządkujący i systematyzujący podział audytów prowadzonych przez Szefa KAS i dyrektorów izb administracji skarbowej.</w:t>
      </w:r>
    </w:p>
    <w:p w14:paraId="0F639E11"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Obecne brzmienie art. 97 określa formę zakończenia audytu, o którym mowa w art. 95, obejmując swoim zakresem  zarówno audyt gospodarowania środkami pochodzącymi z budżetu UE oraz innych źródeł niepodlegających zwrotowi (ust. 1 pkt 1 i 1a), należący do kompetencji Szefa KAS oraz audyt gospodarowania środkami krajowymi (ust. 1 pkt 2-7), wykonywany przez dyrektora izby administracji skarbowej. Oprócz odmiennych organów w kompetencji których leży sporządzanie wskazanych w art. 97 dokumentów, oba audyty odróżnia rodzaj i charakter przedmiotowych rozstrzygnięć, jak również uprawnienia i obowiązki audytowanego związane z wydaniem dokumentu. Celem zachowania przejrzystej procedury i uniknięcia wątpliwości wynikających z objęcia jednym przepisem różnych adresatów zawartej w nim regulacji, zasadnym jest dokonanie zmiany brzmienia art. 97 poprzez usystematyzowanie zapisów w ramach odrębnych jednostek redakcyjnych tj. art. 97 odnoszącego się do audytu środków pochodzących z budżetu UE oraz art. 97a w zakresie audytu środków publicznych.</w:t>
      </w:r>
    </w:p>
    <w:p w14:paraId="7BB3B2FC"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lastRenderedPageBreak/>
        <w:t>Propozycja zmiany art. 97 obejmuje pozostawienie w jego treści regulacji dotyczących audytu gospodarowania środkami pochodzącymi z budżetu UE oraz niepodlegającymi zwrotowi środkami z pomocy udzielanej przez państwa członkowskie Europejskiego Porozumienia o Wolnym Handlu (EFTA), tj. audytu, o którym mowa w art. 95 ust. 1 i 1 a, realizowanego zgodnie z art. 14 ust. 1 pkt 10 przez Szefa KAS. Tym samym w ust. 1 we wprowadzeniu do wyliczenia dokumentów sporządzanych po jego zakończeniu (sprawozdanie i opinia) zawarto wyraźne odniesienie do rodzaju audytu (odesłanie do art. 95 ust. 1 pkt 1 i 1a) i nazwanie organu, który je sporządza (Szef KAS). Nowe brzmienie części wspólnej ustępu 1 stanowi z kolei odwołanie do bezpośredniej podstawy prawnej sporządzania dokumentów, o których mowa w zmienianym przepisie tj.  art. 127 ust. 5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 UE. L. z 2013 r. Nr 347, str. 320</w:t>
      </w:r>
      <w:r w:rsidR="003D29CE" w:rsidRPr="0040535D">
        <w:rPr>
          <w:rFonts w:ascii="Times New Roman" w:hAnsi="Times New Roman"/>
          <w:sz w:val="24"/>
          <w:szCs w:val="24"/>
        </w:rPr>
        <w:t>,</w:t>
      </w:r>
      <w:r w:rsidRPr="0040535D">
        <w:rPr>
          <w:rFonts w:ascii="Times New Roman" w:hAnsi="Times New Roman"/>
          <w:sz w:val="24"/>
          <w:szCs w:val="24"/>
        </w:rPr>
        <w:t xml:space="preserve"> z </w:t>
      </w:r>
      <w:proofErr w:type="spellStart"/>
      <w:r w:rsidRPr="0040535D">
        <w:rPr>
          <w:rFonts w:ascii="Times New Roman" w:hAnsi="Times New Roman"/>
          <w:sz w:val="24"/>
          <w:szCs w:val="24"/>
        </w:rPr>
        <w:t>późn</w:t>
      </w:r>
      <w:proofErr w:type="spellEnd"/>
      <w:r w:rsidRPr="0040535D">
        <w:rPr>
          <w:rFonts w:ascii="Times New Roman" w:hAnsi="Times New Roman"/>
          <w:sz w:val="24"/>
          <w:szCs w:val="24"/>
        </w:rPr>
        <w:t>. zm.) (rozporządzenie ogólne). Zgodnie z ww. przepisem instytucja audytowa (funkcję instytucji audytowej zgodnie z art. 14 ust. 1 pkt 14 ustawy o KAS pełni Szef KAS) sporządza opinię audytową zgodnie z art. 63 ust. 7 rozporządzenia finansowego oraz sprawozdanie z kontroli, przedstawiające główne wyniki przeprowadzonych audytów. Us</w:t>
      </w:r>
      <w:r w:rsidR="009C7B45" w:rsidRPr="0040535D">
        <w:rPr>
          <w:rFonts w:ascii="Times New Roman" w:hAnsi="Times New Roman"/>
          <w:sz w:val="24"/>
          <w:szCs w:val="24"/>
        </w:rPr>
        <w:t>unięcie z części wspólnej ust.</w:t>
      </w:r>
      <w:r w:rsidRPr="0040535D">
        <w:rPr>
          <w:rFonts w:ascii="Times New Roman" w:hAnsi="Times New Roman"/>
          <w:sz w:val="24"/>
          <w:szCs w:val="24"/>
        </w:rPr>
        <w:t xml:space="preserve"> 1, zapisu dotyczącego doręczania sprawozdania i opinii audytowanemu oraz zastąpienie go proponowanym zapisem, pełniej odzwierciedla charakter ww. dokumentów, które podlegają reżimowi prawa unijnego i przekazywane są do Komisji Europejskiej. Tym samym wyeliminowany został nieprecyzyjny zapis, wskazujący, że sprawozdanie i opinia doręczane są (w trybie doręczenia o którym mowa w  rozdz. 5 działu IV Ordynacji podatkowej w zw. z art. 98 pkt 2 ustawy o KAS) audytowanym, o których mowa w art. 95 ust. 4.</w:t>
      </w:r>
    </w:p>
    <w:p w14:paraId="37E67252"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Realizując cel powyższej zmiany, uchyleniu ulegają ustępy 1a i 1b, odnoszące się do uprawnień audytowanego właściwych dla audytu, o którym mowa w art. 95 ust.1 pkt 2-7 (audyt środków publicznych), które to zapisy przeniesione zostały do dodanego art. 97a.</w:t>
      </w:r>
    </w:p>
    <w:p w14:paraId="1EBC8889"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Nowe brzmienie ust. 2 obejmuje wyłączenie możliwości przekazywania  podmiotom w nim wymienionym dokumentacji z audytu (wraz ze sprawozdaniem lub opinią). Proponowana </w:t>
      </w:r>
      <w:r w:rsidRPr="0040535D">
        <w:rPr>
          <w:rFonts w:ascii="Times New Roman" w:hAnsi="Times New Roman"/>
          <w:sz w:val="24"/>
          <w:szCs w:val="24"/>
        </w:rPr>
        <w:lastRenderedPageBreak/>
        <w:t>zmiana pełniej oddaje cel regulacji jak i gwarantuje poszanowanie charakteru dokumentów sporządzanych przez instytucję audytową. Zauważyć należy, że obecne brzmienie ust. 2 stanowi w swej istocie przeniesienie na grunt ustawy o KAS regulacji przewidzianej w art. 3a ust. 7 ustawy z dnia 28 września</w:t>
      </w:r>
      <w:r w:rsidR="009C7B45" w:rsidRPr="0040535D">
        <w:rPr>
          <w:rFonts w:ascii="Times New Roman" w:hAnsi="Times New Roman"/>
          <w:sz w:val="24"/>
          <w:szCs w:val="24"/>
        </w:rPr>
        <w:t xml:space="preserve"> 1991 r. o kontroli skarbowej (</w:t>
      </w:r>
      <w:r w:rsidRPr="0040535D">
        <w:rPr>
          <w:rFonts w:ascii="Times New Roman" w:hAnsi="Times New Roman"/>
          <w:sz w:val="24"/>
          <w:szCs w:val="24"/>
        </w:rPr>
        <w:t>Dz.U. z 2016 r. poz. 720</w:t>
      </w:r>
      <w:r w:rsidR="009C7B45" w:rsidRPr="0040535D">
        <w:rPr>
          <w:rFonts w:ascii="Times New Roman" w:hAnsi="Times New Roman"/>
          <w:sz w:val="24"/>
          <w:szCs w:val="24"/>
        </w:rPr>
        <w:t>,</w:t>
      </w:r>
      <w:r w:rsidRPr="0040535D">
        <w:rPr>
          <w:rFonts w:ascii="Times New Roman" w:hAnsi="Times New Roman"/>
          <w:sz w:val="24"/>
          <w:szCs w:val="24"/>
        </w:rPr>
        <w:t xml:space="preserve"> z </w:t>
      </w:r>
      <w:proofErr w:type="spellStart"/>
      <w:r w:rsidRPr="0040535D">
        <w:rPr>
          <w:rFonts w:ascii="Times New Roman" w:hAnsi="Times New Roman"/>
          <w:sz w:val="24"/>
          <w:szCs w:val="24"/>
        </w:rPr>
        <w:t>późn</w:t>
      </w:r>
      <w:proofErr w:type="spellEnd"/>
      <w:r w:rsidRPr="0040535D">
        <w:rPr>
          <w:rFonts w:ascii="Times New Roman" w:hAnsi="Times New Roman"/>
          <w:sz w:val="24"/>
          <w:szCs w:val="24"/>
        </w:rPr>
        <w:t>. zm.) (dalej: ustawa o kontroli skarbowej), zgodnie z którym sprawozdanie lub opinia mogły być doręczone podmiotom wymienionym w art. 27 ust. 5 pkt 2-4 tj. organom Unii Europejskiej, osobom uprawnionym na podstawie zawartych przez Rzeczpospolitą Polską umów międzynarodowych oraz przedstawicielom innych państw w zakresie realizacji wspólnych programów finansowanych ze środków pochodzących z budżetu Unii Europejskiej. Fakultatywne przekazanie dokumentów ww. podmiotom obejmowało jedynie samo sprawozdanie lub opinię bez dokumentacji powstałej w trakcie audytu. Możliwość przekazania  dokumentacji roboczej z kontroli na gruncie ustawy o kontroli skarbowej, przewidywał art. 27 ust. 2, który dotyczył doręczenia jej wraz z wynikiem kontroli właściwemu organowi lub dysponentowi części budżetowej, ale tylko w przypadku stwierdzenia nieprawidłowości. Wówczas organ lub dysponent części budżetowej zobowiązany był w terminie 3 miesięcy od dnia doręczenia wyniku kontroli zawiadomić organ kontroli skarbowej o sposobie wykorzystania zawartych w nim ustaleń lub o przyczynach ich niewykorzystania (art. 27 ust. 3 ustawy o kontroli skarbowej). Rozbieżność celu powyższych regulacji z charakterem audytu środków pochodzących z budżetu UE i sporządzanych w jego wyniku sprawozdań i opinii uzasadnia również konieczność uchylenia ustępów 3 i 4 zmienianego przepisu art. 97, odnoszących się do audytu środków publicznych i przeniesienie ich do projektowanego art. 97a.</w:t>
      </w:r>
    </w:p>
    <w:p w14:paraId="41CEB3F4"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Jednocześnie w wyliczeniu zawartym w ust. 2 proponuje się uchylić pkt 4, wskazujący na możliwość przekazywania sprawozdania lub opinii przedstawicielom innych państw w zakresie realizacji wspólnych programów finansowanych ze środków pochodzących z budżetu Unii Europejskiej. Kwestia przekazywania sprawozdanie i opinii z audytu środków pochodzących z budżetu UE uregulowana została w art. 138 lit. c rozporządzenia ogólnego, zgodnie z którym terminie do 15 lutego każdego roku ww. dokumenty przedkładane są do Komisji Europejskiej. Powyższe stanowi realizację obowiązku informowania Komisji Europejskiej o wynikach audytów, ujętych w przekazywanych sprawozdaniach, celem zajęcia przez ten organ ostatecznego stanowiska wobec stwierdzonych nieprawidłowości. Możliwość informowania innych podmiotów/ organów UE w powyższym zakresie wywodzić można z odrębnych regulacji i praktyk audytowych. Z obowiązującego brzmienia pkt. 4 nie wynika z kolei o jakich </w:t>
      </w:r>
      <w:r w:rsidRPr="0040535D">
        <w:rPr>
          <w:rFonts w:ascii="Times New Roman" w:hAnsi="Times New Roman"/>
          <w:sz w:val="24"/>
          <w:szCs w:val="24"/>
        </w:rPr>
        <w:lastRenderedPageBreak/>
        <w:t>podmiotach w nim mowa, w szczególności czy dotyczy on wyłącznie przedstawicieli z krajów UE. Ewentualna  wymiana informacji w zakresie objętym sprawozdaniem z audytu pomiędzy państwami, w kontekście realizacji wspólnych programów finansowanych ze środków pochodzących z budżetu UE wynika z przepisów prawa UE. Z praktyki i doświadczenia instytucji audytowej nie wynika możliwość zidentyfikowania sytuacji warunkujących zastosowanie uprawnienia do przekazania sprawozdania i opinii podmiotom, opisanym w pkt 4, co z kolei przemawia za zasadnością jego uchylenia.</w:t>
      </w:r>
    </w:p>
    <w:p w14:paraId="31DA7CB8"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Dodanie art. 97a polega na ujęciu w osobnym przepisie przedmiotu regulacji w odniesieniu wyłącznie do audytu środków publicznych, o którym mowa w art. 95 ust. 1 pkt 2-7, wykonywanym, zgodnie z art. 25 ust. 1 pkt 5 przez dyrektora izby administracji skarbowej. Przede wszystkim projektowany zapis wyraźniej precyzuje, że dokumentem wydawanym na zakończenie tego audytu jest jedynie sprawozdanie (ust. 1).</w:t>
      </w:r>
    </w:p>
    <w:p w14:paraId="25EF79F5" w14:textId="77777777" w:rsidR="007355F1"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Brzmienie ust. 1 i 1a stanowi przeniesienie zapisów z obowiązującego art. 97 w zakresie uprawnień przysługujących audytowanemu, realizowanych po doręczeniu sprawozdania.</w:t>
      </w:r>
    </w:p>
    <w:p w14:paraId="6F26810C" w14:textId="77777777" w:rsidR="00CD2EF5" w:rsidRPr="0040535D" w:rsidRDefault="007355F1"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Zapis proponowany w ust. 2, wskazuje na możliwość przekazania sprawozdania właściwym organom lub dysponentom części budżetowych oraz podmiotom sprawującym nadzór lub kontrolę nad działalnością audytowanego. Przekazywanie sprawozdania z audytu środków publicznych, w kontekście katalogu podmiotów wymienionych w obecnym brzmieniu art. 97 ust. 2 pkt.1-4, realizowane jest wyłącznie wobec podmiotów, o których mowa w pkt. 1. Proponowany zapis ust. 2 stanowi zatem powtórzenie uprawnienia przewidzianego w art. 97 ust. 2 pkt 1 z jednoczesnym dostosowaniem go do audytu środków publicznych (usunięcie z wprowadzenia do wyliczenia opinii oraz dokumentacji z audytu). Z kolei proponowany zapis w ust. 3 i 4 jest dopełnieniem regulacji przewidzianej w ust. 2, stanowiąc równocześnie powtórzenie obecnego brzmienia ust. 3 i 4 zmienianego przepisu</w:t>
      </w:r>
      <w:r w:rsidR="009D2671" w:rsidRPr="0040535D">
        <w:rPr>
          <w:rFonts w:ascii="Times New Roman" w:hAnsi="Times New Roman"/>
          <w:sz w:val="24"/>
          <w:szCs w:val="24"/>
        </w:rPr>
        <w:t>.</w:t>
      </w:r>
    </w:p>
    <w:p w14:paraId="1F99DC89" w14:textId="500235DF" w:rsidR="00757185" w:rsidRDefault="001125A6" w:rsidP="009A0EE5">
      <w:pPr>
        <w:spacing w:before="120" w:after="120" w:line="360" w:lineRule="auto"/>
        <w:jc w:val="both"/>
        <w:rPr>
          <w:rFonts w:ascii="Times New Roman" w:hAnsi="Times New Roman"/>
          <w:sz w:val="24"/>
          <w:szCs w:val="24"/>
        </w:rPr>
      </w:pPr>
      <w:r w:rsidRPr="0040535D">
        <w:rPr>
          <w:rFonts w:ascii="Times New Roman" w:hAnsi="Times New Roman"/>
          <w:b/>
          <w:sz w:val="24"/>
          <w:szCs w:val="24"/>
        </w:rPr>
        <w:t xml:space="preserve">Art. </w:t>
      </w:r>
      <w:r w:rsidR="001811ED" w:rsidRPr="0040535D">
        <w:rPr>
          <w:rFonts w:ascii="Times New Roman" w:hAnsi="Times New Roman"/>
          <w:b/>
          <w:sz w:val="24"/>
          <w:szCs w:val="24"/>
        </w:rPr>
        <w:t>1</w:t>
      </w:r>
      <w:r w:rsidR="001811ED">
        <w:rPr>
          <w:rFonts w:ascii="Times New Roman" w:hAnsi="Times New Roman"/>
          <w:b/>
          <w:sz w:val="24"/>
          <w:szCs w:val="24"/>
        </w:rPr>
        <w:t>19</w:t>
      </w:r>
      <w:r w:rsidR="001811ED" w:rsidRPr="0040535D">
        <w:rPr>
          <w:rFonts w:ascii="Times New Roman" w:hAnsi="Times New Roman"/>
          <w:sz w:val="24"/>
          <w:szCs w:val="24"/>
        </w:rPr>
        <w:t xml:space="preserve"> </w:t>
      </w:r>
      <w:r w:rsidR="00A026D2" w:rsidRPr="0040535D">
        <w:rPr>
          <w:rFonts w:ascii="Times New Roman" w:hAnsi="Times New Roman"/>
          <w:sz w:val="24"/>
          <w:szCs w:val="24"/>
        </w:rPr>
        <w:t xml:space="preserve">pkt </w:t>
      </w:r>
      <w:r w:rsidRPr="0040535D">
        <w:rPr>
          <w:rFonts w:ascii="Times New Roman" w:hAnsi="Times New Roman"/>
          <w:sz w:val="24"/>
          <w:szCs w:val="24"/>
        </w:rPr>
        <w:t>2 ustawy w art. 121</w:t>
      </w:r>
      <w:r w:rsidR="003A0A62" w:rsidRPr="0040535D">
        <w:rPr>
          <w:rFonts w:ascii="Times New Roman" w:hAnsi="Times New Roman"/>
          <w:sz w:val="24"/>
          <w:szCs w:val="24"/>
        </w:rPr>
        <w:t>a</w:t>
      </w:r>
      <w:r w:rsidRPr="0040535D">
        <w:rPr>
          <w:rFonts w:ascii="Times New Roman" w:hAnsi="Times New Roman"/>
          <w:sz w:val="24"/>
          <w:szCs w:val="24"/>
        </w:rPr>
        <w:t xml:space="preserve"> ust</w:t>
      </w:r>
      <w:r w:rsidR="003A0A62" w:rsidRPr="0040535D">
        <w:rPr>
          <w:rFonts w:ascii="Times New Roman" w:hAnsi="Times New Roman"/>
          <w:sz w:val="24"/>
          <w:szCs w:val="24"/>
        </w:rPr>
        <w:t>.</w:t>
      </w:r>
      <w:r w:rsidRPr="0040535D">
        <w:rPr>
          <w:rFonts w:ascii="Times New Roman" w:hAnsi="Times New Roman"/>
          <w:sz w:val="24"/>
          <w:szCs w:val="24"/>
        </w:rPr>
        <w:t xml:space="preserve"> 3 ustawy z dnia 14 grudnia 2016 r. Prawo oświatowe (Dz. U. </w:t>
      </w:r>
      <w:r w:rsidR="0093693E" w:rsidRPr="0040535D">
        <w:rPr>
          <w:rFonts w:ascii="Times New Roman" w:hAnsi="Times New Roman"/>
          <w:sz w:val="24"/>
          <w:szCs w:val="24"/>
        </w:rPr>
        <w:t>z 2021 r. poz. 1082</w:t>
      </w:r>
      <w:r w:rsidRPr="0040535D">
        <w:rPr>
          <w:rFonts w:ascii="Times New Roman" w:hAnsi="Times New Roman"/>
          <w:sz w:val="24"/>
          <w:szCs w:val="24"/>
        </w:rPr>
        <w:t>) uwzględnia, w przypadku projektów współfinans</w:t>
      </w:r>
      <w:r w:rsidR="00D462B1" w:rsidRPr="0040535D">
        <w:rPr>
          <w:rFonts w:ascii="Times New Roman" w:hAnsi="Times New Roman"/>
          <w:sz w:val="24"/>
          <w:szCs w:val="24"/>
        </w:rPr>
        <w:t>owanych z EFS+ możliwość dodania</w:t>
      </w:r>
      <w:r w:rsidRPr="0040535D">
        <w:rPr>
          <w:rFonts w:ascii="Times New Roman" w:hAnsi="Times New Roman"/>
          <w:sz w:val="24"/>
          <w:szCs w:val="24"/>
        </w:rPr>
        <w:t xml:space="preserve"> do umowy o staż uczniowski trzeciej strony umowy (podmiot realizujący projekt ze środków unijnych), co umożliwi przepływ środków z projektu od beneficjenta do stażysty lub podmiotu przyjmującego na staż. Przepis ten wypełni lukę w zakresie przekazywania środków na finansowanie stażu uczniowskiego i zniweluje trudności w dystrybucji środków w ramach projektów dotyczących staży uczniowskich</w:t>
      </w:r>
      <w:r w:rsidR="000136BA">
        <w:rPr>
          <w:rFonts w:ascii="Times New Roman" w:hAnsi="Times New Roman"/>
          <w:sz w:val="24"/>
          <w:szCs w:val="24"/>
        </w:rPr>
        <w:t xml:space="preserve">, które </w:t>
      </w:r>
      <w:r w:rsidRPr="0040535D">
        <w:rPr>
          <w:rFonts w:ascii="Times New Roman" w:hAnsi="Times New Roman"/>
          <w:sz w:val="24"/>
          <w:szCs w:val="24"/>
        </w:rPr>
        <w:t xml:space="preserve"> występowały w trakcie realizacji projektów w okresie finansowania 2014-2020. </w:t>
      </w:r>
    </w:p>
    <w:p w14:paraId="3331896B" w14:textId="2B762848" w:rsidR="001125A6" w:rsidRPr="0040535D" w:rsidRDefault="00757185" w:rsidP="009A0EE5">
      <w:pPr>
        <w:spacing w:before="120" w:after="120" w:line="360" w:lineRule="auto"/>
        <w:jc w:val="both"/>
        <w:rPr>
          <w:rFonts w:ascii="Times New Roman" w:hAnsi="Times New Roman"/>
          <w:sz w:val="24"/>
          <w:szCs w:val="24"/>
        </w:rPr>
      </w:pPr>
      <w:r>
        <w:rPr>
          <w:rFonts w:ascii="Times New Roman" w:hAnsi="Times New Roman"/>
          <w:sz w:val="24"/>
          <w:szCs w:val="24"/>
        </w:rPr>
        <w:lastRenderedPageBreak/>
        <w:t>Z kolei z</w:t>
      </w:r>
      <w:r w:rsidR="003078B1">
        <w:rPr>
          <w:rFonts w:ascii="Times New Roman" w:hAnsi="Times New Roman"/>
          <w:sz w:val="24"/>
          <w:szCs w:val="24"/>
        </w:rPr>
        <w:t>miana w art. 121a ust. 5 pkt 15</w:t>
      </w:r>
      <w:r w:rsidR="003078B1" w:rsidRPr="003078B1">
        <w:t xml:space="preserve"> </w:t>
      </w:r>
      <w:r w:rsidR="003078B1">
        <w:t xml:space="preserve">dotycząca </w:t>
      </w:r>
      <w:r w:rsidR="003078B1">
        <w:rPr>
          <w:rFonts w:ascii="Times New Roman" w:hAnsi="Times New Roman"/>
          <w:sz w:val="24"/>
          <w:szCs w:val="24"/>
        </w:rPr>
        <w:t>o</w:t>
      </w:r>
      <w:r w:rsidR="003078B1" w:rsidRPr="003078B1">
        <w:rPr>
          <w:rFonts w:ascii="Times New Roman" w:hAnsi="Times New Roman"/>
          <w:sz w:val="24"/>
          <w:szCs w:val="24"/>
        </w:rPr>
        <w:t>kreśleni</w:t>
      </w:r>
      <w:r w:rsidR="003078B1">
        <w:rPr>
          <w:rFonts w:ascii="Times New Roman" w:hAnsi="Times New Roman"/>
          <w:sz w:val="24"/>
          <w:szCs w:val="24"/>
        </w:rPr>
        <w:t>a</w:t>
      </w:r>
      <w:r w:rsidR="003078B1" w:rsidRPr="003078B1">
        <w:rPr>
          <w:rFonts w:ascii="Times New Roman" w:hAnsi="Times New Roman"/>
          <w:sz w:val="24"/>
          <w:szCs w:val="24"/>
        </w:rPr>
        <w:t xml:space="preserve"> wymiaru stażu uczniowskiego jest niezbędn</w:t>
      </w:r>
      <w:r w:rsidR="003078B1">
        <w:rPr>
          <w:rFonts w:ascii="Times New Roman" w:hAnsi="Times New Roman"/>
          <w:sz w:val="24"/>
          <w:szCs w:val="24"/>
        </w:rPr>
        <w:t>a</w:t>
      </w:r>
      <w:r w:rsidR="003078B1" w:rsidRPr="003078B1">
        <w:rPr>
          <w:rFonts w:ascii="Times New Roman" w:hAnsi="Times New Roman"/>
          <w:sz w:val="24"/>
          <w:szCs w:val="24"/>
        </w:rPr>
        <w:t xml:space="preserve"> dla rozliczania staży uczniowskich finansowanych ze środków EFS+. Zgodnie z przyjętym sposobem finansowania tej formy wsparcia wypłata środków będzie dokonywana za każdą odbytą godzinę stażu uczniowskiego. Rozliczenie stażu będzie dokonywane w oparciu m.in. o zapisy umowy stażowej. Oparcie się o zaświadczenie stażu, które wystawiane jest po zakończeniu stażu opóźniłoby możliwość rozliczenia środków, w tym również możliwość ubiegania się o refundację środków z UE. Dodatkowo zagwarantowanie wpisania liczby godzin do umowy stażowej zapewni jednolitość działania i procedur wszystkich podmiotów realizujących wsparcie w postaci staży uczniowskich. Wpisanie tej informacji do umowy stażowej będzie sprzyjało również zapewnieniu właściwego nadzoru i kontroli nad realizacją tej formy wsparcia. Stąd - zaproponowane doprecyzowanie jest uzasadnione.</w:t>
      </w:r>
      <w:r w:rsidR="003078B1">
        <w:rPr>
          <w:rFonts w:ascii="Times New Roman" w:hAnsi="Times New Roman"/>
          <w:sz w:val="24"/>
          <w:szCs w:val="24"/>
        </w:rPr>
        <w:t xml:space="preserve"> </w:t>
      </w:r>
    </w:p>
    <w:p w14:paraId="0E71A29E" w14:textId="77777777" w:rsidR="00AC1586" w:rsidRPr="0040535D" w:rsidRDefault="00AC1586" w:rsidP="00AC1586">
      <w:pPr>
        <w:spacing w:before="120" w:after="120" w:line="360" w:lineRule="auto"/>
        <w:jc w:val="both"/>
        <w:rPr>
          <w:rFonts w:ascii="Times New Roman" w:hAnsi="Times New Roman"/>
          <w:sz w:val="24"/>
          <w:szCs w:val="24"/>
        </w:rPr>
      </w:pPr>
      <w:r w:rsidRPr="0040535D">
        <w:rPr>
          <w:rFonts w:ascii="Times New Roman" w:hAnsi="Times New Roman"/>
          <w:b/>
          <w:sz w:val="24"/>
          <w:szCs w:val="24"/>
        </w:rPr>
        <w:t xml:space="preserve">Art. </w:t>
      </w:r>
      <w:r w:rsidR="001811ED" w:rsidRPr="0040535D">
        <w:rPr>
          <w:rFonts w:ascii="Times New Roman" w:hAnsi="Times New Roman"/>
          <w:b/>
          <w:sz w:val="24"/>
          <w:szCs w:val="24"/>
        </w:rPr>
        <w:t>12</w:t>
      </w:r>
      <w:r w:rsidR="001811ED">
        <w:rPr>
          <w:rFonts w:ascii="Times New Roman" w:hAnsi="Times New Roman"/>
          <w:b/>
          <w:sz w:val="24"/>
          <w:szCs w:val="24"/>
        </w:rPr>
        <w:t>0</w:t>
      </w:r>
      <w:r w:rsidR="001811ED" w:rsidRPr="0040535D">
        <w:rPr>
          <w:rFonts w:ascii="Times New Roman" w:hAnsi="Times New Roman"/>
          <w:sz w:val="24"/>
          <w:szCs w:val="24"/>
        </w:rPr>
        <w:t xml:space="preserve"> </w:t>
      </w:r>
      <w:r w:rsidRPr="0040535D">
        <w:rPr>
          <w:rFonts w:ascii="Times New Roman" w:hAnsi="Times New Roman"/>
          <w:sz w:val="24"/>
          <w:szCs w:val="24"/>
        </w:rPr>
        <w:t>dokonuje zmiany w ustawie dnia 10 lutego 2017 r. o Krajowym Ośrodku Wsparcia Rolnictwa (Dz.U. z 2020 r. poz. 481) polegającej na wskazaniu KOWR do realizacji operacji współfinansowanych ze środków Europejskiego Funduszu Społecznego Plus</w:t>
      </w:r>
      <w:r w:rsidRPr="0040535D">
        <w:rPr>
          <w:rStyle w:val="Pogrubienie"/>
          <w:rFonts w:ascii="Times New Roman" w:hAnsi="Times New Roman"/>
          <w:sz w:val="24"/>
          <w:szCs w:val="24"/>
        </w:rPr>
        <w:t xml:space="preserve"> </w:t>
      </w:r>
      <w:r w:rsidRPr="0040535D">
        <w:rPr>
          <w:rFonts w:ascii="Times New Roman" w:hAnsi="Times New Roman"/>
          <w:sz w:val="24"/>
          <w:szCs w:val="24"/>
        </w:rPr>
        <w:t>(EFS+) przeznaczonych na zwalczanie deprywacji materialnej.</w:t>
      </w:r>
    </w:p>
    <w:p w14:paraId="38784B95" w14:textId="77777777" w:rsidR="00EC377A" w:rsidRPr="0040535D" w:rsidRDefault="00EC377A" w:rsidP="009A0EE5">
      <w:pPr>
        <w:spacing w:before="120" w:after="120" w:line="360" w:lineRule="auto"/>
        <w:jc w:val="both"/>
        <w:rPr>
          <w:rFonts w:ascii="Times New Roman" w:hAnsi="Times New Roman"/>
          <w:sz w:val="24"/>
          <w:szCs w:val="24"/>
        </w:rPr>
      </w:pPr>
      <w:r w:rsidRPr="0040535D">
        <w:rPr>
          <w:rFonts w:ascii="Times New Roman" w:hAnsi="Times New Roman"/>
          <w:b/>
          <w:sz w:val="24"/>
          <w:szCs w:val="24"/>
        </w:rPr>
        <w:t xml:space="preserve">Art. </w:t>
      </w:r>
      <w:r w:rsidR="00822EEA" w:rsidRPr="009F6287">
        <w:rPr>
          <w:rFonts w:ascii="Times New Roman" w:hAnsi="Times New Roman"/>
          <w:b/>
          <w:sz w:val="24"/>
          <w:szCs w:val="24"/>
        </w:rPr>
        <w:t>12</w:t>
      </w:r>
      <w:r w:rsidR="001811ED" w:rsidRPr="009F6287">
        <w:rPr>
          <w:rFonts w:ascii="Times New Roman" w:hAnsi="Times New Roman"/>
          <w:b/>
          <w:sz w:val="24"/>
          <w:szCs w:val="24"/>
        </w:rPr>
        <w:t>5</w:t>
      </w:r>
      <w:r w:rsidR="00822EEA" w:rsidRPr="00822EEA">
        <w:rPr>
          <w:rFonts w:ascii="Times New Roman" w:hAnsi="Times New Roman"/>
          <w:sz w:val="24"/>
          <w:szCs w:val="24"/>
        </w:rPr>
        <w:t xml:space="preserve"> projektu, który wprowadza zmiany do ustawy z dnia 4 października 2018 r. o pracowniczych planach kapitałowych (Dz. U. z 2020 r. poz. 1342), zwanej dalej „ustawą o PPK”, ma na celu zmianę obowiązujących regulacji umożliwiających systematyczne oszczędzanie na cele emerytalne. Zmiany przede wszystkim doprecyzowują przepisy, tam gdzie konieczność interwencji ustawodawcy wynika z dotychczasowej praktyki ich stosowania i jest niezbędna dla zrealizowania celu zakładanego przez projektodawcę. Zmiany te mieszczą się w szeroko pojętych zasadach prowadzenia polityki rozwoju oraz umożliwiają realizację założeń projektodawcy poprzez umieszczenie w bloku przepisów przewidujących zakres zadań i rolę powierzoną PFR – zarówno w ramach nowoprojektowanych rozwiązań wdrażających plan rozwojowy, jak i zmian już obwiązujących przepisów dotyczących PFR jako podmiotu o określonej rol</w:t>
      </w:r>
      <w:r w:rsidR="00822EEA">
        <w:rPr>
          <w:rFonts w:ascii="Times New Roman" w:hAnsi="Times New Roman"/>
          <w:sz w:val="24"/>
          <w:szCs w:val="24"/>
        </w:rPr>
        <w:t>i w systemie instytucji rozwoju.</w:t>
      </w:r>
      <w:r w:rsidR="004A225B">
        <w:rPr>
          <w:rFonts w:ascii="Times New Roman" w:hAnsi="Times New Roman"/>
          <w:sz w:val="24"/>
          <w:szCs w:val="24"/>
        </w:rPr>
        <w:t xml:space="preserve"> </w:t>
      </w:r>
      <w:r w:rsidRPr="0040535D">
        <w:rPr>
          <w:rFonts w:ascii="Times New Roman" w:hAnsi="Times New Roman"/>
          <w:sz w:val="24"/>
          <w:szCs w:val="24"/>
        </w:rPr>
        <w:t xml:space="preserve">Art. </w:t>
      </w:r>
      <w:r w:rsidR="001811ED" w:rsidRPr="0040535D">
        <w:rPr>
          <w:rFonts w:ascii="Times New Roman" w:hAnsi="Times New Roman"/>
          <w:sz w:val="24"/>
          <w:szCs w:val="24"/>
        </w:rPr>
        <w:t>12</w:t>
      </w:r>
      <w:r w:rsidR="001811ED">
        <w:rPr>
          <w:rFonts w:ascii="Times New Roman" w:hAnsi="Times New Roman"/>
          <w:sz w:val="24"/>
          <w:szCs w:val="24"/>
        </w:rPr>
        <w:t>5</w:t>
      </w:r>
      <w:r w:rsidR="001811ED" w:rsidRPr="0040535D">
        <w:rPr>
          <w:rFonts w:ascii="Times New Roman" w:hAnsi="Times New Roman"/>
          <w:sz w:val="24"/>
          <w:szCs w:val="24"/>
        </w:rPr>
        <w:t xml:space="preserve"> </w:t>
      </w:r>
      <w:r w:rsidRPr="0040535D">
        <w:rPr>
          <w:rFonts w:ascii="Times New Roman" w:hAnsi="Times New Roman"/>
          <w:sz w:val="24"/>
          <w:szCs w:val="24"/>
        </w:rPr>
        <w:t xml:space="preserve">pkt 1, 12 projektu. Aktualnie brak jest ustawowej definicji pojęcia „numeru identyfikacyjnego”. Z tego względu pojawiają się wątpliwości na podstawie jakiego numeru należy ewidencjonować w ewidencji PPK pracodawców i umowy o zarządzanie PPK. Proponuje się, aby pod tym numerem rozumieć NIP lub REGON. Ze względu na brak w ustawie definicji numeru identyfikacyjnego REGON proponuje się dodanie również tej definicji (art. 2 ust. 1 pkt 14a ustawy o PPK). </w:t>
      </w:r>
    </w:p>
    <w:p w14:paraId="79F87834" w14:textId="77777777" w:rsidR="00EC377A" w:rsidRPr="0040535D" w:rsidRDefault="00EC377A"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lastRenderedPageBreak/>
        <w:t xml:space="preserve">W przypadku kiedy pracodawca lub zleceniodawca nie ma numeru identyfikacyjnego obowiązki podmiotu zatrudniającego powinny spoczywać na płatniku składek na ubezpieczenia społeczne. Celem proponowanej zmiany definicji podmiotu zatrudniającego jest umożliwienie przystąpienia do PPK osobom zatrudnionym u pracodawców lub zleceniodawców, za których obowiązki związane z wypłatą wynagrodzenia oraz wynikające z przepisów o systemie ubezpieczeń społecznych czy przepisów podatkowych wykonuje inny podmiot (art. 2 ust. 1 pkt 21 ustawy o PPK). </w:t>
      </w:r>
    </w:p>
    <w:p w14:paraId="4C28645E" w14:textId="77777777" w:rsidR="00EC377A" w:rsidRPr="0040535D" w:rsidRDefault="00EC377A"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Art. </w:t>
      </w:r>
      <w:r w:rsidR="001811ED" w:rsidRPr="0040535D">
        <w:rPr>
          <w:rFonts w:ascii="Times New Roman" w:hAnsi="Times New Roman"/>
          <w:sz w:val="24"/>
          <w:szCs w:val="24"/>
        </w:rPr>
        <w:t>12</w:t>
      </w:r>
      <w:r w:rsidR="001811ED">
        <w:rPr>
          <w:rFonts w:ascii="Times New Roman" w:hAnsi="Times New Roman"/>
          <w:sz w:val="24"/>
          <w:szCs w:val="24"/>
        </w:rPr>
        <w:t>5</w:t>
      </w:r>
      <w:r w:rsidR="001811ED" w:rsidRPr="0040535D">
        <w:rPr>
          <w:rFonts w:ascii="Times New Roman" w:hAnsi="Times New Roman"/>
          <w:sz w:val="24"/>
          <w:szCs w:val="24"/>
        </w:rPr>
        <w:t xml:space="preserve"> </w:t>
      </w:r>
      <w:r w:rsidRPr="0040535D">
        <w:rPr>
          <w:rFonts w:ascii="Times New Roman" w:hAnsi="Times New Roman"/>
          <w:sz w:val="24"/>
          <w:szCs w:val="24"/>
        </w:rPr>
        <w:t>pkt 2 projektu. W obecnym stanie prawnym podmioty zatrudniające, niestosujące ustawy o PPK na podstawie art. 13 ust. 1 tej ustawy, nie mają obowiązku informowania PFR o powodach niewdrażania PPK. Po zmianie będą one miały taki obowiązek wraz ze wskazaniem powodu niestosowania przez nie ustawy o PPK (art. 8 ust. 5c ustawy o PPK). Jest to niezbędne dla zapewnienia PFR możliwości weryfikacji prawidłowości działań w zakresie PPK tych podmiotów zatrudniających.</w:t>
      </w:r>
    </w:p>
    <w:p w14:paraId="449F3F31" w14:textId="77777777" w:rsidR="00EC377A" w:rsidRPr="0040535D" w:rsidRDefault="00EC377A"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Art. </w:t>
      </w:r>
      <w:r w:rsidR="000460FA" w:rsidRPr="0040535D">
        <w:rPr>
          <w:rFonts w:ascii="Times New Roman" w:hAnsi="Times New Roman"/>
          <w:sz w:val="24"/>
          <w:szCs w:val="24"/>
        </w:rPr>
        <w:t>12</w:t>
      </w:r>
      <w:r w:rsidR="000460FA">
        <w:rPr>
          <w:rFonts w:ascii="Times New Roman" w:hAnsi="Times New Roman"/>
          <w:sz w:val="24"/>
          <w:szCs w:val="24"/>
        </w:rPr>
        <w:t>5</w:t>
      </w:r>
      <w:r w:rsidR="000460FA" w:rsidRPr="0040535D">
        <w:rPr>
          <w:rFonts w:ascii="Times New Roman" w:hAnsi="Times New Roman"/>
          <w:sz w:val="24"/>
          <w:szCs w:val="24"/>
        </w:rPr>
        <w:t xml:space="preserve"> </w:t>
      </w:r>
      <w:r w:rsidRPr="0040535D">
        <w:rPr>
          <w:rFonts w:ascii="Times New Roman" w:hAnsi="Times New Roman"/>
          <w:sz w:val="24"/>
          <w:szCs w:val="24"/>
        </w:rPr>
        <w:t xml:space="preserve">pkt 3 i pkt </w:t>
      </w:r>
      <w:r w:rsidR="004A225B">
        <w:rPr>
          <w:rFonts w:ascii="Times New Roman" w:hAnsi="Times New Roman"/>
          <w:sz w:val="24"/>
          <w:szCs w:val="24"/>
        </w:rPr>
        <w:t>7</w:t>
      </w:r>
      <w:r w:rsidRPr="0040535D">
        <w:rPr>
          <w:rFonts w:ascii="Times New Roman" w:hAnsi="Times New Roman"/>
          <w:sz w:val="24"/>
          <w:szCs w:val="24"/>
        </w:rPr>
        <w:t xml:space="preserve"> lit. c projektu. Celem tych zmian jest ograniczenie obowiązków informacyjnych nałożonych na instytucje finansowe. Aktualnie instytucja finansowa ma obowiązek przekazywania pracodawcy informacji o każdej dokonywanej wypłacie, wypłacie transferowej i zwrocie. Informowanie pracodawcy o realizacji złożonych przez uczestnika PPK dyspozycji dotyczących zwrotu lub wypłaty transferowej nie ma jednak żadnego praktycznego uzasadnienia. Dla pracodawców informacje te są zbędne (uchylenie art. 12 ust. 6 i art. 19 ust. 6 ustawy o PPK).</w:t>
      </w:r>
    </w:p>
    <w:p w14:paraId="2C481ADC" w14:textId="77777777" w:rsidR="00EC377A" w:rsidRPr="0040535D" w:rsidRDefault="00EC377A"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Art. </w:t>
      </w:r>
      <w:r w:rsidR="000460FA" w:rsidRPr="0040535D">
        <w:rPr>
          <w:rFonts w:ascii="Times New Roman" w:hAnsi="Times New Roman"/>
          <w:sz w:val="24"/>
          <w:szCs w:val="24"/>
        </w:rPr>
        <w:t>12</w:t>
      </w:r>
      <w:r w:rsidR="000460FA">
        <w:rPr>
          <w:rFonts w:ascii="Times New Roman" w:hAnsi="Times New Roman"/>
          <w:sz w:val="24"/>
          <w:szCs w:val="24"/>
        </w:rPr>
        <w:t>5</w:t>
      </w:r>
      <w:r w:rsidR="000460FA" w:rsidRPr="0040535D">
        <w:rPr>
          <w:rFonts w:ascii="Times New Roman" w:hAnsi="Times New Roman"/>
          <w:sz w:val="24"/>
          <w:szCs w:val="24"/>
        </w:rPr>
        <w:t xml:space="preserve"> </w:t>
      </w:r>
      <w:r w:rsidRPr="0040535D">
        <w:rPr>
          <w:rFonts w:ascii="Times New Roman" w:hAnsi="Times New Roman"/>
          <w:sz w:val="24"/>
          <w:szCs w:val="24"/>
        </w:rPr>
        <w:t xml:space="preserve">pkt 4 projektu. Aktualnie dopłata roczna nie przysługuje uczestnikowi PPK, pomimo że nabył do niej prawo - w przypadku, kiedy pracodawca zwolnił się (na podstawie porozumienia ze związkami zawodowymi, w związku z tym, że opłaca składki do pracowniczych programów emerytalnych) z finansowania wpłat podstawowych do PPK. Zwolnienie się przez pracodawcę z finansowania przez niego wpłat do PPK nie powinno wpływać na uprawnienia uczestnika do otrzymania dopłaty rocznej. Tym bardziej, że sytuacje kryzysowe, kiedy pracodawca nie finansuje wpłat do PPK, nie powodują utraty przez uczestnika uprawnień do dopłaty rocznej (uchylenie art. 13 ust. 3 ustawy o PPK). </w:t>
      </w:r>
    </w:p>
    <w:p w14:paraId="653B3E84" w14:textId="77777777" w:rsidR="00EC377A" w:rsidRDefault="00EC377A"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Art. </w:t>
      </w:r>
      <w:r w:rsidR="000460FA" w:rsidRPr="0040535D">
        <w:rPr>
          <w:rFonts w:ascii="Times New Roman" w:hAnsi="Times New Roman"/>
          <w:sz w:val="24"/>
          <w:szCs w:val="24"/>
        </w:rPr>
        <w:t>12</w:t>
      </w:r>
      <w:r w:rsidR="000460FA">
        <w:rPr>
          <w:rFonts w:ascii="Times New Roman" w:hAnsi="Times New Roman"/>
          <w:sz w:val="24"/>
          <w:szCs w:val="24"/>
        </w:rPr>
        <w:t>5</w:t>
      </w:r>
      <w:r w:rsidR="000460FA" w:rsidRPr="0040535D">
        <w:rPr>
          <w:rFonts w:ascii="Times New Roman" w:hAnsi="Times New Roman"/>
          <w:sz w:val="24"/>
          <w:szCs w:val="24"/>
        </w:rPr>
        <w:t xml:space="preserve"> </w:t>
      </w:r>
      <w:r w:rsidRPr="0040535D">
        <w:rPr>
          <w:rFonts w:ascii="Times New Roman" w:hAnsi="Times New Roman"/>
          <w:sz w:val="24"/>
          <w:szCs w:val="24"/>
        </w:rPr>
        <w:t xml:space="preserve">pkt 5 projektu. Celem tej zmiany jest doprecyzowanie, że zawarcie umowy o prowadzenie PPK dla osoby, która ukończyła 55 lat następuje zawsze na wniosek tej osoby. Obecnie obowiązujący art. 15 ust. 3 ustawy o PPK wprowadza niepewność na jakich zasadach należy zapisywać do PPK osoby, które ukończyły 55 lat. Z tego względu celowe jest uchylenie </w:t>
      </w:r>
      <w:r w:rsidRPr="0040535D">
        <w:rPr>
          <w:rFonts w:ascii="Times New Roman" w:hAnsi="Times New Roman"/>
          <w:sz w:val="24"/>
          <w:szCs w:val="24"/>
        </w:rPr>
        <w:lastRenderedPageBreak/>
        <w:t>budzącego wątpliwości art. 15 ust. 3 ustawy o PPK. Zmiana w art. 15 ust. 2 ustawy o PPK, ma charakter porządkowy.</w:t>
      </w:r>
    </w:p>
    <w:p w14:paraId="5D2FBB14" w14:textId="32C57C36" w:rsidR="00CA0BD7" w:rsidRDefault="004A225B" w:rsidP="009A0EE5">
      <w:pPr>
        <w:spacing w:before="120" w:after="120" w:line="360" w:lineRule="auto"/>
        <w:jc w:val="both"/>
        <w:rPr>
          <w:rFonts w:ascii="Times New Roman" w:hAnsi="Times New Roman"/>
          <w:sz w:val="24"/>
          <w:szCs w:val="24"/>
        </w:rPr>
      </w:pPr>
      <w:r w:rsidRPr="004A225B">
        <w:rPr>
          <w:rFonts w:ascii="Times New Roman" w:hAnsi="Times New Roman"/>
          <w:sz w:val="24"/>
          <w:szCs w:val="24"/>
        </w:rPr>
        <w:t>A</w:t>
      </w:r>
      <w:r w:rsidRPr="00284D7B">
        <w:rPr>
          <w:rFonts w:ascii="Times New Roman" w:hAnsi="Times New Roman"/>
          <w:sz w:val="24"/>
          <w:szCs w:val="24"/>
        </w:rPr>
        <w:t>rt.</w:t>
      </w:r>
      <w:r w:rsidRPr="004A225B">
        <w:rPr>
          <w:rFonts w:ascii="Times New Roman" w:hAnsi="Times New Roman"/>
          <w:sz w:val="24"/>
          <w:szCs w:val="24"/>
        </w:rPr>
        <w:t xml:space="preserve"> 125 pkt 6  w prowadza zmianę w art. 16 ust.  1 ustawy o PPK  polegająca na zmianie terminu zawarcia przez podmiot zatrudniający  umowy o prowadzenie PPK w imieniu i na rzecz osoby zatrudnionej. </w:t>
      </w:r>
      <w:r w:rsidR="00CA0BD7" w:rsidRPr="00CA0BD7">
        <w:rPr>
          <w:rFonts w:ascii="Times New Roman" w:hAnsi="Times New Roman"/>
          <w:sz w:val="24"/>
          <w:szCs w:val="24"/>
        </w:rPr>
        <w:t xml:space="preserve">Aktualnie podmiot zatrudniający zawiera umowę o prowadzenie PPK w imieniu i na rzecz osoby zatrudnionej dopiero po upływie trzeciego miesiąca zatrudnienia, nie później niż do 10 dnia miesiąca następującego po miesiącu, w którym upłynął ten termin 3 miesięcy. Proponuje się, aby umowa o prowadzenie PPK mogła zostać zawarta nie wcześniej niż po upływie 14 dni zatrudnienia i nie później niż do 10 dnia miesiąca następującego po miesiącu, w którym upłynął termin 3 miesięcy zatrudnienia. Zmiana ta umożliwi podmiotom zatrudniającym wcześniejsze zawarcie dla osoby zatrudnionej umowy o prowadzenie PPK, a jednocześnie nie skraca terminu na zawarcie tej umowy.  </w:t>
      </w:r>
      <w:bookmarkStart w:id="0" w:name="highlightHit_152"/>
      <w:bookmarkEnd w:id="0"/>
      <w:r w:rsidRPr="005E6479">
        <w:rPr>
          <w:rFonts w:ascii="Times New Roman" w:hAnsi="Times New Roman"/>
          <w:sz w:val="24"/>
          <w:szCs w:val="24"/>
        </w:rPr>
        <w:t xml:space="preserve"> </w:t>
      </w:r>
    </w:p>
    <w:p w14:paraId="2CDA2A91" w14:textId="77DFBBAC" w:rsidR="00EC377A" w:rsidRDefault="00EC377A"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Art. </w:t>
      </w:r>
      <w:r w:rsidR="000460FA" w:rsidRPr="0040535D">
        <w:rPr>
          <w:rFonts w:ascii="Times New Roman" w:hAnsi="Times New Roman"/>
          <w:sz w:val="24"/>
          <w:szCs w:val="24"/>
        </w:rPr>
        <w:t>12</w:t>
      </w:r>
      <w:r w:rsidR="000460FA">
        <w:rPr>
          <w:rFonts w:ascii="Times New Roman" w:hAnsi="Times New Roman"/>
          <w:sz w:val="24"/>
          <w:szCs w:val="24"/>
        </w:rPr>
        <w:t>5</w:t>
      </w:r>
      <w:r w:rsidR="000460FA" w:rsidRPr="0040535D">
        <w:rPr>
          <w:rFonts w:ascii="Times New Roman" w:hAnsi="Times New Roman"/>
          <w:sz w:val="24"/>
          <w:szCs w:val="24"/>
        </w:rPr>
        <w:t xml:space="preserve"> </w:t>
      </w:r>
      <w:r w:rsidRPr="0040535D">
        <w:rPr>
          <w:rFonts w:ascii="Times New Roman" w:hAnsi="Times New Roman"/>
          <w:sz w:val="24"/>
          <w:szCs w:val="24"/>
        </w:rPr>
        <w:t xml:space="preserve">pkt </w:t>
      </w:r>
      <w:r w:rsidR="004A225B">
        <w:rPr>
          <w:rFonts w:ascii="Times New Roman" w:hAnsi="Times New Roman"/>
          <w:sz w:val="24"/>
          <w:szCs w:val="24"/>
        </w:rPr>
        <w:t>7</w:t>
      </w:r>
      <w:r w:rsidRPr="0040535D">
        <w:rPr>
          <w:rFonts w:ascii="Times New Roman" w:hAnsi="Times New Roman"/>
          <w:sz w:val="24"/>
          <w:szCs w:val="24"/>
        </w:rPr>
        <w:t xml:space="preserve"> lit. a i b projektu. Aktualnie uczestnik PPK składa podmiotowi zatrudniającemu oświadczenie o zawartych w jego imieniu umowach o prowadzenie PPK w terminie 7 dni po upływie 10 dni miesiąca następującego po miesiącu, w którym upłynął termin 3 miesięcy zatrudnienia. Tak skomplikowany sposób wyznaczania tego terminu nie jest uzasadniony. Dlatego proponuje się, aby to oświadczenie mogło być składane w terminie 7 dni od dnia zawarcia umowy o prowadzenie PPK w imieniu i na rzecz uczestnika PPK (art. 19 ust. 1 i 2 ustawy o PPK).</w:t>
      </w:r>
    </w:p>
    <w:p w14:paraId="404D0F0F" w14:textId="77777777" w:rsidR="00CA0BD7" w:rsidRPr="0040535D" w:rsidRDefault="00CA0BD7" w:rsidP="009A0EE5">
      <w:pPr>
        <w:spacing w:before="120" w:after="120" w:line="360" w:lineRule="auto"/>
        <w:jc w:val="both"/>
        <w:rPr>
          <w:rFonts w:ascii="Times New Roman" w:hAnsi="Times New Roman"/>
          <w:sz w:val="24"/>
          <w:szCs w:val="24"/>
        </w:rPr>
      </w:pPr>
    </w:p>
    <w:p w14:paraId="489FC3A2" w14:textId="77777777" w:rsidR="00EC377A" w:rsidRPr="0040535D" w:rsidRDefault="00EC377A"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Art. </w:t>
      </w:r>
      <w:r w:rsidR="000460FA" w:rsidRPr="0040535D">
        <w:rPr>
          <w:rFonts w:ascii="Times New Roman" w:hAnsi="Times New Roman"/>
          <w:sz w:val="24"/>
          <w:szCs w:val="24"/>
        </w:rPr>
        <w:t>12</w:t>
      </w:r>
      <w:r w:rsidR="000460FA">
        <w:rPr>
          <w:rFonts w:ascii="Times New Roman" w:hAnsi="Times New Roman"/>
          <w:sz w:val="24"/>
          <w:szCs w:val="24"/>
        </w:rPr>
        <w:t>5</w:t>
      </w:r>
      <w:r w:rsidR="000460FA" w:rsidRPr="0040535D">
        <w:rPr>
          <w:rFonts w:ascii="Times New Roman" w:hAnsi="Times New Roman"/>
          <w:sz w:val="24"/>
          <w:szCs w:val="24"/>
        </w:rPr>
        <w:t xml:space="preserve"> </w:t>
      </w:r>
      <w:r w:rsidRPr="0040535D">
        <w:rPr>
          <w:rFonts w:ascii="Times New Roman" w:hAnsi="Times New Roman"/>
          <w:sz w:val="24"/>
          <w:szCs w:val="24"/>
        </w:rPr>
        <w:t xml:space="preserve">pkt </w:t>
      </w:r>
      <w:r w:rsidR="004A225B">
        <w:rPr>
          <w:rFonts w:ascii="Times New Roman" w:hAnsi="Times New Roman"/>
          <w:sz w:val="24"/>
          <w:szCs w:val="24"/>
        </w:rPr>
        <w:t>8</w:t>
      </w:r>
      <w:r w:rsidR="004A225B" w:rsidRPr="0040535D">
        <w:rPr>
          <w:rFonts w:ascii="Times New Roman" w:hAnsi="Times New Roman"/>
          <w:sz w:val="24"/>
          <w:szCs w:val="24"/>
        </w:rPr>
        <w:t xml:space="preserve"> </w:t>
      </w:r>
      <w:r w:rsidRPr="0040535D">
        <w:rPr>
          <w:rFonts w:ascii="Times New Roman" w:hAnsi="Times New Roman"/>
          <w:sz w:val="24"/>
          <w:szCs w:val="24"/>
        </w:rPr>
        <w:t>projektu. Celem proponowanej zmiany jest ujednolicenie terminów obowiązywania deklaracji dotyczących PPK, składanych przez pracowników. Proponuje się, aby deklaracja wpłaty dodatkowej do PPK obowiązywała od miesiąca następującego po miesiącu, w którym została złożona - analogicznie jak inne deklaracje dotyczące wpłat składane przez uczestników PPK (art. 27 ust. 3a ustawy o PPK).</w:t>
      </w:r>
    </w:p>
    <w:p w14:paraId="3420F837" w14:textId="77777777" w:rsidR="00EC377A" w:rsidRPr="0040535D" w:rsidRDefault="00EC377A"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Art. </w:t>
      </w:r>
      <w:r w:rsidR="000460FA" w:rsidRPr="0040535D">
        <w:rPr>
          <w:rFonts w:ascii="Times New Roman" w:hAnsi="Times New Roman"/>
          <w:sz w:val="24"/>
          <w:szCs w:val="24"/>
        </w:rPr>
        <w:t>12</w:t>
      </w:r>
      <w:r w:rsidR="000460FA">
        <w:rPr>
          <w:rFonts w:ascii="Times New Roman" w:hAnsi="Times New Roman"/>
          <w:sz w:val="24"/>
          <w:szCs w:val="24"/>
        </w:rPr>
        <w:t>5</w:t>
      </w:r>
      <w:r w:rsidR="000460FA" w:rsidRPr="0040535D">
        <w:rPr>
          <w:rFonts w:ascii="Times New Roman" w:hAnsi="Times New Roman"/>
          <w:sz w:val="24"/>
          <w:szCs w:val="24"/>
        </w:rPr>
        <w:t xml:space="preserve"> </w:t>
      </w:r>
      <w:r w:rsidRPr="0040535D">
        <w:rPr>
          <w:rFonts w:ascii="Times New Roman" w:hAnsi="Times New Roman"/>
          <w:sz w:val="24"/>
          <w:szCs w:val="24"/>
        </w:rPr>
        <w:t xml:space="preserve">pkt </w:t>
      </w:r>
      <w:r w:rsidR="004A225B">
        <w:rPr>
          <w:rFonts w:ascii="Times New Roman" w:hAnsi="Times New Roman"/>
          <w:sz w:val="24"/>
          <w:szCs w:val="24"/>
        </w:rPr>
        <w:t>9</w:t>
      </w:r>
      <w:r w:rsidRPr="0040535D">
        <w:rPr>
          <w:rFonts w:ascii="Times New Roman" w:hAnsi="Times New Roman"/>
          <w:sz w:val="24"/>
          <w:szCs w:val="24"/>
        </w:rPr>
        <w:t xml:space="preserve"> projektu. Celem proponowanej zmiany jest uproszczenie obsługi PPK przez pracodawców poprzez ujednolicenie terminu dokonywania pierwszej i kolejnych wpłat do PPK. Obecnie terminy te różnią się. Proponowana zmiana ma na celu umożliwienie pracodawcom dokonywania pierwszych wpłat do PPK począwszy od dnia, w którym zostały naliczone i pobrane - nawet w tym samym miesiącu, w którym została zawarta umowa o prowadzenie PPK (art. 28 ust. 1 ustawy o PPK). Na takich zasadach aktualnie dopuszczalne </w:t>
      </w:r>
      <w:r w:rsidRPr="0040535D">
        <w:rPr>
          <w:rFonts w:ascii="Times New Roman" w:hAnsi="Times New Roman"/>
          <w:sz w:val="24"/>
          <w:szCs w:val="24"/>
        </w:rPr>
        <w:lastRenderedPageBreak/>
        <w:t>jest dokonywanie kolejnych wpłat. Brak jest uzasadnienia dla stosowania innych zasad do dokonywania pierwszych wpłat i kolejnych wpłat do PPK.</w:t>
      </w:r>
    </w:p>
    <w:p w14:paraId="6FDF3211" w14:textId="77777777" w:rsidR="00EC377A" w:rsidRPr="0040535D" w:rsidRDefault="00EC377A"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Art. </w:t>
      </w:r>
      <w:r w:rsidR="00A83D54" w:rsidRPr="0040535D">
        <w:rPr>
          <w:rFonts w:ascii="Times New Roman" w:hAnsi="Times New Roman"/>
          <w:sz w:val="24"/>
          <w:szCs w:val="24"/>
        </w:rPr>
        <w:t> </w:t>
      </w:r>
      <w:r w:rsidR="000460FA" w:rsidRPr="0040535D">
        <w:rPr>
          <w:rFonts w:ascii="Times New Roman" w:hAnsi="Times New Roman"/>
          <w:sz w:val="24"/>
          <w:szCs w:val="24"/>
        </w:rPr>
        <w:t>12</w:t>
      </w:r>
      <w:r w:rsidR="000460FA">
        <w:rPr>
          <w:rFonts w:ascii="Times New Roman" w:hAnsi="Times New Roman"/>
          <w:sz w:val="24"/>
          <w:szCs w:val="24"/>
        </w:rPr>
        <w:t>5</w:t>
      </w:r>
      <w:r w:rsidR="000460FA" w:rsidRPr="0040535D">
        <w:rPr>
          <w:rFonts w:ascii="Times New Roman" w:hAnsi="Times New Roman"/>
          <w:sz w:val="24"/>
          <w:szCs w:val="24"/>
        </w:rPr>
        <w:t xml:space="preserve"> </w:t>
      </w:r>
      <w:r w:rsidRPr="0040535D">
        <w:rPr>
          <w:rFonts w:ascii="Times New Roman" w:hAnsi="Times New Roman"/>
          <w:sz w:val="24"/>
          <w:szCs w:val="24"/>
        </w:rPr>
        <w:t xml:space="preserve">pkt </w:t>
      </w:r>
      <w:r w:rsidR="004A225B">
        <w:rPr>
          <w:rFonts w:ascii="Times New Roman" w:hAnsi="Times New Roman"/>
          <w:sz w:val="24"/>
          <w:szCs w:val="24"/>
        </w:rPr>
        <w:t>10</w:t>
      </w:r>
      <w:r w:rsidR="004A225B" w:rsidRPr="0040535D">
        <w:rPr>
          <w:rFonts w:ascii="Times New Roman" w:hAnsi="Times New Roman"/>
          <w:sz w:val="24"/>
          <w:szCs w:val="24"/>
        </w:rPr>
        <w:t xml:space="preserve"> </w:t>
      </w:r>
      <w:r w:rsidRPr="0040535D">
        <w:rPr>
          <w:rFonts w:ascii="Times New Roman" w:hAnsi="Times New Roman"/>
          <w:sz w:val="24"/>
          <w:szCs w:val="24"/>
        </w:rPr>
        <w:t>projektu. Aktualnie brak jest w ustawie regulacji wskazujących zasady postępowania w przypadku dokonania nienależnych wpłat do PPK i dopłat od Państwa. Dotyczy to sytuacji dokonania tych wpłat na przykład w razie zawarcia umowy o prowadzenie PPK na rzecz osoby niespełniającej definicji osoby zatrudnionej, dokonania wpłat po złożeniu przez uczestnika PPK deklaracji o rezygnacji z dokonywania wpłat do PPK, czy dokonania wpłat w wysokości wyższej niż należna. W związku z powyższym konieczne jest uregulowanie tej kwestii w ustawie o PPK poprzez umożliwienie wycofania nienależnych wpłat do PPK i dopłat od Państwa. Wycofanie będzie następowało po stwierdzeniu, że zostały dokonane bezpodstawnie (tj. wpłaty były nienależne). Powinny one zostać zwrócenie na rzecz podmiotu, który je sfinansował. Taki zwrot byłby możliwy bez potrzeby składania przez uczestnika PPK dyspozycji odkupienia lub umorzenia jednostek uczestnictwa (art. 28a ustawy o PPK).</w:t>
      </w:r>
    </w:p>
    <w:p w14:paraId="60909914" w14:textId="77777777" w:rsidR="00EC377A" w:rsidRPr="0040535D" w:rsidRDefault="00EC377A"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Art. </w:t>
      </w:r>
      <w:r w:rsidR="000460FA" w:rsidRPr="0040535D">
        <w:rPr>
          <w:rFonts w:ascii="Times New Roman" w:hAnsi="Times New Roman"/>
          <w:sz w:val="24"/>
          <w:szCs w:val="24"/>
        </w:rPr>
        <w:t>12</w:t>
      </w:r>
      <w:r w:rsidR="000460FA">
        <w:rPr>
          <w:rFonts w:ascii="Times New Roman" w:hAnsi="Times New Roman"/>
          <w:sz w:val="24"/>
          <w:szCs w:val="24"/>
        </w:rPr>
        <w:t>5</w:t>
      </w:r>
      <w:r w:rsidR="000460FA" w:rsidRPr="0040535D">
        <w:rPr>
          <w:rFonts w:ascii="Times New Roman" w:hAnsi="Times New Roman"/>
          <w:sz w:val="24"/>
          <w:szCs w:val="24"/>
        </w:rPr>
        <w:t xml:space="preserve"> </w:t>
      </w:r>
      <w:r w:rsidRPr="0040535D">
        <w:rPr>
          <w:rFonts w:ascii="Times New Roman" w:hAnsi="Times New Roman"/>
          <w:sz w:val="24"/>
          <w:szCs w:val="24"/>
        </w:rPr>
        <w:t>pkt 1</w:t>
      </w:r>
      <w:r w:rsidR="004A225B">
        <w:rPr>
          <w:rFonts w:ascii="Times New Roman" w:hAnsi="Times New Roman"/>
          <w:sz w:val="24"/>
          <w:szCs w:val="24"/>
        </w:rPr>
        <w:t>1</w:t>
      </w:r>
      <w:r w:rsidRPr="0040535D">
        <w:rPr>
          <w:rFonts w:ascii="Times New Roman" w:hAnsi="Times New Roman"/>
          <w:sz w:val="24"/>
          <w:szCs w:val="24"/>
        </w:rPr>
        <w:t xml:space="preserve"> lit. a projektu. W obecnym brzmieniu przepisów wpłata powitalna przekazywana jest do PFR w terminie do 30 dni po zakończeniu kwartału i w tym samym terminie powinna trafić na rachunek uczestnika PPK. Przekazanie wpłaty powitalnej następuje za pośrednictwem PFR. W praktyce mogłoby okazać się, że wpłata powitalna nie zostałaby zaewidencjonowana na rachunku PPK uczestnika PPK w terminie ustawowym, jeżeli minister właściwy do spraw pracy przekazałby PFR środki w okolicach końca terminu na ich przekazanie. Proponuje się przesunięcie terminu na przekazanie wpłaty powitalnej na rachunek PPK uczestnika PPK o kolejne 15 dni – w terminie 45 dni po zakończeniu  kwartału (art. 31 ust. 2 ustawy o PPK).</w:t>
      </w:r>
    </w:p>
    <w:p w14:paraId="264D8B7A" w14:textId="77777777" w:rsidR="00EC377A" w:rsidRPr="0040535D" w:rsidRDefault="00EC377A"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Art. </w:t>
      </w:r>
      <w:r w:rsidR="000460FA" w:rsidRPr="0040535D">
        <w:rPr>
          <w:rFonts w:ascii="Times New Roman" w:hAnsi="Times New Roman"/>
          <w:sz w:val="24"/>
          <w:szCs w:val="24"/>
        </w:rPr>
        <w:t>12</w:t>
      </w:r>
      <w:r w:rsidR="000460FA">
        <w:rPr>
          <w:rFonts w:ascii="Times New Roman" w:hAnsi="Times New Roman"/>
          <w:sz w:val="24"/>
          <w:szCs w:val="24"/>
        </w:rPr>
        <w:t>5</w:t>
      </w:r>
      <w:r w:rsidR="000460FA" w:rsidRPr="0040535D">
        <w:rPr>
          <w:rFonts w:ascii="Times New Roman" w:hAnsi="Times New Roman"/>
          <w:sz w:val="24"/>
          <w:szCs w:val="24"/>
        </w:rPr>
        <w:t xml:space="preserve"> </w:t>
      </w:r>
      <w:r w:rsidRPr="0040535D">
        <w:rPr>
          <w:rFonts w:ascii="Times New Roman" w:hAnsi="Times New Roman"/>
          <w:sz w:val="24"/>
          <w:szCs w:val="24"/>
        </w:rPr>
        <w:t xml:space="preserve">pkt </w:t>
      </w:r>
      <w:r w:rsidR="004A225B" w:rsidRPr="0040535D">
        <w:rPr>
          <w:rFonts w:ascii="Times New Roman" w:hAnsi="Times New Roman"/>
          <w:sz w:val="24"/>
          <w:szCs w:val="24"/>
        </w:rPr>
        <w:t>1</w:t>
      </w:r>
      <w:r w:rsidR="004A225B">
        <w:rPr>
          <w:rFonts w:ascii="Times New Roman" w:hAnsi="Times New Roman"/>
          <w:sz w:val="24"/>
          <w:szCs w:val="24"/>
        </w:rPr>
        <w:t>1</w:t>
      </w:r>
      <w:r w:rsidR="004A225B" w:rsidRPr="0040535D">
        <w:rPr>
          <w:rFonts w:ascii="Times New Roman" w:hAnsi="Times New Roman"/>
          <w:sz w:val="24"/>
          <w:szCs w:val="24"/>
        </w:rPr>
        <w:t xml:space="preserve"> </w:t>
      </w:r>
      <w:r w:rsidRPr="0040535D">
        <w:rPr>
          <w:rFonts w:ascii="Times New Roman" w:hAnsi="Times New Roman"/>
          <w:sz w:val="24"/>
          <w:szCs w:val="24"/>
        </w:rPr>
        <w:t>lit. b i pkt 1</w:t>
      </w:r>
      <w:r w:rsidR="00A83D54" w:rsidRPr="0040535D">
        <w:rPr>
          <w:rFonts w:ascii="Times New Roman" w:hAnsi="Times New Roman"/>
          <w:sz w:val="24"/>
          <w:szCs w:val="24"/>
        </w:rPr>
        <w:t xml:space="preserve">1 i 12 </w:t>
      </w:r>
      <w:r w:rsidRPr="0040535D">
        <w:rPr>
          <w:rFonts w:ascii="Times New Roman" w:hAnsi="Times New Roman"/>
          <w:sz w:val="24"/>
          <w:szCs w:val="24"/>
        </w:rPr>
        <w:t xml:space="preserve"> projektu. Projektowane przepisy</w:t>
      </w:r>
      <w:r w:rsidR="00A83D54" w:rsidRPr="0040535D">
        <w:rPr>
          <w:rFonts w:ascii="Times New Roman" w:hAnsi="Times New Roman"/>
          <w:sz w:val="24"/>
          <w:szCs w:val="24"/>
        </w:rPr>
        <w:t xml:space="preserve"> regulują kwestie wpłaty powitalnej i dopłaty rocznej. Między innymi wprost </w:t>
      </w:r>
      <w:r w:rsidRPr="0040535D">
        <w:rPr>
          <w:rFonts w:ascii="Times New Roman" w:hAnsi="Times New Roman"/>
          <w:sz w:val="24"/>
          <w:szCs w:val="24"/>
        </w:rPr>
        <w:t xml:space="preserve"> przewidują, że niezaewidencjonowane wpłaty powitalne i dopłaty roczne podlegają zwrotowi. Obecnie brakuje takiej wyraźnej regulacji (art. 31 ust. 7 </w:t>
      </w:r>
      <w:r w:rsidR="00A83D54" w:rsidRPr="0040535D">
        <w:rPr>
          <w:rFonts w:ascii="Times New Roman" w:hAnsi="Times New Roman"/>
          <w:sz w:val="24"/>
          <w:szCs w:val="24"/>
        </w:rPr>
        <w:t>art. 34 i art. 35</w:t>
      </w:r>
      <w:r w:rsidRPr="0040535D">
        <w:rPr>
          <w:rFonts w:ascii="Times New Roman" w:hAnsi="Times New Roman"/>
          <w:sz w:val="24"/>
          <w:szCs w:val="24"/>
        </w:rPr>
        <w:t>ustawy o PPK).</w:t>
      </w:r>
    </w:p>
    <w:p w14:paraId="07ECA0CA" w14:textId="77777777" w:rsidR="00EC377A" w:rsidRPr="0040535D" w:rsidRDefault="00EC377A"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Art. </w:t>
      </w:r>
      <w:r w:rsidR="000460FA" w:rsidRPr="0040535D">
        <w:rPr>
          <w:rFonts w:ascii="Times New Roman" w:hAnsi="Times New Roman"/>
          <w:sz w:val="24"/>
          <w:szCs w:val="24"/>
        </w:rPr>
        <w:t>12</w:t>
      </w:r>
      <w:r w:rsidR="000460FA">
        <w:rPr>
          <w:rFonts w:ascii="Times New Roman" w:hAnsi="Times New Roman"/>
          <w:sz w:val="24"/>
          <w:szCs w:val="24"/>
        </w:rPr>
        <w:t>5</w:t>
      </w:r>
      <w:r w:rsidR="000460FA" w:rsidRPr="0040535D">
        <w:rPr>
          <w:rFonts w:ascii="Times New Roman" w:hAnsi="Times New Roman"/>
          <w:sz w:val="24"/>
          <w:szCs w:val="24"/>
        </w:rPr>
        <w:t xml:space="preserve"> </w:t>
      </w:r>
      <w:r w:rsidRPr="0040535D">
        <w:rPr>
          <w:rFonts w:ascii="Times New Roman" w:hAnsi="Times New Roman"/>
          <w:sz w:val="24"/>
          <w:szCs w:val="24"/>
        </w:rPr>
        <w:t xml:space="preserve">pkt </w:t>
      </w:r>
      <w:r w:rsidR="004A225B" w:rsidRPr="0040535D">
        <w:rPr>
          <w:rFonts w:ascii="Times New Roman" w:hAnsi="Times New Roman"/>
          <w:sz w:val="24"/>
          <w:szCs w:val="24"/>
        </w:rPr>
        <w:t>1</w:t>
      </w:r>
      <w:r w:rsidR="004A225B">
        <w:rPr>
          <w:rFonts w:ascii="Times New Roman" w:hAnsi="Times New Roman"/>
          <w:sz w:val="24"/>
          <w:szCs w:val="24"/>
        </w:rPr>
        <w:t>5</w:t>
      </w:r>
      <w:r w:rsidR="004A225B" w:rsidRPr="0040535D">
        <w:rPr>
          <w:rFonts w:ascii="Times New Roman" w:hAnsi="Times New Roman"/>
          <w:sz w:val="24"/>
          <w:szCs w:val="24"/>
        </w:rPr>
        <w:t xml:space="preserve"> </w:t>
      </w:r>
      <w:r w:rsidRPr="0040535D">
        <w:rPr>
          <w:rFonts w:ascii="Times New Roman" w:hAnsi="Times New Roman"/>
          <w:sz w:val="24"/>
          <w:szCs w:val="24"/>
        </w:rPr>
        <w:t xml:space="preserve">projektu. Celem proponowanej zmiany jest umożliwienie udostępniania danych posiadanych przez PFR (wskazanych w tym przepisie) spółce zależnej - PFR Portal PPK. Chodzi o dane wymienione w art. 72 i art. 73, czyli dane dotyczące podmiotów zatrudniających, które wdrożyły PPK (zawarły umowę o zarządzanie PPK) oraz dane dotyczące tych umów. Pozyskanie przez Spółkę PFR Portal PPK tych danych pozwoli na efektywne dotarcie z ofertą </w:t>
      </w:r>
      <w:r w:rsidRPr="0040535D">
        <w:rPr>
          <w:rFonts w:ascii="Times New Roman" w:hAnsi="Times New Roman"/>
          <w:sz w:val="24"/>
          <w:szCs w:val="24"/>
        </w:rPr>
        <w:lastRenderedPageBreak/>
        <w:t>edukacyjną do podmiotów zatrudniających, w których statystyki wykazują niską partycypację w programie PPK (art. 76 ust. 1 pkt 2 ustawy o PPK).</w:t>
      </w:r>
    </w:p>
    <w:p w14:paraId="1BE11437" w14:textId="77777777" w:rsidR="00EC377A" w:rsidRPr="0040535D" w:rsidRDefault="00EC377A"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Art. </w:t>
      </w:r>
      <w:r w:rsidR="000460FA" w:rsidRPr="0040535D">
        <w:rPr>
          <w:rFonts w:ascii="Times New Roman" w:hAnsi="Times New Roman"/>
          <w:sz w:val="24"/>
          <w:szCs w:val="24"/>
        </w:rPr>
        <w:t>12</w:t>
      </w:r>
      <w:r w:rsidR="000460FA">
        <w:rPr>
          <w:rFonts w:ascii="Times New Roman" w:hAnsi="Times New Roman"/>
          <w:sz w:val="24"/>
          <w:szCs w:val="24"/>
        </w:rPr>
        <w:t>5</w:t>
      </w:r>
      <w:r w:rsidR="000460FA" w:rsidRPr="0040535D">
        <w:rPr>
          <w:rFonts w:ascii="Times New Roman" w:hAnsi="Times New Roman"/>
          <w:sz w:val="24"/>
          <w:szCs w:val="24"/>
        </w:rPr>
        <w:t xml:space="preserve"> </w:t>
      </w:r>
      <w:r w:rsidRPr="0040535D">
        <w:rPr>
          <w:rFonts w:ascii="Times New Roman" w:hAnsi="Times New Roman"/>
          <w:sz w:val="24"/>
          <w:szCs w:val="24"/>
        </w:rPr>
        <w:t>pkt 1</w:t>
      </w:r>
      <w:r w:rsidR="004A225B">
        <w:rPr>
          <w:rFonts w:ascii="Times New Roman" w:hAnsi="Times New Roman"/>
          <w:sz w:val="24"/>
          <w:szCs w:val="24"/>
        </w:rPr>
        <w:t>6</w:t>
      </w:r>
      <w:r w:rsidRPr="0040535D">
        <w:rPr>
          <w:rFonts w:ascii="Times New Roman" w:hAnsi="Times New Roman"/>
          <w:sz w:val="24"/>
          <w:szCs w:val="24"/>
        </w:rPr>
        <w:t xml:space="preserve"> projektu. Aktualnie istnieją wątpliwości, czy PFR może upubliczniać wyniki analiz statystycznych. W celu uniknięcia tych wątpliwości postulujemy wprowadzenie zmian w przepisach, pozwalających PFR na rozpowszechnianie wyników analiz statystycznych danych z ewidencji PPK (art. 76a ustawy o PPK).</w:t>
      </w:r>
    </w:p>
    <w:p w14:paraId="24D1499D" w14:textId="77777777" w:rsidR="00EC377A" w:rsidRPr="0040535D" w:rsidRDefault="00EC377A"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Art. </w:t>
      </w:r>
      <w:r w:rsidR="000460FA" w:rsidRPr="0040535D">
        <w:rPr>
          <w:rFonts w:ascii="Times New Roman" w:hAnsi="Times New Roman"/>
          <w:sz w:val="24"/>
          <w:szCs w:val="24"/>
        </w:rPr>
        <w:t>12</w:t>
      </w:r>
      <w:r w:rsidR="000460FA">
        <w:rPr>
          <w:rFonts w:ascii="Times New Roman" w:hAnsi="Times New Roman"/>
          <w:sz w:val="24"/>
          <w:szCs w:val="24"/>
        </w:rPr>
        <w:t>5</w:t>
      </w:r>
      <w:r w:rsidR="000460FA" w:rsidRPr="0040535D">
        <w:rPr>
          <w:rFonts w:ascii="Times New Roman" w:hAnsi="Times New Roman"/>
          <w:sz w:val="24"/>
          <w:szCs w:val="24"/>
        </w:rPr>
        <w:t xml:space="preserve"> </w:t>
      </w:r>
      <w:r w:rsidRPr="0040535D">
        <w:rPr>
          <w:rFonts w:ascii="Times New Roman" w:hAnsi="Times New Roman"/>
          <w:sz w:val="24"/>
          <w:szCs w:val="24"/>
        </w:rPr>
        <w:t xml:space="preserve">pkt </w:t>
      </w:r>
      <w:r w:rsidR="008809D9" w:rsidRPr="0040535D">
        <w:rPr>
          <w:rFonts w:ascii="Times New Roman" w:hAnsi="Times New Roman"/>
          <w:sz w:val="24"/>
          <w:szCs w:val="24"/>
        </w:rPr>
        <w:t>1</w:t>
      </w:r>
      <w:r w:rsidR="004A225B">
        <w:rPr>
          <w:rFonts w:ascii="Times New Roman" w:hAnsi="Times New Roman"/>
          <w:sz w:val="24"/>
          <w:szCs w:val="24"/>
        </w:rPr>
        <w:t>7</w:t>
      </w:r>
      <w:r w:rsidR="008809D9" w:rsidRPr="0040535D">
        <w:rPr>
          <w:rFonts w:ascii="Times New Roman" w:hAnsi="Times New Roman"/>
          <w:sz w:val="24"/>
          <w:szCs w:val="24"/>
        </w:rPr>
        <w:t xml:space="preserve"> </w:t>
      </w:r>
      <w:r w:rsidRPr="0040535D">
        <w:rPr>
          <w:rFonts w:ascii="Times New Roman" w:hAnsi="Times New Roman"/>
          <w:sz w:val="24"/>
          <w:szCs w:val="24"/>
        </w:rPr>
        <w:t xml:space="preserve">i </w:t>
      </w:r>
      <w:r w:rsidR="004A225B">
        <w:rPr>
          <w:rFonts w:ascii="Times New Roman" w:hAnsi="Times New Roman"/>
          <w:sz w:val="24"/>
          <w:szCs w:val="24"/>
        </w:rPr>
        <w:t>20</w:t>
      </w:r>
      <w:r w:rsidR="008809D9" w:rsidRPr="0040535D">
        <w:rPr>
          <w:rFonts w:ascii="Times New Roman" w:hAnsi="Times New Roman"/>
          <w:sz w:val="24"/>
          <w:szCs w:val="24"/>
        </w:rPr>
        <w:t xml:space="preserve"> </w:t>
      </w:r>
      <w:r w:rsidRPr="0040535D">
        <w:rPr>
          <w:rFonts w:ascii="Times New Roman" w:hAnsi="Times New Roman"/>
          <w:sz w:val="24"/>
          <w:szCs w:val="24"/>
        </w:rPr>
        <w:t xml:space="preserve">projektu. Aktualnie instytucje finansowe zwracają środki pochodzące z nienależnych dopłat od Państwa bezpośrednio do ministra właściwego do spraw pracy. Proponuje się, aby środki te najpierw trafiały do PFR, który będzie je zbiorczo (po zakończonym procesie przyznawania dopłat) zwracał do ministra właściwego do spraw pracy (art. 83 ust. 1 pkt 3 i art. 105 ust. 2 pkt 4 ustawy o PPK). </w:t>
      </w:r>
    </w:p>
    <w:p w14:paraId="0C01D864" w14:textId="77777777" w:rsidR="00EC377A" w:rsidRPr="0040535D" w:rsidRDefault="00EC377A"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Art. </w:t>
      </w:r>
      <w:r w:rsidR="000460FA" w:rsidRPr="0040535D">
        <w:rPr>
          <w:rFonts w:ascii="Times New Roman" w:hAnsi="Times New Roman"/>
          <w:sz w:val="24"/>
          <w:szCs w:val="24"/>
        </w:rPr>
        <w:t>12</w:t>
      </w:r>
      <w:r w:rsidR="000460FA">
        <w:rPr>
          <w:rFonts w:ascii="Times New Roman" w:hAnsi="Times New Roman"/>
          <w:sz w:val="24"/>
          <w:szCs w:val="24"/>
        </w:rPr>
        <w:t>5</w:t>
      </w:r>
      <w:r w:rsidR="000460FA" w:rsidRPr="0040535D">
        <w:rPr>
          <w:rFonts w:ascii="Times New Roman" w:hAnsi="Times New Roman"/>
          <w:sz w:val="24"/>
          <w:szCs w:val="24"/>
        </w:rPr>
        <w:t xml:space="preserve"> </w:t>
      </w:r>
      <w:r w:rsidRPr="0040535D">
        <w:rPr>
          <w:rFonts w:ascii="Times New Roman" w:hAnsi="Times New Roman"/>
          <w:sz w:val="24"/>
          <w:szCs w:val="24"/>
        </w:rPr>
        <w:t xml:space="preserve">pkt </w:t>
      </w:r>
      <w:r w:rsidR="008809D9" w:rsidRPr="0040535D">
        <w:rPr>
          <w:rFonts w:ascii="Times New Roman" w:hAnsi="Times New Roman"/>
          <w:sz w:val="24"/>
          <w:szCs w:val="24"/>
        </w:rPr>
        <w:t>1</w:t>
      </w:r>
      <w:r w:rsidR="004A225B">
        <w:rPr>
          <w:rFonts w:ascii="Times New Roman" w:hAnsi="Times New Roman"/>
          <w:sz w:val="24"/>
          <w:szCs w:val="24"/>
        </w:rPr>
        <w:t>8</w:t>
      </w:r>
      <w:r w:rsidR="008809D9" w:rsidRPr="0040535D">
        <w:rPr>
          <w:rFonts w:ascii="Times New Roman" w:hAnsi="Times New Roman"/>
          <w:sz w:val="24"/>
          <w:szCs w:val="24"/>
        </w:rPr>
        <w:t xml:space="preserve"> </w:t>
      </w:r>
      <w:r w:rsidRPr="0040535D">
        <w:rPr>
          <w:rFonts w:ascii="Times New Roman" w:hAnsi="Times New Roman"/>
          <w:sz w:val="24"/>
          <w:szCs w:val="24"/>
        </w:rPr>
        <w:t>projektu. Aktualnie w przypadku rozpoczęcia wypłat z rachunku PPK po 60. roku życia nie należy dokonywać wpłat na żaden rachunek PPK tego uczestnika. Nie ma jednak mechanizmu pozwalającego pracodawcy na uzyskanie informacji o rozpoczęciu tych wypłat.  Z tego względu proponuje się dodać przepis umożliwiający pracodawcy uzyskanie informacji o rozpoczęciu wypłaty przez uczestnika PPK po 60. roku życia (art. 97 ust. 2–3 ustawy o PPK).</w:t>
      </w:r>
    </w:p>
    <w:p w14:paraId="3DD72B53" w14:textId="77777777" w:rsidR="003F510D" w:rsidRPr="0040535D" w:rsidRDefault="003F510D" w:rsidP="009A0EE5">
      <w:pPr>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Art. </w:t>
      </w:r>
      <w:r w:rsidR="000460FA" w:rsidRPr="0040535D">
        <w:rPr>
          <w:rFonts w:ascii="Times New Roman" w:hAnsi="Times New Roman"/>
          <w:sz w:val="24"/>
          <w:szCs w:val="24"/>
        </w:rPr>
        <w:t>12</w:t>
      </w:r>
      <w:r w:rsidR="000460FA">
        <w:rPr>
          <w:rFonts w:ascii="Times New Roman" w:hAnsi="Times New Roman"/>
          <w:sz w:val="24"/>
          <w:szCs w:val="24"/>
        </w:rPr>
        <w:t>5</w:t>
      </w:r>
      <w:r w:rsidR="000460FA" w:rsidRPr="0040535D">
        <w:rPr>
          <w:rFonts w:ascii="Times New Roman" w:hAnsi="Times New Roman"/>
          <w:sz w:val="24"/>
          <w:szCs w:val="24"/>
        </w:rPr>
        <w:t xml:space="preserve"> </w:t>
      </w:r>
      <w:r w:rsidRPr="0040535D">
        <w:rPr>
          <w:rFonts w:ascii="Times New Roman" w:hAnsi="Times New Roman"/>
          <w:sz w:val="24"/>
          <w:szCs w:val="24"/>
        </w:rPr>
        <w:t xml:space="preserve">pkt </w:t>
      </w:r>
      <w:r w:rsidR="008809D9" w:rsidRPr="0040535D">
        <w:rPr>
          <w:rFonts w:ascii="Times New Roman" w:hAnsi="Times New Roman"/>
          <w:sz w:val="24"/>
          <w:szCs w:val="24"/>
        </w:rPr>
        <w:t>1</w:t>
      </w:r>
      <w:r w:rsidR="004A225B">
        <w:rPr>
          <w:rFonts w:ascii="Times New Roman" w:hAnsi="Times New Roman"/>
          <w:sz w:val="24"/>
          <w:szCs w:val="24"/>
        </w:rPr>
        <w:t>9</w:t>
      </w:r>
      <w:r w:rsidR="008809D9" w:rsidRPr="0040535D">
        <w:rPr>
          <w:rFonts w:ascii="Times New Roman" w:hAnsi="Times New Roman"/>
          <w:sz w:val="24"/>
          <w:szCs w:val="24"/>
        </w:rPr>
        <w:t xml:space="preserve"> </w:t>
      </w:r>
      <w:r w:rsidRPr="0040535D">
        <w:rPr>
          <w:rFonts w:ascii="Times New Roman" w:hAnsi="Times New Roman"/>
          <w:sz w:val="24"/>
          <w:szCs w:val="24"/>
        </w:rPr>
        <w:t>projektu. Aktualnie instytucja finansowa, przed dokonaniem wypłaty transferowej, ma obowiązek sporządzić informację dotyczącą uczestnika PPK, z którego rachunku PPK ma zostać dokonana wypłata transferowa - w formie elektronicznej pozwalającej na utrwalenie jej na trwałym nośniku. Wymóg sporządzenia informacji w formie elektronicznej stanowi utrudnienie dla instytucji finansowych, gdyż wiąże się z koniecznością podpisania tej informacji kwalifikowanym podpisem elektronicznym. Proponuje się, aby informacja ta była sporządzana w postaci elektronicznej umożliwiającej jej utrwalenie na trwałym nośniku. Taka zmiana jest spójna z pozostałym przepisami ustawy PPK, regulującymi zasady sporządzania informacji dla uczestnika PPK oraz komunikacji pomiędzy tym uczestnikiem a instytucją finansową.</w:t>
      </w:r>
      <w:r w:rsidR="007F52CD" w:rsidRPr="0040535D">
        <w:rPr>
          <w:rFonts w:ascii="Times New Roman" w:hAnsi="Times New Roman"/>
          <w:sz w:val="24"/>
          <w:szCs w:val="24"/>
        </w:rPr>
        <w:t xml:space="preserve"> Zmiana ta nie ma charakteru zmiany, która wpływałaby na zakres regulacji zawartych w wydanym na podstawie art. 104 ust. 5 rozporządzeniu Ministra Finansów z dnia 21 sierpnia 2019 r. w sprawie sporządzania i przekazywania przez wybraną instytucję finansową informacji dotyczącej uczestnika pracowniczego planu kapitałowego, z którego rachunku ma zostać dokonana wypłata transferowa (Dz.</w:t>
      </w:r>
      <w:r w:rsidR="000460FA">
        <w:rPr>
          <w:rFonts w:ascii="Times New Roman" w:hAnsi="Times New Roman"/>
          <w:sz w:val="24"/>
          <w:szCs w:val="24"/>
        </w:rPr>
        <w:t xml:space="preserve"> </w:t>
      </w:r>
      <w:r w:rsidR="007F52CD" w:rsidRPr="0040535D">
        <w:rPr>
          <w:rFonts w:ascii="Times New Roman" w:hAnsi="Times New Roman"/>
          <w:sz w:val="24"/>
          <w:szCs w:val="24"/>
        </w:rPr>
        <w:t>U. poz. 1742).</w:t>
      </w:r>
    </w:p>
    <w:p w14:paraId="02A5F56F" w14:textId="77777777" w:rsidR="006E383D" w:rsidRDefault="00723054" w:rsidP="00640A0F">
      <w:pPr>
        <w:spacing w:before="120" w:after="120" w:line="360" w:lineRule="auto"/>
        <w:jc w:val="both"/>
        <w:rPr>
          <w:rFonts w:ascii="Times New Roman" w:hAnsi="Times New Roman"/>
          <w:sz w:val="24"/>
          <w:szCs w:val="24"/>
        </w:rPr>
      </w:pPr>
      <w:r w:rsidRPr="0040535D">
        <w:rPr>
          <w:rFonts w:ascii="Times New Roman" w:hAnsi="Times New Roman"/>
          <w:sz w:val="24"/>
          <w:szCs w:val="24"/>
        </w:rPr>
        <w:lastRenderedPageBreak/>
        <w:t>Ze względu na powierzenie nowego zadania Polskiemu Funduszowi Rozwoju, konieczne jest także dokonanie niezbędnych zmian w ustawie z dnia 4 lipca 2019 r. o systemie instytucji rozwoju (Dz. U. z 2021 r. poz. 1010). Zmiany dotyczą samego powierzenia tej funkcji oraz dodania nowych upoważnień do podejmowania działań w zakresie obsługi finansowej planu rozwojowego – tak pozyskiwania finansowania, jak i dalszego przekazywania wsparcia do jego odbiorców (</w:t>
      </w:r>
      <w:r w:rsidRPr="0040535D">
        <w:rPr>
          <w:rFonts w:ascii="Times New Roman" w:hAnsi="Times New Roman"/>
          <w:b/>
          <w:sz w:val="24"/>
          <w:szCs w:val="24"/>
        </w:rPr>
        <w:t xml:space="preserve">art. </w:t>
      </w:r>
      <w:r w:rsidR="000460FA" w:rsidRPr="0040535D">
        <w:rPr>
          <w:rFonts w:ascii="Times New Roman" w:hAnsi="Times New Roman"/>
          <w:b/>
          <w:sz w:val="24"/>
          <w:szCs w:val="24"/>
        </w:rPr>
        <w:t>12</w:t>
      </w:r>
      <w:r w:rsidR="000460FA">
        <w:rPr>
          <w:rFonts w:ascii="Times New Roman" w:hAnsi="Times New Roman"/>
          <w:b/>
          <w:sz w:val="24"/>
          <w:szCs w:val="24"/>
        </w:rPr>
        <w:t>6</w:t>
      </w:r>
      <w:r w:rsidRPr="0040535D">
        <w:rPr>
          <w:rFonts w:ascii="Times New Roman" w:hAnsi="Times New Roman"/>
          <w:sz w:val="24"/>
          <w:szCs w:val="24"/>
        </w:rPr>
        <w:t xml:space="preserve">). </w:t>
      </w:r>
    </w:p>
    <w:p w14:paraId="33C5547A" w14:textId="77777777" w:rsidR="006E383D" w:rsidRPr="006E383D" w:rsidRDefault="006E383D" w:rsidP="006E383D">
      <w:pPr>
        <w:spacing w:before="120" w:after="120" w:line="360" w:lineRule="auto"/>
        <w:jc w:val="both"/>
        <w:rPr>
          <w:rFonts w:ascii="Times New Roman" w:hAnsi="Times New Roman"/>
          <w:sz w:val="24"/>
          <w:szCs w:val="24"/>
        </w:rPr>
      </w:pPr>
      <w:r w:rsidRPr="006E383D">
        <w:rPr>
          <w:rFonts w:ascii="Times New Roman" w:hAnsi="Times New Roman"/>
          <w:sz w:val="24"/>
          <w:szCs w:val="24"/>
        </w:rPr>
        <w:t xml:space="preserve">Pakiet proponowanych zmian ma umożliwić właściwą strukturyzację zarządzania aktywami powierzonymi grupie kapitałowej Polskiego Funduszu Rozwoju S.A., umożliwiając zarządzanie nimi zarówno w formie funduszy inwestycyjnych zamkniętych, jak i alternatywnych spółek inwestycyjnych w rozumieniu art. 8b ustawy o funduszach inwestycyjnych i zarządzaniu alternatywnymi funduszami inwestycyjnymi („UFI”). </w:t>
      </w:r>
    </w:p>
    <w:p w14:paraId="3446AC28" w14:textId="77777777" w:rsidR="006E383D" w:rsidRPr="006E383D" w:rsidRDefault="006E383D" w:rsidP="006E383D">
      <w:pPr>
        <w:spacing w:before="120" w:after="120" w:line="360" w:lineRule="auto"/>
        <w:jc w:val="both"/>
        <w:rPr>
          <w:rFonts w:ascii="Times New Roman" w:hAnsi="Times New Roman"/>
          <w:sz w:val="24"/>
          <w:szCs w:val="24"/>
        </w:rPr>
      </w:pPr>
      <w:r w:rsidRPr="006E383D">
        <w:rPr>
          <w:rFonts w:ascii="Times New Roman" w:hAnsi="Times New Roman"/>
          <w:sz w:val="24"/>
          <w:szCs w:val="24"/>
        </w:rPr>
        <w:t>Zmiana w art. 11 ust. 1b ma na celu umożliwienie spółkom z grupy kapitałowej PFR S.A., które są wyspecjalizowane w zarządzaniu aktywami na zlecenie, pełnienie jednocześnie funkcji zarządzającego alternatywnymi spółkami inwestycyjnymi (ZASI) i zarządzającego portfelami inwestycyjnymi.</w:t>
      </w:r>
      <w:r w:rsidR="00933A51">
        <w:rPr>
          <w:rFonts w:ascii="Times New Roman" w:hAnsi="Times New Roman"/>
          <w:sz w:val="24"/>
          <w:szCs w:val="24"/>
        </w:rPr>
        <w:t xml:space="preserve"> </w:t>
      </w:r>
      <w:r w:rsidRPr="006E383D">
        <w:rPr>
          <w:rFonts w:ascii="Times New Roman" w:hAnsi="Times New Roman"/>
          <w:sz w:val="24"/>
          <w:szCs w:val="24"/>
        </w:rPr>
        <w:t>Ustawowa możliwość prowadzenia działalności jako zarządzający alternatywnymi spółkami inwestycyjnymi nie będzie  przy tym zwalniała z uzyskania stosownych zezwoleń na prowadzenie takiej działalności lub odpowiednio wpisów do rejestru zarządzających alternatywnymi spółkami inwestycyjnymi. Połączenie tych dwóch działalności związanych z zarządzaniem powierzonymi aktywami (zarządzanie portfelami inwestycyjnymi i zarządzanie alternatywnymi spółkami inwestycyjnymi) w instytucjach rozwoju - PFR S.A. lub spółce zależnej PFR S.A., umożliwi grupie kapitałowej PFR S.A. większą elastyczność w zarządzaniu powierzonymi aktywami i dobór adekwatnego wehikułu inwestycyjnego (fundusz inwestycyjny lub alternatywna spółka inwestycyjna) do wykonywanego zadania.</w:t>
      </w:r>
    </w:p>
    <w:p w14:paraId="1647513A" w14:textId="77777777" w:rsidR="006E383D" w:rsidRPr="006E383D" w:rsidRDefault="006E383D" w:rsidP="006E383D">
      <w:pPr>
        <w:spacing w:before="120" w:after="120" w:line="360" w:lineRule="auto"/>
        <w:jc w:val="both"/>
        <w:rPr>
          <w:rFonts w:ascii="Times New Roman" w:hAnsi="Times New Roman"/>
          <w:sz w:val="24"/>
          <w:szCs w:val="24"/>
        </w:rPr>
      </w:pPr>
      <w:r w:rsidRPr="006E383D">
        <w:rPr>
          <w:rFonts w:ascii="Times New Roman" w:hAnsi="Times New Roman"/>
          <w:sz w:val="24"/>
          <w:szCs w:val="24"/>
        </w:rPr>
        <w:t xml:space="preserve">Dodanie regulacji w art. </w:t>
      </w:r>
      <w:r w:rsidR="00B04737">
        <w:rPr>
          <w:rFonts w:ascii="Times New Roman" w:hAnsi="Times New Roman"/>
          <w:sz w:val="24"/>
          <w:szCs w:val="24"/>
        </w:rPr>
        <w:t>32a</w:t>
      </w:r>
      <w:r w:rsidRPr="006E383D">
        <w:rPr>
          <w:rFonts w:ascii="Times New Roman" w:hAnsi="Times New Roman"/>
          <w:sz w:val="24"/>
          <w:szCs w:val="24"/>
        </w:rPr>
        <w:t xml:space="preserve"> ma docelowo, w zależności od decyzji inwestorów funduszy inwestycyjnych zamkniętych, zarządzanych przez PFR S.A. lub spółkę zależną, umożliwić konsolidację i restrukturyzację sposobu zarządzania aktywami w grupie PFR. Taka restrukturyzacja struktur działających na dzień wejścia w życie postulowanych zapisów może okazać się niezbędna z punktu widzenia optymalizacji kosztowych i operacyjnych funkcji zarządzania, a przede wszystkim przyczyni się do zwiększenia efektywności zarządzania środkami publicznymi, w tym w szczególności środkami z budżetu UE wnoszonymi jako wkłady finansowe do instrumentów finansowych celem realizacji programów operacyjnych. Ponieważ na gruncie ustawy o funduszach inwestycyjnych nie ma możliwości przekształcenia </w:t>
      </w:r>
      <w:r w:rsidRPr="006E383D">
        <w:rPr>
          <w:rFonts w:ascii="Times New Roman" w:hAnsi="Times New Roman"/>
          <w:sz w:val="24"/>
          <w:szCs w:val="24"/>
        </w:rPr>
        <w:lastRenderedPageBreak/>
        <w:t xml:space="preserve">jednego wehikułu inwestycyjnego regulowanego tę ustawą (fundusz inwestycyjny zamknięty) na inny wehikuł regulowany tę samą ustawą (alternatywna spółka inwestycyjna) i na odwrót, z wystąpieniem skutków sukcesji generalnej jak w przypadku przekształceń spółek handlowych na gruncie Kodeksu Spółek Handlowych, wprowadzenie takiej opcji w drodze ustawy daje możliwość przeprowadzenia restrukturyzacji na tym poziomie osiągając zakładane przez PFR S.A. efekty synergii i optymalizacji kosztowej. </w:t>
      </w:r>
    </w:p>
    <w:p w14:paraId="4903D79D" w14:textId="77777777" w:rsidR="006E383D" w:rsidRPr="006E383D" w:rsidRDefault="006E383D" w:rsidP="006E383D">
      <w:pPr>
        <w:spacing w:before="120" w:after="120" w:line="360" w:lineRule="auto"/>
        <w:jc w:val="both"/>
        <w:rPr>
          <w:rFonts w:ascii="Times New Roman" w:hAnsi="Times New Roman"/>
          <w:sz w:val="24"/>
          <w:szCs w:val="24"/>
        </w:rPr>
      </w:pPr>
      <w:r w:rsidRPr="006E383D">
        <w:rPr>
          <w:rFonts w:ascii="Times New Roman" w:hAnsi="Times New Roman"/>
          <w:sz w:val="24"/>
          <w:szCs w:val="24"/>
        </w:rPr>
        <w:t xml:space="preserve">Zmiana polegająca na dodaniu art. </w:t>
      </w:r>
      <w:r w:rsidR="00B04737">
        <w:rPr>
          <w:rFonts w:ascii="Times New Roman" w:hAnsi="Times New Roman"/>
          <w:sz w:val="24"/>
          <w:szCs w:val="24"/>
        </w:rPr>
        <w:t xml:space="preserve">32a </w:t>
      </w:r>
      <w:r w:rsidRPr="006E383D">
        <w:rPr>
          <w:rFonts w:ascii="Times New Roman" w:hAnsi="Times New Roman"/>
          <w:sz w:val="24"/>
          <w:szCs w:val="24"/>
        </w:rPr>
        <w:t xml:space="preserve">reguluje konsekwencje prawne dokonania konsolidacji i restrukturyzacji sposobu zarządzania aktywami w grupie kapitałowej PFR. Przedmiotowe regulacje są niezbędne aby przeprowadzić cały proces zgodnie z obowiązującymi regulacjami prawnymi. W tym celu należy doregulować takie aspekty jak: </w:t>
      </w:r>
    </w:p>
    <w:p w14:paraId="33738F0F" w14:textId="77777777" w:rsidR="006E383D" w:rsidRPr="006E383D" w:rsidRDefault="006E383D" w:rsidP="006E383D">
      <w:pPr>
        <w:spacing w:before="120" w:after="120" w:line="360" w:lineRule="auto"/>
        <w:jc w:val="both"/>
        <w:rPr>
          <w:rFonts w:ascii="Times New Roman" w:hAnsi="Times New Roman"/>
          <w:sz w:val="24"/>
          <w:szCs w:val="24"/>
        </w:rPr>
      </w:pPr>
      <w:r w:rsidRPr="006E383D">
        <w:rPr>
          <w:rFonts w:ascii="Times New Roman" w:hAnsi="Times New Roman"/>
          <w:sz w:val="24"/>
          <w:szCs w:val="24"/>
        </w:rPr>
        <w:t>(i)</w:t>
      </w:r>
      <w:r w:rsidRPr="006E383D">
        <w:rPr>
          <w:rFonts w:ascii="Times New Roman" w:hAnsi="Times New Roman"/>
          <w:sz w:val="24"/>
          <w:szCs w:val="24"/>
        </w:rPr>
        <w:tab/>
        <w:t>ust. 2 – poinformowanie alternatywnej spółki inwestycyjnej o podjęciu uchwały przez fundusz inwestycyjny zamknięty w przedmiocie przeniesienia aktywów</w:t>
      </w:r>
    </w:p>
    <w:p w14:paraId="7343F0F0" w14:textId="77777777" w:rsidR="006E383D" w:rsidRPr="006E383D" w:rsidRDefault="006E383D" w:rsidP="006E383D">
      <w:pPr>
        <w:spacing w:before="120" w:after="120" w:line="360" w:lineRule="auto"/>
        <w:jc w:val="both"/>
        <w:rPr>
          <w:rFonts w:ascii="Times New Roman" w:hAnsi="Times New Roman"/>
          <w:sz w:val="24"/>
          <w:szCs w:val="24"/>
        </w:rPr>
      </w:pPr>
      <w:r w:rsidRPr="006E383D">
        <w:rPr>
          <w:rFonts w:ascii="Times New Roman" w:hAnsi="Times New Roman"/>
          <w:sz w:val="24"/>
          <w:szCs w:val="24"/>
        </w:rPr>
        <w:t>(ii)</w:t>
      </w:r>
      <w:r w:rsidRPr="006E383D">
        <w:rPr>
          <w:rFonts w:ascii="Times New Roman" w:hAnsi="Times New Roman"/>
          <w:sz w:val="24"/>
          <w:szCs w:val="24"/>
        </w:rPr>
        <w:tab/>
        <w:t>ust.  3</w:t>
      </w:r>
      <w:r w:rsidRPr="00502D73">
        <w:rPr>
          <w:rFonts w:ascii="Times New Roman" w:hAnsi="Times New Roman"/>
          <w:sz w:val="24"/>
          <w:szCs w:val="24"/>
        </w:rPr>
        <w:t>-5</w:t>
      </w:r>
      <w:r w:rsidRPr="006E383D">
        <w:rPr>
          <w:rFonts w:ascii="Times New Roman" w:hAnsi="Times New Roman"/>
          <w:sz w:val="24"/>
          <w:szCs w:val="24"/>
        </w:rPr>
        <w:t xml:space="preserve"> – uregulowanie statusu wkładu, wnoszonego na pokrycie podwyższonego kapitału zakładowego alternatywnej spółki inwestycyjnej w postaci aktywów funduszu inwestycyjnego zamkniętego i wyłączenie stosowalności przepisów art. 311 – art. 312</w:t>
      </w:r>
      <w:r w:rsidRPr="00F432FD">
        <w:rPr>
          <w:rFonts w:ascii="Times New Roman" w:hAnsi="Times New Roman"/>
          <w:sz w:val="24"/>
          <w:szCs w:val="24"/>
          <w:vertAlign w:val="superscript"/>
        </w:rPr>
        <w:t>1</w:t>
      </w:r>
      <w:r w:rsidRPr="006E383D">
        <w:rPr>
          <w:rFonts w:ascii="Times New Roman" w:hAnsi="Times New Roman"/>
          <w:sz w:val="24"/>
          <w:szCs w:val="24"/>
        </w:rPr>
        <w:t xml:space="preserve"> Kodeksu spółek handlowych do czynności wniesienia wkładu ze względu na specyficzne uregulowanie tego zakresu zmienianymi przepisami Ustawy;</w:t>
      </w:r>
    </w:p>
    <w:p w14:paraId="107F13C3" w14:textId="77777777" w:rsidR="006E383D" w:rsidRPr="006E383D" w:rsidRDefault="006E383D" w:rsidP="006E383D">
      <w:pPr>
        <w:spacing w:before="120" w:after="120" w:line="360" w:lineRule="auto"/>
        <w:jc w:val="both"/>
        <w:rPr>
          <w:rFonts w:ascii="Times New Roman" w:hAnsi="Times New Roman"/>
          <w:sz w:val="24"/>
          <w:szCs w:val="24"/>
        </w:rPr>
      </w:pPr>
      <w:r w:rsidRPr="006E383D">
        <w:rPr>
          <w:rFonts w:ascii="Times New Roman" w:hAnsi="Times New Roman"/>
          <w:sz w:val="24"/>
          <w:szCs w:val="24"/>
        </w:rPr>
        <w:t>(iii)</w:t>
      </w:r>
      <w:r w:rsidRPr="006E383D">
        <w:rPr>
          <w:rFonts w:ascii="Times New Roman" w:hAnsi="Times New Roman"/>
          <w:sz w:val="24"/>
          <w:szCs w:val="24"/>
        </w:rPr>
        <w:tab/>
        <w:t>ust.  6 – uregulowanie sposobu przeniesienia aktywów w postaci osobnej umowy między TFI a zarządzającym alternatywną spółką inwestycyjną;</w:t>
      </w:r>
    </w:p>
    <w:p w14:paraId="7625DAF5" w14:textId="77777777" w:rsidR="006E383D" w:rsidRPr="006E383D" w:rsidRDefault="006E383D" w:rsidP="006E383D">
      <w:pPr>
        <w:spacing w:before="120" w:after="120" w:line="360" w:lineRule="auto"/>
        <w:jc w:val="both"/>
        <w:rPr>
          <w:rFonts w:ascii="Times New Roman" w:hAnsi="Times New Roman"/>
          <w:sz w:val="24"/>
          <w:szCs w:val="24"/>
        </w:rPr>
      </w:pPr>
      <w:r w:rsidRPr="006E383D">
        <w:rPr>
          <w:rFonts w:ascii="Times New Roman" w:hAnsi="Times New Roman"/>
          <w:sz w:val="24"/>
          <w:szCs w:val="24"/>
        </w:rPr>
        <w:t>(iv)</w:t>
      </w:r>
      <w:r w:rsidRPr="006E383D">
        <w:rPr>
          <w:rFonts w:ascii="Times New Roman" w:hAnsi="Times New Roman"/>
          <w:sz w:val="24"/>
          <w:szCs w:val="24"/>
        </w:rPr>
        <w:tab/>
        <w:t>ust. 7 – objęcie sukcesją generalną skutków przeniesienia aktywów funduszu inwestycyjnego zamkniętego do alternatywnej spółki inwestycyjnej</w:t>
      </w:r>
    </w:p>
    <w:p w14:paraId="254DCEE9" w14:textId="77777777" w:rsidR="006E383D" w:rsidRPr="006E383D" w:rsidRDefault="006E383D" w:rsidP="006E383D">
      <w:pPr>
        <w:spacing w:before="120" w:after="120" w:line="360" w:lineRule="auto"/>
        <w:jc w:val="both"/>
        <w:rPr>
          <w:rFonts w:ascii="Times New Roman" w:hAnsi="Times New Roman"/>
          <w:sz w:val="24"/>
          <w:szCs w:val="24"/>
        </w:rPr>
      </w:pPr>
      <w:r w:rsidRPr="006E383D">
        <w:rPr>
          <w:rFonts w:ascii="Times New Roman" w:hAnsi="Times New Roman"/>
          <w:sz w:val="24"/>
          <w:szCs w:val="24"/>
        </w:rPr>
        <w:t>(v)</w:t>
      </w:r>
      <w:r w:rsidRPr="006E383D">
        <w:rPr>
          <w:rFonts w:ascii="Times New Roman" w:hAnsi="Times New Roman"/>
          <w:sz w:val="24"/>
          <w:szCs w:val="24"/>
        </w:rPr>
        <w:tab/>
        <w:t xml:space="preserve">ust. 8 – ustalenie sposobu ustalenia wartości przenoszonych aktywów funduszu inwestycyjnego zamkniętego. </w:t>
      </w:r>
    </w:p>
    <w:p w14:paraId="35077552" w14:textId="77777777" w:rsidR="006E383D" w:rsidRDefault="006E383D" w:rsidP="006E383D">
      <w:pPr>
        <w:spacing w:before="120" w:after="120" w:line="360" w:lineRule="auto"/>
        <w:jc w:val="both"/>
        <w:rPr>
          <w:rFonts w:ascii="Times New Roman" w:hAnsi="Times New Roman"/>
          <w:sz w:val="24"/>
          <w:szCs w:val="24"/>
        </w:rPr>
      </w:pPr>
      <w:r w:rsidRPr="006E383D">
        <w:rPr>
          <w:rFonts w:ascii="Times New Roman" w:hAnsi="Times New Roman"/>
          <w:sz w:val="24"/>
          <w:szCs w:val="24"/>
        </w:rPr>
        <w:t xml:space="preserve">Zmiana w art. </w:t>
      </w:r>
      <w:r w:rsidR="00B04737">
        <w:rPr>
          <w:rFonts w:ascii="Times New Roman" w:hAnsi="Times New Roman"/>
          <w:sz w:val="24"/>
          <w:szCs w:val="24"/>
        </w:rPr>
        <w:t>32a</w:t>
      </w:r>
      <w:r w:rsidRPr="006E383D">
        <w:rPr>
          <w:rFonts w:ascii="Times New Roman" w:hAnsi="Times New Roman"/>
          <w:sz w:val="24"/>
          <w:szCs w:val="24"/>
        </w:rPr>
        <w:t xml:space="preserve"> ust. 9 ma zapewnić sukcesję generalną także w zakresie praw i obowiązków podatkowych funduszu inwestycyjnego zamkniętego, który nabył pierwotnie przenoszone aktywa. Jest to w szczególności istotne z punktu widzenia zobowiązania alternatywnej spółki inwestycyjnej z tytułu podatku dochodowego CIT. Przedmiotem działalności zarówno funduszu inwestycyjnego zamkniętego  jak i alternatywnej spółki inwestycyjnej jest dokonywanie inwestycji w aktywa finansowe celem ich późniejszej sprzedaży z zyskiem. Generalną zasadą jest, że jeśli pomiędzy nabyciem aktywów a ich sprzedażą zwiększy się ich wartość, podmiot zbywający jest zobowiązany do zapłaty podatku CIT od powstałej nadwyżki. </w:t>
      </w:r>
      <w:r w:rsidRPr="006E383D">
        <w:rPr>
          <w:rFonts w:ascii="Times New Roman" w:hAnsi="Times New Roman"/>
          <w:sz w:val="24"/>
          <w:szCs w:val="24"/>
        </w:rPr>
        <w:lastRenderedPageBreak/>
        <w:t xml:space="preserve">Jednocześnie, w związku z faktem, że w wyniku zastosowania procedury opisanej w art. </w:t>
      </w:r>
      <w:r w:rsidR="00B04737">
        <w:rPr>
          <w:rFonts w:ascii="Times New Roman" w:hAnsi="Times New Roman"/>
          <w:sz w:val="24"/>
          <w:szCs w:val="24"/>
        </w:rPr>
        <w:t>32a</w:t>
      </w:r>
      <w:r w:rsidRPr="006E383D">
        <w:rPr>
          <w:rFonts w:ascii="Times New Roman" w:hAnsi="Times New Roman"/>
          <w:sz w:val="24"/>
          <w:szCs w:val="24"/>
        </w:rPr>
        <w:t xml:space="preserve"> ust. 1-8 własność aktywów zostanie przeniesiona na alternatywną spółkę inwestycyjną nieodpłatnie, ich późniejsza sprzedaż w ramach realizacji polityki inwestycyjnej będzie związana z powstaniem dochodu potencjalnie podlegającemu opodatkowaniu, od wysokości całej uzyskanej ceny sprzedaży. W tym kontekście istotne jest zatem zabezpieczanie środków przeznaczonych przez uczestników, w tym Banku Gospodarstwa Krajowego na realizacje celów programów operacyjnych finansowanych z budżetu UE, przed nieuzasadnionym uszczerbkiem związanym z realizacją procesu reorganizacji.  </w:t>
      </w:r>
    </w:p>
    <w:p w14:paraId="7A2C98DC" w14:textId="77777777" w:rsidR="006E383D" w:rsidRPr="006E383D" w:rsidRDefault="006E383D" w:rsidP="006E383D">
      <w:pPr>
        <w:spacing w:before="120" w:after="120" w:line="360" w:lineRule="auto"/>
        <w:jc w:val="both"/>
        <w:rPr>
          <w:rFonts w:ascii="Times New Roman" w:hAnsi="Times New Roman"/>
          <w:sz w:val="24"/>
          <w:szCs w:val="24"/>
        </w:rPr>
      </w:pPr>
      <w:r w:rsidRPr="006E383D">
        <w:rPr>
          <w:rFonts w:ascii="Times New Roman" w:hAnsi="Times New Roman"/>
          <w:sz w:val="24"/>
          <w:szCs w:val="24"/>
        </w:rPr>
        <w:t xml:space="preserve">Dodanie regulacji w art. </w:t>
      </w:r>
      <w:r w:rsidR="00B04737">
        <w:rPr>
          <w:rFonts w:ascii="Times New Roman" w:hAnsi="Times New Roman"/>
          <w:sz w:val="24"/>
          <w:szCs w:val="24"/>
        </w:rPr>
        <w:t>32a</w:t>
      </w:r>
      <w:r w:rsidRPr="006E383D">
        <w:rPr>
          <w:rFonts w:ascii="Times New Roman" w:hAnsi="Times New Roman"/>
          <w:sz w:val="24"/>
          <w:szCs w:val="24"/>
        </w:rPr>
        <w:t xml:space="preserve">  ma docelowo umożliwić konsolidację i restrukturyzację sposobu zarządzania aktywami w grupie PFR. Po</w:t>
      </w:r>
      <w:r w:rsidR="00B04737">
        <w:rPr>
          <w:rFonts w:ascii="Times New Roman" w:hAnsi="Times New Roman"/>
          <w:sz w:val="24"/>
          <w:szCs w:val="24"/>
        </w:rPr>
        <w:t xml:space="preserve">dkreślamy, iż regulacja z art. 32a </w:t>
      </w:r>
      <w:r w:rsidRPr="006E383D">
        <w:rPr>
          <w:rFonts w:ascii="Times New Roman" w:hAnsi="Times New Roman"/>
          <w:sz w:val="24"/>
          <w:szCs w:val="24"/>
        </w:rPr>
        <w:t xml:space="preserve">ma podwójne ograniczenie: 1) dotyczyć będzie tylko FIZ-ów zarządzanych przez spółki z Grupy PFR (tj. 6 FIZ zarządzanych przez PFR </w:t>
      </w:r>
      <w:proofErr w:type="spellStart"/>
      <w:r w:rsidRPr="006E383D">
        <w:rPr>
          <w:rFonts w:ascii="Times New Roman" w:hAnsi="Times New Roman"/>
          <w:sz w:val="24"/>
          <w:szCs w:val="24"/>
        </w:rPr>
        <w:t>Ventures</w:t>
      </w:r>
      <w:proofErr w:type="spellEnd"/>
      <w:r w:rsidRPr="006E383D">
        <w:rPr>
          <w:rFonts w:ascii="Times New Roman" w:hAnsi="Times New Roman"/>
          <w:sz w:val="24"/>
          <w:szCs w:val="24"/>
        </w:rPr>
        <w:t>, 3 FIZ zarządzane przez PFR S.A. oraz 2 FIZ zarządzane przez PFR Nieruchomości), oraz 2) na skutek dyskusji podczas konferencji uzgodnieniowej zostanie ograniczona jedynie do opcji przenoszenia aktywów z tych FIZ-ów, którymi spółki z grupy PFR zarząd</w:t>
      </w:r>
      <w:r w:rsidR="001E54D8">
        <w:rPr>
          <w:rFonts w:ascii="Times New Roman" w:hAnsi="Times New Roman"/>
          <w:sz w:val="24"/>
          <w:szCs w:val="24"/>
        </w:rPr>
        <w:t xml:space="preserve">zają na moment wejścia w życie </w:t>
      </w:r>
      <w:r w:rsidR="001E54D8">
        <w:rPr>
          <w:rFonts w:ascii="Times New Roman" w:hAnsi="Times New Roman"/>
        </w:rPr>
        <w:t>ustawy o zasadach realizacji zadań finansowanych ze środków europejskich w perspektywie finansowej 2021-2027</w:t>
      </w:r>
      <w:r w:rsidRPr="006E383D">
        <w:rPr>
          <w:rFonts w:ascii="Times New Roman" w:hAnsi="Times New Roman"/>
          <w:sz w:val="24"/>
          <w:szCs w:val="24"/>
        </w:rPr>
        <w:t xml:space="preserve"> (czyli maksymalnie 11 FIZ) – zatem jest ograniczenie zarówno podmiotowe jak i czasowe. </w:t>
      </w:r>
    </w:p>
    <w:p w14:paraId="1BF13A78" w14:textId="77777777" w:rsidR="006E383D" w:rsidRPr="006E383D" w:rsidRDefault="006E383D" w:rsidP="006E383D">
      <w:pPr>
        <w:spacing w:before="120" w:after="120" w:line="360" w:lineRule="auto"/>
        <w:jc w:val="both"/>
        <w:rPr>
          <w:rFonts w:ascii="Times New Roman" w:hAnsi="Times New Roman"/>
          <w:sz w:val="24"/>
          <w:szCs w:val="24"/>
        </w:rPr>
      </w:pPr>
      <w:r w:rsidRPr="006E383D">
        <w:rPr>
          <w:rFonts w:ascii="Times New Roman" w:hAnsi="Times New Roman"/>
          <w:sz w:val="24"/>
          <w:szCs w:val="24"/>
        </w:rPr>
        <w:t xml:space="preserve">Taka restrukturyzacja w grupie PFR może okazać się niezbędna z punktu widzenia optymalizacji kosztowych i operacyjnych funkcji zarządzania. W szczególności, opcja takiego przekształcenia będzie miała znaczenie dla PFR </w:t>
      </w:r>
      <w:proofErr w:type="spellStart"/>
      <w:r w:rsidRPr="006E383D">
        <w:rPr>
          <w:rFonts w:ascii="Times New Roman" w:hAnsi="Times New Roman"/>
          <w:sz w:val="24"/>
          <w:szCs w:val="24"/>
        </w:rPr>
        <w:t>Ventures</w:t>
      </w:r>
      <w:proofErr w:type="spellEnd"/>
      <w:r w:rsidRPr="006E383D">
        <w:rPr>
          <w:rFonts w:ascii="Times New Roman" w:hAnsi="Times New Roman"/>
          <w:sz w:val="24"/>
          <w:szCs w:val="24"/>
        </w:rPr>
        <w:t xml:space="preserve">, który zarządza 5 funduszami inwestycyjnymi zamkniętymi za pośrednictwem których następuje wdrożenie instrumentów finansowych w ramach programu operacyjnego POIR a zmiana FIZ na ASI  przyczyni się w istotny sposób do zwiększenia efektywności zarządzania środkami publicznymi zarówno dla obecnego programu operacyjnego POIR, jak i dla programu operacyjnego z nowej perspektywy finansowej.  Fundusze Inwestycyjne Zamknięte stanowią stosunkowo drogą oraz mało elastyczną strukturę dla kapitałowych instrumentów finansowych, ponieważ są to struktury szczególnie chronione w sposób regulacyjny ze względu na potrzebę ochrony klientów detalicznych. Tym samym, ilość ograniczeń inwestycyjnych i nadzorczych jest trudna do pogodzenia z dokonywaniem inwestycji typu venture </w:t>
      </w:r>
      <w:proofErr w:type="spellStart"/>
      <w:r w:rsidRPr="006E383D">
        <w:rPr>
          <w:rFonts w:ascii="Times New Roman" w:hAnsi="Times New Roman"/>
          <w:sz w:val="24"/>
          <w:szCs w:val="24"/>
        </w:rPr>
        <w:t>capital</w:t>
      </w:r>
      <w:proofErr w:type="spellEnd"/>
      <w:r w:rsidRPr="006E383D">
        <w:rPr>
          <w:rFonts w:ascii="Times New Roman" w:hAnsi="Times New Roman"/>
          <w:sz w:val="24"/>
          <w:szCs w:val="24"/>
        </w:rPr>
        <w:t xml:space="preserve"> z wykorzystaniem instrumentów finansowych, do których dodatkowo stosuje się reżim prawny UE. Jednocześnie możliwe jest zarządzanie tymi aktywami w alternatywnej formule ASI, która niesie za sobą znacznie niższe koszty oraz jest znacznie bardziej elastyczna, stanowi zatem bardziej efektywny sposób </w:t>
      </w:r>
      <w:r w:rsidRPr="006E383D">
        <w:rPr>
          <w:rFonts w:ascii="Times New Roman" w:hAnsi="Times New Roman"/>
          <w:sz w:val="24"/>
          <w:szCs w:val="24"/>
        </w:rPr>
        <w:lastRenderedPageBreak/>
        <w:t xml:space="preserve">zarządzania środkami UE i wdrażania instrumentów finansowych. Należy wskazać, że dla każdego portfela FIZ takie przekształcenie może zostać dokonane tylko jednorazowo, zatem liczba przekształceń które zostaną objęte projektowanymi przepisami jest bardzo ograniczona (w szczególności biorąc pod uwagę wprowadzone doprecyzowanie wskazujące, że dotyczyć może wyłącznie FIZ, którymi podmioty z Grupy PFR zarządzają na dzień wejścia w życie ustawy). </w:t>
      </w:r>
    </w:p>
    <w:p w14:paraId="105CBB87" w14:textId="77777777" w:rsidR="006E383D" w:rsidRDefault="006E383D" w:rsidP="006E383D">
      <w:pPr>
        <w:spacing w:before="120" w:after="120" w:line="360" w:lineRule="auto"/>
        <w:jc w:val="both"/>
        <w:rPr>
          <w:rFonts w:ascii="Times New Roman" w:hAnsi="Times New Roman"/>
          <w:sz w:val="24"/>
          <w:szCs w:val="24"/>
        </w:rPr>
      </w:pPr>
      <w:r w:rsidRPr="006E383D">
        <w:rPr>
          <w:rFonts w:ascii="Times New Roman" w:hAnsi="Times New Roman"/>
          <w:sz w:val="24"/>
          <w:szCs w:val="24"/>
        </w:rPr>
        <w:t>Przedmiotem działalności zarówno FIZ jak i Asi jest dokonywanie inwestycji w aktywa finansowe. W efekcie przeniesienia portfela aktywów funduszy inwestycyjnych, których portfelem na dzień wejścia w życie ustawy zarządzają podmioty z grupy PFR, alternatywna spółka inwestycyjne wejdzie w posiadanie puli aktywów finansowych (np. papierów wartościowych lub udziałów w spółkach), celem kontynuacji działalności biznesowej FIZ-u. W związku z faktem, że proces inwestycyjny zostanie zakończony zbyciem przeniesionych do ASI aktywów i powstaniem po stronie tego wehikułu inwestycyjnego przychodu potencjalnie stanowiącego zdarzenie podatkowe z punktu widzenia ustawy o podatku dochodowym od osób prawnych, istotne jest zabezpieczanie, aby ASI zbywająca te aktywa miała możliwość rozliczenia na potrzeby podatku CIT – kosztów nabycia tych aktywów, poniesionych przez FIZ. Jednocześnie wobec braku zastosowania do działalności inwestycyjnej alternatywnych funduszy inwestycyjnych przepisów dot. podatku od czynności cywilnoprawnych oraz przepisów dot. podatku od towarów i usług, postulowana zmiana nie rodzi dodatkowych konsekwencji podatkowych.</w:t>
      </w:r>
    </w:p>
    <w:p w14:paraId="5092EAC8" w14:textId="77777777" w:rsidR="006E383D" w:rsidRPr="006E383D" w:rsidRDefault="006E383D" w:rsidP="006E383D">
      <w:pPr>
        <w:spacing w:before="120" w:after="120" w:line="360" w:lineRule="auto"/>
        <w:jc w:val="both"/>
        <w:rPr>
          <w:rFonts w:ascii="Times New Roman" w:hAnsi="Times New Roman"/>
          <w:sz w:val="24"/>
          <w:szCs w:val="24"/>
        </w:rPr>
      </w:pPr>
    </w:p>
    <w:p w14:paraId="2F45D219" w14:textId="77777777" w:rsidR="006E383D" w:rsidRPr="006E383D" w:rsidRDefault="006E383D" w:rsidP="006E383D">
      <w:pPr>
        <w:spacing w:before="120" w:after="120" w:line="360" w:lineRule="auto"/>
        <w:jc w:val="both"/>
        <w:rPr>
          <w:rFonts w:ascii="Times New Roman" w:hAnsi="Times New Roman"/>
          <w:sz w:val="24"/>
          <w:szCs w:val="24"/>
        </w:rPr>
      </w:pPr>
      <w:r w:rsidRPr="006E383D">
        <w:rPr>
          <w:rFonts w:ascii="Times New Roman" w:hAnsi="Times New Roman"/>
          <w:sz w:val="24"/>
          <w:szCs w:val="24"/>
        </w:rPr>
        <w:t xml:space="preserve">Zmiana w art. 34 podyktowana jest koniecznością zakwalifikowania prawnego portfela inwestycji przejętych przez spółkę zależną PFR S.A. (tj. PFR </w:t>
      </w:r>
      <w:proofErr w:type="spellStart"/>
      <w:r w:rsidRPr="006E383D">
        <w:rPr>
          <w:rFonts w:ascii="Times New Roman" w:hAnsi="Times New Roman"/>
          <w:sz w:val="24"/>
          <w:szCs w:val="24"/>
        </w:rPr>
        <w:t>Ventures</w:t>
      </w:r>
      <w:proofErr w:type="spellEnd"/>
      <w:r w:rsidRPr="006E383D">
        <w:rPr>
          <w:rFonts w:ascii="Times New Roman" w:hAnsi="Times New Roman"/>
          <w:sz w:val="24"/>
          <w:szCs w:val="24"/>
        </w:rPr>
        <w:t xml:space="preserve"> Sp. z o.o.) w wyniku realizacji ustawowego obowiązku nałożonego art. 33 USIR – połączenia Krajowego Funduszu Kapitałowego Spółka Akcyjna i PFR </w:t>
      </w:r>
      <w:proofErr w:type="spellStart"/>
      <w:r w:rsidRPr="006E383D">
        <w:rPr>
          <w:rFonts w:ascii="Times New Roman" w:hAnsi="Times New Roman"/>
          <w:sz w:val="24"/>
          <w:szCs w:val="24"/>
        </w:rPr>
        <w:t>Ventures</w:t>
      </w:r>
      <w:proofErr w:type="spellEnd"/>
      <w:r w:rsidRPr="006E383D">
        <w:rPr>
          <w:rFonts w:ascii="Times New Roman" w:hAnsi="Times New Roman"/>
          <w:sz w:val="24"/>
          <w:szCs w:val="24"/>
        </w:rPr>
        <w:t xml:space="preserve"> Sp. z o.o. przez przeniesienie całego majątku Krajowego Funduszu Kapitałowego Spółki Akcyjnej na PFR </w:t>
      </w:r>
      <w:proofErr w:type="spellStart"/>
      <w:r w:rsidRPr="006E383D">
        <w:rPr>
          <w:rFonts w:ascii="Times New Roman" w:hAnsi="Times New Roman"/>
          <w:sz w:val="24"/>
          <w:szCs w:val="24"/>
        </w:rPr>
        <w:t>Ventures</w:t>
      </w:r>
      <w:proofErr w:type="spellEnd"/>
      <w:r w:rsidRPr="006E383D">
        <w:rPr>
          <w:rFonts w:ascii="Times New Roman" w:hAnsi="Times New Roman"/>
          <w:sz w:val="24"/>
          <w:szCs w:val="24"/>
        </w:rPr>
        <w:t xml:space="preserve"> Sp. z o.o. i doprecyzowania statusu prawnego działalności PFR </w:t>
      </w:r>
      <w:proofErr w:type="spellStart"/>
      <w:r w:rsidRPr="006E383D">
        <w:rPr>
          <w:rFonts w:ascii="Times New Roman" w:hAnsi="Times New Roman"/>
          <w:sz w:val="24"/>
          <w:szCs w:val="24"/>
        </w:rPr>
        <w:t>Ventures</w:t>
      </w:r>
      <w:proofErr w:type="spellEnd"/>
      <w:r w:rsidRPr="006E383D">
        <w:rPr>
          <w:rFonts w:ascii="Times New Roman" w:hAnsi="Times New Roman"/>
          <w:sz w:val="24"/>
          <w:szCs w:val="24"/>
        </w:rPr>
        <w:t xml:space="preserve"> Sp. z o.o. związanej z zakończeniem działań Krajowego Funduszu Kapitałowego S.A.</w:t>
      </w:r>
    </w:p>
    <w:p w14:paraId="2499E1F3" w14:textId="77777777" w:rsidR="006E383D" w:rsidRPr="006E383D" w:rsidRDefault="006E383D" w:rsidP="006E383D">
      <w:pPr>
        <w:spacing w:before="120" w:after="120" w:line="360" w:lineRule="auto"/>
        <w:jc w:val="both"/>
        <w:rPr>
          <w:rFonts w:ascii="Times New Roman" w:hAnsi="Times New Roman"/>
          <w:sz w:val="24"/>
          <w:szCs w:val="24"/>
        </w:rPr>
      </w:pPr>
      <w:r w:rsidRPr="006E383D">
        <w:rPr>
          <w:rFonts w:ascii="Times New Roman" w:hAnsi="Times New Roman"/>
          <w:sz w:val="24"/>
          <w:szCs w:val="24"/>
        </w:rPr>
        <w:t xml:space="preserve">Spółka PFR </w:t>
      </w:r>
      <w:proofErr w:type="spellStart"/>
      <w:r w:rsidRPr="006E383D">
        <w:rPr>
          <w:rFonts w:ascii="Times New Roman" w:hAnsi="Times New Roman"/>
          <w:sz w:val="24"/>
          <w:szCs w:val="24"/>
        </w:rPr>
        <w:t>Ventures</w:t>
      </w:r>
      <w:proofErr w:type="spellEnd"/>
      <w:r w:rsidRPr="006E383D">
        <w:rPr>
          <w:rFonts w:ascii="Times New Roman" w:hAnsi="Times New Roman"/>
          <w:sz w:val="24"/>
          <w:szCs w:val="24"/>
        </w:rPr>
        <w:t xml:space="preserve"> Sp. z o.o. jest podmiotem wyspecjalizowanym w zarządzaniu aktywami powierzonymi przez inwestorów celem dokonywania inwestycji kapitałowych o charakterze </w:t>
      </w:r>
      <w:proofErr w:type="spellStart"/>
      <w:r w:rsidRPr="006E383D">
        <w:rPr>
          <w:rFonts w:ascii="Times New Roman" w:hAnsi="Times New Roman"/>
          <w:sz w:val="24"/>
          <w:szCs w:val="24"/>
        </w:rPr>
        <w:t>Private</w:t>
      </w:r>
      <w:proofErr w:type="spellEnd"/>
      <w:r w:rsidRPr="006E383D">
        <w:rPr>
          <w:rFonts w:ascii="Times New Roman" w:hAnsi="Times New Roman"/>
          <w:sz w:val="24"/>
          <w:szCs w:val="24"/>
        </w:rPr>
        <w:t xml:space="preserve"> Equity/Venture Capital w przedsiębiorców, częściowo współuczestnicząc w tym zakresie w realizacji rządowych programów operacyjnych wspierających dostęp </w:t>
      </w:r>
      <w:r w:rsidRPr="006E383D">
        <w:rPr>
          <w:rFonts w:ascii="Times New Roman" w:hAnsi="Times New Roman"/>
          <w:sz w:val="24"/>
          <w:szCs w:val="24"/>
        </w:rPr>
        <w:lastRenderedPageBreak/>
        <w:t xml:space="preserve">przedsiębiorców do kapitału. Takim działaniem jest także działalność  związana z zarządzanie portfelem inwestycyjnym Krajowego Funduszu Kapitałowego S.A., przejętym przez PFR </w:t>
      </w:r>
      <w:proofErr w:type="spellStart"/>
      <w:r w:rsidRPr="006E383D">
        <w:rPr>
          <w:rFonts w:ascii="Times New Roman" w:hAnsi="Times New Roman"/>
          <w:sz w:val="24"/>
          <w:szCs w:val="24"/>
        </w:rPr>
        <w:t>Ventures</w:t>
      </w:r>
      <w:proofErr w:type="spellEnd"/>
      <w:r w:rsidRPr="006E383D">
        <w:rPr>
          <w:rFonts w:ascii="Times New Roman" w:hAnsi="Times New Roman"/>
          <w:sz w:val="24"/>
          <w:szCs w:val="24"/>
        </w:rPr>
        <w:t xml:space="preserve"> Sp. z o.o. w zarządzanie w wykonaniu ww. obowiązku ustawowego.  </w:t>
      </w:r>
    </w:p>
    <w:p w14:paraId="3E7DEB16" w14:textId="77777777" w:rsidR="006E383D" w:rsidRPr="006E383D" w:rsidRDefault="006E383D" w:rsidP="006E383D">
      <w:pPr>
        <w:spacing w:before="120" w:after="120" w:line="360" w:lineRule="auto"/>
        <w:jc w:val="both"/>
        <w:rPr>
          <w:rFonts w:ascii="Times New Roman" w:hAnsi="Times New Roman"/>
          <w:sz w:val="24"/>
          <w:szCs w:val="24"/>
        </w:rPr>
      </w:pPr>
      <w:r w:rsidRPr="006E383D">
        <w:rPr>
          <w:rFonts w:ascii="Times New Roman" w:hAnsi="Times New Roman"/>
          <w:sz w:val="24"/>
          <w:szCs w:val="24"/>
        </w:rPr>
        <w:t xml:space="preserve">Portfel inwestycji Krajowego Funduszu Kapitałowego S.A. ma specyficzny charakter związany z realizacją przez Krajowy Fundusz Kapitałowy zadań wynikających z ustawy o krajowym funduszu kapitałowym, polegających na wspieraniu polityki gospodarczej Rady Ministrów w zakresie stymulowania rozwoju gospodarczego państwa opartego na innowacyjności oraz konkurencyjności gospodarki poprzez udzielania przez Krajowy Fundusz Kapitałowy S.A. wsparcia finansowego przedsiębiorcom za pośrednictwem funduszy kapitałowych. Środki na inwestycje Krajowego Funduszu Kapitałowego S.A. w fundusze kapitałowe pochodziły z budżetu państwa, przekazanych dotacją celową lub rozwojową, za które Krajowy Fundusz Kapitałowy S.A. obejmował udziały, akcje lub inne prawa udziałowe funduszy kapitałowych z obowiązkiem zwrotu środków uzyskanych z takich inwestycji do budżetu państwa.  W efekcie, Krajowy Fundusz Kapitałowy S.A., a obecnie PFR </w:t>
      </w:r>
      <w:proofErr w:type="spellStart"/>
      <w:r w:rsidRPr="006E383D">
        <w:rPr>
          <w:rFonts w:ascii="Times New Roman" w:hAnsi="Times New Roman"/>
          <w:sz w:val="24"/>
          <w:szCs w:val="24"/>
        </w:rPr>
        <w:t>Ventures</w:t>
      </w:r>
      <w:proofErr w:type="spellEnd"/>
      <w:r w:rsidRPr="006E383D">
        <w:rPr>
          <w:rFonts w:ascii="Times New Roman" w:hAnsi="Times New Roman"/>
          <w:sz w:val="24"/>
          <w:szCs w:val="24"/>
        </w:rPr>
        <w:t xml:space="preserve"> Sp. z o.o. jest prawnym właścicielem udziałów, akcji i innych praw udziałowych funduszy kapitałowych, ale od strony ekonomicznej PFR </w:t>
      </w:r>
      <w:proofErr w:type="spellStart"/>
      <w:r w:rsidRPr="006E383D">
        <w:rPr>
          <w:rFonts w:ascii="Times New Roman" w:hAnsi="Times New Roman"/>
          <w:sz w:val="24"/>
          <w:szCs w:val="24"/>
        </w:rPr>
        <w:t>Ventures</w:t>
      </w:r>
      <w:proofErr w:type="spellEnd"/>
      <w:r w:rsidRPr="006E383D">
        <w:rPr>
          <w:rFonts w:ascii="Times New Roman" w:hAnsi="Times New Roman"/>
          <w:sz w:val="24"/>
          <w:szCs w:val="24"/>
        </w:rPr>
        <w:t xml:space="preserve"> Sp. z o.o. tylko zarządza tymi inwestycjami w oparciu o ustawowe upoważnienie – wszystkie przychody z tych inwestycji zostaną bowiem wypłacone do budżetu Państwa. Ponadto, mimo prawnego ujęcia PFR </w:t>
      </w:r>
      <w:proofErr w:type="spellStart"/>
      <w:r w:rsidRPr="006E383D">
        <w:rPr>
          <w:rFonts w:ascii="Times New Roman" w:hAnsi="Times New Roman"/>
          <w:sz w:val="24"/>
          <w:szCs w:val="24"/>
        </w:rPr>
        <w:t>Ventures</w:t>
      </w:r>
      <w:proofErr w:type="spellEnd"/>
      <w:r w:rsidRPr="006E383D">
        <w:rPr>
          <w:rFonts w:ascii="Times New Roman" w:hAnsi="Times New Roman"/>
          <w:sz w:val="24"/>
          <w:szCs w:val="24"/>
        </w:rPr>
        <w:t xml:space="preserve"> jako właściciela przedmiotu lokat portfela inwestycji Krajowego Funduszu Kapitałowego S.A., wynik realizowany na tych inwestycjach nie wpływa na wynik finansowy PFR </w:t>
      </w:r>
      <w:proofErr w:type="spellStart"/>
      <w:r w:rsidRPr="006E383D">
        <w:rPr>
          <w:rFonts w:ascii="Times New Roman" w:hAnsi="Times New Roman"/>
          <w:sz w:val="24"/>
          <w:szCs w:val="24"/>
        </w:rPr>
        <w:t>Ventures</w:t>
      </w:r>
      <w:proofErr w:type="spellEnd"/>
      <w:r w:rsidRPr="006E383D">
        <w:rPr>
          <w:rFonts w:ascii="Times New Roman" w:hAnsi="Times New Roman"/>
          <w:sz w:val="24"/>
          <w:szCs w:val="24"/>
        </w:rPr>
        <w:t xml:space="preserve"> (inwestycje stanowią aktywa pozabilansowe w sprawozdaniu finansowym PFR </w:t>
      </w:r>
      <w:proofErr w:type="spellStart"/>
      <w:r w:rsidRPr="006E383D">
        <w:rPr>
          <w:rFonts w:ascii="Times New Roman" w:hAnsi="Times New Roman"/>
          <w:sz w:val="24"/>
          <w:szCs w:val="24"/>
        </w:rPr>
        <w:t>Ventures</w:t>
      </w:r>
      <w:proofErr w:type="spellEnd"/>
      <w:r w:rsidRPr="006E383D">
        <w:rPr>
          <w:rFonts w:ascii="Times New Roman" w:hAnsi="Times New Roman"/>
          <w:sz w:val="24"/>
          <w:szCs w:val="24"/>
        </w:rPr>
        <w:t xml:space="preserve">). Wobec powyższego przedmiotowe aktywa stanowią wyłącznie elementy portfela inwestycyjnego zarządzanego na rzecz Skarbu Państwa na mocy ustawowego upoważnienia udzielonego na rzecz PFR </w:t>
      </w:r>
      <w:proofErr w:type="spellStart"/>
      <w:r w:rsidRPr="006E383D">
        <w:rPr>
          <w:rFonts w:ascii="Times New Roman" w:hAnsi="Times New Roman"/>
          <w:sz w:val="24"/>
          <w:szCs w:val="24"/>
        </w:rPr>
        <w:t>Ventures</w:t>
      </w:r>
      <w:proofErr w:type="spellEnd"/>
      <w:r w:rsidRPr="006E383D">
        <w:rPr>
          <w:rFonts w:ascii="Times New Roman" w:hAnsi="Times New Roman"/>
          <w:sz w:val="24"/>
          <w:szCs w:val="24"/>
        </w:rPr>
        <w:t xml:space="preserve"> Sp. z o.o. jako spółce zależnej PFR S.A.. </w:t>
      </w:r>
    </w:p>
    <w:p w14:paraId="7FB09397" w14:textId="77777777" w:rsidR="006E383D" w:rsidRPr="006E383D" w:rsidRDefault="006E383D" w:rsidP="006E383D">
      <w:pPr>
        <w:spacing w:before="120" w:after="120" w:line="360" w:lineRule="auto"/>
        <w:jc w:val="both"/>
        <w:rPr>
          <w:rFonts w:ascii="Times New Roman" w:hAnsi="Times New Roman"/>
          <w:sz w:val="24"/>
          <w:szCs w:val="24"/>
        </w:rPr>
      </w:pPr>
      <w:r w:rsidRPr="006E383D">
        <w:rPr>
          <w:rFonts w:ascii="Times New Roman" w:hAnsi="Times New Roman"/>
          <w:sz w:val="24"/>
          <w:szCs w:val="24"/>
        </w:rPr>
        <w:t xml:space="preserve">Oznacza to, że władztwo PFR </w:t>
      </w:r>
      <w:proofErr w:type="spellStart"/>
      <w:r w:rsidRPr="006E383D">
        <w:rPr>
          <w:rFonts w:ascii="Times New Roman" w:hAnsi="Times New Roman"/>
          <w:sz w:val="24"/>
          <w:szCs w:val="24"/>
        </w:rPr>
        <w:t>Ventures</w:t>
      </w:r>
      <w:proofErr w:type="spellEnd"/>
      <w:r w:rsidRPr="006E383D">
        <w:rPr>
          <w:rFonts w:ascii="Times New Roman" w:hAnsi="Times New Roman"/>
          <w:sz w:val="24"/>
          <w:szCs w:val="24"/>
        </w:rPr>
        <w:t xml:space="preserve"> Sp. z o.o. nad inwestycjami Krajowego Funduszu Kapitałowego S.A. w fundusze kapitałowe można zaklasyfikować jako zlecenie </w:t>
      </w:r>
      <w:proofErr w:type="spellStart"/>
      <w:r w:rsidRPr="006E383D">
        <w:rPr>
          <w:rFonts w:ascii="Times New Roman" w:hAnsi="Times New Roman"/>
          <w:sz w:val="24"/>
          <w:szCs w:val="24"/>
        </w:rPr>
        <w:t>fiducjarne</w:t>
      </w:r>
      <w:proofErr w:type="spellEnd"/>
      <w:r w:rsidRPr="006E383D">
        <w:rPr>
          <w:rFonts w:ascii="Times New Roman" w:hAnsi="Times New Roman"/>
          <w:sz w:val="24"/>
          <w:szCs w:val="24"/>
        </w:rPr>
        <w:t xml:space="preserve"> / powiernictwo. Nie ulega przy tym wątpliwości, że całokształt inwestycji bezpośrednich Krajowego Funduszu Kapitałowego S.A. może być określony jako portfel inwestycyjny, nawet biorąc pod uwagę, że obecnym celem jest zamknięcie tych inwestycji. Jednocześnie, biorąc pod uwagę, że zarządzanie portfelem inwestycyjnym Krajowego Funduszu Kapitałowego jest realizowane przez PFR </w:t>
      </w:r>
      <w:proofErr w:type="spellStart"/>
      <w:r w:rsidRPr="006E383D">
        <w:rPr>
          <w:rFonts w:ascii="Times New Roman" w:hAnsi="Times New Roman"/>
          <w:sz w:val="24"/>
          <w:szCs w:val="24"/>
        </w:rPr>
        <w:t>Ventures</w:t>
      </w:r>
      <w:proofErr w:type="spellEnd"/>
      <w:r w:rsidRPr="006E383D">
        <w:rPr>
          <w:rFonts w:ascii="Times New Roman" w:hAnsi="Times New Roman"/>
          <w:sz w:val="24"/>
          <w:szCs w:val="24"/>
        </w:rPr>
        <w:t xml:space="preserve"> w oparciu o umocowanie ustawowe, przepisy ustawy z dnia 29 lipca 2005 r. o obrocie instrumentami finansowymi nie powinny mieć zastosowania. </w:t>
      </w:r>
    </w:p>
    <w:p w14:paraId="341AF793" w14:textId="77777777" w:rsidR="006E383D" w:rsidRPr="006E383D" w:rsidRDefault="006E383D" w:rsidP="006E383D">
      <w:pPr>
        <w:spacing w:before="120" w:after="120" w:line="360" w:lineRule="auto"/>
        <w:jc w:val="both"/>
        <w:rPr>
          <w:rFonts w:ascii="Times New Roman" w:hAnsi="Times New Roman"/>
          <w:sz w:val="24"/>
          <w:szCs w:val="24"/>
        </w:rPr>
      </w:pPr>
      <w:r w:rsidRPr="006E383D">
        <w:rPr>
          <w:rFonts w:ascii="Times New Roman" w:hAnsi="Times New Roman"/>
          <w:sz w:val="24"/>
          <w:szCs w:val="24"/>
        </w:rPr>
        <w:lastRenderedPageBreak/>
        <w:t xml:space="preserve">AIFMD nie ogranicza przy tym zarządzania portfelem inwestycyjnym do rozumienia wynikającego z </w:t>
      </w:r>
      <w:proofErr w:type="spellStart"/>
      <w:r w:rsidRPr="006E383D">
        <w:rPr>
          <w:rFonts w:ascii="Times New Roman" w:hAnsi="Times New Roman"/>
          <w:sz w:val="24"/>
          <w:szCs w:val="24"/>
        </w:rPr>
        <w:t>MiFID</w:t>
      </w:r>
      <w:proofErr w:type="spellEnd"/>
      <w:r w:rsidRPr="006E383D">
        <w:rPr>
          <w:rFonts w:ascii="Times New Roman" w:hAnsi="Times New Roman"/>
          <w:sz w:val="24"/>
          <w:szCs w:val="24"/>
        </w:rPr>
        <w:t xml:space="preserve">, w konsekwencji należy przez to rozumieć wszelkie formy zarządzania portfelem o charakterze inwestycyjnym. Nie ma wątpliwości, że zarządzanie portfelem inwestycyjnym funduszu inwestycyjnego zamkniętego, na zlecenie towarzystwa funduszy inwestycyjnych jak i opisanymi powyżej aktywami przejętymi w wyniku połączenia z Krajowym Funduszem Kapitałowym (ze względu na specyficzny charakter tego portfela inwestycyjnego) będzie tego typu działalnością. Oznacza to, że proponowana zmiana ustawy o SIR mieści się w ramach upoważnienia zawartego w AIFMD. </w:t>
      </w:r>
    </w:p>
    <w:p w14:paraId="099895A7" w14:textId="77777777" w:rsidR="00723054" w:rsidRPr="0040535D" w:rsidRDefault="006E383D" w:rsidP="009A0EE5">
      <w:pPr>
        <w:spacing w:before="120" w:after="120" w:line="360" w:lineRule="auto"/>
        <w:jc w:val="both"/>
        <w:rPr>
          <w:rFonts w:ascii="Times New Roman" w:hAnsi="Times New Roman"/>
          <w:sz w:val="24"/>
          <w:szCs w:val="24"/>
        </w:rPr>
      </w:pPr>
      <w:r w:rsidRPr="006E383D">
        <w:rPr>
          <w:rFonts w:ascii="Times New Roman" w:hAnsi="Times New Roman"/>
          <w:sz w:val="24"/>
          <w:szCs w:val="24"/>
        </w:rPr>
        <w:t xml:space="preserve">Ze względu na funkcję i rolę, jaką odgrywa PFR </w:t>
      </w:r>
      <w:proofErr w:type="spellStart"/>
      <w:r w:rsidRPr="006E383D">
        <w:rPr>
          <w:rFonts w:ascii="Times New Roman" w:hAnsi="Times New Roman"/>
          <w:sz w:val="24"/>
          <w:szCs w:val="24"/>
        </w:rPr>
        <w:t>Ventures</w:t>
      </w:r>
      <w:proofErr w:type="spellEnd"/>
      <w:r w:rsidRPr="006E383D">
        <w:rPr>
          <w:rFonts w:ascii="Times New Roman" w:hAnsi="Times New Roman"/>
          <w:sz w:val="24"/>
          <w:szCs w:val="24"/>
        </w:rPr>
        <w:t xml:space="preserve"> Sp. z o.o. jako m. in. zarządzający funduszami funduszy dedykowanymi do wdrażania rządowych programów operacyjnych wspierających dostęp przedsiębiorców do kapitału, i tym samym różnorodność portfeli inwestycyjnych zarządzanych obecnie lub w przyszłości przez PFR </w:t>
      </w:r>
      <w:proofErr w:type="spellStart"/>
      <w:r w:rsidRPr="006E383D">
        <w:rPr>
          <w:rFonts w:ascii="Times New Roman" w:hAnsi="Times New Roman"/>
          <w:sz w:val="24"/>
          <w:szCs w:val="24"/>
        </w:rPr>
        <w:t>Ventures</w:t>
      </w:r>
      <w:proofErr w:type="spellEnd"/>
      <w:r w:rsidRPr="006E383D">
        <w:rPr>
          <w:rFonts w:ascii="Times New Roman" w:hAnsi="Times New Roman"/>
          <w:sz w:val="24"/>
          <w:szCs w:val="24"/>
        </w:rPr>
        <w:t xml:space="preserve"> Sp. z o.o., </w:t>
      </w:r>
      <w:r w:rsidR="003937D9">
        <w:rPr>
          <w:rFonts w:ascii="Times New Roman" w:hAnsi="Times New Roman"/>
          <w:sz w:val="24"/>
          <w:szCs w:val="24"/>
        </w:rPr>
        <w:t xml:space="preserve">Projektodawca </w:t>
      </w:r>
      <w:r w:rsidR="003937D9" w:rsidRPr="006E383D">
        <w:rPr>
          <w:rFonts w:ascii="Times New Roman" w:hAnsi="Times New Roman"/>
          <w:sz w:val="24"/>
          <w:szCs w:val="24"/>
        </w:rPr>
        <w:t xml:space="preserve"> </w:t>
      </w:r>
      <w:r w:rsidRPr="006E383D">
        <w:rPr>
          <w:rFonts w:ascii="Times New Roman" w:hAnsi="Times New Roman"/>
          <w:sz w:val="24"/>
          <w:szCs w:val="24"/>
        </w:rPr>
        <w:t xml:space="preserve">widzi potrzebę doprecyzowania w art. 34 ust. 1, w uzupełnieniu do regulacji wprowadzonej w art. 11 ust. 1b, rodzaje aktywów, którymi może jednocześnie zarządzać PFR </w:t>
      </w:r>
      <w:proofErr w:type="spellStart"/>
      <w:r w:rsidRPr="006E383D">
        <w:rPr>
          <w:rFonts w:ascii="Times New Roman" w:hAnsi="Times New Roman"/>
          <w:sz w:val="24"/>
          <w:szCs w:val="24"/>
        </w:rPr>
        <w:t>Ventures</w:t>
      </w:r>
      <w:proofErr w:type="spellEnd"/>
      <w:r w:rsidRPr="006E383D">
        <w:rPr>
          <w:rFonts w:ascii="Times New Roman" w:hAnsi="Times New Roman"/>
          <w:sz w:val="24"/>
          <w:szCs w:val="24"/>
        </w:rPr>
        <w:t xml:space="preserve"> Sp. z o.o., dokonując tym samym konsolidacji w ramach PFR </w:t>
      </w:r>
      <w:proofErr w:type="spellStart"/>
      <w:r w:rsidRPr="006E383D">
        <w:rPr>
          <w:rFonts w:ascii="Times New Roman" w:hAnsi="Times New Roman"/>
          <w:sz w:val="24"/>
          <w:szCs w:val="24"/>
        </w:rPr>
        <w:t>Ventures</w:t>
      </w:r>
      <w:proofErr w:type="spellEnd"/>
      <w:r w:rsidRPr="006E383D">
        <w:rPr>
          <w:rFonts w:ascii="Times New Roman" w:hAnsi="Times New Roman"/>
          <w:sz w:val="24"/>
          <w:szCs w:val="24"/>
        </w:rPr>
        <w:t xml:space="preserve"> Sp. z o.o. uprawnień i kompetencji do zarządzania aktywami powierzonymi w zarządzanie (funduszy inwestycyjnych zamkniętych, alternatywnych spółek inwestycyjnych, Krajowego Funduszu Kapitałowego S.A.) w oparciu o jednolite rozwiązanie. Celem jest stworzenie jednego, profesjonalnego i wyspecjalizowanego podmiotu realizującego inwestycje w ramach klas aktywów typu venture </w:t>
      </w:r>
      <w:proofErr w:type="spellStart"/>
      <w:r w:rsidRPr="006E383D">
        <w:rPr>
          <w:rFonts w:ascii="Times New Roman" w:hAnsi="Times New Roman"/>
          <w:sz w:val="24"/>
          <w:szCs w:val="24"/>
        </w:rPr>
        <w:t>capital</w:t>
      </w:r>
      <w:proofErr w:type="spellEnd"/>
      <w:r w:rsidRPr="006E383D">
        <w:rPr>
          <w:rFonts w:ascii="Times New Roman" w:hAnsi="Times New Roman"/>
          <w:sz w:val="24"/>
          <w:szCs w:val="24"/>
        </w:rPr>
        <w:t xml:space="preserve"> i </w:t>
      </w:r>
      <w:proofErr w:type="spellStart"/>
      <w:r w:rsidRPr="006E383D">
        <w:rPr>
          <w:rFonts w:ascii="Times New Roman" w:hAnsi="Times New Roman"/>
          <w:sz w:val="24"/>
          <w:szCs w:val="24"/>
        </w:rPr>
        <w:t>private</w:t>
      </w:r>
      <w:proofErr w:type="spellEnd"/>
      <w:r w:rsidRPr="006E383D">
        <w:rPr>
          <w:rFonts w:ascii="Times New Roman" w:hAnsi="Times New Roman"/>
          <w:sz w:val="24"/>
          <w:szCs w:val="24"/>
        </w:rPr>
        <w:t xml:space="preserve"> equity w ramach grupy kapitałowej PFR, którego działalność będzie prowadzona przy wykorzystaniu alternatywnych spółek inwestycyjnych, funduszy inwestycyjnych zamkniętych lub innego rodzaju portfeli inwestycyjnych.</w:t>
      </w:r>
    </w:p>
    <w:p w14:paraId="3DB1D394" w14:textId="77777777" w:rsidR="00555DC0" w:rsidRPr="0040535D" w:rsidRDefault="00555DC0" w:rsidP="009A0EE5">
      <w:pPr>
        <w:spacing w:after="0" w:line="360" w:lineRule="auto"/>
        <w:jc w:val="both"/>
        <w:rPr>
          <w:rFonts w:ascii="Times New Roman" w:hAnsi="Times New Roman"/>
          <w:sz w:val="24"/>
          <w:szCs w:val="24"/>
        </w:rPr>
      </w:pPr>
      <w:r w:rsidRPr="0040535D">
        <w:rPr>
          <w:rFonts w:ascii="Times New Roman" w:hAnsi="Times New Roman"/>
          <w:b/>
          <w:sz w:val="24"/>
          <w:szCs w:val="24"/>
        </w:rPr>
        <w:t xml:space="preserve">Art. </w:t>
      </w:r>
      <w:r w:rsidR="000460FA" w:rsidRPr="0040535D">
        <w:rPr>
          <w:rFonts w:ascii="Times New Roman" w:hAnsi="Times New Roman"/>
          <w:b/>
          <w:sz w:val="24"/>
          <w:szCs w:val="24"/>
        </w:rPr>
        <w:t>12</w:t>
      </w:r>
      <w:r w:rsidR="000460FA">
        <w:rPr>
          <w:rFonts w:ascii="Times New Roman" w:hAnsi="Times New Roman"/>
          <w:b/>
          <w:sz w:val="24"/>
          <w:szCs w:val="24"/>
        </w:rPr>
        <w:t>7</w:t>
      </w:r>
      <w:r w:rsidR="000460FA" w:rsidRPr="0040535D">
        <w:rPr>
          <w:rFonts w:ascii="Times New Roman" w:hAnsi="Times New Roman"/>
          <w:sz w:val="24"/>
          <w:szCs w:val="24"/>
        </w:rPr>
        <w:t xml:space="preserve"> </w:t>
      </w:r>
      <w:r w:rsidRPr="0040535D">
        <w:rPr>
          <w:rFonts w:ascii="Times New Roman" w:hAnsi="Times New Roman"/>
          <w:sz w:val="24"/>
          <w:szCs w:val="24"/>
        </w:rPr>
        <w:t xml:space="preserve">pkt 2 ustawy dodaje w art. 36 ustawy z dnia 19 lipca 2019 r. o zapewnieniu dostępności osobom ze szczególnymi potrzebami </w:t>
      </w:r>
      <w:r w:rsidR="00394F94" w:rsidRPr="0040535D">
        <w:rPr>
          <w:rFonts w:ascii="Times New Roman" w:hAnsi="Times New Roman"/>
          <w:sz w:val="24"/>
          <w:szCs w:val="24"/>
        </w:rPr>
        <w:t xml:space="preserve">(Dz. U. z 2020 r. poz. 1062) </w:t>
      </w:r>
      <w:r w:rsidRPr="0040535D">
        <w:rPr>
          <w:rFonts w:ascii="Times New Roman" w:hAnsi="Times New Roman"/>
          <w:sz w:val="24"/>
          <w:szCs w:val="24"/>
        </w:rPr>
        <w:t xml:space="preserve">pkt 7a, zgodnie z którym Fundusz Dostępności, który jest państwowym funduszem celowym, w rozumieniu przepisów </w:t>
      </w:r>
      <w:proofErr w:type="spellStart"/>
      <w:r w:rsidR="00DD083B" w:rsidRPr="0040535D">
        <w:rPr>
          <w:rFonts w:ascii="Times New Roman" w:hAnsi="Times New Roman"/>
          <w:sz w:val="24"/>
          <w:szCs w:val="24"/>
        </w:rPr>
        <w:t>ufp</w:t>
      </w:r>
      <w:proofErr w:type="spellEnd"/>
      <w:r w:rsidRPr="0040535D">
        <w:rPr>
          <w:rFonts w:ascii="Times New Roman" w:hAnsi="Times New Roman"/>
          <w:sz w:val="24"/>
          <w:szCs w:val="24"/>
        </w:rPr>
        <w:t xml:space="preserve"> będzie mógł być zasilany ze środków </w:t>
      </w:r>
      <w:r w:rsidR="001125A6" w:rsidRPr="0040535D">
        <w:rPr>
          <w:rFonts w:ascii="Times New Roman" w:hAnsi="Times New Roman"/>
          <w:sz w:val="24"/>
          <w:szCs w:val="24"/>
        </w:rPr>
        <w:t>przeznaczonych na realizację programów finansowanych z udziałem środków europejskich</w:t>
      </w:r>
      <w:r w:rsidRPr="0040535D">
        <w:rPr>
          <w:rFonts w:ascii="Times New Roman" w:hAnsi="Times New Roman"/>
          <w:sz w:val="24"/>
          <w:szCs w:val="24"/>
        </w:rPr>
        <w:t xml:space="preserve">. Wprowadzenie tej zmiany jest konieczne w związku z planowanym finansowaniem ze środków </w:t>
      </w:r>
      <w:r w:rsidR="001125A6" w:rsidRPr="0040535D">
        <w:rPr>
          <w:rFonts w:ascii="Times New Roman" w:hAnsi="Times New Roman"/>
          <w:sz w:val="24"/>
          <w:szCs w:val="24"/>
        </w:rPr>
        <w:t>EFS+</w:t>
      </w:r>
      <w:r w:rsidRPr="0040535D">
        <w:rPr>
          <w:rFonts w:ascii="Times New Roman" w:hAnsi="Times New Roman"/>
          <w:sz w:val="24"/>
          <w:szCs w:val="24"/>
        </w:rPr>
        <w:t xml:space="preserve"> inwestycji dotyczących zapewnienia dostępności.</w:t>
      </w:r>
    </w:p>
    <w:p w14:paraId="6A0E992C" w14:textId="77777777" w:rsidR="00E87785" w:rsidRPr="0040535D" w:rsidRDefault="0020555E" w:rsidP="009A0EE5">
      <w:pPr>
        <w:spacing w:after="0" w:line="360" w:lineRule="auto"/>
        <w:jc w:val="both"/>
        <w:rPr>
          <w:rFonts w:ascii="Times New Roman" w:hAnsi="Times New Roman"/>
          <w:sz w:val="24"/>
          <w:szCs w:val="24"/>
        </w:rPr>
      </w:pPr>
      <w:r w:rsidRPr="00F432FD">
        <w:rPr>
          <w:rFonts w:ascii="Times New Roman" w:hAnsi="Times New Roman"/>
          <w:b/>
          <w:sz w:val="24"/>
          <w:szCs w:val="24"/>
        </w:rPr>
        <w:t xml:space="preserve">Art. </w:t>
      </w:r>
      <w:r w:rsidR="00613F8B" w:rsidRPr="00F432FD">
        <w:rPr>
          <w:rFonts w:ascii="Times New Roman" w:hAnsi="Times New Roman"/>
          <w:b/>
          <w:sz w:val="24"/>
          <w:szCs w:val="24"/>
        </w:rPr>
        <w:t>1</w:t>
      </w:r>
      <w:r w:rsidR="00613F8B">
        <w:rPr>
          <w:rFonts w:ascii="Times New Roman" w:hAnsi="Times New Roman"/>
          <w:b/>
          <w:sz w:val="24"/>
          <w:szCs w:val="24"/>
        </w:rPr>
        <w:t>28</w:t>
      </w:r>
      <w:r w:rsidR="00613F8B" w:rsidRPr="0040535D">
        <w:rPr>
          <w:rFonts w:ascii="Times New Roman" w:hAnsi="Times New Roman"/>
          <w:sz w:val="24"/>
          <w:szCs w:val="24"/>
        </w:rPr>
        <w:t xml:space="preserve"> </w:t>
      </w:r>
      <w:r w:rsidR="004E4C46" w:rsidRPr="0040535D">
        <w:rPr>
          <w:rFonts w:ascii="Times New Roman" w:hAnsi="Times New Roman"/>
          <w:sz w:val="24"/>
          <w:szCs w:val="24"/>
        </w:rPr>
        <w:t>w</w:t>
      </w:r>
      <w:r w:rsidR="00E87785" w:rsidRPr="0040535D">
        <w:rPr>
          <w:rFonts w:ascii="Times New Roman" w:hAnsi="Times New Roman"/>
          <w:sz w:val="24"/>
          <w:szCs w:val="24"/>
        </w:rPr>
        <w:t xml:space="preserve">prowadza zmiany do ustawy z dnia </w:t>
      </w:r>
      <w:r w:rsidR="004E4C46" w:rsidRPr="0040535D">
        <w:rPr>
          <w:rFonts w:ascii="Times New Roman" w:hAnsi="Times New Roman"/>
          <w:sz w:val="24"/>
          <w:szCs w:val="24"/>
        </w:rPr>
        <w:t>11 września 2019 r. Prawo zamówień publicznych (Dz. U. z 2021 r. poz. 1129</w:t>
      </w:r>
      <w:r w:rsidR="00613F8B">
        <w:rPr>
          <w:rFonts w:ascii="Times New Roman" w:hAnsi="Times New Roman"/>
          <w:sz w:val="24"/>
          <w:szCs w:val="24"/>
        </w:rPr>
        <w:t xml:space="preserve">z </w:t>
      </w:r>
      <w:proofErr w:type="spellStart"/>
      <w:r w:rsidR="00613F8B">
        <w:rPr>
          <w:rFonts w:ascii="Times New Roman" w:hAnsi="Times New Roman"/>
          <w:sz w:val="24"/>
          <w:szCs w:val="24"/>
        </w:rPr>
        <w:t>późn</w:t>
      </w:r>
      <w:proofErr w:type="spellEnd"/>
      <w:r w:rsidR="00613F8B">
        <w:rPr>
          <w:rFonts w:ascii="Times New Roman" w:hAnsi="Times New Roman"/>
          <w:sz w:val="24"/>
          <w:szCs w:val="24"/>
        </w:rPr>
        <w:t>. zm.</w:t>
      </w:r>
      <w:r w:rsidR="004E4C46" w:rsidRPr="0040535D">
        <w:rPr>
          <w:rFonts w:ascii="Times New Roman" w:hAnsi="Times New Roman"/>
          <w:sz w:val="24"/>
          <w:szCs w:val="24"/>
        </w:rPr>
        <w:t xml:space="preserve">). </w:t>
      </w:r>
      <w:r w:rsidR="00E87785" w:rsidRPr="0040535D">
        <w:rPr>
          <w:rFonts w:ascii="Times New Roman" w:hAnsi="Times New Roman"/>
          <w:sz w:val="24"/>
          <w:szCs w:val="24"/>
        </w:rPr>
        <w:t>Poprawka ma charakter porządkujący i ma na celu zapewnienie spójności z prawem UE.</w:t>
      </w:r>
    </w:p>
    <w:p w14:paraId="4D1726F8" w14:textId="77777777" w:rsidR="00E87785" w:rsidRPr="0040535D" w:rsidRDefault="00E87785" w:rsidP="009A0EE5">
      <w:pPr>
        <w:spacing w:after="0" w:line="360" w:lineRule="auto"/>
        <w:jc w:val="both"/>
        <w:rPr>
          <w:rFonts w:ascii="Times New Roman" w:hAnsi="Times New Roman"/>
          <w:sz w:val="24"/>
          <w:szCs w:val="24"/>
        </w:rPr>
      </w:pPr>
      <w:r w:rsidRPr="0040535D">
        <w:rPr>
          <w:rFonts w:ascii="Times New Roman" w:hAnsi="Times New Roman"/>
          <w:sz w:val="24"/>
          <w:szCs w:val="24"/>
        </w:rPr>
        <w:lastRenderedPageBreak/>
        <w:t>W przepisach działu XI, rozdziału 1 (art. 596 – art. 602) ustawy z dnia 11 września 2019 r. Prawo zamówień publicznych (</w:t>
      </w:r>
      <w:proofErr w:type="spellStart"/>
      <w:r w:rsidRPr="0040535D">
        <w:rPr>
          <w:rFonts w:ascii="Times New Roman" w:hAnsi="Times New Roman"/>
          <w:sz w:val="24"/>
          <w:szCs w:val="24"/>
        </w:rPr>
        <w:t>uPzp</w:t>
      </w:r>
      <w:proofErr w:type="spellEnd"/>
      <w:r w:rsidRPr="0040535D">
        <w:rPr>
          <w:rFonts w:ascii="Times New Roman" w:hAnsi="Times New Roman"/>
          <w:sz w:val="24"/>
          <w:szCs w:val="24"/>
        </w:rPr>
        <w:t>) ustawodawca zamieścił przepisy określające system organów kontroli zamówień publicznych oraz przepisy materialne normujące prawa i obowiązki tych organów oraz kontrolowanych zamawiających.</w:t>
      </w:r>
    </w:p>
    <w:p w14:paraId="0C3EC6D9" w14:textId="77777777" w:rsidR="00E87785" w:rsidRPr="0040535D" w:rsidRDefault="00E87785"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Wśród organów kontroli zamówień publicznych, w treści przepisu art. 596 ust. 1 pkt  4 </w:t>
      </w:r>
      <w:proofErr w:type="spellStart"/>
      <w:r w:rsidRPr="0040535D">
        <w:rPr>
          <w:rFonts w:ascii="Times New Roman" w:hAnsi="Times New Roman"/>
          <w:sz w:val="24"/>
          <w:szCs w:val="24"/>
        </w:rPr>
        <w:t>uPzp</w:t>
      </w:r>
      <w:proofErr w:type="spellEnd"/>
      <w:r w:rsidRPr="0040535D">
        <w:rPr>
          <w:rFonts w:ascii="Times New Roman" w:hAnsi="Times New Roman"/>
          <w:sz w:val="24"/>
          <w:szCs w:val="24"/>
        </w:rPr>
        <w:t>, została wymieniona instytucja audytowa (IA), o której mowa  w art. 123 ust. 4 rozporządzenia Parlamentu Europejskiego i Rady (UE) nr 1303/2013.</w:t>
      </w:r>
    </w:p>
    <w:p w14:paraId="5F5F22A2" w14:textId="77777777" w:rsidR="00E87785" w:rsidRPr="0040535D" w:rsidRDefault="00E87785"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Instytucja audytowa prowadzi audyt prawidłowości gospodarowania środkami pochodzącymi z UE a nie kontrolę zamówień publicznych, w rozumieniu </w:t>
      </w:r>
      <w:proofErr w:type="spellStart"/>
      <w:r w:rsidR="00933A51">
        <w:rPr>
          <w:rFonts w:ascii="Times New Roman" w:hAnsi="Times New Roman"/>
          <w:sz w:val="24"/>
          <w:szCs w:val="24"/>
        </w:rPr>
        <w:t>u</w:t>
      </w:r>
      <w:r w:rsidRPr="0040535D">
        <w:rPr>
          <w:rFonts w:ascii="Times New Roman" w:hAnsi="Times New Roman"/>
          <w:sz w:val="24"/>
          <w:szCs w:val="24"/>
        </w:rPr>
        <w:t>Pzp</w:t>
      </w:r>
      <w:proofErr w:type="spellEnd"/>
      <w:r w:rsidRPr="0040535D">
        <w:rPr>
          <w:rFonts w:ascii="Times New Roman" w:hAnsi="Times New Roman"/>
          <w:sz w:val="24"/>
          <w:szCs w:val="24"/>
        </w:rPr>
        <w:t>. Na gruncie krajowego porządku prawnego instytucję audytową wskazano w przepisie art. 13 ustawy z dnia 11 lipca 2014 r. o zasadach realizacji programów w zakresie polityki spójności w perspektywie finansowej 2014-2020 oraz w obecnym projekcie ustawy dla perspektywy finansowej 2021-2027. Jej rolę pełni Szef Krajowej Administracji Skarbowej. Zadania instytucji audytowej określone zostały m.in. w przepisach art. 127 wskazanego rozporządzenia (UE) nr 1303/2013 oraz w projekcie rozporządzenia UE dla nowej perspektywy finansowej. Instytucja audytowa zapewnia prowadzenie audytu prawidłowego funkcjonowania systemu zarządzania i kontroli programu operacyjnego, na podstawie stosownej próby operacji w oparciu o zadeklarowane wydatki. Wydatki te są poddawane audytowi na podstawie reprezentatywnej próby i co do zasady z wykorzystaniem statystycznych metod doboru próby. Wszelkie prace wykonywane przy prowadzeniu  audytów środków  unijnych,  realizowane są z uwzględnieniem międzynarodowych standardów audytu. Metodologia (np. analizy ryzyka, testy, dobór próby, dobór zakresu podmiotowego i  przedmiotowego) wynikają z wieloletniej praktyki i procedur ukształtowanych na gruncie przepisów i wytycznych KE.</w:t>
      </w:r>
    </w:p>
    <w:p w14:paraId="5FC09CB5" w14:textId="77777777" w:rsidR="00E87785" w:rsidRPr="0040535D" w:rsidRDefault="00E87785"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IA działa w zgodzie z międzynarodowo przyjętymi standardami audytu przy czym celowościowo realizuje podobne założenia, jakie zdają się stać za zapisami </w:t>
      </w:r>
      <w:proofErr w:type="spellStart"/>
      <w:r w:rsidRPr="0040535D">
        <w:rPr>
          <w:rFonts w:ascii="Times New Roman" w:hAnsi="Times New Roman"/>
          <w:sz w:val="24"/>
          <w:szCs w:val="24"/>
        </w:rPr>
        <w:t>uPzp</w:t>
      </w:r>
      <w:proofErr w:type="spellEnd"/>
      <w:r w:rsidRPr="0040535D">
        <w:rPr>
          <w:rFonts w:ascii="Times New Roman" w:hAnsi="Times New Roman"/>
          <w:sz w:val="24"/>
          <w:szCs w:val="24"/>
        </w:rPr>
        <w:t>, np. udostępnia wyniki swoich prac audytowanym i  prowadzi procedurę kontradyktoryjną. Ponadto, wzory dokumentów audytowych (sprawozdanie, opinia, protokół) są określone w przepisach UE i/lub krajowych. Z przeprowadzonych prac audytowych,  corocznie, instytucja audytowa sporządza i przesyła do KE:</w:t>
      </w:r>
    </w:p>
    <w:p w14:paraId="7B48AF41" w14:textId="77777777" w:rsidR="00E87785" w:rsidRPr="0040535D" w:rsidRDefault="00E87785" w:rsidP="009A0EE5">
      <w:pPr>
        <w:spacing w:after="0" w:line="360" w:lineRule="auto"/>
        <w:jc w:val="both"/>
        <w:rPr>
          <w:rFonts w:ascii="Times New Roman" w:hAnsi="Times New Roman"/>
          <w:sz w:val="24"/>
          <w:szCs w:val="24"/>
        </w:rPr>
      </w:pPr>
      <w:r w:rsidRPr="0040535D">
        <w:rPr>
          <w:rFonts w:ascii="Times New Roman" w:hAnsi="Times New Roman"/>
          <w:sz w:val="24"/>
          <w:szCs w:val="24"/>
        </w:rPr>
        <w:t>- opinię audytową;</w:t>
      </w:r>
    </w:p>
    <w:p w14:paraId="2E785935" w14:textId="77777777" w:rsidR="00E87785" w:rsidRPr="0040535D" w:rsidRDefault="00E87785" w:rsidP="009A0EE5">
      <w:pPr>
        <w:spacing w:after="0" w:line="360" w:lineRule="auto"/>
        <w:jc w:val="both"/>
        <w:rPr>
          <w:rFonts w:ascii="Times New Roman" w:hAnsi="Times New Roman"/>
          <w:sz w:val="24"/>
          <w:szCs w:val="24"/>
        </w:rPr>
      </w:pPr>
      <w:r w:rsidRPr="0040535D">
        <w:rPr>
          <w:rFonts w:ascii="Times New Roman" w:hAnsi="Times New Roman"/>
          <w:sz w:val="24"/>
          <w:szCs w:val="24"/>
        </w:rPr>
        <w:t>- sprawozdanie, przedstawiające główne wyniki audytów, w tym ustalenia dotyczące defektów stwierdzonych w systemach zarządzania i kontroli oraz proponowane i wdrożone działania naprawcze.</w:t>
      </w:r>
    </w:p>
    <w:p w14:paraId="5A032530" w14:textId="77777777" w:rsidR="00E87785" w:rsidRPr="0040535D" w:rsidRDefault="00E87785" w:rsidP="009A0EE5">
      <w:pPr>
        <w:spacing w:after="0" w:line="360" w:lineRule="auto"/>
        <w:jc w:val="both"/>
        <w:rPr>
          <w:rFonts w:ascii="Times New Roman" w:hAnsi="Times New Roman"/>
          <w:sz w:val="24"/>
          <w:szCs w:val="24"/>
        </w:rPr>
      </w:pPr>
      <w:r w:rsidRPr="0040535D">
        <w:rPr>
          <w:rFonts w:ascii="Times New Roman" w:hAnsi="Times New Roman"/>
          <w:sz w:val="24"/>
          <w:szCs w:val="24"/>
        </w:rPr>
        <w:lastRenderedPageBreak/>
        <w:t xml:space="preserve">Przepisy prawne (unijne i krajowe) nie przewidują, aby instytucja audytowa mogła wytworzyć inne dokumenty, które byłyby formalnym udokumentowaniem jakichkolwiek innych działań, których charakter lub cel można uznać za kontrolę zamówień publicznych. IA nie wydaje również wyniku kontroli w rozumieniu </w:t>
      </w:r>
      <w:proofErr w:type="spellStart"/>
      <w:r w:rsidR="00933A51">
        <w:rPr>
          <w:rFonts w:ascii="Times New Roman" w:hAnsi="Times New Roman"/>
          <w:sz w:val="24"/>
          <w:szCs w:val="24"/>
        </w:rPr>
        <w:t>u</w:t>
      </w:r>
      <w:r w:rsidR="00933A51" w:rsidRPr="0040535D">
        <w:rPr>
          <w:rFonts w:ascii="Times New Roman" w:hAnsi="Times New Roman"/>
          <w:sz w:val="24"/>
          <w:szCs w:val="24"/>
        </w:rPr>
        <w:t>P</w:t>
      </w:r>
      <w:r w:rsidR="00933A51">
        <w:rPr>
          <w:rFonts w:ascii="Times New Roman" w:hAnsi="Times New Roman"/>
          <w:sz w:val="24"/>
          <w:szCs w:val="24"/>
        </w:rPr>
        <w:t>zp</w:t>
      </w:r>
      <w:proofErr w:type="spellEnd"/>
      <w:r w:rsidRPr="0040535D">
        <w:rPr>
          <w:rFonts w:ascii="Times New Roman" w:hAnsi="Times New Roman"/>
          <w:sz w:val="24"/>
          <w:szCs w:val="24"/>
        </w:rPr>
        <w:t>.</w:t>
      </w:r>
    </w:p>
    <w:p w14:paraId="45B68199" w14:textId="77777777" w:rsidR="00E87785" w:rsidRPr="0040535D" w:rsidRDefault="00E87785" w:rsidP="009A0EE5">
      <w:pPr>
        <w:spacing w:after="0" w:line="360" w:lineRule="auto"/>
        <w:jc w:val="both"/>
        <w:rPr>
          <w:rFonts w:ascii="Times New Roman" w:hAnsi="Times New Roman"/>
          <w:sz w:val="24"/>
          <w:szCs w:val="24"/>
        </w:rPr>
      </w:pPr>
      <w:r w:rsidRPr="0040535D">
        <w:rPr>
          <w:rFonts w:ascii="Times New Roman" w:hAnsi="Times New Roman"/>
          <w:sz w:val="24"/>
          <w:szCs w:val="24"/>
        </w:rPr>
        <w:t>Nie jest dopuszczalne zatem zrównanie funkcji i zadań instytucji audytowej z funkcją organu kontroli zamówień publicznych.</w:t>
      </w:r>
    </w:p>
    <w:p w14:paraId="05969849" w14:textId="77777777" w:rsidR="00E87785" w:rsidRPr="0040535D" w:rsidRDefault="00E87785"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Należy odróżnić tryb prowadzonego postępowania przez instytucję audytową czyli audyt od kontroli, której cel i zakres nie jest tożsamy. Audyt jest połączeniem wielu czynności materialno-technicznych – w tym m.in. badania zamówień publicznych jeżeli wystąpią – i jest prowadzony przez instytucję audytową  w celu uzyskania racjonalnego zapewnienia, że system zarządzania i kontroli funkcjonuje skutecznie, zapobiega błędom i nieprawidłowościom, wykrywa je i koryguje, a środki finansowe z UE wydatkowane są zgodnie z obowiązującym prawem i celami, na które zostały przeznczone. Natomiast kontrola skupia się wyłącznie na sprawdzeniu zgodności postępowania o udzielenie zamówienia z przepisami </w:t>
      </w:r>
      <w:proofErr w:type="spellStart"/>
      <w:r w:rsidR="00933A51">
        <w:rPr>
          <w:rFonts w:ascii="Times New Roman" w:hAnsi="Times New Roman"/>
          <w:sz w:val="24"/>
          <w:szCs w:val="24"/>
        </w:rPr>
        <w:t>u</w:t>
      </w:r>
      <w:r w:rsidRPr="0040535D">
        <w:rPr>
          <w:rFonts w:ascii="Times New Roman" w:hAnsi="Times New Roman"/>
          <w:sz w:val="24"/>
          <w:szCs w:val="24"/>
        </w:rPr>
        <w:t>Pzp</w:t>
      </w:r>
      <w:proofErr w:type="spellEnd"/>
      <w:r w:rsidRPr="0040535D">
        <w:rPr>
          <w:rFonts w:ascii="Times New Roman" w:hAnsi="Times New Roman"/>
          <w:sz w:val="24"/>
          <w:szCs w:val="24"/>
        </w:rPr>
        <w:t xml:space="preserve"> i jej celem jest wyłącznie porównanie stanu faktycznego u zamawiającego z takim, jaki powinien był zaistnieć zgodnie z przepisami ustawy.</w:t>
      </w:r>
    </w:p>
    <w:p w14:paraId="7D5CE9DB" w14:textId="77777777" w:rsidR="00E87785" w:rsidRPr="0040535D" w:rsidRDefault="00E87785"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Obecne zapisy </w:t>
      </w:r>
      <w:proofErr w:type="spellStart"/>
      <w:r w:rsidR="00933A51">
        <w:rPr>
          <w:rFonts w:ascii="Times New Roman" w:hAnsi="Times New Roman"/>
          <w:sz w:val="24"/>
          <w:szCs w:val="24"/>
        </w:rPr>
        <w:t>u</w:t>
      </w:r>
      <w:r w:rsidR="00933A51" w:rsidRPr="0040535D">
        <w:rPr>
          <w:rFonts w:ascii="Times New Roman" w:hAnsi="Times New Roman"/>
          <w:sz w:val="24"/>
          <w:szCs w:val="24"/>
        </w:rPr>
        <w:t>P</w:t>
      </w:r>
      <w:r w:rsidR="00933A51">
        <w:rPr>
          <w:rFonts w:ascii="Times New Roman" w:hAnsi="Times New Roman"/>
          <w:sz w:val="24"/>
          <w:szCs w:val="24"/>
        </w:rPr>
        <w:t>zp</w:t>
      </w:r>
      <w:proofErr w:type="spellEnd"/>
      <w:r w:rsidR="00933A51" w:rsidRPr="0040535D">
        <w:rPr>
          <w:rFonts w:ascii="Times New Roman" w:hAnsi="Times New Roman"/>
          <w:sz w:val="24"/>
          <w:szCs w:val="24"/>
        </w:rPr>
        <w:t xml:space="preserve"> </w:t>
      </w:r>
      <w:r w:rsidRPr="0040535D">
        <w:rPr>
          <w:rFonts w:ascii="Times New Roman" w:hAnsi="Times New Roman"/>
          <w:sz w:val="24"/>
          <w:szCs w:val="24"/>
        </w:rPr>
        <w:t>zrównały powyższe odrębne od siebie tryby postępowania, co jest niezasadne. Instytucja audytowa pełni rolę niezależnego audytora i przysługuje jej walor niezależności funkcjonalnej od pozostałych instytucji systemu zarządzania i kontroli.</w:t>
      </w:r>
    </w:p>
    <w:p w14:paraId="70845F61" w14:textId="77777777" w:rsidR="00555DC0" w:rsidRDefault="00E87785" w:rsidP="009A0EE5">
      <w:pPr>
        <w:spacing w:after="0" w:line="360" w:lineRule="auto"/>
        <w:jc w:val="both"/>
        <w:rPr>
          <w:rFonts w:ascii="Times New Roman" w:hAnsi="Times New Roman"/>
          <w:sz w:val="24"/>
          <w:szCs w:val="24"/>
        </w:rPr>
      </w:pPr>
      <w:r w:rsidRPr="0040535D">
        <w:rPr>
          <w:rFonts w:ascii="Times New Roman" w:hAnsi="Times New Roman"/>
          <w:sz w:val="24"/>
          <w:szCs w:val="24"/>
        </w:rPr>
        <w:t xml:space="preserve">Wobec powyższego należy zmienić obecne przepisy </w:t>
      </w:r>
      <w:proofErr w:type="spellStart"/>
      <w:r w:rsidR="00933A51">
        <w:rPr>
          <w:rFonts w:ascii="Times New Roman" w:hAnsi="Times New Roman"/>
          <w:sz w:val="24"/>
          <w:szCs w:val="24"/>
        </w:rPr>
        <w:t>u</w:t>
      </w:r>
      <w:r w:rsidR="00933A51" w:rsidRPr="0040535D">
        <w:rPr>
          <w:rFonts w:ascii="Times New Roman" w:hAnsi="Times New Roman"/>
          <w:sz w:val="24"/>
          <w:szCs w:val="24"/>
        </w:rPr>
        <w:t>P</w:t>
      </w:r>
      <w:r w:rsidR="00933A51">
        <w:rPr>
          <w:rFonts w:ascii="Times New Roman" w:hAnsi="Times New Roman"/>
          <w:sz w:val="24"/>
          <w:szCs w:val="24"/>
        </w:rPr>
        <w:t>zp</w:t>
      </w:r>
      <w:proofErr w:type="spellEnd"/>
      <w:r w:rsidR="00933A51" w:rsidRPr="0040535D">
        <w:rPr>
          <w:rFonts w:ascii="Times New Roman" w:hAnsi="Times New Roman"/>
          <w:sz w:val="24"/>
          <w:szCs w:val="24"/>
        </w:rPr>
        <w:t xml:space="preserve"> </w:t>
      </w:r>
      <w:r w:rsidRPr="0040535D">
        <w:rPr>
          <w:rFonts w:ascii="Times New Roman" w:hAnsi="Times New Roman"/>
          <w:sz w:val="24"/>
          <w:szCs w:val="24"/>
        </w:rPr>
        <w:t>celem zapewnienia prawidłowego wykonywania funkcji i zadań instytucji audytowej, zgodnie z prawem UE oraz międzynarodowymi standardami audytu.</w:t>
      </w:r>
    </w:p>
    <w:p w14:paraId="214C10F0" w14:textId="77777777" w:rsidR="009859F7" w:rsidRPr="00CA44E9" w:rsidRDefault="009859F7" w:rsidP="009A0EE5">
      <w:pPr>
        <w:spacing w:after="0" w:line="360" w:lineRule="auto"/>
        <w:jc w:val="both"/>
        <w:rPr>
          <w:rFonts w:ascii="Times New Roman" w:hAnsi="Times New Roman"/>
          <w:sz w:val="24"/>
          <w:szCs w:val="24"/>
        </w:rPr>
      </w:pPr>
      <w:r w:rsidRPr="00502D73">
        <w:rPr>
          <w:rFonts w:ascii="Times New Roman" w:hAnsi="Times New Roman"/>
          <w:b/>
          <w:color w:val="000000"/>
          <w:sz w:val="24"/>
          <w:szCs w:val="24"/>
          <w:lang w:eastAsia="pl-PL"/>
        </w:rPr>
        <w:t xml:space="preserve">Art. </w:t>
      </w:r>
      <w:r w:rsidR="00613F8B">
        <w:rPr>
          <w:rFonts w:ascii="Times New Roman" w:hAnsi="Times New Roman"/>
          <w:b/>
          <w:color w:val="000000"/>
          <w:sz w:val="24"/>
          <w:szCs w:val="24"/>
          <w:lang w:eastAsia="pl-PL"/>
        </w:rPr>
        <w:t>129</w:t>
      </w:r>
      <w:r w:rsidRPr="00502D73">
        <w:rPr>
          <w:rFonts w:ascii="Times New Roman" w:hAnsi="Times New Roman"/>
          <w:b/>
          <w:color w:val="000000"/>
          <w:sz w:val="24"/>
          <w:szCs w:val="24"/>
          <w:lang w:eastAsia="pl-PL"/>
        </w:rPr>
        <w:t>.</w:t>
      </w:r>
      <w:r w:rsidRPr="009F6287">
        <w:rPr>
          <w:rFonts w:ascii="Times New Roman" w:hAnsi="Times New Roman"/>
          <w:color w:val="000000"/>
          <w:sz w:val="24"/>
          <w:szCs w:val="24"/>
          <w:lang w:eastAsia="pl-PL"/>
        </w:rPr>
        <w:t xml:space="preserve"> W ustawie z dnia 15 lipca 2020 r. o zmianie ustawy o zasadach prowadzenia polityki rozwoju oraz niektórych innych ustaw zobowiązano Radę Ministrów do przyjęcia koncepcji rozwoju kraju (KRK) w dwa lata od wejścia w życie ustawy. Od czasu nowelizacji ustawy o zasadach </w:t>
      </w:r>
      <w:r w:rsidR="007461AC" w:rsidRPr="009F6287">
        <w:rPr>
          <w:rFonts w:ascii="Times New Roman" w:hAnsi="Times New Roman"/>
          <w:color w:val="000000"/>
          <w:sz w:val="24"/>
          <w:szCs w:val="24"/>
          <w:lang w:eastAsia="pl-PL"/>
        </w:rPr>
        <w:t xml:space="preserve">prowadzenia </w:t>
      </w:r>
      <w:r w:rsidRPr="009F6287">
        <w:rPr>
          <w:rFonts w:ascii="Times New Roman" w:hAnsi="Times New Roman"/>
          <w:color w:val="000000"/>
          <w:sz w:val="24"/>
          <w:szCs w:val="24"/>
          <w:lang w:eastAsia="pl-PL"/>
        </w:rPr>
        <w:t xml:space="preserve">polityki rozwoju nastąpiły znaczne zmiany w uwarunkowaniach społeczno-gospodarczych. Kolejne fale pandemii COVID19 oraz obostrzenia z nich wynikające powodują znaczne wydłużenie czasu niezbędnego na aktywne włączenie społeczeństwa w proces przygotowania </w:t>
      </w:r>
      <w:r w:rsidR="00933A51" w:rsidRPr="009F6287">
        <w:rPr>
          <w:rFonts w:ascii="Times New Roman" w:hAnsi="Times New Roman"/>
          <w:color w:val="000000"/>
          <w:sz w:val="24"/>
          <w:szCs w:val="24"/>
          <w:lang w:eastAsia="pl-PL"/>
        </w:rPr>
        <w:t>KRK</w:t>
      </w:r>
      <w:r w:rsidRPr="009F6287">
        <w:rPr>
          <w:rFonts w:ascii="Times New Roman" w:hAnsi="Times New Roman"/>
          <w:color w:val="000000"/>
          <w:sz w:val="24"/>
          <w:szCs w:val="24"/>
          <w:lang w:eastAsia="pl-PL"/>
        </w:rPr>
        <w:t>. Ponadto pojawiły się nowe inicjatywy i instrumenty UE, których uwzględnienie w procesie przygotowywania koncepcji jest niezbędne. Wszystkie te uwarunkowania powodują, że zasadne jest przesunięcie w czasie przygotowania i przyjęcia przez Radę Ministrów wspomnianego dokumentu do końca 2023 roku.</w:t>
      </w:r>
    </w:p>
    <w:p w14:paraId="7E329509" w14:textId="77777777" w:rsidR="00555DC0" w:rsidRPr="0040535D" w:rsidRDefault="00555DC0" w:rsidP="009A0EE5">
      <w:pPr>
        <w:autoSpaceDE w:val="0"/>
        <w:autoSpaceDN w:val="0"/>
        <w:adjustRightInd w:val="0"/>
        <w:spacing w:after="0" w:line="360" w:lineRule="auto"/>
        <w:jc w:val="both"/>
        <w:rPr>
          <w:rFonts w:ascii="Times New Roman" w:hAnsi="Times New Roman"/>
          <w:b/>
          <w:sz w:val="24"/>
          <w:szCs w:val="24"/>
        </w:rPr>
      </w:pPr>
    </w:p>
    <w:p w14:paraId="758C6FE7" w14:textId="77777777" w:rsidR="00555DC0" w:rsidRPr="0040535D" w:rsidRDefault="00555DC0" w:rsidP="009A0EE5">
      <w:pPr>
        <w:autoSpaceDE w:val="0"/>
        <w:autoSpaceDN w:val="0"/>
        <w:adjustRightInd w:val="0"/>
        <w:spacing w:after="0" w:line="360" w:lineRule="auto"/>
        <w:jc w:val="both"/>
        <w:rPr>
          <w:rFonts w:ascii="Times New Roman" w:hAnsi="Times New Roman"/>
          <w:b/>
          <w:sz w:val="24"/>
          <w:szCs w:val="24"/>
        </w:rPr>
      </w:pPr>
      <w:r w:rsidRPr="0040535D">
        <w:rPr>
          <w:rFonts w:ascii="Times New Roman" w:hAnsi="Times New Roman"/>
          <w:b/>
          <w:sz w:val="24"/>
          <w:szCs w:val="24"/>
        </w:rPr>
        <w:lastRenderedPageBreak/>
        <w:t>Rozdział 2</w:t>
      </w:r>
      <w:r w:rsidR="0034240B" w:rsidRPr="0040535D">
        <w:rPr>
          <w:rFonts w:ascii="Times New Roman" w:hAnsi="Times New Roman"/>
          <w:b/>
          <w:sz w:val="24"/>
          <w:szCs w:val="24"/>
        </w:rPr>
        <w:t>0</w:t>
      </w:r>
      <w:r w:rsidRPr="0040535D">
        <w:rPr>
          <w:rFonts w:ascii="Times New Roman" w:hAnsi="Times New Roman"/>
          <w:b/>
          <w:sz w:val="24"/>
          <w:szCs w:val="24"/>
        </w:rPr>
        <w:t>. Przepisy przejściowe</w:t>
      </w:r>
      <w:r w:rsidR="003A630C">
        <w:rPr>
          <w:rFonts w:ascii="Times New Roman" w:hAnsi="Times New Roman"/>
          <w:b/>
          <w:sz w:val="24"/>
          <w:szCs w:val="24"/>
        </w:rPr>
        <w:t>, dostosowujące</w:t>
      </w:r>
      <w:r w:rsidRPr="0040535D">
        <w:rPr>
          <w:rFonts w:ascii="Times New Roman" w:hAnsi="Times New Roman"/>
          <w:b/>
          <w:sz w:val="24"/>
          <w:szCs w:val="24"/>
        </w:rPr>
        <w:t xml:space="preserve"> i końcowe.</w:t>
      </w:r>
    </w:p>
    <w:p w14:paraId="27ADF804" w14:textId="77777777" w:rsidR="00555DC0" w:rsidRPr="0040535D" w:rsidRDefault="00555DC0" w:rsidP="009A0EE5">
      <w:pPr>
        <w:autoSpaceDE w:val="0"/>
        <w:autoSpaceDN w:val="0"/>
        <w:adjustRightInd w:val="0"/>
        <w:spacing w:after="0" w:line="360" w:lineRule="auto"/>
        <w:jc w:val="both"/>
        <w:rPr>
          <w:rFonts w:ascii="Times New Roman" w:hAnsi="Times New Roman"/>
          <w:sz w:val="24"/>
          <w:szCs w:val="24"/>
          <w:lang w:eastAsia="pl-PL"/>
        </w:rPr>
      </w:pPr>
      <w:r w:rsidRPr="0040535D">
        <w:rPr>
          <w:rFonts w:ascii="Times New Roman" w:hAnsi="Times New Roman"/>
          <w:b/>
          <w:sz w:val="24"/>
          <w:szCs w:val="24"/>
          <w:lang w:eastAsia="pl-PL"/>
        </w:rPr>
        <w:t>Art.</w:t>
      </w:r>
      <w:r w:rsidR="00613F8B" w:rsidRPr="0040535D">
        <w:rPr>
          <w:rFonts w:ascii="Times New Roman" w:hAnsi="Times New Roman"/>
          <w:b/>
          <w:sz w:val="24"/>
          <w:szCs w:val="24"/>
          <w:lang w:eastAsia="pl-PL"/>
        </w:rPr>
        <w:t>13</w:t>
      </w:r>
      <w:r w:rsidR="00613F8B">
        <w:rPr>
          <w:rFonts w:ascii="Times New Roman" w:hAnsi="Times New Roman"/>
          <w:b/>
          <w:sz w:val="24"/>
          <w:szCs w:val="24"/>
          <w:lang w:eastAsia="pl-PL"/>
        </w:rPr>
        <w:t>0</w:t>
      </w:r>
      <w:r w:rsidR="00613F8B" w:rsidRPr="0040535D">
        <w:rPr>
          <w:rFonts w:ascii="Times New Roman" w:hAnsi="Times New Roman"/>
          <w:sz w:val="24"/>
          <w:szCs w:val="24"/>
          <w:lang w:eastAsia="pl-PL"/>
        </w:rPr>
        <w:t xml:space="preserve"> </w:t>
      </w:r>
      <w:r w:rsidRPr="0040535D">
        <w:rPr>
          <w:rFonts w:ascii="Times New Roman" w:hAnsi="Times New Roman"/>
          <w:sz w:val="24"/>
          <w:szCs w:val="24"/>
          <w:lang w:eastAsia="pl-PL"/>
        </w:rPr>
        <w:t>Przepis wprowadza rozwiązanie mające na celu wykorzystanie zgromadzonego potencjału eksperckiego. Kandydaci na ekspertów perspektywy finansowej 2014-2020 widniejący na wykazie właściwej instytucji mogą w terminie 6 miesięcy od wejścia w życie ustawy uzyskać w uproszczony sposób status ekspertów w okresie programowania 2021-2027.</w:t>
      </w:r>
    </w:p>
    <w:p w14:paraId="5810781C" w14:textId="77777777" w:rsidR="0013513F" w:rsidRDefault="00217014" w:rsidP="009A0EE5">
      <w:pPr>
        <w:spacing w:line="360" w:lineRule="auto"/>
        <w:jc w:val="both"/>
        <w:rPr>
          <w:rFonts w:ascii="Times New Roman" w:hAnsi="Times New Roman"/>
          <w:iCs/>
          <w:sz w:val="24"/>
          <w:szCs w:val="24"/>
        </w:rPr>
      </w:pPr>
      <w:r w:rsidRPr="0040535D">
        <w:rPr>
          <w:rFonts w:ascii="Times New Roman" w:hAnsi="Times New Roman"/>
          <w:b/>
          <w:sz w:val="24"/>
          <w:szCs w:val="24"/>
          <w:lang w:eastAsia="pl-PL"/>
        </w:rPr>
        <w:t xml:space="preserve">Art. </w:t>
      </w:r>
      <w:r w:rsidR="00613F8B" w:rsidRPr="0040535D">
        <w:rPr>
          <w:rFonts w:ascii="Times New Roman" w:hAnsi="Times New Roman"/>
          <w:b/>
          <w:sz w:val="24"/>
          <w:szCs w:val="24"/>
          <w:lang w:eastAsia="pl-PL"/>
        </w:rPr>
        <w:t>13</w:t>
      </w:r>
      <w:r w:rsidR="00613F8B">
        <w:rPr>
          <w:rFonts w:ascii="Times New Roman" w:hAnsi="Times New Roman"/>
          <w:b/>
          <w:sz w:val="24"/>
          <w:szCs w:val="24"/>
          <w:lang w:eastAsia="pl-PL"/>
        </w:rPr>
        <w:t>1</w:t>
      </w:r>
      <w:r w:rsidR="00613F8B" w:rsidRPr="0040535D">
        <w:rPr>
          <w:rFonts w:ascii="Times New Roman" w:hAnsi="Times New Roman"/>
          <w:iCs/>
          <w:sz w:val="24"/>
          <w:szCs w:val="24"/>
        </w:rPr>
        <w:t xml:space="preserve"> </w:t>
      </w:r>
      <w:r w:rsidR="001325C3">
        <w:rPr>
          <w:rFonts w:ascii="Times New Roman" w:hAnsi="Times New Roman"/>
          <w:iCs/>
          <w:sz w:val="24"/>
          <w:szCs w:val="24"/>
        </w:rPr>
        <w:t xml:space="preserve">wprowadza przepis stanowiący, że </w:t>
      </w:r>
      <w:r w:rsidR="001325C3">
        <w:rPr>
          <w:rFonts w:ascii="Times New Roman" w:hAnsi="Times New Roman"/>
        </w:rPr>
        <w:t>p</w:t>
      </w:r>
      <w:r w:rsidR="001325C3" w:rsidRPr="00C6184E">
        <w:rPr>
          <w:rFonts w:ascii="Times New Roman" w:hAnsi="Times New Roman"/>
        </w:rPr>
        <w:t xml:space="preserve">rzepisów art. 10g ust. 4a i 4b </w:t>
      </w:r>
      <w:r w:rsidR="001325C3" w:rsidRPr="002B3C17">
        <w:rPr>
          <w:rStyle w:val="Ppogrubienie"/>
          <w:rFonts w:ascii="Times New Roman" w:hAnsi="Times New Roman"/>
          <w:b w:val="0"/>
        </w:rPr>
        <w:t>o samorządzie gminnym</w:t>
      </w:r>
      <w:r w:rsidR="001325C3" w:rsidRPr="00C6184E">
        <w:rPr>
          <w:rFonts w:ascii="Times New Roman" w:hAnsi="Times New Roman"/>
        </w:rPr>
        <w:t xml:space="preserve">, w brzmieniu nadanym niniejszą ustawą, nie stosuje się  do projektów strategii rozwoju ponadlokalnego, których opracowywanie rozpoczęto przed dniem wejścia w życie niniejszej ustawy. </w:t>
      </w:r>
      <w:r w:rsidR="00AA17B3" w:rsidRPr="0040535D">
        <w:rPr>
          <w:rFonts w:ascii="Times New Roman" w:hAnsi="Times New Roman"/>
          <w:iCs/>
          <w:sz w:val="24"/>
          <w:szCs w:val="24"/>
        </w:rPr>
        <w:t xml:space="preserve"> Takie rozwiązanie umożliwi zakończenie rozpoczętych procesów sporządzania strategii rozwoju ponadlokalnego bez zwłoki i bez potrzeby powtarzania procedury wynikającej z nowych wymogów wprowadzanych niniejszą ustawą.</w:t>
      </w:r>
    </w:p>
    <w:p w14:paraId="0ADCAF07" w14:textId="77777777" w:rsidR="0013513F" w:rsidRPr="0040535D" w:rsidRDefault="0013513F" w:rsidP="005E6479">
      <w:pPr>
        <w:pStyle w:val="ARTartustawynprozporzdzenia"/>
        <w:ind w:firstLine="0"/>
      </w:pPr>
      <w:r w:rsidRPr="00771611">
        <w:rPr>
          <w:rFonts w:ascii="Times New Roman" w:hAnsi="Times New Roman" w:cs="Times New Roman"/>
          <w:b/>
        </w:rPr>
        <w:t xml:space="preserve">Art. </w:t>
      </w:r>
      <w:r w:rsidR="00613F8B" w:rsidRPr="00771611">
        <w:rPr>
          <w:rFonts w:ascii="Times New Roman" w:hAnsi="Times New Roman" w:cs="Times New Roman"/>
          <w:b/>
        </w:rPr>
        <w:t>13</w:t>
      </w:r>
      <w:r w:rsidR="00613F8B">
        <w:rPr>
          <w:rFonts w:ascii="Times New Roman" w:hAnsi="Times New Roman" w:cs="Times New Roman"/>
          <w:b/>
        </w:rPr>
        <w:t xml:space="preserve">2 </w:t>
      </w:r>
      <w:r w:rsidR="00613F8B" w:rsidRPr="00AC50BF">
        <w:t>Proponowan</w:t>
      </w:r>
      <w:r w:rsidR="00613F8B">
        <w:t>y</w:t>
      </w:r>
      <w:r w:rsidR="00613F8B" w:rsidRPr="00AC50BF">
        <w:t xml:space="preserve"> </w:t>
      </w:r>
      <w:r w:rsidR="00AC50BF" w:rsidRPr="00AC50BF">
        <w:t xml:space="preserve">przepis </w:t>
      </w:r>
      <w:r w:rsidR="00613F8B" w:rsidRPr="00AC50BF">
        <w:t>wskazuj</w:t>
      </w:r>
      <w:r w:rsidR="00613F8B">
        <w:t>e</w:t>
      </w:r>
      <w:r w:rsidR="00613F8B" w:rsidRPr="00AC50BF">
        <w:t xml:space="preserve"> </w:t>
      </w:r>
      <w:r w:rsidR="00AC50BF" w:rsidRPr="00AC50BF">
        <w:t>na stosowanie przepisów zmienianej ustawy zarówno w stosunku do złożonych wniosków o wpis do rejestru, jak i już dokonanych wpisów. Ponadto przepis ten pozwoli na zabezpieczanie interesów wszystkich użytkowników będących obiorcami usług rozwojowych publikowanych w rejestrze oraz zabezpieczy właściwe wydatkowanie środków publicznych.</w:t>
      </w:r>
    </w:p>
    <w:p w14:paraId="4F3365C0" w14:textId="77777777" w:rsidR="00217014" w:rsidRPr="0040535D" w:rsidRDefault="00AA17B3" w:rsidP="009A0EE5">
      <w:pPr>
        <w:spacing w:line="360" w:lineRule="auto"/>
        <w:jc w:val="both"/>
        <w:rPr>
          <w:rFonts w:ascii="Times New Roman" w:hAnsi="Times New Roman"/>
          <w:iCs/>
          <w:sz w:val="24"/>
          <w:szCs w:val="24"/>
        </w:rPr>
      </w:pPr>
      <w:r w:rsidRPr="0040535D">
        <w:rPr>
          <w:rFonts w:ascii="Times New Roman" w:hAnsi="Times New Roman"/>
          <w:b/>
          <w:iCs/>
          <w:sz w:val="24"/>
          <w:szCs w:val="24"/>
        </w:rPr>
        <w:t xml:space="preserve">Art. </w:t>
      </w:r>
      <w:r w:rsidR="00613F8B" w:rsidRPr="0040535D">
        <w:rPr>
          <w:rFonts w:ascii="Times New Roman" w:hAnsi="Times New Roman"/>
          <w:b/>
          <w:iCs/>
          <w:sz w:val="24"/>
          <w:szCs w:val="24"/>
        </w:rPr>
        <w:t>13</w:t>
      </w:r>
      <w:r w:rsidR="00613F8B">
        <w:rPr>
          <w:rFonts w:ascii="Times New Roman" w:hAnsi="Times New Roman"/>
          <w:b/>
          <w:iCs/>
          <w:sz w:val="24"/>
          <w:szCs w:val="24"/>
        </w:rPr>
        <w:t>3</w:t>
      </w:r>
      <w:r w:rsidR="00613F8B" w:rsidRPr="0040535D">
        <w:rPr>
          <w:rFonts w:ascii="Times New Roman" w:hAnsi="Times New Roman"/>
          <w:iCs/>
          <w:sz w:val="24"/>
          <w:szCs w:val="24"/>
        </w:rPr>
        <w:t xml:space="preserve"> </w:t>
      </w:r>
      <w:r w:rsidR="00217014" w:rsidRPr="0040535D">
        <w:rPr>
          <w:rFonts w:ascii="Times New Roman" w:hAnsi="Times New Roman"/>
          <w:iCs/>
          <w:sz w:val="24"/>
          <w:szCs w:val="24"/>
        </w:rPr>
        <w:t>ma charakter porządkujący i ma na celu zapewnienie ciągłości działań instytucji audytowej dla nowej perspektywy finansowej 2021-2027.</w:t>
      </w:r>
      <w:r w:rsidR="008F29F8" w:rsidRPr="0040535D">
        <w:rPr>
          <w:rFonts w:ascii="Times New Roman" w:hAnsi="Times New Roman"/>
          <w:sz w:val="24"/>
          <w:szCs w:val="24"/>
        </w:rPr>
        <w:t xml:space="preserve"> </w:t>
      </w:r>
      <w:r w:rsidR="00217014" w:rsidRPr="0040535D">
        <w:rPr>
          <w:rFonts w:ascii="Times New Roman" w:hAnsi="Times New Roman"/>
          <w:iCs/>
          <w:sz w:val="24"/>
          <w:szCs w:val="24"/>
        </w:rPr>
        <w:t>W ramach prowadzonych działań instytucje audytowe mogą dokonywać oceny opracowanych dokumentów związanych z wdrażaniem nowej perspektywy 2021-2027.</w:t>
      </w:r>
      <w:r w:rsidR="008F29F8" w:rsidRPr="0040535D">
        <w:rPr>
          <w:rFonts w:ascii="Times New Roman" w:hAnsi="Times New Roman"/>
          <w:sz w:val="24"/>
          <w:szCs w:val="24"/>
        </w:rPr>
        <w:t xml:space="preserve"> </w:t>
      </w:r>
      <w:r w:rsidR="00217014" w:rsidRPr="0040535D">
        <w:rPr>
          <w:rFonts w:ascii="Times New Roman" w:hAnsi="Times New Roman"/>
          <w:iCs/>
          <w:sz w:val="24"/>
          <w:szCs w:val="24"/>
        </w:rPr>
        <w:t>Przedmiotowe dokumenty opracowywane są m.in. przez instytucje systemów zarządzania i kontroli na potrzeby wdrażania programów operacyjnych.</w:t>
      </w:r>
      <w:r w:rsidR="008F29F8" w:rsidRPr="0040535D">
        <w:rPr>
          <w:rFonts w:ascii="Times New Roman" w:hAnsi="Times New Roman"/>
          <w:sz w:val="24"/>
          <w:szCs w:val="24"/>
        </w:rPr>
        <w:t xml:space="preserve"> </w:t>
      </w:r>
      <w:r w:rsidR="00217014" w:rsidRPr="0040535D">
        <w:rPr>
          <w:rFonts w:ascii="Times New Roman" w:hAnsi="Times New Roman"/>
          <w:iCs/>
          <w:sz w:val="24"/>
          <w:szCs w:val="24"/>
        </w:rPr>
        <w:t>Instytucja audytowa – w ramach zadań doradczych – może wydawać opinie o ww. dokumentach wraz ze wstępnie formułowanymi ocenami co do jakości projektowanych rozwiązań i mechanizmów.</w:t>
      </w:r>
      <w:r w:rsidR="008F29F8" w:rsidRPr="0040535D">
        <w:rPr>
          <w:rFonts w:ascii="Times New Roman" w:hAnsi="Times New Roman"/>
          <w:sz w:val="24"/>
          <w:szCs w:val="24"/>
        </w:rPr>
        <w:t xml:space="preserve"> </w:t>
      </w:r>
      <w:r w:rsidR="00217014" w:rsidRPr="0040535D">
        <w:rPr>
          <w:rFonts w:ascii="Times New Roman" w:hAnsi="Times New Roman"/>
          <w:iCs/>
          <w:sz w:val="24"/>
          <w:szCs w:val="24"/>
        </w:rPr>
        <w:t>Opinie i oceny IA mogą być przedkładane przez instytucje zarządzające służbom Komisji Europejskiej w celu zatwierdzenia dokumentów programowych</w:t>
      </w:r>
      <w:r w:rsidR="00A351FD" w:rsidRPr="0040535D">
        <w:rPr>
          <w:rFonts w:ascii="Times New Roman" w:hAnsi="Times New Roman"/>
          <w:iCs/>
          <w:sz w:val="24"/>
          <w:szCs w:val="24"/>
        </w:rPr>
        <w:t xml:space="preserve">. </w:t>
      </w:r>
      <w:r w:rsidR="00217014" w:rsidRPr="0040535D">
        <w:rPr>
          <w:rFonts w:ascii="Times New Roman" w:hAnsi="Times New Roman"/>
          <w:iCs/>
          <w:sz w:val="24"/>
          <w:szCs w:val="24"/>
        </w:rPr>
        <w:t>Celem projektowanego przepisu jest formalne uznanie podjętych czynności oraz wydanych opinii i ocen IA w zakresie m.in. otrzymanych dokumentów od instytucji wdrażających programy operacyjne, jako posiadających walor ważności pomimo ich opracowania i wydania przez IA przed dniem wejścia w życie ustawy wdrożeniowej.</w:t>
      </w:r>
    </w:p>
    <w:p w14:paraId="01D35829" w14:textId="77777777" w:rsidR="003D29CE" w:rsidRPr="0040535D" w:rsidRDefault="00BB4E05" w:rsidP="00C3452D">
      <w:pPr>
        <w:autoSpaceDE w:val="0"/>
        <w:autoSpaceDN w:val="0"/>
        <w:adjustRightInd w:val="0"/>
        <w:spacing w:after="0" w:line="360" w:lineRule="auto"/>
        <w:jc w:val="both"/>
        <w:rPr>
          <w:rFonts w:ascii="Times New Roman" w:hAnsi="Times New Roman"/>
          <w:sz w:val="24"/>
          <w:szCs w:val="24"/>
        </w:rPr>
      </w:pPr>
      <w:r w:rsidRPr="0040535D">
        <w:rPr>
          <w:rFonts w:ascii="Times New Roman" w:hAnsi="Times New Roman"/>
          <w:b/>
          <w:sz w:val="24"/>
          <w:szCs w:val="24"/>
        </w:rPr>
        <w:t xml:space="preserve">Art. </w:t>
      </w:r>
      <w:r w:rsidR="00057143" w:rsidRPr="0040535D">
        <w:rPr>
          <w:rFonts w:ascii="Times New Roman" w:hAnsi="Times New Roman"/>
          <w:b/>
          <w:sz w:val="24"/>
          <w:szCs w:val="24"/>
        </w:rPr>
        <w:t>13</w:t>
      </w:r>
      <w:r w:rsidR="00613F8B">
        <w:rPr>
          <w:rFonts w:ascii="Times New Roman" w:hAnsi="Times New Roman"/>
          <w:b/>
          <w:sz w:val="24"/>
          <w:szCs w:val="24"/>
        </w:rPr>
        <w:t>4</w:t>
      </w:r>
      <w:r w:rsidR="00057143" w:rsidRPr="0040535D">
        <w:rPr>
          <w:rFonts w:ascii="Times New Roman" w:hAnsi="Times New Roman"/>
          <w:sz w:val="24"/>
          <w:szCs w:val="24"/>
        </w:rPr>
        <w:t xml:space="preserve"> </w:t>
      </w:r>
      <w:r w:rsidRPr="0040535D">
        <w:rPr>
          <w:rFonts w:ascii="Times New Roman" w:hAnsi="Times New Roman"/>
          <w:sz w:val="24"/>
          <w:szCs w:val="24"/>
        </w:rPr>
        <w:t>stanowi przepis przejściowy regulujący kwestię objęcia przepisami ustawy programu dotyczącego zwalczania deprywacji materialnej, finansowanego ze środków Europejskiego Funduszu Społecznego Plus, przyjętego przed dniem wejścia w życie ustawy.</w:t>
      </w:r>
    </w:p>
    <w:p w14:paraId="23E9D578" w14:textId="77777777" w:rsidR="003E7BD0" w:rsidRPr="0040535D" w:rsidRDefault="003E7BD0" w:rsidP="00C3452D">
      <w:pPr>
        <w:autoSpaceDE w:val="0"/>
        <w:autoSpaceDN w:val="0"/>
        <w:adjustRightInd w:val="0"/>
        <w:spacing w:after="0" w:line="360" w:lineRule="auto"/>
        <w:jc w:val="both"/>
        <w:rPr>
          <w:rFonts w:ascii="Times New Roman" w:hAnsi="Times New Roman"/>
          <w:sz w:val="24"/>
          <w:szCs w:val="24"/>
        </w:rPr>
      </w:pPr>
    </w:p>
    <w:p w14:paraId="5CAF1564" w14:textId="77777777" w:rsidR="008502ED" w:rsidRPr="0040535D" w:rsidRDefault="008502ED" w:rsidP="00C3452D">
      <w:pPr>
        <w:autoSpaceDE w:val="0"/>
        <w:autoSpaceDN w:val="0"/>
        <w:adjustRightInd w:val="0"/>
        <w:spacing w:after="0" w:line="360" w:lineRule="auto"/>
        <w:jc w:val="both"/>
        <w:rPr>
          <w:rFonts w:ascii="Times New Roman" w:hAnsi="Times New Roman"/>
          <w:b/>
          <w:sz w:val="24"/>
          <w:szCs w:val="24"/>
        </w:rPr>
      </w:pPr>
      <w:r w:rsidRPr="00833E51">
        <w:rPr>
          <w:rFonts w:ascii="Times New Roman" w:hAnsi="Times New Roman"/>
          <w:sz w:val="24"/>
          <w:szCs w:val="24"/>
        </w:rPr>
        <w:t>W</w:t>
      </w:r>
      <w:r w:rsidRPr="0040535D">
        <w:rPr>
          <w:rFonts w:ascii="Times New Roman" w:hAnsi="Times New Roman"/>
          <w:b/>
          <w:sz w:val="24"/>
          <w:szCs w:val="24"/>
        </w:rPr>
        <w:t xml:space="preserve"> art. </w:t>
      </w:r>
      <w:r w:rsidR="00613F8B" w:rsidRPr="0040535D">
        <w:rPr>
          <w:rFonts w:ascii="Times New Roman" w:hAnsi="Times New Roman"/>
          <w:b/>
          <w:sz w:val="24"/>
          <w:szCs w:val="24"/>
        </w:rPr>
        <w:t>13</w:t>
      </w:r>
      <w:r w:rsidR="00613F8B">
        <w:rPr>
          <w:rFonts w:ascii="Times New Roman" w:hAnsi="Times New Roman"/>
          <w:b/>
          <w:sz w:val="24"/>
          <w:szCs w:val="24"/>
        </w:rPr>
        <w:t>5</w:t>
      </w:r>
      <w:r w:rsidR="00613F8B" w:rsidRPr="0040535D">
        <w:rPr>
          <w:rFonts w:ascii="Times New Roman" w:hAnsi="Times New Roman"/>
          <w:b/>
          <w:sz w:val="24"/>
          <w:szCs w:val="24"/>
        </w:rPr>
        <w:t xml:space="preserve"> </w:t>
      </w:r>
      <w:r w:rsidRPr="0040535D">
        <w:rPr>
          <w:rFonts w:ascii="Times New Roman" w:hAnsi="Times New Roman"/>
          <w:sz w:val="24"/>
          <w:szCs w:val="24"/>
        </w:rPr>
        <w:t>zawarto przepis przejściowy</w:t>
      </w:r>
      <w:r w:rsidRPr="0040535D">
        <w:rPr>
          <w:rFonts w:ascii="Times New Roman" w:hAnsi="Times New Roman"/>
          <w:b/>
          <w:sz w:val="24"/>
          <w:szCs w:val="24"/>
        </w:rPr>
        <w:t xml:space="preserve"> </w:t>
      </w:r>
      <w:r w:rsidRPr="0040535D">
        <w:rPr>
          <w:rFonts w:ascii="Times New Roman" w:hAnsi="Times New Roman"/>
          <w:sz w:val="24"/>
          <w:szCs w:val="24"/>
        </w:rPr>
        <w:t xml:space="preserve">wynikający ze zmian wprowadzanych w ustawie </w:t>
      </w:r>
      <w:r w:rsidR="00681DE2" w:rsidRPr="0040535D">
        <w:rPr>
          <w:rFonts w:ascii="Times New Roman" w:hAnsi="Times New Roman"/>
          <w:sz w:val="24"/>
          <w:szCs w:val="24"/>
        </w:rPr>
        <w:t>o promocji zatrudnienia i instytucjach rynku pracy</w:t>
      </w:r>
      <w:r w:rsidR="003E7BD0" w:rsidRPr="0040535D">
        <w:rPr>
          <w:rFonts w:ascii="Times New Roman" w:hAnsi="Times New Roman"/>
          <w:sz w:val="24"/>
          <w:szCs w:val="24"/>
        </w:rPr>
        <w:t xml:space="preserve"> dotyczący wniosków o udzielenie pożyczek, o których mowa w art. 61e pkt 1 - 2 zmienianej</w:t>
      </w:r>
      <w:r w:rsidR="008611B6" w:rsidRPr="0040535D">
        <w:rPr>
          <w:rFonts w:ascii="Times New Roman" w:hAnsi="Times New Roman"/>
          <w:sz w:val="24"/>
          <w:szCs w:val="24"/>
        </w:rPr>
        <w:t xml:space="preserve"> ustawy</w:t>
      </w:r>
      <w:r w:rsidR="003E7BD0" w:rsidRPr="0040535D">
        <w:rPr>
          <w:rFonts w:ascii="Times New Roman" w:hAnsi="Times New Roman"/>
          <w:sz w:val="24"/>
          <w:szCs w:val="24"/>
        </w:rPr>
        <w:t>, złożonych przed dniem wejścia w życie niniejszej ustawy, oraz umów o pożyczkę na utworzenie stanowiska pracy, o których mowa w art. 61h ust. 1</w:t>
      </w:r>
      <w:r w:rsidR="008611B6" w:rsidRPr="0040535D">
        <w:rPr>
          <w:rFonts w:ascii="Times New Roman" w:hAnsi="Times New Roman"/>
          <w:sz w:val="24"/>
          <w:szCs w:val="24"/>
        </w:rPr>
        <w:t>,</w:t>
      </w:r>
      <w:r w:rsidR="003E7BD0" w:rsidRPr="0040535D">
        <w:rPr>
          <w:rFonts w:ascii="Times New Roman" w:hAnsi="Times New Roman"/>
          <w:sz w:val="24"/>
          <w:szCs w:val="24"/>
        </w:rPr>
        <w:t xml:space="preserve">  i umów o pożyczkę na podjęcie działalności gospodarczej, o których mowa w art. 61i ust. 1 </w:t>
      </w:r>
      <w:r w:rsidR="008611B6" w:rsidRPr="0040535D">
        <w:rPr>
          <w:rFonts w:ascii="Times New Roman" w:hAnsi="Times New Roman"/>
          <w:sz w:val="24"/>
          <w:szCs w:val="24"/>
        </w:rPr>
        <w:t xml:space="preserve">zmienianej </w:t>
      </w:r>
      <w:r w:rsidR="003E7BD0" w:rsidRPr="0040535D">
        <w:rPr>
          <w:rFonts w:ascii="Times New Roman" w:hAnsi="Times New Roman"/>
          <w:sz w:val="24"/>
          <w:szCs w:val="24"/>
        </w:rPr>
        <w:t>ustawy zawartych przed dniem wejścia w życie niniejszej ustawy</w:t>
      </w:r>
      <w:r w:rsidR="008611B6" w:rsidRPr="0040535D">
        <w:rPr>
          <w:rFonts w:ascii="Times New Roman" w:hAnsi="Times New Roman"/>
          <w:sz w:val="24"/>
          <w:szCs w:val="24"/>
        </w:rPr>
        <w:t>.</w:t>
      </w:r>
    </w:p>
    <w:p w14:paraId="43D48208" w14:textId="77777777" w:rsidR="00BB4E05" w:rsidRPr="0040535D" w:rsidRDefault="00BB4E05" w:rsidP="003D29CE">
      <w:pPr>
        <w:autoSpaceDE w:val="0"/>
        <w:autoSpaceDN w:val="0"/>
        <w:adjustRightInd w:val="0"/>
        <w:spacing w:after="0" w:line="360" w:lineRule="auto"/>
        <w:rPr>
          <w:rFonts w:ascii="Times New Roman" w:hAnsi="Times New Roman"/>
          <w:b/>
          <w:sz w:val="24"/>
          <w:szCs w:val="24"/>
        </w:rPr>
      </w:pPr>
    </w:p>
    <w:p w14:paraId="4A8D4B8A" w14:textId="77777777" w:rsidR="00CF63CF" w:rsidRPr="0040535D" w:rsidRDefault="00C23C58" w:rsidP="00C3452D">
      <w:pPr>
        <w:autoSpaceDE w:val="0"/>
        <w:autoSpaceDN w:val="0"/>
        <w:adjustRightInd w:val="0"/>
        <w:spacing w:after="0" w:line="360" w:lineRule="auto"/>
        <w:jc w:val="both"/>
        <w:rPr>
          <w:rFonts w:ascii="Times New Roman" w:hAnsi="Times New Roman"/>
          <w:sz w:val="24"/>
          <w:szCs w:val="24"/>
          <w:u w:val="single"/>
          <w:lang w:eastAsia="pl-PL"/>
        </w:rPr>
      </w:pPr>
      <w:r w:rsidRPr="0040535D">
        <w:rPr>
          <w:rFonts w:ascii="Times New Roman" w:hAnsi="Times New Roman"/>
          <w:b/>
          <w:sz w:val="24"/>
          <w:szCs w:val="24"/>
        </w:rPr>
        <w:t xml:space="preserve">Art. </w:t>
      </w:r>
      <w:r w:rsidR="00057143" w:rsidRPr="0040535D">
        <w:rPr>
          <w:rFonts w:ascii="Times New Roman" w:hAnsi="Times New Roman"/>
          <w:b/>
          <w:sz w:val="24"/>
          <w:szCs w:val="24"/>
        </w:rPr>
        <w:t>13</w:t>
      </w:r>
      <w:r w:rsidR="00613F8B">
        <w:rPr>
          <w:rFonts w:ascii="Times New Roman" w:hAnsi="Times New Roman"/>
          <w:b/>
          <w:sz w:val="24"/>
          <w:szCs w:val="24"/>
        </w:rPr>
        <w:t>6</w:t>
      </w:r>
      <w:r w:rsidR="00057143" w:rsidRPr="0040535D">
        <w:rPr>
          <w:rFonts w:ascii="Times New Roman" w:hAnsi="Times New Roman"/>
          <w:sz w:val="24"/>
          <w:szCs w:val="24"/>
        </w:rPr>
        <w:t xml:space="preserve"> </w:t>
      </w:r>
      <w:r w:rsidR="00CF63CF" w:rsidRPr="0040535D">
        <w:rPr>
          <w:rFonts w:ascii="Times New Roman" w:hAnsi="Times New Roman"/>
          <w:sz w:val="24"/>
          <w:szCs w:val="24"/>
        </w:rPr>
        <w:t>p</w:t>
      </w:r>
      <w:r w:rsidR="00CF63CF" w:rsidRPr="0040535D">
        <w:rPr>
          <w:rFonts w:ascii="Times New Roman" w:hAnsi="Times New Roman"/>
          <w:sz w:val="24"/>
          <w:szCs w:val="24"/>
          <w:lang w:eastAsia="pl-PL"/>
        </w:rPr>
        <w:t>rzewiduje, że projekt planu rozwojowego przyjęty przez Radę Ministrów przed dniem wejścia w życie</w:t>
      </w:r>
      <w:r w:rsidR="00F477D4">
        <w:rPr>
          <w:rFonts w:ascii="Times New Roman" w:hAnsi="Times New Roman"/>
          <w:sz w:val="24"/>
          <w:szCs w:val="24"/>
          <w:lang w:eastAsia="pl-PL"/>
        </w:rPr>
        <w:t xml:space="preserve"> niniejszej </w:t>
      </w:r>
      <w:r w:rsidR="00CF63CF" w:rsidRPr="0040535D">
        <w:rPr>
          <w:rFonts w:ascii="Times New Roman" w:hAnsi="Times New Roman"/>
          <w:sz w:val="24"/>
          <w:szCs w:val="24"/>
          <w:lang w:eastAsia="pl-PL"/>
        </w:rPr>
        <w:t xml:space="preserve"> ustawy staje się </w:t>
      </w:r>
      <w:r w:rsidR="00F477D4">
        <w:rPr>
          <w:rFonts w:ascii="Times New Roman" w:hAnsi="Times New Roman"/>
          <w:sz w:val="24"/>
          <w:szCs w:val="24"/>
          <w:lang w:eastAsia="pl-PL"/>
        </w:rPr>
        <w:t>planem rozwojowym</w:t>
      </w:r>
      <w:r w:rsidR="00CF63CF" w:rsidRPr="0040535D">
        <w:rPr>
          <w:rFonts w:ascii="Times New Roman" w:hAnsi="Times New Roman"/>
          <w:sz w:val="24"/>
          <w:szCs w:val="24"/>
          <w:lang w:eastAsia="pl-PL"/>
        </w:rPr>
        <w:t xml:space="preserve"> w rozumieniu </w:t>
      </w:r>
      <w:proofErr w:type="spellStart"/>
      <w:r w:rsidR="00CF63CF" w:rsidRPr="0040535D">
        <w:rPr>
          <w:rFonts w:ascii="Times New Roman" w:hAnsi="Times New Roman"/>
          <w:sz w:val="24"/>
          <w:szCs w:val="24"/>
          <w:lang w:eastAsia="pl-PL"/>
        </w:rPr>
        <w:t>uzppr</w:t>
      </w:r>
      <w:proofErr w:type="spellEnd"/>
      <w:r w:rsidR="00CF63CF" w:rsidRPr="0040535D">
        <w:rPr>
          <w:rFonts w:ascii="Times New Roman" w:hAnsi="Times New Roman"/>
          <w:sz w:val="24"/>
          <w:szCs w:val="24"/>
          <w:lang w:eastAsia="pl-PL"/>
        </w:rPr>
        <w:t>, w brzmieniu nadanym niniejszą ustawą, i może być zmieniany.</w:t>
      </w:r>
    </w:p>
    <w:p w14:paraId="2997D6C9" w14:textId="77777777" w:rsidR="00081335" w:rsidRPr="0040535D" w:rsidRDefault="00081335" w:rsidP="009A0EE5">
      <w:pPr>
        <w:pStyle w:val="ARTartustawynprozporzdzenia"/>
        <w:ind w:firstLine="0"/>
        <w:rPr>
          <w:rFonts w:ascii="Times New Roman" w:hAnsi="Times New Roman" w:cs="Times New Roman"/>
          <w:szCs w:val="24"/>
        </w:rPr>
      </w:pPr>
    </w:p>
    <w:p w14:paraId="411794D7" w14:textId="77777777" w:rsidR="00B348C5" w:rsidRPr="0040535D" w:rsidRDefault="00CD2EF5" w:rsidP="008D4E79">
      <w:pPr>
        <w:autoSpaceDE w:val="0"/>
        <w:autoSpaceDN w:val="0"/>
        <w:adjustRightInd w:val="0"/>
        <w:spacing w:after="0" w:line="360" w:lineRule="auto"/>
        <w:jc w:val="both"/>
        <w:rPr>
          <w:rFonts w:ascii="Times New Roman" w:hAnsi="Times New Roman"/>
          <w:sz w:val="24"/>
          <w:szCs w:val="24"/>
          <w:lang w:eastAsia="pl-PL"/>
        </w:rPr>
      </w:pPr>
      <w:r w:rsidRPr="0040535D">
        <w:rPr>
          <w:rFonts w:ascii="Times New Roman" w:hAnsi="Times New Roman"/>
          <w:sz w:val="24"/>
          <w:szCs w:val="24"/>
          <w:lang w:eastAsia="pl-PL"/>
        </w:rPr>
        <w:t xml:space="preserve">Zgodnie z </w:t>
      </w:r>
      <w:r w:rsidRPr="0040535D">
        <w:rPr>
          <w:rFonts w:ascii="Times New Roman" w:hAnsi="Times New Roman"/>
          <w:b/>
          <w:sz w:val="24"/>
          <w:szCs w:val="24"/>
          <w:lang w:eastAsia="pl-PL"/>
        </w:rPr>
        <w:t xml:space="preserve">art. </w:t>
      </w:r>
      <w:r w:rsidR="00057143" w:rsidRPr="0040535D">
        <w:rPr>
          <w:rFonts w:ascii="Times New Roman" w:hAnsi="Times New Roman"/>
          <w:b/>
          <w:sz w:val="24"/>
          <w:szCs w:val="24"/>
          <w:lang w:eastAsia="pl-PL"/>
        </w:rPr>
        <w:t>13</w:t>
      </w:r>
      <w:r w:rsidR="00613F8B">
        <w:rPr>
          <w:rFonts w:ascii="Times New Roman" w:hAnsi="Times New Roman"/>
          <w:b/>
          <w:sz w:val="24"/>
          <w:szCs w:val="24"/>
          <w:lang w:eastAsia="pl-PL"/>
        </w:rPr>
        <w:t>7</w:t>
      </w:r>
      <w:r w:rsidR="00057143" w:rsidRPr="0040535D">
        <w:rPr>
          <w:rFonts w:ascii="Times New Roman" w:hAnsi="Times New Roman"/>
          <w:sz w:val="24"/>
          <w:szCs w:val="24"/>
          <w:lang w:eastAsia="pl-PL"/>
        </w:rPr>
        <w:t xml:space="preserve"> </w:t>
      </w:r>
      <w:r w:rsidRPr="0040535D">
        <w:rPr>
          <w:rFonts w:ascii="Times New Roman" w:hAnsi="Times New Roman"/>
          <w:sz w:val="24"/>
          <w:szCs w:val="24"/>
          <w:lang w:eastAsia="pl-PL"/>
        </w:rPr>
        <w:t xml:space="preserve">ust. 1 przedsięwzięcia </w:t>
      </w:r>
      <w:r w:rsidR="00FC5277" w:rsidRPr="0040535D">
        <w:rPr>
          <w:rFonts w:ascii="Times New Roman" w:hAnsi="Times New Roman"/>
          <w:sz w:val="24"/>
          <w:szCs w:val="24"/>
          <w:lang w:eastAsia="pl-PL"/>
        </w:rPr>
        <w:t xml:space="preserve">stanowiące element inwestycji </w:t>
      </w:r>
      <w:r w:rsidR="00B174AF" w:rsidRPr="00B174AF">
        <w:rPr>
          <w:rFonts w:ascii="Times New Roman" w:hAnsi="Times New Roman"/>
          <w:sz w:val="24"/>
          <w:szCs w:val="24"/>
          <w:lang w:eastAsia="pl-PL"/>
        </w:rPr>
        <w:t>w rozumieniu art. 14la pkt 3 ustawy zmienianej w art. 108</w:t>
      </w:r>
      <w:r w:rsidRPr="0040535D">
        <w:rPr>
          <w:rFonts w:ascii="Times New Roman" w:hAnsi="Times New Roman"/>
          <w:sz w:val="24"/>
          <w:szCs w:val="24"/>
          <w:lang w:eastAsia="pl-PL"/>
        </w:rPr>
        <w:t xml:space="preserve">, </w:t>
      </w:r>
      <w:r w:rsidR="00B174AF" w:rsidRPr="00B174AF">
        <w:rPr>
          <w:rFonts w:ascii="Times New Roman" w:hAnsi="Times New Roman"/>
          <w:sz w:val="24"/>
          <w:szCs w:val="24"/>
          <w:lang w:eastAsia="pl-PL"/>
        </w:rPr>
        <w:t xml:space="preserve">wybrane do objęcia wsparciem </w:t>
      </w:r>
      <w:r w:rsidRPr="0040535D">
        <w:rPr>
          <w:rFonts w:ascii="Times New Roman" w:hAnsi="Times New Roman"/>
          <w:sz w:val="24"/>
          <w:szCs w:val="24"/>
          <w:lang w:eastAsia="pl-PL"/>
        </w:rPr>
        <w:t xml:space="preserve">przed wejściem w życie ustawy, stają się przedsięwzięciami wybranymi do objęcia wsparciem z planu rozwojowego w rozumieniu ustawy. Jednak w przypadku, w którym umowy </w:t>
      </w:r>
      <w:r w:rsidR="00FC5277" w:rsidRPr="0040535D">
        <w:rPr>
          <w:rFonts w:ascii="Times New Roman" w:hAnsi="Times New Roman"/>
          <w:sz w:val="24"/>
          <w:szCs w:val="24"/>
          <w:lang w:eastAsia="pl-PL"/>
        </w:rPr>
        <w:t xml:space="preserve">i porozumienia </w:t>
      </w:r>
      <w:r w:rsidRPr="0040535D">
        <w:rPr>
          <w:rFonts w:ascii="Times New Roman" w:hAnsi="Times New Roman"/>
          <w:sz w:val="24"/>
          <w:szCs w:val="24"/>
          <w:lang w:eastAsia="pl-PL"/>
        </w:rPr>
        <w:t>zawarte przed dniem wejścia w życie ustawy nie zapewniają spełnienia wszystkich wymagań i obowiązków ciążących na jej stronach, podlegają dostosowaniu do wymagań określonych w art. 14lz</w:t>
      </w:r>
      <w:r w:rsidR="00B174AF">
        <w:rPr>
          <w:rFonts w:ascii="Times New Roman" w:hAnsi="Times New Roman"/>
          <w:sz w:val="24"/>
          <w:szCs w:val="24"/>
          <w:lang w:eastAsia="pl-PL"/>
        </w:rPr>
        <w:t xml:space="preserve">h </w:t>
      </w:r>
      <w:r w:rsidRPr="0040535D">
        <w:rPr>
          <w:rFonts w:ascii="Times New Roman" w:hAnsi="Times New Roman"/>
          <w:sz w:val="24"/>
          <w:szCs w:val="24"/>
          <w:lang w:eastAsia="pl-PL"/>
        </w:rPr>
        <w:t>ustawy w terminie miesiąca od dnia wejścia w życie ustawy (ust. 2).</w:t>
      </w:r>
      <w:r w:rsidR="00937FF6" w:rsidRPr="0040535D">
        <w:rPr>
          <w:rFonts w:ascii="Times New Roman" w:hAnsi="Times New Roman"/>
          <w:sz w:val="24"/>
          <w:szCs w:val="24"/>
          <w:lang w:eastAsia="pl-PL"/>
        </w:rPr>
        <w:t xml:space="preserve"> </w:t>
      </w:r>
    </w:p>
    <w:p w14:paraId="40B5E24F" w14:textId="77777777" w:rsidR="00323F63" w:rsidRPr="0040535D" w:rsidRDefault="00323F63" w:rsidP="00A01FB5">
      <w:pPr>
        <w:autoSpaceDE w:val="0"/>
        <w:autoSpaceDN w:val="0"/>
        <w:adjustRightInd w:val="0"/>
        <w:spacing w:after="0" w:line="360" w:lineRule="auto"/>
        <w:jc w:val="both"/>
        <w:rPr>
          <w:rFonts w:ascii="Times New Roman" w:hAnsi="Times New Roman"/>
          <w:sz w:val="24"/>
          <w:szCs w:val="24"/>
          <w:lang w:eastAsia="pl-PL"/>
        </w:rPr>
      </w:pPr>
    </w:p>
    <w:p w14:paraId="1CB7C140" w14:textId="77777777" w:rsidR="009B58CF" w:rsidRPr="0040535D" w:rsidRDefault="00973AE5" w:rsidP="00892DB5">
      <w:pPr>
        <w:autoSpaceDE w:val="0"/>
        <w:autoSpaceDN w:val="0"/>
        <w:adjustRightInd w:val="0"/>
        <w:spacing w:after="0" w:line="360" w:lineRule="auto"/>
        <w:jc w:val="both"/>
        <w:rPr>
          <w:rFonts w:ascii="Times New Roman" w:hAnsi="Times New Roman"/>
          <w:sz w:val="24"/>
          <w:szCs w:val="24"/>
          <w:lang w:eastAsia="pl-PL"/>
        </w:rPr>
      </w:pPr>
      <w:r w:rsidRPr="0040535D">
        <w:rPr>
          <w:rFonts w:ascii="Times New Roman" w:hAnsi="Times New Roman"/>
          <w:sz w:val="24"/>
          <w:szCs w:val="24"/>
          <w:lang w:eastAsia="pl-PL"/>
        </w:rPr>
        <w:t xml:space="preserve">W </w:t>
      </w:r>
      <w:r w:rsidRPr="0040535D">
        <w:rPr>
          <w:rFonts w:ascii="Times New Roman" w:hAnsi="Times New Roman"/>
          <w:b/>
          <w:sz w:val="24"/>
          <w:szCs w:val="24"/>
          <w:lang w:eastAsia="pl-PL"/>
        </w:rPr>
        <w:t xml:space="preserve">art. </w:t>
      </w:r>
      <w:r w:rsidR="00057143" w:rsidRPr="0040535D">
        <w:rPr>
          <w:rFonts w:ascii="Times New Roman" w:hAnsi="Times New Roman"/>
          <w:b/>
          <w:sz w:val="24"/>
          <w:szCs w:val="24"/>
          <w:lang w:eastAsia="pl-PL"/>
        </w:rPr>
        <w:t>1</w:t>
      </w:r>
      <w:r w:rsidR="00613F8B">
        <w:rPr>
          <w:rFonts w:ascii="Times New Roman" w:hAnsi="Times New Roman"/>
          <w:b/>
          <w:sz w:val="24"/>
          <w:szCs w:val="24"/>
          <w:lang w:eastAsia="pl-PL"/>
        </w:rPr>
        <w:t>38</w:t>
      </w:r>
      <w:r w:rsidR="00057143" w:rsidRPr="0040535D">
        <w:rPr>
          <w:rFonts w:ascii="Times New Roman" w:hAnsi="Times New Roman"/>
          <w:sz w:val="24"/>
          <w:szCs w:val="24"/>
          <w:lang w:eastAsia="pl-PL"/>
        </w:rPr>
        <w:t xml:space="preserve"> </w:t>
      </w:r>
      <w:r w:rsidR="009B58CF" w:rsidRPr="0040535D">
        <w:rPr>
          <w:rFonts w:ascii="Times New Roman" w:hAnsi="Times New Roman"/>
          <w:sz w:val="24"/>
          <w:szCs w:val="24"/>
          <w:lang w:eastAsia="pl-PL"/>
        </w:rPr>
        <w:t>uregulo</w:t>
      </w:r>
      <w:r w:rsidRPr="0040535D">
        <w:rPr>
          <w:rFonts w:ascii="Times New Roman" w:hAnsi="Times New Roman"/>
          <w:sz w:val="24"/>
          <w:szCs w:val="24"/>
          <w:lang w:eastAsia="pl-PL"/>
        </w:rPr>
        <w:t>wano</w:t>
      </w:r>
      <w:r w:rsidR="009B58CF" w:rsidRPr="0040535D">
        <w:rPr>
          <w:rFonts w:ascii="Times New Roman" w:hAnsi="Times New Roman"/>
          <w:sz w:val="24"/>
          <w:szCs w:val="24"/>
          <w:lang w:eastAsia="pl-PL"/>
        </w:rPr>
        <w:t xml:space="preserve"> przepis</w:t>
      </w:r>
      <w:r w:rsidRPr="0040535D">
        <w:rPr>
          <w:rFonts w:ascii="Times New Roman" w:hAnsi="Times New Roman"/>
          <w:sz w:val="24"/>
          <w:szCs w:val="24"/>
          <w:lang w:eastAsia="pl-PL"/>
        </w:rPr>
        <w:t xml:space="preserve">y przejściowe do zmiany ustawy z dnia 30 maja 2008 r. o niektórych formach wspierania działalności innowacyjne, </w:t>
      </w:r>
      <w:r w:rsidR="009B58CF" w:rsidRPr="0040535D">
        <w:rPr>
          <w:rFonts w:ascii="Times New Roman" w:hAnsi="Times New Roman"/>
          <w:sz w:val="24"/>
          <w:szCs w:val="24"/>
          <w:lang w:eastAsia="pl-PL"/>
        </w:rPr>
        <w:t>zgodnie z którymi:</w:t>
      </w:r>
    </w:p>
    <w:p w14:paraId="507D71D7" w14:textId="77777777" w:rsidR="009B58CF" w:rsidRPr="0040535D" w:rsidRDefault="00613F8B" w:rsidP="004B71D0">
      <w:p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sz w:val="24"/>
          <w:szCs w:val="24"/>
          <w:lang w:eastAsia="pl-PL"/>
        </w:rPr>
        <w:t>1</w:t>
      </w:r>
      <w:r w:rsidR="009B58CF" w:rsidRPr="0040535D">
        <w:rPr>
          <w:rFonts w:ascii="Times New Roman" w:hAnsi="Times New Roman"/>
          <w:sz w:val="24"/>
          <w:szCs w:val="24"/>
          <w:lang w:eastAsia="pl-PL"/>
        </w:rPr>
        <w:t>) zostanie zachowany dotychczasowy poziom dofinansowania określony w ramach konkursu w przypadku wniosków złożonych przed 1 stycznia 2022 r. dot</w:t>
      </w:r>
      <w:r w:rsidR="00323F63" w:rsidRPr="0040535D">
        <w:rPr>
          <w:rFonts w:ascii="Times New Roman" w:hAnsi="Times New Roman"/>
          <w:sz w:val="24"/>
          <w:szCs w:val="24"/>
          <w:lang w:eastAsia="pl-PL"/>
        </w:rPr>
        <w:t xml:space="preserve">yczących </w:t>
      </w:r>
      <w:r w:rsidR="009B58CF" w:rsidRPr="0040535D">
        <w:rPr>
          <w:rFonts w:ascii="Times New Roman" w:hAnsi="Times New Roman"/>
          <w:sz w:val="24"/>
          <w:szCs w:val="24"/>
          <w:lang w:eastAsia="pl-PL"/>
        </w:rPr>
        <w:t xml:space="preserve"> projektów realizowanych na</w:t>
      </w:r>
      <w:r w:rsidR="00323F63" w:rsidRPr="0040535D">
        <w:rPr>
          <w:rFonts w:ascii="Times New Roman" w:hAnsi="Times New Roman"/>
          <w:sz w:val="24"/>
          <w:szCs w:val="24"/>
          <w:lang w:eastAsia="pl-PL"/>
        </w:rPr>
        <w:t xml:space="preserve"> </w:t>
      </w:r>
      <w:r w:rsidR="009B58CF" w:rsidRPr="0040535D">
        <w:rPr>
          <w:rFonts w:ascii="Times New Roman" w:hAnsi="Times New Roman"/>
          <w:sz w:val="24"/>
          <w:szCs w:val="24"/>
          <w:lang w:eastAsia="pl-PL"/>
        </w:rPr>
        <w:t>obszarach, w których wzrośnie intensywność regionalnej pomocy inwestycyjnej (RPI);</w:t>
      </w:r>
    </w:p>
    <w:p w14:paraId="77852AC8" w14:textId="77777777" w:rsidR="009B58CF" w:rsidRPr="0040535D" w:rsidRDefault="00613F8B" w:rsidP="00312C3F">
      <w:p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sz w:val="24"/>
          <w:szCs w:val="24"/>
          <w:lang w:eastAsia="pl-PL"/>
        </w:rPr>
        <w:t>2</w:t>
      </w:r>
      <w:r w:rsidR="009B58CF" w:rsidRPr="0040535D">
        <w:rPr>
          <w:rFonts w:ascii="Times New Roman" w:hAnsi="Times New Roman"/>
          <w:sz w:val="24"/>
          <w:szCs w:val="24"/>
          <w:lang w:eastAsia="pl-PL"/>
        </w:rPr>
        <w:t>) zostanie obniżony wnioskowany poziom dofinansowania zgodnie z nową, zatwierdzoną przez Komisję Europejską mapą pomocy regionalnej na lata 2022-2027, w przypadku projektów, realizowanych na obszarach, w których intensywność RPI będzie niższa od dotychczasowej.</w:t>
      </w:r>
    </w:p>
    <w:p w14:paraId="4AC72727" w14:textId="77777777" w:rsidR="00323F63" w:rsidRPr="0040535D" w:rsidRDefault="00323F63" w:rsidP="00100244">
      <w:pPr>
        <w:autoSpaceDE w:val="0"/>
        <w:autoSpaceDN w:val="0"/>
        <w:adjustRightInd w:val="0"/>
        <w:spacing w:after="0" w:line="360" w:lineRule="auto"/>
        <w:jc w:val="both"/>
        <w:rPr>
          <w:rFonts w:ascii="Times New Roman" w:hAnsi="Times New Roman"/>
          <w:sz w:val="24"/>
          <w:szCs w:val="24"/>
          <w:lang w:eastAsia="pl-PL"/>
        </w:rPr>
      </w:pPr>
    </w:p>
    <w:p w14:paraId="5535DD9B" w14:textId="77777777" w:rsidR="00E064EF" w:rsidRDefault="00555DC0" w:rsidP="00100244">
      <w:pPr>
        <w:autoSpaceDE w:val="0"/>
        <w:autoSpaceDN w:val="0"/>
        <w:adjustRightInd w:val="0"/>
        <w:spacing w:after="0" w:line="360" w:lineRule="auto"/>
        <w:jc w:val="both"/>
        <w:rPr>
          <w:rFonts w:ascii="Times New Roman" w:hAnsi="Times New Roman"/>
          <w:sz w:val="24"/>
          <w:szCs w:val="24"/>
          <w:lang w:eastAsia="pl-PL"/>
        </w:rPr>
      </w:pPr>
      <w:r w:rsidRPr="0040535D">
        <w:rPr>
          <w:rFonts w:ascii="Times New Roman" w:hAnsi="Times New Roman"/>
          <w:sz w:val="24"/>
          <w:szCs w:val="24"/>
          <w:lang w:eastAsia="pl-PL"/>
        </w:rPr>
        <w:t xml:space="preserve">W </w:t>
      </w:r>
      <w:r w:rsidR="00B348C5" w:rsidRPr="0040535D">
        <w:rPr>
          <w:rFonts w:ascii="Times New Roman" w:hAnsi="Times New Roman"/>
          <w:b/>
          <w:sz w:val="24"/>
          <w:szCs w:val="24"/>
          <w:lang w:eastAsia="pl-PL"/>
        </w:rPr>
        <w:t xml:space="preserve">art. </w:t>
      </w:r>
      <w:r w:rsidR="003F4CB1" w:rsidRPr="0040535D">
        <w:rPr>
          <w:rFonts w:ascii="Times New Roman" w:hAnsi="Times New Roman"/>
          <w:b/>
          <w:sz w:val="24"/>
          <w:szCs w:val="24"/>
          <w:lang w:eastAsia="pl-PL"/>
        </w:rPr>
        <w:t>1</w:t>
      </w:r>
      <w:r w:rsidR="003F4CB1">
        <w:rPr>
          <w:rFonts w:ascii="Times New Roman" w:hAnsi="Times New Roman"/>
          <w:b/>
          <w:sz w:val="24"/>
          <w:szCs w:val="24"/>
          <w:lang w:eastAsia="pl-PL"/>
        </w:rPr>
        <w:t xml:space="preserve">39 </w:t>
      </w:r>
      <w:r w:rsidR="008E6E89">
        <w:rPr>
          <w:rFonts w:ascii="Times New Roman" w:hAnsi="Times New Roman"/>
          <w:b/>
          <w:sz w:val="24"/>
          <w:szCs w:val="24"/>
          <w:lang w:eastAsia="pl-PL"/>
        </w:rPr>
        <w:t>i</w:t>
      </w:r>
      <w:r w:rsidR="009F6287">
        <w:rPr>
          <w:rFonts w:ascii="Times New Roman" w:hAnsi="Times New Roman"/>
          <w:b/>
          <w:sz w:val="24"/>
          <w:szCs w:val="24"/>
          <w:lang w:eastAsia="pl-PL"/>
        </w:rPr>
        <w:t xml:space="preserve"> </w:t>
      </w:r>
      <w:r w:rsidR="005C25A4" w:rsidRPr="0040535D">
        <w:rPr>
          <w:rFonts w:ascii="Times New Roman" w:hAnsi="Times New Roman"/>
          <w:b/>
          <w:sz w:val="24"/>
          <w:szCs w:val="24"/>
          <w:lang w:eastAsia="pl-PL"/>
        </w:rPr>
        <w:t xml:space="preserve">art. </w:t>
      </w:r>
      <w:r w:rsidR="003F4CB1" w:rsidRPr="0040535D">
        <w:rPr>
          <w:rFonts w:ascii="Times New Roman" w:hAnsi="Times New Roman"/>
          <w:b/>
          <w:sz w:val="24"/>
          <w:szCs w:val="24"/>
          <w:lang w:eastAsia="pl-PL"/>
        </w:rPr>
        <w:t>14</w:t>
      </w:r>
      <w:r w:rsidR="003F4CB1">
        <w:rPr>
          <w:rFonts w:ascii="Times New Roman" w:hAnsi="Times New Roman"/>
          <w:b/>
          <w:sz w:val="24"/>
          <w:szCs w:val="24"/>
          <w:lang w:eastAsia="pl-PL"/>
        </w:rPr>
        <w:t>0</w:t>
      </w:r>
      <w:r w:rsidR="003F4CB1" w:rsidRPr="0040535D">
        <w:rPr>
          <w:rFonts w:ascii="Times New Roman" w:hAnsi="Times New Roman"/>
          <w:sz w:val="24"/>
          <w:szCs w:val="24"/>
          <w:lang w:eastAsia="pl-PL"/>
        </w:rPr>
        <w:t xml:space="preserve"> </w:t>
      </w:r>
      <w:r w:rsidRPr="0040535D">
        <w:rPr>
          <w:rFonts w:ascii="Times New Roman" w:hAnsi="Times New Roman"/>
          <w:sz w:val="24"/>
          <w:szCs w:val="24"/>
          <w:lang w:eastAsia="pl-PL"/>
        </w:rPr>
        <w:t xml:space="preserve">wprowadzono </w:t>
      </w:r>
      <w:r w:rsidR="00015081" w:rsidRPr="0040535D">
        <w:rPr>
          <w:rFonts w:ascii="Times New Roman" w:hAnsi="Times New Roman"/>
          <w:sz w:val="24"/>
          <w:szCs w:val="24"/>
          <w:lang w:eastAsia="pl-PL"/>
        </w:rPr>
        <w:t xml:space="preserve">przepisy </w:t>
      </w:r>
      <w:r w:rsidRPr="0040535D">
        <w:rPr>
          <w:rFonts w:ascii="Times New Roman" w:hAnsi="Times New Roman"/>
          <w:sz w:val="24"/>
          <w:szCs w:val="24"/>
          <w:lang w:eastAsia="pl-PL"/>
        </w:rPr>
        <w:t xml:space="preserve">przejściowe dla regulacji zawartych w </w:t>
      </w:r>
      <w:proofErr w:type="spellStart"/>
      <w:r w:rsidR="00DD083B" w:rsidRPr="0040535D">
        <w:rPr>
          <w:rFonts w:ascii="Times New Roman" w:hAnsi="Times New Roman"/>
          <w:sz w:val="24"/>
          <w:szCs w:val="24"/>
          <w:lang w:eastAsia="pl-PL"/>
        </w:rPr>
        <w:t>ufp</w:t>
      </w:r>
      <w:proofErr w:type="spellEnd"/>
      <w:r w:rsidR="00F676BD" w:rsidRPr="0040535D">
        <w:rPr>
          <w:rFonts w:ascii="Times New Roman" w:hAnsi="Times New Roman"/>
          <w:sz w:val="24"/>
          <w:szCs w:val="24"/>
          <w:lang w:eastAsia="pl-PL"/>
        </w:rPr>
        <w:t xml:space="preserve"> (art. </w:t>
      </w:r>
      <w:r w:rsidR="000460FA" w:rsidRPr="0040535D">
        <w:rPr>
          <w:rFonts w:ascii="Times New Roman" w:hAnsi="Times New Roman"/>
          <w:sz w:val="24"/>
          <w:szCs w:val="24"/>
          <w:lang w:eastAsia="pl-PL"/>
        </w:rPr>
        <w:t>11</w:t>
      </w:r>
      <w:r w:rsidR="000460FA">
        <w:rPr>
          <w:rFonts w:ascii="Times New Roman" w:hAnsi="Times New Roman"/>
          <w:sz w:val="24"/>
          <w:szCs w:val="24"/>
          <w:lang w:eastAsia="pl-PL"/>
        </w:rPr>
        <w:t>3</w:t>
      </w:r>
      <w:r w:rsidR="000460FA" w:rsidRPr="0040535D">
        <w:rPr>
          <w:rFonts w:ascii="Times New Roman" w:hAnsi="Times New Roman"/>
          <w:sz w:val="24"/>
          <w:szCs w:val="24"/>
          <w:lang w:eastAsia="pl-PL"/>
        </w:rPr>
        <w:t xml:space="preserve"> </w:t>
      </w:r>
      <w:r w:rsidR="00F676BD" w:rsidRPr="0040535D">
        <w:rPr>
          <w:rFonts w:ascii="Times New Roman" w:hAnsi="Times New Roman"/>
          <w:sz w:val="24"/>
          <w:szCs w:val="24"/>
          <w:lang w:eastAsia="pl-PL"/>
        </w:rPr>
        <w:t>ustawy)</w:t>
      </w:r>
      <w:r w:rsidR="00DD083B" w:rsidRPr="0040535D">
        <w:rPr>
          <w:rFonts w:ascii="Times New Roman" w:hAnsi="Times New Roman"/>
          <w:sz w:val="24"/>
          <w:szCs w:val="24"/>
          <w:lang w:eastAsia="pl-PL"/>
        </w:rPr>
        <w:t xml:space="preserve"> </w:t>
      </w:r>
      <w:r w:rsidRPr="0040535D">
        <w:rPr>
          <w:rFonts w:ascii="Times New Roman" w:hAnsi="Times New Roman"/>
          <w:sz w:val="24"/>
          <w:szCs w:val="24"/>
          <w:lang w:eastAsia="pl-PL"/>
        </w:rPr>
        <w:t>zmienianych niniejszą ustawą.</w:t>
      </w:r>
      <w:r w:rsidR="00A83392" w:rsidRPr="0040535D">
        <w:rPr>
          <w:rFonts w:ascii="Times New Roman" w:hAnsi="Times New Roman"/>
          <w:sz w:val="24"/>
          <w:szCs w:val="24"/>
          <w:lang w:eastAsia="pl-PL"/>
        </w:rPr>
        <w:t xml:space="preserve"> </w:t>
      </w:r>
      <w:r w:rsidR="0097596D" w:rsidRPr="0040535D">
        <w:rPr>
          <w:rFonts w:ascii="Times New Roman" w:hAnsi="Times New Roman"/>
          <w:sz w:val="24"/>
          <w:szCs w:val="24"/>
          <w:lang w:eastAsia="pl-PL"/>
        </w:rPr>
        <w:t xml:space="preserve">Ze względu na </w:t>
      </w:r>
      <w:r w:rsidR="00A80449" w:rsidRPr="0040535D">
        <w:rPr>
          <w:rFonts w:ascii="Times New Roman" w:hAnsi="Times New Roman"/>
          <w:sz w:val="24"/>
          <w:szCs w:val="24"/>
          <w:lang w:eastAsia="pl-PL"/>
        </w:rPr>
        <w:t xml:space="preserve">porządkujący i doprecyzowujący </w:t>
      </w:r>
      <w:r w:rsidR="00A80449" w:rsidRPr="0040535D">
        <w:rPr>
          <w:rFonts w:ascii="Times New Roman" w:hAnsi="Times New Roman"/>
          <w:sz w:val="24"/>
          <w:szCs w:val="24"/>
          <w:lang w:eastAsia="pl-PL"/>
        </w:rPr>
        <w:lastRenderedPageBreak/>
        <w:t xml:space="preserve">charakter zmienianych przepisów </w:t>
      </w:r>
      <w:proofErr w:type="spellStart"/>
      <w:r w:rsidR="00A80449" w:rsidRPr="0040535D">
        <w:rPr>
          <w:rFonts w:ascii="Times New Roman" w:hAnsi="Times New Roman"/>
          <w:sz w:val="24"/>
          <w:szCs w:val="24"/>
          <w:lang w:eastAsia="pl-PL"/>
        </w:rPr>
        <w:t>ufp</w:t>
      </w:r>
      <w:proofErr w:type="spellEnd"/>
      <w:r w:rsidR="00A80449" w:rsidRPr="0040535D">
        <w:rPr>
          <w:rFonts w:ascii="Times New Roman" w:hAnsi="Times New Roman"/>
          <w:sz w:val="24"/>
          <w:szCs w:val="24"/>
          <w:lang w:eastAsia="pl-PL"/>
        </w:rPr>
        <w:t xml:space="preserve"> w zakresie przedawnienia zobowiązań do zwrotu środków przeznaczonych na realizację programów finansowanych z udziałem środków europejskich oraz innych należności związanych z realizacją projektów finansowanych z udziałem tych środków, a także odsetek od tych środków i od tych należności, p</w:t>
      </w:r>
      <w:r w:rsidR="00A83392" w:rsidRPr="0040535D">
        <w:rPr>
          <w:rFonts w:ascii="Times New Roman" w:hAnsi="Times New Roman"/>
          <w:sz w:val="24"/>
          <w:szCs w:val="24"/>
          <w:lang w:eastAsia="pl-PL"/>
        </w:rPr>
        <w:t>roponuje się aby do  wszczętych i niezakończonych przed dniem wejścia w życie niniejszej ustawy</w:t>
      </w:r>
      <w:r w:rsidR="00A83392" w:rsidRPr="0040535D">
        <w:rPr>
          <w:rFonts w:ascii="Times New Roman" w:hAnsi="Times New Roman"/>
          <w:sz w:val="24"/>
          <w:szCs w:val="24"/>
        </w:rPr>
        <w:t xml:space="preserve"> </w:t>
      </w:r>
      <w:r w:rsidR="00A83392" w:rsidRPr="0040535D">
        <w:rPr>
          <w:rFonts w:ascii="Times New Roman" w:hAnsi="Times New Roman"/>
          <w:sz w:val="24"/>
          <w:szCs w:val="24"/>
          <w:lang w:eastAsia="pl-PL"/>
        </w:rPr>
        <w:t xml:space="preserve">postępowań o odpowiedzialności osób trzecich za zobowiązania do zwrotu </w:t>
      </w:r>
      <w:r w:rsidR="00A80449" w:rsidRPr="0040535D">
        <w:rPr>
          <w:rFonts w:ascii="Times New Roman" w:hAnsi="Times New Roman"/>
          <w:sz w:val="24"/>
          <w:szCs w:val="24"/>
          <w:lang w:eastAsia="pl-PL"/>
        </w:rPr>
        <w:t xml:space="preserve">tych </w:t>
      </w:r>
      <w:r w:rsidR="00A83392" w:rsidRPr="0040535D">
        <w:rPr>
          <w:rFonts w:ascii="Times New Roman" w:hAnsi="Times New Roman"/>
          <w:sz w:val="24"/>
          <w:szCs w:val="24"/>
          <w:lang w:eastAsia="pl-PL"/>
        </w:rPr>
        <w:t xml:space="preserve">środków stosowane były już przepisy zmienionej </w:t>
      </w:r>
      <w:proofErr w:type="spellStart"/>
      <w:r w:rsidR="00A83392" w:rsidRPr="0040535D">
        <w:rPr>
          <w:rFonts w:ascii="Times New Roman" w:hAnsi="Times New Roman"/>
          <w:sz w:val="24"/>
          <w:szCs w:val="24"/>
          <w:lang w:eastAsia="pl-PL"/>
        </w:rPr>
        <w:t>ufp</w:t>
      </w:r>
      <w:proofErr w:type="spellEnd"/>
      <w:r w:rsidR="00A83392" w:rsidRPr="0040535D">
        <w:rPr>
          <w:rFonts w:ascii="Times New Roman" w:hAnsi="Times New Roman"/>
          <w:sz w:val="24"/>
          <w:szCs w:val="24"/>
          <w:lang w:eastAsia="pl-PL"/>
        </w:rPr>
        <w:t xml:space="preserve"> w tym zakresie. Analogiczna reguła znajdzie zastosowanie do </w:t>
      </w:r>
      <w:r w:rsidR="00A80449" w:rsidRPr="0040535D">
        <w:rPr>
          <w:rFonts w:ascii="Times New Roman" w:hAnsi="Times New Roman"/>
          <w:sz w:val="24"/>
          <w:szCs w:val="24"/>
          <w:lang w:eastAsia="pl-PL"/>
        </w:rPr>
        <w:t xml:space="preserve">terminów przedawnienia </w:t>
      </w:r>
      <w:r w:rsidR="00A83392" w:rsidRPr="0040535D">
        <w:rPr>
          <w:rFonts w:ascii="Times New Roman" w:hAnsi="Times New Roman"/>
          <w:sz w:val="24"/>
          <w:szCs w:val="24"/>
          <w:lang w:eastAsia="pl-PL"/>
        </w:rPr>
        <w:t xml:space="preserve">zobowiązania do zwrotu </w:t>
      </w:r>
      <w:r w:rsidR="00A80449" w:rsidRPr="0040535D">
        <w:rPr>
          <w:rFonts w:ascii="Times New Roman" w:hAnsi="Times New Roman"/>
          <w:sz w:val="24"/>
          <w:szCs w:val="24"/>
          <w:lang w:eastAsia="pl-PL"/>
        </w:rPr>
        <w:t xml:space="preserve">ww. </w:t>
      </w:r>
      <w:r w:rsidR="00A83392" w:rsidRPr="0040535D">
        <w:rPr>
          <w:rFonts w:ascii="Times New Roman" w:hAnsi="Times New Roman"/>
          <w:sz w:val="24"/>
          <w:szCs w:val="24"/>
          <w:lang w:eastAsia="pl-PL"/>
        </w:rPr>
        <w:t>środków</w:t>
      </w:r>
      <w:r w:rsidR="00A80449" w:rsidRPr="0040535D">
        <w:rPr>
          <w:rFonts w:ascii="Times New Roman" w:hAnsi="Times New Roman"/>
          <w:sz w:val="24"/>
          <w:szCs w:val="24"/>
          <w:lang w:eastAsia="pl-PL"/>
        </w:rPr>
        <w:t xml:space="preserve">. </w:t>
      </w:r>
      <w:r w:rsidR="00047639" w:rsidRPr="0040535D">
        <w:rPr>
          <w:rFonts w:ascii="Times New Roman" w:hAnsi="Times New Roman"/>
          <w:sz w:val="24"/>
          <w:szCs w:val="24"/>
          <w:lang w:eastAsia="pl-PL"/>
        </w:rPr>
        <w:t>Projektowane przepisy materialne w zakresie odpowiedzialności osób trzecich za zobowiązania do zwrotu środków, o których mowa w art. 60 pkt 6</w:t>
      </w:r>
      <w:r w:rsidR="00E61867">
        <w:rPr>
          <w:rFonts w:ascii="Times New Roman" w:hAnsi="Times New Roman"/>
          <w:sz w:val="24"/>
          <w:szCs w:val="24"/>
          <w:lang w:eastAsia="pl-PL"/>
        </w:rPr>
        <w:t>,</w:t>
      </w:r>
      <w:r w:rsidR="00047639" w:rsidRPr="0040535D">
        <w:rPr>
          <w:rFonts w:ascii="Times New Roman" w:hAnsi="Times New Roman"/>
          <w:sz w:val="24"/>
          <w:szCs w:val="24"/>
          <w:lang w:eastAsia="pl-PL"/>
        </w:rPr>
        <w:t xml:space="preserve"> nie rozszerzają sposobu zakresu odpowiedzialności tych osób, przesłanek tej odpowiedzialności, ani materialnoprawnej „dolegliwości” tej regulacji, wprowadzają natomiast kompleksową regulację, której dotychczasowe przepisy nie zapewniały i budziły wątpliwości interpretacyjne.</w:t>
      </w:r>
      <w:r w:rsidR="00E064EF" w:rsidRPr="00E064EF">
        <w:t xml:space="preserve"> </w:t>
      </w:r>
      <w:r w:rsidR="00E064EF" w:rsidRPr="00E064EF">
        <w:rPr>
          <w:rFonts w:ascii="Times New Roman" w:hAnsi="Times New Roman"/>
          <w:sz w:val="24"/>
          <w:szCs w:val="24"/>
          <w:lang w:eastAsia="pl-PL"/>
        </w:rPr>
        <w:t>Należy podkreślić, że oprócz jednoznacznego określenia terminu przedawnienia i stosowania tego terminu już od dnia wejścia w życie ustawy, celem tego przepisu będzie ochrona interesów finansowych Unii Europejskiej, do której zobowiązane są państwa członkowskie oraz pewność prawa dla podmiotów gospodarczych. Na podstawie przepisów prawa unijnego, do czasu zamknięcia programu operacyjnego i wypłacenia salda końcowego państwo członkowskie może być zobligowane do dokonywania zwrotu środków nienależnie pobranych przez beneficjentów do budżetu Unii Europejskiej (dłuższy okres może wynikać np. z przepisów z zakresu pomocy publicznej). W związku z powyższym, państwo członkowskie powinno mieć prawo wyegzekwowania należności od podmiotu odpowiedzialnego za powstanie danej nieprawidłowości. Tym samym przepisy dotyczące przedawnienia mają służyć stosowaniu rozporządzenia Rady nr 2988/95 z dnia 18 grudnia 1995 r. w sprawie ochrony interesów finansowych Wspólnot Europejskich. Zgodnie z art. 3 ust. 3  rozporządzenia Rady nr 2988/95 z dnia 18 grudnia 1995 r. w sprawie ochrony interesów finansowych Wspólnot Europejskich okres przedawnienia wynosi 4 lata od czasu dopuszczenia się nieprawidłowości zdefiniowanej w art. 1 ust. 2 tego rozporządzenia. Okres ten może być przedłużony o maksymalnie kolejne 4 lata w przypadku przerwania biegu terminu przedawnienia. W art. 3 ust. 3 rozporządzenia nr 2988/95 zapewniono państwom członkowskim możliwość stosowania dłuższego okresu niż okres przewidziany w ust. 1 i 2.</w:t>
      </w:r>
    </w:p>
    <w:p w14:paraId="0E83665E" w14:textId="77777777" w:rsidR="00323F63" w:rsidRPr="0040535D" w:rsidRDefault="00A80449" w:rsidP="00100244">
      <w:pPr>
        <w:autoSpaceDE w:val="0"/>
        <w:autoSpaceDN w:val="0"/>
        <w:adjustRightInd w:val="0"/>
        <w:spacing w:after="0" w:line="360" w:lineRule="auto"/>
        <w:jc w:val="both"/>
        <w:rPr>
          <w:rFonts w:ascii="Times New Roman" w:hAnsi="Times New Roman"/>
          <w:sz w:val="24"/>
          <w:szCs w:val="24"/>
          <w:lang w:eastAsia="pl-PL"/>
        </w:rPr>
      </w:pPr>
      <w:r w:rsidRPr="0040535D">
        <w:rPr>
          <w:rFonts w:ascii="Times New Roman" w:hAnsi="Times New Roman"/>
          <w:sz w:val="24"/>
          <w:szCs w:val="24"/>
          <w:lang w:eastAsia="pl-PL"/>
        </w:rPr>
        <w:t xml:space="preserve">Podobnie proponuje się stosowaniu już zmienianych przepisów </w:t>
      </w:r>
      <w:proofErr w:type="spellStart"/>
      <w:r w:rsidRPr="0040535D">
        <w:rPr>
          <w:rFonts w:ascii="Times New Roman" w:hAnsi="Times New Roman"/>
          <w:sz w:val="24"/>
          <w:szCs w:val="24"/>
          <w:lang w:eastAsia="pl-PL"/>
        </w:rPr>
        <w:t>ufp</w:t>
      </w:r>
      <w:proofErr w:type="spellEnd"/>
      <w:r w:rsidRPr="0040535D">
        <w:rPr>
          <w:rFonts w:ascii="Times New Roman" w:hAnsi="Times New Roman"/>
          <w:sz w:val="24"/>
          <w:szCs w:val="24"/>
          <w:lang w:eastAsia="pl-PL"/>
        </w:rPr>
        <w:t xml:space="preserve"> d</w:t>
      </w:r>
      <w:r w:rsidR="00A83392" w:rsidRPr="0040535D">
        <w:rPr>
          <w:rFonts w:ascii="Times New Roman" w:hAnsi="Times New Roman"/>
          <w:sz w:val="24"/>
          <w:szCs w:val="24"/>
          <w:lang w:eastAsia="pl-PL"/>
        </w:rPr>
        <w:t>o umów o dofinansowanie oraz decyzji o dofinansowaniu zawartych w ramach perspektywy finansowej 2014-2020</w:t>
      </w:r>
      <w:r w:rsidRPr="0040535D">
        <w:rPr>
          <w:rFonts w:ascii="Times New Roman" w:hAnsi="Times New Roman"/>
          <w:sz w:val="24"/>
          <w:szCs w:val="24"/>
          <w:lang w:eastAsia="pl-PL"/>
        </w:rPr>
        <w:t>.</w:t>
      </w:r>
    </w:p>
    <w:p w14:paraId="61FADC91" w14:textId="77777777" w:rsidR="003F4CB1" w:rsidRDefault="00E56D55" w:rsidP="00100244">
      <w:pPr>
        <w:autoSpaceDE w:val="0"/>
        <w:autoSpaceDN w:val="0"/>
        <w:adjustRightInd w:val="0"/>
        <w:spacing w:after="0" w:line="360" w:lineRule="auto"/>
        <w:jc w:val="both"/>
        <w:rPr>
          <w:rFonts w:ascii="Times New Roman" w:hAnsi="Times New Roman"/>
          <w:sz w:val="24"/>
          <w:szCs w:val="24"/>
          <w:lang w:eastAsia="pl-PL"/>
        </w:rPr>
      </w:pPr>
      <w:r w:rsidRPr="00833E51">
        <w:rPr>
          <w:rFonts w:ascii="Times New Roman" w:hAnsi="Times New Roman"/>
          <w:b/>
          <w:sz w:val="24"/>
          <w:szCs w:val="24"/>
          <w:lang w:eastAsia="pl-PL"/>
        </w:rPr>
        <w:lastRenderedPageBreak/>
        <w:t xml:space="preserve">Art. </w:t>
      </w:r>
      <w:r w:rsidR="003F4CB1" w:rsidRPr="00833E51">
        <w:rPr>
          <w:rFonts w:ascii="Times New Roman" w:hAnsi="Times New Roman"/>
          <w:b/>
          <w:sz w:val="24"/>
          <w:szCs w:val="24"/>
          <w:lang w:eastAsia="pl-PL"/>
        </w:rPr>
        <w:t>14</w:t>
      </w:r>
      <w:r w:rsidR="003F4CB1">
        <w:rPr>
          <w:rFonts w:ascii="Times New Roman" w:hAnsi="Times New Roman"/>
          <w:b/>
          <w:sz w:val="24"/>
          <w:szCs w:val="24"/>
          <w:lang w:eastAsia="pl-PL"/>
        </w:rPr>
        <w:t>1</w:t>
      </w:r>
      <w:r w:rsidR="003F4CB1">
        <w:rPr>
          <w:rFonts w:ascii="Times New Roman" w:hAnsi="Times New Roman"/>
          <w:sz w:val="24"/>
          <w:szCs w:val="24"/>
          <w:lang w:eastAsia="pl-PL"/>
        </w:rPr>
        <w:t xml:space="preserve"> </w:t>
      </w:r>
      <w:r>
        <w:rPr>
          <w:rFonts w:ascii="Times New Roman" w:hAnsi="Times New Roman"/>
          <w:sz w:val="24"/>
          <w:szCs w:val="24"/>
          <w:lang w:eastAsia="pl-PL"/>
        </w:rPr>
        <w:t>utrzymuje w mocy dotychczasowe przepisy wykonawcze wydane na podstawie</w:t>
      </w:r>
      <w:r w:rsidR="003F4CB1">
        <w:rPr>
          <w:rFonts w:ascii="Times New Roman" w:hAnsi="Times New Roman"/>
          <w:sz w:val="24"/>
          <w:szCs w:val="24"/>
          <w:lang w:eastAsia="pl-PL"/>
        </w:rPr>
        <w:t>:</w:t>
      </w:r>
    </w:p>
    <w:p w14:paraId="6FEC9E42" w14:textId="77777777" w:rsidR="003F4CB1" w:rsidRDefault="003F4CB1" w:rsidP="00100244">
      <w:pPr>
        <w:autoSpaceDE w:val="0"/>
        <w:autoSpaceDN w:val="0"/>
        <w:adjustRightInd w:val="0"/>
        <w:spacing w:after="0" w:line="360" w:lineRule="auto"/>
        <w:jc w:val="both"/>
        <w:rPr>
          <w:rFonts w:ascii="Times New Roman" w:hAnsi="Times New Roman"/>
          <w:sz w:val="24"/>
          <w:szCs w:val="24"/>
          <w:lang w:eastAsia="pl-PL"/>
        </w:rPr>
      </w:pPr>
      <w:r w:rsidRPr="003F4CB1">
        <w:rPr>
          <w:rFonts w:ascii="Times New Roman" w:hAnsi="Times New Roman"/>
          <w:sz w:val="24"/>
          <w:szCs w:val="24"/>
          <w:lang w:eastAsia="pl-PL"/>
        </w:rPr>
        <w:t>1)</w:t>
      </w:r>
      <w:r w:rsidRPr="005E6479">
        <w:rPr>
          <w:rFonts w:ascii="Times New Roman" w:hAnsi="Times New Roman"/>
          <w:sz w:val="24"/>
          <w:szCs w:val="24"/>
        </w:rPr>
        <w:t xml:space="preserve"> art. 6a ust. 5 ustawy zmienianej w art. 101</w:t>
      </w:r>
      <w:r>
        <w:rPr>
          <w:rFonts w:ascii="Times New Roman" w:hAnsi="Times New Roman"/>
        </w:rPr>
        <w:t xml:space="preserve"> </w:t>
      </w:r>
      <w:r w:rsidRPr="003F4CB1">
        <w:rPr>
          <w:rFonts w:ascii="Times New Roman" w:hAnsi="Times New Roman"/>
        </w:rPr>
        <w:t xml:space="preserve">- </w:t>
      </w:r>
      <w:r w:rsidRPr="003F4CB1">
        <w:rPr>
          <w:rFonts w:ascii="Times New Roman" w:hAnsi="Times New Roman"/>
          <w:iCs/>
          <w:sz w:val="24"/>
          <w:szCs w:val="24"/>
          <w:lang w:eastAsia="pl-PL"/>
        </w:rPr>
        <w:t>konsekwencj</w:t>
      </w:r>
      <w:r>
        <w:rPr>
          <w:rFonts w:ascii="Times New Roman" w:hAnsi="Times New Roman"/>
          <w:iCs/>
          <w:sz w:val="24"/>
          <w:szCs w:val="24"/>
          <w:lang w:eastAsia="pl-PL"/>
        </w:rPr>
        <w:t>a</w:t>
      </w:r>
      <w:r w:rsidRPr="003F4CB1">
        <w:rPr>
          <w:rFonts w:ascii="Times New Roman" w:hAnsi="Times New Roman"/>
          <w:iCs/>
          <w:sz w:val="24"/>
          <w:szCs w:val="24"/>
          <w:lang w:eastAsia="pl-PL"/>
        </w:rPr>
        <w:t xml:space="preserve"> zmiany przepisów ustawy o </w:t>
      </w:r>
      <w:r>
        <w:rPr>
          <w:rFonts w:ascii="Times New Roman" w:hAnsi="Times New Roman"/>
          <w:iCs/>
          <w:sz w:val="24"/>
          <w:szCs w:val="24"/>
          <w:lang w:eastAsia="pl-PL"/>
        </w:rPr>
        <w:t>Polskiej Agencji Rozwoju</w:t>
      </w:r>
      <w:r w:rsidRPr="003F4CB1">
        <w:rPr>
          <w:rFonts w:ascii="Times New Roman" w:hAnsi="Times New Roman"/>
          <w:iCs/>
          <w:sz w:val="24"/>
          <w:szCs w:val="24"/>
          <w:lang w:eastAsia="pl-PL"/>
        </w:rPr>
        <w:t xml:space="preserve"> w tym upoważnienia ustawowego, </w:t>
      </w:r>
      <w:r>
        <w:rPr>
          <w:rFonts w:ascii="Times New Roman" w:hAnsi="Times New Roman"/>
          <w:iCs/>
          <w:sz w:val="24"/>
          <w:szCs w:val="24"/>
          <w:lang w:eastAsia="pl-PL"/>
        </w:rPr>
        <w:t xml:space="preserve">dotyczy </w:t>
      </w:r>
      <w:r w:rsidRPr="003F4CB1">
        <w:rPr>
          <w:rFonts w:ascii="Times New Roman" w:hAnsi="Times New Roman"/>
          <w:iCs/>
          <w:sz w:val="24"/>
          <w:szCs w:val="24"/>
          <w:lang w:eastAsia="pl-PL"/>
        </w:rPr>
        <w:t>utrzym</w:t>
      </w:r>
      <w:r>
        <w:rPr>
          <w:rFonts w:ascii="Times New Roman" w:hAnsi="Times New Roman"/>
          <w:iCs/>
          <w:sz w:val="24"/>
          <w:szCs w:val="24"/>
          <w:lang w:eastAsia="pl-PL"/>
        </w:rPr>
        <w:t>ania</w:t>
      </w:r>
      <w:r w:rsidRPr="003F4CB1">
        <w:rPr>
          <w:rFonts w:ascii="Times New Roman" w:hAnsi="Times New Roman"/>
          <w:iCs/>
          <w:sz w:val="24"/>
          <w:szCs w:val="24"/>
          <w:lang w:eastAsia="pl-PL"/>
        </w:rPr>
        <w:t xml:space="preserve"> w mocy dotychczas obowiązujące rozporządzenie Ministra Rozwoju i Finansów z dnia 29 sierpnia 2017 r. w sprawie rejestru podmiotów świadczących usługi rozwojowe do czasu wydania nowego rozporządzenia, jednak nie dłużej niż przez okres 18 miesięcy od dnia wejścia w życie ustawy.</w:t>
      </w:r>
    </w:p>
    <w:p w14:paraId="63804648" w14:textId="77777777" w:rsidR="00555DC0" w:rsidRPr="0040535D" w:rsidRDefault="003F4CB1" w:rsidP="00100244">
      <w:pPr>
        <w:autoSpaceDE w:val="0"/>
        <w:autoSpaceDN w:val="0"/>
        <w:adjustRightInd w:val="0"/>
        <w:spacing w:after="0" w:line="360" w:lineRule="auto"/>
        <w:jc w:val="both"/>
        <w:rPr>
          <w:rFonts w:ascii="Times New Roman" w:hAnsi="Times New Roman"/>
          <w:sz w:val="24"/>
          <w:szCs w:val="24"/>
          <w:lang w:eastAsia="pl-PL"/>
        </w:rPr>
      </w:pPr>
      <w:r>
        <w:rPr>
          <w:rFonts w:ascii="Times New Roman" w:hAnsi="Times New Roman"/>
          <w:sz w:val="24"/>
          <w:szCs w:val="24"/>
          <w:lang w:eastAsia="pl-PL"/>
        </w:rPr>
        <w:t>2)</w:t>
      </w:r>
      <w:r w:rsidR="00E56D55">
        <w:rPr>
          <w:rFonts w:ascii="Times New Roman" w:hAnsi="Times New Roman"/>
          <w:sz w:val="24"/>
          <w:szCs w:val="24"/>
          <w:lang w:eastAsia="pl-PL"/>
        </w:rPr>
        <w:t xml:space="preserve"> </w:t>
      </w:r>
      <w:proofErr w:type="spellStart"/>
      <w:r w:rsidR="00E56D55">
        <w:rPr>
          <w:rFonts w:ascii="Times New Roman" w:hAnsi="Times New Roman"/>
          <w:sz w:val="24"/>
          <w:szCs w:val="24"/>
          <w:lang w:eastAsia="pl-PL"/>
        </w:rPr>
        <w:t>ufp</w:t>
      </w:r>
      <w:proofErr w:type="spellEnd"/>
      <w:r w:rsidR="00E56D55">
        <w:rPr>
          <w:rFonts w:ascii="Times New Roman" w:hAnsi="Times New Roman"/>
          <w:sz w:val="24"/>
          <w:szCs w:val="24"/>
          <w:lang w:eastAsia="pl-PL"/>
        </w:rPr>
        <w:t xml:space="preserve">, do czasu wydania nowych aktów </w:t>
      </w:r>
      <w:r w:rsidR="008E6E89">
        <w:rPr>
          <w:rFonts w:ascii="Times New Roman" w:hAnsi="Times New Roman"/>
          <w:sz w:val="24"/>
          <w:szCs w:val="24"/>
          <w:lang w:eastAsia="pl-PL"/>
        </w:rPr>
        <w:t xml:space="preserve">wykonawczych na podstawie zmienionych przepisów </w:t>
      </w:r>
      <w:proofErr w:type="spellStart"/>
      <w:r w:rsidR="008E6E89">
        <w:rPr>
          <w:rFonts w:ascii="Times New Roman" w:hAnsi="Times New Roman"/>
          <w:sz w:val="24"/>
          <w:szCs w:val="24"/>
          <w:lang w:eastAsia="pl-PL"/>
        </w:rPr>
        <w:t>ufp</w:t>
      </w:r>
      <w:proofErr w:type="spellEnd"/>
      <w:r w:rsidR="008E6E89">
        <w:rPr>
          <w:rFonts w:ascii="Times New Roman" w:hAnsi="Times New Roman"/>
          <w:sz w:val="24"/>
          <w:szCs w:val="24"/>
          <w:lang w:eastAsia="pl-PL"/>
        </w:rPr>
        <w:t>.</w:t>
      </w:r>
    </w:p>
    <w:p w14:paraId="4B151F2F" w14:textId="77777777" w:rsidR="00012503" w:rsidRPr="0040535D" w:rsidRDefault="00012503" w:rsidP="00B603B4">
      <w:pPr>
        <w:autoSpaceDE w:val="0"/>
        <w:autoSpaceDN w:val="0"/>
        <w:adjustRightInd w:val="0"/>
        <w:spacing w:after="0" w:line="360" w:lineRule="auto"/>
        <w:jc w:val="both"/>
        <w:rPr>
          <w:rFonts w:ascii="Times New Roman" w:hAnsi="Times New Roman"/>
          <w:sz w:val="24"/>
          <w:szCs w:val="24"/>
          <w:lang w:eastAsia="pl-PL"/>
        </w:rPr>
      </w:pPr>
      <w:r w:rsidRPr="0040535D">
        <w:rPr>
          <w:rFonts w:ascii="Times New Roman" w:hAnsi="Times New Roman"/>
          <w:sz w:val="24"/>
          <w:szCs w:val="24"/>
          <w:lang w:eastAsia="pl-PL"/>
        </w:rPr>
        <w:t>W związku z tym, że obecnie zawierane są umowy o zarządzanie PPK przez podmioty, które zostaną objęte ustawą, konieczne jest wprowadzenie w</w:t>
      </w:r>
      <w:r w:rsidRPr="0040535D">
        <w:rPr>
          <w:rFonts w:ascii="Times New Roman" w:hAnsi="Times New Roman"/>
          <w:b/>
          <w:sz w:val="24"/>
          <w:szCs w:val="24"/>
          <w:lang w:eastAsia="pl-PL"/>
        </w:rPr>
        <w:t xml:space="preserve"> art. </w:t>
      </w:r>
      <w:r w:rsidR="00DC69C2">
        <w:rPr>
          <w:rFonts w:ascii="Times New Roman" w:hAnsi="Times New Roman"/>
          <w:b/>
          <w:sz w:val="24"/>
          <w:szCs w:val="24"/>
          <w:lang w:eastAsia="pl-PL"/>
        </w:rPr>
        <w:t> </w:t>
      </w:r>
      <w:r w:rsidR="003F4CB1" w:rsidRPr="0040535D">
        <w:rPr>
          <w:rFonts w:ascii="Times New Roman" w:hAnsi="Times New Roman"/>
          <w:b/>
          <w:sz w:val="24"/>
          <w:szCs w:val="24"/>
          <w:lang w:eastAsia="pl-PL"/>
        </w:rPr>
        <w:t>14</w:t>
      </w:r>
      <w:r w:rsidR="003F4CB1">
        <w:rPr>
          <w:rFonts w:ascii="Times New Roman" w:hAnsi="Times New Roman"/>
          <w:b/>
          <w:sz w:val="24"/>
          <w:szCs w:val="24"/>
          <w:lang w:eastAsia="pl-PL"/>
        </w:rPr>
        <w:t xml:space="preserve">2 </w:t>
      </w:r>
      <w:r w:rsidRPr="0040535D">
        <w:rPr>
          <w:rFonts w:ascii="Times New Roman" w:hAnsi="Times New Roman"/>
          <w:sz w:val="24"/>
          <w:szCs w:val="24"/>
          <w:lang w:eastAsia="pl-PL"/>
        </w:rPr>
        <w:t xml:space="preserve">przepisu przejściowego. Proponuje się, aby przewidywał on, że rozwiązania dotyczące podmiotu zatrudniającego i numeru identyfikacyjnego, miały zastosowanie także do umów o zarządzanie PPK i umów o prowadzenie PPK zawartych przed wejściem w życie projektowanej ustawy (art. </w:t>
      </w:r>
      <w:r w:rsidR="000460FA" w:rsidRPr="0040535D">
        <w:rPr>
          <w:rFonts w:ascii="Times New Roman" w:hAnsi="Times New Roman"/>
          <w:sz w:val="24"/>
          <w:szCs w:val="24"/>
          <w:lang w:eastAsia="pl-PL"/>
        </w:rPr>
        <w:t>12</w:t>
      </w:r>
      <w:r w:rsidR="000460FA">
        <w:rPr>
          <w:rFonts w:ascii="Times New Roman" w:hAnsi="Times New Roman"/>
          <w:sz w:val="24"/>
          <w:szCs w:val="24"/>
          <w:lang w:eastAsia="pl-PL"/>
        </w:rPr>
        <w:t>5</w:t>
      </w:r>
      <w:r w:rsidR="000460FA" w:rsidRPr="0040535D">
        <w:rPr>
          <w:rFonts w:ascii="Times New Roman" w:hAnsi="Times New Roman"/>
          <w:sz w:val="24"/>
          <w:szCs w:val="24"/>
          <w:lang w:eastAsia="pl-PL"/>
        </w:rPr>
        <w:t xml:space="preserve"> </w:t>
      </w:r>
      <w:r w:rsidRPr="0040535D">
        <w:rPr>
          <w:rFonts w:ascii="Times New Roman" w:hAnsi="Times New Roman"/>
          <w:sz w:val="24"/>
          <w:szCs w:val="24"/>
          <w:lang w:eastAsia="pl-PL"/>
        </w:rPr>
        <w:t>projektu). Brak przepisu przejściowego spowoduje brak możliwości realizowania przez te podmioty obowiązków w zakresie PPK ze względu na brak możliwości zaewidencjonowania tych umów w ewidencji PPK, jak również w systemach informatycznych instytucji finansowych zarządzających PPK.</w:t>
      </w:r>
    </w:p>
    <w:p w14:paraId="045A1E8D" w14:textId="77777777" w:rsidR="005C25A4" w:rsidRPr="0040535D" w:rsidRDefault="005C25A4" w:rsidP="009A0EE5">
      <w:pPr>
        <w:pStyle w:val="ARTartustawynprozporzdzenia"/>
        <w:ind w:firstLine="0"/>
        <w:rPr>
          <w:rFonts w:ascii="Times New Roman" w:hAnsi="Times New Roman" w:cs="Times New Roman"/>
          <w:szCs w:val="24"/>
        </w:rPr>
      </w:pPr>
      <w:r w:rsidRPr="0040535D">
        <w:rPr>
          <w:rFonts w:ascii="Times New Roman" w:hAnsi="Times New Roman" w:cs="Times New Roman"/>
          <w:szCs w:val="24"/>
        </w:rPr>
        <w:t xml:space="preserve">W </w:t>
      </w:r>
      <w:r w:rsidRPr="0040535D">
        <w:rPr>
          <w:rFonts w:ascii="Times New Roman" w:hAnsi="Times New Roman" w:cs="Times New Roman"/>
          <w:b/>
          <w:szCs w:val="24"/>
        </w:rPr>
        <w:t>art. </w:t>
      </w:r>
      <w:r w:rsidR="003F4CB1" w:rsidRPr="0040535D">
        <w:rPr>
          <w:rFonts w:ascii="Times New Roman" w:hAnsi="Times New Roman" w:cs="Times New Roman"/>
          <w:b/>
          <w:szCs w:val="24"/>
        </w:rPr>
        <w:t>14</w:t>
      </w:r>
      <w:r w:rsidR="003F4CB1">
        <w:rPr>
          <w:rFonts w:ascii="Times New Roman" w:hAnsi="Times New Roman" w:cs="Times New Roman"/>
          <w:b/>
          <w:szCs w:val="24"/>
        </w:rPr>
        <w:t>3</w:t>
      </w:r>
      <w:r w:rsidR="003F4CB1" w:rsidRPr="0040535D">
        <w:rPr>
          <w:rFonts w:ascii="Times New Roman" w:hAnsi="Times New Roman" w:cs="Times New Roman"/>
          <w:b/>
          <w:szCs w:val="24"/>
        </w:rPr>
        <w:t xml:space="preserve"> </w:t>
      </w:r>
      <w:r w:rsidRPr="0040535D">
        <w:rPr>
          <w:rFonts w:ascii="Times New Roman" w:hAnsi="Times New Roman" w:cs="Times New Roman"/>
          <w:szCs w:val="24"/>
        </w:rPr>
        <w:t xml:space="preserve">zawarto uregulowania dotyczące pierwszego planu finansowego Funduszu </w:t>
      </w:r>
      <w:bookmarkStart w:id="1" w:name="_Hlk78812186"/>
      <w:r w:rsidRPr="0040535D">
        <w:rPr>
          <w:rFonts w:ascii="Times New Roman" w:hAnsi="Times New Roman" w:cs="Times New Roman"/>
          <w:szCs w:val="24"/>
        </w:rPr>
        <w:t>Rozwoju Regionalnego</w:t>
      </w:r>
      <w:bookmarkEnd w:id="1"/>
      <w:r w:rsidRPr="0040535D">
        <w:rPr>
          <w:rFonts w:ascii="Times New Roman" w:hAnsi="Times New Roman" w:cs="Times New Roman"/>
          <w:szCs w:val="24"/>
        </w:rPr>
        <w:t xml:space="preserve">, o którym mowa w art. 24g </w:t>
      </w:r>
      <w:proofErr w:type="spellStart"/>
      <w:r w:rsidRPr="0040535D">
        <w:rPr>
          <w:rFonts w:ascii="Times New Roman" w:hAnsi="Times New Roman" w:cs="Times New Roman"/>
          <w:szCs w:val="24"/>
        </w:rPr>
        <w:t>uzppr</w:t>
      </w:r>
      <w:proofErr w:type="spellEnd"/>
      <w:r w:rsidRPr="0040535D">
        <w:rPr>
          <w:rFonts w:ascii="Times New Roman" w:hAnsi="Times New Roman" w:cs="Times New Roman"/>
          <w:szCs w:val="24"/>
        </w:rPr>
        <w:t>. Zgodnie z ust. 1 sporządza go dysponent na okres od dnia utworzenia Funduszu Rozwoju Regionalnego na rok 2022. Projekt planu, jest sporządzany w terminie 14 dni od dnia wejścia w życie niniejszej ustawy (ust. 2).</w:t>
      </w:r>
    </w:p>
    <w:p w14:paraId="12A0EF30" w14:textId="77777777" w:rsidR="00CD72EC" w:rsidRPr="00DF0423" w:rsidRDefault="00CD72EC" w:rsidP="00CD72EC">
      <w:pPr>
        <w:pStyle w:val="ARTartustawynprozporzdzenia"/>
        <w:rPr>
          <w:rFonts w:ascii="Times New Roman" w:hAnsi="Times New Roman" w:cs="Times New Roman"/>
        </w:rPr>
      </w:pPr>
      <w:r w:rsidRPr="00F00A1F">
        <w:rPr>
          <w:rStyle w:val="Ppogrubienie"/>
          <w:rFonts w:ascii="Times New Roman" w:hAnsi="Times New Roman" w:cs="Times New Roman"/>
        </w:rPr>
        <w:t>Art. 14</w:t>
      </w:r>
      <w:r>
        <w:rPr>
          <w:rStyle w:val="Ppogrubienie"/>
          <w:rFonts w:ascii="Times New Roman" w:hAnsi="Times New Roman" w:cs="Times New Roman"/>
        </w:rPr>
        <w:t>4</w:t>
      </w:r>
      <w:r w:rsidRPr="00DF0423">
        <w:rPr>
          <w:rStyle w:val="Ppogrubienie"/>
          <w:rFonts w:ascii="Times New Roman" w:hAnsi="Times New Roman" w:cs="Times New Roman"/>
        </w:rPr>
        <w:t>.</w:t>
      </w:r>
      <w:r w:rsidRPr="00DF0423">
        <w:rPr>
          <w:rFonts w:ascii="Times New Roman" w:hAnsi="Times New Roman" w:cs="Times New Roman"/>
        </w:rPr>
        <w:t xml:space="preserve"> Ustawa wchodzi w życie po upływie 14 dni od dnia ogłoszenia, z wyjątkiem:</w:t>
      </w:r>
    </w:p>
    <w:p w14:paraId="4304AD46" w14:textId="77777777" w:rsidR="00CD72EC" w:rsidRDefault="00CD72EC" w:rsidP="00CD72EC">
      <w:pPr>
        <w:pStyle w:val="PKTpunkt"/>
        <w:numPr>
          <w:ilvl w:val="0"/>
          <w:numId w:val="25"/>
        </w:numPr>
      </w:pPr>
      <w:r w:rsidRPr="00166338">
        <w:t xml:space="preserve">art. 125 pkt </w:t>
      </w:r>
      <w:r>
        <w:t>11 lit. b</w:t>
      </w:r>
      <w:r w:rsidRPr="00166338">
        <w:t xml:space="preserve"> i </w:t>
      </w:r>
      <w:r>
        <w:t xml:space="preserve">pkt </w:t>
      </w:r>
      <w:r w:rsidRPr="00166338">
        <w:t>1</w:t>
      </w:r>
      <w:r>
        <w:t>3</w:t>
      </w:r>
      <w:r w:rsidRPr="00166338">
        <w:t>, które wchodzą w życie z dniem następującym po dniu ogłoszenia, z mocą od dnia 1 lipca 2019 r.;</w:t>
      </w:r>
    </w:p>
    <w:p w14:paraId="2578300C" w14:textId="77777777" w:rsidR="00CD72EC" w:rsidRPr="00FD0530" w:rsidRDefault="00CD72EC" w:rsidP="00CD72EC">
      <w:pPr>
        <w:pStyle w:val="Akapitzlist"/>
        <w:numPr>
          <w:ilvl w:val="0"/>
          <w:numId w:val="25"/>
        </w:numPr>
        <w:contextualSpacing w:val="0"/>
        <w:rPr>
          <w:rFonts w:ascii="Times" w:eastAsia="Times New Roman" w:hAnsi="Times" w:cs="Arial"/>
          <w:bCs/>
          <w:sz w:val="24"/>
          <w:szCs w:val="20"/>
          <w:lang w:eastAsia="pl-PL"/>
        </w:rPr>
      </w:pPr>
      <w:r w:rsidRPr="00FD0530">
        <w:rPr>
          <w:rFonts w:ascii="Times" w:eastAsia="Times New Roman" w:hAnsi="Times" w:cs="Arial"/>
          <w:bCs/>
          <w:sz w:val="24"/>
          <w:szCs w:val="20"/>
          <w:lang w:eastAsia="pl-PL"/>
        </w:rPr>
        <w:t>art. 125 pkt 12, który wchodzi w życie po upływie 6 miesięcy od dnia ogłoszenia, z mocą od dnia 1 lipca 2019 r.;</w:t>
      </w:r>
    </w:p>
    <w:p w14:paraId="0ED7F921" w14:textId="77777777" w:rsidR="00CD72EC" w:rsidRDefault="00CD72EC" w:rsidP="00CD72EC">
      <w:pPr>
        <w:pStyle w:val="PKTpunkt"/>
        <w:numPr>
          <w:ilvl w:val="0"/>
          <w:numId w:val="25"/>
        </w:numPr>
      </w:pPr>
      <w:r w:rsidRPr="00166338">
        <w:t>art. 111 i art. 138, które wchodzą w życie z dniem następującym po dniu ogłoszenia</w:t>
      </w:r>
      <w:r>
        <w:t>;</w:t>
      </w:r>
    </w:p>
    <w:p w14:paraId="0E7D2662" w14:textId="77777777" w:rsidR="00CD72EC" w:rsidRDefault="00CD72EC" w:rsidP="00CD72EC">
      <w:pPr>
        <w:pStyle w:val="PKTpunkt"/>
        <w:numPr>
          <w:ilvl w:val="0"/>
          <w:numId w:val="25"/>
        </w:numPr>
      </w:pPr>
      <w:r>
        <w:t>art. 84, który wchodzi w życie z dniem 1 lipca 2022 r.;</w:t>
      </w:r>
    </w:p>
    <w:p w14:paraId="72362456" w14:textId="77777777" w:rsidR="00CD72EC" w:rsidRDefault="00CD72EC" w:rsidP="00CD72EC">
      <w:pPr>
        <w:pStyle w:val="PKTpunkt"/>
        <w:numPr>
          <w:ilvl w:val="0"/>
          <w:numId w:val="25"/>
        </w:numPr>
      </w:pPr>
      <w:r w:rsidRPr="003222B2">
        <w:t>art. 113 pkt 4 lit. b i pkt 5 oraz art. 1</w:t>
      </w:r>
      <w:r>
        <w:t>39</w:t>
      </w:r>
      <w:r w:rsidRPr="003222B2">
        <w:t>, które wchodzą w życie po upływie 3 miesięcy od dnia ogłoszenia;</w:t>
      </w:r>
    </w:p>
    <w:p w14:paraId="221CF3ED" w14:textId="77777777" w:rsidR="00CD72EC" w:rsidRDefault="00CD72EC" w:rsidP="00CD72EC">
      <w:pPr>
        <w:pStyle w:val="PKTpunkt"/>
        <w:numPr>
          <w:ilvl w:val="0"/>
          <w:numId w:val="25"/>
        </w:numPr>
      </w:pPr>
      <w:r w:rsidRPr="00166338">
        <w:t xml:space="preserve">art. 125 pkt </w:t>
      </w:r>
      <w:r>
        <w:t>10</w:t>
      </w:r>
      <w:r w:rsidRPr="00166338">
        <w:t>, 1</w:t>
      </w:r>
      <w:r>
        <w:t>7</w:t>
      </w:r>
      <w:r w:rsidRPr="00166338">
        <w:t>, 1</w:t>
      </w:r>
      <w:r>
        <w:t>8</w:t>
      </w:r>
      <w:r w:rsidRPr="00166338">
        <w:t xml:space="preserve"> i </w:t>
      </w:r>
      <w:r>
        <w:t>20</w:t>
      </w:r>
      <w:r w:rsidRPr="00166338">
        <w:t>, które wchodzą w życie po upływie 6 miesięcy od dnia ogłoszenia;</w:t>
      </w:r>
    </w:p>
    <w:p w14:paraId="1A628E86" w14:textId="765593A4" w:rsidR="00CD72EC" w:rsidRPr="00CD72EC" w:rsidRDefault="00CD72EC" w:rsidP="00CD72EC">
      <w:pPr>
        <w:pStyle w:val="PKTpunkt"/>
        <w:numPr>
          <w:ilvl w:val="0"/>
          <w:numId w:val="25"/>
        </w:numPr>
      </w:pPr>
      <w:r w:rsidRPr="003222B2">
        <w:lastRenderedPageBreak/>
        <w:t>art. 113 pkt 1</w:t>
      </w:r>
      <w:r>
        <w:t>9</w:t>
      </w:r>
      <w:r w:rsidRPr="003222B2">
        <w:t xml:space="preserve"> i art. 14</w:t>
      </w:r>
      <w:r>
        <w:t>1</w:t>
      </w:r>
      <w:r w:rsidRPr="003222B2">
        <w:t xml:space="preserve"> ust. </w:t>
      </w:r>
      <w:r>
        <w:t>4</w:t>
      </w:r>
      <w:r w:rsidRPr="003222B2">
        <w:t>, które wchodzą w życie po upływie 36 miesięcy od dnia ogłoszenia</w:t>
      </w:r>
      <w:r>
        <w:t>.</w:t>
      </w:r>
    </w:p>
    <w:p w14:paraId="6B950A3C" w14:textId="22DE0424" w:rsidR="00067347" w:rsidRPr="00067347" w:rsidRDefault="00067347" w:rsidP="00067347">
      <w:pPr>
        <w:suppressAutoHyphens/>
        <w:spacing w:before="120" w:after="120" w:line="360" w:lineRule="auto"/>
        <w:jc w:val="both"/>
        <w:rPr>
          <w:rFonts w:ascii="Times New Roman" w:hAnsi="Times New Roman"/>
          <w:sz w:val="24"/>
          <w:szCs w:val="24"/>
        </w:rPr>
      </w:pPr>
      <w:r w:rsidRPr="00067347">
        <w:rPr>
          <w:rFonts w:ascii="Times New Roman" w:hAnsi="Times New Roman"/>
          <w:sz w:val="24"/>
          <w:szCs w:val="24"/>
        </w:rPr>
        <w:t>Proponowana zmiana ma na celu nadanie przepisowi art. 125 pkt 12 projektu ustawy mocy wstecznej - od dnia 1 lipca 2019 r. Przepis art. 125 pkt 12 przewiduje zmianę art. 34 ustawy z dnia 4 października 2018 r. o pracowniczych planach kapitałowych (Dz. U. z 2020 r. poz. 1342), polegającą na dodaniu przepisu ust. 5, zgodnie z którym w przypadku gdy uczestnik PPK, który nabył prawo do dopłaty rocznej za dany rok, nie został uwzględniony w informacji o liczbie uczestników PPK, którzy nabyli prawo do dopłaty rocznej za ten rok, przekazywanej do ministra właściwego do spraw pracy, dopłatę roczną za ten rok ewidencjonuje się na rachunku PPK tego uczestnika PPK w roku następnym albo w kolejnych latach, na wniosek złożony przez tego uczestnika PPK, PFR, instytucję finansową lub podmiot zatrudniający – pod warunkiem, że prawo do tej dopłaty rocznej nie uległo przedawnieniu.</w:t>
      </w:r>
    </w:p>
    <w:p w14:paraId="0393F131" w14:textId="4FB6804E" w:rsidR="00067347" w:rsidRDefault="00067347" w:rsidP="00067347">
      <w:pPr>
        <w:suppressAutoHyphens/>
        <w:spacing w:before="120" w:after="120" w:line="360" w:lineRule="auto"/>
        <w:jc w:val="both"/>
        <w:rPr>
          <w:rFonts w:ascii="Times New Roman" w:hAnsi="Times New Roman"/>
          <w:sz w:val="24"/>
          <w:szCs w:val="24"/>
        </w:rPr>
      </w:pPr>
      <w:r w:rsidRPr="00067347">
        <w:rPr>
          <w:rFonts w:ascii="Times New Roman" w:hAnsi="Times New Roman"/>
          <w:sz w:val="24"/>
          <w:szCs w:val="24"/>
        </w:rPr>
        <w:t>Proponowana zmiana wynika ze zidentyfikowanego przez PFR S.A. w toku realizacji PPK problemu związanego z brakiem możliwości naliczenia oraz zaewidencjonowania dopłaty rocznej dla uczestników PPK, którzy z różnych względów nie znaleźli się na liście przekazywanej przez PFR do ministra właściwego do spraw pracy. We wszystkich zidentyfikowanych przez PFR przypadkach nieumieszczenie uczestnika PPK na tej liście wynikało z błędów po stronie podmiotów zatrudniających bądź instytucji finansowych. Zgodnie z proponowanym przepisem, w przypadku gdy uczestnik PPK nabędzie prawo do dopłaty rocznej, lecz nie zostanie uwzględniony w informacji o liczbie uczestników PPK, którzy nabyli prawo do dopłaty rocznej przekazywanej do ministra właściwego do spraw pracy, dopłata roczna za ten rok może zostać zaewidencjonowana na rachunku PPK tego uczestnika PPK w kolejnych latach z zachowaniem terminów przedawnienia roszczeń pod warunkiem złożenia do PFR wniosku w tym przedmiocie przez instytucję finansową, podmiot zatrudniający lub uczestnika PPK. Z analiz przeprowadzonych przez PFR wynika, że sytuacja taka może dotyczyć ok. 1200 uczestników PPK – przyczyny nieuwzględnienia uczestników PPK w kalkulacji do dopłaty rocznej leżały po stronie agentów transferowych lub podmiotów zatrudniających. W celu objęcia zmienianym art. 34 ustawy o pracowniczych planów kapitałowych tej grupy uczestników PPK, konieczne jest przyjęcie mocy obowiązywania zmienionego przepisu od dnia 1 lipca 2019 r.</w:t>
      </w:r>
    </w:p>
    <w:p w14:paraId="1414CA62" w14:textId="58A9C268" w:rsidR="006F0ADE" w:rsidRPr="0040535D" w:rsidRDefault="006F0ADE" w:rsidP="009A0EE5">
      <w:pPr>
        <w:suppressAutoHyphens/>
        <w:spacing w:before="120" w:after="120" w:line="360" w:lineRule="auto"/>
        <w:jc w:val="both"/>
        <w:rPr>
          <w:rFonts w:ascii="Times New Roman" w:hAnsi="Times New Roman"/>
          <w:sz w:val="24"/>
          <w:szCs w:val="24"/>
        </w:rPr>
      </w:pPr>
      <w:r w:rsidRPr="0040535D">
        <w:rPr>
          <w:rFonts w:ascii="Times New Roman" w:hAnsi="Times New Roman"/>
          <w:sz w:val="24"/>
          <w:szCs w:val="24"/>
        </w:rPr>
        <w:t>Projekt ustawy jest zgodny z prawem Unii Europejskiej.</w:t>
      </w:r>
    </w:p>
    <w:p w14:paraId="7CA4BBEF" w14:textId="77777777" w:rsidR="006F0ADE" w:rsidRPr="0040535D" w:rsidRDefault="006F0ADE" w:rsidP="008D25C4">
      <w:pPr>
        <w:suppressAutoHyphens/>
        <w:spacing w:before="120" w:after="120" w:line="360" w:lineRule="auto"/>
        <w:jc w:val="both"/>
        <w:rPr>
          <w:rFonts w:ascii="Times New Roman" w:hAnsi="Times New Roman"/>
          <w:sz w:val="24"/>
          <w:szCs w:val="24"/>
        </w:rPr>
      </w:pPr>
      <w:r w:rsidRPr="0040535D">
        <w:rPr>
          <w:rFonts w:ascii="Times New Roman" w:hAnsi="Times New Roman"/>
          <w:sz w:val="24"/>
          <w:szCs w:val="24"/>
        </w:rPr>
        <w:lastRenderedPageBreak/>
        <w:t xml:space="preserve">Projekt ustawy nie zawiera przepisów technicznych, a zatem nie podlega notyfikacji, zgodnie z trybem przewidzianym w przepisach rozporządzenia Rady Ministrów z dnia 23 grudnia 2002 r. w sprawie sposobu funkcjonowania krajowego systemu notyfikacji norm i aktów prawnych (Dz. U. poz. 2039, z </w:t>
      </w:r>
      <w:proofErr w:type="spellStart"/>
      <w:r w:rsidRPr="0040535D">
        <w:rPr>
          <w:rFonts w:ascii="Times New Roman" w:hAnsi="Times New Roman"/>
          <w:sz w:val="24"/>
          <w:szCs w:val="24"/>
        </w:rPr>
        <w:t>późn</w:t>
      </w:r>
      <w:proofErr w:type="spellEnd"/>
      <w:r w:rsidRPr="0040535D">
        <w:rPr>
          <w:rFonts w:ascii="Times New Roman" w:hAnsi="Times New Roman"/>
          <w:sz w:val="24"/>
          <w:szCs w:val="24"/>
        </w:rPr>
        <w:t>. zm.).</w:t>
      </w:r>
    </w:p>
    <w:p w14:paraId="56CAB1B7" w14:textId="77777777" w:rsidR="006F0ADE" w:rsidRPr="0040535D" w:rsidRDefault="006F0ADE" w:rsidP="008D4E79">
      <w:pPr>
        <w:suppressAutoHyphens/>
        <w:spacing w:before="120" w:after="120" w:line="360" w:lineRule="auto"/>
        <w:jc w:val="both"/>
        <w:rPr>
          <w:rFonts w:ascii="Times New Roman" w:hAnsi="Times New Roman"/>
          <w:sz w:val="24"/>
          <w:szCs w:val="24"/>
        </w:rPr>
      </w:pPr>
      <w:r w:rsidRPr="0040535D">
        <w:rPr>
          <w:rFonts w:ascii="Times New Roman" w:hAnsi="Times New Roman"/>
          <w:sz w:val="24"/>
          <w:szCs w:val="24"/>
        </w:rPr>
        <w:t>Projekt ustawy nie wymaga przedłożenia właściwym instytucjom i organom Unii Europejskiej, w tym Europejskiemu Bankowi Centralnemu, w celu uzyskania opinii, dokonania powiadomienia, konsultacji lub uzgodnienia.</w:t>
      </w:r>
    </w:p>
    <w:p w14:paraId="391096EB" w14:textId="77777777" w:rsidR="006F0ADE" w:rsidRPr="0040535D" w:rsidRDefault="00EC44E6" w:rsidP="00A01FB5">
      <w:pPr>
        <w:suppressAutoHyphens/>
        <w:spacing w:before="120" w:after="120" w:line="360" w:lineRule="auto"/>
        <w:jc w:val="both"/>
        <w:rPr>
          <w:rFonts w:ascii="Times New Roman" w:hAnsi="Times New Roman"/>
          <w:sz w:val="24"/>
          <w:szCs w:val="24"/>
        </w:rPr>
      </w:pPr>
      <w:r w:rsidRPr="0040535D">
        <w:rPr>
          <w:rFonts w:ascii="Times New Roman" w:hAnsi="Times New Roman"/>
          <w:sz w:val="24"/>
          <w:szCs w:val="24"/>
        </w:rPr>
        <w:t>Przyjmuje się</w:t>
      </w:r>
      <w:r w:rsidR="007F3777">
        <w:rPr>
          <w:rFonts w:ascii="Times New Roman" w:hAnsi="Times New Roman"/>
          <w:sz w:val="24"/>
          <w:szCs w:val="24"/>
        </w:rPr>
        <w:t>,</w:t>
      </w:r>
      <w:r w:rsidRPr="0040535D">
        <w:rPr>
          <w:rFonts w:ascii="Times New Roman" w:hAnsi="Times New Roman"/>
          <w:sz w:val="24"/>
          <w:szCs w:val="24"/>
        </w:rPr>
        <w:t xml:space="preserve"> że p</w:t>
      </w:r>
      <w:r w:rsidR="006F0ADE" w:rsidRPr="0040535D">
        <w:rPr>
          <w:rFonts w:ascii="Times New Roman" w:hAnsi="Times New Roman"/>
          <w:sz w:val="24"/>
          <w:szCs w:val="24"/>
        </w:rPr>
        <w:t xml:space="preserve">rojekt </w:t>
      </w:r>
      <w:r w:rsidRPr="0040535D">
        <w:rPr>
          <w:rFonts w:ascii="Times New Roman" w:hAnsi="Times New Roman"/>
          <w:sz w:val="24"/>
          <w:szCs w:val="24"/>
        </w:rPr>
        <w:t xml:space="preserve">będzie miał pozytywny wpływ </w:t>
      </w:r>
      <w:r w:rsidR="006F0ADE" w:rsidRPr="0040535D">
        <w:rPr>
          <w:rFonts w:ascii="Times New Roman" w:hAnsi="Times New Roman"/>
          <w:sz w:val="24"/>
          <w:szCs w:val="24"/>
        </w:rPr>
        <w:t xml:space="preserve">na </w:t>
      </w:r>
      <w:r w:rsidR="00295C49" w:rsidRPr="0040535D">
        <w:rPr>
          <w:rFonts w:ascii="Times New Roman" w:hAnsi="Times New Roman"/>
          <w:sz w:val="24"/>
          <w:szCs w:val="24"/>
        </w:rPr>
        <w:t>działalność mikro-</w:t>
      </w:r>
      <w:r w:rsidR="006F0ADE" w:rsidRPr="0040535D">
        <w:rPr>
          <w:rFonts w:ascii="Times New Roman" w:hAnsi="Times New Roman"/>
          <w:sz w:val="24"/>
          <w:szCs w:val="24"/>
        </w:rPr>
        <w:t>, małych i średnich przedsiębiorców.</w:t>
      </w:r>
      <w:r w:rsidRPr="0040535D">
        <w:rPr>
          <w:rFonts w:ascii="Times New Roman" w:hAnsi="Times New Roman"/>
          <w:sz w:val="24"/>
          <w:szCs w:val="24"/>
        </w:rPr>
        <w:t xml:space="preserve"> Opierając się o doświadczenia z wdrażania perspektyw 20107-2013 oraz 2014-2020 założono, że do sektora przedsiębiorstw trafi dofinansowanie unijne w kwocie około 140 mld zł w cenach bieżących, tj. około 129 mld zł w cenach 2020 r. Przyjęto, że połowa wspomnianych środków trafi do sektora mikro-, małych i średnich przedsiębiorstw, a połowa – do dużych przedsiębiorstw. Parametry obliczeń: kurs 1 EUR = 4,5 PLN, </w:t>
      </w:r>
      <w:proofErr w:type="spellStart"/>
      <w:r w:rsidRPr="0040535D">
        <w:rPr>
          <w:rFonts w:ascii="Times New Roman" w:hAnsi="Times New Roman"/>
          <w:sz w:val="24"/>
          <w:szCs w:val="24"/>
        </w:rPr>
        <w:t>deflator</w:t>
      </w:r>
      <w:proofErr w:type="spellEnd"/>
      <w:r w:rsidRPr="0040535D">
        <w:rPr>
          <w:rFonts w:ascii="Times New Roman" w:hAnsi="Times New Roman"/>
          <w:sz w:val="24"/>
          <w:szCs w:val="24"/>
        </w:rPr>
        <w:t xml:space="preserve"> – 2%.</w:t>
      </w:r>
    </w:p>
    <w:p w14:paraId="4C7A7C41" w14:textId="77777777" w:rsidR="006F0ADE" w:rsidRPr="0040535D" w:rsidRDefault="006F0ADE" w:rsidP="00892DB5">
      <w:pPr>
        <w:suppressAutoHyphens/>
        <w:spacing w:before="120" w:after="120" w:line="360" w:lineRule="auto"/>
        <w:jc w:val="both"/>
        <w:rPr>
          <w:rFonts w:ascii="Times New Roman" w:hAnsi="Times New Roman"/>
          <w:sz w:val="24"/>
          <w:szCs w:val="24"/>
        </w:rPr>
      </w:pPr>
      <w:r w:rsidRPr="0040535D">
        <w:rPr>
          <w:rFonts w:ascii="Times New Roman" w:hAnsi="Times New Roman"/>
          <w:sz w:val="24"/>
          <w:szCs w:val="24"/>
        </w:rPr>
        <w:t xml:space="preserve">Projekt został udostępniony w Biuletynie Informacji Publicznej na stronie internetowej Rządowego Centrum Legislacji w zakładce Rządowy Proces Legislacyjny zgodnie z § 52 </w:t>
      </w:r>
      <w:r w:rsidRPr="0040535D">
        <w:rPr>
          <w:rStyle w:val="Kkursywa"/>
          <w:rFonts w:ascii="Times New Roman" w:hAnsi="Times New Roman"/>
          <w:sz w:val="24"/>
          <w:szCs w:val="24"/>
        </w:rPr>
        <w:t>uchwały nr 190 Rady Ministrów z dnia 29 października 2013 r. – Regulamin pracy Rady Ministrów</w:t>
      </w:r>
      <w:r w:rsidRPr="0040535D">
        <w:rPr>
          <w:rFonts w:ascii="Times New Roman" w:hAnsi="Times New Roman"/>
          <w:sz w:val="24"/>
          <w:szCs w:val="24"/>
        </w:rPr>
        <w:t xml:space="preserve"> (M.P. z 2016 r. poz. 1006, z </w:t>
      </w:r>
      <w:proofErr w:type="spellStart"/>
      <w:r w:rsidRPr="0040535D">
        <w:rPr>
          <w:rFonts w:ascii="Times New Roman" w:hAnsi="Times New Roman"/>
          <w:sz w:val="24"/>
          <w:szCs w:val="24"/>
        </w:rPr>
        <w:t>późn</w:t>
      </w:r>
      <w:proofErr w:type="spellEnd"/>
      <w:r w:rsidRPr="0040535D">
        <w:rPr>
          <w:rFonts w:ascii="Times New Roman" w:hAnsi="Times New Roman"/>
          <w:sz w:val="24"/>
          <w:szCs w:val="24"/>
        </w:rPr>
        <w:t xml:space="preserve">. zm.) oraz stosownie do wymogów art. 5 </w:t>
      </w:r>
      <w:r w:rsidRPr="0040535D">
        <w:rPr>
          <w:rStyle w:val="Kkursywa"/>
          <w:rFonts w:ascii="Times New Roman" w:hAnsi="Times New Roman"/>
          <w:sz w:val="24"/>
          <w:szCs w:val="24"/>
        </w:rPr>
        <w:t>ustawy z dnia 7 lipca 2005 r. o działalności lobbingowej w procesie stanowienia prawa</w:t>
      </w:r>
      <w:r w:rsidRPr="0040535D">
        <w:rPr>
          <w:rFonts w:ascii="Times New Roman" w:hAnsi="Times New Roman"/>
          <w:sz w:val="24"/>
          <w:szCs w:val="24"/>
        </w:rPr>
        <w:t xml:space="preserve"> (Dz. U. z 2017 r. poz. 248).</w:t>
      </w:r>
    </w:p>
    <w:sectPr w:rsidR="006F0ADE" w:rsidRPr="004053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B432" w14:textId="77777777" w:rsidR="00344984" w:rsidRDefault="00344984" w:rsidP="00555DC0">
      <w:pPr>
        <w:spacing w:after="0" w:line="240" w:lineRule="auto"/>
      </w:pPr>
      <w:r>
        <w:separator/>
      </w:r>
    </w:p>
  </w:endnote>
  <w:endnote w:type="continuationSeparator" w:id="0">
    <w:p w14:paraId="2A79A7A4" w14:textId="77777777" w:rsidR="00344984" w:rsidRDefault="00344984" w:rsidP="00555DC0">
      <w:pPr>
        <w:spacing w:after="0" w:line="240" w:lineRule="auto"/>
      </w:pPr>
      <w:r>
        <w:continuationSeparator/>
      </w:r>
    </w:p>
  </w:endnote>
  <w:endnote w:type="continuationNotice" w:id="1">
    <w:p w14:paraId="47AD1550" w14:textId="77777777" w:rsidR="00344984" w:rsidRDefault="003449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8625" w14:textId="77777777" w:rsidR="000E0A37" w:rsidRDefault="000E0A37">
    <w:pPr>
      <w:pStyle w:val="Stopka"/>
      <w:jc w:val="right"/>
    </w:pPr>
    <w:r>
      <w:fldChar w:fldCharType="begin"/>
    </w:r>
    <w:r>
      <w:instrText>PAGE   \* MERGEFORMAT</w:instrText>
    </w:r>
    <w:r>
      <w:fldChar w:fldCharType="separate"/>
    </w:r>
    <w:r w:rsidR="00E40D45">
      <w:rPr>
        <w:noProof/>
      </w:rPr>
      <w:t>1</w:t>
    </w:r>
    <w:r>
      <w:fldChar w:fldCharType="end"/>
    </w:r>
  </w:p>
  <w:p w14:paraId="1E32239E" w14:textId="77777777" w:rsidR="000E0A37" w:rsidRDefault="000E0A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FE761" w14:textId="77777777" w:rsidR="00344984" w:rsidRDefault="00344984" w:rsidP="00555DC0">
      <w:pPr>
        <w:spacing w:after="0" w:line="240" w:lineRule="auto"/>
      </w:pPr>
      <w:r>
        <w:separator/>
      </w:r>
    </w:p>
  </w:footnote>
  <w:footnote w:type="continuationSeparator" w:id="0">
    <w:p w14:paraId="10DF99E5" w14:textId="77777777" w:rsidR="00344984" w:rsidRDefault="00344984" w:rsidP="00555DC0">
      <w:pPr>
        <w:spacing w:after="0" w:line="240" w:lineRule="auto"/>
      </w:pPr>
      <w:r>
        <w:continuationSeparator/>
      </w:r>
    </w:p>
  </w:footnote>
  <w:footnote w:type="continuationNotice" w:id="1">
    <w:p w14:paraId="7222F219" w14:textId="77777777" w:rsidR="00344984" w:rsidRDefault="00344984">
      <w:pPr>
        <w:spacing w:after="0" w:line="240" w:lineRule="auto"/>
      </w:pPr>
    </w:p>
  </w:footnote>
  <w:footnote w:id="2">
    <w:p w14:paraId="1F8C2836" w14:textId="77777777" w:rsidR="000E0A37" w:rsidRPr="00034435" w:rsidRDefault="000E0A37" w:rsidP="00CD153B">
      <w:pPr>
        <w:pStyle w:val="Tekstprzypisudolnego"/>
        <w:rPr>
          <w:lang w:val="pl-PL"/>
        </w:rPr>
      </w:pPr>
      <w:r>
        <w:rPr>
          <w:rStyle w:val="Odwoanieprzypisudolnego"/>
        </w:rPr>
        <w:footnoteRef/>
      </w:r>
      <w:r>
        <w:t xml:space="preserve"> </w:t>
      </w:r>
      <w:r w:rsidRPr="00795142">
        <w:t>(…) przetwarzanie jest niezbędne do wypełnienia obowiązku prawnego ciążącego na administratorze (…).</w:t>
      </w:r>
    </w:p>
  </w:footnote>
  <w:footnote w:id="3">
    <w:p w14:paraId="5EEF6AEB" w14:textId="77777777" w:rsidR="000E0A37" w:rsidRPr="00034435" w:rsidRDefault="000E0A37" w:rsidP="00CD153B">
      <w:pPr>
        <w:pStyle w:val="Tekstprzypisudolnego"/>
        <w:rPr>
          <w:lang w:val="pl-PL"/>
        </w:rPr>
      </w:pPr>
      <w:r>
        <w:rPr>
          <w:rStyle w:val="Odwoanieprzypisudolnego"/>
        </w:rPr>
        <w:footnoteRef/>
      </w:r>
      <w:r>
        <w:t xml:space="preserve"> </w:t>
      </w:r>
      <w:r w:rsidRPr="00795142">
        <w:t>(…)przetwarzanie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w:t>
      </w:r>
    </w:p>
  </w:footnote>
  <w:footnote w:id="4">
    <w:p w14:paraId="21E5A844" w14:textId="77777777" w:rsidR="000E0A37" w:rsidRPr="005E6479" w:rsidRDefault="00AA7F42" w:rsidP="002D7A99">
      <w:pPr>
        <w:pStyle w:val="Tekstprzypisudolnego"/>
        <w:spacing w:after="0" w:line="240" w:lineRule="auto"/>
        <w:jc w:val="both"/>
        <w:rPr>
          <w:rFonts w:ascii="Arial" w:hAnsi="Arial" w:cs="Arial"/>
          <w:sz w:val="16"/>
          <w:szCs w:val="16"/>
          <w:lang w:val="pl-PL"/>
        </w:rPr>
      </w:pPr>
      <w:r>
        <w:rPr>
          <w:rFonts w:ascii="Arial" w:hAnsi="Arial" w:cs="Arial"/>
          <w:sz w:val="16"/>
          <w:szCs w:val="16"/>
          <w:lang w:val="pl-PL"/>
        </w:rPr>
        <w:t xml:space="preserve">3 </w:t>
      </w:r>
      <w:r w:rsidRPr="000542E2">
        <w:rPr>
          <w:rFonts w:ascii="Arial" w:hAnsi="Arial" w:cs="Arial"/>
          <w:sz w:val="16"/>
          <w:szCs w:val="16"/>
        </w:rPr>
        <w:t xml:space="preserve">(…) </w:t>
      </w:r>
      <w:r w:rsidRPr="000542E2">
        <w:rPr>
          <w:rFonts w:ascii="Arial" w:hAnsi="Arial" w:cs="Arial"/>
          <w:sz w:val="16"/>
          <w:szCs w:val="16"/>
          <w:lang w:eastAsia="pl-PL" w:bidi="pl-PL"/>
        </w:rPr>
        <w:t>przetwarzanie jest niezbędne do wykonania umowy, której stroną jest osoba, której dane dotyczą, lub do podjęcia działań na żądanie osoby, której dane dotyczą, przed zawarciem umowy(…).</w:t>
      </w:r>
    </w:p>
  </w:footnote>
  <w:footnote w:id="5">
    <w:p w14:paraId="02750BF4" w14:textId="77777777" w:rsidR="000E0A37" w:rsidRPr="000542E2" w:rsidRDefault="000E0A37" w:rsidP="002D7A99">
      <w:pPr>
        <w:pStyle w:val="HTML-wstpniesformatowany"/>
        <w:spacing w:line="240" w:lineRule="auto"/>
        <w:jc w:val="both"/>
        <w:rPr>
          <w:rFonts w:ascii="Arial" w:hAnsi="Arial" w:cs="Arial"/>
          <w:sz w:val="16"/>
          <w:szCs w:val="16"/>
        </w:rPr>
      </w:pPr>
      <w:r w:rsidRPr="000542E2">
        <w:rPr>
          <w:rStyle w:val="Odwoanieprzypisudolnego"/>
          <w:rFonts w:ascii="Arial" w:hAnsi="Arial" w:cs="Arial"/>
          <w:sz w:val="16"/>
          <w:szCs w:val="16"/>
        </w:rPr>
        <w:footnoteRef/>
      </w:r>
      <w:r w:rsidRPr="000542E2">
        <w:rPr>
          <w:rFonts w:ascii="Arial" w:hAnsi="Arial" w:cs="Arial"/>
          <w:sz w:val="16"/>
          <w:szCs w:val="16"/>
          <w:vertAlign w:val="superscript"/>
        </w:rPr>
        <w:t>)</w:t>
      </w:r>
      <w:r w:rsidRPr="000542E2">
        <w:rPr>
          <w:rFonts w:ascii="Arial" w:hAnsi="Arial" w:cs="Arial"/>
          <w:sz w:val="16"/>
          <w:szCs w:val="16"/>
        </w:rPr>
        <w:t xml:space="preserve"> Zakres danych elektronicznych, które mają być rejestrowane i przechowywane w przypadku każdej operacji określono w </w:t>
      </w:r>
      <w:r w:rsidRPr="004B71D0">
        <w:rPr>
          <w:rFonts w:ascii="Arial" w:hAnsi="Arial" w:cs="Arial"/>
          <w:sz w:val="16"/>
          <w:szCs w:val="16"/>
        </w:rPr>
        <w:t xml:space="preserve">załączniku </w:t>
      </w:r>
      <w:r w:rsidRPr="009A0EE5">
        <w:rPr>
          <w:rFonts w:ascii="Arial" w:hAnsi="Arial" w:cs="Arial"/>
          <w:sz w:val="16"/>
          <w:szCs w:val="16"/>
        </w:rPr>
        <w:t>XVII do</w:t>
      </w:r>
      <w:r w:rsidRPr="004B71D0">
        <w:rPr>
          <w:rFonts w:ascii="Arial" w:hAnsi="Arial" w:cs="Arial"/>
          <w:sz w:val="16"/>
          <w:szCs w:val="16"/>
        </w:rPr>
        <w:t xml:space="preserve"> rozporządzenia</w:t>
      </w:r>
      <w:r w:rsidRPr="000542E2">
        <w:rPr>
          <w:rFonts w:ascii="Arial" w:hAnsi="Arial" w:cs="Arial"/>
          <w:sz w:val="16"/>
          <w:szCs w:val="16"/>
        </w:rPr>
        <w:t xml:space="preserve"> ogólnego, natomiast zakres danych gromadzonych w celu monitorowania uczestników projektów określono w załączniku I do rozporządzenia EFS+.</w:t>
      </w:r>
    </w:p>
  </w:footnote>
  <w:footnote w:id="6">
    <w:p w14:paraId="5F583B8C" w14:textId="77777777" w:rsidR="000E0A37" w:rsidRPr="003E5F21" w:rsidRDefault="000E0A37" w:rsidP="002D7A99">
      <w:pPr>
        <w:spacing w:before="120" w:after="0" w:line="240" w:lineRule="auto"/>
        <w:jc w:val="both"/>
        <w:rPr>
          <w:rFonts w:ascii="Arial" w:hAnsi="Arial" w:cs="Arial"/>
          <w:sz w:val="16"/>
          <w:szCs w:val="16"/>
          <w:lang w:eastAsia="pl-PL" w:bidi="pl-PL"/>
        </w:rPr>
      </w:pPr>
      <w:r w:rsidRPr="003E5F21">
        <w:rPr>
          <w:rStyle w:val="Odwoanieprzypisudolnego"/>
          <w:rFonts w:ascii="Arial" w:hAnsi="Arial" w:cs="Arial"/>
          <w:sz w:val="16"/>
          <w:szCs w:val="16"/>
        </w:rPr>
        <w:footnoteRef/>
      </w:r>
      <w:r w:rsidRPr="003E5F21">
        <w:rPr>
          <w:rFonts w:ascii="Arial" w:hAnsi="Arial" w:cs="Arial"/>
          <w:sz w:val="16"/>
          <w:szCs w:val="16"/>
          <w:vertAlign w:val="superscript"/>
        </w:rPr>
        <w:t>)</w:t>
      </w:r>
      <w:r w:rsidRPr="003E5F21">
        <w:rPr>
          <w:rFonts w:ascii="Arial" w:hAnsi="Arial" w:cs="Arial"/>
          <w:sz w:val="16"/>
          <w:szCs w:val="16"/>
        </w:rPr>
        <w:t xml:space="preserve"> Zgodnie z art. 89 pkt 1 RODO przetwarzanie do celów archiwalnych w interesie publicznym, do celów badań naukowych lub historycznych lub do celów statystycznych podlega odpowiednim zabezpieczeniom dla praw i wolności osoby, której dane dotyczą, zgodnie z niniejszym rozporządzeniem. Zabezpieczenia te polegają na wdrożeniu środków technicznych i organizacyjnych zapewniających poszanowanie zasady minimalizacji danych. Środki te mogą też obejmować pseudonimizację danych, o ile pozwala ona realizować powyższe cele. Jeżeli cele te można zrealizować w drodze dalszego przetwarzania danych, które nie pozwalają albo przestały pozwalać na zidentyfikować osoby, której dane dotyczą, cele należy realizować w ten sposób.</w:t>
      </w:r>
    </w:p>
  </w:footnote>
  <w:footnote w:id="7">
    <w:p w14:paraId="56F154A2" w14:textId="77777777" w:rsidR="000E0A37" w:rsidRPr="003E5F21" w:rsidRDefault="000E0A37" w:rsidP="003E5F21">
      <w:pPr>
        <w:pStyle w:val="Tekstprzypisudolnego"/>
        <w:spacing w:line="240" w:lineRule="auto"/>
        <w:rPr>
          <w:rFonts w:ascii="Arial" w:hAnsi="Arial" w:cs="Arial"/>
          <w:sz w:val="16"/>
          <w:szCs w:val="16"/>
        </w:rPr>
      </w:pPr>
      <w:r w:rsidRPr="003E5F21">
        <w:rPr>
          <w:rStyle w:val="Odwoanieprzypisudolnego"/>
          <w:rFonts w:ascii="Arial" w:hAnsi="Arial" w:cs="Arial"/>
          <w:sz w:val="16"/>
          <w:szCs w:val="16"/>
        </w:rPr>
        <w:footnoteRef/>
      </w:r>
      <w:r w:rsidRPr="003E5F21">
        <w:rPr>
          <w:rFonts w:ascii="Arial" w:hAnsi="Arial" w:cs="Arial"/>
          <w:sz w:val="16"/>
          <w:szCs w:val="16"/>
          <w:vertAlign w:val="superscript"/>
        </w:rPr>
        <w:t>)</w:t>
      </w:r>
      <w:r w:rsidRPr="003E5F21">
        <w:rPr>
          <w:rFonts w:ascii="Arial" w:hAnsi="Arial" w:cs="Arial"/>
          <w:sz w:val="16"/>
          <w:szCs w:val="16"/>
        </w:rPr>
        <w:t xml:space="preserve"> Zgodnie z motywem 45 RODO</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816"/>
    <w:multiLevelType w:val="hybridMultilevel"/>
    <w:tmpl w:val="237A5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A1186"/>
    <w:multiLevelType w:val="hybridMultilevel"/>
    <w:tmpl w:val="14CC33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A1AE2"/>
    <w:multiLevelType w:val="hybridMultilevel"/>
    <w:tmpl w:val="5AD299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3E39C1"/>
    <w:multiLevelType w:val="hybridMultilevel"/>
    <w:tmpl w:val="D094623E"/>
    <w:lvl w:ilvl="0" w:tplc="49466A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D16566"/>
    <w:multiLevelType w:val="hybridMultilevel"/>
    <w:tmpl w:val="8962D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3C2181"/>
    <w:multiLevelType w:val="hybridMultilevel"/>
    <w:tmpl w:val="428092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1A067A"/>
    <w:multiLevelType w:val="hybridMultilevel"/>
    <w:tmpl w:val="5F720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5729B6"/>
    <w:multiLevelType w:val="hybridMultilevel"/>
    <w:tmpl w:val="6A7A30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976343"/>
    <w:multiLevelType w:val="hybridMultilevel"/>
    <w:tmpl w:val="1EAAD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C63BD9"/>
    <w:multiLevelType w:val="hybridMultilevel"/>
    <w:tmpl w:val="47B8E368"/>
    <w:lvl w:ilvl="0" w:tplc="AF76AE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0926EFE"/>
    <w:multiLevelType w:val="hybridMultilevel"/>
    <w:tmpl w:val="06DA4FD8"/>
    <w:lvl w:ilvl="0" w:tplc="7220D7D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954150"/>
    <w:multiLevelType w:val="hybridMultilevel"/>
    <w:tmpl w:val="191A8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F037BE"/>
    <w:multiLevelType w:val="hybridMultilevel"/>
    <w:tmpl w:val="78ACDA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0E2F2B"/>
    <w:multiLevelType w:val="hybridMultilevel"/>
    <w:tmpl w:val="48A090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4D1B7E"/>
    <w:multiLevelType w:val="hybridMultilevel"/>
    <w:tmpl w:val="00C878F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25E16E8"/>
    <w:multiLevelType w:val="multilevel"/>
    <w:tmpl w:val="EAD0B3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99874B3"/>
    <w:multiLevelType w:val="hybridMultilevel"/>
    <w:tmpl w:val="1A4651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571127"/>
    <w:multiLevelType w:val="hybridMultilevel"/>
    <w:tmpl w:val="851E2F4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34E7725"/>
    <w:multiLevelType w:val="hybridMultilevel"/>
    <w:tmpl w:val="E4821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CE240E"/>
    <w:multiLevelType w:val="hybridMultilevel"/>
    <w:tmpl w:val="B58408E2"/>
    <w:lvl w:ilvl="0" w:tplc="3732F1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5C51626"/>
    <w:multiLevelType w:val="hybridMultilevel"/>
    <w:tmpl w:val="ED6603D2"/>
    <w:lvl w:ilvl="0" w:tplc="C71AE7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E102BE1"/>
    <w:multiLevelType w:val="hybridMultilevel"/>
    <w:tmpl w:val="083E81EE"/>
    <w:lvl w:ilvl="0" w:tplc="AF76AE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EC96BAD"/>
    <w:multiLevelType w:val="hybridMultilevel"/>
    <w:tmpl w:val="10B69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720ACD"/>
    <w:multiLevelType w:val="hybridMultilevel"/>
    <w:tmpl w:val="1720A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D57C6B"/>
    <w:multiLevelType w:val="hybridMultilevel"/>
    <w:tmpl w:val="E1308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9"/>
  </w:num>
  <w:num w:numId="4">
    <w:abstractNumId w:val="21"/>
  </w:num>
  <w:num w:numId="5">
    <w:abstractNumId w:val="17"/>
  </w:num>
  <w:num w:numId="6">
    <w:abstractNumId w:val="5"/>
  </w:num>
  <w:num w:numId="7">
    <w:abstractNumId w:val="15"/>
  </w:num>
  <w:num w:numId="8">
    <w:abstractNumId w:val="1"/>
  </w:num>
  <w:num w:numId="9">
    <w:abstractNumId w:val="0"/>
  </w:num>
  <w:num w:numId="10">
    <w:abstractNumId w:val="12"/>
  </w:num>
  <w:num w:numId="11">
    <w:abstractNumId w:val="8"/>
  </w:num>
  <w:num w:numId="12">
    <w:abstractNumId w:val="16"/>
  </w:num>
  <w:num w:numId="13">
    <w:abstractNumId w:val="13"/>
  </w:num>
  <w:num w:numId="14">
    <w:abstractNumId w:val="11"/>
  </w:num>
  <w:num w:numId="15">
    <w:abstractNumId w:val="4"/>
  </w:num>
  <w:num w:numId="16">
    <w:abstractNumId w:val="7"/>
  </w:num>
  <w:num w:numId="17">
    <w:abstractNumId w:val="2"/>
  </w:num>
  <w:num w:numId="18">
    <w:abstractNumId w:val="20"/>
  </w:num>
  <w:num w:numId="19">
    <w:abstractNumId w:val="24"/>
  </w:num>
  <w:num w:numId="20">
    <w:abstractNumId w:val="19"/>
  </w:num>
  <w:num w:numId="21">
    <w:abstractNumId w:val="23"/>
  </w:num>
  <w:num w:numId="22">
    <w:abstractNumId w:val="3"/>
  </w:num>
  <w:num w:numId="23">
    <w:abstractNumId w:val="6"/>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C0"/>
    <w:rsid w:val="000006D8"/>
    <w:rsid w:val="000007A3"/>
    <w:rsid w:val="000037FD"/>
    <w:rsid w:val="0001130E"/>
    <w:rsid w:val="00012503"/>
    <w:rsid w:val="000136BA"/>
    <w:rsid w:val="00013BCD"/>
    <w:rsid w:val="000140B9"/>
    <w:rsid w:val="00015081"/>
    <w:rsid w:val="000154C2"/>
    <w:rsid w:val="000158F9"/>
    <w:rsid w:val="00017775"/>
    <w:rsid w:val="00017D57"/>
    <w:rsid w:val="00020939"/>
    <w:rsid w:val="00020995"/>
    <w:rsid w:val="00021220"/>
    <w:rsid w:val="000236AD"/>
    <w:rsid w:val="0002583E"/>
    <w:rsid w:val="00027C2E"/>
    <w:rsid w:val="00027C6A"/>
    <w:rsid w:val="00027DF0"/>
    <w:rsid w:val="00033EEE"/>
    <w:rsid w:val="0004070A"/>
    <w:rsid w:val="000407BF"/>
    <w:rsid w:val="000410EF"/>
    <w:rsid w:val="0004192A"/>
    <w:rsid w:val="000421D2"/>
    <w:rsid w:val="0004283C"/>
    <w:rsid w:val="00042F21"/>
    <w:rsid w:val="000431F0"/>
    <w:rsid w:val="0004450F"/>
    <w:rsid w:val="00045C42"/>
    <w:rsid w:val="000460FA"/>
    <w:rsid w:val="00047639"/>
    <w:rsid w:val="00050EA4"/>
    <w:rsid w:val="00052696"/>
    <w:rsid w:val="000538DE"/>
    <w:rsid w:val="000542E2"/>
    <w:rsid w:val="00054445"/>
    <w:rsid w:val="00054A67"/>
    <w:rsid w:val="00054CC6"/>
    <w:rsid w:val="00055606"/>
    <w:rsid w:val="00055C70"/>
    <w:rsid w:val="00057143"/>
    <w:rsid w:val="00057689"/>
    <w:rsid w:val="00057FCD"/>
    <w:rsid w:val="00060C63"/>
    <w:rsid w:val="00063188"/>
    <w:rsid w:val="00067347"/>
    <w:rsid w:val="000700DB"/>
    <w:rsid w:val="00070E4E"/>
    <w:rsid w:val="00071343"/>
    <w:rsid w:val="00071D3D"/>
    <w:rsid w:val="000734EA"/>
    <w:rsid w:val="00073AB5"/>
    <w:rsid w:val="00080C72"/>
    <w:rsid w:val="00081289"/>
    <w:rsid w:val="00081335"/>
    <w:rsid w:val="00082406"/>
    <w:rsid w:val="0008290A"/>
    <w:rsid w:val="00084433"/>
    <w:rsid w:val="00086321"/>
    <w:rsid w:val="000925F3"/>
    <w:rsid w:val="00093EEA"/>
    <w:rsid w:val="00094D14"/>
    <w:rsid w:val="000963D1"/>
    <w:rsid w:val="000A12AE"/>
    <w:rsid w:val="000A5735"/>
    <w:rsid w:val="000A6721"/>
    <w:rsid w:val="000B019D"/>
    <w:rsid w:val="000B0CAF"/>
    <w:rsid w:val="000B1448"/>
    <w:rsid w:val="000B2103"/>
    <w:rsid w:val="000B31AB"/>
    <w:rsid w:val="000B4A12"/>
    <w:rsid w:val="000B7353"/>
    <w:rsid w:val="000B7CB3"/>
    <w:rsid w:val="000C08A3"/>
    <w:rsid w:val="000C244B"/>
    <w:rsid w:val="000C3D15"/>
    <w:rsid w:val="000C4484"/>
    <w:rsid w:val="000C4982"/>
    <w:rsid w:val="000C4B9B"/>
    <w:rsid w:val="000C6B30"/>
    <w:rsid w:val="000D24D4"/>
    <w:rsid w:val="000D2ECA"/>
    <w:rsid w:val="000D4D8B"/>
    <w:rsid w:val="000D52CA"/>
    <w:rsid w:val="000D5E08"/>
    <w:rsid w:val="000D66BB"/>
    <w:rsid w:val="000D6DA4"/>
    <w:rsid w:val="000E0A37"/>
    <w:rsid w:val="000E34EC"/>
    <w:rsid w:val="000E3556"/>
    <w:rsid w:val="000E61AE"/>
    <w:rsid w:val="000E71E2"/>
    <w:rsid w:val="000E7408"/>
    <w:rsid w:val="000F3157"/>
    <w:rsid w:val="000F3527"/>
    <w:rsid w:val="000F7F2C"/>
    <w:rsid w:val="00100244"/>
    <w:rsid w:val="00103305"/>
    <w:rsid w:val="0010339A"/>
    <w:rsid w:val="00104113"/>
    <w:rsid w:val="001045A5"/>
    <w:rsid w:val="00106319"/>
    <w:rsid w:val="0010664D"/>
    <w:rsid w:val="0010739A"/>
    <w:rsid w:val="00110DDA"/>
    <w:rsid w:val="001125A6"/>
    <w:rsid w:val="001146EE"/>
    <w:rsid w:val="0011636D"/>
    <w:rsid w:val="00120674"/>
    <w:rsid w:val="00125209"/>
    <w:rsid w:val="0012749C"/>
    <w:rsid w:val="001310C6"/>
    <w:rsid w:val="00132016"/>
    <w:rsid w:val="001325C3"/>
    <w:rsid w:val="001326AF"/>
    <w:rsid w:val="00134D75"/>
    <w:rsid w:val="0013513F"/>
    <w:rsid w:val="00140440"/>
    <w:rsid w:val="0014057C"/>
    <w:rsid w:val="00143314"/>
    <w:rsid w:val="00145DDB"/>
    <w:rsid w:val="00151497"/>
    <w:rsid w:val="001527A6"/>
    <w:rsid w:val="00153299"/>
    <w:rsid w:val="00153899"/>
    <w:rsid w:val="00153F59"/>
    <w:rsid w:val="00154333"/>
    <w:rsid w:val="00155913"/>
    <w:rsid w:val="001559C2"/>
    <w:rsid w:val="001563F7"/>
    <w:rsid w:val="001565C3"/>
    <w:rsid w:val="00157C27"/>
    <w:rsid w:val="00157F59"/>
    <w:rsid w:val="00157F96"/>
    <w:rsid w:val="00161D1B"/>
    <w:rsid w:val="001637EF"/>
    <w:rsid w:val="0016588A"/>
    <w:rsid w:val="00165BF9"/>
    <w:rsid w:val="00165D2C"/>
    <w:rsid w:val="00171B91"/>
    <w:rsid w:val="00171BAD"/>
    <w:rsid w:val="00173A79"/>
    <w:rsid w:val="0017712E"/>
    <w:rsid w:val="001811ED"/>
    <w:rsid w:val="00181635"/>
    <w:rsid w:val="00184544"/>
    <w:rsid w:val="00184FB5"/>
    <w:rsid w:val="00187C82"/>
    <w:rsid w:val="001900BB"/>
    <w:rsid w:val="00194EFD"/>
    <w:rsid w:val="001957C2"/>
    <w:rsid w:val="00196307"/>
    <w:rsid w:val="0019766A"/>
    <w:rsid w:val="00197CA1"/>
    <w:rsid w:val="001A2447"/>
    <w:rsid w:val="001A58EE"/>
    <w:rsid w:val="001A65EF"/>
    <w:rsid w:val="001A6863"/>
    <w:rsid w:val="001A7A70"/>
    <w:rsid w:val="001A7BDB"/>
    <w:rsid w:val="001A7F73"/>
    <w:rsid w:val="001B03CE"/>
    <w:rsid w:val="001B172A"/>
    <w:rsid w:val="001B1E62"/>
    <w:rsid w:val="001B6969"/>
    <w:rsid w:val="001C0866"/>
    <w:rsid w:val="001C2262"/>
    <w:rsid w:val="001C2E42"/>
    <w:rsid w:val="001C4744"/>
    <w:rsid w:val="001C5ED2"/>
    <w:rsid w:val="001D41BD"/>
    <w:rsid w:val="001D61EF"/>
    <w:rsid w:val="001D64B0"/>
    <w:rsid w:val="001E05D0"/>
    <w:rsid w:val="001E1606"/>
    <w:rsid w:val="001E2C90"/>
    <w:rsid w:val="001E47D7"/>
    <w:rsid w:val="001E54D8"/>
    <w:rsid w:val="001E5723"/>
    <w:rsid w:val="001E5C05"/>
    <w:rsid w:val="001F1690"/>
    <w:rsid w:val="001F206C"/>
    <w:rsid w:val="001F34E3"/>
    <w:rsid w:val="001F42E5"/>
    <w:rsid w:val="001F6191"/>
    <w:rsid w:val="001F70C2"/>
    <w:rsid w:val="0020124B"/>
    <w:rsid w:val="00203DE2"/>
    <w:rsid w:val="0020555E"/>
    <w:rsid w:val="002061AE"/>
    <w:rsid w:val="00207589"/>
    <w:rsid w:val="00211034"/>
    <w:rsid w:val="00212224"/>
    <w:rsid w:val="0021275A"/>
    <w:rsid w:val="002134E2"/>
    <w:rsid w:val="00215A2B"/>
    <w:rsid w:val="00217014"/>
    <w:rsid w:val="0021710D"/>
    <w:rsid w:val="002205BC"/>
    <w:rsid w:val="00220BBF"/>
    <w:rsid w:val="00221BD1"/>
    <w:rsid w:val="002237AA"/>
    <w:rsid w:val="0022493C"/>
    <w:rsid w:val="002253F9"/>
    <w:rsid w:val="00225E7F"/>
    <w:rsid w:val="00226FD1"/>
    <w:rsid w:val="00227380"/>
    <w:rsid w:val="00232010"/>
    <w:rsid w:val="00232595"/>
    <w:rsid w:val="0023292E"/>
    <w:rsid w:val="00232FE4"/>
    <w:rsid w:val="002330E0"/>
    <w:rsid w:val="002333F0"/>
    <w:rsid w:val="0023363C"/>
    <w:rsid w:val="00234F27"/>
    <w:rsid w:val="00235495"/>
    <w:rsid w:val="00236699"/>
    <w:rsid w:val="0023669E"/>
    <w:rsid w:val="00237E61"/>
    <w:rsid w:val="00242CA2"/>
    <w:rsid w:val="00243B1C"/>
    <w:rsid w:val="00244250"/>
    <w:rsid w:val="002452A5"/>
    <w:rsid w:val="002518D1"/>
    <w:rsid w:val="002524DA"/>
    <w:rsid w:val="002535AF"/>
    <w:rsid w:val="00260EAC"/>
    <w:rsid w:val="00263B42"/>
    <w:rsid w:val="00264167"/>
    <w:rsid w:val="00267844"/>
    <w:rsid w:val="002708B2"/>
    <w:rsid w:val="00270FA9"/>
    <w:rsid w:val="00271C71"/>
    <w:rsid w:val="00272895"/>
    <w:rsid w:val="00272946"/>
    <w:rsid w:val="00275029"/>
    <w:rsid w:val="00275642"/>
    <w:rsid w:val="00275C8F"/>
    <w:rsid w:val="00276399"/>
    <w:rsid w:val="00282FAB"/>
    <w:rsid w:val="002838BA"/>
    <w:rsid w:val="00284446"/>
    <w:rsid w:val="00284D7B"/>
    <w:rsid w:val="00285FCD"/>
    <w:rsid w:val="00292A26"/>
    <w:rsid w:val="00295C49"/>
    <w:rsid w:val="002A034B"/>
    <w:rsid w:val="002A0D86"/>
    <w:rsid w:val="002A1AA7"/>
    <w:rsid w:val="002A1E64"/>
    <w:rsid w:val="002A2FFC"/>
    <w:rsid w:val="002A575F"/>
    <w:rsid w:val="002A5B99"/>
    <w:rsid w:val="002A5CE3"/>
    <w:rsid w:val="002A648B"/>
    <w:rsid w:val="002A68AF"/>
    <w:rsid w:val="002A694B"/>
    <w:rsid w:val="002A6A7B"/>
    <w:rsid w:val="002B0556"/>
    <w:rsid w:val="002B1D42"/>
    <w:rsid w:val="002B30D0"/>
    <w:rsid w:val="002B3C17"/>
    <w:rsid w:val="002B6A66"/>
    <w:rsid w:val="002C0696"/>
    <w:rsid w:val="002C250C"/>
    <w:rsid w:val="002C27A2"/>
    <w:rsid w:val="002C5CCE"/>
    <w:rsid w:val="002C75D5"/>
    <w:rsid w:val="002C78E6"/>
    <w:rsid w:val="002D1F7B"/>
    <w:rsid w:val="002D2C50"/>
    <w:rsid w:val="002D37EB"/>
    <w:rsid w:val="002D3FDC"/>
    <w:rsid w:val="002D4B18"/>
    <w:rsid w:val="002D588A"/>
    <w:rsid w:val="002D5C31"/>
    <w:rsid w:val="002D78F2"/>
    <w:rsid w:val="002D7A99"/>
    <w:rsid w:val="002E0836"/>
    <w:rsid w:val="002E3F42"/>
    <w:rsid w:val="002E555E"/>
    <w:rsid w:val="002E5706"/>
    <w:rsid w:val="002E6F3E"/>
    <w:rsid w:val="002F0826"/>
    <w:rsid w:val="002F2C43"/>
    <w:rsid w:val="002F4CFB"/>
    <w:rsid w:val="002F689A"/>
    <w:rsid w:val="003013E3"/>
    <w:rsid w:val="00303251"/>
    <w:rsid w:val="00303C0E"/>
    <w:rsid w:val="00303D38"/>
    <w:rsid w:val="003049E7"/>
    <w:rsid w:val="00305FF1"/>
    <w:rsid w:val="003078B1"/>
    <w:rsid w:val="00312434"/>
    <w:rsid w:val="003126E5"/>
    <w:rsid w:val="00312C3F"/>
    <w:rsid w:val="00313BF1"/>
    <w:rsid w:val="003204A2"/>
    <w:rsid w:val="00321F70"/>
    <w:rsid w:val="003220C3"/>
    <w:rsid w:val="00322640"/>
    <w:rsid w:val="00322DBD"/>
    <w:rsid w:val="00323797"/>
    <w:rsid w:val="00323DDA"/>
    <w:rsid w:val="00323F63"/>
    <w:rsid w:val="003253F1"/>
    <w:rsid w:val="003265DF"/>
    <w:rsid w:val="003334E6"/>
    <w:rsid w:val="003342EC"/>
    <w:rsid w:val="0033553B"/>
    <w:rsid w:val="00335778"/>
    <w:rsid w:val="00335E6B"/>
    <w:rsid w:val="00336272"/>
    <w:rsid w:val="0034005B"/>
    <w:rsid w:val="0034240B"/>
    <w:rsid w:val="00343174"/>
    <w:rsid w:val="0034375B"/>
    <w:rsid w:val="003438EA"/>
    <w:rsid w:val="00344984"/>
    <w:rsid w:val="00345D97"/>
    <w:rsid w:val="00345DD6"/>
    <w:rsid w:val="003460AF"/>
    <w:rsid w:val="0034745B"/>
    <w:rsid w:val="0035046E"/>
    <w:rsid w:val="00352871"/>
    <w:rsid w:val="003532D0"/>
    <w:rsid w:val="00354B41"/>
    <w:rsid w:val="003614D1"/>
    <w:rsid w:val="00362414"/>
    <w:rsid w:val="003636BA"/>
    <w:rsid w:val="00363A32"/>
    <w:rsid w:val="00367EE6"/>
    <w:rsid w:val="00370A76"/>
    <w:rsid w:val="00370AEC"/>
    <w:rsid w:val="0037301F"/>
    <w:rsid w:val="00373D9D"/>
    <w:rsid w:val="00374044"/>
    <w:rsid w:val="00377103"/>
    <w:rsid w:val="0038004B"/>
    <w:rsid w:val="00380A75"/>
    <w:rsid w:val="00383928"/>
    <w:rsid w:val="003840F1"/>
    <w:rsid w:val="00384700"/>
    <w:rsid w:val="00385663"/>
    <w:rsid w:val="00386941"/>
    <w:rsid w:val="003904C8"/>
    <w:rsid w:val="0039093B"/>
    <w:rsid w:val="00391A9C"/>
    <w:rsid w:val="00391BC8"/>
    <w:rsid w:val="00392345"/>
    <w:rsid w:val="003927D4"/>
    <w:rsid w:val="00392BDB"/>
    <w:rsid w:val="003937D9"/>
    <w:rsid w:val="00393804"/>
    <w:rsid w:val="00394BDD"/>
    <w:rsid w:val="00394F94"/>
    <w:rsid w:val="00395F87"/>
    <w:rsid w:val="003969A7"/>
    <w:rsid w:val="00397CF0"/>
    <w:rsid w:val="003A0780"/>
    <w:rsid w:val="003A0A62"/>
    <w:rsid w:val="003A329B"/>
    <w:rsid w:val="003A3F0A"/>
    <w:rsid w:val="003A5032"/>
    <w:rsid w:val="003A630C"/>
    <w:rsid w:val="003A667F"/>
    <w:rsid w:val="003A75F3"/>
    <w:rsid w:val="003B0DB8"/>
    <w:rsid w:val="003B190A"/>
    <w:rsid w:val="003B2D68"/>
    <w:rsid w:val="003B2EC1"/>
    <w:rsid w:val="003C0755"/>
    <w:rsid w:val="003C15E4"/>
    <w:rsid w:val="003C2A43"/>
    <w:rsid w:val="003C326C"/>
    <w:rsid w:val="003C425F"/>
    <w:rsid w:val="003D29CE"/>
    <w:rsid w:val="003D3E3A"/>
    <w:rsid w:val="003D40EA"/>
    <w:rsid w:val="003D5169"/>
    <w:rsid w:val="003D7568"/>
    <w:rsid w:val="003E0C4D"/>
    <w:rsid w:val="003E0F61"/>
    <w:rsid w:val="003E22B4"/>
    <w:rsid w:val="003E2424"/>
    <w:rsid w:val="003E4FC8"/>
    <w:rsid w:val="003E550B"/>
    <w:rsid w:val="003E5F21"/>
    <w:rsid w:val="003E7BD0"/>
    <w:rsid w:val="003E7CA1"/>
    <w:rsid w:val="003F13DC"/>
    <w:rsid w:val="003F218D"/>
    <w:rsid w:val="003F2B32"/>
    <w:rsid w:val="003F3C4C"/>
    <w:rsid w:val="003F4091"/>
    <w:rsid w:val="003F4880"/>
    <w:rsid w:val="003F4CB1"/>
    <w:rsid w:val="003F510D"/>
    <w:rsid w:val="003F5532"/>
    <w:rsid w:val="003F766C"/>
    <w:rsid w:val="00400B59"/>
    <w:rsid w:val="0040243C"/>
    <w:rsid w:val="00402B24"/>
    <w:rsid w:val="0040535D"/>
    <w:rsid w:val="00405B37"/>
    <w:rsid w:val="004075EF"/>
    <w:rsid w:val="0040780E"/>
    <w:rsid w:val="0041107E"/>
    <w:rsid w:val="0041117E"/>
    <w:rsid w:val="004122F4"/>
    <w:rsid w:val="00413079"/>
    <w:rsid w:val="0041328B"/>
    <w:rsid w:val="00413A9C"/>
    <w:rsid w:val="0041602F"/>
    <w:rsid w:val="00421CE5"/>
    <w:rsid w:val="004223EF"/>
    <w:rsid w:val="00423453"/>
    <w:rsid w:val="004241DA"/>
    <w:rsid w:val="00424F2F"/>
    <w:rsid w:val="00425A9D"/>
    <w:rsid w:val="00426ABE"/>
    <w:rsid w:val="00427C9B"/>
    <w:rsid w:val="00430A29"/>
    <w:rsid w:val="00430D2C"/>
    <w:rsid w:val="004325DC"/>
    <w:rsid w:val="004348FE"/>
    <w:rsid w:val="00442E67"/>
    <w:rsid w:val="004462AE"/>
    <w:rsid w:val="00446600"/>
    <w:rsid w:val="00451612"/>
    <w:rsid w:val="004519BE"/>
    <w:rsid w:val="004521EC"/>
    <w:rsid w:val="00455264"/>
    <w:rsid w:val="00456BE3"/>
    <w:rsid w:val="00456C70"/>
    <w:rsid w:val="00456F6D"/>
    <w:rsid w:val="004611B8"/>
    <w:rsid w:val="00461AE1"/>
    <w:rsid w:val="00464958"/>
    <w:rsid w:val="00464D12"/>
    <w:rsid w:val="00466C9C"/>
    <w:rsid w:val="004672C5"/>
    <w:rsid w:val="00470786"/>
    <w:rsid w:val="00470A6D"/>
    <w:rsid w:val="00471599"/>
    <w:rsid w:val="0047325B"/>
    <w:rsid w:val="00473F64"/>
    <w:rsid w:val="0048420B"/>
    <w:rsid w:val="004849C1"/>
    <w:rsid w:val="00486BFC"/>
    <w:rsid w:val="0049167C"/>
    <w:rsid w:val="00492F30"/>
    <w:rsid w:val="00496FDF"/>
    <w:rsid w:val="00497F4A"/>
    <w:rsid w:val="004A19E5"/>
    <w:rsid w:val="004A225B"/>
    <w:rsid w:val="004B09D2"/>
    <w:rsid w:val="004B1539"/>
    <w:rsid w:val="004B1B88"/>
    <w:rsid w:val="004B2621"/>
    <w:rsid w:val="004B32FD"/>
    <w:rsid w:val="004B3ACF"/>
    <w:rsid w:val="004B3C22"/>
    <w:rsid w:val="004B448E"/>
    <w:rsid w:val="004B71D0"/>
    <w:rsid w:val="004C0031"/>
    <w:rsid w:val="004C4C81"/>
    <w:rsid w:val="004C50F0"/>
    <w:rsid w:val="004C6255"/>
    <w:rsid w:val="004C629B"/>
    <w:rsid w:val="004C7106"/>
    <w:rsid w:val="004C7A40"/>
    <w:rsid w:val="004D07AD"/>
    <w:rsid w:val="004D19F9"/>
    <w:rsid w:val="004D25D4"/>
    <w:rsid w:val="004D3ABB"/>
    <w:rsid w:val="004D5916"/>
    <w:rsid w:val="004D60BF"/>
    <w:rsid w:val="004D6209"/>
    <w:rsid w:val="004E050E"/>
    <w:rsid w:val="004E0539"/>
    <w:rsid w:val="004E14F7"/>
    <w:rsid w:val="004E1FDB"/>
    <w:rsid w:val="004E3167"/>
    <w:rsid w:val="004E3747"/>
    <w:rsid w:val="004E4363"/>
    <w:rsid w:val="004E4C46"/>
    <w:rsid w:val="004E7AB2"/>
    <w:rsid w:val="004F02CD"/>
    <w:rsid w:val="004F14BE"/>
    <w:rsid w:val="004F2EE9"/>
    <w:rsid w:val="004F430B"/>
    <w:rsid w:val="004F4754"/>
    <w:rsid w:val="004F4902"/>
    <w:rsid w:val="0050013F"/>
    <w:rsid w:val="00500B44"/>
    <w:rsid w:val="00502BA1"/>
    <w:rsid w:val="00502D73"/>
    <w:rsid w:val="0050327B"/>
    <w:rsid w:val="005041C1"/>
    <w:rsid w:val="00504C3E"/>
    <w:rsid w:val="00507F47"/>
    <w:rsid w:val="00513D38"/>
    <w:rsid w:val="005177BD"/>
    <w:rsid w:val="00523EA5"/>
    <w:rsid w:val="00525920"/>
    <w:rsid w:val="00525DDB"/>
    <w:rsid w:val="00526410"/>
    <w:rsid w:val="005265C8"/>
    <w:rsid w:val="0053195C"/>
    <w:rsid w:val="00532D0E"/>
    <w:rsid w:val="005334EE"/>
    <w:rsid w:val="0053682C"/>
    <w:rsid w:val="00541733"/>
    <w:rsid w:val="00541C78"/>
    <w:rsid w:val="005430E6"/>
    <w:rsid w:val="0054341C"/>
    <w:rsid w:val="0054584D"/>
    <w:rsid w:val="00546E62"/>
    <w:rsid w:val="005472DA"/>
    <w:rsid w:val="005472EB"/>
    <w:rsid w:val="0054764B"/>
    <w:rsid w:val="005506D7"/>
    <w:rsid w:val="00551D13"/>
    <w:rsid w:val="00552F04"/>
    <w:rsid w:val="00553554"/>
    <w:rsid w:val="005553F5"/>
    <w:rsid w:val="00555DC0"/>
    <w:rsid w:val="0055674D"/>
    <w:rsid w:val="005574BB"/>
    <w:rsid w:val="0056265D"/>
    <w:rsid w:val="00562B90"/>
    <w:rsid w:val="005678A7"/>
    <w:rsid w:val="00572A39"/>
    <w:rsid w:val="005731DF"/>
    <w:rsid w:val="0057469D"/>
    <w:rsid w:val="00582174"/>
    <w:rsid w:val="00586255"/>
    <w:rsid w:val="005871B1"/>
    <w:rsid w:val="00587CFF"/>
    <w:rsid w:val="00591DA3"/>
    <w:rsid w:val="00592D95"/>
    <w:rsid w:val="00596EEC"/>
    <w:rsid w:val="00596FDC"/>
    <w:rsid w:val="005A0875"/>
    <w:rsid w:val="005A0954"/>
    <w:rsid w:val="005A244B"/>
    <w:rsid w:val="005A3137"/>
    <w:rsid w:val="005A47FE"/>
    <w:rsid w:val="005A4C9B"/>
    <w:rsid w:val="005A5F8B"/>
    <w:rsid w:val="005B11A2"/>
    <w:rsid w:val="005B172D"/>
    <w:rsid w:val="005B23C8"/>
    <w:rsid w:val="005B2FF8"/>
    <w:rsid w:val="005B7717"/>
    <w:rsid w:val="005B7CA1"/>
    <w:rsid w:val="005C0C25"/>
    <w:rsid w:val="005C20AE"/>
    <w:rsid w:val="005C25A4"/>
    <w:rsid w:val="005C31B6"/>
    <w:rsid w:val="005C392C"/>
    <w:rsid w:val="005C4C33"/>
    <w:rsid w:val="005C5261"/>
    <w:rsid w:val="005C547A"/>
    <w:rsid w:val="005C668C"/>
    <w:rsid w:val="005C7481"/>
    <w:rsid w:val="005C79A9"/>
    <w:rsid w:val="005C7E72"/>
    <w:rsid w:val="005D004E"/>
    <w:rsid w:val="005D04C1"/>
    <w:rsid w:val="005D244B"/>
    <w:rsid w:val="005D537F"/>
    <w:rsid w:val="005E027F"/>
    <w:rsid w:val="005E16B8"/>
    <w:rsid w:val="005E1B2F"/>
    <w:rsid w:val="005E25EE"/>
    <w:rsid w:val="005E46B6"/>
    <w:rsid w:val="005E6479"/>
    <w:rsid w:val="005E6921"/>
    <w:rsid w:val="005E7566"/>
    <w:rsid w:val="005E7889"/>
    <w:rsid w:val="005F0A63"/>
    <w:rsid w:val="005F12C4"/>
    <w:rsid w:val="005F2C57"/>
    <w:rsid w:val="005F3CAB"/>
    <w:rsid w:val="005F50BE"/>
    <w:rsid w:val="005F5253"/>
    <w:rsid w:val="005F537B"/>
    <w:rsid w:val="005F6A86"/>
    <w:rsid w:val="005F7C6E"/>
    <w:rsid w:val="00600417"/>
    <w:rsid w:val="0060178C"/>
    <w:rsid w:val="006022EE"/>
    <w:rsid w:val="00611497"/>
    <w:rsid w:val="006117FF"/>
    <w:rsid w:val="006122E0"/>
    <w:rsid w:val="00613F8B"/>
    <w:rsid w:val="006140D6"/>
    <w:rsid w:val="00621511"/>
    <w:rsid w:val="00622D50"/>
    <w:rsid w:val="00623636"/>
    <w:rsid w:val="00624CE0"/>
    <w:rsid w:val="00624E87"/>
    <w:rsid w:val="00630957"/>
    <w:rsid w:val="00632C52"/>
    <w:rsid w:val="00633654"/>
    <w:rsid w:val="00633C25"/>
    <w:rsid w:val="0063430D"/>
    <w:rsid w:val="0063662D"/>
    <w:rsid w:val="00636745"/>
    <w:rsid w:val="00636D3B"/>
    <w:rsid w:val="006406BB"/>
    <w:rsid w:val="00640A0F"/>
    <w:rsid w:val="0064190C"/>
    <w:rsid w:val="006443AC"/>
    <w:rsid w:val="00645805"/>
    <w:rsid w:val="00646B30"/>
    <w:rsid w:val="006473A4"/>
    <w:rsid w:val="006477E9"/>
    <w:rsid w:val="00650B1F"/>
    <w:rsid w:val="00651107"/>
    <w:rsid w:val="00651A8B"/>
    <w:rsid w:val="00652293"/>
    <w:rsid w:val="00652436"/>
    <w:rsid w:val="00652E09"/>
    <w:rsid w:val="006547F1"/>
    <w:rsid w:val="00656235"/>
    <w:rsid w:val="0066562F"/>
    <w:rsid w:val="00665B11"/>
    <w:rsid w:val="00666410"/>
    <w:rsid w:val="00666DF7"/>
    <w:rsid w:val="006671B9"/>
    <w:rsid w:val="006671BE"/>
    <w:rsid w:val="00670A7B"/>
    <w:rsid w:val="00671FAD"/>
    <w:rsid w:val="00672380"/>
    <w:rsid w:val="00673B19"/>
    <w:rsid w:val="00674232"/>
    <w:rsid w:val="00676F15"/>
    <w:rsid w:val="006772F3"/>
    <w:rsid w:val="006775FB"/>
    <w:rsid w:val="00680D59"/>
    <w:rsid w:val="00681DE2"/>
    <w:rsid w:val="0068238C"/>
    <w:rsid w:val="0068369D"/>
    <w:rsid w:val="00683EA4"/>
    <w:rsid w:val="0068525D"/>
    <w:rsid w:val="00692A80"/>
    <w:rsid w:val="006932EF"/>
    <w:rsid w:val="0069353E"/>
    <w:rsid w:val="00694766"/>
    <w:rsid w:val="00694B02"/>
    <w:rsid w:val="00695348"/>
    <w:rsid w:val="00695CEA"/>
    <w:rsid w:val="006963CA"/>
    <w:rsid w:val="00696575"/>
    <w:rsid w:val="00697676"/>
    <w:rsid w:val="006A02F2"/>
    <w:rsid w:val="006A05D5"/>
    <w:rsid w:val="006A27A3"/>
    <w:rsid w:val="006A65C7"/>
    <w:rsid w:val="006A6D97"/>
    <w:rsid w:val="006B0C91"/>
    <w:rsid w:val="006B10C3"/>
    <w:rsid w:val="006B284A"/>
    <w:rsid w:val="006B38DE"/>
    <w:rsid w:val="006B427D"/>
    <w:rsid w:val="006B4365"/>
    <w:rsid w:val="006B7ECB"/>
    <w:rsid w:val="006C37F8"/>
    <w:rsid w:val="006C3CD1"/>
    <w:rsid w:val="006C4957"/>
    <w:rsid w:val="006D2CC3"/>
    <w:rsid w:val="006D38F4"/>
    <w:rsid w:val="006D3A7C"/>
    <w:rsid w:val="006D40B6"/>
    <w:rsid w:val="006D5935"/>
    <w:rsid w:val="006D6454"/>
    <w:rsid w:val="006D7B11"/>
    <w:rsid w:val="006E06EA"/>
    <w:rsid w:val="006E1A85"/>
    <w:rsid w:val="006E383D"/>
    <w:rsid w:val="006E3B6F"/>
    <w:rsid w:val="006E5E55"/>
    <w:rsid w:val="006E694E"/>
    <w:rsid w:val="006E6A78"/>
    <w:rsid w:val="006E791D"/>
    <w:rsid w:val="006F0ADE"/>
    <w:rsid w:val="006F0C1F"/>
    <w:rsid w:val="006F2097"/>
    <w:rsid w:val="006F4EEC"/>
    <w:rsid w:val="0070026B"/>
    <w:rsid w:val="007027D2"/>
    <w:rsid w:val="00703ABA"/>
    <w:rsid w:val="00706EE6"/>
    <w:rsid w:val="007074B9"/>
    <w:rsid w:val="00707D51"/>
    <w:rsid w:val="00712576"/>
    <w:rsid w:val="00714A2B"/>
    <w:rsid w:val="0071755A"/>
    <w:rsid w:val="00717C2A"/>
    <w:rsid w:val="007200BB"/>
    <w:rsid w:val="00723054"/>
    <w:rsid w:val="007232EE"/>
    <w:rsid w:val="0072374D"/>
    <w:rsid w:val="00723C2A"/>
    <w:rsid w:val="0072418E"/>
    <w:rsid w:val="00725094"/>
    <w:rsid w:val="007255D3"/>
    <w:rsid w:val="00725AC0"/>
    <w:rsid w:val="00726C4D"/>
    <w:rsid w:val="007302E1"/>
    <w:rsid w:val="00731542"/>
    <w:rsid w:val="007333A6"/>
    <w:rsid w:val="007333AB"/>
    <w:rsid w:val="00734956"/>
    <w:rsid w:val="007355F1"/>
    <w:rsid w:val="0073655E"/>
    <w:rsid w:val="00736EF3"/>
    <w:rsid w:val="00737D91"/>
    <w:rsid w:val="007423F6"/>
    <w:rsid w:val="00742DCE"/>
    <w:rsid w:val="00743A2C"/>
    <w:rsid w:val="00745E18"/>
    <w:rsid w:val="007461AC"/>
    <w:rsid w:val="00750430"/>
    <w:rsid w:val="00751F6E"/>
    <w:rsid w:val="00752D0C"/>
    <w:rsid w:val="00753847"/>
    <w:rsid w:val="00753B7E"/>
    <w:rsid w:val="007540F4"/>
    <w:rsid w:val="007549CD"/>
    <w:rsid w:val="00757185"/>
    <w:rsid w:val="0076348B"/>
    <w:rsid w:val="00764979"/>
    <w:rsid w:val="007677B9"/>
    <w:rsid w:val="0077120A"/>
    <w:rsid w:val="00772770"/>
    <w:rsid w:val="007744DF"/>
    <w:rsid w:val="00774B2E"/>
    <w:rsid w:val="0077510E"/>
    <w:rsid w:val="00777B60"/>
    <w:rsid w:val="00781D3A"/>
    <w:rsid w:val="00782361"/>
    <w:rsid w:val="00782520"/>
    <w:rsid w:val="00782D27"/>
    <w:rsid w:val="0078351E"/>
    <w:rsid w:val="00784130"/>
    <w:rsid w:val="00784E9F"/>
    <w:rsid w:val="007867DC"/>
    <w:rsid w:val="00786D0F"/>
    <w:rsid w:val="00786FFF"/>
    <w:rsid w:val="00790CFA"/>
    <w:rsid w:val="00791BB8"/>
    <w:rsid w:val="00791C48"/>
    <w:rsid w:val="007925D0"/>
    <w:rsid w:val="00792C96"/>
    <w:rsid w:val="00795522"/>
    <w:rsid w:val="007A03C8"/>
    <w:rsid w:val="007A055A"/>
    <w:rsid w:val="007A05CD"/>
    <w:rsid w:val="007A1041"/>
    <w:rsid w:val="007A26ED"/>
    <w:rsid w:val="007A4A1E"/>
    <w:rsid w:val="007A4FFE"/>
    <w:rsid w:val="007A50CD"/>
    <w:rsid w:val="007A6EC1"/>
    <w:rsid w:val="007B390C"/>
    <w:rsid w:val="007B4484"/>
    <w:rsid w:val="007B4972"/>
    <w:rsid w:val="007B4D3B"/>
    <w:rsid w:val="007B5EE2"/>
    <w:rsid w:val="007B7C00"/>
    <w:rsid w:val="007C006C"/>
    <w:rsid w:val="007C01B8"/>
    <w:rsid w:val="007C05B2"/>
    <w:rsid w:val="007C11FF"/>
    <w:rsid w:val="007C1CEA"/>
    <w:rsid w:val="007C1DBF"/>
    <w:rsid w:val="007C2906"/>
    <w:rsid w:val="007C32B0"/>
    <w:rsid w:val="007C3474"/>
    <w:rsid w:val="007C3B13"/>
    <w:rsid w:val="007C435A"/>
    <w:rsid w:val="007C6DD5"/>
    <w:rsid w:val="007C6E4A"/>
    <w:rsid w:val="007D0F52"/>
    <w:rsid w:val="007D14BB"/>
    <w:rsid w:val="007D1537"/>
    <w:rsid w:val="007D5765"/>
    <w:rsid w:val="007D5AF6"/>
    <w:rsid w:val="007D74B7"/>
    <w:rsid w:val="007E2C84"/>
    <w:rsid w:val="007E45F7"/>
    <w:rsid w:val="007E4887"/>
    <w:rsid w:val="007E4FA8"/>
    <w:rsid w:val="007E59DF"/>
    <w:rsid w:val="007E5F64"/>
    <w:rsid w:val="007E67BC"/>
    <w:rsid w:val="007F16E6"/>
    <w:rsid w:val="007F1B32"/>
    <w:rsid w:val="007F2AAE"/>
    <w:rsid w:val="007F3777"/>
    <w:rsid w:val="007F3803"/>
    <w:rsid w:val="007F52CD"/>
    <w:rsid w:val="007F55FB"/>
    <w:rsid w:val="007F56A8"/>
    <w:rsid w:val="007F6212"/>
    <w:rsid w:val="007F6473"/>
    <w:rsid w:val="007F69FB"/>
    <w:rsid w:val="008013A9"/>
    <w:rsid w:val="008022C5"/>
    <w:rsid w:val="00802EFF"/>
    <w:rsid w:val="00804A54"/>
    <w:rsid w:val="00804AE4"/>
    <w:rsid w:val="00805820"/>
    <w:rsid w:val="00805988"/>
    <w:rsid w:val="008066EF"/>
    <w:rsid w:val="008079F3"/>
    <w:rsid w:val="00810620"/>
    <w:rsid w:val="008122CF"/>
    <w:rsid w:val="00814453"/>
    <w:rsid w:val="00814FC5"/>
    <w:rsid w:val="00815BF6"/>
    <w:rsid w:val="00815E5A"/>
    <w:rsid w:val="008221A2"/>
    <w:rsid w:val="00822569"/>
    <w:rsid w:val="00822EEA"/>
    <w:rsid w:val="008267E8"/>
    <w:rsid w:val="00830135"/>
    <w:rsid w:val="00831246"/>
    <w:rsid w:val="008331F3"/>
    <w:rsid w:val="00833761"/>
    <w:rsid w:val="00833C96"/>
    <w:rsid w:val="00833E51"/>
    <w:rsid w:val="008355DF"/>
    <w:rsid w:val="00837A0E"/>
    <w:rsid w:val="0084090C"/>
    <w:rsid w:val="00843065"/>
    <w:rsid w:val="0084355B"/>
    <w:rsid w:val="0084372F"/>
    <w:rsid w:val="00843CF9"/>
    <w:rsid w:val="0084514A"/>
    <w:rsid w:val="008459B7"/>
    <w:rsid w:val="00850008"/>
    <w:rsid w:val="008502ED"/>
    <w:rsid w:val="00855F2C"/>
    <w:rsid w:val="008570EC"/>
    <w:rsid w:val="00857302"/>
    <w:rsid w:val="0085784C"/>
    <w:rsid w:val="00857985"/>
    <w:rsid w:val="008611B6"/>
    <w:rsid w:val="00863C63"/>
    <w:rsid w:val="0087154C"/>
    <w:rsid w:val="008721A0"/>
    <w:rsid w:val="00872C2D"/>
    <w:rsid w:val="008743B6"/>
    <w:rsid w:val="00876D99"/>
    <w:rsid w:val="00877B7B"/>
    <w:rsid w:val="00877CD4"/>
    <w:rsid w:val="008809D9"/>
    <w:rsid w:val="00884DB1"/>
    <w:rsid w:val="00884E15"/>
    <w:rsid w:val="0088635A"/>
    <w:rsid w:val="00887E7E"/>
    <w:rsid w:val="00890786"/>
    <w:rsid w:val="00892331"/>
    <w:rsid w:val="00892DB5"/>
    <w:rsid w:val="00893A15"/>
    <w:rsid w:val="00893EF8"/>
    <w:rsid w:val="00894D65"/>
    <w:rsid w:val="0089717A"/>
    <w:rsid w:val="00897ABF"/>
    <w:rsid w:val="008A112F"/>
    <w:rsid w:val="008A195D"/>
    <w:rsid w:val="008A2E00"/>
    <w:rsid w:val="008A743B"/>
    <w:rsid w:val="008A7684"/>
    <w:rsid w:val="008A774A"/>
    <w:rsid w:val="008B0659"/>
    <w:rsid w:val="008B06E4"/>
    <w:rsid w:val="008B0C97"/>
    <w:rsid w:val="008B266B"/>
    <w:rsid w:val="008B28B0"/>
    <w:rsid w:val="008B3EFC"/>
    <w:rsid w:val="008B49E9"/>
    <w:rsid w:val="008B6DB4"/>
    <w:rsid w:val="008C0AA4"/>
    <w:rsid w:val="008C361F"/>
    <w:rsid w:val="008D25C4"/>
    <w:rsid w:val="008D269B"/>
    <w:rsid w:val="008D28F8"/>
    <w:rsid w:val="008D413A"/>
    <w:rsid w:val="008D487F"/>
    <w:rsid w:val="008D4C63"/>
    <w:rsid w:val="008D4E79"/>
    <w:rsid w:val="008D5EAE"/>
    <w:rsid w:val="008D608D"/>
    <w:rsid w:val="008D79ED"/>
    <w:rsid w:val="008E1599"/>
    <w:rsid w:val="008E38CA"/>
    <w:rsid w:val="008E443A"/>
    <w:rsid w:val="008E4596"/>
    <w:rsid w:val="008E4E33"/>
    <w:rsid w:val="008E6E89"/>
    <w:rsid w:val="008E7C75"/>
    <w:rsid w:val="008E7EBE"/>
    <w:rsid w:val="008F04AA"/>
    <w:rsid w:val="008F1BE9"/>
    <w:rsid w:val="008F2413"/>
    <w:rsid w:val="008F29F8"/>
    <w:rsid w:val="008F6A1D"/>
    <w:rsid w:val="00902FEC"/>
    <w:rsid w:val="009030D4"/>
    <w:rsid w:val="00904515"/>
    <w:rsid w:val="00905EC0"/>
    <w:rsid w:val="0090611F"/>
    <w:rsid w:val="00906133"/>
    <w:rsid w:val="009070C0"/>
    <w:rsid w:val="00911FAF"/>
    <w:rsid w:val="0091241B"/>
    <w:rsid w:val="00912EAC"/>
    <w:rsid w:val="0091331E"/>
    <w:rsid w:val="00913AB2"/>
    <w:rsid w:val="00922B46"/>
    <w:rsid w:val="00925A5A"/>
    <w:rsid w:val="0093111D"/>
    <w:rsid w:val="00932EB8"/>
    <w:rsid w:val="009332C8"/>
    <w:rsid w:val="00933A51"/>
    <w:rsid w:val="009343FA"/>
    <w:rsid w:val="00935F74"/>
    <w:rsid w:val="0093693E"/>
    <w:rsid w:val="00937FF6"/>
    <w:rsid w:val="009405DE"/>
    <w:rsid w:val="0094203C"/>
    <w:rsid w:val="0094378B"/>
    <w:rsid w:val="00943AF6"/>
    <w:rsid w:val="00943E8B"/>
    <w:rsid w:val="00945AB3"/>
    <w:rsid w:val="009461E5"/>
    <w:rsid w:val="009511D4"/>
    <w:rsid w:val="009522AF"/>
    <w:rsid w:val="00953314"/>
    <w:rsid w:val="00954D32"/>
    <w:rsid w:val="00955054"/>
    <w:rsid w:val="0096054A"/>
    <w:rsid w:val="0096250E"/>
    <w:rsid w:val="00962E99"/>
    <w:rsid w:val="00962FA5"/>
    <w:rsid w:val="009660D9"/>
    <w:rsid w:val="009664F7"/>
    <w:rsid w:val="00973A99"/>
    <w:rsid w:val="00973AE5"/>
    <w:rsid w:val="00973E78"/>
    <w:rsid w:val="0097596D"/>
    <w:rsid w:val="00976E8C"/>
    <w:rsid w:val="00981673"/>
    <w:rsid w:val="009823D2"/>
    <w:rsid w:val="00983087"/>
    <w:rsid w:val="00983135"/>
    <w:rsid w:val="00983155"/>
    <w:rsid w:val="009835CF"/>
    <w:rsid w:val="00984A36"/>
    <w:rsid w:val="00985520"/>
    <w:rsid w:val="009859F7"/>
    <w:rsid w:val="00986800"/>
    <w:rsid w:val="00986BCB"/>
    <w:rsid w:val="009909B7"/>
    <w:rsid w:val="00993D3F"/>
    <w:rsid w:val="00994FF4"/>
    <w:rsid w:val="00997753"/>
    <w:rsid w:val="009A0A1B"/>
    <w:rsid w:val="009A0EE5"/>
    <w:rsid w:val="009A21CD"/>
    <w:rsid w:val="009A236C"/>
    <w:rsid w:val="009A4239"/>
    <w:rsid w:val="009A5B99"/>
    <w:rsid w:val="009B0360"/>
    <w:rsid w:val="009B0773"/>
    <w:rsid w:val="009B39F4"/>
    <w:rsid w:val="009B58CF"/>
    <w:rsid w:val="009B6975"/>
    <w:rsid w:val="009B7E8B"/>
    <w:rsid w:val="009C11A6"/>
    <w:rsid w:val="009C1216"/>
    <w:rsid w:val="009C268F"/>
    <w:rsid w:val="009C27FB"/>
    <w:rsid w:val="009C59ED"/>
    <w:rsid w:val="009C6B68"/>
    <w:rsid w:val="009C7B45"/>
    <w:rsid w:val="009C7DCD"/>
    <w:rsid w:val="009D2671"/>
    <w:rsid w:val="009D2F7A"/>
    <w:rsid w:val="009D312C"/>
    <w:rsid w:val="009E0E4A"/>
    <w:rsid w:val="009E1120"/>
    <w:rsid w:val="009E15DF"/>
    <w:rsid w:val="009E1DCF"/>
    <w:rsid w:val="009E26AA"/>
    <w:rsid w:val="009E272A"/>
    <w:rsid w:val="009E2EDC"/>
    <w:rsid w:val="009F0879"/>
    <w:rsid w:val="009F1161"/>
    <w:rsid w:val="009F5727"/>
    <w:rsid w:val="009F5AA9"/>
    <w:rsid w:val="009F6287"/>
    <w:rsid w:val="009F7CC9"/>
    <w:rsid w:val="00A01290"/>
    <w:rsid w:val="00A016EB"/>
    <w:rsid w:val="00A01987"/>
    <w:rsid w:val="00A01D03"/>
    <w:rsid w:val="00A01FB5"/>
    <w:rsid w:val="00A026D2"/>
    <w:rsid w:val="00A02E36"/>
    <w:rsid w:val="00A0348A"/>
    <w:rsid w:val="00A076C9"/>
    <w:rsid w:val="00A105B3"/>
    <w:rsid w:val="00A12694"/>
    <w:rsid w:val="00A12824"/>
    <w:rsid w:val="00A13A9D"/>
    <w:rsid w:val="00A16EB6"/>
    <w:rsid w:val="00A206A5"/>
    <w:rsid w:val="00A20BDD"/>
    <w:rsid w:val="00A22D28"/>
    <w:rsid w:val="00A23180"/>
    <w:rsid w:val="00A23312"/>
    <w:rsid w:val="00A23C3A"/>
    <w:rsid w:val="00A24CAE"/>
    <w:rsid w:val="00A259B1"/>
    <w:rsid w:val="00A27C26"/>
    <w:rsid w:val="00A30AAC"/>
    <w:rsid w:val="00A30CFB"/>
    <w:rsid w:val="00A310F5"/>
    <w:rsid w:val="00A34455"/>
    <w:rsid w:val="00A351FD"/>
    <w:rsid w:val="00A41EA7"/>
    <w:rsid w:val="00A42F23"/>
    <w:rsid w:val="00A43248"/>
    <w:rsid w:val="00A437E7"/>
    <w:rsid w:val="00A44E9B"/>
    <w:rsid w:val="00A44FFC"/>
    <w:rsid w:val="00A45405"/>
    <w:rsid w:val="00A45AF7"/>
    <w:rsid w:val="00A47DC6"/>
    <w:rsid w:val="00A5055C"/>
    <w:rsid w:val="00A51323"/>
    <w:rsid w:val="00A51CA6"/>
    <w:rsid w:val="00A52AC9"/>
    <w:rsid w:val="00A53D93"/>
    <w:rsid w:val="00A57D2F"/>
    <w:rsid w:val="00A60226"/>
    <w:rsid w:val="00A64E06"/>
    <w:rsid w:val="00A65C35"/>
    <w:rsid w:val="00A679AB"/>
    <w:rsid w:val="00A702E4"/>
    <w:rsid w:val="00A73A13"/>
    <w:rsid w:val="00A77A39"/>
    <w:rsid w:val="00A80449"/>
    <w:rsid w:val="00A83392"/>
    <w:rsid w:val="00A83D54"/>
    <w:rsid w:val="00A93700"/>
    <w:rsid w:val="00A940A8"/>
    <w:rsid w:val="00AA17B3"/>
    <w:rsid w:val="00AA2735"/>
    <w:rsid w:val="00AA3079"/>
    <w:rsid w:val="00AA48F6"/>
    <w:rsid w:val="00AA59A2"/>
    <w:rsid w:val="00AA5DFC"/>
    <w:rsid w:val="00AA7679"/>
    <w:rsid w:val="00AA78D4"/>
    <w:rsid w:val="00AA7F42"/>
    <w:rsid w:val="00AB0E8A"/>
    <w:rsid w:val="00AC018F"/>
    <w:rsid w:val="00AC1586"/>
    <w:rsid w:val="00AC2501"/>
    <w:rsid w:val="00AC50BF"/>
    <w:rsid w:val="00AC51FA"/>
    <w:rsid w:val="00AC5472"/>
    <w:rsid w:val="00AC553F"/>
    <w:rsid w:val="00AC5D10"/>
    <w:rsid w:val="00AD0CED"/>
    <w:rsid w:val="00AD1F85"/>
    <w:rsid w:val="00AD4CE1"/>
    <w:rsid w:val="00AD5172"/>
    <w:rsid w:val="00AD58BF"/>
    <w:rsid w:val="00AD59AD"/>
    <w:rsid w:val="00AD5FB2"/>
    <w:rsid w:val="00AD60E6"/>
    <w:rsid w:val="00AD77D4"/>
    <w:rsid w:val="00AE0661"/>
    <w:rsid w:val="00AE1005"/>
    <w:rsid w:val="00AE1909"/>
    <w:rsid w:val="00AE1F8E"/>
    <w:rsid w:val="00AE2134"/>
    <w:rsid w:val="00AE26A8"/>
    <w:rsid w:val="00AE3631"/>
    <w:rsid w:val="00AE3C3A"/>
    <w:rsid w:val="00AE49DE"/>
    <w:rsid w:val="00AE5E70"/>
    <w:rsid w:val="00AE6833"/>
    <w:rsid w:val="00AF058A"/>
    <w:rsid w:val="00AF080D"/>
    <w:rsid w:val="00AF0B7C"/>
    <w:rsid w:val="00AF0BC2"/>
    <w:rsid w:val="00AF620D"/>
    <w:rsid w:val="00AF6974"/>
    <w:rsid w:val="00AF6B06"/>
    <w:rsid w:val="00AF6F91"/>
    <w:rsid w:val="00AF7506"/>
    <w:rsid w:val="00B0376E"/>
    <w:rsid w:val="00B043E1"/>
    <w:rsid w:val="00B04737"/>
    <w:rsid w:val="00B076D5"/>
    <w:rsid w:val="00B07A32"/>
    <w:rsid w:val="00B10315"/>
    <w:rsid w:val="00B130AD"/>
    <w:rsid w:val="00B13FE6"/>
    <w:rsid w:val="00B15465"/>
    <w:rsid w:val="00B174AF"/>
    <w:rsid w:val="00B2074A"/>
    <w:rsid w:val="00B21218"/>
    <w:rsid w:val="00B231B1"/>
    <w:rsid w:val="00B24D29"/>
    <w:rsid w:val="00B26B0D"/>
    <w:rsid w:val="00B316DD"/>
    <w:rsid w:val="00B3192F"/>
    <w:rsid w:val="00B32507"/>
    <w:rsid w:val="00B325C6"/>
    <w:rsid w:val="00B348C5"/>
    <w:rsid w:val="00B36567"/>
    <w:rsid w:val="00B37EFF"/>
    <w:rsid w:val="00B41B1A"/>
    <w:rsid w:val="00B42161"/>
    <w:rsid w:val="00B42326"/>
    <w:rsid w:val="00B462C0"/>
    <w:rsid w:val="00B51D71"/>
    <w:rsid w:val="00B5213D"/>
    <w:rsid w:val="00B53EA5"/>
    <w:rsid w:val="00B56ABD"/>
    <w:rsid w:val="00B56BA7"/>
    <w:rsid w:val="00B5776A"/>
    <w:rsid w:val="00B57B6F"/>
    <w:rsid w:val="00B60343"/>
    <w:rsid w:val="00B603B4"/>
    <w:rsid w:val="00B6242C"/>
    <w:rsid w:val="00B63E7B"/>
    <w:rsid w:val="00B666A3"/>
    <w:rsid w:val="00B71039"/>
    <w:rsid w:val="00B75915"/>
    <w:rsid w:val="00B767B9"/>
    <w:rsid w:val="00B76C0A"/>
    <w:rsid w:val="00B77703"/>
    <w:rsid w:val="00B81C40"/>
    <w:rsid w:val="00B8360A"/>
    <w:rsid w:val="00B853D0"/>
    <w:rsid w:val="00B86221"/>
    <w:rsid w:val="00B91F07"/>
    <w:rsid w:val="00B96E2B"/>
    <w:rsid w:val="00BA248E"/>
    <w:rsid w:val="00BA2783"/>
    <w:rsid w:val="00BB00E6"/>
    <w:rsid w:val="00BB3FC7"/>
    <w:rsid w:val="00BB4E05"/>
    <w:rsid w:val="00BB506E"/>
    <w:rsid w:val="00BC02E4"/>
    <w:rsid w:val="00BC09A5"/>
    <w:rsid w:val="00BC301E"/>
    <w:rsid w:val="00BC3B3A"/>
    <w:rsid w:val="00BC3C0D"/>
    <w:rsid w:val="00BC3FA6"/>
    <w:rsid w:val="00BC524B"/>
    <w:rsid w:val="00BC6367"/>
    <w:rsid w:val="00BC6CB0"/>
    <w:rsid w:val="00BD1BCD"/>
    <w:rsid w:val="00BD2D36"/>
    <w:rsid w:val="00BD3491"/>
    <w:rsid w:val="00BD4380"/>
    <w:rsid w:val="00BD4D88"/>
    <w:rsid w:val="00BE0DB2"/>
    <w:rsid w:val="00BE14A8"/>
    <w:rsid w:val="00BE1ACC"/>
    <w:rsid w:val="00BE1DE6"/>
    <w:rsid w:val="00BE3008"/>
    <w:rsid w:val="00BE33EC"/>
    <w:rsid w:val="00BE37D5"/>
    <w:rsid w:val="00BE4BDF"/>
    <w:rsid w:val="00BE52E6"/>
    <w:rsid w:val="00BF3F70"/>
    <w:rsid w:val="00C00AE1"/>
    <w:rsid w:val="00C00C6D"/>
    <w:rsid w:val="00C03C10"/>
    <w:rsid w:val="00C04C51"/>
    <w:rsid w:val="00C05AEB"/>
    <w:rsid w:val="00C05EC4"/>
    <w:rsid w:val="00C0629B"/>
    <w:rsid w:val="00C10287"/>
    <w:rsid w:val="00C10E86"/>
    <w:rsid w:val="00C12390"/>
    <w:rsid w:val="00C1385C"/>
    <w:rsid w:val="00C14BC1"/>
    <w:rsid w:val="00C15C14"/>
    <w:rsid w:val="00C16A7C"/>
    <w:rsid w:val="00C17610"/>
    <w:rsid w:val="00C20346"/>
    <w:rsid w:val="00C2270D"/>
    <w:rsid w:val="00C22B35"/>
    <w:rsid w:val="00C2355E"/>
    <w:rsid w:val="00C23A10"/>
    <w:rsid w:val="00C23C58"/>
    <w:rsid w:val="00C2478C"/>
    <w:rsid w:val="00C2628E"/>
    <w:rsid w:val="00C3088F"/>
    <w:rsid w:val="00C32204"/>
    <w:rsid w:val="00C332EF"/>
    <w:rsid w:val="00C3452D"/>
    <w:rsid w:val="00C35142"/>
    <w:rsid w:val="00C36A54"/>
    <w:rsid w:val="00C40C7D"/>
    <w:rsid w:val="00C41981"/>
    <w:rsid w:val="00C433E6"/>
    <w:rsid w:val="00C43AC5"/>
    <w:rsid w:val="00C4428E"/>
    <w:rsid w:val="00C4500F"/>
    <w:rsid w:val="00C46753"/>
    <w:rsid w:val="00C46BAB"/>
    <w:rsid w:val="00C50E54"/>
    <w:rsid w:val="00C52A62"/>
    <w:rsid w:val="00C547B4"/>
    <w:rsid w:val="00C55D89"/>
    <w:rsid w:val="00C57271"/>
    <w:rsid w:val="00C60880"/>
    <w:rsid w:val="00C66464"/>
    <w:rsid w:val="00C677EA"/>
    <w:rsid w:val="00C7219F"/>
    <w:rsid w:val="00C736ED"/>
    <w:rsid w:val="00C74B39"/>
    <w:rsid w:val="00C7517E"/>
    <w:rsid w:val="00C76DFC"/>
    <w:rsid w:val="00C778B8"/>
    <w:rsid w:val="00C77A05"/>
    <w:rsid w:val="00C81745"/>
    <w:rsid w:val="00C838FA"/>
    <w:rsid w:val="00C86AC0"/>
    <w:rsid w:val="00C91152"/>
    <w:rsid w:val="00C93093"/>
    <w:rsid w:val="00C97037"/>
    <w:rsid w:val="00CA02B7"/>
    <w:rsid w:val="00CA0BD7"/>
    <w:rsid w:val="00CA0F42"/>
    <w:rsid w:val="00CA0F53"/>
    <w:rsid w:val="00CA1A98"/>
    <w:rsid w:val="00CA295D"/>
    <w:rsid w:val="00CA44E9"/>
    <w:rsid w:val="00CA4DC4"/>
    <w:rsid w:val="00CA6C73"/>
    <w:rsid w:val="00CA77A4"/>
    <w:rsid w:val="00CA794E"/>
    <w:rsid w:val="00CB157D"/>
    <w:rsid w:val="00CB1802"/>
    <w:rsid w:val="00CB1F4D"/>
    <w:rsid w:val="00CB30F1"/>
    <w:rsid w:val="00CB335A"/>
    <w:rsid w:val="00CB3EB4"/>
    <w:rsid w:val="00CB5C9F"/>
    <w:rsid w:val="00CB6157"/>
    <w:rsid w:val="00CB6E89"/>
    <w:rsid w:val="00CB75EF"/>
    <w:rsid w:val="00CB7803"/>
    <w:rsid w:val="00CC2033"/>
    <w:rsid w:val="00CC23EE"/>
    <w:rsid w:val="00CC2AF4"/>
    <w:rsid w:val="00CC37C2"/>
    <w:rsid w:val="00CC4634"/>
    <w:rsid w:val="00CC4A05"/>
    <w:rsid w:val="00CC5450"/>
    <w:rsid w:val="00CC5AD8"/>
    <w:rsid w:val="00CC5E04"/>
    <w:rsid w:val="00CD0746"/>
    <w:rsid w:val="00CD07E6"/>
    <w:rsid w:val="00CD10A8"/>
    <w:rsid w:val="00CD153B"/>
    <w:rsid w:val="00CD1E00"/>
    <w:rsid w:val="00CD21B3"/>
    <w:rsid w:val="00CD2DFB"/>
    <w:rsid w:val="00CD2EF5"/>
    <w:rsid w:val="00CD6410"/>
    <w:rsid w:val="00CD72EC"/>
    <w:rsid w:val="00CE3E8B"/>
    <w:rsid w:val="00CE4E86"/>
    <w:rsid w:val="00CE70FF"/>
    <w:rsid w:val="00CF02DB"/>
    <w:rsid w:val="00CF135C"/>
    <w:rsid w:val="00CF1BDB"/>
    <w:rsid w:val="00CF1E04"/>
    <w:rsid w:val="00CF2F03"/>
    <w:rsid w:val="00CF628F"/>
    <w:rsid w:val="00CF6381"/>
    <w:rsid w:val="00CF63CF"/>
    <w:rsid w:val="00CF6D46"/>
    <w:rsid w:val="00D0032B"/>
    <w:rsid w:val="00D0052A"/>
    <w:rsid w:val="00D01CE0"/>
    <w:rsid w:val="00D02E62"/>
    <w:rsid w:val="00D030EA"/>
    <w:rsid w:val="00D0351F"/>
    <w:rsid w:val="00D03B7E"/>
    <w:rsid w:val="00D043EB"/>
    <w:rsid w:val="00D07F9D"/>
    <w:rsid w:val="00D10092"/>
    <w:rsid w:val="00D16F16"/>
    <w:rsid w:val="00D1727B"/>
    <w:rsid w:val="00D17753"/>
    <w:rsid w:val="00D23541"/>
    <w:rsid w:val="00D33478"/>
    <w:rsid w:val="00D33E2C"/>
    <w:rsid w:val="00D34954"/>
    <w:rsid w:val="00D35F0C"/>
    <w:rsid w:val="00D37685"/>
    <w:rsid w:val="00D42B43"/>
    <w:rsid w:val="00D457FB"/>
    <w:rsid w:val="00D45FBF"/>
    <w:rsid w:val="00D462B1"/>
    <w:rsid w:val="00D47E02"/>
    <w:rsid w:val="00D51F23"/>
    <w:rsid w:val="00D536BF"/>
    <w:rsid w:val="00D5476F"/>
    <w:rsid w:val="00D55120"/>
    <w:rsid w:val="00D60903"/>
    <w:rsid w:val="00D62E5E"/>
    <w:rsid w:val="00D6330C"/>
    <w:rsid w:val="00D63B72"/>
    <w:rsid w:val="00D63CC2"/>
    <w:rsid w:val="00D63E01"/>
    <w:rsid w:val="00D66CF3"/>
    <w:rsid w:val="00D672DC"/>
    <w:rsid w:val="00D700F1"/>
    <w:rsid w:val="00D7059E"/>
    <w:rsid w:val="00D70AAB"/>
    <w:rsid w:val="00D71C9A"/>
    <w:rsid w:val="00D73867"/>
    <w:rsid w:val="00D746FE"/>
    <w:rsid w:val="00D75695"/>
    <w:rsid w:val="00D7686A"/>
    <w:rsid w:val="00D76CE0"/>
    <w:rsid w:val="00D85BBA"/>
    <w:rsid w:val="00D87629"/>
    <w:rsid w:val="00D908D9"/>
    <w:rsid w:val="00D90D87"/>
    <w:rsid w:val="00D93BAE"/>
    <w:rsid w:val="00D95B3A"/>
    <w:rsid w:val="00DA00BA"/>
    <w:rsid w:val="00DA14E1"/>
    <w:rsid w:val="00DA5938"/>
    <w:rsid w:val="00DA695F"/>
    <w:rsid w:val="00DA73E5"/>
    <w:rsid w:val="00DA7FA8"/>
    <w:rsid w:val="00DB0CF6"/>
    <w:rsid w:val="00DB1CB1"/>
    <w:rsid w:val="00DB2CF8"/>
    <w:rsid w:val="00DB410B"/>
    <w:rsid w:val="00DB4EF3"/>
    <w:rsid w:val="00DC1058"/>
    <w:rsid w:val="00DC69C2"/>
    <w:rsid w:val="00DC7606"/>
    <w:rsid w:val="00DD083B"/>
    <w:rsid w:val="00DD0A21"/>
    <w:rsid w:val="00DD19CC"/>
    <w:rsid w:val="00DD1CDE"/>
    <w:rsid w:val="00DD1D71"/>
    <w:rsid w:val="00DD4AB1"/>
    <w:rsid w:val="00DD7368"/>
    <w:rsid w:val="00DE341F"/>
    <w:rsid w:val="00DE3F28"/>
    <w:rsid w:val="00DE3F6D"/>
    <w:rsid w:val="00DE70D2"/>
    <w:rsid w:val="00DE7D49"/>
    <w:rsid w:val="00DF2099"/>
    <w:rsid w:val="00DF3004"/>
    <w:rsid w:val="00DF3103"/>
    <w:rsid w:val="00DF4BED"/>
    <w:rsid w:val="00DF708D"/>
    <w:rsid w:val="00DF7FEE"/>
    <w:rsid w:val="00E00C67"/>
    <w:rsid w:val="00E01D92"/>
    <w:rsid w:val="00E02150"/>
    <w:rsid w:val="00E0246A"/>
    <w:rsid w:val="00E02952"/>
    <w:rsid w:val="00E0306C"/>
    <w:rsid w:val="00E04CE7"/>
    <w:rsid w:val="00E05103"/>
    <w:rsid w:val="00E064EF"/>
    <w:rsid w:val="00E06D22"/>
    <w:rsid w:val="00E10CBE"/>
    <w:rsid w:val="00E110C7"/>
    <w:rsid w:val="00E110F8"/>
    <w:rsid w:val="00E11167"/>
    <w:rsid w:val="00E13942"/>
    <w:rsid w:val="00E14F40"/>
    <w:rsid w:val="00E151AC"/>
    <w:rsid w:val="00E16206"/>
    <w:rsid w:val="00E16353"/>
    <w:rsid w:val="00E16F44"/>
    <w:rsid w:val="00E21C5B"/>
    <w:rsid w:val="00E250D4"/>
    <w:rsid w:val="00E25E9C"/>
    <w:rsid w:val="00E26427"/>
    <w:rsid w:val="00E279CC"/>
    <w:rsid w:val="00E27C2E"/>
    <w:rsid w:val="00E31878"/>
    <w:rsid w:val="00E3383D"/>
    <w:rsid w:val="00E34EFE"/>
    <w:rsid w:val="00E35542"/>
    <w:rsid w:val="00E37851"/>
    <w:rsid w:val="00E37E98"/>
    <w:rsid w:val="00E40BB0"/>
    <w:rsid w:val="00E40D45"/>
    <w:rsid w:val="00E41ACD"/>
    <w:rsid w:val="00E41D74"/>
    <w:rsid w:val="00E42221"/>
    <w:rsid w:val="00E47290"/>
    <w:rsid w:val="00E51685"/>
    <w:rsid w:val="00E51982"/>
    <w:rsid w:val="00E52DB1"/>
    <w:rsid w:val="00E54024"/>
    <w:rsid w:val="00E5514D"/>
    <w:rsid w:val="00E56D55"/>
    <w:rsid w:val="00E57C65"/>
    <w:rsid w:val="00E600A5"/>
    <w:rsid w:val="00E606C0"/>
    <w:rsid w:val="00E61867"/>
    <w:rsid w:val="00E61C78"/>
    <w:rsid w:val="00E61E9E"/>
    <w:rsid w:val="00E62AC0"/>
    <w:rsid w:val="00E62D20"/>
    <w:rsid w:val="00E643EB"/>
    <w:rsid w:val="00E6471E"/>
    <w:rsid w:val="00E6593A"/>
    <w:rsid w:val="00E65E5D"/>
    <w:rsid w:val="00E66309"/>
    <w:rsid w:val="00E70911"/>
    <w:rsid w:val="00E70B98"/>
    <w:rsid w:val="00E71060"/>
    <w:rsid w:val="00E72E77"/>
    <w:rsid w:val="00E755E5"/>
    <w:rsid w:val="00E75AE2"/>
    <w:rsid w:val="00E75BD8"/>
    <w:rsid w:val="00E76C99"/>
    <w:rsid w:val="00E826E9"/>
    <w:rsid w:val="00E828D1"/>
    <w:rsid w:val="00E8476C"/>
    <w:rsid w:val="00E84CE4"/>
    <w:rsid w:val="00E84CF0"/>
    <w:rsid w:val="00E857E6"/>
    <w:rsid w:val="00E85E08"/>
    <w:rsid w:val="00E86528"/>
    <w:rsid w:val="00E87785"/>
    <w:rsid w:val="00E87D78"/>
    <w:rsid w:val="00E87D91"/>
    <w:rsid w:val="00E87EE8"/>
    <w:rsid w:val="00E9141A"/>
    <w:rsid w:val="00E94EC2"/>
    <w:rsid w:val="00E97386"/>
    <w:rsid w:val="00E97850"/>
    <w:rsid w:val="00EA29B9"/>
    <w:rsid w:val="00EA2EAE"/>
    <w:rsid w:val="00EA44F4"/>
    <w:rsid w:val="00EA5A41"/>
    <w:rsid w:val="00EA7122"/>
    <w:rsid w:val="00EB2D4D"/>
    <w:rsid w:val="00EB5CD5"/>
    <w:rsid w:val="00EB6ED8"/>
    <w:rsid w:val="00EC06F1"/>
    <w:rsid w:val="00EC0FC2"/>
    <w:rsid w:val="00EC2163"/>
    <w:rsid w:val="00EC2541"/>
    <w:rsid w:val="00EC377A"/>
    <w:rsid w:val="00EC44E6"/>
    <w:rsid w:val="00EC56C4"/>
    <w:rsid w:val="00EC7046"/>
    <w:rsid w:val="00ED01CB"/>
    <w:rsid w:val="00ED14AA"/>
    <w:rsid w:val="00ED21E7"/>
    <w:rsid w:val="00ED2693"/>
    <w:rsid w:val="00ED2E11"/>
    <w:rsid w:val="00ED4826"/>
    <w:rsid w:val="00ED4FA8"/>
    <w:rsid w:val="00ED56F4"/>
    <w:rsid w:val="00ED6206"/>
    <w:rsid w:val="00EE063D"/>
    <w:rsid w:val="00EE0DA1"/>
    <w:rsid w:val="00EE1816"/>
    <w:rsid w:val="00EE2D77"/>
    <w:rsid w:val="00EE6B2E"/>
    <w:rsid w:val="00EF15FA"/>
    <w:rsid w:val="00EF1C09"/>
    <w:rsid w:val="00EF29D4"/>
    <w:rsid w:val="00EF324F"/>
    <w:rsid w:val="00EF7CC9"/>
    <w:rsid w:val="00F023C1"/>
    <w:rsid w:val="00F02627"/>
    <w:rsid w:val="00F0415B"/>
    <w:rsid w:val="00F058AF"/>
    <w:rsid w:val="00F0593E"/>
    <w:rsid w:val="00F061AE"/>
    <w:rsid w:val="00F106CD"/>
    <w:rsid w:val="00F10CF2"/>
    <w:rsid w:val="00F111BE"/>
    <w:rsid w:val="00F12251"/>
    <w:rsid w:val="00F130B9"/>
    <w:rsid w:val="00F148E6"/>
    <w:rsid w:val="00F14D1B"/>
    <w:rsid w:val="00F14F02"/>
    <w:rsid w:val="00F16858"/>
    <w:rsid w:val="00F16E47"/>
    <w:rsid w:val="00F17B49"/>
    <w:rsid w:val="00F20400"/>
    <w:rsid w:val="00F21F3F"/>
    <w:rsid w:val="00F2312F"/>
    <w:rsid w:val="00F26848"/>
    <w:rsid w:val="00F27BF1"/>
    <w:rsid w:val="00F308F8"/>
    <w:rsid w:val="00F30C13"/>
    <w:rsid w:val="00F313C2"/>
    <w:rsid w:val="00F32E8C"/>
    <w:rsid w:val="00F33CCC"/>
    <w:rsid w:val="00F3519C"/>
    <w:rsid w:val="00F35ACB"/>
    <w:rsid w:val="00F36786"/>
    <w:rsid w:val="00F432FD"/>
    <w:rsid w:val="00F43D72"/>
    <w:rsid w:val="00F4756A"/>
    <w:rsid w:val="00F477D4"/>
    <w:rsid w:val="00F47C4B"/>
    <w:rsid w:val="00F53118"/>
    <w:rsid w:val="00F55839"/>
    <w:rsid w:val="00F56CDF"/>
    <w:rsid w:val="00F57312"/>
    <w:rsid w:val="00F57C63"/>
    <w:rsid w:val="00F60E29"/>
    <w:rsid w:val="00F61995"/>
    <w:rsid w:val="00F61E94"/>
    <w:rsid w:val="00F626DC"/>
    <w:rsid w:val="00F63CF6"/>
    <w:rsid w:val="00F65AD2"/>
    <w:rsid w:val="00F676BD"/>
    <w:rsid w:val="00F67F38"/>
    <w:rsid w:val="00F7298D"/>
    <w:rsid w:val="00F73D81"/>
    <w:rsid w:val="00F74EED"/>
    <w:rsid w:val="00F75C9F"/>
    <w:rsid w:val="00F77678"/>
    <w:rsid w:val="00F808E6"/>
    <w:rsid w:val="00F81171"/>
    <w:rsid w:val="00F81533"/>
    <w:rsid w:val="00F81EFB"/>
    <w:rsid w:val="00F83364"/>
    <w:rsid w:val="00F872FA"/>
    <w:rsid w:val="00F87DCE"/>
    <w:rsid w:val="00F9011F"/>
    <w:rsid w:val="00F90DFD"/>
    <w:rsid w:val="00F91803"/>
    <w:rsid w:val="00F933E7"/>
    <w:rsid w:val="00F9644E"/>
    <w:rsid w:val="00F96E27"/>
    <w:rsid w:val="00FA19FE"/>
    <w:rsid w:val="00FA579B"/>
    <w:rsid w:val="00FA7245"/>
    <w:rsid w:val="00FB05B4"/>
    <w:rsid w:val="00FB0C23"/>
    <w:rsid w:val="00FB1479"/>
    <w:rsid w:val="00FB14D6"/>
    <w:rsid w:val="00FB2F48"/>
    <w:rsid w:val="00FB7C6B"/>
    <w:rsid w:val="00FB7ED3"/>
    <w:rsid w:val="00FC06F6"/>
    <w:rsid w:val="00FC25CD"/>
    <w:rsid w:val="00FC42EE"/>
    <w:rsid w:val="00FC4D2D"/>
    <w:rsid w:val="00FC4FB9"/>
    <w:rsid w:val="00FC5277"/>
    <w:rsid w:val="00FC6D9B"/>
    <w:rsid w:val="00FD0554"/>
    <w:rsid w:val="00FD35BA"/>
    <w:rsid w:val="00FD539C"/>
    <w:rsid w:val="00FD5630"/>
    <w:rsid w:val="00FD7D0D"/>
    <w:rsid w:val="00FE2904"/>
    <w:rsid w:val="00FE39DC"/>
    <w:rsid w:val="00FE5BC3"/>
    <w:rsid w:val="00FE74DA"/>
    <w:rsid w:val="00FF2B4D"/>
    <w:rsid w:val="00FF503E"/>
    <w:rsid w:val="00FF62C3"/>
    <w:rsid w:val="00FF6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305B"/>
  <w15:docId w15:val="{77D1C937-DF28-42DD-9A6F-0DF63A16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55DC0"/>
  </w:style>
  <w:style w:type="numbering" w:customStyle="1" w:styleId="Bezlisty11">
    <w:name w:val="Bez listy11"/>
    <w:next w:val="Bezlisty"/>
    <w:uiPriority w:val="99"/>
    <w:semiHidden/>
    <w:unhideWhenUsed/>
    <w:rsid w:val="00555DC0"/>
  </w:style>
  <w:style w:type="numbering" w:customStyle="1" w:styleId="Bezlisty111">
    <w:name w:val="Bez listy111"/>
    <w:next w:val="Bezlisty"/>
    <w:uiPriority w:val="99"/>
    <w:semiHidden/>
    <w:unhideWhenUsed/>
    <w:rsid w:val="00555DC0"/>
  </w:style>
  <w:style w:type="character" w:styleId="Odwoaniedokomentarza">
    <w:name w:val="annotation reference"/>
    <w:uiPriority w:val="99"/>
    <w:semiHidden/>
    <w:unhideWhenUsed/>
    <w:rsid w:val="00555DC0"/>
    <w:rPr>
      <w:rFonts w:cs="Times New Roman"/>
      <w:sz w:val="16"/>
      <w:szCs w:val="16"/>
    </w:rPr>
  </w:style>
  <w:style w:type="paragraph" w:styleId="Tekstkomentarza">
    <w:name w:val="annotation text"/>
    <w:basedOn w:val="Normalny"/>
    <w:link w:val="TekstkomentarzaZnak"/>
    <w:uiPriority w:val="99"/>
    <w:unhideWhenUsed/>
    <w:rsid w:val="00555DC0"/>
    <w:pPr>
      <w:widowControl w:val="0"/>
      <w:autoSpaceDE w:val="0"/>
      <w:autoSpaceDN w:val="0"/>
      <w:adjustRightInd w:val="0"/>
      <w:spacing w:after="0" w:line="40" w:lineRule="atLeast"/>
      <w:jc w:val="both"/>
    </w:pPr>
    <w:rPr>
      <w:rFonts w:ascii="Helvetica" w:eastAsia="Times New Roman" w:hAnsi="Helvetica"/>
      <w:color w:val="000000"/>
      <w:sz w:val="20"/>
      <w:szCs w:val="20"/>
      <w:lang w:val="x-none" w:eastAsia="x-none"/>
    </w:rPr>
  </w:style>
  <w:style w:type="character" w:customStyle="1" w:styleId="TekstkomentarzaZnak">
    <w:name w:val="Tekst komentarza Znak"/>
    <w:link w:val="Tekstkomentarza"/>
    <w:uiPriority w:val="99"/>
    <w:rsid w:val="00555DC0"/>
    <w:rPr>
      <w:rFonts w:ascii="Helvetica" w:eastAsia="Times New Roman" w:hAnsi="Helvetica"/>
      <w:color w:val="000000"/>
      <w:lang w:val="x-none" w:eastAsia="x-none"/>
    </w:rPr>
  </w:style>
  <w:style w:type="paragraph" w:styleId="Tekstdymka">
    <w:name w:val="Balloon Text"/>
    <w:basedOn w:val="Normalny"/>
    <w:link w:val="TekstdymkaZnak"/>
    <w:uiPriority w:val="99"/>
    <w:semiHidden/>
    <w:unhideWhenUsed/>
    <w:rsid w:val="00555DC0"/>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555DC0"/>
    <w:rPr>
      <w:rFonts w:ascii="Tahoma" w:hAnsi="Tahoma"/>
      <w:sz w:val="16"/>
      <w:szCs w:val="16"/>
      <w:lang w:val="x-none" w:eastAsia="en-US"/>
    </w:rPr>
  </w:style>
  <w:style w:type="paragraph" w:styleId="Tematkomentarza">
    <w:name w:val="annotation subject"/>
    <w:basedOn w:val="Tekstkomentarza"/>
    <w:next w:val="Tekstkomentarza"/>
    <w:link w:val="TematkomentarzaZnak"/>
    <w:uiPriority w:val="99"/>
    <w:semiHidden/>
    <w:unhideWhenUsed/>
    <w:rsid w:val="00555DC0"/>
    <w:pPr>
      <w:widowControl/>
      <w:autoSpaceDE/>
      <w:autoSpaceDN/>
      <w:adjustRightInd/>
      <w:spacing w:after="200" w:line="276" w:lineRule="auto"/>
      <w:jc w:val="left"/>
    </w:pPr>
    <w:rPr>
      <w:b/>
      <w:bCs/>
      <w:lang w:eastAsia="en-US"/>
    </w:rPr>
  </w:style>
  <w:style w:type="character" w:customStyle="1" w:styleId="TematkomentarzaZnak">
    <w:name w:val="Temat komentarza Znak"/>
    <w:link w:val="Tematkomentarza"/>
    <w:uiPriority w:val="99"/>
    <w:semiHidden/>
    <w:rsid w:val="00555DC0"/>
    <w:rPr>
      <w:rFonts w:ascii="Helvetica" w:eastAsia="Times New Roman" w:hAnsi="Helvetica"/>
      <w:b/>
      <w:bCs/>
      <w:color w:val="000000"/>
      <w:lang w:val="x-none" w:eastAsia="en-US"/>
    </w:rPr>
  </w:style>
  <w:style w:type="paragraph" w:styleId="Nagwek">
    <w:name w:val="header"/>
    <w:basedOn w:val="Normalny"/>
    <w:link w:val="NagwekZnak"/>
    <w:uiPriority w:val="99"/>
    <w:unhideWhenUsed/>
    <w:rsid w:val="00555DC0"/>
    <w:pPr>
      <w:tabs>
        <w:tab w:val="center" w:pos="4536"/>
        <w:tab w:val="right" w:pos="9072"/>
      </w:tabs>
    </w:pPr>
    <w:rPr>
      <w:lang w:val="x-none"/>
    </w:rPr>
  </w:style>
  <w:style w:type="character" w:customStyle="1" w:styleId="NagwekZnak">
    <w:name w:val="Nagłówek Znak"/>
    <w:link w:val="Nagwek"/>
    <w:uiPriority w:val="99"/>
    <w:rsid w:val="00555DC0"/>
    <w:rPr>
      <w:sz w:val="22"/>
      <w:szCs w:val="22"/>
      <w:lang w:val="x-none" w:eastAsia="en-US"/>
    </w:rPr>
  </w:style>
  <w:style w:type="paragraph" w:styleId="Stopka">
    <w:name w:val="footer"/>
    <w:basedOn w:val="Normalny"/>
    <w:link w:val="StopkaZnak"/>
    <w:uiPriority w:val="99"/>
    <w:unhideWhenUsed/>
    <w:rsid w:val="00555DC0"/>
    <w:pPr>
      <w:tabs>
        <w:tab w:val="center" w:pos="4536"/>
        <w:tab w:val="right" w:pos="9072"/>
      </w:tabs>
    </w:pPr>
    <w:rPr>
      <w:lang w:val="x-none"/>
    </w:rPr>
  </w:style>
  <w:style w:type="character" w:customStyle="1" w:styleId="StopkaZnak">
    <w:name w:val="Stopka Znak"/>
    <w:link w:val="Stopka"/>
    <w:uiPriority w:val="99"/>
    <w:rsid w:val="00555DC0"/>
    <w:rPr>
      <w:sz w:val="22"/>
      <w:szCs w:val="22"/>
      <w:lang w:val="x-none" w:eastAsia="en-US"/>
    </w:rPr>
  </w:style>
  <w:style w:type="character" w:styleId="Pogrubienie">
    <w:name w:val="Strong"/>
    <w:uiPriority w:val="22"/>
    <w:qFormat/>
    <w:rsid w:val="00555DC0"/>
    <w:rPr>
      <w:b/>
      <w:bCs/>
    </w:rPr>
  </w:style>
  <w:style w:type="paragraph" w:customStyle="1" w:styleId="Default">
    <w:name w:val="Default"/>
    <w:rsid w:val="00555DC0"/>
    <w:pPr>
      <w:autoSpaceDE w:val="0"/>
      <w:autoSpaceDN w:val="0"/>
      <w:adjustRightInd w:val="0"/>
    </w:pPr>
    <w:rPr>
      <w:rFonts w:ascii="Arial" w:hAnsi="Arial" w:cs="Arial"/>
      <w:color w:val="000000"/>
      <w:sz w:val="24"/>
      <w:szCs w:val="24"/>
    </w:rPr>
  </w:style>
  <w:style w:type="paragraph" w:customStyle="1" w:styleId="Point1">
    <w:name w:val="Point 1"/>
    <w:basedOn w:val="Normalny"/>
    <w:rsid w:val="00555DC0"/>
    <w:pPr>
      <w:suppressAutoHyphens/>
      <w:spacing w:before="120" w:after="120" w:line="360" w:lineRule="auto"/>
      <w:ind w:left="1417" w:hanging="567"/>
    </w:pPr>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555DC0"/>
    <w:rPr>
      <w:sz w:val="20"/>
      <w:szCs w:val="20"/>
      <w:lang w:val="x-none"/>
    </w:rPr>
  </w:style>
  <w:style w:type="character" w:customStyle="1" w:styleId="TekstprzypisukocowegoZnak">
    <w:name w:val="Tekst przypisu końcowego Znak"/>
    <w:link w:val="Tekstprzypisukocowego"/>
    <w:uiPriority w:val="99"/>
    <w:semiHidden/>
    <w:rsid w:val="00555DC0"/>
    <w:rPr>
      <w:lang w:val="x-none" w:eastAsia="en-US"/>
    </w:rPr>
  </w:style>
  <w:style w:type="character" w:styleId="Odwoanieprzypisukocowego">
    <w:name w:val="endnote reference"/>
    <w:uiPriority w:val="99"/>
    <w:semiHidden/>
    <w:unhideWhenUsed/>
    <w:rsid w:val="00555DC0"/>
    <w:rPr>
      <w:vertAlign w:val="superscript"/>
    </w:rPr>
  </w:style>
  <w:style w:type="paragraph" w:styleId="Tekstprzypisudolnego">
    <w:name w:val="footnote text"/>
    <w:basedOn w:val="Normalny"/>
    <w:link w:val="TekstprzypisudolnegoZnak"/>
    <w:uiPriority w:val="99"/>
    <w:semiHidden/>
    <w:unhideWhenUsed/>
    <w:rsid w:val="00555DC0"/>
    <w:rPr>
      <w:sz w:val="20"/>
      <w:szCs w:val="20"/>
      <w:lang w:val="x-none"/>
    </w:rPr>
  </w:style>
  <w:style w:type="character" w:customStyle="1" w:styleId="TekstprzypisudolnegoZnak">
    <w:name w:val="Tekst przypisu dolnego Znak"/>
    <w:link w:val="Tekstprzypisudolnego"/>
    <w:uiPriority w:val="99"/>
    <w:semiHidden/>
    <w:rsid w:val="00555DC0"/>
    <w:rPr>
      <w:lang w:eastAsia="en-US"/>
    </w:rPr>
  </w:style>
  <w:style w:type="character" w:styleId="Odwoanieprzypisudolnego">
    <w:name w:val="footnote reference"/>
    <w:aliases w:val="Footnote Reference Number"/>
    <w:uiPriority w:val="99"/>
    <w:semiHidden/>
    <w:unhideWhenUsed/>
    <w:rsid w:val="00555DC0"/>
    <w:rPr>
      <w:vertAlign w:val="superscript"/>
    </w:rPr>
  </w:style>
  <w:style w:type="paragraph" w:customStyle="1" w:styleId="USTustnpkodeksu">
    <w:name w:val="UST(§) – ust. (§ np. kodeksu)"/>
    <w:basedOn w:val="Normalny"/>
    <w:uiPriority w:val="12"/>
    <w:qFormat/>
    <w:rsid w:val="00555DC0"/>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ZUSTzmustartykuempunktem">
    <w:name w:val="Z/UST(§) – zm. ust. (§) artykułem (punktem)"/>
    <w:basedOn w:val="Normalny"/>
    <w:uiPriority w:val="30"/>
    <w:qFormat/>
    <w:rsid w:val="00555DC0"/>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KTpunkt">
    <w:name w:val="PKT – punkt"/>
    <w:uiPriority w:val="13"/>
    <w:qFormat/>
    <w:rsid w:val="00555DC0"/>
    <w:pPr>
      <w:spacing w:line="360" w:lineRule="auto"/>
      <w:ind w:left="510" w:hanging="510"/>
      <w:jc w:val="both"/>
    </w:pPr>
    <w:rPr>
      <w:rFonts w:ascii="Times" w:eastAsia="Times New Roman" w:hAnsi="Times" w:cs="Arial"/>
      <w:bCs/>
      <w:sz w:val="24"/>
    </w:rPr>
  </w:style>
  <w:style w:type="paragraph" w:styleId="HTML-wstpniesformatowany">
    <w:name w:val="HTML Preformatted"/>
    <w:basedOn w:val="Normalny"/>
    <w:link w:val="HTML-wstpniesformatowanyZnak"/>
    <w:uiPriority w:val="99"/>
    <w:semiHidden/>
    <w:unhideWhenUsed/>
    <w:rsid w:val="00555DC0"/>
    <w:rPr>
      <w:rFonts w:ascii="Courier New" w:hAnsi="Courier New"/>
      <w:sz w:val="20"/>
      <w:szCs w:val="20"/>
      <w:lang w:val="x-none"/>
    </w:rPr>
  </w:style>
  <w:style w:type="character" w:customStyle="1" w:styleId="HTML-wstpniesformatowanyZnak">
    <w:name w:val="HTML - wstępnie sformatowany Znak"/>
    <w:link w:val="HTML-wstpniesformatowany"/>
    <w:uiPriority w:val="99"/>
    <w:semiHidden/>
    <w:rsid w:val="00555DC0"/>
    <w:rPr>
      <w:rFonts w:ascii="Courier New" w:hAnsi="Courier New" w:cs="Courier New"/>
      <w:lang w:eastAsia="en-US"/>
    </w:rPr>
  </w:style>
  <w:style w:type="character" w:customStyle="1" w:styleId="Ppogrubienie">
    <w:name w:val="_P_ – pogrubienie"/>
    <w:uiPriority w:val="1"/>
    <w:qFormat/>
    <w:rsid w:val="003A329B"/>
    <w:rPr>
      <w:b/>
    </w:rPr>
  </w:style>
  <w:style w:type="paragraph" w:customStyle="1" w:styleId="ARTartustawynprozporzdzenia">
    <w:name w:val="ART(§) – art. ustawy (§ np. rozporządzenia)"/>
    <w:link w:val="ARTartustawynprozporzdzeniaZnak"/>
    <w:uiPriority w:val="11"/>
    <w:qFormat/>
    <w:rsid w:val="00723C2A"/>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styleId="Hipercze">
    <w:name w:val="Hyperlink"/>
    <w:uiPriority w:val="99"/>
    <w:semiHidden/>
    <w:unhideWhenUsed/>
    <w:rsid w:val="006022EE"/>
    <w:rPr>
      <w:color w:val="0000FF"/>
      <w:u w:val="single"/>
    </w:rPr>
  </w:style>
  <w:style w:type="character" w:customStyle="1" w:styleId="Kkursywa">
    <w:name w:val="_K_ – kursywa"/>
    <w:uiPriority w:val="1"/>
    <w:qFormat/>
    <w:rsid w:val="006F0ADE"/>
    <w:rPr>
      <w:i/>
      <w:iCs w:val="0"/>
    </w:rPr>
  </w:style>
  <w:style w:type="paragraph" w:styleId="Poprawka">
    <w:name w:val="Revision"/>
    <w:hidden/>
    <w:uiPriority w:val="99"/>
    <w:semiHidden/>
    <w:rsid w:val="00FA579B"/>
    <w:rPr>
      <w:sz w:val="22"/>
      <w:szCs w:val="22"/>
      <w:lang w:eastAsia="en-US"/>
    </w:rPr>
  </w:style>
  <w:style w:type="paragraph" w:customStyle="1" w:styleId="ZARTzmartartykuempunktem">
    <w:name w:val="Z/ART(§) – zm. art. (§) artykułem (punktem)"/>
    <w:basedOn w:val="ARTartustawynprozporzdzenia"/>
    <w:uiPriority w:val="30"/>
    <w:qFormat/>
    <w:rsid w:val="00513D38"/>
    <w:pPr>
      <w:spacing w:before="0"/>
      <w:ind w:left="510"/>
    </w:pPr>
  </w:style>
  <w:style w:type="paragraph" w:customStyle="1" w:styleId="ZPKTzmpktartykuempunktem">
    <w:name w:val="Z/PKT – zm. pkt artykułem (punktem)"/>
    <w:basedOn w:val="PKTpunkt"/>
    <w:uiPriority w:val="31"/>
    <w:qFormat/>
    <w:rsid w:val="00F130B9"/>
    <w:pPr>
      <w:ind w:left="1020"/>
    </w:pPr>
  </w:style>
  <w:style w:type="paragraph" w:customStyle="1" w:styleId="ZCZWSPPKTzmczciwsppktartykuempunktem">
    <w:name w:val="Z/CZ_WSP_PKT – zm. części wsp. pkt artykułem (punktem)"/>
    <w:basedOn w:val="Normalny"/>
    <w:next w:val="ZARTzmartartykuempunktem"/>
    <w:uiPriority w:val="34"/>
    <w:qFormat/>
    <w:rsid w:val="00F53118"/>
    <w:pPr>
      <w:spacing w:after="0" w:line="360" w:lineRule="auto"/>
      <w:ind w:left="510"/>
      <w:jc w:val="both"/>
    </w:pPr>
    <w:rPr>
      <w:rFonts w:ascii="Times" w:eastAsia="Times New Roman" w:hAnsi="Times" w:cs="Arial"/>
      <w:bCs/>
      <w:sz w:val="24"/>
      <w:szCs w:val="20"/>
      <w:lang w:eastAsia="pl-PL"/>
    </w:rPr>
  </w:style>
  <w:style w:type="character" w:customStyle="1" w:styleId="ARTartustawynprozporzdzeniaZnak">
    <w:name w:val="ART(§) – art. ustawy (§ np. rozporządzenia) Znak"/>
    <w:link w:val="ARTartustawynprozporzdzenia"/>
    <w:uiPriority w:val="11"/>
    <w:locked/>
    <w:rsid w:val="00081335"/>
    <w:rPr>
      <w:rFonts w:ascii="Times" w:eastAsia="Times New Roman" w:hAnsi="Times" w:cs="Arial"/>
      <w:sz w:val="24"/>
    </w:rPr>
  </w:style>
  <w:style w:type="paragraph" w:customStyle="1" w:styleId="CZWSPPKTczwsplnapunktw">
    <w:name w:val="CZ_WSP_PKT – część wspólna punktów"/>
    <w:basedOn w:val="PKTpunkt"/>
    <w:next w:val="USTustnpkodeksu"/>
    <w:uiPriority w:val="16"/>
    <w:qFormat/>
    <w:rsid w:val="00391BC8"/>
    <w:pPr>
      <w:ind w:left="0" w:firstLine="0"/>
    </w:pPr>
  </w:style>
  <w:style w:type="paragraph" w:customStyle="1" w:styleId="OZNRODZAKTUtznustawalubrozporzdzenieiorganwydajcy">
    <w:name w:val="OZN_RODZ_AKTU – tzn. ustawa lub rozporządzenie i organ wydający"/>
    <w:next w:val="Normalny"/>
    <w:uiPriority w:val="5"/>
    <w:qFormat/>
    <w:rsid w:val="00C3452D"/>
    <w:pPr>
      <w:keepNext/>
      <w:suppressAutoHyphens/>
      <w:spacing w:after="120" w:line="360" w:lineRule="auto"/>
      <w:jc w:val="center"/>
    </w:pPr>
    <w:rPr>
      <w:rFonts w:ascii="Times" w:eastAsia="Times New Roman" w:hAnsi="Times"/>
      <w:b/>
      <w:bCs/>
      <w:caps/>
      <w:spacing w:val="54"/>
      <w:kern w:val="24"/>
      <w:sz w:val="24"/>
      <w:szCs w:val="24"/>
    </w:rPr>
  </w:style>
  <w:style w:type="paragraph" w:styleId="Akapitzlist">
    <w:name w:val="List Paragraph"/>
    <w:basedOn w:val="Normalny"/>
    <w:uiPriority w:val="34"/>
    <w:qFormat/>
    <w:rsid w:val="00751F6E"/>
    <w:pPr>
      <w:ind w:left="720"/>
      <w:contextualSpacing/>
    </w:pPr>
  </w:style>
  <w:style w:type="character" w:customStyle="1" w:styleId="highlight">
    <w:name w:val="highlight"/>
    <w:basedOn w:val="Domylnaczcionkaakapitu"/>
    <w:rsid w:val="004A2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060904">
      <w:bodyDiv w:val="1"/>
      <w:marLeft w:val="0"/>
      <w:marRight w:val="0"/>
      <w:marTop w:val="0"/>
      <w:marBottom w:val="0"/>
      <w:divBdr>
        <w:top w:val="none" w:sz="0" w:space="0" w:color="auto"/>
        <w:left w:val="none" w:sz="0" w:space="0" w:color="auto"/>
        <w:bottom w:val="none" w:sz="0" w:space="0" w:color="auto"/>
        <w:right w:val="none" w:sz="0" w:space="0" w:color="auto"/>
      </w:divBdr>
    </w:div>
    <w:div w:id="1566528532">
      <w:bodyDiv w:val="1"/>
      <w:marLeft w:val="0"/>
      <w:marRight w:val="0"/>
      <w:marTop w:val="0"/>
      <w:marBottom w:val="0"/>
      <w:divBdr>
        <w:top w:val="none" w:sz="0" w:space="0" w:color="auto"/>
        <w:left w:val="none" w:sz="0" w:space="0" w:color="auto"/>
        <w:bottom w:val="none" w:sz="0" w:space="0" w:color="auto"/>
        <w:right w:val="none" w:sz="0" w:space="0" w:color="auto"/>
      </w:divBdr>
    </w:div>
    <w:div w:id="206340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bxgy2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C798-8780-4569-A16B-9374453A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49374</Words>
  <Characters>296244</Characters>
  <Application>Microsoft Office Word</Application>
  <DocSecurity>0</DocSecurity>
  <Lines>2468</Lines>
  <Paragraphs>689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344929</CharactersWithSpaces>
  <SharedDoc>false</SharedDoc>
  <HLinks>
    <vt:vector size="6" baseType="variant">
      <vt:variant>
        <vt:i4>2424888</vt:i4>
      </vt:variant>
      <vt:variant>
        <vt:i4>0</vt:i4>
      </vt:variant>
      <vt:variant>
        <vt:i4>0</vt:i4>
      </vt:variant>
      <vt:variant>
        <vt:i4>5</vt:i4>
      </vt:variant>
      <vt:variant>
        <vt:lpwstr>https://sip.legalis.pl/document-view.seam?documentId=mfrxilrtg4ytimbxgy2tm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Goluch</dc:creator>
  <cp:lastModifiedBy>Zradzińska Aneta</cp:lastModifiedBy>
  <cp:revision>2</cp:revision>
  <cp:lastPrinted>2021-02-05T06:44:00Z</cp:lastPrinted>
  <dcterms:created xsi:type="dcterms:W3CDTF">2022-02-11T14:45:00Z</dcterms:created>
  <dcterms:modified xsi:type="dcterms:W3CDTF">2022-02-11T14:45:00Z</dcterms:modified>
</cp:coreProperties>
</file>