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513863CE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A4251D" w:rsidRPr="00A4251D">
        <w:rPr>
          <w:sz w:val="20"/>
        </w:rPr>
        <w:t xml:space="preserve"> </w:t>
      </w:r>
      <w:r w:rsidR="0002527B">
        <w:rPr>
          <w:sz w:val="20"/>
        </w:rPr>
        <w:t>21 lutego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 xml:space="preserve">aniczenie procentowe nie dotyczy pilotażowego projektu pozakonkursowego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</w:t>
      </w:r>
      <w:proofErr w:type="spellStart"/>
      <w:r>
        <w:t>Grantodawcy</w:t>
      </w:r>
      <w:proofErr w:type="spellEnd"/>
      <w:r>
        <w:t xml:space="preserve">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 xml:space="preserve">środków trwałych i </w:t>
      </w:r>
      <w:proofErr w:type="spellStart"/>
      <w:r>
        <w:rPr>
          <w:rFonts w:ascii="Calibri" w:hAnsi="Calibri" w:cs="Calibri"/>
          <w:color w:val="000000"/>
        </w:rPr>
        <w:t>WNiP</w:t>
      </w:r>
      <w:proofErr w:type="spellEnd"/>
      <w:r>
        <w:rPr>
          <w:rFonts w:ascii="Calibri" w:hAnsi="Calibri" w:cs="Calibri"/>
          <w:color w:val="000000"/>
        </w:rPr>
        <w:t>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</w:t>
      </w:r>
      <w:r w:rsidR="00616985">
        <w:lastRenderedPageBreak/>
        <w:t>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lastRenderedPageBreak/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</w:t>
      </w:r>
      <w:r w:rsidRPr="00DD0783">
        <w:rPr>
          <w:rFonts w:eastAsia="Times New Roman" w:cs="Times New Roman"/>
        </w:rPr>
        <w:lastRenderedPageBreak/>
        <w:t xml:space="preserve">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7AC4E6B4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jednostek chorobowych określonych  w ogłoszeniu o naborze – </w:t>
      </w:r>
      <w:r w:rsidRPr="00DD0783">
        <w:rPr>
          <w:u w:val="single"/>
        </w:rPr>
        <w:t>szczegółowe uregulowania zawarte są w regulaminach konkursów</w:t>
      </w:r>
    </w:p>
    <w:p w14:paraId="1E27ACF6" w14:textId="467EE043" w:rsidR="005216DA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 tym dostępności dla osób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 xml:space="preserve">naboru na zakup ruchomych środków trwałych i </w:t>
      </w:r>
      <w:proofErr w:type="spellStart"/>
      <w:r w:rsidR="007A2753" w:rsidRPr="007A2753">
        <w:t>WNiP</w:t>
      </w:r>
      <w:proofErr w:type="spellEnd"/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</w:t>
      </w:r>
      <w:r w:rsidR="00BA7DC6" w:rsidRPr="00BA7DC6">
        <w:rPr>
          <w:rFonts w:cs="Calibri"/>
        </w:rPr>
        <w:lastRenderedPageBreak/>
        <w:t xml:space="preserve">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lastRenderedPageBreak/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31</Pages>
  <Words>10502</Words>
  <Characters>63016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14</cp:revision>
  <cp:lastPrinted>2021-06-22T08:24:00Z</cp:lastPrinted>
  <dcterms:created xsi:type="dcterms:W3CDTF">2021-11-08T13:42:00Z</dcterms:created>
  <dcterms:modified xsi:type="dcterms:W3CDTF">2022-02-22T06:14:00Z</dcterms:modified>
</cp:coreProperties>
</file>