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0C1CA7A7" w:rsidR="004C293D" w:rsidRPr="00DF0C08" w:rsidRDefault="008D5728" w:rsidP="008D5728">
      <w:pPr>
        <w:spacing w:after="120" w:line="240" w:lineRule="auto"/>
        <w:ind w:left="4254" w:firstLine="709"/>
        <w:rPr>
          <w:rFonts w:ascii="Calibri" w:eastAsia="Times New Roman" w:hAnsi="Calibri" w:cs="Arial"/>
          <w:b/>
          <w:sz w:val="56"/>
          <w:szCs w:val="5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E4241F">
        <w:rPr>
          <w:sz w:val="20"/>
        </w:rPr>
        <w:t xml:space="preserve"> 27 września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E4241F">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E4241F">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E4241F">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E4241F">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E4241F">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E4241F">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E4241F">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E4241F">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E4241F">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E4241F">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E4241F">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E4241F">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E4241F">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E4241F">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E4241F">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E4241F">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E4241F">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E4241F">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E4241F">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E4241F">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E4241F">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E4241F">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E4241F">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E4241F">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E4241F">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E4241F">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E4241F">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E4241F">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E4241F">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E4241F">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E4241F">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E4241F">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E4241F">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E4241F">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E4241F">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E4241F">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E4241F">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E4241F">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E4241F">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E4241F">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E4241F">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E4241F">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E4241F">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E4241F">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E4241F">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E4241F">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lastRenderedPageBreak/>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w:t>
            </w:r>
            <w:r w:rsidRPr="00DF0C08">
              <w:rPr>
                <w:rFonts w:eastAsia="Times New Roman" w:cs="Arial"/>
                <w:kern w:val="1"/>
                <w:sz w:val="18"/>
                <w:szCs w:val="18"/>
              </w:rPr>
              <w:lastRenderedPageBreak/>
              <w:t>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w:t>
            </w:r>
            <w:r w:rsidRPr="00AD6680">
              <w:rPr>
                <w:rFonts w:cs="Arial"/>
                <w:sz w:val="20"/>
                <w:szCs w:val="20"/>
              </w:rPr>
              <w:lastRenderedPageBreak/>
              <w:t>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lastRenderedPageBreak/>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lastRenderedPageBreak/>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lastRenderedPageBreak/>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lastRenderedPageBreak/>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w:t>
            </w:r>
            <w:r>
              <w:rPr>
                <w:rFonts w:eastAsia="Times New Roman" w:cstheme="minorHAnsi"/>
              </w:rPr>
              <w:lastRenderedPageBreak/>
              <w:t>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 xml:space="preserve">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w:t>
            </w:r>
            <w:r>
              <w:rPr>
                <w:rFonts w:cstheme="minorHAnsi"/>
              </w:rPr>
              <w:lastRenderedPageBreak/>
              <w:t>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E4241F">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E4241F">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E4241F">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E4241F">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E4241F">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E4241F">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E4241F">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E4241F">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E4241F">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E4241F">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E4241F">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E4241F">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E4241F">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E4241F">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E4241F">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E4241F">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E4241F">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E4241F">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E4241F">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E4241F">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E4241F">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E4241F">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E4241F">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E4241F">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E4241F">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E4241F">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E4241F">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E4241F">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E4241F">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E4241F">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E4241F">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E4241F">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E4241F">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E4241F">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E4241F">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E4241F">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E4241F">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E4241F">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E4241F">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E4241F">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E4241F">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E4241F">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E4241F">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E4241F">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E4241F">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E4241F">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E4241F">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E4241F">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E4241F">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E4241F">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E4241F">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E4241F">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E4241F">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E4241F">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E4241F">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E4241F">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E4241F">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E4241F">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E4241F">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E4241F">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E4241F">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E4241F">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E4241F">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E4241F">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E4241F">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E4241F">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E4241F">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E4241F">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E4241F">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E4241F">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E4241F">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E4241F">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E4241F">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E4241F">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E4241F">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lastRenderedPageBreak/>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 xml:space="preserve">do realizacji projektów </w:t>
            </w:r>
            <w:r w:rsidRPr="00DF0C08">
              <w:rPr>
                <w:rFonts w:ascii="Calibri" w:hAnsi="Calibri" w:cs="Arial"/>
                <w:i/>
              </w:rPr>
              <w:lastRenderedPageBreak/>
              <w:t>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lastRenderedPageBreak/>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lastRenderedPageBreak/>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 xml:space="preserve">zamkniętych lat obrotowych. Rodzaj i ilość dokumentów musi być adekwatna do </w:t>
            </w:r>
            <w:r w:rsidRPr="009D43EC">
              <w:rPr>
                <w:rFonts w:cs="Calibri"/>
                <w:bCs/>
              </w:rPr>
              <w:lastRenderedPageBreak/>
              <w:t>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lastRenderedPageBreak/>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 xml:space="preserve">Kryterium weryfikuje, czy Wnioskodawca prawidłowo opisał we wniosku o dofinansowanie/ załącznikach do wniosku o dofinansowanie  zasady udzielania bonów na innowacje, wskazując </w:t>
            </w:r>
            <w:r>
              <w:rPr>
                <w:rFonts w:ascii="Calibri" w:eastAsia="Times New Roman" w:hAnsi="Calibri" w:cs="Arial"/>
                <w:kern w:val="1"/>
              </w:rPr>
              <w:lastRenderedPageBreak/>
              <w:t>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lastRenderedPageBreak/>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4C7FEE">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4C7FEE">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lastRenderedPageBreak/>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lastRenderedPageBreak/>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lastRenderedPageBreak/>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lastRenderedPageBreak/>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lastRenderedPageBreak/>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ekoinnowacji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nietechnologicznych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lastRenderedPageBreak/>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lastRenderedPageBreak/>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lastRenderedPageBreak/>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lastRenderedPageBreak/>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lastRenderedPageBreak/>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 xml:space="preserve">W przypadku wdrażania wyników realizowanych na podstawie bonu na </w:t>
            </w:r>
            <w:r>
              <w:rPr>
                <w:rFonts w:ascii="Calibri" w:eastAsia="Times New Roman" w:hAnsi="Calibri" w:cs="Tahoma"/>
                <w:bCs/>
                <w:iCs/>
                <w:color w:val="FF0000"/>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lastRenderedPageBreak/>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lastRenderedPageBreak/>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lastRenderedPageBreak/>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lastRenderedPageBreak/>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minimis weryfikowany będzie limit dla danego podmiotu w okresie trzech lat podatkowych, z uwzględnieniem wnioskowanej kwoty pomocy de minimis oraz pomocy de minimis </w:t>
            </w:r>
            <w:r w:rsidRPr="00423D93">
              <w:rPr>
                <w:rFonts w:cs="Arial"/>
              </w:rPr>
              <w:lastRenderedPageBreak/>
              <w:t>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w:t>
            </w:r>
            <w:r w:rsidRPr="00687B35">
              <w:rPr>
                <w:sz w:val="20"/>
                <w:szCs w:val="20"/>
              </w:rPr>
              <w:lastRenderedPageBreak/>
              <w:t xml:space="preserve">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lastRenderedPageBreak/>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lastRenderedPageBreak/>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lastRenderedPageBreak/>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lastRenderedPageBreak/>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lastRenderedPageBreak/>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lastRenderedPageBreak/>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sidRPr="00CC781A">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w:t>
            </w:r>
            <w:r w:rsidRPr="00CC781A">
              <w:rPr>
                <w:rFonts w:cs="Arial"/>
                <w:kern w:val="1"/>
                <w:sz w:val="20"/>
                <w:szCs w:val="20"/>
              </w:rPr>
              <w:lastRenderedPageBreak/>
              <w:t xml:space="preserve">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lastRenderedPageBreak/>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lastRenderedPageBreak/>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lastRenderedPageBreak/>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lastRenderedPageBreak/>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lastRenderedPageBreak/>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E4241F"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E4241F">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E4241F">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E4241F">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E4241F">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E4241F">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E4241F">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E4241F">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E4241F">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E4241F">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E4241F">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E4241F">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E4241F">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E4241F">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E4241F">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E4241F">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E4241F">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E4241F">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E4241F">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E4241F">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E4241F">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E4241F">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E4241F">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E4241F">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E4241F">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E4241F">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E4241F">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E4241F">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E4241F">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E4241F">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E4241F">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E4241F">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E4241F">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E4241F">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E4241F">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E4241F">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E4241F">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E4241F">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E4241F">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E4241F">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E4241F">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E4241F">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E4241F">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E4241F">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E4241F">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E4241F">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E4241F">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E4241F">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E4241F">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E4241F">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E4241F">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E4241F">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E4241F">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E4241F">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E4241F">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E4241F">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E4241F">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E4241F">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E4241F">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E4241F">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E4241F">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E4241F">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E4241F">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E4241F">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E4241F">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E4241F">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E4241F">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E4241F">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E4241F">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E4241F">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E4241F">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E4241F">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E4241F">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E4241F">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E4241F">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E4241F">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 xml:space="preserve">(ekoinnowacje)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E4241F"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1" w:name="_Toc42676093"/>
      <w:bookmarkStart w:id="742" w:name="_Toc74575050"/>
      <w:r>
        <w:rPr>
          <w:rFonts w:asciiTheme="minorHAnsi" w:eastAsia="Times New Roman" w:hAnsiTheme="minorHAnsi" w:cs="Arial"/>
        </w:rPr>
        <w:t>Kryteria oceny zgodności projektów ze Strategią</w:t>
      </w:r>
      <w:bookmarkEnd w:id="741"/>
      <w:r>
        <w:rPr>
          <w:rFonts w:asciiTheme="minorHAnsi" w:eastAsia="Times New Roman" w:hAnsiTheme="minorHAnsi" w:cs="Arial"/>
        </w:rPr>
        <w:t xml:space="preserve"> ZIT</w:t>
      </w:r>
      <w:bookmarkEnd w:id="742"/>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3" w:name="_Toc71293101"/>
      <w:r w:rsidRPr="00952DFB">
        <w:rPr>
          <w:sz w:val="24"/>
          <w:szCs w:val="24"/>
        </w:rPr>
        <w:t>Oś priorytetowa 3 Gospodarka niskoemisyjna</w:t>
      </w:r>
      <w:bookmarkEnd w:id="737"/>
      <w:bookmarkEnd w:id="738"/>
      <w:bookmarkEnd w:id="739"/>
      <w:bookmarkEnd w:id="743"/>
    </w:p>
    <w:p w14:paraId="58DECF4E" w14:textId="77777777" w:rsidR="00952DFB" w:rsidRPr="00952DFB" w:rsidRDefault="00952DFB" w:rsidP="00952DFB">
      <w:pPr>
        <w:pStyle w:val="Nagwek3"/>
        <w:spacing w:after="240"/>
        <w:rPr>
          <w:sz w:val="22"/>
        </w:rPr>
      </w:pPr>
      <w:bookmarkStart w:id="744" w:name="_Toc71293102"/>
      <w:r w:rsidRPr="00952DFB">
        <w:rPr>
          <w:sz w:val="22"/>
        </w:rPr>
        <w:t>Działanie 3.3 Efektywność energetyczna w budynkach użyteczności publicznej i sektorze mieszkaniowym</w:t>
      </w:r>
      <w:bookmarkEnd w:id="74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E4241F"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5" w:name="__DdeLink__517_2229480281"/>
            <w:r>
              <w:rPr>
                <w:rFonts w:eastAsia="Times New Roman" w:cs="Tahoma"/>
                <w:b/>
                <w:color w:val="000000"/>
                <w:kern w:val="2"/>
                <w:lang w:eastAsia="zh-CN"/>
              </w:rPr>
              <w:t>0 pkt.</w:t>
            </w:r>
            <w:bookmarkEnd w:id="74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6" w:name="_Toc517334539"/>
      <w:bookmarkStart w:id="747" w:name="_Toc527969741"/>
      <w:bookmarkStart w:id="74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6"/>
      <w:bookmarkEnd w:id="747"/>
      <w:bookmarkEnd w:id="748"/>
      <w:bookmarkEnd w:id="74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0" w:name="_Toc517334540"/>
      <w:bookmarkStart w:id="751" w:name="_Toc527969742"/>
      <w:bookmarkStart w:id="752" w:name="_Toc527969942"/>
      <w:bookmarkStart w:id="75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0"/>
      <w:bookmarkEnd w:id="751"/>
      <w:bookmarkEnd w:id="752"/>
      <w:bookmarkEnd w:id="753"/>
    </w:p>
    <w:p w14:paraId="2C27CD85" w14:textId="77777777" w:rsidR="00B1324E" w:rsidRPr="00C02680" w:rsidRDefault="00B1324E" w:rsidP="00C02680">
      <w:pPr>
        <w:pStyle w:val="Nagwek3"/>
        <w:spacing w:after="240"/>
        <w:rPr>
          <w:sz w:val="24"/>
          <w:szCs w:val="24"/>
        </w:rPr>
      </w:pPr>
      <w:bookmarkStart w:id="754" w:name="_Toc517334541"/>
      <w:bookmarkStart w:id="755" w:name="_Toc527969743"/>
      <w:bookmarkStart w:id="756" w:name="_Toc527969943"/>
      <w:bookmarkStart w:id="757" w:name="_Toc71293105"/>
      <w:r w:rsidRPr="00C02680">
        <w:rPr>
          <w:sz w:val="24"/>
          <w:szCs w:val="24"/>
        </w:rPr>
        <w:t>Działanie 4.2 Gospodarka wodno-ściekowa</w:t>
      </w:r>
      <w:bookmarkEnd w:id="754"/>
      <w:bookmarkEnd w:id="755"/>
      <w:bookmarkEnd w:id="756"/>
      <w:bookmarkEnd w:id="75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E4241F"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8" w:name="_Toc71293106"/>
      <w:bookmarkStart w:id="759" w:name="_Toc517334542"/>
      <w:r w:rsidRPr="00AD16CF">
        <w:rPr>
          <w:rFonts w:eastAsia="Times New Roman"/>
          <w:color w:val="000000" w:themeColor="text1"/>
          <w:szCs w:val="28"/>
          <w:u w:val="none"/>
        </w:rPr>
        <w:t>Działanie 4.3 Dziedzictwo kulturowe</w:t>
      </w:r>
      <w:bookmarkEnd w:id="758"/>
    </w:p>
    <w:p w14:paraId="654CDECF" w14:textId="77777777" w:rsidR="00503D9B" w:rsidRPr="00AD16CF" w:rsidRDefault="00503D9B" w:rsidP="00A85387">
      <w:pPr>
        <w:rPr>
          <w:rFonts w:eastAsia="Times New Roman" w:cs="Arial"/>
          <w:b/>
          <w:sz w:val="24"/>
          <w:szCs w:val="24"/>
          <w:lang w:eastAsia="en-US"/>
        </w:rPr>
      </w:pPr>
      <w:bookmarkStart w:id="76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1" w:name="_Toc71293107"/>
      <w:r w:rsidRPr="00A85387">
        <w:rPr>
          <w:rFonts w:eastAsia="Times New Roman" w:cs="Tahoma"/>
          <w:kern w:val="3"/>
          <w:szCs w:val="28"/>
        </w:rPr>
        <w:t>Działanie 4.4. Ochrona i udostępnianie zasobów przyrodniczych</w:t>
      </w:r>
      <w:bookmarkEnd w:id="76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2" w:name="_Toc527969744"/>
      <w:bookmarkStart w:id="76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9"/>
      <w:bookmarkEnd w:id="762"/>
      <w:bookmarkEnd w:id="763"/>
    </w:p>
    <w:p w14:paraId="4BCF565D" w14:textId="77777777" w:rsidR="003D1316" w:rsidRPr="00691CFA" w:rsidRDefault="003D1316" w:rsidP="00C02680">
      <w:pPr>
        <w:pStyle w:val="Nagwek3"/>
        <w:spacing w:after="240"/>
        <w:rPr>
          <w:sz w:val="24"/>
          <w:szCs w:val="24"/>
        </w:rPr>
      </w:pPr>
      <w:bookmarkStart w:id="764" w:name="_Toc517334543"/>
      <w:bookmarkStart w:id="765" w:name="_Toc527969745"/>
      <w:bookmarkStart w:id="766" w:name="_Toc527969945"/>
      <w:bookmarkStart w:id="767" w:name="_Toc71293108"/>
      <w:r w:rsidRPr="00691CFA">
        <w:rPr>
          <w:rFonts w:eastAsia="Times New Roman" w:cs="Arial"/>
          <w:iCs/>
          <w:sz w:val="24"/>
          <w:szCs w:val="24"/>
        </w:rPr>
        <w:t xml:space="preserve">Działanie 4.5 </w:t>
      </w:r>
      <w:r w:rsidRPr="00691CFA">
        <w:rPr>
          <w:sz w:val="24"/>
          <w:szCs w:val="24"/>
        </w:rPr>
        <w:t>Bezpieczeństwo</w:t>
      </w:r>
      <w:bookmarkEnd w:id="764"/>
      <w:bookmarkEnd w:id="765"/>
      <w:bookmarkEnd w:id="766"/>
      <w:bookmarkEnd w:id="76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8" w:name="_Toc71293109"/>
      <w:r w:rsidRPr="00C02680">
        <w:rPr>
          <w:sz w:val="24"/>
          <w:szCs w:val="24"/>
        </w:rPr>
        <w:t>Oś priorytetowa 7 Infrastruktura edukacyjna</w:t>
      </w:r>
      <w:bookmarkEnd w:id="76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9" w:name="_Toc71293110"/>
      <w:r w:rsidRPr="001C0726">
        <w:rPr>
          <w:rFonts w:eastAsiaTheme="minorHAnsi" w:cs="Calibri"/>
          <w:color w:val="000000"/>
          <w:sz w:val="24"/>
          <w:szCs w:val="24"/>
          <w:lang w:eastAsia="en-US"/>
        </w:rPr>
        <w:t>Działanie 7.1 Inwestycje w edukację przedszkolną, podstawową i gimnazjalną</w:t>
      </w:r>
      <w:bookmarkEnd w:id="76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0" w:name="_Toc517334545"/>
      <w:bookmarkStart w:id="771" w:name="_Toc527969747"/>
      <w:bookmarkStart w:id="772" w:name="_Toc527969947"/>
      <w:bookmarkStart w:id="773" w:name="_Toc71293111"/>
      <w:bookmarkStart w:id="774" w:name="_Toc72034477"/>
      <w:bookmarkStart w:id="775" w:name="_Toc85424341"/>
      <w:r w:rsidRPr="00C02680">
        <w:rPr>
          <w:rFonts w:eastAsia="Times New Roman"/>
          <w:sz w:val="24"/>
          <w:szCs w:val="24"/>
        </w:rPr>
        <w:t>Działanie 7.2 Inwestycje w edukację ponadgimnazjalną, w tym zawodową</w:t>
      </w:r>
      <w:bookmarkEnd w:id="770"/>
      <w:bookmarkEnd w:id="771"/>
      <w:bookmarkEnd w:id="772"/>
      <w:bookmarkEnd w:id="77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4"/>
          <w:bookmarkEnd w:id="77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6" w:name="_Toc71293112"/>
      <w:r w:rsidRPr="00A14B68">
        <w:rPr>
          <w:rFonts w:eastAsia="Times New Roman" w:cs="Tahoma"/>
          <w:kern w:val="1"/>
          <w:sz w:val="28"/>
          <w:szCs w:val="28"/>
        </w:rPr>
        <w:t>Kryteria oceny zgodności projektów ze Strategią – tryb pozakonkursowy</w:t>
      </w:r>
      <w:bookmarkEnd w:id="77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7" w:name="_Toc71293113"/>
      <w:r w:rsidRPr="00A14B68">
        <w:rPr>
          <w:rFonts w:eastAsia="Times New Roman" w:cs="Arial"/>
          <w:sz w:val="24"/>
          <w:szCs w:val="24"/>
          <w:lang w:eastAsia="en-US"/>
        </w:rPr>
        <w:t>Działanie 4.3 Dziedzictwo kulturowe</w:t>
      </w:r>
      <w:bookmarkEnd w:id="77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B76B" w14:textId="77777777" w:rsidR="002D6BAD" w:rsidRDefault="002D6BAD" w:rsidP="00F35E01">
      <w:pPr>
        <w:spacing w:after="0" w:line="240" w:lineRule="auto"/>
      </w:pPr>
      <w:r>
        <w:separator/>
      </w:r>
    </w:p>
  </w:endnote>
  <w:endnote w:type="continuationSeparator" w:id="0">
    <w:p w14:paraId="74026FBB" w14:textId="77777777" w:rsidR="002D6BAD" w:rsidRDefault="002D6BAD"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584CBC">
          <w:rPr>
            <w:noProof/>
          </w:rPr>
          <w:t>879</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FB1C" w14:textId="77777777" w:rsidR="002D6BAD" w:rsidRDefault="002D6BAD" w:rsidP="00F35E01">
      <w:pPr>
        <w:spacing w:after="0" w:line="240" w:lineRule="auto"/>
      </w:pPr>
      <w:r>
        <w:separator/>
      </w:r>
    </w:p>
  </w:footnote>
  <w:footnote w:type="continuationSeparator" w:id="0">
    <w:p w14:paraId="7E125EB2" w14:textId="77777777" w:rsidR="002D6BAD" w:rsidRDefault="002D6BAD"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241F"/>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 Id="rId8" Type="http://schemas.openxmlformats.org/officeDocument/2006/relationships/hyperlink" Target="https://www.nauka.gov.pl/komunikaty/wykaz-czasopism-naukowych-na-2016-rok.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14ADC-9793-4F1F-8FBD-460D1EF9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154</Pages>
  <Words>219724</Words>
  <Characters>1318349</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5</cp:revision>
  <cp:lastPrinted>2021-06-18T05:09:00Z</cp:lastPrinted>
  <dcterms:created xsi:type="dcterms:W3CDTF">2021-07-01T08:48:00Z</dcterms:created>
  <dcterms:modified xsi:type="dcterms:W3CDTF">2021-09-28T06:21:00Z</dcterms:modified>
</cp:coreProperties>
</file>