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70E0A4" w14:textId="09F58DC5" w:rsidR="00057435" w:rsidRDefault="006517B2" w:rsidP="006517B2">
      <w:pPr>
        <w:pStyle w:val="Tytu"/>
        <w:jc w:val="left"/>
        <w:rPr>
          <w:rFonts w:ascii="Arial" w:hAnsi="Arial" w:cs="Arial"/>
          <w:b w:val="0"/>
          <w:iCs/>
          <w:sz w:val="20"/>
          <w:szCs w:val="20"/>
        </w:rPr>
      </w:pPr>
      <w:r w:rsidRPr="000D47F9">
        <w:rPr>
          <w:rFonts w:ascii="Arial" w:hAnsi="Arial" w:cs="Arial"/>
          <w:iCs/>
          <w:sz w:val="20"/>
          <w:szCs w:val="20"/>
        </w:rPr>
        <w:t xml:space="preserve">Załącznik nr </w:t>
      </w:r>
      <w:r w:rsidR="00E23E65">
        <w:rPr>
          <w:rFonts w:ascii="Arial" w:hAnsi="Arial" w:cs="Arial"/>
          <w:iCs/>
          <w:sz w:val="20"/>
          <w:szCs w:val="20"/>
        </w:rPr>
        <w:t>8</w:t>
      </w:r>
      <w:r w:rsidRPr="000D47F9">
        <w:rPr>
          <w:rFonts w:ascii="Arial" w:hAnsi="Arial" w:cs="Arial"/>
          <w:iCs/>
          <w:sz w:val="20"/>
          <w:szCs w:val="20"/>
        </w:rPr>
        <w:t xml:space="preserve"> do Regulaminu konkurs</w:t>
      </w:r>
      <w:bookmarkStart w:id="0" w:name="_GoBack"/>
      <w:r w:rsidRPr="002D70D0">
        <w:rPr>
          <w:rFonts w:ascii="Arial" w:hAnsi="Arial" w:cs="Arial"/>
          <w:iCs/>
          <w:sz w:val="20"/>
          <w:szCs w:val="20"/>
        </w:rPr>
        <w:t>u – Wzór umowy o dofinansowanie projektu</w:t>
      </w:r>
      <w:bookmarkEnd w:id="0"/>
    </w:p>
    <w:p w14:paraId="582E9A90" w14:textId="77777777" w:rsidR="006517B2" w:rsidRPr="006517B2" w:rsidRDefault="006517B2" w:rsidP="006517B2">
      <w:pPr>
        <w:pStyle w:val="Podtytu"/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D37D" w14:textId="0C5E8F4A" w:rsidR="00226AFB" w:rsidRPr="00226AFB" w:rsidRDefault="00226AFB" w:rsidP="006517B2">
      <w:pPr>
        <w:pStyle w:val="Tekstpodstawowy"/>
        <w:rPr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0E9D3564" w:rsidR="00526077" w:rsidRPr="00D56BE0" w:rsidRDefault="00687FD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Pr="00687FDA">
        <w:rPr>
          <w:rFonts w:ascii="Arial" w:hAnsi="Arial" w:cs="Arial"/>
          <w:i/>
          <w:sz w:val="20"/>
          <w:szCs w:val="20"/>
        </w:rPr>
        <w:t>Wytyczne w zakresie realizacji przedsięwzięć z udziałem środków Europejskiego Funduszu Społecznego w obszarze rynku pracy na lata 2014 – 2020</w:t>
      </w:r>
      <w:r>
        <w:rPr>
          <w:rFonts w:ascii="Arial" w:hAnsi="Arial" w:cs="Arial"/>
          <w:sz w:val="20"/>
          <w:szCs w:val="20"/>
        </w:rPr>
        <w:t xml:space="preserve"> z dnia 16 kwietnia 2020 r.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3F11ADC6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6BFA93FF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62A99B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04F6898E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0DC3" w14:textId="77777777" w:rsidR="000F1EE5" w:rsidRDefault="000F1EE5">
      <w:r>
        <w:separator/>
      </w:r>
    </w:p>
  </w:endnote>
  <w:endnote w:type="continuationSeparator" w:id="0">
    <w:p w14:paraId="7BFABAB3" w14:textId="77777777" w:rsidR="000F1EE5" w:rsidRDefault="000F1EE5">
      <w:r>
        <w:continuationSeparator/>
      </w:r>
    </w:p>
  </w:endnote>
  <w:endnote w:type="continuationNotice" w:id="1">
    <w:p w14:paraId="17644458" w14:textId="77777777" w:rsidR="000F1EE5" w:rsidRDefault="000F1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6E28" w14:textId="5415514B" w:rsidR="00D3755F" w:rsidRDefault="00D3755F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D70D0">
      <w:rPr>
        <w:noProof/>
      </w:rPr>
      <w:t>22</w:t>
    </w:r>
    <w:r>
      <w:rPr>
        <w:noProof/>
      </w:rPr>
      <w:fldChar w:fldCharType="end"/>
    </w:r>
  </w:p>
  <w:p w14:paraId="1A8CED9E" w14:textId="77777777" w:rsidR="00D3755F" w:rsidRDefault="00D3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1923" w14:textId="07EFC766" w:rsidR="00D3755F" w:rsidRDefault="00D375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D70D0">
      <w:rPr>
        <w:noProof/>
      </w:rPr>
      <w:t>51</w:t>
    </w:r>
    <w:r>
      <w:rPr>
        <w:noProof/>
      </w:rPr>
      <w:fldChar w:fldCharType="end"/>
    </w:r>
  </w:p>
  <w:p w14:paraId="5E1207DD" w14:textId="77777777" w:rsidR="00D3755F" w:rsidRDefault="00D3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F502" w14:textId="77777777" w:rsidR="000F1EE5" w:rsidRDefault="000F1EE5">
      <w:r>
        <w:separator/>
      </w:r>
    </w:p>
  </w:footnote>
  <w:footnote w:type="continuationSeparator" w:id="0">
    <w:p w14:paraId="3CF54AA8" w14:textId="77777777" w:rsidR="000F1EE5" w:rsidRDefault="000F1EE5">
      <w:r>
        <w:continuationSeparator/>
      </w:r>
    </w:p>
  </w:footnote>
  <w:footnote w:type="continuationNotice" w:id="1">
    <w:p w14:paraId="48C211AC" w14:textId="77777777" w:rsidR="000F1EE5" w:rsidRDefault="000F1EE5">
      <w:pPr>
        <w:spacing w:after="0" w:line="240" w:lineRule="auto"/>
      </w:pPr>
    </w:p>
  </w:footnote>
  <w:footnote w:id="2">
    <w:p w14:paraId="63D2EDD6" w14:textId="633D1C25" w:rsidR="00D3755F" w:rsidRPr="003632D1" w:rsidRDefault="00D3755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D3755F" w:rsidRPr="003632D1" w:rsidRDefault="00D3755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D3755F" w:rsidRPr="003632D1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D3755F" w:rsidRPr="002749D2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61584494" w:rsidR="00D3755F" w:rsidRPr="006416E7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BB26614" w14:textId="31D25700" w:rsidR="00D3755F" w:rsidRPr="006416E7" w:rsidRDefault="00D3755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1E950D36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5BBF0B32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D3755F" w:rsidRPr="004117DC" w:rsidRDefault="00D3755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D3755F" w:rsidRPr="00B922DA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D3755F" w:rsidRPr="00315691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D3755F" w:rsidRPr="002675D4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 w:rsidR="008F7872">
        <w:rPr>
          <w:rFonts w:ascii="Arial" w:hAnsi="Arial" w:cs="Arial"/>
          <w:sz w:val="16"/>
          <w:szCs w:val="16"/>
        </w:rPr>
        <w:t>płatniczym</w:t>
      </w:r>
      <w:r w:rsidR="008F7872" w:rsidRPr="0082796C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>stanowią dochód jednostki, zgodnie z zapisami ustawy z dnia 13 listopada 2003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D3755F" w:rsidRPr="002675D4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D3755F" w:rsidRPr="006C00FE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D3755F" w:rsidRPr="002E56A1" w:rsidRDefault="00D3755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D3755F" w:rsidRPr="00E23ACB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D3755F" w:rsidRPr="00E03DF2" w:rsidRDefault="00D3755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D3755F" w:rsidRPr="00694748" w:rsidRDefault="00D3755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D3755F" w:rsidRPr="00E03DF2" w:rsidRDefault="00D3755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7D7A0516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D3755F" w:rsidRPr="00694748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D3755F" w:rsidRPr="00814206" w:rsidRDefault="00D3755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2949A76F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D3755F" w:rsidRPr="009457B9" w:rsidRDefault="00D3755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43BF7297" w:rsidR="00D3755F" w:rsidRPr="00DC278A" w:rsidRDefault="00D3755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 w:rsidR="008F7872"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="008F7872"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1">
    <w:p w14:paraId="23BD30E3" w14:textId="77777777" w:rsidR="00D3755F" w:rsidRPr="00DC278A" w:rsidRDefault="00D3755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D3755F" w:rsidRPr="00DC278A" w:rsidRDefault="00D3755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D3755F" w:rsidRPr="0091741B" w:rsidRDefault="00D3755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D3755F" w:rsidRPr="004A269B" w:rsidRDefault="00D3755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D3755F" w:rsidRPr="004A269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D3755F" w:rsidRPr="0091741B" w:rsidRDefault="00D3755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D3755F" w:rsidRPr="00223DC3" w:rsidRDefault="00D3755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D3755F" w:rsidRPr="00181A4D" w:rsidRDefault="00D3755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D3755F" w:rsidRPr="00E03DF2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D3755F" w:rsidRPr="00940093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D3755F" w:rsidRPr="002C768C" w:rsidRDefault="00D3755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 w:rsidR="008F7872">
        <w:rPr>
          <w:rFonts w:ascii="Arial" w:hAnsi="Arial" w:cs="Arial"/>
          <w:sz w:val="16"/>
          <w:szCs w:val="16"/>
        </w:rPr>
        <w:t>przepisów</w:t>
      </w:r>
      <w:r w:rsidR="008F7872" w:rsidRPr="002C768C">
        <w:rPr>
          <w:rFonts w:ascii="Arial" w:hAnsi="Arial" w:cs="Arial"/>
          <w:sz w:val="16"/>
          <w:szCs w:val="16"/>
        </w:rPr>
        <w:t xml:space="preserve"> </w:t>
      </w:r>
      <w:r w:rsidRPr="002C768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D3755F" w:rsidRPr="00D855D4" w:rsidRDefault="00D3755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D3755F" w:rsidRPr="00FF4896" w:rsidRDefault="00D3755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D3755F" w:rsidRPr="00FF4896" w:rsidRDefault="00D3755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77777777" w:rsidR="00D3755F" w:rsidRDefault="00D3755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D3755F" w:rsidRPr="00FE031C" w:rsidRDefault="00D3755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4DF" w14:textId="38FD0A15" w:rsidR="00D3755F" w:rsidRPr="00F25A94" w:rsidRDefault="00D3755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47C32002" w14:textId="5B73592C" w:rsidR="00D3755F" w:rsidRPr="00D56BE0" w:rsidRDefault="00D3755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C2F1" w14:textId="77777777" w:rsidR="00D3755F" w:rsidRDefault="00D37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1EE5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0D0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0DC1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17B2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87FDA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3FC6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3E65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5728-8EF3-4D3A-90DF-16769F94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17811</Words>
  <Characters>117697</Characters>
  <Application>Microsoft Office Word</Application>
  <DocSecurity>0</DocSecurity>
  <Lines>980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Joanna Bednarkiewicz</cp:lastModifiedBy>
  <cp:revision>7</cp:revision>
  <cp:lastPrinted>2020-01-07T08:58:00Z</cp:lastPrinted>
  <dcterms:created xsi:type="dcterms:W3CDTF">2020-01-09T09:59:00Z</dcterms:created>
  <dcterms:modified xsi:type="dcterms:W3CDTF">2020-09-14T07:49:00Z</dcterms:modified>
</cp:coreProperties>
</file>