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0EF3" w14:textId="77777777"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5EA6E8D2" wp14:editId="443EBACC">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14:paraId="49E05086"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3D7E1320"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28B0826D"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502020036" w:edGrp="everyone"/>
      <w:permEnd w:id="1502020036"/>
    </w:p>
    <w:bookmarkEnd w:id="0"/>
    <w:bookmarkEnd w:id="1"/>
    <w:p w14:paraId="1688543C"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841703071" w:edGrp="everyone"/>
      <w:permEnd w:id="841703071"/>
    </w:p>
    <w:p w14:paraId="071443F6" w14:textId="77777777" w:rsidR="00E352AA" w:rsidRPr="00B81671" w:rsidRDefault="00E352AA" w:rsidP="000E7E73">
      <w:pPr>
        <w:spacing w:after="6360"/>
        <w:jc w:val="center"/>
        <w:rPr>
          <w:rFonts w:ascii="Arial" w:hAnsi="Arial" w:cs="Arial"/>
          <w:b/>
          <w:bCs/>
          <w:i/>
          <w:iCs/>
          <w:color w:val="000000"/>
          <w:sz w:val="24"/>
          <w:szCs w:val="24"/>
        </w:rPr>
      </w:pPr>
    </w:p>
    <w:p w14:paraId="2F7FF6C1" w14:textId="77777777"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610E82">
        <w:rPr>
          <w:b/>
          <w:bCs/>
          <w:i/>
          <w:iCs/>
          <w:color w:val="000000"/>
        </w:rPr>
        <w:t xml:space="preserve">14 </w:t>
      </w:r>
      <w:r w:rsidR="00886766">
        <w:rPr>
          <w:b/>
          <w:bCs/>
          <w:i/>
          <w:iCs/>
          <w:color w:val="000000"/>
        </w:rPr>
        <w:t xml:space="preserve"> </w:t>
      </w:r>
      <w:r w:rsidR="00AF274C">
        <w:rPr>
          <w:b/>
          <w:bCs/>
          <w:i/>
          <w:iCs/>
          <w:color w:val="000000"/>
        </w:rPr>
        <w:t>sier</w:t>
      </w:r>
      <w:r w:rsidR="00610E82">
        <w:rPr>
          <w:b/>
          <w:bCs/>
          <w:i/>
          <w:iCs/>
          <w:color w:val="000000"/>
        </w:rPr>
        <w:t xml:space="preserve">pnia </w:t>
      </w:r>
      <w:r w:rsidR="00CF0209" w:rsidRPr="007E469E">
        <w:rPr>
          <w:b/>
          <w:bCs/>
          <w:i/>
          <w:iCs/>
          <w:color w:val="000000"/>
        </w:rPr>
        <w:t>20</w:t>
      </w:r>
      <w:r w:rsidR="00F539DA">
        <w:rPr>
          <w:b/>
          <w:bCs/>
          <w:i/>
          <w:iCs/>
          <w:color w:val="000000"/>
        </w:rPr>
        <w:t>20</w:t>
      </w:r>
      <w:r w:rsidR="00CF0209" w:rsidRPr="007E469E">
        <w:rPr>
          <w:b/>
          <w:bCs/>
          <w:i/>
          <w:iCs/>
          <w:color w:val="000000"/>
        </w:rPr>
        <w:t xml:space="preserve"> r.</w:t>
      </w:r>
    </w:p>
    <w:p w14:paraId="5B2A2167"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7A505DB5"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7827DB2B" w14:textId="77777777" w:rsidR="00CA790E"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8555130" w:history="1">
            <w:r w:rsidR="00CA790E" w:rsidRPr="002D0EE4">
              <w:rPr>
                <w:rStyle w:val="Hipercze"/>
              </w:rPr>
              <w:t>Wykaz skrótów</w:t>
            </w:r>
            <w:r w:rsidR="00CA790E">
              <w:rPr>
                <w:webHidden/>
              </w:rPr>
              <w:tab/>
            </w:r>
            <w:r w:rsidR="00CA790E">
              <w:rPr>
                <w:webHidden/>
              </w:rPr>
              <w:fldChar w:fldCharType="begin"/>
            </w:r>
            <w:r w:rsidR="00CA790E">
              <w:rPr>
                <w:webHidden/>
              </w:rPr>
              <w:instrText xml:space="preserve"> PAGEREF _Toc48555130 \h </w:instrText>
            </w:r>
            <w:r w:rsidR="00CA790E">
              <w:rPr>
                <w:webHidden/>
              </w:rPr>
            </w:r>
            <w:r w:rsidR="00CA790E">
              <w:rPr>
                <w:webHidden/>
              </w:rPr>
              <w:fldChar w:fldCharType="separate"/>
            </w:r>
            <w:r w:rsidR="00CA790E">
              <w:rPr>
                <w:webHidden/>
              </w:rPr>
              <w:t>4</w:t>
            </w:r>
            <w:r w:rsidR="00CA790E">
              <w:rPr>
                <w:webHidden/>
              </w:rPr>
              <w:fldChar w:fldCharType="end"/>
            </w:r>
          </w:hyperlink>
        </w:p>
        <w:p w14:paraId="2C0FE88C" w14:textId="77777777" w:rsidR="00CA790E" w:rsidRDefault="009856B4">
          <w:pPr>
            <w:pStyle w:val="Spistreci1"/>
            <w:rPr>
              <w:rFonts w:asciiTheme="minorHAnsi" w:hAnsiTheme="minorHAnsi" w:cstheme="minorBidi"/>
              <w:b w:val="0"/>
            </w:rPr>
          </w:pPr>
          <w:hyperlink w:anchor="_Toc48555131" w:history="1">
            <w:r w:rsidR="00CA790E" w:rsidRPr="002D0EE4">
              <w:rPr>
                <w:rStyle w:val="Hipercze"/>
              </w:rPr>
              <w:t>1.</w:t>
            </w:r>
            <w:r w:rsidR="00CA790E">
              <w:rPr>
                <w:rFonts w:asciiTheme="minorHAnsi" w:hAnsiTheme="minorHAnsi" w:cstheme="minorBidi"/>
                <w:b w:val="0"/>
              </w:rPr>
              <w:tab/>
            </w:r>
            <w:r w:rsidR="00CA790E" w:rsidRPr="002D0EE4">
              <w:rPr>
                <w:rStyle w:val="Hipercze"/>
              </w:rPr>
              <w:t>Rozdział - Słowniczek pojęć</w:t>
            </w:r>
            <w:r w:rsidR="00CA790E">
              <w:rPr>
                <w:webHidden/>
              </w:rPr>
              <w:tab/>
            </w:r>
            <w:r w:rsidR="00CA790E">
              <w:rPr>
                <w:webHidden/>
              </w:rPr>
              <w:fldChar w:fldCharType="begin"/>
            </w:r>
            <w:r w:rsidR="00CA790E">
              <w:rPr>
                <w:webHidden/>
              </w:rPr>
              <w:instrText xml:space="preserve"> PAGEREF _Toc48555131 \h </w:instrText>
            </w:r>
            <w:r w:rsidR="00CA790E">
              <w:rPr>
                <w:webHidden/>
              </w:rPr>
            </w:r>
            <w:r w:rsidR="00CA790E">
              <w:rPr>
                <w:webHidden/>
              </w:rPr>
              <w:fldChar w:fldCharType="separate"/>
            </w:r>
            <w:r w:rsidR="00CA790E">
              <w:rPr>
                <w:webHidden/>
              </w:rPr>
              <w:t>5</w:t>
            </w:r>
            <w:r w:rsidR="00CA790E">
              <w:rPr>
                <w:webHidden/>
              </w:rPr>
              <w:fldChar w:fldCharType="end"/>
            </w:r>
          </w:hyperlink>
        </w:p>
        <w:p w14:paraId="79591A4C" w14:textId="77777777" w:rsidR="00CA790E" w:rsidRDefault="009856B4">
          <w:pPr>
            <w:pStyle w:val="Spistreci1"/>
            <w:rPr>
              <w:rFonts w:asciiTheme="minorHAnsi" w:hAnsiTheme="minorHAnsi" w:cstheme="minorBidi"/>
              <w:b w:val="0"/>
            </w:rPr>
          </w:pPr>
          <w:hyperlink w:anchor="_Toc48555132" w:history="1">
            <w:r w:rsidR="00CA790E" w:rsidRPr="002D0EE4">
              <w:rPr>
                <w:rStyle w:val="Hipercze"/>
              </w:rPr>
              <w:t>2.</w:t>
            </w:r>
            <w:r w:rsidR="00CA790E">
              <w:rPr>
                <w:rFonts w:asciiTheme="minorHAnsi" w:hAnsiTheme="minorHAnsi" w:cstheme="minorBidi"/>
                <w:b w:val="0"/>
              </w:rPr>
              <w:tab/>
            </w:r>
            <w:r w:rsidR="00CA790E" w:rsidRPr="002D0EE4">
              <w:rPr>
                <w:rStyle w:val="Hipercze"/>
              </w:rPr>
              <w:t xml:space="preserve">Rozdział - Cel, zakres oraz obowiązywanie </w:t>
            </w:r>
            <w:r w:rsidR="00CA790E" w:rsidRPr="002D0EE4">
              <w:rPr>
                <w:rStyle w:val="Hipercze"/>
                <w:i/>
              </w:rPr>
              <w:t>Katalogu</w:t>
            </w:r>
            <w:r w:rsidR="00CA790E">
              <w:rPr>
                <w:webHidden/>
              </w:rPr>
              <w:tab/>
            </w:r>
            <w:r w:rsidR="00CA790E">
              <w:rPr>
                <w:webHidden/>
              </w:rPr>
              <w:fldChar w:fldCharType="begin"/>
            </w:r>
            <w:r w:rsidR="00CA790E">
              <w:rPr>
                <w:webHidden/>
              </w:rPr>
              <w:instrText xml:space="preserve"> PAGEREF _Toc48555132 \h </w:instrText>
            </w:r>
            <w:r w:rsidR="00CA790E">
              <w:rPr>
                <w:webHidden/>
              </w:rPr>
            </w:r>
            <w:r w:rsidR="00CA790E">
              <w:rPr>
                <w:webHidden/>
              </w:rPr>
              <w:fldChar w:fldCharType="separate"/>
            </w:r>
            <w:r w:rsidR="00CA790E">
              <w:rPr>
                <w:webHidden/>
              </w:rPr>
              <w:t>11</w:t>
            </w:r>
            <w:r w:rsidR="00CA790E">
              <w:rPr>
                <w:webHidden/>
              </w:rPr>
              <w:fldChar w:fldCharType="end"/>
            </w:r>
          </w:hyperlink>
        </w:p>
        <w:p w14:paraId="6A52D4D6" w14:textId="77777777" w:rsidR="00CA790E" w:rsidRDefault="009856B4">
          <w:pPr>
            <w:pStyle w:val="Spistreci1"/>
            <w:rPr>
              <w:rFonts w:asciiTheme="minorHAnsi" w:hAnsiTheme="minorHAnsi" w:cstheme="minorBidi"/>
              <w:b w:val="0"/>
            </w:rPr>
          </w:pPr>
          <w:hyperlink w:anchor="_Toc48555133" w:history="1">
            <w:r w:rsidR="00CA790E" w:rsidRPr="002D0EE4">
              <w:rPr>
                <w:rStyle w:val="Hipercze"/>
              </w:rPr>
              <w:t>3.</w:t>
            </w:r>
            <w:r w:rsidR="00CA790E">
              <w:rPr>
                <w:rFonts w:asciiTheme="minorHAnsi" w:hAnsiTheme="minorHAnsi" w:cstheme="minorBidi"/>
                <w:b w:val="0"/>
              </w:rPr>
              <w:tab/>
            </w:r>
            <w:r w:rsidR="00CA790E" w:rsidRPr="002D0EE4">
              <w:rPr>
                <w:rStyle w:val="Hipercze"/>
              </w:rPr>
              <w:t>Rozdział - Warunki i procedury w zakresie kwalifikowalności wydatków</w:t>
            </w:r>
            <w:r w:rsidR="00CA790E">
              <w:rPr>
                <w:webHidden/>
              </w:rPr>
              <w:tab/>
            </w:r>
            <w:r w:rsidR="00CA790E">
              <w:rPr>
                <w:webHidden/>
              </w:rPr>
              <w:fldChar w:fldCharType="begin"/>
            </w:r>
            <w:r w:rsidR="00CA790E">
              <w:rPr>
                <w:webHidden/>
              </w:rPr>
              <w:instrText xml:space="preserve"> PAGEREF _Toc48555133 \h </w:instrText>
            </w:r>
            <w:r w:rsidR="00CA790E">
              <w:rPr>
                <w:webHidden/>
              </w:rPr>
            </w:r>
            <w:r w:rsidR="00CA790E">
              <w:rPr>
                <w:webHidden/>
              </w:rPr>
              <w:fldChar w:fldCharType="separate"/>
            </w:r>
            <w:r w:rsidR="00CA790E">
              <w:rPr>
                <w:webHidden/>
              </w:rPr>
              <w:t>12</w:t>
            </w:r>
            <w:r w:rsidR="00CA790E">
              <w:rPr>
                <w:webHidden/>
              </w:rPr>
              <w:fldChar w:fldCharType="end"/>
            </w:r>
          </w:hyperlink>
        </w:p>
        <w:p w14:paraId="06BC0012" w14:textId="77777777" w:rsidR="00CA790E" w:rsidRDefault="009856B4">
          <w:pPr>
            <w:pStyle w:val="Spistreci2"/>
            <w:tabs>
              <w:tab w:val="left" w:pos="880"/>
              <w:tab w:val="right" w:leader="dot" w:pos="9062"/>
            </w:tabs>
            <w:rPr>
              <w:noProof/>
            </w:rPr>
          </w:pPr>
          <w:hyperlink w:anchor="_Toc48555134" w:history="1">
            <w:r w:rsidR="00CA790E" w:rsidRPr="002D0EE4">
              <w:rPr>
                <w:rStyle w:val="Hipercze"/>
                <w:rFonts w:ascii="Arial" w:hAnsi="Arial" w:cs="Arial"/>
                <w:i/>
                <w:noProof/>
              </w:rPr>
              <w:t>3.1</w:t>
            </w:r>
            <w:r w:rsidR="00CA790E">
              <w:rPr>
                <w:noProof/>
              </w:rPr>
              <w:tab/>
            </w:r>
            <w:r w:rsidR="00CA790E" w:rsidRPr="002D0EE4">
              <w:rPr>
                <w:rStyle w:val="Hipercze"/>
                <w:rFonts w:ascii="Arial" w:hAnsi="Arial" w:cs="Arial"/>
                <w:i/>
                <w:noProof/>
              </w:rPr>
              <w:t>Ocena kwalifikowalności wydatku.</w:t>
            </w:r>
            <w:r w:rsidR="00CA790E">
              <w:rPr>
                <w:noProof/>
                <w:webHidden/>
              </w:rPr>
              <w:tab/>
            </w:r>
            <w:r w:rsidR="00CA790E">
              <w:rPr>
                <w:noProof/>
                <w:webHidden/>
              </w:rPr>
              <w:fldChar w:fldCharType="begin"/>
            </w:r>
            <w:r w:rsidR="00CA790E">
              <w:rPr>
                <w:noProof/>
                <w:webHidden/>
              </w:rPr>
              <w:instrText xml:space="preserve"> PAGEREF _Toc48555134 \h </w:instrText>
            </w:r>
            <w:r w:rsidR="00CA790E">
              <w:rPr>
                <w:noProof/>
                <w:webHidden/>
              </w:rPr>
            </w:r>
            <w:r w:rsidR="00CA790E">
              <w:rPr>
                <w:noProof/>
                <w:webHidden/>
              </w:rPr>
              <w:fldChar w:fldCharType="separate"/>
            </w:r>
            <w:r w:rsidR="00CA790E">
              <w:rPr>
                <w:noProof/>
                <w:webHidden/>
              </w:rPr>
              <w:t>12</w:t>
            </w:r>
            <w:r w:rsidR="00CA790E">
              <w:rPr>
                <w:noProof/>
                <w:webHidden/>
              </w:rPr>
              <w:fldChar w:fldCharType="end"/>
            </w:r>
          </w:hyperlink>
        </w:p>
        <w:p w14:paraId="755B5C59" w14:textId="77777777" w:rsidR="00CA790E" w:rsidRDefault="009856B4">
          <w:pPr>
            <w:pStyle w:val="Spistreci2"/>
            <w:tabs>
              <w:tab w:val="left" w:pos="880"/>
              <w:tab w:val="right" w:leader="dot" w:pos="9062"/>
            </w:tabs>
            <w:rPr>
              <w:noProof/>
            </w:rPr>
          </w:pPr>
          <w:hyperlink w:anchor="_Toc48555135" w:history="1">
            <w:r w:rsidR="00CA790E" w:rsidRPr="002D0EE4">
              <w:rPr>
                <w:rStyle w:val="Hipercze"/>
                <w:rFonts w:ascii="Arial" w:hAnsi="Arial" w:cs="Arial"/>
                <w:i/>
                <w:noProof/>
              </w:rPr>
              <w:t>3.2</w:t>
            </w:r>
            <w:r w:rsidR="00CA790E">
              <w:rPr>
                <w:noProof/>
              </w:rPr>
              <w:tab/>
            </w:r>
            <w:r w:rsidR="00CA790E" w:rsidRPr="002D0EE4">
              <w:rPr>
                <w:rStyle w:val="Hipercze"/>
                <w:rFonts w:ascii="Arial" w:hAnsi="Arial" w:cs="Arial"/>
                <w:i/>
                <w:noProof/>
              </w:rPr>
              <w:t>Wydatki niekwalifikowalne</w:t>
            </w:r>
            <w:r w:rsidR="00CA790E">
              <w:rPr>
                <w:noProof/>
                <w:webHidden/>
              </w:rPr>
              <w:tab/>
            </w:r>
            <w:r w:rsidR="00CA790E">
              <w:rPr>
                <w:noProof/>
                <w:webHidden/>
              </w:rPr>
              <w:fldChar w:fldCharType="begin"/>
            </w:r>
            <w:r w:rsidR="00CA790E">
              <w:rPr>
                <w:noProof/>
                <w:webHidden/>
              </w:rPr>
              <w:instrText xml:space="preserve"> PAGEREF _Toc48555135 \h </w:instrText>
            </w:r>
            <w:r w:rsidR="00CA790E">
              <w:rPr>
                <w:noProof/>
                <w:webHidden/>
              </w:rPr>
            </w:r>
            <w:r w:rsidR="00CA790E">
              <w:rPr>
                <w:noProof/>
                <w:webHidden/>
              </w:rPr>
              <w:fldChar w:fldCharType="separate"/>
            </w:r>
            <w:r w:rsidR="00CA790E">
              <w:rPr>
                <w:noProof/>
                <w:webHidden/>
              </w:rPr>
              <w:t>12</w:t>
            </w:r>
            <w:r w:rsidR="00CA790E">
              <w:rPr>
                <w:noProof/>
                <w:webHidden/>
              </w:rPr>
              <w:fldChar w:fldCharType="end"/>
            </w:r>
          </w:hyperlink>
        </w:p>
        <w:p w14:paraId="4CF2A9CF" w14:textId="77777777" w:rsidR="00CA790E" w:rsidRDefault="009856B4">
          <w:pPr>
            <w:pStyle w:val="Spistreci2"/>
            <w:tabs>
              <w:tab w:val="left" w:pos="880"/>
              <w:tab w:val="right" w:leader="dot" w:pos="9062"/>
            </w:tabs>
            <w:rPr>
              <w:noProof/>
            </w:rPr>
          </w:pPr>
          <w:hyperlink w:anchor="_Toc48555136" w:history="1">
            <w:r w:rsidR="00CA790E" w:rsidRPr="002D0EE4">
              <w:rPr>
                <w:rStyle w:val="Hipercze"/>
                <w:rFonts w:ascii="Arial" w:hAnsi="Arial" w:cs="Arial"/>
                <w:i/>
                <w:noProof/>
              </w:rPr>
              <w:t>3.3</w:t>
            </w:r>
            <w:r w:rsidR="00CA790E">
              <w:rPr>
                <w:noProof/>
              </w:rPr>
              <w:tab/>
            </w:r>
            <w:r w:rsidR="00CA790E" w:rsidRPr="002D0EE4">
              <w:rPr>
                <w:rStyle w:val="Hipercze"/>
                <w:rFonts w:ascii="Arial" w:hAnsi="Arial" w:cs="Arial"/>
                <w:i/>
                <w:noProof/>
              </w:rPr>
              <w:t>Zasada faktycznego poniesienia wydatku</w:t>
            </w:r>
            <w:r w:rsidR="00CA790E">
              <w:rPr>
                <w:noProof/>
                <w:webHidden/>
              </w:rPr>
              <w:tab/>
            </w:r>
            <w:r w:rsidR="00CA790E">
              <w:rPr>
                <w:noProof/>
                <w:webHidden/>
              </w:rPr>
              <w:fldChar w:fldCharType="begin"/>
            </w:r>
            <w:r w:rsidR="00CA790E">
              <w:rPr>
                <w:noProof/>
                <w:webHidden/>
              </w:rPr>
              <w:instrText xml:space="preserve"> PAGEREF _Toc48555136 \h </w:instrText>
            </w:r>
            <w:r w:rsidR="00CA790E">
              <w:rPr>
                <w:noProof/>
                <w:webHidden/>
              </w:rPr>
            </w:r>
            <w:r w:rsidR="00CA790E">
              <w:rPr>
                <w:noProof/>
                <w:webHidden/>
              </w:rPr>
              <w:fldChar w:fldCharType="separate"/>
            </w:r>
            <w:r w:rsidR="00CA790E">
              <w:rPr>
                <w:noProof/>
                <w:webHidden/>
              </w:rPr>
              <w:t>12</w:t>
            </w:r>
            <w:r w:rsidR="00CA790E">
              <w:rPr>
                <w:noProof/>
                <w:webHidden/>
              </w:rPr>
              <w:fldChar w:fldCharType="end"/>
            </w:r>
          </w:hyperlink>
        </w:p>
        <w:p w14:paraId="14693E32" w14:textId="77777777" w:rsidR="00CA790E" w:rsidRDefault="009856B4">
          <w:pPr>
            <w:pStyle w:val="Spistreci2"/>
            <w:tabs>
              <w:tab w:val="left" w:pos="880"/>
              <w:tab w:val="right" w:leader="dot" w:pos="9062"/>
            </w:tabs>
            <w:rPr>
              <w:noProof/>
            </w:rPr>
          </w:pPr>
          <w:hyperlink w:anchor="_Toc48555137" w:history="1">
            <w:r w:rsidR="00CA790E" w:rsidRPr="002D0EE4">
              <w:rPr>
                <w:rStyle w:val="Hipercze"/>
                <w:rFonts w:ascii="Arial" w:hAnsi="Arial" w:cs="Arial"/>
                <w:i/>
                <w:noProof/>
              </w:rPr>
              <w:t>3.4</w:t>
            </w:r>
            <w:r w:rsidR="00CA790E">
              <w:rPr>
                <w:noProof/>
              </w:rPr>
              <w:tab/>
            </w:r>
            <w:r w:rsidR="00CA790E" w:rsidRPr="002D0EE4">
              <w:rPr>
                <w:rStyle w:val="Hipercze"/>
                <w:rFonts w:ascii="Arial" w:hAnsi="Arial" w:cs="Arial"/>
                <w:i/>
                <w:noProof/>
              </w:rPr>
              <w:t>Uproszczone metody rozliczania wydatków</w:t>
            </w:r>
            <w:r w:rsidR="00CA790E">
              <w:rPr>
                <w:noProof/>
                <w:webHidden/>
              </w:rPr>
              <w:tab/>
            </w:r>
            <w:r w:rsidR="00CA790E">
              <w:rPr>
                <w:noProof/>
                <w:webHidden/>
              </w:rPr>
              <w:fldChar w:fldCharType="begin"/>
            </w:r>
            <w:r w:rsidR="00CA790E">
              <w:rPr>
                <w:noProof/>
                <w:webHidden/>
              </w:rPr>
              <w:instrText xml:space="preserve"> PAGEREF _Toc48555137 \h </w:instrText>
            </w:r>
            <w:r w:rsidR="00CA790E">
              <w:rPr>
                <w:noProof/>
                <w:webHidden/>
              </w:rPr>
            </w:r>
            <w:r w:rsidR="00CA790E">
              <w:rPr>
                <w:noProof/>
                <w:webHidden/>
              </w:rPr>
              <w:fldChar w:fldCharType="separate"/>
            </w:r>
            <w:r w:rsidR="00CA790E">
              <w:rPr>
                <w:noProof/>
                <w:webHidden/>
              </w:rPr>
              <w:t>19</w:t>
            </w:r>
            <w:r w:rsidR="00CA790E">
              <w:rPr>
                <w:noProof/>
                <w:webHidden/>
              </w:rPr>
              <w:fldChar w:fldCharType="end"/>
            </w:r>
          </w:hyperlink>
        </w:p>
        <w:p w14:paraId="2483CF65" w14:textId="77777777" w:rsidR="00CA790E" w:rsidRDefault="009856B4">
          <w:pPr>
            <w:pStyle w:val="Spistreci2"/>
            <w:tabs>
              <w:tab w:val="left" w:pos="880"/>
              <w:tab w:val="right" w:leader="dot" w:pos="9062"/>
            </w:tabs>
            <w:rPr>
              <w:noProof/>
            </w:rPr>
          </w:pPr>
          <w:hyperlink w:anchor="_Toc48555138" w:history="1">
            <w:r w:rsidR="00CA790E" w:rsidRPr="002D0EE4">
              <w:rPr>
                <w:rStyle w:val="Hipercze"/>
                <w:rFonts w:ascii="Arial" w:hAnsi="Arial" w:cs="Arial"/>
                <w:i/>
                <w:noProof/>
              </w:rPr>
              <w:t>3.5</w:t>
            </w:r>
            <w:r w:rsidR="00CA790E">
              <w:rPr>
                <w:noProof/>
              </w:rPr>
              <w:tab/>
            </w:r>
            <w:r w:rsidR="00CA790E" w:rsidRPr="002D0EE4">
              <w:rPr>
                <w:rStyle w:val="Hipercze"/>
                <w:rFonts w:ascii="Arial" w:hAnsi="Arial" w:cs="Arial"/>
                <w:i/>
                <w:noProof/>
              </w:rPr>
              <w:t>Zamówienia udzielane w projektach</w:t>
            </w:r>
            <w:r w:rsidR="00CA790E">
              <w:rPr>
                <w:noProof/>
                <w:webHidden/>
              </w:rPr>
              <w:tab/>
            </w:r>
            <w:r w:rsidR="00CA790E">
              <w:rPr>
                <w:noProof/>
                <w:webHidden/>
              </w:rPr>
              <w:fldChar w:fldCharType="begin"/>
            </w:r>
            <w:r w:rsidR="00CA790E">
              <w:rPr>
                <w:noProof/>
                <w:webHidden/>
              </w:rPr>
              <w:instrText xml:space="preserve"> PAGEREF _Toc48555138 \h </w:instrText>
            </w:r>
            <w:r w:rsidR="00CA790E">
              <w:rPr>
                <w:noProof/>
                <w:webHidden/>
              </w:rPr>
            </w:r>
            <w:r w:rsidR="00CA790E">
              <w:rPr>
                <w:noProof/>
                <w:webHidden/>
              </w:rPr>
              <w:fldChar w:fldCharType="separate"/>
            </w:r>
            <w:r w:rsidR="00CA790E">
              <w:rPr>
                <w:noProof/>
                <w:webHidden/>
              </w:rPr>
              <w:t>21</w:t>
            </w:r>
            <w:r w:rsidR="00CA790E">
              <w:rPr>
                <w:noProof/>
                <w:webHidden/>
              </w:rPr>
              <w:fldChar w:fldCharType="end"/>
            </w:r>
          </w:hyperlink>
        </w:p>
        <w:p w14:paraId="6FB81740" w14:textId="77777777" w:rsidR="00CA790E" w:rsidRDefault="009856B4">
          <w:pPr>
            <w:pStyle w:val="Spistreci2"/>
            <w:tabs>
              <w:tab w:val="left" w:pos="880"/>
              <w:tab w:val="right" w:leader="dot" w:pos="9062"/>
            </w:tabs>
            <w:rPr>
              <w:noProof/>
            </w:rPr>
          </w:pPr>
          <w:hyperlink w:anchor="_Toc48555139" w:history="1">
            <w:r w:rsidR="00CA790E" w:rsidRPr="002D0EE4">
              <w:rPr>
                <w:rStyle w:val="Hipercze"/>
                <w:rFonts w:ascii="Arial" w:hAnsi="Arial" w:cs="Arial"/>
                <w:i/>
                <w:noProof/>
              </w:rPr>
              <w:t>3.6</w:t>
            </w:r>
            <w:r w:rsidR="00CA790E">
              <w:rPr>
                <w:noProof/>
              </w:rPr>
              <w:tab/>
            </w:r>
            <w:r w:rsidR="00CA790E" w:rsidRPr="002D0EE4">
              <w:rPr>
                <w:rStyle w:val="Hipercze"/>
                <w:rFonts w:ascii="Arial" w:hAnsi="Arial" w:cs="Arial"/>
                <w:i/>
                <w:noProof/>
              </w:rPr>
              <w:t>Wkład niepieniężny</w:t>
            </w:r>
            <w:r w:rsidR="00CA790E">
              <w:rPr>
                <w:noProof/>
                <w:webHidden/>
              </w:rPr>
              <w:tab/>
            </w:r>
            <w:r w:rsidR="00CA790E">
              <w:rPr>
                <w:noProof/>
                <w:webHidden/>
              </w:rPr>
              <w:fldChar w:fldCharType="begin"/>
            </w:r>
            <w:r w:rsidR="00CA790E">
              <w:rPr>
                <w:noProof/>
                <w:webHidden/>
              </w:rPr>
              <w:instrText xml:space="preserve"> PAGEREF _Toc48555139 \h </w:instrText>
            </w:r>
            <w:r w:rsidR="00CA790E">
              <w:rPr>
                <w:noProof/>
                <w:webHidden/>
              </w:rPr>
            </w:r>
            <w:r w:rsidR="00CA790E">
              <w:rPr>
                <w:noProof/>
                <w:webHidden/>
              </w:rPr>
              <w:fldChar w:fldCharType="separate"/>
            </w:r>
            <w:r w:rsidR="00CA790E">
              <w:rPr>
                <w:noProof/>
                <w:webHidden/>
              </w:rPr>
              <w:t>21</w:t>
            </w:r>
            <w:r w:rsidR="00CA790E">
              <w:rPr>
                <w:noProof/>
                <w:webHidden/>
              </w:rPr>
              <w:fldChar w:fldCharType="end"/>
            </w:r>
          </w:hyperlink>
        </w:p>
        <w:p w14:paraId="0460EFFC" w14:textId="77777777" w:rsidR="00CA790E" w:rsidRDefault="009856B4">
          <w:pPr>
            <w:pStyle w:val="Spistreci2"/>
            <w:tabs>
              <w:tab w:val="left" w:pos="880"/>
              <w:tab w:val="right" w:leader="dot" w:pos="9062"/>
            </w:tabs>
            <w:rPr>
              <w:noProof/>
            </w:rPr>
          </w:pPr>
          <w:hyperlink w:anchor="_Toc48555140" w:history="1">
            <w:r w:rsidR="00CA790E" w:rsidRPr="002D0EE4">
              <w:rPr>
                <w:rStyle w:val="Hipercze"/>
                <w:rFonts w:ascii="Arial" w:hAnsi="Arial" w:cs="Arial"/>
                <w:i/>
                <w:noProof/>
              </w:rPr>
              <w:t>3.7</w:t>
            </w:r>
            <w:r w:rsidR="00CA790E">
              <w:rPr>
                <w:noProof/>
              </w:rPr>
              <w:tab/>
            </w:r>
            <w:r w:rsidR="00CA790E" w:rsidRPr="002D0EE4">
              <w:rPr>
                <w:rStyle w:val="Hipercze"/>
                <w:rFonts w:ascii="Arial" w:hAnsi="Arial" w:cs="Arial"/>
                <w:i/>
                <w:noProof/>
              </w:rPr>
              <w:t>Leasing</w:t>
            </w:r>
            <w:r w:rsidR="00CA790E">
              <w:rPr>
                <w:noProof/>
                <w:webHidden/>
              </w:rPr>
              <w:tab/>
            </w:r>
            <w:r w:rsidR="00CA790E">
              <w:rPr>
                <w:noProof/>
                <w:webHidden/>
              </w:rPr>
              <w:fldChar w:fldCharType="begin"/>
            </w:r>
            <w:r w:rsidR="00CA790E">
              <w:rPr>
                <w:noProof/>
                <w:webHidden/>
              </w:rPr>
              <w:instrText xml:space="preserve"> PAGEREF _Toc48555140 \h </w:instrText>
            </w:r>
            <w:r w:rsidR="00CA790E">
              <w:rPr>
                <w:noProof/>
                <w:webHidden/>
              </w:rPr>
            </w:r>
            <w:r w:rsidR="00CA790E">
              <w:rPr>
                <w:noProof/>
                <w:webHidden/>
              </w:rPr>
              <w:fldChar w:fldCharType="separate"/>
            </w:r>
            <w:r w:rsidR="00CA790E">
              <w:rPr>
                <w:noProof/>
                <w:webHidden/>
              </w:rPr>
              <w:t>22</w:t>
            </w:r>
            <w:r w:rsidR="00CA790E">
              <w:rPr>
                <w:noProof/>
                <w:webHidden/>
              </w:rPr>
              <w:fldChar w:fldCharType="end"/>
            </w:r>
          </w:hyperlink>
        </w:p>
        <w:p w14:paraId="15E3423C" w14:textId="77777777" w:rsidR="00CA790E" w:rsidRDefault="009856B4">
          <w:pPr>
            <w:pStyle w:val="Spistreci2"/>
            <w:tabs>
              <w:tab w:val="left" w:pos="880"/>
              <w:tab w:val="right" w:leader="dot" w:pos="9062"/>
            </w:tabs>
            <w:rPr>
              <w:noProof/>
            </w:rPr>
          </w:pPr>
          <w:hyperlink w:anchor="_Toc48555141" w:history="1">
            <w:r w:rsidR="00CA790E" w:rsidRPr="002D0EE4">
              <w:rPr>
                <w:rStyle w:val="Hipercze"/>
                <w:rFonts w:ascii="Arial" w:hAnsi="Arial" w:cs="Arial"/>
                <w:i/>
                <w:noProof/>
              </w:rPr>
              <w:t>3.8</w:t>
            </w:r>
            <w:r w:rsidR="00CA790E">
              <w:rPr>
                <w:noProof/>
              </w:rPr>
              <w:tab/>
            </w:r>
            <w:r w:rsidR="00CA790E" w:rsidRPr="002D0EE4">
              <w:rPr>
                <w:rStyle w:val="Hipercze"/>
                <w:rFonts w:ascii="Arial" w:hAnsi="Arial" w:cs="Arial"/>
                <w:i/>
                <w:noProof/>
              </w:rPr>
              <w:t>Projekty generujące dochód po zakończeniu realizacji projektów</w:t>
            </w:r>
            <w:r w:rsidR="00CA790E">
              <w:rPr>
                <w:noProof/>
                <w:webHidden/>
              </w:rPr>
              <w:tab/>
            </w:r>
            <w:r w:rsidR="00CA790E">
              <w:rPr>
                <w:noProof/>
                <w:webHidden/>
              </w:rPr>
              <w:fldChar w:fldCharType="begin"/>
            </w:r>
            <w:r w:rsidR="00CA790E">
              <w:rPr>
                <w:noProof/>
                <w:webHidden/>
              </w:rPr>
              <w:instrText xml:space="preserve"> PAGEREF _Toc48555141 \h </w:instrText>
            </w:r>
            <w:r w:rsidR="00CA790E">
              <w:rPr>
                <w:noProof/>
                <w:webHidden/>
              </w:rPr>
            </w:r>
            <w:r w:rsidR="00CA790E">
              <w:rPr>
                <w:noProof/>
                <w:webHidden/>
              </w:rPr>
              <w:fldChar w:fldCharType="separate"/>
            </w:r>
            <w:r w:rsidR="00CA790E">
              <w:rPr>
                <w:noProof/>
                <w:webHidden/>
              </w:rPr>
              <w:t>22</w:t>
            </w:r>
            <w:r w:rsidR="00CA790E">
              <w:rPr>
                <w:noProof/>
                <w:webHidden/>
              </w:rPr>
              <w:fldChar w:fldCharType="end"/>
            </w:r>
          </w:hyperlink>
        </w:p>
        <w:p w14:paraId="4A70A74D" w14:textId="77777777" w:rsidR="00CA790E" w:rsidRDefault="009856B4">
          <w:pPr>
            <w:pStyle w:val="Spistreci2"/>
            <w:tabs>
              <w:tab w:val="left" w:pos="880"/>
              <w:tab w:val="right" w:leader="dot" w:pos="9062"/>
            </w:tabs>
            <w:rPr>
              <w:noProof/>
            </w:rPr>
          </w:pPr>
          <w:hyperlink w:anchor="_Toc48555142" w:history="1">
            <w:r w:rsidR="00CA790E" w:rsidRPr="002D0EE4">
              <w:rPr>
                <w:rStyle w:val="Hipercze"/>
                <w:rFonts w:ascii="Arial" w:hAnsi="Arial" w:cs="Arial"/>
                <w:i/>
                <w:noProof/>
              </w:rPr>
              <w:t>3.9</w:t>
            </w:r>
            <w:r w:rsidR="00CA790E">
              <w:rPr>
                <w:noProof/>
              </w:rPr>
              <w:tab/>
            </w:r>
            <w:r w:rsidR="00CA790E" w:rsidRPr="002D0EE4">
              <w:rPr>
                <w:rStyle w:val="Hipercze"/>
                <w:rFonts w:ascii="Arial" w:hAnsi="Arial" w:cs="Arial"/>
                <w:i/>
                <w:noProof/>
              </w:rPr>
              <w:t>Kwalifikowalność podatku VAT i innych podatków, opłat i obciążeń</w:t>
            </w:r>
            <w:r w:rsidR="00CA790E">
              <w:rPr>
                <w:noProof/>
                <w:webHidden/>
              </w:rPr>
              <w:tab/>
            </w:r>
            <w:r w:rsidR="00CA790E">
              <w:rPr>
                <w:noProof/>
                <w:webHidden/>
              </w:rPr>
              <w:fldChar w:fldCharType="begin"/>
            </w:r>
            <w:r w:rsidR="00CA790E">
              <w:rPr>
                <w:noProof/>
                <w:webHidden/>
              </w:rPr>
              <w:instrText xml:space="preserve"> PAGEREF _Toc48555142 \h </w:instrText>
            </w:r>
            <w:r w:rsidR="00CA790E">
              <w:rPr>
                <w:noProof/>
                <w:webHidden/>
              </w:rPr>
            </w:r>
            <w:r w:rsidR="00CA790E">
              <w:rPr>
                <w:noProof/>
                <w:webHidden/>
              </w:rPr>
              <w:fldChar w:fldCharType="separate"/>
            </w:r>
            <w:r w:rsidR="00CA790E">
              <w:rPr>
                <w:noProof/>
                <w:webHidden/>
              </w:rPr>
              <w:t>22</w:t>
            </w:r>
            <w:r w:rsidR="00CA790E">
              <w:rPr>
                <w:noProof/>
                <w:webHidden/>
              </w:rPr>
              <w:fldChar w:fldCharType="end"/>
            </w:r>
          </w:hyperlink>
        </w:p>
        <w:p w14:paraId="5ECF14F4" w14:textId="77777777" w:rsidR="00CA790E" w:rsidRDefault="009856B4">
          <w:pPr>
            <w:pStyle w:val="Spistreci2"/>
            <w:tabs>
              <w:tab w:val="left" w:pos="880"/>
              <w:tab w:val="right" w:leader="dot" w:pos="9062"/>
            </w:tabs>
            <w:rPr>
              <w:noProof/>
            </w:rPr>
          </w:pPr>
          <w:hyperlink w:anchor="_Toc48555143" w:history="1">
            <w:r w:rsidR="00CA790E" w:rsidRPr="002D0EE4">
              <w:rPr>
                <w:rStyle w:val="Hipercze"/>
                <w:rFonts w:ascii="Arial" w:hAnsi="Arial" w:cs="Arial"/>
                <w:i/>
                <w:noProof/>
              </w:rPr>
              <w:t>3.10</w:t>
            </w:r>
            <w:r w:rsidR="00CA790E">
              <w:rPr>
                <w:noProof/>
              </w:rPr>
              <w:tab/>
            </w:r>
            <w:r w:rsidR="00CA790E" w:rsidRPr="002D0EE4">
              <w:rPr>
                <w:rStyle w:val="Hipercze"/>
                <w:rFonts w:ascii="Arial" w:hAnsi="Arial" w:cs="Arial"/>
                <w:i/>
                <w:noProof/>
              </w:rPr>
              <w:t>Kwalifikowalność działań informacyjno-promocyjnych</w:t>
            </w:r>
            <w:r w:rsidR="00CA790E">
              <w:rPr>
                <w:noProof/>
                <w:webHidden/>
              </w:rPr>
              <w:tab/>
            </w:r>
            <w:r w:rsidR="00CA790E">
              <w:rPr>
                <w:noProof/>
                <w:webHidden/>
              </w:rPr>
              <w:fldChar w:fldCharType="begin"/>
            </w:r>
            <w:r w:rsidR="00CA790E">
              <w:rPr>
                <w:noProof/>
                <w:webHidden/>
              </w:rPr>
              <w:instrText xml:space="preserve"> PAGEREF _Toc48555143 \h </w:instrText>
            </w:r>
            <w:r w:rsidR="00CA790E">
              <w:rPr>
                <w:noProof/>
                <w:webHidden/>
              </w:rPr>
            </w:r>
            <w:r w:rsidR="00CA790E">
              <w:rPr>
                <w:noProof/>
                <w:webHidden/>
              </w:rPr>
              <w:fldChar w:fldCharType="separate"/>
            </w:r>
            <w:r w:rsidR="00CA790E">
              <w:rPr>
                <w:noProof/>
                <w:webHidden/>
              </w:rPr>
              <w:t>22</w:t>
            </w:r>
            <w:r w:rsidR="00CA790E">
              <w:rPr>
                <w:noProof/>
                <w:webHidden/>
              </w:rPr>
              <w:fldChar w:fldCharType="end"/>
            </w:r>
          </w:hyperlink>
        </w:p>
        <w:p w14:paraId="4963C8A1" w14:textId="77777777" w:rsidR="00CA790E" w:rsidRDefault="009856B4">
          <w:pPr>
            <w:pStyle w:val="Spistreci2"/>
            <w:tabs>
              <w:tab w:val="left" w:pos="880"/>
              <w:tab w:val="right" w:leader="dot" w:pos="9062"/>
            </w:tabs>
            <w:rPr>
              <w:noProof/>
            </w:rPr>
          </w:pPr>
          <w:hyperlink w:anchor="_Toc48555144" w:history="1">
            <w:r w:rsidR="00CA790E" w:rsidRPr="002D0EE4">
              <w:rPr>
                <w:rStyle w:val="Hipercze"/>
                <w:rFonts w:ascii="Arial" w:hAnsi="Arial" w:cs="Arial"/>
                <w:i/>
                <w:noProof/>
              </w:rPr>
              <w:t>3.11</w:t>
            </w:r>
            <w:r w:rsidR="00CA790E">
              <w:rPr>
                <w:noProof/>
              </w:rPr>
              <w:tab/>
            </w:r>
            <w:r w:rsidR="00CA790E" w:rsidRPr="002D0EE4">
              <w:rPr>
                <w:rStyle w:val="Hipercze"/>
                <w:rFonts w:ascii="Arial" w:hAnsi="Arial" w:cs="Arial"/>
                <w:i/>
                <w:noProof/>
              </w:rPr>
              <w:t>Koszty pośrednie</w:t>
            </w:r>
            <w:r w:rsidR="00CA790E">
              <w:rPr>
                <w:noProof/>
                <w:webHidden/>
              </w:rPr>
              <w:tab/>
            </w:r>
            <w:r w:rsidR="00CA790E">
              <w:rPr>
                <w:noProof/>
                <w:webHidden/>
              </w:rPr>
              <w:fldChar w:fldCharType="begin"/>
            </w:r>
            <w:r w:rsidR="00CA790E">
              <w:rPr>
                <w:noProof/>
                <w:webHidden/>
              </w:rPr>
              <w:instrText xml:space="preserve"> PAGEREF _Toc48555144 \h </w:instrText>
            </w:r>
            <w:r w:rsidR="00CA790E">
              <w:rPr>
                <w:noProof/>
                <w:webHidden/>
              </w:rPr>
            </w:r>
            <w:r w:rsidR="00CA790E">
              <w:rPr>
                <w:noProof/>
                <w:webHidden/>
              </w:rPr>
              <w:fldChar w:fldCharType="separate"/>
            </w:r>
            <w:r w:rsidR="00CA790E">
              <w:rPr>
                <w:noProof/>
                <w:webHidden/>
              </w:rPr>
              <w:t>23</w:t>
            </w:r>
            <w:r w:rsidR="00CA790E">
              <w:rPr>
                <w:noProof/>
                <w:webHidden/>
              </w:rPr>
              <w:fldChar w:fldCharType="end"/>
            </w:r>
          </w:hyperlink>
        </w:p>
        <w:p w14:paraId="1414A939" w14:textId="77777777" w:rsidR="00CA790E" w:rsidRDefault="009856B4">
          <w:pPr>
            <w:pStyle w:val="Spistreci2"/>
            <w:tabs>
              <w:tab w:val="left" w:pos="880"/>
              <w:tab w:val="right" w:leader="dot" w:pos="9062"/>
            </w:tabs>
            <w:rPr>
              <w:noProof/>
            </w:rPr>
          </w:pPr>
          <w:hyperlink w:anchor="_Toc48555145" w:history="1">
            <w:r w:rsidR="00CA790E" w:rsidRPr="002D0EE4">
              <w:rPr>
                <w:rStyle w:val="Hipercze"/>
                <w:rFonts w:ascii="Arial" w:hAnsi="Arial" w:cs="Arial"/>
                <w:i/>
                <w:noProof/>
              </w:rPr>
              <w:t>3.12</w:t>
            </w:r>
            <w:r w:rsidR="00CA790E">
              <w:rPr>
                <w:noProof/>
              </w:rPr>
              <w:tab/>
            </w:r>
            <w:r w:rsidR="00CA790E" w:rsidRPr="002D0EE4">
              <w:rPr>
                <w:rStyle w:val="Hipercze"/>
                <w:rFonts w:ascii="Arial" w:hAnsi="Arial" w:cs="Arial"/>
                <w:i/>
                <w:noProof/>
              </w:rPr>
              <w:t>Koszty związane z angażowaniem personelu projektu</w:t>
            </w:r>
            <w:r w:rsidR="00CA790E">
              <w:rPr>
                <w:noProof/>
                <w:webHidden/>
              </w:rPr>
              <w:tab/>
            </w:r>
            <w:r w:rsidR="00CA790E">
              <w:rPr>
                <w:noProof/>
                <w:webHidden/>
              </w:rPr>
              <w:fldChar w:fldCharType="begin"/>
            </w:r>
            <w:r w:rsidR="00CA790E">
              <w:rPr>
                <w:noProof/>
                <w:webHidden/>
              </w:rPr>
              <w:instrText xml:space="preserve"> PAGEREF _Toc48555145 \h </w:instrText>
            </w:r>
            <w:r w:rsidR="00CA790E">
              <w:rPr>
                <w:noProof/>
                <w:webHidden/>
              </w:rPr>
            </w:r>
            <w:r w:rsidR="00CA790E">
              <w:rPr>
                <w:noProof/>
                <w:webHidden/>
              </w:rPr>
              <w:fldChar w:fldCharType="separate"/>
            </w:r>
            <w:r w:rsidR="00CA790E">
              <w:rPr>
                <w:noProof/>
                <w:webHidden/>
              </w:rPr>
              <w:t>23</w:t>
            </w:r>
            <w:r w:rsidR="00CA790E">
              <w:rPr>
                <w:noProof/>
                <w:webHidden/>
              </w:rPr>
              <w:fldChar w:fldCharType="end"/>
            </w:r>
          </w:hyperlink>
        </w:p>
        <w:p w14:paraId="77ACB649" w14:textId="77777777" w:rsidR="00CA790E" w:rsidRDefault="009856B4">
          <w:pPr>
            <w:pStyle w:val="Spistreci2"/>
            <w:tabs>
              <w:tab w:val="left" w:pos="880"/>
              <w:tab w:val="right" w:leader="dot" w:pos="9062"/>
            </w:tabs>
            <w:rPr>
              <w:noProof/>
            </w:rPr>
          </w:pPr>
          <w:hyperlink w:anchor="_Toc48555146" w:history="1">
            <w:r w:rsidR="00CA790E" w:rsidRPr="002D0EE4">
              <w:rPr>
                <w:rStyle w:val="Hipercze"/>
                <w:rFonts w:ascii="Arial" w:hAnsi="Arial" w:cs="Arial"/>
                <w:i/>
                <w:noProof/>
              </w:rPr>
              <w:t>3.13</w:t>
            </w:r>
            <w:r w:rsidR="00CA790E">
              <w:rPr>
                <w:noProof/>
              </w:rPr>
              <w:tab/>
            </w:r>
            <w:r w:rsidR="00CA790E" w:rsidRPr="002D0EE4">
              <w:rPr>
                <w:rStyle w:val="Hipercze"/>
                <w:rFonts w:ascii="Arial" w:hAnsi="Arial" w:cs="Arial"/>
                <w:i/>
                <w:noProof/>
              </w:rPr>
              <w:t>Zmiany projektów</w:t>
            </w:r>
            <w:r w:rsidR="00CA790E">
              <w:rPr>
                <w:noProof/>
                <w:webHidden/>
              </w:rPr>
              <w:tab/>
            </w:r>
            <w:r w:rsidR="00CA790E">
              <w:rPr>
                <w:noProof/>
                <w:webHidden/>
              </w:rPr>
              <w:fldChar w:fldCharType="begin"/>
            </w:r>
            <w:r w:rsidR="00CA790E">
              <w:rPr>
                <w:noProof/>
                <w:webHidden/>
              </w:rPr>
              <w:instrText xml:space="preserve"> PAGEREF _Toc48555146 \h </w:instrText>
            </w:r>
            <w:r w:rsidR="00CA790E">
              <w:rPr>
                <w:noProof/>
                <w:webHidden/>
              </w:rPr>
            </w:r>
            <w:r w:rsidR="00CA790E">
              <w:rPr>
                <w:noProof/>
                <w:webHidden/>
              </w:rPr>
              <w:fldChar w:fldCharType="separate"/>
            </w:r>
            <w:r w:rsidR="00CA790E">
              <w:rPr>
                <w:noProof/>
                <w:webHidden/>
              </w:rPr>
              <w:t>23</w:t>
            </w:r>
            <w:r w:rsidR="00CA790E">
              <w:rPr>
                <w:noProof/>
                <w:webHidden/>
              </w:rPr>
              <w:fldChar w:fldCharType="end"/>
            </w:r>
          </w:hyperlink>
        </w:p>
        <w:p w14:paraId="37DA12C5" w14:textId="77777777" w:rsidR="00CA790E" w:rsidRDefault="009856B4">
          <w:pPr>
            <w:pStyle w:val="Spistreci2"/>
            <w:tabs>
              <w:tab w:val="left" w:pos="880"/>
              <w:tab w:val="right" w:leader="dot" w:pos="9062"/>
            </w:tabs>
            <w:rPr>
              <w:noProof/>
            </w:rPr>
          </w:pPr>
          <w:hyperlink w:anchor="_Toc48555147" w:history="1">
            <w:r w:rsidR="00CA790E" w:rsidRPr="002D0EE4">
              <w:rPr>
                <w:rStyle w:val="Hipercze"/>
                <w:rFonts w:ascii="Arial" w:hAnsi="Arial" w:cs="Arial"/>
                <w:i/>
                <w:noProof/>
              </w:rPr>
              <w:t>3.14</w:t>
            </w:r>
            <w:r w:rsidR="00CA790E">
              <w:rPr>
                <w:noProof/>
              </w:rPr>
              <w:tab/>
            </w:r>
            <w:r w:rsidR="00CA790E" w:rsidRPr="002D0EE4">
              <w:rPr>
                <w:rStyle w:val="Hipercze"/>
                <w:rFonts w:ascii="Arial" w:hAnsi="Arial" w:cs="Arial"/>
                <w:i/>
                <w:noProof/>
              </w:rPr>
              <w:t>Podmiot dokonujący wydatków kwalifikowalnych</w:t>
            </w:r>
            <w:r w:rsidR="00CA790E">
              <w:rPr>
                <w:noProof/>
                <w:webHidden/>
              </w:rPr>
              <w:tab/>
            </w:r>
            <w:r w:rsidR="00CA790E">
              <w:rPr>
                <w:noProof/>
                <w:webHidden/>
              </w:rPr>
              <w:fldChar w:fldCharType="begin"/>
            </w:r>
            <w:r w:rsidR="00CA790E">
              <w:rPr>
                <w:noProof/>
                <w:webHidden/>
              </w:rPr>
              <w:instrText xml:space="preserve"> PAGEREF _Toc48555147 \h </w:instrText>
            </w:r>
            <w:r w:rsidR="00CA790E">
              <w:rPr>
                <w:noProof/>
                <w:webHidden/>
              </w:rPr>
            </w:r>
            <w:r w:rsidR="00CA790E">
              <w:rPr>
                <w:noProof/>
                <w:webHidden/>
              </w:rPr>
              <w:fldChar w:fldCharType="separate"/>
            </w:r>
            <w:r w:rsidR="00CA790E">
              <w:rPr>
                <w:noProof/>
                <w:webHidden/>
              </w:rPr>
              <w:t>24</w:t>
            </w:r>
            <w:r w:rsidR="00CA790E">
              <w:rPr>
                <w:noProof/>
                <w:webHidden/>
              </w:rPr>
              <w:fldChar w:fldCharType="end"/>
            </w:r>
          </w:hyperlink>
        </w:p>
        <w:p w14:paraId="440ED9F8" w14:textId="77777777" w:rsidR="00CA790E" w:rsidRDefault="009856B4">
          <w:pPr>
            <w:pStyle w:val="Spistreci2"/>
            <w:tabs>
              <w:tab w:val="left" w:pos="880"/>
              <w:tab w:val="right" w:leader="dot" w:pos="9062"/>
            </w:tabs>
            <w:rPr>
              <w:noProof/>
            </w:rPr>
          </w:pPr>
          <w:hyperlink w:anchor="_Toc48555148" w:history="1">
            <w:r w:rsidR="00CA790E" w:rsidRPr="002D0EE4">
              <w:rPr>
                <w:rStyle w:val="Hipercze"/>
                <w:rFonts w:ascii="Arial" w:hAnsi="Arial" w:cs="Arial"/>
                <w:i/>
                <w:noProof/>
              </w:rPr>
              <w:t>3.15</w:t>
            </w:r>
            <w:r w:rsidR="00CA790E">
              <w:rPr>
                <w:noProof/>
              </w:rPr>
              <w:tab/>
            </w:r>
            <w:r w:rsidR="00CA790E" w:rsidRPr="002D0EE4">
              <w:rPr>
                <w:rStyle w:val="Hipercze"/>
                <w:rFonts w:ascii="Arial" w:hAnsi="Arial" w:cs="Arial"/>
                <w:i/>
                <w:noProof/>
              </w:rPr>
              <w:t>Podmiot, na rzecz którego ponoszone są wydatki kwalifikowalne</w:t>
            </w:r>
            <w:r w:rsidR="00CA790E">
              <w:rPr>
                <w:noProof/>
                <w:webHidden/>
              </w:rPr>
              <w:tab/>
            </w:r>
            <w:r w:rsidR="00CA790E">
              <w:rPr>
                <w:noProof/>
                <w:webHidden/>
              </w:rPr>
              <w:fldChar w:fldCharType="begin"/>
            </w:r>
            <w:r w:rsidR="00CA790E">
              <w:rPr>
                <w:noProof/>
                <w:webHidden/>
              </w:rPr>
              <w:instrText xml:space="preserve"> PAGEREF _Toc48555148 \h </w:instrText>
            </w:r>
            <w:r w:rsidR="00CA790E">
              <w:rPr>
                <w:noProof/>
                <w:webHidden/>
              </w:rPr>
            </w:r>
            <w:r w:rsidR="00CA790E">
              <w:rPr>
                <w:noProof/>
                <w:webHidden/>
              </w:rPr>
              <w:fldChar w:fldCharType="separate"/>
            </w:r>
            <w:r w:rsidR="00CA790E">
              <w:rPr>
                <w:noProof/>
                <w:webHidden/>
              </w:rPr>
              <w:t>25</w:t>
            </w:r>
            <w:r w:rsidR="00CA790E">
              <w:rPr>
                <w:noProof/>
                <w:webHidden/>
              </w:rPr>
              <w:fldChar w:fldCharType="end"/>
            </w:r>
          </w:hyperlink>
        </w:p>
        <w:p w14:paraId="08CCE719" w14:textId="77777777" w:rsidR="00CA790E" w:rsidRDefault="009856B4">
          <w:pPr>
            <w:pStyle w:val="Spistreci2"/>
            <w:tabs>
              <w:tab w:val="left" w:pos="880"/>
              <w:tab w:val="right" w:leader="dot" w:pos="9062"/>
            </w:tabs>
            <w:rPr>
              <w:noProof/>
            </w:rPr>
          </w:pPr>
          <w:hyperlink w:anchor="_Toc48555149" w:history="1">
            <w:r w:rsidR="00CA790E" w:rsidRPr="002D0EE4">
              <w:rPr>
                <w:rStyle w:val="Hipercze"/>
                <w:rFonts w:ascii="Arial" w:hAnsi="Arial" w:cs="Arial"/>
                <w:i/>
                <w:noProof/>
              </w:rPr>
              <w:t>3.16</w:t>
            </w:r>
            <w:r w:rsidR="00CA790E">
              <w:rPr>
                <w:noProof/>
              </w:rPr>
              <w:tab/>
            </w:r>
            <w:r w:rsidR="00CA790E" w:rsidRPr="002D0EE4">
              <w:rPr>
                <w:rStyle w:val="Hipercze"/>
                <w:rFonts w:ascii="Arial" w:hAnsi="Arial" w:cs="Arial"/>
                <w:i/>
                <w:noProof/>
              </w:rPr>
              <w:t>Projekty grantowe</w:t>
            </w:r>
            <w:r w:rsidR="00CA790E">
              <w:rPr>
                <w:noProof/>
                <w:webHidden/>
              </w:rPr>
              <w:tab/>
            </w:r>
            <w:r w:rsidR="00CA790E">
              <w:rPr>
                <w:noProof/>
                <w:webHidden/>
              </w:rPr>
              <w:fldChar w:fldCharType="begin"/>
            </w:r>
            <w:r w:rsidR="00CA790E">
              <w:rPr>
                <w:noProof/>
                <w:webHidden/>
              </w:rPr>
              <w:instrText xml:space="preserve"> PAGEREF _Toc48555149 \h </w:instrText>
            </w:r>
            <w:r w:rsidR="00CA790E">
              <w:rPr>
                <w:noProof/>
                <w:webHidden/>
              </w:rPr>
            </w:r>
            <w:r w:rsidR="00CA790E">
              <w:rPr>
                <w:noProof/>
                <w:webHidden/>
              </w:rPr>
              <w:fldChar w:fldCharType="separate"/>
            </w:r>
            <w:r w:rsidR="00CA790E">
              <w:rPr>
                <w:noProof/>
                <w:webHidden/>
              </w:rPr>
              <w:t>26</w:t>
            </w:r>
            <w:r w:rsidR="00CA790E">
              <w:rPr>
                <w:noProof/>
                <w:webHidden/>
              </w:rPr>
              <w:fldChar w:fldCharType="end"/>
            </w:r>
          </w:hyperlink>
        </w:p>
        <w:p w14:paraId="37CA620E" w14:textId="77777777" w:rsidR="00CA790E" w:rsidRDefault="009856B4">
          <w:pPr>
            <w:pStyle w:val="Spistreci1"/>
            <w:rPr>
              <w:rFonts w:asciiTheme="minorHAnsi" w:hAnsiTheme="minorHAnsi" w:cstheme="minorBidi"/>
              <w:b w:val="0"/>
            </w:rPr>
          </w:pPr>
          <w:hyperlink w:anchor="_Toc48555150" w:history="1">
            <w:r w:rsidR="00CA790E" w:rsidRPr="002D0EE4">
              <w:rPr>
                <w:rStyle w:val="Hipercze"/>
                <w:rFonts w:eastAsia="MS Mincho"/>
                <w:lang w:eastAsia="ja-JP"/>
              </w:rPr>
              <w:t>4.</w:t>
            </w:r>
            <w:r w:rsidR="00CA790E">
              <w:rPr>
                <w:rFonts w:asciiTheme="minorHAnsi" w:hAnsiTheme="minorHAnsi" w:cstheme="minorBidi"/>
                <w:b w:val="0"/>
              </w:rPr>
              <w:tab/>
            </w:r>
            <w:r w:rsidR="00CA790E" w:rsidRPr="002D0EE4">
              <w:rPr>
                <w:rStyle w:val="Hipercze"/>
              </w:rPr>
              <w:t xml:space="preserve">Rozdział - Oś priorytetowa III. </w:t>
            </w:r>
            <w:r w:rsidR="00CA790E" w:rsidRPr="002D0EE4">
              <w:rPr>
                <w:rStyle w:val="Hipercze"/>
                <w:i/>
              </w:rPr>
              <w:t>Cyfrowe kompetencje społeczeństwa</w:t>
            </w:r>
            <w:r w:rsidR="00CA790E" w:rsidRPr="002D0EE4">
              <w:rPr>
                <w:rStyle w:val="Hipercze"/>
              </w:rPr>
              <w:t xml:space="preserve"> - szczegółowe zasady kwalifikowalności wydatków w ramach EFRR</w:t>
            </w:r>
            <w:r w:rsidR="00CA790E">
              <w:rPr>
                <w:webHidden/>
              </w:rPr>
              <w:tab/>
            </w:r>
            <w:r w:rsidR="00CA790E">
              <w:rPr>
                <w:webHidden/>
              </w:rPr>
              <w:fldChar w:fldCharType="begin"/>
            </w:r>
            <w:r w:rsidR="00CA790E">
              <w:rPr>
                <w:webHidden/>
              </w:rPr>
              <w:instrText xml:space="preserve"> PAGEREF _Toc48555150 \h </w:instrText>
            </w:r>
            <w:r w:rsidR="00CA790E">
              <w:rPr>
                <w:webHidden/>
              </w:rPr>
            </w:r>
            <w:r w:rsidR="00CA790E">
              <w:rPr>
                <w:webHidden/>
              </w:rPr>
              <w:fldChar w:fldCharType="separate"/>
            </w:r>
            <w:r w:rsidR="00CA790E">
              <w:rPr>
                <w:webHidden/>
              </w:rPr>
              <w:t>27</w:t>
            </w:r>
            <w:r w:rsidR="00CA790E">
              <w:rPr>
                <w:webHidden/>
              </w:rPr>
              <w:fldChar w:fldCharType="end"/>
            </w:r>
          </w:hyperlink>
        </w:p>
        <w:p w14:paraId="6A2080DC" w14:textId="77777777" w:rsidR="00CA790E" w:rsidRDefault="009856B4">
          <w:pPr>
            <w:pStyle w:val="Spistreci2"/>
            <w:tabs>
              <w:tab w:val="left" w:pos="880"/>
              <w:tab w:val="right" w:leader="dot" w:pos="9062"/>
            </w:tabs>
            <w:rPr>
              <w:noProof/>
            </w:rPr>
          </w:pPr>
          <w:hyperlink w:anchor="_Toc48555151" w:history="1">
            <w:r w:rsidR="00CA790E" w:rsidRPr="002D0EE4">
              <w:rPr>
                <w:rStyle w:val="Hipercze"/>
                <w:rFonts w:ascii="Arial" w:hAnsi="Arial" w:cs="Arial"/>
                <w:i/>
                <w:noProof/>
              </w:rPr>
              <w:t>4.1</w:t>
            </w:r>
            <w:r w:rsidR="00CA790E">
              <w:rPr>
                <w:noProof/>
              </w:rPr>
              <w:tab/>
            </w:r>
            <w:r w:rsidR="00CA790E" w:rsidRPr="002D0EE4">
              <w:rPr>
                <w:rStyle w:val="Hipercze"/>
                <w:rFonts w:ascii="Arial" w:hAnsi="Arial" w:cs="Arial"/>
                <w:i/>
                <w:noProof/>
              </w:rPr>
              <w:t>Katalog wydatków kwalifikowalnych w ramach Działania 3.1  Działania szkoleniowe na rzecz rozwoju kompetencji cyfrowych dla naboru nr POPC.03.01.00-IP.01-00-001/15</w:t>
            </w:r>
            <w:r w:rsidR="00CA790E">
              <w:rPr>
                <w:noProof/>
                <w:webHidden/>
              </w:rPr>
              <w:tab/>
            </w:r>
            <w:r w:rsidR="00CA790E">
              <w:rPr>
                <w:noProof/>
                <w:webHidden/>
              </w:rPr>
              <w:fldChar w:fldCharType="begin"/>
            </w:r>
            <w:r w:rsidR="00CA790E">
              <w:rPr>
                <w:noProof/>
                <w:webHidden/>
              </w:rPr>
              <w:instrText xml:space="preserve"> PAGEREF _Toc48555151 \h </w:instrText>
            </w:r>
            <w:r w:rsidR="00CA790E">
              <w:rPr>
                <w:noProof/>
                <w:webHidden/>
              </w:rPr>
            </w:r>
            <w:r w:rsidR="00CA790E">
              <w:rPr>
                <w:noProof/>
                <w:webHidden/>
              </w:rPr>
              <w:fldChar w:fldCharType="separate"/>
            </w:r>
            <w:r w:rsidR="00CA790E">
              <w:rPr>
                <w:noProof/>
                <w:webHidden/>
              </w:rPr>
              <w:t>27</w:t>
            </w:r>
            <w:r w:rsidR="00CA790E">
              <w:rPr>
                <w:noProof/>
                <w:webHidden/>
              </w:rPr>
              <w:fldChar w:fldCharType="end"/>
            </w:r>
          </w:hyperlink>
        </w:p>
        <w:p w14:paraId="7BFC6696" w14:textId="77777777" w:rsidR="00CA790E" w:rsidRDefault="009856B4">
          <w:pPr>
            <w:pStyle w:val="Spistreci3"/>
            <w:tabs>
              <w:tab w:val="left" w:pos="1320"/>
              <w:tab w:val="right" w:leader="dot" w:pos="9062"/>
            </w:tabs>
            <w:rPr>
              <w:noProof/>
            </w:rPr>
          </w:pPr>
          <w:hyperlink w:anchor="_Toc48555152" w:history="1">
            <w:r w:rsidR="00CA790E" w:rsidRPr="002D0EE4">
              <w:rPr>
                <w:rStyle w:val="Hipercze"/>
                <w:rFonts w:ascii="Arial" w:hAnsi="Arial" w:cs="Arial"/>
                <w:i/>
                <w:noProof/>
              </w:rPr>
              <w:t>4.1.1</w:t>
            </w:r>
            <w:r w:rsidR="00CA790E">
              <w:rPr>
                <w:noProof/>
              </w:rPr>
              <w:tab/>
            </w:r>
            <w:r w:rsidR="00CA790E" w:rsidRPr="002D0EE4">
              <w:rPr>
                <w:rStyle w:val="Hipercze"/>
                <w:rFonts w:ascii="Arial" w:hAnsi="Arial" w:cs="Arial"/>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_Toc48555152 \h </w:instrText>
            </w:r>
            <w:r w:rsidR="00CA790E">
              <w:rPr>
                <w:noProof/>
                <w:webHidden/>
              </w:rPr>
            </w:r>
            <w:r w:rsidR="00CA790E">
              <w:rPr>
                <w:noProof/>
                <w:webHidden/>
              </w:rPr>
              <w:fldChar w:fldCharType="separate"/>
            </w:r>
            <w:r w:rsidR="00CA790E">
              <w:rPr>
                <w:noProof/>
                <w:webHidden/>
              </w:rPr>
              <w:t>27</w:t>
            </w:r>
            <w:r w:rsidR="00CA790E">
              <w:rPr>
                <w:noProof/>
                <w:webHidden/>
              </w:rPr>
              <w:fldChar w:fldCharType="end"/>
            </w:r>
          </w:hyperlink>
        </w:p>
        <w:p w14:paraId="1CF89390" w14:textId="77777777" w:rsidR="00CA790E" w:rsidRDefault="009856B4">
          <w:pPr>
            <w:pStyle w:val="Spistreci3"/>
            <w:tabs>
              <w:tab w:val="left" w:pos="1320"/>
              <w:tab w:val="right" w:leader="dot" w:pos="9062"/>
            </w:tabs>
            <w:rPr>
              <w:noProof/>
            </w:rPr>
          </w:pPr>
          <w:hyperlink w:anchor="_Toc48555153" w:history="1">
            <w:r w:rsidR="00CA790E" w:rsidRPr="002D0EE4">
              <w:rPr>
                <w:rStyle w:val="Hipercze"/>
                <w:rFonts w:ascii="Arial" w:hAnsi="Arial" w:cs="Arial"/>
                <w:i/>
                <w:noProof/>
              </w:rPr>
              <w:t>4.1.2</w:t>
            </w:r>
            <w:r w:rsidR="00CA790E">
              <w:rPr>
                <w:noProof/>
              </w:rPr>
              <w:tab/>
            </w:r>
            <w:r w:rsidR="00CA790E" w:rsidRPr="002D0EE4">
              <w:rPr>
                <w:rStyle w:val="Hipercze"/>
                <w:rFonts w:ascii="Arial" w:hAnsi="Arial" w:cs="Arial"/>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_Toc48555153 \h </w:instrText>
            </w:r>
            <w:r w:rsidR="00CA790E">
              <w:rPr>
                <w:noProof/>
                <w:webHidden/>
              </w:rPr>
            </w:r>
            <w:r w:rsidR="00CA790E">
              <w:rPr>
                <w:noProof/>
                <w:webHidden/>
              </w:rPr>
              <w:fldChar w:fldCharType="separate"/>
            </w:r>
            <w:r w:rsidR="00CA790E">
              <w:rPr>
                <w:noProof/>
                <w:webHidden/>
              </w:rPr>
              <w:t>27</w:t>
            </w:r>
            <w:r w:rsidR="00CA790E">
              <w:rPr>
                <w:noProof/>
                <w:webHidden/>
              </w:rPr>
              <w:fldChar w:fldCharType="end"/>
            </w:r>
          </w:hyperlink>
        </w:p>
        <w:p w14:paraId="0741B396" w14:textId="77777777" w:rsidR="00CA790E" w:rsidRDefault="009856B4">
          <w:pPr>
            <w:pStyle w:val="Spistreci2"/>
            <w:tabs>
              <w:tab w:val="left" w:pos="880"/>
              <w:tab w:val="right" w:leader="dot" w:pos="9062"/>
            </w:tabs>
            <w:rPr>
              <w:noProof/>
            </w:rPr>
          </w:pPr>
          <w:hyperlink w:anchor="_Toc48555154" w:history="1">
            <w:r w:rsidR="00CA790E" w:rsidRPr="002D0EE4">
              <w:rPr>
                <w:rStyle w:val="Hipercze"/>
                <w:rFonts w:ascii="Arial" w:hAnsi="Arial" w:cs="Arial"/>
                <w:i/>
                <w:noProof/>
              </w:rPr>
              <w:t>4.2</w:t>
            </w:r>
            <w:r w:rsidR="00CA790E">
              <w:rPr>
                <w:noProof/>
              </w:rPr>
              <w:tab/>
            </w:r>
            <w:r w:rsidR="00CA790E" w:rsidRPr="002D0EE4">
              <w:rPr>
                <w:rStyle w:val="Hipercze"/>
                <w:rFonts w:ascii="Arial" w:hAnsi="Arial" w:cs="Arial"/>
                <w:i/>
                <w:noProof/>
              </w:rPr>
              <w:t>Katalog wydatków kwalifikowalnych w ramach Działania 3.1 Działania szkoleniowe na rzecz rozwoju kompetencji cyfrowych dla naboru nr POPC.03.01.00-IP.01-00-002/17</w:t>
            </w:r>
            <w:r w:rsidR="00CA790E">
              <w:rPr>
                <w:noProof/>
                <w:webHidden/>
              </w:rPr>
              <w:tab/>
            </w:r>
            <w:r w:rsidR="00CA790E">
              <w:rPr>
                <w:noProof/>
                <w:webHidden/>
              </w:rPr>
              <w:fldChar w:fldCharType="begin"/>
            </w:r>
            <w:r w:rsidR="00CA790E">
              <w:rPr>
                <w:noProof/>
                <w:webHidden/>
              </w:rPr>
              <w:instrText xml:space="preserve"> PAGEREF _Toc48555154 \h </w:instrText>
            </w:r>
            <w:r w:rsidR="00CA790E">
              <w:rPr>
                <w:noProof/>
                <w:webHidden/>
              </w:rPr>
            </w:r>
            <w:r w:rsidR="00CA790E">
              <w:rPr>
                <w:noProof/>
                <w:webHidden/>
              </w:rPr>
              <w:fldChar w:fldCharType="separate"/>
            </w:r>
            <w:r w:rsidR="00CA790E">
              <w:rPr>
                <w:noProof/>
                <w:webHidden/>
              </w:rPr>
              <w:t>32</w:t>
            </w:r>
            <w:r w:rsidR="00CA790E">
              <w:rPr>
                <w:noProof/>
                <w:webHidden/>
              </w:rPr>
              <w:fldChar w:fldCharType="end"/>
            </w:r>
          </w:hyperlink>
        </w:p>
        <w:p w14:paraId="7E9344C6" w14:textId="77777777" w:rsidR="00CA790E" w:rsidRDefault="009856B4">
          <w:pPr>
            <w:pStyle w:val="Spistreci3"/>
            <w:tabs>
              <w:tab w:val="left" w:pos="1320"/>
              <w:tab w:val="right" w:leader="dot" w:pos="9062"/>
            </w:tabs>
            <w:rPr>
              <w:noProof/>
            </w:rPr>
          </w:pPr>
          <w:hyperlink w:anchor="_Toc48555155" w:history="1">
            <w:r w:rsidR="00CA790E" w:rsidRPr="002D0EE4">
              <w:rPr>
                <w:rStyle w:val="Hipercze"/>
                <w:rFonts w:ascii="Arial" w:eastAsiaTheme="majorEastAsia" w:hAnsi="Arial" w:cs="Arial"/>
                <w:bCs/>
                <w:i/>
                <w:noProof/>
              </w:rPr>
              <w:t>4.2.1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_Toc48555155 \h </w:instrText>
            </w:r>
            <w:r w:rsidR="00CA790E">
              <w:rPr>
                <w:noProof/>
                <w:webHidden/>
              </w:rPr>
            </w:r>
            <w:r w:rsidR="00CA790E">
              <w:rPr>
                <w:noProof/>
                <w:webHidden/>
              </w:rPr>
              <w:fldChar w:fldCharType="separate"/>
            </w:r>
            <w:r w:rsidR="00CA790E">
              <w:rPr>
                <w:noProof/>
                <w:webHidden/>
              </w:rPr>
              <w:t>32</w:t>
            </w:r>
            <w:r w:rsidR="00CA790E">
              <w:rPr>
                <w:noProof/>
                <w:webHidden/>
              </w:rPr>
              <w:fldChar w:fldCharType="end"/>
            </w:r>
          </w:hyperlink>
        </w:p>
        <w:p w14:paraId="72C2647A" w14:textId="77777777" w:rsidR="00CA790E" w:rsidRDefault="009856B4">
          <w:pPr>
            <w:pStyle w:val="Spistreci3"/>
            <w:tabs>
              <w:tab w:val="left" w:pos="1320"/>
              <w:tab w:val="right" w:leader="dot" w:pos="9062"/>
            </w:tabs>
            <w:rPr>
              <w:noProof/>
            </w:rPr>
          </w:pPr>
          <w:hyperlink w:anchor="_Toc48555156" w:history="1">
            <w:r w:rsidR="00CA790E" w:rsidRPr="002D0EE4">
              <w:rPr>
                <w:rStyle w:val="Hipercze"/>
                <w:rFonts w:ascii="Arial" w:eastAsiaTheme="majorEastAsia" w:hAnsi="Arial" w:cs="Arial"/>
                <w:bCs/>
                <w:i/>
                <w:noProof/>
              </w:rPr>
              <w:t>4.2.2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_Toc48555156 \h </w:instrText>
            </w:r>
            <w:r w:rsidR="00CA790E">
              <w:rPr>
                <w:noProof/>
                <w:webHidden/>
              </w:rPr>
            </w:r>
            <w:r w:rsidR="00CA790E">
              <w:rPr>
                <w:noProof/>
                <w:webHidden/>
              </w:rPr>
              <w:fldChar w:fldCharType="separate"/>
            </w:r>
            <w:r w:rsidR="00CA790E">
              <w:rPr>
                <w:noProof/>
                <w:webHidden/>
              </w:rPr>
              <w:t>32</w:t>
            </w:r>
            <w:r w:rsidR="00CA790E">
              <w:rPr>
                <w:noProof/>
                <w:webHidden/>
              </w:rPr>
              <w:fldChar w:fldCharType="end"/>
            </w:r>
          </w:hyperlink>
        </w:p>
        <w:p w14:paraId="26958299" w14:textId="77777777" w:rsidR="00CA790E" w:rsidRDefault="009856B4">
          <w:pPr>
            <w:pStyle w:val="Spistreci2"/>
            <w:tabs>
              <w:tab w:val="left" w:pos="880"/>
              <w:tab w:val="right" w:leader="dot" w:pos="9062"/>
            </w:tabs>
            <w:rPr>
              <w:noProof/>
            </w:rPr>
          </w:pPr>
          <w:hyperlink w:anchor="_Toc48555157" w:history="1">
            <w:r w:rsidR="00CA790E" w:rsidRPr="002D0EE4">
              <w:rPr>
                <w:rStyle w:val="Hipercze"/>
                <w:rFonts w:ascii="Arial" w:eastAsiaTheme="majorEastAsia" w:hAnsi="Arial" w:cs="Arial"/>
                <w:b/>
                <w:bCs/>
                <w:i/>
                <w:noProof/>
              </w:rPr>
              <w:t>4.3</w:t>
            </w:r>
            <w:r w:rsidR="00CA790E">
              <w:rPr>
                <w:noProof/>
              </w:rPr>
              <w:tab/>
            </w:r>
            <w:r w:rsidR="00CA790E" w:rsidRPr="002D0EE4">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CA790E">
              <w:rPr>
                <w:noProof/>
                <w:webHidden/>
              </w:rPr>
              <w:tab/>
            </w:r>
            <w:r w:rsidR="00CA790E">
              <w:rPr>
                <w:noProof/>
                <w:webHidden/>
              </w:rPr>
              <w:fldChar w:fldCharType="begin"/>
            </w:r>
            <w:r w:rsidR="00CA790E">
              <w:rPr>
                <w:noProof/>
                <w:webHidden/>
              </w:rPr>
              <w:instrText xml:space="preserve"> PAGEREF _Toc48555157 \h </w:instrText>
            </w:r>
            <w:r w:rsidR="00CA790E">
              <w:rPr>
                <w:noProof/>
                <w:webHidden/>
              </w:rPr>
            </w:r>
            <w:r w:rsidR="00CA790E">
              <w:rPr>
                <w:noProof/>
                <w:webHidden/>
              </w:rPr>
              <w:fldChar w:fldCharType="separate"/>
            </w:r>
            <w:r w:rsidR="00CA790E">
              <w:rPr>
                <w:noProof/>
                <w:webHidden/>
              </w:rPr>
              <w:t>36</w:t>
            </w:r>
            <w:r w:rsidR="00CA790E">
              <w:rPr>
                <w:noProof/>
                <w:webHidden/>
              </w:rPr>
              <w:fldChar w:fldCharType="end"/>
            </w:r>
          </w:hyperlink>
        </w:p>
        <w:p w14:paraId="50BFFF2C" w14:textId="77777777" w:rsidR="00CA790E" w:rsidRDefault="009856B4">
          <w:pPr>
            <w:pStyle w:val="Spistreci3"/>
            <w:tabs>
              <w:tab w:val="left" w:pos="1320"/>
              <w:tab w:val="right" w:leader="dot" w:pos="9062"/>
            </w:tabs>
            <w:rPr>
              <w:noProof/>
            </w:rPr>
          </w:pPr>
          <w:hyperlink w:anchor="_Toc48555158" w:history="1">
            <w:r w:rsidR="00CA790E" w:rsidRPr="002D0EE4">
              <w:rPr>
                <w:rStyle w:val="Hipercze"/>
                <w:rFonts w:ascii="Arial" w:eastAsiaTheme="majorEastAsia" w:hAnsi="Arial" w:cs="Arial"/>
                <w:bCs/>
                <w:i/>
                <w:noProof/>
              </w:rPr>
              <w:t>4.3.1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_Toc48555158 \h </w:instrText>
            </w:r>
            <w:r w:rsidR="00CA790E">
              <w:rPr>
                <w:noProof/>
                <w:webHidden/>
              </w:rPr>
            </w:r>
            <w:r w:rsidR="00CA790E">
              <w:rPr>
                <w:noProof/>
                <w:webHidden/>
              </w:rPr>
              <w:fldChar w:fldCharType="separate"/>
            </w:r>
            <w:r w:rsidR="00CA790E">
              <w:rPr>
                <w:noProof/>
                <w:webHidden/>
              </w:rPr>
              <w:t>36</w:t>
            </w:r>
            <w:r w:rsidR="00CA790E">
              <w:rPr>
                <w:noProof/>
                <w:webHidden/>
              </w:rPr>
              <w:fldChar w:fldCharType="end"/>
            </w:r>
          </w:hyperlink>
        </w:p>
        <w:p w14:paraId="70AD21C9" w14:textId="77777777" w:rsidR="00CA790E" w:rsidRDefault="009856B4">
          <w:pPr>
            <w:pStyle w:val="Spistreci3"/>
            <w:tabs>
              <w:tab w:val="left" w:pos="1320"/>
              <w:tab w:val="right" w:leader="dot" w:pos="9062"/>
            </w:tabs>
            <w:rPr>
              <w:noProof/>
            </w:rPr>
          </w:pPr>
          <w:hyperlink w:anchor="_Toc48555159" w:history="1">
            <w:r w:rsidR="00CA790E" w:rsidRPr="002D0EE4">
              <w:rPr>
                <w:rStyle w:val="Hipercze"/>
                <w:rFonts w:ascii="Arial" w:eastAsiaTheme="majorEastAsia" w:hAnsi="Arial" w:cs="Arial"/>
                <w:bCs/>
                <w:i/>
                <w:noProof/>
              </w:rPr>
              <w:t>4.3.2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_Toc48555159 \h </w:instrText>
            </w:r>
            <w:r w:rsidR="00CA790E">
              <w:rPr>
                <w:noProof/>
                <w:webHidden/>
              </w:rPr>
            </w:r>
            <w:r w:rsidR="00CA790E">
              <w:rPr>
                <w:noProof/>
                <w:webHidden/>
              </w:rPr>
              <w:fldChar w:fldCharType="separate"/>
            </w:r>
            <w:r w:rsidR="00CA790E">
              <w:rPr>
                <w:noProof/>
                <w:webHidden/>
              </w:rPr>
              <w:t>36</w:t>
            </w:r>
            <w:r w:rsidR="00CA790E">
              <w:rPr>
                <w:noProof/>
                <w:webHidden/>
              </w:rPr>
              <w:fldChar w:fldCharType="end"/>
            </w:r>
          </w:hyperlink>
        </w:p>
        <w:p w14:paraId="3CF5FDF4" w14:textId="77777777" w:rsidR="00CA790E" w:rsidRDefault="009856B4">
          <w:pPr>
            <w:pStyle w:val="Spistreci2"/>
            <w:tabs>
              <w:tab w:val="left" w:pos="880"/>
              <w:tab w:val="right" w:leader="dot" w:pos="9062"/>
            </w:tabs>
            <w:rPr>
              <w:noProof/>
            </w:rPr>
          </w:pPr>
          <w:hyperlink w:anchor="_Toc48555160" w:history="1">
            <w:r w:rsidR="00CA790E" w:rsidRPr="002D0EE4">
              <w:rPr>
                <w:rStyle w:val="Hipercze"/>
                <w:rFonts w:ascii="Arial" w:eastAsiaTheme="majorEastAsia" w:hAnsi="Arial" w:cs="Arial"/>
                <w:b/>
                <w:bCs/>
                <w:i/>
                <w:noProof/>
              </w:rPr>
              <w:t>4.4</w:t>
            </w:r>
            <w:r w:rsidR="00CA790E">
              <w:rPr>
                <w:noProof/>
              </w:rPr>
              <w:tab/>
            </w:r>
            <w:r w:rsidR="00CA790E" w:rsidRPr="002D0EE4">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CA790E">
              <w:rPr>
                <w:noProof/>
                <w:webHidden/>
              </w:rPr>
              <w:tab/>
            </w:r>
            <w:r w:rsidR="00CA790E">
              <w:rPr>
                <w:noProof/>
                <w:webHidden/>
              </w:rPr>
              <w:fldChar w:fldCharType="begin"/>
            </w:r>
            <w:r w:rsidR="00CA790E">
              <w:rPr>
                <w:noProof/>
                <w:webHidden/>
              </w:rPr>
              <w:instrText xml:space="preserve"> PAGEREF _Toc48555160 \h </w:instrText>
            </w:r>
            <w:r w:rsidR="00CA790E">
              <w:rPr>
                <w:noProof/>
                <w:webHidden/>
              </w:rPr>
            </w:r>
            <w:r w:rsidR="00CA790E">
              <w:rPr>
                <w:noProof/>
                <w:webHidden/>
              </w:rPr>
              <w:fldChar w:fldCharType="separate"/>
            </w:r>
            <w:r w:rsidR="00CA790E">
              <w:rPr>
                <w:noProof/>
                <w:webHidden/>
              </w:rPr>
              <w:t>39</w:t>
            </w:r>
            <w:r w:rsidR="00CA790E">
              <w:rPr>
                <w:noProof/>
                <w:webHidden/>
              </w:rPr>
              <w:fldChar w:fldCharType="end"/>
            </w:r>
          </w:hyperlink>
        </w:p>
        <w:p w14:paraId="441C3CB4" w14:textId="77777777" w:rsidR="00CA790E" w:rsidRDefault="009856B4">
          <w:pPr>
            <w:pStyle w:val="Spistreci3"/>
            <w:tabs>
              <w:tab w:val="left" w:pos="1320"/>
              <w:tab w:val="right" w:leader="dot" w:pos="9062"/>
            </w:tabs>
            <w:rPr>
              <w:noProof/>
            </w:rPr>
          </w:pPr>
          <w:hyperlink w:anchor="_Toc48555161" w:history="1">
            <w:r w:rsidR="00CA790E" w:rsidRPr="002D0EE4">
              <w:rPr>
                <w:rStyle w:val="Hipercze"/>
                <w:rFonts w:ascii="Arial" w:eastAsiaTheme="majorEastAsia" w:hAnsi="Arial" w:cs="Arial"/>
                <w:bCs/>
                <w:i/>
                <w:noProof/>
              </w:rPr>
              <w:t>4.4.1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_Toc48555161 \h </w:instrText>
            </w:r>
            <w:r w:rsidR="00CA790E">
              <w:rPr>
                <w:noProof/>
                <w:webHidden/>
              </w:rPr>
            </w:r>
            <w:r w:rsidR="00CA790E">
              <w:rPr>
                <w:noProof/>
                <w:webHidden/>
              </w:rPr>
              <w:fldChar w:fldCharType="separate"/>
            </w:r>
            <w:r w:rsidR="00CA790E">
              <w:rPr>
                <w:noProof/>
                <w:webHidden/>
              </w:rPr>
              <w:t>39</w:t>
            </w:r>
            <w:r w:rsidR="00CA790E">
              <w:rPr>
                <w:noProof/>
                <w:webHidden/>
              </w:rPr>
              <w:fldChar w:fldCharType="end"/>
            </w:r>
          </w:hyperlink>
        </w:p>
        <w:p w14:paraId="0A518EAD" w14:textId="77777777" w:rsidR="00CA790E" w:rsidRDefault="009856B4">
          <w:pPr>
            <w:pStyle w:val="Spistreci3"/>
            <w:tabs>
              <w:tab w:val="left" w:pos="1320"/>
              <w:tab w:val="right" w:leader="dot" w:pos="9062"/>
            </w:tabs>
            <w:rPr>
              <w:noProof/>
            </w:rPr>
          </w:pPr>
          <w:hyperlink w:anchor="_Toc48555162" w:history="1">
            <w:r w:rsidR="00CA790E" w:rsidRPr="002D0EE4">
              <w:rPr>
                <w:rStyle w:val="Hipercze"/>
                <w:rFonts w:ascii="Arial" w:eastAsiaTheme="majorEastAsia" w:hAnsi="Arial" w:cs="Arial"/>
                <w:bCs/>
                <w:i/>
                <w:noProof/>
              </w:rPr>
              <w:t>4.4.2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_Toc48555162 \h </w:instrText>
            </w:r>
            <w:r w:rsidR="00CA790E">
              <w:rPr>
                <w:noProof/>
                <w:webHidden/>
              </w:rPr>
            </w:r>
            <w:r w:rsidR="00CA790E">
              <w:rPr>
                <w:noProof/>
                <w:webHidden/>
              </w:rPr>
              <w:fldChar w:fldCharType="separate"/>
            </w:r>
            <w:r w:rsidR="00CA790E">
              <w:rPr>
                <w:noProof/>
                <w:webHidden/>
              </w:rPr>
              <w:t>39</w:t>
            </w:r>
            <w:r w:rsidR="00CA790E">
              <w:rPr>
                <w:noProof/>
                <w:webHidden/>
              </w:rPr>
              <w:fldChar w:fldCharType="end"/>
            </w:r>
          </w:hyperlink>
        </w:p>
        <w:p w14:paraId="75DB28AF" w14:textId="77777777" w:rsidR="00CA790E" w:rsidRDefault="009856B4">
          <w:pPr>
            <w:pStyle w:val="Spistreci2"/>
            <w:tabs>
              <w:tab w:val="left" w:pos="880"/>
              <w:tab w:val="right" w:leader="dot" w:pos="9062"/>
            </w:tabs>
            <w:rPr>
              <w:noProof/>
            </w:rPr>
          </w:pPr>
          <w:hyperlink w:anchor="_Toc48555163" w:history="1">
            <w:r w:rsidR="00CA790E" w:rsidRPr="002D0EE4">
              <w:rPr>
                <w:rStyle w:val="Hipercze"/>
                <w:rFonts w:ascii="Arial" w:eastAsiaTheme="majorEastAsia" w:hAnsi="Arial" w:cs="Arial"/>
                <w:b/>
                <w:bCs/>
                <w:i/>
                <w:noProof/>
              </w:rPr>
              <w:t>4.5</w:t>
            </w:r>
            <w:r w:rsidR="00CA790E">
              <w:rPr>
                <w:noProof/>
              </w:rPr>
              <w:tab/>
            </w:r>
            <w:r w:rsidR="00CA790E" w:rsidRPr="002D0EE4">
              <w:rPr>
                <w:rStyle w:val="Hipercze"/>
                <w:rFonts w:ascii="Arial" w:eastAsiaTheme="majorEastAsia" w:hAnsi="Arial" w:cs="Arial"/>
                <w:b/>
                <w:bCs/>
                <w:i/>
                <w:noProof/>
              </w:rPr>
              <w:t>Katalog wydatków kwalifikowalnych w ramach Działania 3.1 Działania szkoleniowe na rzecz rozwoju kompetencji cyfrowych dla naboru nr POPC.03.01.00-IP.01-00-005/18</w:t>
            </w:r>
            <w:r w:rsidR="00CA790E">
              <w:rPr>
                <w:noProof/>
                <w:webHidden/>
              </w:rPr>
              <w:tab/>
            </w:r>
            <w:r w:rsidR="00CA790E">
              <w:rPr>
                <w:noProof/>
                <w:webHidden/>
              </w:rPr>
              <w:fldChar w:fldCharType="begin"/>
            </w:r>
            <w:r w:rsidR="00CA790E">
              <w:rPr>
                <w:noProof/>
                <w:webHidden/>
              </w:rPr>
              <w:instrText xml:space="preserve"> PAGEREF _Toc48555163 \h </w:instrText>
            </w:r>
            <w:r w:rsidR="00CA790E">
              <w:rPr>
                <w:noProof/>
                <w:webHidden/>
              </w:rPr>
            </w:r>
            <w:r w:rsidR="00CA790E">
              <w:rPr>
                <w:noProof/>
                <w:webHidden/>
              </w:rPr>
              <w:fldChar w:fldCharType="separate"/>
            </w:r>
            <w:r w:rsidR="00CA790E">
              <w:rPr>
                <w:noProof/>
                <w:webHidden/>
              </w:rPr>
              <w:t>42</w:t>
            </w:r>
            <w:r w:rsidR="00CA790E">
              <w:rPr>
                <w:noProof/>
                <w:webHidden/>
              </w:rPr>
              <w:fldChar w:fldCharType="end"/>
            </w:r>
          </w:hyperlink>
        </w:p>
        <w:p w14:paraId="73B4B75C" w14:textId="77777777" w:rsidR="00CA790E" w:rsidRDefault="009856B4">
          <w:pPr>
            <w:pStyle w:val="Spistreci3"/>
            <w:tabs>
              <w:tab w:val="left" w:pos="1320"/>
              <w:tab w:val="right" w:leader="dot" w:pos="9062"/>
            </w:tabs>
            <w:rPr>
              <w:noProof/>
            </w:rPr>
          </w:pPr>
          <w:hyperlink w:anchor="_Toc48555164" w:history="1">
            <w:r w:rsidR="00CA790E" w:rsidRPr="002D0EE4">
              <w:rPr>
                <w:rStyle w:val="Hipercze"/>
                <w:rFonts w:ascii="Arial" w:eastAsiaTheme="majorEastAsia" w:hAnsi="Arial" w:cs="Arial"/>
                <w:bCs/>
                <w:i/>
                <w:noProof/>
              </w:rPr>
              <w:t>4.5.1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_Toc48555164 \h </w:instrText>
            </w:r>
            <w:r w:rsidR="00CA790E">
              <w:rPr>
                <w:noProof/>
                <w:webHidden/>
              </w:rPr>
            </w:r>
            <w:r w:rsidR="00CA790E">
              <w:rPr>
                <w:noProof/>
                <w:webHidden/>
              </w:rPr>
              <w:fldChar w:fldCharType="separate"/>
            </w:r>
            <w:r w:rsidR="00CA790E">
              <w:rPr>
                <w:noProof/>
                <w:webHidden/>
              </w:rPr>
              <w:t>42</w:t>
            </w:r>
            <w:r w:rsidR="00CA790E">
              <w:rPr>
                <w:noProof/>
                <w:webHidden/>
              </w:rPr>
              <w:fldChar w:fldCharType="end"/>
            </w:r>
          </w:hyperlink>
        </w:p>
        <w:p w14:paraId="76EB32F0" w14:textId="77777777" w:rsidR="00CA790E" w:rsidRDefault="009856B4">
          <w:pPr>
            <w:pStyle w:val="Spistreci3"/>
            <w:tabs>
              <w:tab w:val="left" w:pos="1320"/>
              <w:tab w:val="right" w:leader="dot" w:pos="9062"/>
            </w:tabs>
            <w:rPr>
              <w:noProof/>
            </w:rPr>
          </w:pPr>
          <w:hyperlink w:anchor="_Toc48555165" w:history="1">
            <w:r w:rsidR="00CA790E" w:rsidRPr="002D0EE4">
              <w:rPr>
                <w:rStyle w:val="Hipercze"/>
                <w:rFonts w:ascii="Arial" w:eastAsiaTheme="majorEastAsia" w:hAnsi="Arial" w:cs="Arial"/>
                <w:bCs/>
                <w:i/>
                <w:noProof/>
              </w:rPr>
              <w:t>4.5.2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_Toc48555165 \h </w:instrText>
            </w:r>
            <w:r w:rsidR="00CA790E">
              <w:rPr>
                <w:noProof/>
                <w:webHidden/>
              </w:rPr>
            </w:r>
            <w:r w:rsidR="00CA790E">
              <w:rPr>
                <w:noProof/>
                <w:webHidden/>
              </w:rPr>
              <w:fldChar w:fldCharType="separate"/>
            </w:r>
            <w:r w:rsidR="00CA790E">
              <w:rPr>
                <w:noProof/>
                <w:webHidden/>
              </w:rPr>
              <w:t>42</w:t>
            </w:r>
            <w:r w:rsidR="00CA790E">
              <w:rPr>
                <w:noProof/>
                <w:webHidden/>
              </w:rPr>
              <w:fldChar w:fldCharType="end"/>
            </w:r>
          </w:hyperlink>
        </w:p>
        <w:p w14:paraId="380E1E65" w14:textId="77777777" w:rsidR="00CA790E" w:rsidRDefault="009856B4">
          <w:pPr>
            <w:pStyle w:val="Spistreci2"/>
            <w:tabs>
              <w:tab w:val="left" w:pos="880"/>
              <w:tab w:val="right" w:leader="dot" w:pos="9062"/>
            </w:tabs>
            <w:rPr>
              <w:noProof/>
            </w:rPr>
          </w:pPr>
          <w:hyperlink w:anchor="_Toc48555166" w:history="1">
            <w:r w:rsidR="00CA790E" w:rsidRPr="002D0EE4">
              <w:rPr>
                <w:rStyle w:val="Hipercze"/>
                <w:rFonts w:ascii="Arial" w:hAnsi="Arial" w:cs="Arial"/>
                <w:b/>
                <w:i/>
                <w:noProof/>
              </w:rPr>
              <w:t>4.6</w:t>
            </w:r>
            <w:r w:rsidR="00CA790E">
              <w:rPr>
                <w:noProof/>
              </w:rPr>
              <w:tab/>
            </w:r>
            <w:r w:rsidR="00CA790E" w:rsidRPr="002D0EE4">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CA790E">
              <w:rPr>
                <w:noProof/>
                <w:webHidden/>
              </w:rPr>
              <w:tab/>
            </w:r>
            <w:r w:rsidR="00CA790E">
              <w:rPr>
                <w:noProof/>
                <w:webHidden/>
              </w:rPr>
              <w:fldChar w:fldCharType="begin"/>
            </w:r>
            <w:r w:rsidR="00CA790E">
              <w:rPr>
                <w:noProof/>
                <w:webHidden/>
              </w:rPr>
              <w:instrText xml:space="preserve"> PAGEREF _Toc48555166 \h </w:instrText>
            </w:r>
            <w:r w:rsidR="00CA790E">
              <w:rPr>
                <w:noProof/>
                <w:webHidden/>
              </w:rPr>
            </w:r>
            <w:r w:rsidR="00CA790E">
              <w:rPr>
                <w:noProof/>
                <w:webHidden/>
              </w:rPr>
              <w:fldChar w:fldCharType="separate"/>
            </w:r>
            <w:r w:rsidR="00CA790E">
              <w:rPr>
                <w:noProof/>
                <w:webHidden/>
              </w:rPr>
              <w:t>46</w:t>
            </w:r>
            <w:r w:rsidR="00CA790E">
              <w:rPr>
                <w:noProof/>
                <w:webHidden/>
              </w:rPr>
              <w:fldChar w:fldCharType="end"/>
            </w:r>
          </w:hyperlink>
        </w:p>
        <w:p w14:paraId="10B0D040" w14:textId="77777777" w:rsidR="00CA790E" w:rsidRDefault="009856B4">
          <w:pPr>
            <w:pStyle w:val="Spistreci2"/>
            <w:tabs>
              <w:tab w:val="left" w:pos="880"/>
              <w:tab w:val="right" w:leader="dot" w:pos="9062"/>
            </w:tabs>
            <w:rPr>
              <w:noProof/>
            </w:rPr>
          </w:pPr>
          <w:hyperlink w:anchor="_Toc48555167" w:history="1">
            <w:r w:rsidR="00CA790E" w:rsidRPr="002D0EE4">
              <w:rPr>
                <w:rStyle w:val="Hipercze"/>
                <w:rFonts w:ascii="Arial" w:eastAsiaTheme="majorEastAsia" w:hAnsi="Arial" w:cs="Arial"/>
                <w:b/>
                <w:bCs/>
                <w:i/>
                <w:noProof/>
              </w:rPr>
              <w:t>4.7</w:t>
            </w:r>
            <w:r w:rsidR="00CA790E">
              <w:rPr>
                <w:noProof/>
              </w:rPr>
              <w:tab/>
            </w:r>
            <w:r w:rsidR="00CA790E" w:rsidRPr="002D0EE4">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CA790E">
              <w:rPr>
                <w:noProof/>
                <w:webHidden/>
              </w:rPr>
              <w:tab/>
            </w:r>
            <w:r w:rsidR="00CA790E">
              <w:rPr>
                <w:noProof/>
                <w:webHidden/>
              </w:rPr>
              <w:fldChar w:fldCharType="begin"/>
            </w:r>
            <w:r w:rsidR="00CA790E">
              <w:rPr>
                <w:noProof/>
                <w:webHidden/>
              </w:rPr>
              <w:instrText xml:space="preserve"> PAGEREF _Toc48555167 \h </w:instrText>
            </w:r>
            <w:r w:rsidR="00CA790E">
              <w:rPr>
                <w:noProof/>
                <w:webHidden/>
              </w:rPr>
            </w:r>
            <w:r w:rsidR="00CA790E">
              <w:rPr>
                <w:noProof/>
                <w:webHidden/>
              </w:rPr>
              <w:fldChar w:fldCharType="separate"/>
            </w:r>
            <w:r w:rsidR="00CA790E">
              <w:rPr>
                <w:noProof/>
                <w:webHidden/>
              </w:rPr>
              <w:t>49</w:t>
            </w:r>
            <w:r w:rsidR="00CA790E">
              <w:rPr>
                <w:noProof/>
                <w:webHidden/>
              </w:rPr>
              <w:fldChar w:fldCharType="end"/>
            </w:r>
          </w:hyperlink>
        </w:p>
        <w:p w14:paraId="6A31ECA2" w14:textId="77777777" w:rsidR="00CA790E" w:rsidRDefault="009856B4">
          <w:pPr>
            <w:pStyle w:val="Spistreci2"/>
            <w:tabs>
              <w:tab w:val="left" w:pos="880"/>
              <w:tab w:val="right" w:leader="dot" w:pos="9062"/>
            </w:tabs>
            <w:rPr>
              <w:noProof/>
            </w:rPr>
          </w:pPr>
          <w:hyperlink w:anchor="_Toc48555168" w:history="1">
            <w:r w:rsidR="00CA790E" w:rsidRPr="002D0EE4">
              <w:rPr>
                <w:rStyle w:val="Hipercze"/>
                <w:rFonts w:ascii="Arial" w:hAnsi="Arial" w:cs="Arial"/>
                <w:b/>
                <w:i/>
                <w:noProof/>
              </w:rPr>
              <w:t>4.8</w:t>
            </w:r>
            <w:r w:rsidR="00CA790E">
              <w:rPr>
                <w:noProof/>
              </w:rPr>
              <w:tab/>
            </w:r>
            <w:r w:rsidR="00CA790E" w:rsidRPr="002D0EE4">
              <w:rPr>
                <w:rStyle w:val="Hipercze"/>
                <w:rFonts w:ascii="Arial" w:hAnsi="Arial" w:cs="Arial"/>
                <w:b/>
                <w:i/>
                <w:noProof/>
              </w:rPr>
              <w:t>Katalog wydatków kwalifikowalnych w ramach Działanie 3.2 Innowacyjne rozwiązania na rzecz aktywizacji cyfrowej dla naboru  nr POPC.03.02.00-IP.01-00-003/18</w:t>
            </w:r>
            <w:r w:rsidR="00CA790E">
              <w:rPr>
                <w:noProof/>
                <w:webHidden/>
              </w:rPr>
              <w:tab/>
            </w:r>
            <w:r w:rsidR="00CA790E">
              <w:rPr>
                <w:noProof/>
                <w:webHidden/>
              </w:rPr>
              <w:fldChar w:fldCharType="begin"/>
            </w:r>
            <w:r w:rsidR="00CA790E">
              <w:rPr>
                <w:noProof/>
                <w:webHidden/>
              </w:rPr>
              <w:instrText xml:space="preserve"> PAGEREF _Toc48555168 \h </w:instrText>
            </w:r>
            <w:r w:rsidR="00CA790E">
              <w:rPr>
                <w:noProof/>
                <w:webHidden/>
              </w:rPr>
            </w:r>
            <w:r w:rsidR="00CA790E">
              <w:rPr>
                <w:noProof/>
                <w:webHidden/>
              </w:rPr>
              <w:fldChar w:fldCharType="separate"/>
            </w:r>
            <w:r w:rsidR="00CA790E">
              <w:rPr>
                <w:noProof/>
                <w:webHidden/>
              </w:rPr>
              <w:t>52</w:t>
            </w:r>
            <w:r w:rsidR="00CA790E">
              <w:rPr>
                <w:noProof/>
                <w:webHidden/>
              </w:rPr>
              <w:fldChar w:fldCharType="end"/>
            </w:r>
          </w:hyperlink>
        </w:p>
        <w:p w14:paraId="184FE456" w14:textId="77777777" w:rsidR="00CA790E" w:rsidRDefault="009856B4">
          <w:pPr>
            <w:pStyle w:val="Spistreci3"/>
            <w:tabs>
              <w:tab w:val="left" w:pos="1320"/>
              <w:tab w:val="right" w:leader="dot" w:pos="9062"/>
            </w:tabs>
            <w:rPr>
              <w:noProof/>
            </w:rPr>
          </w:pPr>
          <w:hyperlink w:anchor="_Toc48555169" w:history="1">
            <w:r w:rsidR="00CA790E" w:rsidRPr="002D0EE4">
              <w:rPr>
                <w:rStyle w:val="Hipercze"/>
                <w:rFonts w:ascii="Arial" w:eastAsiaTheme="majorEastAsia" w:hAnsi="Arial" w:cs="Arial"/>
                <w:bCs/>
                <w:i/>
                <w:noProof/>
              </w:rPr>
              <w:t>4.8.1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_Toc48555169 \h </w:instrText>
            </w:r>
            <w:r w:rsidR="00CA790E">
              <w:rPr>
                <w:noProof/>
                <w:webHidden/>
              </w:rPr>
            </w:r>
            <w:r w:rsidR="00CA790E">
              <w:rPr>
                <w:noProof/>
                <w:webHidden/>
              </w:rPr>
              <w:fldChar w:fldCharType="separate"/>
            </w:r>
            <w:r w:rsidR="00CA790E">
              <w:rPr>
                <w:noProof/>
                <w:webHidden/>
              </w:rPr>
              <w:t>52</w:t>
            </w:r>
            <w:r w:rsidR="00CA790E">
              <w:rPr>
                <w:noProof/>
                <w:webHidden/>
              </w:rPr>
              <w:fldChar w:fldCharType="end"/>
            </w:r>
          </w:hyperlink>
        </w:p>
        <w:p w14:paraId="4BF776C8" w14:textId="77777777" w:rsidR="00CA790E" w:rsidRDefault="009856B4">
          <w:pPr>
            <w:pStyle w:val="Spistreci3"/>
            <w:tabs>
              <w:tab w:val="left" w:pos="1320"/>
              <w:tab w:val="right" w:leader="dot" w:pos="9062"/>
            </w:tabs>
            <w:rPr>
              <w:noProof/>
            </w:rPr>
          </w:pPr>
          <w:hyperlink w:anchor="_Toc48555170" w:history="1">
            <w:r w:rsidR="00CA790E" w:rsidRPr="002D0EE4">
              <w:rPr>
                <w:rStyle w:val="Hipercze"/>
                <w:rFonts w:ascii="Arial" w:eastAsiaTheme="majorEastAsia" w:hAnsi="Arial" w:cs="Arial"/>
                <w:bCs/>
                <w:i/>
                <w:noProof/>
              </w:rPr>
              <w:t>4.8.2</w:t>
            </w:r>
            <w:r w:rsidR="00CA790E">
              <w:rPr>
                <w:noProof/>
              </w:rPr>
              <w:tab/>
            </w:r>
            <w:r w:rsidR="00CA790E" w:rsidRPr="002D0EE4">
              <w:rPr>
                <w:rStyle w:val="Hipercze"/>
                <w:rFonts w:ascii="Arial" w:eastAsiaTheme="majorEastAsia" w:hAnsi="Arial" w:cs="Arial"/>
                <w:bCs/>
                <w:i/>
                <w:noProof/>
              </w:rPr>
              <w:t>Wydatki kwalifikowalne</w:t>
            </w:r>
            <w:r w:rsidR="00CA790E">
              <w:rPr>
                <w:noProof/>
                <w:webHidden/>
              </w:rPr>
              <w:tab/>
            </w:r>
            <w:r w:rsidR="00CA790E">
              <w:rPr>
                <w:noProof/>
                <w:webHidden/>
              </w:rPr>
              <w:fldChar w:fldCharType="begin"/>
            </w:r>
            <w:r w:rsidR="00CA790E">
              <w:rPr>
                <w:noProof/>
                <w:webHidden/>
              </w:rPr>
              <w:instrText xml:space="preserve"> PAGEREF _Toc48555170 \h </w:instrText>
            </w:r>
            <w:r w:rsidR="00CA790E">
              <w:rPr>
                <w:noProof/>
                <w:webHidden/>
              </w:rPr>
            </w:r>
            <w:r w:rsidR="00CA790E">
              <w:rPr>
                <w:noProof/>
                <w:webHidden/>
              </w:rPr>
              <w:fldChar w:fldCharType="separate"/>
            </w:r>
            <w:r w:rsidR="00CA790E">
              <w:rPr>
                <w:noProof/>
                <w:webHidden/>
              </w:rPr>
              <w:t>52</w:t>
            </w:r>
            <w:r w:rsidR="00CA790E">
              <w:rPr>
                <w:noProof/>
                <w:webHidden/>
              </w:rPr>
              <w:fldChar w:fldCharType="end"/>
            </w:r>
          </w:hyperlink>
        </w:p>
        <w:p w14:paraId="6F94B1B1" w14:textId="77777777" w:rsidR="00CA790E" w:rsidRDefault="009856B4">
          <w:pPr>
            <w:pStyle w:val="Spistreci2"/>
            <w:tabs>
              <w:tab w:val="left" w:pos="880"/>
              <w:tab w:val="right" w:leader="dot" w:pos="9062"/>
            </w:tabs>
            <w:rPr>
              <w:noProof/>
            </w:rPr>
          </w:pPr>
          <w:hyperlink w:anchor="_Toc48555171" w:history="1">
            <w:r w:rsidR="00CA790E" w:rsidRPr="002D0EE4">
              <w:rPr>
                <w:rStyle w:val="Hipercze"/>
                <w:rFonts w:ascii="Arial" w:eastAsiaTheme="majorEastAsia" w:hAnsi="Arial" w:cs="Arial"/>
                <w:b/>
                <w:bCs/>
                <w:i/>
                <w:noProof/>
              </w:rPr>
              <w:t>4.9</w:t>
            </w:r>
            <w:r w:rsidR="00CA790E">
              <w:rPr>
                <w:noProof/>
              </w:rPr>
              <w:tab/>
            </w:r>
            <w:r w:rsidR="00CA790E" w:rsidRPr="002D0EE4">
              <w:rPr>
                <w:rStyle w:val="Hipercze"/>
                <w:rFonts w:ascii="Arial" w:eastAsiaTheme="majorEastAsia" w:hAnsi="Arial" w:cs="Arial"/>
                <w:b/>
                <w:bCs/>
                <w:i/>
                <w:noProof/>
              </w:rPr>
              <w:t>Katalog wydatków kwalifikowalnych w ramach Działania 3.2 Innowacyjne rozwiązania na rzecz aktywizacji cyfrowej dla naboru nr POPC.03.02.00-IP.01-00-004/18</w:t>
            </w:r>
            <w:r w:rsidR="00CA790E">
              <w:rPr>
                <w:noProof/>
                <w:webHidden/>
              </w:rPr>
              <w:tab/>
            </w:r>
            <w:r w:rsidR="00CA790E">
              <w:rPr>
                <w:noProof/>
                <w:webHidden/>
              </w:rPr>
              <w:fldChar w:fldCharType="begin"/>
            </w:r>
            <w:r w:rsidR="00CA790E">
              <w:rPr>
                <w:noProof/>
                <w:webHidden/>
              </w:rPr>
              <w:instrText xml:space="preserve"> PAGEREF _Toc48555171 \h </w:instrText>
            </w:r>
            <w:r w:rsidR="00CA790E">
              <w:rPr>
                <w:noProof/>
                <w:webHidden/>
              </w:rPr>
            </w:r>
            <w:r w:rsidR="00CA790E">
              <w:rPr>
                <w:noProof/>
                <w:webHidden/>
              </w:rPr>
              <w:fldChar w:fldCharType="separate"/>
            </w:r>
            <w:r w:rsidR="00CA790E">
              <w:rPr>
                <w:noProof/>
                <w:webHidden/>
              </w:rPr>
              <w:t>56</w:t>
            </w:r>
            <w:r w:rsidR="00CA790E">
              <w:rPr>
                <w:noProof/>
                <w:webHidden/>
              </w:rPr>
              <w:fldChar w:fldCharType="end"/>
            </w:r>
          </w:hyperlink>
        </w:p>
        <w:p w14:paraId="3671C7BE" w14:textId="77777777" w:rsidR="00CA790E" w:rsidRDefault="009856B4">
          <w:pPr>
            <w:pStyle w:val="Spistreci2"/>
            <w:tabs>
              <w:tab w:val="left" w:pos="880"/>
              <w:tab w:val="right" w:leader="dot" w:pos="9062"/>
            </w:tabs>
            <w:rPr>
              <w:noProof/>
            </w:rPr>
          </w:pPr>
          <w:hyperlink w:anchor="_Toc48555172" w:history="1">
            <w:r w:rsidR="00CA790E" w:rsidRPr="002D0EE4">
              <w:rPr>
                <w:rStyle w:val="Hipercze"/>
                <w:rFonts w:ascii="Arial" w:eastAsiaTheme="majorEastAsia" w:hAnsi="Arial" w:cs="Arial"/>
                <w:b/>
                <w:bCs/>
                <w:i/>
                <w:noProof/>
              </w:rPr>
              <w:t>4.10</w:t>
            </w:r>
            <w:r w:rsidR="00CA790E">
              <w:rPr>
                <w:noProof/>
              </w:rPr>
              <w:tab/>
            </w:r>
            <w:r w:rsidR="00CA790E" w:rsidRPr="002D0EE4">
              <w:rPr>
                <w:rStyle w:val="Hipercze"/>
                <w:rFonts w:ascii="Arial" w:eastAsiaTheme="majorEastAsia" w:hAnsi="Arial" w:cs="Arial"/>
                <w:b/>
                <w:bCs/>
                <w:i/>
                <w:noProof/>
              </w:rPr>
              <w:t>Katalog wydatków kwalifikowalnych w ramach Działania 3.2 Innowacyjne rozwiązania na rzecz aktywizacji cyfrowej dla naboru nr POPC.03.02.00-IP.01-00-005/19</w:t>
            </w:r>
            <w:r w:rsidR="00CA790E">
              <w:rPr>
                <w:noProof/>
                <w:webHidden/>
              </w:rPr>
              <w:tab/>
            </w:r>
            <w:r w:rsidR="00CA790E">
              <w:rPr>
                <w:noProof/>
                <w:webHidden/>
              </w:rPr>
              <w:fldChar w:fldCharType="begin"/>
            </w:r>
            <w:r w:rsidR="00CA790E">
              <w:rPr>
                <w:noProof/>
                <w:webHidden/>
              </w:rPr>
              <w:instrText xml:space="preserve"> PAGEREF _Toc48555172 \h </w:instrText>
            </w:r>
            <w:r w:rsidR="00CA790E">
              <w:rPr>
                <w:noProof/>
                <w:webHidden/>
              </w:rPr>
            </w:r>
            <w:r w:rsidR="00CA790E">
              <w:rPr>
                <w:noProof/>
                <w:webHidden/>
              </w:rPr>
              <w:fldChar w:fldCharType="separate"/>
            </w:r>
            <w:r w:rsidR="00CA790E">
              <w:rPr>
                <w:noProof/>
                <w:webHidden/>
              </w:rPr>
              <w:t>59</w:t>
            </w:r>
            <w:r w:rsidR="00CA790E">
              <w:rPr>
                <w:noProof/>
                <w:webHidden/>
              </w:rPr>
              <w:fldChar w:fldCharType="end"/>
            </w:r>
          </w:hyperlink>
        </w:p>
        <w:p w14:paraId="460881FD" w14:textId="77777777" w:rsidR="00CA790E" w:rsidRDefault="009856B4">
          <w:pPr>
            <w:pStyle w:val="Spistreci2"/>
            <w:tabs>
              <w:tab w:val="left" w:pos="880"/>
              <w:tab w:val="right" w:leader="dot" w:pos="9062"/>
            </w:tabs>
            <w:rPr>
              <w:noProof/>
            </w:rPr>
          </w:pPr>
          <w:hyperlink w:anchor="_Toc48555173" w:history="1">
            <w:r w:rsidR="00CA790E" w:rsidRPr="002D0EE4">
              <w:rPr>
                <w:rStyle w:val="Hipercze"/>
                <w:rFonts w:ascii="Arial" w:hAnsi="Arial" w:cs="Arial"/>
                <w:b/>
                <w:i/>
                <w:noProof/>
              </w:rPr>
              <w:t>4.11</w:t>
            </w:r>
            <w:r w:rsidR="00CA790E">
              <w:rPr>
                <w:noProof/>
              </w:rPr>
              <w:tab/>
            </w:r>
            <w:r w:rsidR="00CA790E" w:rsidRPr="002D0EE4">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CA790E">
              <w:rPr>
                <w:noProof/>
                <w:webHidden/>
              </w:rPr>
              <w:tab/>
            </w:r>
            <w:r w:rsidR="00CA790E">
              <w:rPr>
                <w:noProof/>
                <w:webHidden/>
              </w:rPr>
              <w:fldChar w:fldCharType="begin"/>
            </w:r>
            <w:r w:rsidR="00CA790E">
              <w:rPr>
                <w:noProof/>
                <w:webHidden/>
              </w:rPr>
              <w:instrText xml:space="preserve"> PAGEREF _Toc48555173 \h </w:instrText>
            </w:r>
            <w:r w:rsidR="00CA790E">
              <w:rPr>
                <w:noProof/>
                <w:webHidden/>
              </w:rPr>
            </w:r>
            <w:r w:rsidR="00CA790E">
              <w:rPr>
                <w:noProof/>
                <w:webHidden/>
              </w:rPr>
              <w:fldChar w:fldCharType="separate"/>
            </w:r>
            <w:r w:rsidR="00CA790E">
              <w:rPr>
                <w:noProof/>
                <w:webHidden/>
              </w:rPr>
              <w:t>62</w:t>
            </w:r>
            <w:r w:rsidR="00CA790E">
              <w:rPr>
                <w:noProof/>
                <w:webHidden/>
              </w:rPr>
              <w:fldChar w:fldCharType="end"/>
            </w:r>
          </w:hyperlink>
        </w:p>
        <w:p w14:paraId="4F6FA911" w14:textId="77777777" w:rsidR="00CA790E" w:rsidRDefault="009856B4">
          <w:pPr>
            <w:pStyle w:val="Spistreci3"/>
            <w:tabs>
              <w:tab w:val="left" w:pos="1320"/>
              <w:tab w:val="right" w:leader="dot" w:pos="9062"/>
            </w:tabs>
            <w:rPr>
              <w:noProof/>
            </w:rPr>
          </w:pPr>
          <w:hyperlink w:anchor="_Toc48555174" w:history="1">
            <w:r w:rsidR="00CA790E" w:rsidRPr="002D0EE4">
              <w:rPr>
                <w:rStyle w:val="Hipercze"/>
                <w:rFonts w:ascii="Arial" w:eastAsiaTheme="majorEastAsia" w:hAnsi="Arial" w:cs="Arial"/>
                <w:bCs/>
                <w:i/>
                <w:noProof/>
              </w:rPr>
              <w:t>4.11.1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_Toc48555174 \h </w:instrText>
            </w:r>
            <w:r w:rsidR="00CA790E">
              <w:rPr>
                <w:noProof/>
                <w:webHidden/>
              </w:rPr>
            </w:r>
            <w:r w:rsidR="00CA790E">
              <w:rPr>
                <w:noProof/>
                <w:webHidden/>
              </w:rPr>
              <w:fldChar w:fldCharType="separate"/>
            </w:r>
            <w:r w:rsidR="00CA790E">
              <w:rPr>
                <w:noProof/>
                <w:webHidden/>
              </w:rPr>
              <w:t>62</w:t>
            </w:r>
            <w:r w:rsidR="00CA790E">
              <w:rPr>
                <w:noProof/>
                <w:webHidden/>
              </w:rPr>
              <w:fldChar w:fldCharType="end"/>
            </w:r>
          </w:hyperlink>
        </w:p>
        <w:p w14:paraId="09B5C912" w14:textId="77777777" w:rsidR="00CA790E" w:rsidRDefault="009856B4">
          <w:pPr>
            <w:pStyle w:val="Spistreci3"/>
            <w:tabs>
              <w:tab w:val="left" w:pos="1320"/>
              <w:tab w:val="right" w:leader="dot" w:pos="9062"/>
            </w:tabs>
            <w:rPr>
              <w:noProof/>
            </w:rPr>
          </w:pPr>
          <w:hyperlink w:anchor="_Toc48555175" w:history="1">
            <w:r w:rsidR="00CA790E" w:rsidRPr="002D0EE4">
              <w:rPr>
                <w:rStyle w:val="Hipercze"/>
                <w:rFonts w:ascii="Arial" w:eastAsiaTheme="majorEastAsia" w:hAnsi="Arial" w:cs="Arial"/>
                <w:bCs/>
                <w:i/>
                <w:noProof/>
              </w:rPr>
              <w:t>4.11.2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_Toc48555175 \h </w:instrText>
            </w:r>
            <w:r w:rsidR="00CA790E">
              <w:rPr>
                <w:noProof/>
                <w:webHidden/>
              </w:rPr>
            </w:r>
            <w:r w:rsidR="00CA790E">
              <w:rPr>
                <w:noProof/>
                <w:webHidden/>
              </w:rPr>
              <w:fldChar w:fldCharType="separate"/>
            </w:r>
            <w:r w:rsidR="00CA790E">
              <w:rPr>
                <w:noProof/>
                <w:webHidden/>
              </w:rPr>
              <w:t>62</w:t>
            </w:r>
            <w:r w:rsidR="00CA790E">
              <w:rPr>
                <w:noProof/>
                <w:webHidden/>
              </w:rPr>
              <w:fldChar w:fldCharType="end"/>
            </w:r>
          </w:hyperlink>
        </w:p>
        <w:p w14:paraId="1DEF6D7D" w14:textId="77777777" w:rsidR="00CA790E" w:rsidRDefault="009856B4">
          <w:pPr>
            <w:pStyle w:val="Spistreci2"/>
            <w:tabs>
              <w:tab w:val="left" w:pos="880"/>
              <w:tab w:val="right" w:leader="dot" w:pos="9062"/>
            </w:tabs>
            <w:rPr>
              <w:noProof/>
            </w:rPr>
          </w:pPr>
          <w:hyperlink w:anchor="_Toc48555176" w:history="1">
            <w:r w:rsidR="00CA790E" w:rsidRPr="002D0EE4">
              <w:rPr>
                <w:rStyle w:val="Hipercze"/>
                <w:rFonts w:ascii="Arial" w:eastAsiaTheme="majorEastAsia" w:hAnsi="Arial" w:cs="Arial"/>
                <w:b/>
                <w:bCs/>
                <w:i/>
                <w:noProof/>
              </w:rPr>
              <w:t>4.12</w:t>
            </w:r>
            <w:r w:rsidR="00CA790E">
              <w:rPr>
                <w:noProof/>
              </w:rPr>
              <w:tab/>
            </w:r>
            <w:r w:rsidR="00CA790E" w:rsidRPr="002D0EE4">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CA790E">
              <w:rPr>
                <w:noProof/>
                <w:webHidden/>
              </w:rPr>
              <w:tab/>
            </w:r>
            <w:r w:rsidR="00CA790E">
              <w:rPr>
                <w:noProof/>
                <w:webHidden/>
              </w:rPr>
              <w:fldChar w:fldCharType="begin"/>
            </w:r>
            <w:r w:rsidR="00CA790E">
              <w:rPr>
                <w:noProof/>
                <w:webHidden/>
              </w:rPr>
              <w:instrText xml:space="preserve"> PAGEREF _Toc48555176 \h </w:instrText>
            </w:r>
            <w:r w:rsidR="00CA790E">
              <w:rPr>
                <w:noProof/>
                <w:webHidden/>
              </w:rPr>
            </w:r>
            <w:r w:rsidR="00CA790E">
              <w:rPr>
                <w:noProof/>
                <w:webHidden/>
              </w:rPr>
              <w:fldChar w:fldCharType="separate"/>
            </w:r>
            <w:r w:rsidR="00CA790E">
              <w:rPr>
                <w:noProof/>
                <w:webHidden/>
              </w:rPr>
              <w:t>65</w:t>
            </w:r>
            <w:r w:rsidR="00CA790E">
              <w:rPr>
                <w:noProof/>
                <w:webHidden/>
              </w:rPr>
              <w:fldChar w:fldCharType="end"/>
            </w:r>
          </w:hyperlink>
        </w:p>
        <w:p w14:paraId="054825DC" w14:textId="77777777" w:rsidR="00CA790E" w:rsidRDefault="009856B4">
          <w:pPr>
            <w:pStyle w:val="Spistreci3"/>
            <w:tabs>
              <w:tab w:val="left" w:pos="1320"/>
              <w:tab w:val="right" w:leader="dot" w:pos="9062"/>
            </w:tabs>
            <w:rPr>
              <w:noProof/>
            </w:rPr>
          </w:pPr>
          <w:hyperlink w:anchor="_Toc48555177" w:history="1">
            <w:r w:rsidR="00CA790E" w:rsidRPr="002D0EE4">
              <w:rPr>
                <w:rStyle w:val="Hipercze"/>
                <w:rFonts w:ascii="Arial" w:eastAsiaTheme="majorEastAsia" w:hAnsi="Arial" w:cs="Arial"/>
                <w:bCs/>
                <w:i/>
                <w:noProof/>
              </w:rPr>
              <w:t>4.12.1</w:t>
            </w:r>
            <w:r w:rsidR="00CA790E">
              <w:rPr>
                <w:noProof/>
              </w:rPr>
              <w:tab/>
            </w:r>
            <w:r w:rsidR="00CA790E" w:rsidRPr="002D0EE4">
              <w:rPr>
                <w:rStyle w:val="Hipercze"/>
                <w:rFonts w:ascii="Arial" w:eastAsiaTheme="majorEastAsia" w:hAnsi="Arial" w:cs="Arial"/>
                <w:bCs/>
                <w:i/>
                <w:noProof/>
              </w:rPr>
              <w:t>Dokumentacja niezbędna do przygotowania projektu</w:t>
            </w:r>
            <w:r w:rsidR="00CA790E">
              <w:rPr>
                <w:noProof/>
                <w:webHidden/>
              </w:rPr>
              <w:tab/>
            </w:r>
            <w:r w:rsidR="00CA790E">
              <w:rPr>
                <w:noProof/>
                <w:webHidden/>
              </w:rPr>
              <w:fldChar w:fldCharType="begin"/>
            </w:r>
            <w:r w:rsidR="00CA790E">
              <w:rPr>
                <w:noProof/>
                <w:webHidden/>
              </w:rPr>
              <w:instrText xml:space="preserve"> PAGEREF _Toc48555177 \h </w:instrText>
            </w:r>
            <w:r w:rsidR="00CA790E">
              <w:rPr>
                <w:noProof/>
                <w:webHidden/>
              </w:rPr>
            </w:r>
            <w:r w:rsidR="00CA790E">
              <w:rPr>
                <w:noProof/>
                <w:webHidden/>
              </w:rPr>
              <w:fldChar w:fldCharType="separate"/>
            </w:r>
            <w:r w:rsidR="00CA790E">
              <w:rPr>
                <w:noProof/>
                <w:webHidden/>
              </w:rPr>
              <w:t>65</w:t>
            </w:r>
            <w:r w:rsidR="00CA790E">
              <w:rPr>
                <w:noProof/>
                <w:webHidden/>
              </w:rPr>
              <w:fldChar w:fldCharType="end"/>
            </w:r>
          </w:hyperlink>
        </w:p>
        <w:p w14:paraId="3BE12D68" w14:textId="77777777" w:rsidR="00CA790E" w:rsidRDefault="009856B4">
          <w:pPr>
            <w:pStyle w:val="Spistreci3"/>
            <w:tabs>
              <w:tab w:val="left" w:pos="1320"/>
              <w:tab w:val="right" w:leader="dot" w:pos="9062"/>
            </w:tabs>
            <w:rPr>
              <w:noProof/>
            </w:rPr>
          </w:pPr>
          <w:hyperlink w:anchor="_Toc48555178" w:history="1">
            <w:r w:rsidR="00CA790E" w:rsidRPr="002D0EE4">
              <w:rPr>
                <w:rStyle w:val="Hipercze"/>
                <w:rFonts w:ascii="Arial" w:eastAsiaTheme="majorEastAsia" w:hAnsi="Arial" w:cs="Arial"/>
                <w:bCs/>
                <w:i/>
                <w:noProof/>
              </w:rPr>
              <w:t>4.12.2</w:t>
            </w:r>
            <w:r w:rsidR="00CA790E">
              <w:rPr>
                <w:noProof/>
              </w:rPr>
              <w:tab/>
            </w:r>
            <w:r w:rsidR="00CA790E" w:rsidRPr="002D0EE4">
              <w:rPr>
                <w:rStyle w:val="Hipercze"/>
                <w:rFonts w:ascii="Arial" w:eastAsiaTheme="majorEastAsia" w:hAnsi="Arial" w:cs="Arial"/>
                <w:bCs/>
                <w:i/>
                <w:noProof/>
              </w:rPr>
              <w:t>Pozostałe wydatki kwalifikowalne</w:t>
            </w:r>
            <w:r w:rsidR="00CA790E">
              <w:rPr>
                <w:noProof/>
                <w:webHidden/>
              </w:rPr>
              <w:tab/>
            </w:r>
            <w:r w:rsidR="00CA790E">
              <w:rPr>
                <w:noProof/>
                <w:webHidden/>
              </w:rPr>
              <w:fldChar w:fldCharType="begin"/>
            </w:r>
            <w:r w:rsidR="00CA790E">
              <w:rPr>
                <w:noProof/>
                <w:webHidden/>
              </w:rPr>
              <w:instrText xml:space="preserve"> PAGEREF _Toc48555178 \h </w:instrText>
            </w:r>
            <w:r w:rsidR="00CA790E">
              <w:rPr>
                <w:noProof/>
                <w:webHidden/>
              </w:rPr>
            </w:r>
            <w:r w:rsidR="00CA790E">
              <w:rPr>
                <w:noProof/>
                <w:webHidden/>
              </w:rPr>
              <w:fldChar w:fldCharType="separate"/>
            </w:r>
            <w:r w:rsidR="00CA790E">
              <w:rPr>
                <w:noProof/>
                <w:webHidden/>
              </w:rPr>
              <w:t>65</w:t>
            </w:r>
            <w:r w:rsidR="00CA790E">
              <w:rPr>
                <w:noProof/>
                <w:webHidden/>
              </w:rPr>
              <w:fldChar w:fldCharType="end"/>
            </w:r>
          </w:hyperlink>
        </w:p>
        <w:p w14:paraId="4897C95F" w14:textId="77777777" w:rsidR="00CA790E" w:rsidRDefault="009856B4">
          <w:pPr>
            <w:pStyle w:val="Spistreci1"/>
            <w:rPr>
              <w:rFonts w:asciiTheme="minorHAnsi" w:hAnsiTheme="minorHAnsi" w:cstheme="minorBidi"/>
              <w:b w:val="0"/>
            </w:rPr>
          </w:pPr>
          <w:hyperlink w:anchor="_Toc48555179" w:history="1">
            <w:r w:rsidR="00CA790E" w:rsidRPr="002D0EE4">
              <w:rPr>
                <w:rStyle w:val="Hipercze"/>
                <w:rFonts w:eastAsia="Times New Roman" w:cs="Times New Roman"/>
                <w:bCs/>
              </w:rPr>
              <w:t>Załącznik nr 1 – Przykładowy wykaz możliwych nieprawidłowości w obszarze zamówień publicznych</w:t>
            </w:r>
            <w:r w:rsidR="00CA790E">
              <w:rPr>
                <w:webHidden/>
              </w:rPr>
              <w:tab/>
            </w:r>
            <w:r w:rsidR="00CA790E">
              <w:rPr>
                <w:webHidden/>
              </w:rPr>
              <w:fldChar w:fldCharType="begin"/>
            </w:r>
            <w:r w:rsidR="00CA790E">
              <w:rPr>
                <w:webHidden/>
              </w:rPr>
              <w:instrText xml:space="preserve"> PAGEREF _Toc48555179 \h </w:instrText>
            </w:r>
            <w:r w:rsidR="00CA790E">
              <w:rPr>
                <w:webHidden/>
              </w:rPr>
            </w:r>
            <w:r w:rsidR="00CA790E">
              <w:rPr>
                <w:webHidden/>
              </w:rPr>
              <w:fldChar w:fldCharType="separate"/>
            </w:r>
            <w:r w:rsidR="00CA790E">
              <w:rPr>
                <w:webHidden/>
              </w:rPr>
              <w:t>68</w:t>
            </w:r>
            <w:r w:rsidR="00CA790E">
              <w:rPr>
                <w:webHidden/>
              </w:rPr>
              <w:fldChar w:fldCharType="end"/>
            </w:r>
          </w:hyperlink>
        </w:p>
        <w:p w14:paraId="02150C25" w14:textId="77777777" w:rsidR="00CA790E" w:rsidRDefault="009856B4">
          <w:pPr>
            <w:pStyle w:val="Spistreci1"/>
            <w:rPr>
              <w:rFonts w:asciiTheme="minorHAnsi" w:hAnsiTheme="minorHAnsi" w:cstheme="minorBidi"/>
              <w:b w:val="0"/>
            </w:rPr>
          </w:pPr>
          <w:hyperlink w:anchor="_Toc48555180" w:history="1">
            <w:r w:rsidR="00CA790E" w:rsidRPr="002D0EE4">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CA790E">
              <w:rPr>
                <w:webHidden/>
              </w:rPr>
              <w:tab/>
            </w:r>
            <w:r w:rsidR="00CA790E">
              <w:rPr>
                <w:webHidden/>
              </w:rPr>
              <w:fldChar w:fldCharType="begin"/>
            </w:r>
            <w:r w:rsidR="00CA790E">
              <w:rPr>
                <w:webHidden/>
              </w:rPr>
              <w:instrText xml:space="preserve"> PAGEREF _Toc48555180 \h </w:instrText>
            </w:r>
            <w:r w:rsidR="00CA790E">
              <w:rPr>
                <w:webHidden/>
              </w:rPr>
            </w:r>
            <w:r w:rsidR="00CA790E">
              <w:rPr>
                <w:webHidden/>
              </w:rPr>
              <w:fldChar w:fldCharType="separate"/>
            </w:r>
            <w:r w:rsidR="00CA790E">
              <w:rPr>
                <w:webHidden/>
              </w:rPr>
              <w:t>70</w:t>
            </w:r>
            <w:r w:rsidR="00CA790E">
              <w:rPr>
                <w:webHidden/>
              </w:rPr>
              <w:fldChar w:fldCharType="end"/>
            </w:r>
          </w:hyperlink>
        </w:p>
        <w:p w14:paraId="7C7F979E" w14:textId="77777777" w:rsidR="005D72A8" w:rsidRDefault="00755982" w:rsidP="005D72A8">
          <w:pPr>
            <w:spacing w:line="360" w:lineRule="auto"/>
            <w:jc w:val="both"/>
            <w:rPr>
              <w:rFonts w:ascii="Arial" w:hAnsi="Arial" w:cs="Arial"/>
            </w:rPr>
          </w:pPr>
          <w:r w:rsidRPr="007E469E">
            <w:rPr>
              <w:rFonts w:ascii="Arial" w:hAnsi="Arial" w:cs="Arial"/>
              <w:b/>
              <w:bCs/>
            </w:rPr>
            <w:fldChar w:fldCharType="end"/>
          </w:r>
        </w:p>
      </w:sdtContent>
    </w:sdt>
    <w:p w14:paraId="45E880BC"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48555130"/>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039F9247"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14:paraId="1BBB6970"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7FC8B7A3"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5239F322"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14313034"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3E12EDFE"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7740FE77"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136F093A"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25C1C26D"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154C8699"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33D45B7F"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4C6EEA6"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F41459">
        <w:rPr>
          <w:rFonts w:ascii="Arial" w:eastAsia="Times New Roman" w:hAnsi="Arial" w:cs="Arial"/>
          <w:lang w:eastAsia="pl-PL"/>
        </w:rPr>
        <w:t>9</w:t>
      </w:r>
      <w:r>
        <w:rPr>
          <w:rFonts w:ascii="Arial" w:eastAsia="Times New Roman" w:hAnsi="Arial" w:cs="Arial"/>
          <w:lang w:eastAsia="pl-PL"/>
        </w:rPr>
        <w:t xml:space="preserve"> r. poz. </w:t>
      </w:r>
      <w:r w:rsidR="002C4F55">
        <w:rPr>
          <w:rFonts w:ascii="Arial" w:eastAsia="Times New Roman" w:hAnsi="Arial" w:cs="Arial"/>
          <w:lang w:eastAsia="pl-PL"/>
        </w:rPr>
        <w:t>1</w:t>
      </w:r>
      <w:r w:rsidR="00F41459">
        <w:rPr>
          <w:rFonts w:ascii="Arial" w:eastAsia="Times New Roman" w:hAnsi="Arial" w:cs="Arial"/>
          <w:lang w:eastAsia="pl-PL"/>
        </w:rPr>
        <w:t>843</w:t>
      </w:r>
      <w:r>
        <w:rPr>
          <w:rFonts w:ascii="Arial" w:eastAsia="Times New Roman" w:hAnsi="Arial" w:cs="Arial"/>
          <w:lang w:eastAsia="pl-PL"/>
        </w:rPr>
        <w:t>),</w:t>
      </w:r>
    </w:p>
    <w:p w14:paraId="0EBE5C8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14:paraId="37EF80A1"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7A266A11"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2EBFF641"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4855513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14:paraId="1556DAA2"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14:paraId="400E231D" w14:textId="77777777"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7965D417" w14:textId="77777777"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2867E46" w14:textId="77777777"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Pr>
          <w:rFonts w:ascii="Arial" w:eastAsia="Calibri" w:hAnsi="Arial" w:cs="Arial"/>
        </w:rPr>
        <w:t>Oszczędności kosztów operacyjnych wygenerowane przez daną operację, z wyjątkiem</w:t>
      </w:r>
      <w:r w:rsidRPr="00E00B2F">
        <w:rPr>
          <w:rFonts w:ascii="Arial" w:eastAsia="Calibri" w:hAnsi="Arial" w:cs="Arial"/>
        </w:rPr>
        <w:t xml:space="preserve"> oszczędności kosztów </w:t>
      </w:r>
      <w:r w:rsidR="00B4640A">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B310ED">
        <w:rPr>
          <w:rFonts w:ascii="Arial" w:eastAsia="Calibri" w:hAnsi="Arial" w:cs="Arial"/>
        </w:rPr>
        <w:t>;</w:t>
      </w:r>
      <w:r w:rsidRPr="00E00B2F">
        <w:rPr>
          <w:rFonts w:ascii="Arial" w:eastAsia="Calibri" w:hAnsi="Arial" w:cs="Arial"/>
        </w:rPr>
        <w:t xml:space="preserve"> </w:t>
      </w:r>
      <w:r w:rsidR="00B310ED">
        <w:rPr>
          <w:rFonts w:ascii="Arial" w:eastAsia="Calibri" w:hAnsi="Arial" w:cs="Arial"/>
        </w:rPr>
        <w:t>w związku z tym, że art. 61 ust. 1 rozporządzenia ogólnego definiuje operacje generujące dochód po ukończeniu, dochód w tym ujęciu będzie występował jedynie w fazie operacyjnej projektu</w:t>
      </w:r>
      <w:r w:rsidRPr="00FC112E">
        <w:rPr>
          <w:rFonts w:ascii="Arial" w:eastAsia="Calibri" w:hAnsi="Arial" w:cs="Arial"/>
        </w:rPr>
        <w:t>;</w:t>
      </w:r>
    </w:p>
    <w:p w14:paraId="0CA73074" w14:textId="77777777" w:rsidR="00740FC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B310ED">
        <w:rPr>
          <w:rFonts w:ascii="Arial" w:eastAsia="Calibri" w:hAnsi="Arial" w:cs="Arial"/>
        </w:rPr>
        <w:t xml:space="preserve"> w przypadku instrumentów finansowych – finansowanie w oparciu o „umowę o finansowaniu” zgodnie z załącznikiem IV rozporządzenia ogólnego;</w:t>
      </w:r>
    </w:p>
    <w:p w14:paraId="04FA90A2" w14:textId="77777777" w:rsidR="00B310ED" w:rsidRPr="007E469E" w:rsidRDefault="00B310ED" w:rsidP="00C91765">
      <w:pPr>
        <w:numPr>
          <w:ilvl w:val="0"/>
          <w:numId w:val="8"/>
        </w:numPr>
        <w:spacing w:before="240" w:after="240" w:line="360" w:lineRule="auto"/>
        <w:contextualSpacing/>
        <w:jc w:val="both"/>
        <w:rPr>
          <w:rFonts w:ascii="Arial" w:eastAsia="Calibri" w:hAnsi="Arial" w:cs="Arial"/>
        </w:rPr>
      </w:pPr>
      <w:r>
        <w:rPr>
          <w:rFonts w:ascii="Arial" w:eastAsia="Calibri" w:hAnsi="Arial" w:cs="Arial"/>
        </w:rPr>
        <w:t xml:space="preserve">dostawy – </w:t>
      </w:r>
      <w:r w:rsidR="0009514F">
        <w:rPr>
          <w:rFonts w:ascii="Arial" w:eastAsia="Calibri" w:hAnsi="Arial" w:cs="Arial"/>
        </w:rPr>
        <w:t>nabywanie</w:t>
      </w:r>
      <w:r>
        <w:rPr>
          <w:rFonts w:ascii="Arial" w:eastAsia="Calibri" w:hAnsi="Arial" w:cs="Arial"/>
        </w:rPr>
        <w:t xml:space="preserve"> rzeczy oraz innych dóbr, w szczególności na podstawie umowy sprzedaży, dostawy, najmu, dzierżawy oraz leasingu z opcją lub bez opcji zakupu, </w:t>
      </w:r>
      <w:r w:rsidR="0009514F">
        <w:rPr>
          <w:rFonts w:ascii="Arial" w:eastAsia="Calibri" w:hAnsi="Arial" w:cs="Arial"/>
        </w:rPr>
        <w:t>które</w:t>
      </w:r>
      <w:r>
        <w:rPr>
          <w:rFonts w:ascii="Arial" w:eastAsia="Calibri" w:hAnsi="Arial" w:cs="Arial"/>
        </w:rPr>
        <w:t xml:space="preserve"> może obejmować dodatkowo rozmieszczenie lub instalację</w:t>
      </w:r>
      <w:r w:rsidR="0009514F">
        <w:rPr>
          <w:rFonts w:ascii="Arial" w:eastAsia="Calibri" w:hAnsi="Arial" w:cs="Arial"/>
        </w:rPr>
        <w:t>;</w:t>
      </w:r>
      <w:r>
        <w:rPr>
          <w:rFonts w:ascii="Arial" w:eastAsia="Calibri" w:hAnsi="Arial" w:cs="Arial"/>
        </w:rPr>
        <w:t xml:space="preserve"> </w:t>
      </w:r>
    </w:p>
    <w:p w14:paraId="1B8B5D10" w14:textId="77777777"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lastRenderedPageBreak/>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4C7DE9DB" w14:textId="77777777"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581557F" w14:textId="77777777"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1DB9A1EF" w14:textId="77777777"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75861B86" w14:textId="77777777"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34DACB62" w14:textId="77777777"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48B93110" w14:textId="77777777"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14:paraId="039C1114" w14:textId="77777777"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7F004D">
        <w:rPr>
          <w:rFonts w:eastAsia="TTE278EC88t00" w:cs="Arial"/>
        </w:rPr>
        <w:t xml:space="preserve"> z dnia 17 czerwca 2014 r. uznającego niektóre rodzaje pomocy </w:t>
      </w:r>
      <w:r w:rsidR="00EF4D64">
        <w:rPr>
          <w:rFonts w:eastAsia="TTE278EC88t00" w:cs="Arial"/>
        </w:rPr>
        <w:t xml:space="preserve">za zgodne z rynkiem wewnętrznym w zastosowaniu art. 107 i 108 Traktatu (Dz. Urz. UE L 187 z 26.06.2014, z </w:t>
      </w:r>
      <w:proofErr w:type="spellStart"/>
      <w:r w:rsidR="00EF4D64">
        <w:rPr>
          <w:rFonts w:eastAsia="TTE278EC88t00" w:cs="Arial"/>
        </w:rPr>
        <w:t>późn</w:t>
      </w:r>
      <w:proofErr w:type="spellEnd"/>
      <w:r w:rsidR="00EF4D64">
        <w:rPr>
          <w:rFonts w:eastAsia="TTE278EC88t00" w:cs="Arial"/>
        </w:rPr>
        <w:t>. zm., str. 1)</w:t>
      </w:r>
      <w:r w:rsidR="003D08E1" w:rsidRPr="00B6597E">
        <w:rPr>
          <w:rFonts w:eastAsia="TTE278EC88t00" w:cs="Arial"/>
        </w:rPr>
        <w:t>;</w:t>
      </w:r>
    </w:p>
    <w:p w14:paraId="1547CCB6" w14:textId="77777777"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xml:space="preserve">- Kodeks cywilny (Dz. U. z </w:t>
      </w:r>
      <w:r w:rsidR="00EF4D64" w:rsidRPr="005476DC">
        <w:t>201</w:t>
      </w:r>
      <w:r w:rsidR="00EF4D64">
        <w:t>9</w:t>
      </w:r>
      <w:r w:rsidR="00EF4D64" w:rsidRPr="005476DC">
        <w:t xml:space="preserve"> </w:t>
      </w:r>
      <w:r w:rsidRPr="005476DC">
        <w:t xml:space="preserve">r. poz. </w:t>
      </w:r>
      <w:r w:rsidR="00EF4D64">
        <w:t>1145</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w:t>
      </w:r>
      <w:r w:rsidRPr="005476DC">
        <w:lastRenderedPageBreak/>
        <w:t xml:space="preserve">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14:paraId="7E852E8A" w14:textId="77777777"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14:paraId="56576ED3" w14:textId="77777777"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14:paraId="734376E1"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EF4D64">
        <w:rPr>
          <w:rFonts w:eastAsia="TTE278EC88t00" w:cs="Arial"/>
        </w:rPr>
        <w:t xml:space="preserve"> projektu</w:t>
      </w:r>
      <w:r w:rsidR="008A467D" w:rsidRPr="00324456">
        <w:rPr>
          <w:rFonts w:eastAsia="TTE278EC88t00" w:cs="Arial"/>
        </w:rPr>
        <w:t>;</w:t>
      </w:r>
    </w:p>
    <w:p w14:paraId="7E349AF5" w14:textId="77777777"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w:t>
      </w:r>
      <w:r w:rsidR="002D095C">
        <w:rPr>
          <w:rFonts w:eastAsia="TTE278EC88t00" w:cs="Arial"/>
        </w:rPr>
        <w:t xml:space="preserve"> i </w:t>
      </w:r>
      <w:r w:rsidR="002D095C" w:rsidRPr="00324456">
        <w:rPr>
          <w:rFonts w:eastAsia="TTE278EC88t00" w:cs="Arial"/>
        </w:rPr>
        <w:t>wolontariusz</w:t>
      </w:r>
      <w:r w:rsidR="002D095C">
        <w:rPr>
          <w:rFonts w:eastAsia="TTE278EC88t00" w:cs="Arial"/>
        </w:rPr>
        <w:t>e</w:t>
      </w:r>
      <w:r w:rsidR="002D095C" w:rsidRPr="00324456">
        <w:rPr>
          <w:rFonts w:eastAsia="TTE278EC88t00" w:cs="Arial"/>
        </w:rPr>
        <w:t xml:space="preserve"> wykonujący świadczenia na zasadach określonych w ustawie z dnia 24 kwietnia 2003 r. o działalności pożytku publicznego i o wolontariacie</w:t>
      </w:r>
      <w:r w:rsidR="002D095C">
        <w:rPr>
          <w:rFonts w:eastAsia="TTE278EC88t00" w:cs="Arial"/>
        </w:rPr>
        <w:t xml:space="preserve"> (Dz. U. z 2019 r. poz. 688, z </w:t>
      </w:r>
      <w:proofErr w:type="spellStart"/>
      <w:r w:rsidR="002D095C">
        <w:rPr>
          <w:rFonts w:eastAsia="TTE278EC88t00" w:cs="Arial"/>
        </w:rPr>
        <w:t>późn</w:t>
      </w:r>
      <w:proofErr w:type="spellEnd"/>
      <w:r w:rsidR="002D095C">
        <w:rPr>
          <w:rFonts w:eastAsia="TTE278EC88t00" w:cs="Arial"/>
        </w:rPr>
        <w:t>. zm.);</w:t>
      </w:r>
      <w:r w:rsidR="007A4E3A">
        <w:rPr>
          <w:rFonts w:eastAsia="TTE278EC88t00" w:cs="Arial"/>
        </w:rPr>
        <w:t xml:space="preserve"> </w:t>
      </w:r>
      <w:r w:rsidR="002D095C">
        <w:rPr>
          <w:rFonts w:eastAsia="TTE278EC88t00" w:cs="Arial"/>
        </w:rPr>
        <w:t xml:space="preserve">personelem projektu jest też osoba fizyczna prowadząca działalność gospodarczą będąca beneficjentem oraz osoby z nią współpracujące w rozumieniu art. 8 ust. 11 </w:t>
      </w:r>
      <w:r w:rsidR="008B5852" w:rsidRPr="00324456">
        <w:rPr>
          <w:rFonts w:eastAsia="TTE278EC88t00" w:cs="Arial"/>
        </w:rPr>
        <w:t>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D095C">
        <w:rPr>
          <w:rFonts w:eastAsia="TTE278EC88t00" w:cs="Arial"/>
        </w:rPr>
        <w:t>9</w:t>
      </w:r>
      <w:r w:rsidR="002C4F55" w:rsidRPr="00324456">
        <w:rPr>
          <w:rFonts w:eastAsia="TTE278EC88t00" w:cs="Arial"/>
        </w:rPr>
        <w:t xml:space="preserve"> </w:t>
      </w:r>
      <w:r w:rsidR="008B5852" w:rsidRPr="00324456">
        <w:rPr>
          <w:rFonts w:eastAsia="TTE278EC88t00" w:cs="Arial"/>
        </w:rPr>
        <w:t xml:space="preserve">r. poz. </w:t>
      </w:r>
      <w:r w:rsidR="002D095C">
        <w:rPr>
          <w:rFonts w:eastAsia="TTE278EC88t00" w:cs="Arial"/>
        </w:rPr>
        <w:t>300</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00895F0C">
        <w:rPr>
          <w:rFonts w:eastAsia="TTE278EC88t00" w:cs="Arial"/>
        </w:rPr>
        <w:t>;</w:t>
      </w:r>
    </w:p>
    <w:p w14:paraId="4329A7B5" w14:textId="77777777"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14:paraId="3013AA97" w14:textId="77777777"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14:paraId="7D84228B" w14:textId="77777777" w:rsidR="0003137D"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14:paraId="512E1778" w14:textId="77777777" w:rsidR="00114929" w:rsidRPr="00324456" w:rsidRDefault="00114929" w:rsidP="00C91765">
      <w:pPr>
        <w:pStyle w:val="Akapit"/>
        <w:keepNext w:val="0"/>
        <w:numPr>
          <w:ilvl w:val="0"/>
          <w:numId w:val="8"/>
        </w:numPr>
        <w:spacing w:before="240" w:after="240"/>
        <w:contextualSpacing/>
        <w:outlineLvl w:val="5"/>
        <w:rPr>
          <w:rFonts w:eastAsia="TTE278EC88t00" w:cs="Arial"/>
        </w:rPr>
      </w:pPr>
      <w:r>
        <w:rPr>
          <w:rFonts w:eastAsia="TTE278EC88t00" w:cs="Arial"/>
        </w:rPr>
        <w:t xml:space="preserve">roboty budowlane – wykonanie albo zaprojektowanie </w:t>
      </w:r>
      <w:r w:rsidR="00383141">
        <w:rPr>
          <w:rFonts w:eastAsia="TTE278EC88t00" w:cs="Arial"/>
        </w:rPr>
        <w:t xml:space="preserve">i wykonanie robót budowalnych określonych w przepisach wydanych na podstawie art. 2c </w:t>
      </w:r>
      <w:proofErr w:type="spellStart"/>
      <w:r w:rsidR="00383141">
        <w:rPr>
          <w:rFonts w:eastAsia="TTE278EC88t00" w:cs="Arial"/>
        </w:rPr>
        <w:t>Pzp</w:t>
      </w:r>
      <w:proofErr w:type="spellEnd"/>
      <w:r w:rsidR="00383141">
        <w:rPr>
          <w:rFonts w:eastAsia="TTE278EC88t00" w:cs="Arial"/>
        </w:rPr>
        <w:t xml:space="preserve"> lub obiektu budowlanego, </w:t>
      </w:r>
      <w:r w:rsidR="00383141">
        <w:rPr>
          <w:rFonts w:eastAsia="TTE278EC88t00" w:cs="Arial"/>
        </w:rPr>
        <w:lastRenderedPageBreak/>
        <w:t>a także realizację obiektu budowlanego, za pomocą dowolnych środków, zgodnie z wymaganiami określonymi przez zamawiającego;</w:t>
      </w:r>
    </w:p>
    <w:p w14:paraId="704742DD"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14:paraId="78DD042E"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14:paraId="51F64821"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14:paraId="7039F7B9" w14:textId="77777777"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7545F">
        <w:rPr>
          <w:rFonts w:eastAsia="TTE278EC88t00" w:cs="Arial"/>
        </w:rPr>
        <w:t>9</w:t>
      </w:r>
      <w:r w:rsidR="00B1308B" w:rsidRPr="00324456">
        <w:rPr>
          <w:rFonts w:eastAsia="TTE278EC88t00" w:cs="Arial"/>
        </w:rPr>
        <w:t xml:space="preserve"> r.</w:t>
      </w:r>
      <w:r w:rsidR="008E35A2" w:rsidRPr="00324456">
        <w:rPr>
          <w:rFonts w:eastAsia="TTE278EC88t00" w:cs="Arial"/>
        </w:rPr>
        <w:t xml:space="preserve">, poz. </w:t>
      </w:r>
      <w:r w:rsidR="0097545F">
        <w:rPr>
          <w:rFonts w:eastAsia="TTE278EC88t00" w:cs="Arial"/>
        </w:rPr>
        <w:t>351</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w:t>
      </w:r>
      <w:r w:rsidR="0097545F">
        <w:rPr>
          <w:rFonts w:eastAsia="TTE278EC88t00" w:cs="Arial"/>
        </w:rPr>
        <w:t xml:space="preserve"> z zastrzeżeniem inwestycji, o których mowa w art. 3 ust. 1 pkt 17 tej ustawy</w:t>
      </w:r>
      <w:r w:rsidR="008E35A2" w:rsidRPr="00324456">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14:paraId="7AE156F6" w14:textId="77777777"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14:paraId="31D204CB" w14:textId="77777777"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w:t>
      </w:r>
      <w:r w:rsidR="00500BC0" w:rsidRPr="00324456">
        <w:rPr>
          <w:rFonts w:eastAsia="TTE278EC88t00" w:cs="Arial"/>
        </w:rPr>
        <w:lastRenderedPageBreak/>
        <w:t>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14:paraId="610EA919" w14:textId="77777777"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14:paraId="0A7A1D9F" w14:textId="77777777" w:rsidR="0097545F" w:rsidRDefault="00F33CCF"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umowa o partnerstwie – umowę lub porozumienie, o których mowa w art</w:t>
      </w:r>
      <w:r w:rsidR="004425CF" w:rsidRPr="0097545F">
        <w:rPr>
          <w:rFonts w:eastAsia="TTE278EC88t00" w:cs="Arial"/>
        </w:rPr>
        <w:t>. 33</w:t>
      </w:r>
      <w:r w:rsidR="00500BC0" w:rsidRPr="0097545F">
        <w:rPr>
          <w:rFonts w:eastAsia="TTE278EC88t00" w:cs="Arial"/>
        </w:rPr>
        <w:t xml:space="preserve"> ust. 5</w:t>
      </w:r>
      <w:r w:rsidR="004425CF" w:rsidRPr="0097545F">
        <w:rPr>
          <w:rFonts w:eastAsia="TTE278EC88t00" w:cs="Arial"/>
        </w:rPr>
        <w:t xml:space="preserve"> ustawy wdrożeniowej</w:t>
      </w:r>
      <w:r w:rsidR="00500BC0" w:rsidRPr="00383141">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97545F">
        <w:rPr>
          <w:rFonts w:eastAsia="TTE278EC88t00" w:cs="Arial"/>
          <w:bCs w:val="0"/>
        </w:rPr>
        <w:t>ozumienia lub umowy</w:t>
      </w:r>
      <w:r w:rsidR="007A4E3A" w:rsidRPr="0097545F">
        <w:rPr>
          <w:rFonts w:eastAsia="TTE278EC88t00" w:cs="Arial"/>
          <w:bCs w:val="0"/>
        </w:rPr>
        <w:t>,</w:t>
      </w:r>
      <w:r w:rsidR="0097545F">
        <w:rPr>
          <w:rFonts w:eastAsia="TTE278EC88t00" w:cs="Arial"/>
        </w:rPr>
        <w:t xml:space="preserve"> usługi – wszelkie świadczenia, których przedmiotem nie są roboty budowlane lub dostawy;</w:t>
      </w:r>
    </w:p>
    <w:p w14:paraId="09CF01B4" w14:textId="77777777" w:rsidR="00C62948" w:rsidRPr="0097545F" w:rsidRDefault="00C62948" w:rsidP="0097545F">
      <w:pPr>
        <w:pStyle w:val="Akapit"/>
        <w:keepNext w:val="0"/>
        <w:numPr>
          <w:ilvl w:val="0"/>
          <w:numId w:val="8"/>
        </w:numPr>
        <w:spacing w:before="240" w:after="240"/>
        <w:contextualSpacing/>
        <w:outlineLvl w:val="5"/>
        <w:rPr>
          <w:rFonts w:eastAsia="TTE278EC88t00" w:cs="Arial"/>
        </w:rPr>
      </w:pPr>
      <w:r w:rsidRPr="0097545F">
        <w:rPr>
          <w:rFonts w:eastAsia="TTE278EC88t00" w:cs="Arial"/>
        </w:rPr>
        <w:t>ustawa o VAT - ustawę z dnia 11 marca 2004 r. o podatku od towarów i usług (</w:t>
      </w:r>
      <w:proofErr w:type="spellStart"/>
      <w:r w:rsidR="00634F23" w:rsidRPr="0097545F">
        <w:rPr>
          <w:rFonts w:eastAsia="TTE278EC88t00" w:cs="Arial"/>
        </w:rPr>
        <w:t>t.j</w:t>
      </w:r>
      <w:proofErr w:type="spellEnd"/>
      <w:r w:rsidR="00634F23" w:rsidRPr="0097545F">
        <w:rPr>
          <w:rFonts w:eastAsia="TTE278EC88t00" w:cs="Arial"/>
        </w:rPr>
        <w:t xml:space="preserve">. </w:t>
      </w:r>
      <w:r w:rsidRPr="0097545F">
        <w:rPr>
          <w:rFonts w:eastAsia="TTE278EC88t00" w:cs="Arial"/>
        </w:rPr>
        <w:t xml:space="preserve">Dz. U. </w:t>
      </w:r>
      <w:r w:rsidR="0005508B" w:rsidRPr="0097545F">
        <w:rPr>
          <w:rFonts w:eastAsia="TTE278EC88t00" w:cs="Arial"/>
        </w:rPr>
        <w:t xml:space="preserve">z </w:t>
      </w:r>
      <w:r w:rsidR="0097545F">
        <w:rPr>
          <w:rFonts w:eastAsia="TTE278EC88t00" w:cs="Arial"/>
        </w:rPr>
        <w:t>2020</w:t>
      </w:r>
      <w:r w:rsidR="0097545F" w:rsidRPr="0097545F">
        <w:rPr>
          <w:rFonts w:eastAsia="TTE278EC88t00" w:cs="Arial"/>
        </w:rPr>
        <w:t xml:space="preserve"> </w:t>
      </w:r>
      <w:r w:rsidR="0005508B" w:rsidRPr="0097545F">
        <w:rPr>
          <w:rFonts w:eastAsia="TTE278EC88t00" w:cs="Arial"/>
        </w:rPr>
        <w:t>r.</w:t>
      </w:r>
      <w:r w:rsidR="00634F23" w:rsidRPr="0097545F">
        <w:rPr>
          <w:rFonts w:eastAsia="TTE278EC88t00" w:cs="Arial"/>
        </w:rPr>
        <w:t xml:space="preserve"> </w:t>
      </w:r>
      <w:r w:rsidRPr="0097545F">
        <w:rPr>
          <w:rFonts w:eastAsia="TTE278EC88t00" w:cs="Arial"/>
        </w:rPr>
        <w:t xml:space="preserve">poz. </w:t>
      </w:r>
      <w:r w:rsidR="002C4F55" w:rsidRPr="0097545F">
        <w:rPr>
          <w:rFonts w:eastAsia="TTE278EC88t00" w:cs="Arial"/>
        </w:rPr>
        <w:t>1</w:t>
      </w:r>
      <w:r w:rsidR="0097545F">
        <w:rPr>
          <w:rFonts w:eastAsia="TTE278EC88t00" w:cs="Arial"/>
        </w:rPr>
        <w:t xml:space="preserve">06 z </w:t>
      </w:r>
      <w:proofErr w:type="spellStart"/>
      <w:r w:rsidR="0097545F">
        <w:rPr>
          <w:rFonts w:eastAsia="TTE278EC88t00" w:cs="Arial"/>
        </w:rPr>
        <w:t>późn</w:t>
      </w:r>
      <w:proofErr w:type="spellEnd"/>
      <w:r w:rsidR="0097545F">
        <w:rPr>
          <w:rFonts w:eastAsia="TTE278EC88t00" w:cs="Arial"/>
        </w:rPr>
        <w:t>. zm.</w:t>
      </w:r>
      <w:r w:rsidRPr="0097545F">
        <w:rPr>
          <w:rFonts w:eastAsia="TTE278EC88t00" w:cs="Arial"/>
        </w:rPr>
        <w:t>);</w:t>
      </w:r>
    </w:p>
    <w:p w14:paraId="65811EEB" w14:textId="77777777"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97545F">
        <w:rPr>
          <w:rFonts w:eastAsia="TTE278EC88t00" w:cs="Arial"/>
        </w:rPr>
        <w:t>9</w:t>
      </w:r>
      <w:r w:rsidRPr="00324456">
        <w:rPr>
          <w:rFonts w:eastAsia="TTE278EC88t00" w:cs="Arial"/>
        </w:rPr>
        <w:t xml:space="preserve"> r. poz. </w:t>
      </w:r>
      <w:r w:rsidR="008C60FF">
        <w:rPr>
          <w:rFonts w:eastAsia="TTE278EC88t00" w:cs="Arial"/>
        </w:rPr>
        <w:t>1</w:t>
      </w:r>
      <w:r w:rsidR="0097545F">
        <w:rPr>
          <w:rFonts w:eastAsia="TTE278EC88t00" w:cs="Arial"/>
        </w:rPr>
        <w:t>186</w:t>
      </w:r>
      <w:r w:rsidR="008C60FF">
        <w:rPr>
          <w:rFonts w:eastAsia="TTE278EC88t00" w:cs="Arial"/>
        </w:rPr>
        <w:t xml:space="preserve">,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14:paraId="258C16FB" w14:textId="77777777"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Pr>
          <w:rFonts w:eastAsia="TTE278EC88t00" w:cs="Arial"/>
        </w:rPr>
        <w:t xml:space="preserve"> do wartości niematerialnych i prawnych zalicza się również nabytą wartość firmy oraz koszty zakończonych prac rozwojowych;</w:t>
      </w:r>
    </w:p>
    <w:p w14:paraId="0A5A6D75" w14:textId="77777777"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Pr>
          <w:rFonts w:eastAsia="TTE278EC88t00" w:cs="Arial"/>
        </w:rPr>
        <w:t xml:space="preserve"> rozumianą jako % dofinansowania wydatków kwalifikowalnych</w:t>
      </w:r>
      <w:r w:rsidRPr="00324456">
        <w:rPr>
          <w:rFonts w:eastAsia="TTE278EC88t00" w:cs="Arial"/>
        </w:rPr>
        <w:t>)</w:t>
      </w:r>
      <w:r w:rsidR="004425CF" w:rsidRPr="00324456">
        <w:rPr>
          <w:rFonts w:eastAsia="TTE278EC88t00" w:cs="Arial"/>
        </w:rPr>
        <w:t>;</w:t>
      </w:r>
    </w:p>
    <w:p w14:paraId="4A25E5EA" w14:textId="77777777"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14:paraId="2AF215A1" w14:textId="77777777"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2434903D"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CC6912">
        <w:rPr>
          <w:rFonts w:eastAsia="TTE278EC88t00" w:cs="Arial"/>
        </w:rPr>
        <w:t xml:space="preserve"> projektu</w:t>
      </w:r>
      <w:r w:rsidR="004425CF" w:rsidRPr="00324456">
        <w:rPr>
          <w:rFonts w:eastAsia="TTE278EC88t00" w:cs="Arial"/>
        </w:rPr>
        <w:t>;</w:t>
      </w:r>
    </w:p>
    <w:p w14:paraId="0F8E4A55" w14:textId="77777777"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14:paraId="60C64E02" w14:textId="77777777"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CC6912">
        <w:rPr>
          <w:rFonts w:eastAsia="TTE278EC88t00" w:cs="Arial"/>
        </w:rPr>
        <w:t xml:space="preserve"> niebędącą personelem projektu w rozumieniu pkt. 18,</w:t>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w projekcie realizowanym w ramach POPC;</w:t>
      </w:r>
    </w:p>
    <w:p w14:paraId="32AB863C" w14:textId="77777777"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14:paraId="794967A9" w14:textId="77777777"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14:paraId="101AC39F" w14:textId="77777777"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r w:rsidR="00CC6912">
        <w:rPr>
          <w:rFonts w:eastAsia="TTE278EC88t00" w:cs="Arial"/>
        </w:rPr>
        <w:t xml:space="preserve"> projektu</w:t>
      </w:r>
      <w:r w:rsidRPr="00C05D20">
        <w:rPr>
          <w:rFonts w:eastAsia="TTE278EC88t00" w:cs="Arial"/>
        </w:rPr>
        <w:t>.</w:t>
      </w:r>
    </w:p>
    <w:p w14:paraId="6DCF5CBD" w14:textId="77777777" w:rsidR="0096087C" w:rsidRDefault="0096087C">
      <w:pPr>
        <w:rPr>
          <w:rFonts w:ascii="Arial" w:hAnsi="Arial" w:cs="Arial"/>
          <w:highlight w:val="yellow"/>
        </w:rPr>
      </w:pPr>
      <w:r>
        <w:rPr>
          <w:rFonts w:ascii="Arial" w:hAnsi="Arial" w:cs="Arial"/>
          <w:highlight w:val="yellow"/>
        </w:rPr>
        <w:br w:type="page"/>
      </w:r>
    </w:p>
    <w:p w14:paraId="47259E6B"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48555132"/>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14:paraId="093B4E1C"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14:paraId="4330367A" w14:textId="77777777"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14:paraId="2BA6C9E7"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389C65C1" w14:textId="77777777" w:rsidR="00CD6D0F"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14:paraId="62F877DA"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711ABEC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2A150D24"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04A5F0E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48555133"/>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14:paraId="6D169032"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15A6D1AB" w14:textId="77777777" w:rsidR="0047796B" w:rsidRPr="007E469E" w:rsidRDefault="0047796B" w:rsidP="00903FFD">
      <w:pPr>
        <w:spacing w:before="120" w:after="120" w:line="360" w:lineRule="auto"/>
        <w:jc w:val="both"/>
        <w:rPr>
          <w:rFonts w:ascii="Arial" w:hAnsi="Arial" w:cs="Arial"/>
        </w:rPr>
      </w:pPr>
    </w:p>
    <w:p w14:paraId="3BC63835"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48555134"/>
      <w:r w:rsidRPr="007E469E">
        <w:rPr>
          <w:rFonts w:ascii="Arial" w:hAnsi="Arial" w:cs="Arial"/>
          <w:i/>
          <w:color w:val="auto"/>
          <w:sz w:val="24"/>
          <w:szCs w:val="24"/>
        </w:rPr>
        <w:t>Ocena kwalifikowalności wydatku.</w:t>
      </w:r>
      <w:bookmarkEnd w:id="38"/>
    </w:p>
    <w:p w14:paraId="3E670DBD" w14:textId="77777777"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14:paraId="1286E640" w14:textId="77777777"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14:paraId="5C3BEFE1" w14:textId="77777777"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14:paraId="026E6149"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F96D920"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48555135"/>
      <w:r w:rsidRPr="007E469E">
        <w:rPr>
          <w:rFonts w:ascii="Arial" w:hAnsi="Arial" w:cs="Arial"/>
          <w:i/>
          <w:color w:val="auto"/>
          <w:sz w:val="24"/>
          <w:szCs w:val="24"/>
        </w:rPr>
        <w:t>Wydatki niekwalifikowalne</w:t>
      </w:r>
      <w:bookmarkEnd w:id="39"/>
    </w:p>
    <w:p w14:paraId="391495E4" w14:textId="77777777"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65C72092" w14:textId="77777777"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14:paraId="23396B97" w14:textId="77777777" w:rsidR="00903FFD" w:rsidRPr="007E469E" w:rsidRDefault="00903FFD" w:rsidP="00903FFD">
      <w:pPr>
        <w:pStyle w:val="Akapitzlist"/>
        <w:spacing w:before="120" w:after="120" w:line="360" w:lineRule="auto"/>
        <w:ind w:left="360"/>
        <w:jc w:val="both"/>
        <w:rPr>
          <w:rFonts w:ascii="Arial" w:hAnsi="Arial" w:cs="Arial"/>
        </w:rPr>
      </w:pPr>
    </w:p>
    <w:p w14:paraId="6CE13E91"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48555136"/>
      <w:r w:rsidRPr="00B81671">
        <w:rPr>
          <w:rFonts w:ascii="Arial" w:hAnsi="Arial" w:cs="Arial"/>
          <w:i/>
          <w:color w:val="auto"/>
          <w:sz w:val="24"/>
          <w:szCs w:val="24"/>
        </w:rPr>
        <w:t>Zasada faktycznego poniesienia wydatku</w:t>
      </w:r>
      <w:bookmarkEnd w:id="40"/>
    </w:p>
    <w:p w14:paraId="182A4228" w14:textId="77777777"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14:paraId="2838A737" w14:textId="77777777"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2073A2AD"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0F349B72" w14:textId="77777777"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lastRenderedPageBreak/>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703C1AA9"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14:paraId="4CD7B2B7"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0666CD">
        <w:rPr>
          <w:rFonts w:ascii="Arial" w:hAnsi="Arial" w:cs="Arial"/>
        </w:rPr>
        <w:t>płatniczego</w:t>
      </w:r>
      <w:r w:rsidR="000666C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0666CD">
        <w:rPr>
          <w:rFonts w:ascii="Arial" w:hAnsi="Arial" w:cs="Arial"/>
        </w:rPr>
        <w:t>8</w:t>
      </w:r>
      <w:r w:rsidR="00B176BD" w:rsidRPr="00B81671">
        <w:rPr>
          <w:rFonts w:ascii="Arial" w:hAnsi="Arial" w:cs="Arial"/>
        </w:rPr>
        <w:t xml:space="preserve"> r. poz. </w:t>
      </w:r>
      <w:r w:rsidR="000666CD">
        <w:rPr>
          <w:rFonts w:ascii="Arial" w:hAnsi="Arial" w:cs="Arial"/>
        </w:rPr>
        <w:t>2</w:t>
      </w:r>
      <w:r w:rsidRPr="00B81671">
        <w:rPr>
          <w:rFonts w:ascii="Arial" w:hAnsi="Arial" w:cs="Arial"/>
        </w:rPr>
        <w:t>1</w:t>
      </w:r>
      <w:r w:rsidR="002D19CB">
        <w:rPr>
          <w:rFonts w:ascii="Arial" w:hAnsi="Arial" w:cs="Arial"/>
        </w:rPr>
        <w:t>8</w:t>
      </w:r>
      <w:r w:rsidR="002C4F55">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9EFF0EC"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4FA4A6D"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21061662"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957ED4" w14:textId="77777777"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5F2F3A98" w14:textId="77777777"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31E7C02C"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22C42CF5"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5AFD65BB" w14:textId="77777777"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14:paraId="46348FA6"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14:paraId="6977AF8A"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lastRenderedPageBreak/>
        <w:t>- oświadczeniem beneficjenta, że cena używanego środka trwałego nie przekracza jego wartości rynkowej i jest niższa niż cena podobnego, nowego środka trwałego,</w:t>
      </w:r>
    </w:p>
    <w:p w14:paraId="2F9631FA"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30080C6D"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3FD18BD0"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64ED78B6" w14:textId="77777777"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53CC945" w14:textId="77777777"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080205CE"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0A569FB"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74DF9A39" w14:textId="77777777"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412C66F5" w14:textId="77777777"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F768E5B"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62403297" w14:textId="77777777"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53E1BC85"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160A2937" w14:textId="77777777"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DBCFDD" w14:textId="77777777"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71C2238E"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3FDAE95C"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4C37421E" w14:textId="77777777"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7EF04E9D" w14:textId="77777777"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6404D571" w14:textId="77777777"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14:paraId="287D4C5C" w14:textId="77777777"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14:paraId="69E72602"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63AA0A98" w14:textId="77777777"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 xml:space="preserve">przez rzeczoznawcę majątkowego, zgodnie z przepisami ustawy z dnia 21 sierpnia </w:t>
      </w:r>
      <w:r w:rsidR="0052190D" w:rsidRPr="00B81671">
        <w:rPr>
          <w:rFonts w:ascii="Arial" w:eastAsia="Times New Roman" w:hAnsi="Arial" w:cs="Arial"/>
          <w:lang w:eastAsia="pl-PL"/>
        </w:rPr>
        <w:lastRenderedPageBreak/>
        <w:t>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0666CD" w:rsidRPr="00B81671">
        <w:rPr>
          <w:rFonts w:ascii="Arial" w:eastAsia="Times New Roman" w:hAnsi="Arial" w:cs="Arial"/>
          <w:lang w:eastAsia="pl-PL"/>
        </w:rPr>
        <w:t>201</w:t>
      </w:r>
      <w:r w:rsidR="000666CD">
        <w:rPr>
          <w:rFonts w:ascii="Arial" w:eastAsia="Times New Roman" w:hAnsi="Arial" w:cs="Arial"/>
          <w:lang w:eastAsia="pl-PL"/>
        </w:rPr>
        <w:t>8</w:t>
      </w:r>
      <w:r w:rsidR="000666C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w:t>
      </w:r>
      <w:r w:rsidR="000666CD">
        <w:rPr>
          <w:rFonts w:ascii="Arial" w:eastAsia="Times New Roman" w:hAnsi="Arial" w:cs="Arial"/>
          <w:lang w:eastAsia="pl-PL"/>
        </w:rPr>
        <w:t>20</w:t>
      </w:r>
      <w:r w:rsidR="00565443">
        <w:rPr>
          <w:rFonts w:ascii="Arial" w:eastAsia="Times New Roman" w:hAnsi="Arial" w:cs="Arial"/>
          <w:lang w:eastAsia="pl-PL"/>
        </w:rPr>
        <w:t>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0D654A54"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01E13B95"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38B7660C"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6ED2A690"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224CC8BE"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76BDE02F"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6D4E6FFF"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752B6C77"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1DED018D"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28613C7D"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14:paraId="355A5F14"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66FE49AC" w14:textId="77777777"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445D294B" w14:textId="77777777"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45060BF8" w14:textId="77777777"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 w przypadku przekroczenia limitu hotelowego – zgodą kierownika jednostki na przekroczenie limitu hotelowego wraz z uzasadnieniem.</w:t>
      </w:r>
    </w:p>
    <w:p w14:paraId="14060E40"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475D68F8" w14:textId="77777777"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6590C304"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7D9650E2" w14:textId="77777777"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0AA9E58A"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32D7A74A"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63998A7"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3AA1FF2F"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73C7709C"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4537F5E6"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w:t>
      </w:r>
      <w:r w:rsidRPr="00B81671">
        <w:rPr>
          <w:rFonts w:ascii="Arial" w:hAnsi="Arial" w:cs="Arial"/>
        </w:rPr>
        <w:lastRenderedPageBreak/>
        <w:t xml:space="preserve">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0EE161AF" w14:textId="77777777"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14:paraId="776D23FA"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14:paraId="310A30DF"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14:paraId="6F01A902"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14:paraId="2DBDB54D" w14:textId="77777777"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61E12350" w14:textId="77777777"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51493D3" w14:textId="77777777"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14:paraId="5177BE5F" w14:textId="77777777"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14:paraId="79CF2F9B" w14:textId="77777777"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 xml:space="preserve">prowadzeniu odrębnego systemu </w:t>
      </w:r>
      <w:r w:rsidR="00626F88" w:rsidRPr="00B81671">
        <w:rPr>
          <w:rFonts w:ascii="Arial" w:hAnsi="Arial" w:cs="Arial"/>
        </w:rPr>
        <w:lastRenderedPageBreak/>
        <w:t>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1C623922"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7F368F82" w14:textId="77777777"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14:paraId="6B2C7D56" w14:textId="77777777"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24D14A0C" w14:textId="77777777" w:rsidR="00903FFD"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C12874E" w14:textId="77777777" w:rsidR="00111EF8" w:rsidRDefault="00111EF8" w:rsidP="00111EF8">
      <w:pPr>
        <w:pStyle w:val="Akapitzlist"/>
        <w:spacing w:before="120" w:after="120" w:line="360" w:lineRule="auto"/>
        <w:ind w:left="360"/>
        <w:jc w:val="both"/>
        <w:rPr>
          <w:rFonts w:ascii="Arial" w:hAnsi="Arial" w:cs="Arial"/>
        </w:rPr>
      </w:pPr>
    </w:p>
    <w:p w14:paraId="3DDD5FC0" w14:textId="77777777" w:rsidR="00111EF8" w:rsidRDefault="00111EF8" w:rsidP="00111EF8">
      <w:pPr>
        <w:pStyle w:val="Akapitzlist"/>
        <w:spacing w:before="120" w:after="120" w:line="360" w:lineRule="auto"/>
        <w:ind w:left="360"/>
        <w:jc w:val="both"/>
        <w:rPr>
          <w:rFonts w:ascii="Arial" w:hAnsi="Arial" w:cs="Arial"/>
        </w:rPr>
      </w:pPr>
    </w:p>
    <w:p w14:paraId="70AF2D3A" w14:textId="77777777" w:rsidR="00111EF8" w:rsidRPr="00B81671" w:rsidRDefault="00111EF8" w:rsidP="00111EF8">
      <w:pPr>
        <w:pStyle w:val="Akapitzlist"/>
        <w:spacing w:before="120" w:after="120" w:line="360" w:lineRule="auto"/>
        <w:ind w:left="360"/>
        <w:jc w:val="both"/>
        <w:rPr>
          <w:rFonts w:ascii="Arial" w:hAnsi="Arial" w:cs="Arial"/>
        </w:rPr>
      </w:pPr>
    </w:p>
    <w:p w14:paraId="0B66FA2B" w14:textId="77777777"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48555137"/>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20D9">
        <w:rPr>
          <w:rFonts w:ascii="Arial" w:hAnsi="Arial" w:cs="Arial"/>
          <w:i/>
          <w:color w:val="000000" w:themeColor="text1"/>
          <w:sz w:val="24"/>
          <w:szCs w:val="24"/>
        </w:rPr>
        <w:t>Uproszczone metody rozliczania wydatków</w:t>
      </w:r>
      <w:bookmarkEnd w:id="126"/>
    </w:p>
    <w:p w14:paraId="0897ECE9" w14:textId="77777777"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14:paraId="47685D58" w14:textId="77777777"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14:paraId="09D1C360" w14:textId="77777777"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w:t>
      </w:r>
      <w:r w:rsidR="006F233A">
        <w:rPr>
          <w:bCs w:val="0"/>
          <w:color w:val="000000" w:themeColor="text1"/>
          <w:szCs w:val="22"/>
        </w:rPr>
        <w:lastRenderedPageBreak/>
        <w:t xml:space="preserve">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14:paraId="4F40FB83" w14:textId="77777777"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14:paraId="0AFDAEEE"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14:paraId="412C87E0" w14:textId="77777777"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14:paraId="646564AE"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14:paraId="20D44BEB" w14:textId="77777777"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14:paraId="0B712EA5" w14:textId="77777777"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14:paraId="1017333B" w14:textId="77777777"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14:paraId="65151641" w14:textId="77777777"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14:paraId="7503A1D0" w14:textId="77777777" w:rsidR="00855A61" w:rsidRPr="00037599" w:rsidRDefault="00037599" w:rsidP="00037599">
      <w:pPr>
        <w:spacing w:before="120" w:after="120" w:line="360" w:lineRule="auto"/>
        <w:ind w:left="357" w:hanging="357"/>
        <w:jc w:val="both"/>
        <w:rPr>
          <w:rFonts w:ascii="Arial" w:hAnsi="Arial" w:cs="Arial"/>
        </w:rPr>
      </w:pPr>
      <w:r>
        <w:rPr>
          <w:rFonts w:ascii="Arial" w:hAnsi="Arial" w:cs="Arial"/>
        </w:rPr>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14:paraId="27639F7A" w14:textId="77777777"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14:paraId="33E9C8FD"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14:paraId="2AD05832" w14:textId="77777777"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14:paraId="15D4382E" w14:textId="77777777"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14:paraId="097BF12A" w14:textId="77777777"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14:paraId="72DF916D" w14:textId="77777777" w:rsidR="006F233A" w:rsidRPr="00C33055" w:rsidRDefault="006F233A" w:rsidP="006F233A">
      <w:pPr>
        <w:spacing w:before="120" w:after="120" w:line="360" w:lineRule="auto"/>
        <w:ind w:left="357" w:hanging="357"/>
        <w:jc w:val="both"/>
      </w:pPr>
    </w:p>
    <w:p w14:paraId="05DAF325" w14:textId="77777777"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29" w:name="_Toc428535187"/>
      <w:bookmarkStart w:id="130" w:name="_Toc431295988"/>
      <w:bookmarkStart w:id="131" w:name="_Toc48555138"/>
      <w:r>
        <w:rPr>
          <w:rFonts w:ascii="Arial" w:hAnsi="Arial" w:cs="Arial"/>
          <w:i/>
          <w:color w:val="000000" w:themeColor="text1"/>
          <w:sz w:val="24"/>
          <w:szCs w:val="24"/>
        </w:rPr>
        <w:t>Zamówienia udzielane w projektach</w:t>
      </w:r>
      <w:bookmarkEnd w:id="129"/>
      <w:bookmarkEnd w:id="130"/>
      <w:bookmarkEnd w:id="131"/>
    </w:p>
    <w:p w14:paraId="3BAE7F53" w14:textId="77777777"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14:paraId="3057656D" w14:textId="77777777"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14:paraId="23DACB02" w14:textId="77777777"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14:paraId="1BAADF59" w14:textId="77777777"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14:paraId="05472816" w14:textId="77777777"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14:paraId="15D983CD" w14:textId="77777777"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14:paraId="54A1FE9A" w14:textId="77777777"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65B13D73" w14:textId="77777777"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2" w:name="_Toc429043882"/>
      <w:bookmarkStart w:id="133" w:name="_Toc48555139"/>
      <w:bookmarkEnd w:id="127"/>
      <w:bookmarkEnd w:id="128"/>
      <w:bookmarkEnd w:id="132"/>
      <w:r w:rsidRPr="00984B98">
        <w:rPr>
          <w:rFonts w:ascii="Arial" w:hAnsi="Arial" w:cs="Arial"/>
          <w:i/>
          <w:color w:val="000000" w:themeColor="text1"/>
          <w:sz w:val="24"/>
          <w:szCs w:val="24"/>
        </w:rPr>
        <w:t>Wkład niepieniężny</w:t>
      </w:r>
      <w:bookmarkEnd w:id="133"/>
    </w:p>
    <w:p w14:paraId="5B8F4702"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14:paraId="22A3F697" w14:textId="77777777"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14:paraId="0737B0B0" w14:textId="77777777"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4" w:name="_Toc499016925"/>
      <w:bookmarkStart w:id="135" w:name="_Toc499016926"/>
      <w:bookmarkStart w:id="136" w:name="_Toc48555140"/>
      <w:bookmarkEnd w:id="134"/>
      <w:bookmarkEnd w:id="135"/>
      <w:r w:rsidRPr="00C05D20">
        <w:rPr>
          <w:rFonts w:ascii="Arial" w:hAnsi="Arial" w:cs="Arial"/>
          <w:i/>
          <w:color w:val="000000" w:themeColor="text1"/>
          <w:sz w:val="24"/>
          <w:szCs w:val="24"/>
        </w:rPr>
        <w:t>Leasing</w:t>
      </w:r>
      <w:bookmarkEnd w:id="136"/>
    </w:p>
    <w:p w14:paraId="7E81FB64" w14:textId="77777777"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5B963904" w14:textId="77777777"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2D163AE0"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48DD76D8"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732523A4" w14:textId="77777777"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14:paraId="72D54F59"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C520470" w14:textId="77777777" w:rsidR="006F58D2" w:rsidRPr="00C60541" w:rsidRDefault="006F58D2" w:rsidP="00C0534E">
      <w:pPr>
        <w:ind w:left="426"/>
        <w:jc w:val="both"/>
        <w:rPr>
          <w:rFonts w:ascii="Arial" w:hAnsi="Arial" w:cs="Arial"/>
        </w:rPr>
      </w:pPr>
      <w:r w:rsidRPr="00B81671">
        <w:rPr>
          <w:rFonts w:ascii="Arial" w:hAnsi="Arial" w:cs="Arial"/>
        </w:rPr>
        <w:t>e) opłaty ubezpieczeniowe.</w:t>
      </w:r>
    </w:p>
    <w:p w14:paraId="7181274F" w14:textId="77777777" w:rsidR="00C33055" w:rsidRPr="00C55C98" w:rsidRDefault="00C33055" w:rsidP="006F58D2">
      <w:pPr>
        <w:ind w:left="709"/>
        <w:rPr>
          <w:rFonts w:cs="Times New Roman"/>
        </w:rPr>
      </w:pPr>
    </w:p>
    <w:p w14:paraId="02CDEDD3" w14:textId="77777777"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7" w:name="_Toc48555141"/>
      <w:r w:rsidRPr="008300AA">
        <w:rPr>
          <w:rFonts w:ascii="Arial" w:hAnsi="Arial" w:cs="Arial"/>
          <w:i/>
          <w:color w:val="000000" w:themeColor="text1"/>
          <w:sz w:val="24"/>
          <w:szCs w:val="24"/>
        </w:rPr>
        <w:t>Projekty generujące dochód po zakończeniu realizacji projektów</w:t>
      </w:r>
      <w:bookmarkEnd w:id="137"/>
    </w:p>
    <w:p w14:paraId="31296F53" w14:textId="77777777"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14:paraId="1DA09B6C" w14:textId="77777777"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14:paraId="357747AA"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3C051EE6" w14:textId="77777777"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407115853"/>
      <w:bookmarkStart w:id="139" w:name="_Toc407116383"/>
      <w:bookmarkStart w:id="140" w:name="_Toc48555142"/>
      <w:bookmarkEnd w:id="138"/>
      <w:bookmarkEnd w:id="139"/>
      <w:r w:rsidRPr="008300AA">
        <w:rPr>
          <w:rFonts w:ascii="Arial" w:hAnsi="Arial" w:cs="Arial"/>
          <w:i/>
          <w:color w:val="000000" w:themeColor="text1"/>
          <w:sz w:val="24"/>
          <w:szCs w:val="24"/>
        </w:rPr>
        <w:t>Kwalifikowalność podatku VAT i innych podatków, opłat i obciążeń</w:t>
      </w:r>
      <w:bookmarkEnd w:id="140"/>
    </w:p>
    <w:p w14:paraId="2B7F24BD" w14:textId="77777777"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14:paraId="47B12F91" w14:textId="77777777"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14:paraId="737A9D66" w14:textId="77777777"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14:paraId="41F53616"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1" w:name="_Toc48555143"/>
      <w:r w:rsidRPr="00C05D20">
        <w:rPr>
          <w:rFonts w:ascii="Arial" w:hAnsi="Arial" w:cs="Arial"/>
          <w:i/>
          <w:color w:val="000000" w:themeColor="text1"/>
          <w:sz w:val="24"/>
          <w:szCs w:val="24"/>
        </w:rPr>
        <w:t>Kwalifikowalność działań informacyjno-promocyjnych</w:t>
      </w:r>
      <w:bookmarkEnd w:id="141"/>
    </w:p>
    <w:p w14:paraId="7728B059" w14:textId="77777777"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14:paraId="6F0235AC" w14:textId="77777777"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14:paraId="42D204B1" w14:textId="77777777"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14:paraId="0E0AC1DC" w14:textId="77777777" w:rsidR="000A3D3D" w:rsidRPr="007E469E" w:rsidRDefault="000A3D3D" w:rsidP="00537C95">
      <w:pPr>
        <w:pStyle w:val="Akapit"/>
        <w:keepNext w:val="0"/>
        <w:numPr>
          <w:ilvl w:val="0"/>
          <w:numId w:val="0"/>
        </w:numPr>
        <w:spacing w:before="120" w:after="120"/>
        <w:ind w:left="1800"/>
        <w:outlineLvl w:val="5"/>
        <w:rPr>
          <w:rFonts w:cs="Arial"/>
        </w:rPr>
      </w:pPr>
    </w:p>
    <w:p w14:paraId="4DBBDA4E"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48555144"/>
      <w:r w:rsidRPr="00C05D20">
        <w:rPr>
          <w:rFonts w:ascii="Arial" w:hAnsi="Arial" w:cs="Arial"/>
          <w:i/>
          <w:color w:val="000000" w:themeColor="text1"/>
          <w:sz w:val="24"/>
          <w:szCs w:val="24"/>
        </w:rPr>
        <w:lastRenderedPageBreak/>
        <w:t>Koszty pośrednie</w:t>
      </w:r>
      <w:bookmarkEnd w:id="142"/>
    </w:p>
    <w:p w14:paraId="3AB2C3D1" w14:textId="77777777"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14:paraId="770F0ED3" w14:textId="77777777"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14:paraId="17B8B60E" w14:textId="77777777"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14:paraId="242D053D" w14:textId="77777777" w:rsidR="00903FFD" w:rsidRPr="0090047B" w:rsidRDefault="00903FFD" w:rsidP="00A01186">
      <w:pPr>
        <w:spacing w:after="0" w:line="360" w:lineRule="auto"/>
        <w:jc w:val="both"/>
        <w:rPr>
          <w:rFonts w:ascii="Arial" w:hAnsi="Arial" w:cs="Arial"/>
        </w:rPr>
      </w:pPr>
    </w:p>
    <w:p w14:paraId="6E2EB9F1"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48555145"/>
      <w:bookmarkEnd w:id="143"/>
      <w:bookmarkEnd w:id="144"/>
      <w:bookmarkEnd w:id="145"/>
      <w:bookmarkEnd w:id="146"/>
      <w:bookmarkEnd w:id="147"/>
      <w:r w:rsidRPr="00C05D20">
        <w:rPr>
          <w:rFonts w:ascii="Arial" w:hAnsi="Arial" w:cs="Arial"/>
          <w:i/>
          <w:color w:val="000000" w:themeColor="text1"/>
          <w:sz w:val="24"/>
          <w:szCs w:val="24"/>
        </w:rPr>
        <w:t>Koszty związane z angażowaniem personelu</w:t>
      </w:r>
      <w:bookmarkEnd w:id="148"/>
      <w:bookmarkEnd w:id="149"/>
      <w:r w:rsidR="00425717" w:rsidRPr="00C05D20">
        <w:rPr>
          <w:rFonts w:ascii="Arial" w:hAnsi="Arial" w:cs="Arial"/>
          <w:i/>
          <w:color w:val="000000" w:themeColor="text1"/>
          <w:sz w:val="24"/>
          <w:szCs w:val="24"/>
        </w:rPr>
        <w:t xml:space="preserve"> projektu</w:t>
      </w:r>
      <w:bookmarkEnd w:id="150"/>
    </w:p>
    <w:p w14:paraId="11A04904" w14:textId="77777777" w:rsidR="00903FFD" w:rsidRPr="007E469E" w:rsidRDefault="00903FFD" w:rsidP="007A3546">
      <w:pPr>
        <w:pStyle w:val="Akapitzlist"/>
        <w:numPr>
          <w:ilvl w:val="0"/>
          <w:numId w:val="10"/>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14:paraId="4D1DD8AC" w14:textId="77777777"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0D0E1D7F" w14:textId="77777777" w:rsidR="00833A56" w:rsidRPr="007E469E" w:rsidRDefault="00833A56" w:rsidP="00833A56">
      <w:pPr>
        <w:pStyle w:val="Akapit"/>
        <w:keepNext w:val="0"/>
        <w:numPr>
          <w:ilvl w:val="0"/>
          <w:numId w:val="0"/>
        </w:numPr>
        <w:spacing w:before="120" w:after="120"/>
        <w:ind w:left="426"/>
        <w:outlineLvl w:val="5"/>
        <w:rPr>
          <w:rFonts w:cs="Arial"/>
          <w:szCs w:val="22"/>
        </w:rPr>
      </w:pPr>
    </w:p>
    <w:p w14:paraId="718E50E6"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3" w:name="_Toc407115859"/>
      <w:bookmarkStart w:id="154" w:name="_Toc407116389"/>
      <w:bookmarkEnd w:id="153"/>
      <w:bookmarkEnd w:id="154"/>
      <w:r w:rsidRPr="00C05D20">
        <w:rPr>
          <w:rFonts w:ascii="Arial" w:hAnsi="Arial" w:cs="Arial"/>
          <w:i/>
          <w:color w:val="000000" w:themeColor="text1"/>
          <w:sz w:val="24"/>
          <w:szCs w:val="24"/>
        </w:rPr>
        <w:t xml:space="preserve"> </w:t>
      </w:r>
      <w:bookmarkStart w:id="155" w:name="_Toc48555146"/>
      <w:r w:rsidRPr="00C05D20">
        <w:rPr>
          <w:rFonts w:ascii="Arial" w:hAnsi="Arial" w:cs="Arial"/>
          <w:i/>
          <w:color w:val="000000" w:themeColor="text1"/>
          <w:sz w:val="24"/>
          <w:szCs w:val="24"/>
        </w:rPr>
        <w:t>Zmiany projektów</w:t>
      </w:r>
      <w:bookmarkEnd w:id="155"/>
    </w:p>
    <w:p w14:paraId="7BC2777F" w14:textId="77777777"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6E6F2B5C" w14:textId="77777777"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39DF5BBD" w14:textId="77777777" w:rsidR="00903FFD" w:rsidRPr="007E469E" w:rsidRDefault="00903FFD" w:rsidP="00AE4553">
      <w:pPr>
        <w:spacing w:before="120" w:after="120" w:line="360" w:lineRule="auto"/>
        <w:ind w:left="426"/>
        <w:jc w:val="both"/>
        <w:rPr>
          <w:rFonts w:ascii="Arial" w:hAnsi="Arial" w:cs="Arial"/>
        </w:rPr>
      </w:pPr>
    </w:p>
    <w:p w14:paraId="48CF2A1E"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48555147"/>
      <w:bookmarkEnd w:id="156"/>
      <w:bookmarkEnd w:id="157"/>
      <w:bookmarkEnd w:id="158"/>
      <w:bookmarkEnd w:id="159"/>
      <w:bookmarkEnd w:id="160"/>
      <w:bookmarkEnd w:id="161"/>
      <w:r w:rsidRPr="00C05D20">
        <w:rPr>
          <w:rFonts w:ascii="Arial" w:hAnsi="Arial" w:cs="Arial"/>
          <w:i/>
          <w:color w:val="000000" w:themeColor="text1"/>
          <w:sz w:val="24"/>
          <w:szCs w:val="24"/>
        </w:rPr>
        <w:t>Podmiot dokonujący wydatków kwalifikowalnych</w:t>
      </w:r>
      <w:bookmarkEnd w:id="162"/>
    </w:p>
    <w:p w14:paraId="4E8F8D2D" w14:textId="77777777"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7427CDBD" w14:textId="77777777"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w:t>
      </w:r>
      <w:r w:rsidRPr="00B81671">
        <w:rPr>
          <w:rFonts w:ascii="Arial" w:eastAsia="Times New Roman" w:hAnsi="Arial" w:cs="Arial"/>
          <w:lang w:eastAsia="pl-PL"/>
        </w:rPr>
        <w:lastRenderedPageBreak/>
        <w:t>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360CB60F" w14:textId="77777777"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20B13498" w14:textId="77777777"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493B6836" w14:textId="77777777"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14:paraId="0719B3EA"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017D8C0"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2DE2EED4"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75F113E1" w14:textId="77777777"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3C94968D" w14:textId="77777777"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2B6063C9"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2BE0D137"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3" w:name="_Toc48555148"/>
      <w:r w:rsidRPr="00C05D20">
        <w:rPr>
          <w:rFonts w:ascii="Arial" w:hAnsi="Arial" w:cs="Arial"/>
          <w:i/>
          <w:color w:val="000000" w:themeColor="text1"/>
          <w:sz w:val="24"/>
          <w:szCs w:val="24"/>
        </w:rPr>
        <w:lastRenderedPageBreak/>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3"/>
    </w:p>
    <w:p w14:paraId="6AC6F17C"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6D2B1F53"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A5DA7F8"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66018F76" w14:textId="77777777"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64E98ED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6F189F72"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1EA9C91C"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7294F1D7"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570EA78F" w14:textId="77777777"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683F0CDC" w14:textId="77777777"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 xml:space="preserve">esjonariusza mogą być </w:t>
      </w:r>
      <w:r w:rsidRPr="00B81671">
        <w:rPr>
          <w:rFonts w:ascii="Arial" w:eastAsia="Times New Roman" w:hAnsi="Arial" w:cs="Arial"/>
          <w:lang w:eastAsia="pl-PL"/>
        </w:rPr>
        <w:lastRenderedPageBreak/>
        <w:t>uznane za kwalifikowalne, jeśli zostaną poniesione zgodnie z pozostałymi wymogami dotyczącymi kwalifikowania wydatków oraz pod warunkiem dokonania cesji zgodnie z prawem.</w:t>
      </w:r>
    </w:p>
    <w:p w14:paraId="55DD540C"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26EE416E" w14:textId="77777777"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48555149"/>
      <w:r w:rsidRPr="00C05D20">
        <w:rPr>
          <w:rFonts w:ascii="Arial" w:hAnsi="Arial" w:cs="Arial"/>
          <w:i/>
          <w:color w:val="000000" w:themeColor="text1"/>
          <w:sz w:val="24"/>
          <w:szCs w:val="24"/>
        </w:rPr>
        <w:t>Projekty grantowe</w:t>
      </w:r>
      <w:bookmarkEnd w:id="164"/>
    </w:p>
    <w:p w14:paraId="1D50D01C" w14:textId="77777777"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14:paraId="404C9006" w14:textId="77777777"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14:paraId="543E0574" w14:textId="77777777"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14:paraId="6A6413B9" w14:textId="77777777"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14:paraId="1C557F38" w14:textId="77777777"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14:paraId="16FE471C" w14:textId="77777777"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48555150"/>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14:paraId="33FAC6C1" w14:textId="77777777"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48555151"/>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14:paraId="36A79BD4" w14:textId="77777777"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14:paraId="5711D2F4" w14:textId="77777777"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14:paraId="61D6CAA8" w14:textId="77777777"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1" w:name="_Toc48555152"/>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14:paraId="08297E14" w14:textId="77777777" w:rsidR="00FF6838" w:rsidRPr="00356C4A" w:rsidRDefault="00FF6838" w:rsidP="00356C4A">
      <w:pPr>
        <w:pStyle w:val="Akapit"/>
        <w:numPr>
          <w:ilvl w:val="0"/>
          <w:numId w:val="0"/>
        </w:numPr>
        <w:spacing w:before="120" w:after="120"/>
        <w:outlineLvl w:val="5"/>
        <w:rPr>
          <w:bCs w:val="0"/>
          <w:szCs w:val="22"/>
        </w:rPr>
      </w:pPr>
      <w:r w:rsidRPr="00DE30ED">
        <w:rPr>
          <w:bCs w:val="0"/>
          <w:szCs w:val="22"/>
        </w:rPr>
        <w:t>Niezbędne wydatki</w:t>
      </w:r>
      <w:r w:rsidR="006D0BA2" w:rsidRPr="00DE30ED">
        <w:rPr>
          <w:bCs w:val="0"/>
          <w:szCs w:val="22"/>
        </w:rPr>
        <w:t xml:space="preserve"> </w:t>
      </w:r>
      <w:r w:rsidRPr="00DE30ED">
        <w:rPr>
          <w:bCs w:val="0"/>
          <w:szCs w:val="22"/>
        </w:rPr>
        <w:t xml:space="preserve">związane z </w:t>
      </w:r>
      <w:r w:rsidRPr="00995EE5">
        <w:rPr>
          <w:bCs w:val="0"/>
          <w:szCs w:val="22"/>
        </w:rPr>
        <w:t>przygotowaniem projektów</w:t>
      </w:r>
      <w:r w:rsidR="006D0BA2" w:rsidRPr="00995EE5">
        <w:rPr>
          <w:bCs w:val="0"/>
          <w:szCs w:val="22"/>
        </w:rPr>
        <w:t xml:space="preserve">, w wysokości nieprzekraczającej łącznie 1% </w:t>
      </w:r>
      <w:r w:rsidR="00995EE5">
        <w:rPr>
          <w:bCs w:val="0"/>
          <w:szCs w:val="22"/>
        </w:rPr>
        <w:t xml:space="preserve">planowanych </w:t>
      </w:r>
      <w:r w:rsidR="006D0BA2" w:rsidRPr="00995EE5">
        <w:rPr>
          <w:bCs w:val="0"/>
          <w:szCs w:val="22"/>
        </w:rPr>
        <w:t xml:space="preserve">wydatków kwalifikowalnych projektu,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DE30ED">
        <w:rPr>
          <w:bCs w:val="0"/>
          <w:szCs w:val="22"/>
        </w:rPr>
        <w:t xml:space="preserve">poniesione na przygotowanie </w:t>
      </w:r>
      <w:r w:rsidR="00564C04" w:rsidRPr="00DE30ED">
        <w:rPr>
          <w:bCs w:val="0"/>
          <w:szCs w:val="22"/>
        </w:rPr>
        <w:t xml:space="preserve">koniecznych </w:t>
      </w:r>
      <w:r w:rsidRPr="007B5A46">
        <w:rPr>
          <w:bCs w:val="0"/>
          <w:szCs w:val="22"/>
        </w:rPr>
        <w:t>dokumentów, takich jak w szczególności:</w:t>
      </w:r>
    </w:p>
    <w:p w14:paraId="3AD68016"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14:paraId="51FC9605"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14:paraId="62142956"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14:paraId="3A82BB2F" w14:textId="77777777"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14:paraId="4453C5FA" w14:textId="77777777"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48555153"/>
      <w:r>
        <w:rPr>
          <w:rFonts w:ascii="Arial" w:hAnsi="Arial" w:cs="Arial"/>
          <w:b w:val="0"/>
          <w:i/>
          <w:color w:val="auto"/>
          <w:sz w:val="24"/>
          <w:szCs w:val="24"/>
        </w:rPr>
        <w:t>Pozostałe wydatki kwalifikowalne</w:t>
      </w:r>
      <w:bookmarkEnd w:id="172"/>
    </w:p>
    <w:p w14:paraId="5CDEE1BC" w14:textId="77777777"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14:paraId="6D86C1EF" w14:textId="77777777" w:rsidR="008768A5" w:rsidRPr="00FF6838" w:rsidRDefault="008768A5" w:rsidP="00995EE5">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4"/>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95EE5">
        <w:rPr>
          <w:bCs w:val="0"/>
          <w:szCs w:val="22"/>
        </w:rPr>
        <w:t xml:space="preserve">w wysokości minimum 50% </w:t>
      </w:r>
      <w:r w:rsidR="00995EE5">
        <w:rPr>
          <w:bCs w:val="0"/>
          <w:szCs w:val="22"/>
        </w:rPr>
        <w:t xml:space="preserve">planowanych </w:t>
      </w:r>
      <w:r w:rsidR="009B0F8E" w:rsidRPr="00995EE5">
        <w:rPr>
          <w:bCs w:val="0"/>
          <w:szCs w:val="22"/>
        </w:rPr>
        <w:t xml:space="preserve">wydatków </w:t>
      </w:r>
      <w:r w:rsidR="009B0F8E" w:rsidRPr="00995EE5">
        <w:rPr>
          <w:bCs w:val="0"/>
          <w:szCs w:val="22"/>
        </w:rPr>
        <w:lastRenderedPageBreak/>
        <w:t>kwalifikowalnych projektu,</w:t>
      </w:r>
      <w:r w:rsidR="009B0F8E" w:rsidRPr="009B0F8E">
        <w:rPr>
          <w:bCs w:val="0"/>
          <w:szCs w:val="22"/>
        </w:rPr>
        <w:t xml:space="preserve"> </w:t>
      </w:r>
      <w:r w:rsidR="00995EE5" w:rsidRPr="00995EE5">
        <w:rPr>
          <w:bCs w:val="0"/>
          <w:szCs w:val="22"/>
        </w:rPr>
        <w:t xml:space="preserve">o których mowa w punkcie 2 podrozdziału 6.2 </w:t>
      </w:r>
      <w:r w:rsidR="00995EE5" w:rsidRPr="00111EF8">
        <w:rPr>
          <w:bCs w:val="0"/>
          <w:i/>
          <w:szCs w:val="22"/>
        </w:rPr>
        <w:t>Wytycznych</w:t>
      </w:r>
      <w:r w:rsidR="00995EE5">
        <w:rPr>
          <w:bCs w:val="0"/>
          <w:szCs w:val="22"/>
        </w:rPr>
        <w:t>,</w:t>
      </w:r>
      <w:r w:rsidR="00995EE5" w:rsidRPr="00995EE5">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14:paraId="65CAE974"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14:paraId="346AFC41"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14:paraId="075C1FC9"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14:paraId="743C1126" w14:textId="77777777"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14:paraId="3F6AC24F" w14:textId="77777777"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14:paraId="7DAD32ED" w14:textId="77777777" w:rsidR="008768A5" w:rsidRPr="00995EE5" w:rsidRDefault="008768A5" w:rsidP="00995EE5">
      <w:pPr>
        <w:pStyle w:val="Akapit"/>
        <w:numPr>
          <w:ilvl w:val="0"/>
          <w:numId w:val="21"/>
        </w:numPr>
        <w:spacing w:after="120"/>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w:t>
      </w:r>
      <w:r w:rsidRPr="00995EE5">
        <w:rPr>
          <w:bCs w:val="0"/>
          <w:szCs w:val="22"/>
        </w:rPr>
        <w:t>sprzętu teleinformatycznego</w:t>
      </w:r>
      <w:r w:rsidRPr="007023AA">
        <w:rPr>
          <w:bCs w:val="0"/>
          <w:szCs w:val="22"/>
        </w:rPr>
        <w:t xml:space="preserve">,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w:t>
      </w:r>
      <w:r w:rsidRPr="00995EE5">
        <w:rPr>
          <w:bCs w:val="0"/>
          <w:szCs w:val="22"/>
        </w:rPr>
        <w:t xml:space="preserve">łącznie </w:t>
      </w:r>
      <w:r w:rsidR="00F075F3" w:rsidRPr="00995EE5">
        <w:rPr>
          <w:bCs w:val="0"/>
          <w:szCs w:val="22"/>
        </w:rPr>
        <w:t>10</w:t>
      </w:r>
      <w:r w:rsidRPr="00995EE5">
        <w:rPr>
          <w:bCs w:val="0"/>
          <w:szCs w:val="22"/>
        </w:rPr>
        <w:t xml:space="preserve">% </w:t>
      </w:r>
      <w:r w:rsidR="00995EE5">
        <w:rPr>
          <w:bCs w:val="0"/>
          <w:szCs w:val="22"/>
        </w:rPr>
        <w:t xml:space="preserve">planowanych </w:t>
      </w:r>
      <w:r w:rsidR="005041CB" w:rsidRPr="00995EE5">
        <w:rPr>
          <w:bCs w:val="0"/>
          <w:szCs w:val="22"/>
        </w:rPr>
        <w:t>wydatków</w:t>
      </w:r>
      <w:r w:rsidRPr="00995EE5">
        <w:rPr>
          <w:bCs w:val="0"/>
          <w:szCs w:val="22"/>
        </w:rPr>
        <w:t xml:space="preserve"> kwalifikowalnych projektu</w:t>
      </w:r>
      <w:r w:rsidR="00995EE5">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Pr="00995EE5">
        <w:rPr>
          <w:bCs w:val="0"/>
          <w:szCs w:val="22"/>
        </w:rPr>
        <w:t>;</w:t>
      </w:r>
    </w:p>
    <w:p w14:paraId="7887B351"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14:paraId="08F72922"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14:paraId="0CF1B6D3" w14:textId="77777777"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14:paraId="2FFF7C58" w14:textId="77777777"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14:paraId="7751FE94" w14:textId="77777777" w:rsidR="008768A5" w:rsidRPr="007023AA" w:rsidRDefault="008768A5" w:rsidP="00995EE5">
      <w:pPr>
        <w:pStyle w:val="Akapit"/>
        <w:numPr>
          <w:ilvl w:val="0"/>
          <w:numId w:val="21"/>
        </w:numPr>
        <w:spacing w:before="120" w:after="120"/>
        <w:outlineLvl w:val="5"/>
        <w:rPr>
          <w:bCs w:val="0"/>
          <w:szCs w:val="22"/>
        </w:rPr>
      </w:pPr>
      <w:r w:rsidRPr="007023AA">
        <w:rPr>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w:t>
      </w:r>
      <w:r w:rsidRPr="00995EE5">
        <w:rPr>
          <w:bCs w:val="0"/>
          <w:szCs w:val="22"/>
        </w:rPr>
        <w:t>, w wysokości nieprzekraczającej 10%</w:t>
      </w:r>
      <w:r w:rsidR="00995EE5">
        <w:rPr>
          <w:bCs w:val="0"/>
          <w:szCs w:val="22"/>
        </w:rPr>
        <w:t xml:space="preserve"> </w:t>
      </w:r>
      <w:r w:rsidR="00995EE5">
        <w:rPr>
          <w:bCs w:val="0"/>
          <w:szCs w:val="22"/>
        </w:rPr>
        <w:lastRenderedPageBreak/>
        <w:t>planowanych</w:t>
      </w:r>
      <w:r w:rsidRPr="00995EE5">
        <w:rPr>
          <w:bCs w:val="0"/>
          <w:szCs w:val="22"/>
        </w:rPr>
        <w:t xml:space="preserve"> </w:t>
      </w:r>
      <w:r w:rsidR="005041CB" w:rsidRPr="00995EE5">
        <w:rPr>
          <w:bCs w:val="0"/>
          <w:szCs w:val="22"/>
        </w:rPr>
        <w:t>wydatków</w:t>
      </w:r>
      <w:r w:rsidRPr="00995EE5">
        <w:rPr>
          <w:bCs w:val="0"/>
          <w:szCs w:val="22"/>
        </w:rPr>
        <w:t xml:space="preserve"> kwalifikowalnych projektu,</w:t>
      </w:r>
      <w:r w:rsidRPr="007023AA">
        <w:rPr>
          <w:bCs w:val="0"/>
          <w:szCs w:val="22"/>
        </w:rPr>
        <w:t xml:space="preserve"> </w:t>
      </w:r>
      <w:r w:rsidR="00995EE5" w:rsidRPr="00995EE5">
        <w:rPr>
          <w:bCs w:val="0"/>
          <w:szCs w:val="22"/>
        </w:rPr>
        <w:t xml:space="preserve">o których mowa w punkcie 2 podrozdziału 6.2 </w:t>
      </w:r>
      <w:r w:rsidR="00995EE5" w:rsidRPr="00995EE5">
        <w:rPr>
          <w:bCs w:val="0"/>
          <w:i/>
          <w:szCs w:val="22"/>
        </w:rPr>
        <w:t>Wytycznych</w:t>
      </w:r>
      <w:r w:rsidR="00995EE5">
        <w:rPr>
          <w:bCs w:val="0"/>
          <w:szCs w:val="22"/>
        </w:rPr>
        <w:t xml:space="preserve">, </w:t>
      </w:r>
      <w:r w:rsidRPr="007023AA">
        <w:rPr>
          <w:bCs w:val="0"/>
          <w:szCs w:val="22"/>
        </w:rPr>
        <w:t xml:space="preserve">w tym w szczególności </w:t>
      </w:r>
      <w:r w:rsidR="005041CB" w:rsidRPr="007023AA">
        <w:rPr>
          <w:bCs w:val="0"/>
          <w:szCs w:val="22"/>
        </w:rPr>
        <w:t>wydatki</w:t>
      </w:r>
      <w:r w:rsidRPr="007023AA">
        <w:rPr>
          <w:bCs w:val="0"/>
          <w:szCs w:val="22"/>
        </w:rPr>
        <w:t xml:space="preserve"> związane z:</w:t>
      </w:r>
    </w:p>
    <w:p w14:paraId="1FA05FF7" w14:textId="77777777"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14:paraId="668E454B" w14:textId="77777777"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14:paraId="7B0541C8" w14:textId="77777777" w:rsidR="00111EF8" w:rsidRPr="00111EF8" w:rsidRDefault="008768A5" w:rsidP="007A3546">
      <w:pPr>
        <w:pStyle w:val="Akapitzlist"/>
        <w:numPr>
          <w:ilvl w:val="1"/>
          <w:numId w:val="37"/>
        </w:numPr>
        <w:spacing w:before="120" w:after="120" w:line="360" w:lineRule="auto"/>
        <w:jc w:val="both"/>
        <w:outlineLvl w:val="5"/>
        <w:rPr>
          <w:rFonts w:cs="Arial"/>
        </w:rPr>
      </w:pPr>
      <w:r w:rsidRPr="00111EF8">
        <w:rPr>
          <w:rFonts w:ascii="Arial" w:hAnsi="Arial" w:cs="Arial"/>
        </w:rPr>
        <w:t xml:space="preserve">cateringiem, </w:t>
      </w:r>
    </w:p>
    <w:p w14:paraId="13B9994F" w14:textId="77777777" w:rsidR="00111EF8" w:rsidRPr="00111EF8" w:rsidRDefault="008768A5" w:rsidP="007A3546">
      <w:pPr>
        <w:pStyle w:val="Akapitzlist"/>
        <w:numPr>
          <w:ilvl w:val="1"/>
          <w:numId w:val="37"/>
        </w:numPr>
        <w:spacing w:before="120" w:after="120" w:line="360" w:lineRule="auto"/>
        <w:jc w:val="both"/>
        <w:outlineLvl w:val="5"/>
        <w:rPr>
          <w:rFonts w:cs="Arial"/>
        </w:rPr>
      </w:pPr>
      <w:r w:rsidRPr="00111EF8">
        <w:rPr>
          <w:rFonts w:ascii="Arial" w:hAnsi="Arial" w:cs="Arial"/>
        </w:rPr>
        <w:t>dojazd</w:t>
      </w:r>
      <w:r w:rsidR="003953DC" w:rsidRPr="00111EF8">
        <w:rPr>
          <w:rFonts w:ascii="Arial" w:hAnsi="Arial" w:cs="Arial"/>
        </w:rPr>
        <w:t>ami</w:t>
      </w:r>
      <w:r w:rsidRPr="00111EF8">
        <w:rPr>
          <w:rFonts w:ascii="Arial" w:hAnsi="Arial" w:cs="Arial"/>
        </w:rPr>
        <w:t xml:space="preserve"> i nocleg</w:t>
      </w:r>
      <w:r w:rsidR="003953DC" w:rsidRPr="00111EF8">
        <w:rPr>
          <w:rFonts w:ascii="Arial" w:hAnsi="Arial" w:cs="Arial"/>
        </w:rPr>
        <w:t>ami</w:t>
      </w:r>
      <w:r w:rsidRPr="00111EF8">
        <w:rPr>
          <w:rFonts w:ascii="Arial" w:hAnsi="Arial" w:cs="Arial"/>
        </w:rPr>
        <w:t xml:space="preserve"> (maksymalnie do 300 zł za </w:t>
      </w:r>
      <w:r w:rsidR="006650EA" w:rsidRPr="00111EF8">
        <w:rPr>
          <w:rFonts w:ascii="Arial" w:hAnsi="Arial" w:cs="Arial"/>
        </w:rPr>
        <w:t>miejsce noclegowe za</w:t>
      </w:r>
      <w:r w:rsidR="00D86170" w:rsidRPr="00111EF8">
        <w:rPr>
          <w:rFonts w:ascii="Arial" w:hAnsi="Arial" w:cs="Arial"/>
        </w:rPr>
        <w:t xml:space="preserve"> osobę) uczestników</w:t>
      </w:r>
      <w:r w:rsidR="007826D3" w:rsidRPr="00111EF8">
        <w:rPr>
          <w:rFonts w:ascii="Arial" w:hAnsi="Arial" w:cs="Arial"/>
        </w:rPr>
        <w:t>,</w:t>
      </w:r>
      <w:r w:rsidRPr="00111EF8">
        <w:rPr>
          <w:rFonts w:ascii="Arial" w:hAnsi="Arial" w:cs="Arial"/>
        </w:rPr>
        <w:t xml:space="preserve"> </w:t>
      </w:r>
    </w:p>
    <w:p w14:paraId="523B24B8" w14:textId="77777777" w:rsidR="00111EF8" w:rsidRDefault="008768A5" w:rsidP="00111EF8">
      <w:pPr>
        <w:pStyle w:val="Akapitzlist"/>
        <w:numPr>
          <w:ilvl w:val="1"/>
          <w:numId w:val="37"/>
        </w:numPr>
        <w:spacing w:before="120" w:after="120" w:line="360" w:lineRule="auto"/>
        <w:jc w:val="both"/>
        <w:outlineLvl w:val="5"/>
        <w:rPr>
          <w:rFonts w:ascii="Arial" w:hAnsi="Arial" w:cs="Arial"/>
        </w:rPr>
      </w:pPr>
      <w:r w:rsidRPr="00111EF8">
        <w:rPr>
          <w:rFonts w:ascii="Arial" w:hAnsi="Arial" w:cs="Arial"/>
        </w:rPr>
        <w:t>zakupem lub wytworzeniem oraz dostarczeniem materiałów dydaktycznych, w tym podręczników dostosowanych również do potrzeb osób niepełnosprawnych;</w:t>
      </w:r>
    </w:p>
    <w:p w14:paraId="41FC8973" w14:textId="77777777" w:rsidR="008768A5" w:rsidRPr="00111EF8" w:rsidRDefault="008768A5" w:rsidP="00111EF8">
      <w:pPr>
        <w:pStyle w:val="Akapit"/>
        <w:numPr>
          <w:ilvl w:val="0"/>
          <w:numId w:val="21"/>
        </w:numPr>
        <w:spacing w:before="120" w:after="120"/>
        <w:outlineLvl w:val="5"/>
        <w:rPr>
          <w:bCs w:val="0"/>
          <w:szCs w:val="22"/>
        </w:rPr>
      </w:pPr>
      <w:r w:rsidRPr="00111EF8">
        <w:rPr>
          <w:bCs w:val="0"/>
          <w:szCs w:val="22"/>
        </w:rPr>
        <w:t xml:space="preserve">stworzenie i utrzymanie domen (platform) i portali </w:t>
      </w:r>
      <w:r w:rsidR="00852400" w:rsidRPr="00111EF8">
        <w:rPr>
          <w:bCs w:val="0"/>
          <w:szCs w:val="22"/>
        </w:rPr>
        <w:t xml:space="preserve">spełniających wymagania określone w rozporządzeniu Rady Ministrów z dnia 12 kwietnia 2012 r. w sprawie Krajowych </w:t>
      </w:r>
      <w:r w:rsidR="004D64AA" w:rsidRPr="00111EF8">
        <w:rPr>
          <w:bCs w:val="0"/>
          <w:szCs w:val="22"/>
        </w:rPr>
        <w:t>R</w:t>
      </w:r>
      <w:r w:rsidR="00852400" w:rsidRPr="00111EF8">
        <w:rPr>
          <w:bCs w:val="0"/>
          <w:szCs w:val="22"/>
        </w:rPr>
        <w:t xml:space="preserve">am Interoperacyjności, minimalnych wymagań dla </w:t>
      </w:r>
      <w:r w:rsidR="004D64AA" w:rsidRPr="00111EF8">
        <w:rPr>
          <w:bCs w:val="0"/>
          <w:szCs w:val="22"/>
        </w:rPr>
        <w:t xml:space="preserve">rejestrów publicznych i wymiany informacji </w:t>
      </w:r>
      <w:r w:rsidR="004D64AA" w:rsidRPr="00111EF8">
        <w:rPr>
          <w:bCs w:val="0"/>
          <w:szCs w:val="22"/>
        </w:rPr>
        <w:lastRenderedPageBreak/>
        <w:t xml:space="preserve">w postaci elektronicznej oraz minimalnych wymagań dla </w:t>
      </w:r>
      <w:r w:rsidR="00852400" w:rsidRPr="00111EF8">
        <w:rPr>
          <w:bCs w:val="0"/>
          <w:szCs w:val="22"/>
        </w:rPr>
        <w:t xml:space="preserve">systemów teleinformatycznych (Dz. U. poz. 526) </w:t>
      </w:r>
      <w:r w:rsidRPr="00111EF8">
        <w:rPr>
          <w:bCs w:val="0"/>
          <w:szCs w:val="22"/>
        </w:rPr>
        <w:t>oraz usługi hostingu;</w:t>
      </w:r>
    </w:p>
    <w:p w14:paraId="1031DC1E" w14:textId="77777777" w:rsidR="00975C2A" w:rsidRPr="007023AA" w:rsidRDefault="00775ECE" w:rsidP="005455D0">
      <w:pPr>
        <w:pStyle w:val="Akapit"/>
        <w:numPr>
          <w:ilvl w:val="0"/>
          <w:numId w:val="109"/>
        </w:numPr>
        <w:spacing w:before="120" w:after="120"/>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14:paraId="63D62E7B" w14:textId="77777777" w:rsidR="008768A5" w:rsidRPr="007023AA" w:rsidRDefault="008768A5" w:rsidP="005455D0">
      <w:pPr>
        <w:pStyle w:val="Akapit"/>
        <w:numPr>
          <w:ilvl w:val="0"/>
          <w:numId w:val="109"/>
        </w:numPr>
        <w:spacing w:before="120" w:after="120"/>
        <w:ind w:left="357" w:hanging="357"/>
        <w:outlineLvl w:val="5"/>
        <w:rPr>
          <w:bCs w:val="0"/>
          <w:szCs w:val="22"/>
        </w:rPr>
      </w:pPr>
      <w:r w:rsidRPr="007023AA">
        <w:rPr>
          <w:bCs w:val="0"/>
          <w:szCs w:val="22"/>
        </w:rPr>
        <w:t>ekspertyzy, analizy, opracowania związane z celami projektu;</w:t>
      </w:r>
    </w:p>
    <w:p w14:paraId="2AC21EBE" w14:textId="77777777" w:rsidR="008768A5" w:rsidRPr="007023AA" w:rsidRDefault="008768A5" w:rsidP="005455D0">
      <w:pPr>
        <w:pStyle w:val="Akapit"/>
        <w:numPr>
          <w:ilvl w:val="0"/>
          <w:numId w:val="109"/>
        </w:numPr>
        <w:spacing w:before="120" w:after="120"/>
        <w:outlineLvl w:val="5"/>
        <w:rPr>
          <w:bCs w:val="0"/>
          <w:szCs w:val="22"/>
        </w:rPr>
      </w:pPr>
      <w:r w:rsidRPr="00995EE5">
        <w:rPr>
          <w:bCs w:val="0"/>
          <w:szCs w:val="22"/>
        </w:rPr>
        <w:t>działania informacyjno-promocyjne w wysokości nieprzekraczającej łącznie 10%</w:t>
      </w:r>
      <w:r w:rsidRPr="007023AA">
        <w:rPr>
          <w:bCs w:val="0"/>
          <w:szCs w:val="22"/>
        </w:rPr>
        <w:t xml:space="preserve"> </w:t>
      </w:r>
      <w:r w:rsidR="00E97936">
        <w:rPr>
          <w:bCs w:val="0"/>
          <w:szCs w:val="22"/>
        </w:rPr>
        <w:t xml:space="preserve">planowanych </w:t>
      </w:r>
      <w:r w:rsidR="005041CB" w:rsidRPr="007023AA">
        <w:rPr>
          <w:bCs w:val="0"/>
          <w:szCs w:val="22"/>
        </w:rPr>
        <w:t>wydatków</w:t>
      </w:r>
      <w:r w:rsidRPr="007023AA">
        <w:rPr>
          <w:bCs w:val="0"/>
          <w:szCs w:val="22"/>
        </w:rPr>
        <w:t xml:space="preserve"> kwalifikowalnych projektu, </w:t>
      </w:r>
      <w:r w:rsidR="00E97936" w:rsidRPr="00E97936">
        <w:rPr>
          <w:bCs w:val="0"/>
          <w:szCs w:val="22"/>
        </w:rPr>
        <w:t xml:space="preserve">o których mowa w punkcie 2 podrozdziału 6.2 </w:t>
      </w:r>
      <w:r w:rsidR="00E97936" w:rsidRPr="00E97936">
        <w:rPr>
          <w:bCs w:val="0"/>
          <w:i/>
          <w:szCs w:val="22"/>
        </w:rPr>
        <w:t>Wytycznych</w:t>
      </w:r>
      <w:r w:rsidR="00E97936">
        <w:rPr>
          <w:bCs w:val="0"/>
          <w:szCs w:val="22"/>
        </w:rPr>
        <w:t>,</w:t>
      </w:r>
      <w:r w:rsidR="00E97936" w:rsidRPr="00E97936">
        <w:rPr>
          <w:bCs w:val="0"/>
          <w:szCs w:val="22"/>
        </w:rPr>
        <w:t xml:space="preserve"> </w:t>
      </w:r>
      <w:r w:rsidRPr="007023AA">
        <w:rPr>
          <w:bCs w:val="0"/>
          <w:szCs w:val="22"/>
        </w:rPr>
        <w:t>w tym w szczególności</w:t>
      </w:r>
      <w:r w:rsidR="005041CB" w:rsidRPr="007023AA">
        <w:rPr>
          <w:bCs w:val="0"/>
          <w:szCs w:val="22"/>
        </w:rPr>
        <w:t xml:space="preserve"> wydatki</w:t>
      </w:r>
      <w:r w:rsidRPr="007023AA">
        <w:rPr>
          <w:bCs w:val="0"/>
          <w:szCs w:val="22"/>
        </w:rPr>
        <w:t xml:space="preserve"> związane z: </w:t>
      </w:r>
    </w:p>
    <w:p w14:paraId="742234BD" w14:textId="77777777"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14:paraId="5F4E2F11" w14:textId="77777777"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14:paraId="55709B7B" w14:textId="77777777"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14:paraId="5C09A4A2" w14:textId="77777777" w:rsidR="008768A5" w:rsidRPr="007023AA" w:rsidRDefault="008768A5" w:rsidP="005455D0">
      <w:pPr>
        <w:pStyle w:val="Akapit"/>
        <w:numPr>
          <w:ilvl w:val="0"/>
          <w:numId w:val="109"/>
        </w:numPr>
        <w:spacing w:before="120" w:after="120"/>
        <w:outlineLvl w:val="5"/>
        <w:rPr>
          <w:bCs w:val="0"/>
          <w:szCs w:val="22"/>
        </w:rPr>
      </w:pPr>
      <w:r w:rsidRPr="00E97936">
        <w:rPr>
          <w:bCs w:val="0"/>
          <w:szCs w:val="22"/>
        </w:rPr>
        <w:t xml:space="preserve">zarządzanie projektem, w wysokości nieprzekraczającej 10% </w:t>
      </w:r>
      <w:r w:rsidR="00E97936">
        <w:rPr>
          <w:bCs w:val="0"/>
          <w:szCs w:val="22"/>
        </w:rPr>
        <w:t xml:space="preserve">planowanych </w:t>
      </w:r>
      <w:r w:rsidR="005041CB" w:rsidRPr="00E97936">
        <w:rPr>
          <w:bCs w:val="0"/>
          <w:szCs w:val="22"/>
        </w:rPr>
        <w:t>wydatków</w:t>
      </w:r>
      <w:r w:rsidRPr="00E97936">
        <w:rPr>
          <w:bCs w:val="0"/>
          <w:szCs w:val="22"/>
        </w:rPr>
        <w:t xml:space="preserve"> kwalifikowalnych</w:t>
      </w:r>
      <w:r w:rsidRPr="007023AA">
        <w:rPr>
          <w:bCs w:val="0"/>
          <w:szCs w:val="22"/>
        </w:rPr>
        <w:t xml:space="preserve"> projektu</w:t>
      </w:r>
      <w:r w:rsidR="00E97936">
        <w:rPr>
          <w:bCs w:val="0"/>
          <w:szCs w:val="22"/>
        </w:rPr>
        <w:t xml:space="preserve">, </w:t>
      </w:r>
      <w:r w:rsidR="00E97936" w:rsidRPr="00E97936">
        <w:rPr>
          <w:bCs w:val="0"/>
          <w:szCs w:val="22"/>
        </w:rPr>
        <w:t xml:space="preserve">o których mowa w punkcie 2 podrozdziału 6.2 </w:t>
      </w:r>
      <w:r w:rsidR="00E97936" w:rsidRPr="00E97936">
        <w:rPr>
          <w:bCs w:val="0"/>
          <w:i/>
          <w:szCs w:val="22"/>
        </w:rPr>
        <w:t>Wytycznych</w:t>
      </w:r>
      <w:r w:rsidR="00E97936">
        <w:rPr>
          <w:bCs w:val="0"/>
          <w:szCs w:val="22"/>
        </w:rPr>
        <w:t>,</w:t>
      </w:r>
      <w:r w:rsidRPr="007023AA">
        <w:rPr>
          <w:bCs w:val="0"/>
          <w:szCs w:val="22"/>
        </w:rPr>
        <w:t xml:space="preserve"> w tym w szczególności </w:t>
      </w:r>
      <w:r w:rsidR="003953DC" w:rsidRPr="007023AA">
        <w:rPr>
          <w:bCs w:val="0"/>
          <w:szCs w:val="22"/>
        </w:rPr>
        <w:t>wydatki</w:t>
      </w:r>
      <w:r w:rsidRPr="007023AA">
        <w:rPr>
          <w:bCs w:val="0"/>
          <w:szCs w:val="22"/>
        </w:rPr>
        <w:t xml:space="preserve"> związane z:</w:t>
      </w:r>
    </w:p>
    <w:p w14:paraId="78FDCAB7" w14:textId="77777777"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14:paraId="3B56D5F4" w14:textId="77777777"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14:paraId="0D5AB4B4" w14:textId="77777777" w:rsidR="008768A5" w:rsidRPr="007023AA" w:rsidRDefault="008768A5" w:rsidP="005455D0">
      <w:pPr>
        <w:pStyle w:val="Akapit"/>
        <w:numPr>
          <w:ilvl w:val="0"/>
          <w:numId w:val="109"/>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14:paraId="6BD326AB" w14:textId="77777777" w:rsidR="008768A5" w:rsidRDefault="008768A5" w:rsidP="005455D0">
      <w:pPr>
        <w:pStyle w:val="Akapit"/>
        <w:numPr>
          <w:ilvl w:val="0"/>
          <w:numId w:val="109"/>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14:paraId="1E7F60B0" w14:textId="77777777" w:rsidR="00630F61" w:rsidRPr="007023AA" w:rsidRDefault="00630F61" w:rsidP="005455D0">
      <w:pPr>
        <w:pStyle w:val="Akapit"/>
        <w:numPr>
          <w:ilvl w:val="0"/>
          <w:numId w:val="109"/>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14:paraId="17AD0F70" w14:textId="77777777" w:rsidR="008768A5" w:rsidRPr="007023AA" w:rsidRDefault="008768A5" w:rsidP="005455D0">
      <w:pPr>
        <w:pStyle w:val="Akapit"/>
        <w:numPr>
          <w:ilvl w:val="0"/>
          <w:numId w:val="109"/>
        </w:numPr>
        <w:spacing w:before="120" w:after="120"/>
        <w:outlineLvl w:val="5"/>
        <w:rPr>
          <w:bCs w:val="0"/>
          <w:szCs w:val="22"/>
        </w:rPr>
      </w:pPr>
      <w:r w:rsidRPr="00E97936">
        <w:rPr>
          <w:bCs w:val="0"/>
          <w:szCs w:val="22"/>
        </w:rPr>
        <w:t>koszty pośrednie</w:t>
      </w:r>
      <w:r w:rsidR="00B23AF1" w:rsidRPr="00E97936">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14:paraId="65360ACF"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549A035"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14:paraId="5493F881"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lastRenderedPageBreak/>
        <w:t>kosztami mediów (elektryczność, gaz, ogrzewanie, woda),</w:t>
      </w:r>
    </w:p>
    <w:p w14:paraId="4BB1523E"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14:paraId="6CACE525" w14:textId="77777777" w:rsidR="008768A5" w:rsidRPr="00E97936" w:rsidRDefault="008768A5" w:rsidP="00AA17AF">
      <w:pPr>
        <w:pStyle w:val="Akapitzlist"/>
        <w:numPr>
          <w:ilvl w:val="1"/>
          <w:numId w:val="23"/>
        </w:numPr>
        <w:spacing w:after="0" w:line="360" w:lineRule="auto"/>
        <w:jc w:val="both"/>
        <w:rPr>
          <w:rFonts w:ascii="Arial" w:hAnsi="Arial" w:cs="Arial"/>
        </w:rPr>
      </w:pPr>
      <w:r w:rsidRPr="00E97936">
        <w:rPr>
          <w:rFonts w:ascii="Arial" w:hAnsi="Arial" w:cs="Arial"/>
        </w:rPr>
        <w:t>robotami budowlanymi, o których mowa w art. 3 pkt 7</w:t>
      </w:r>
      <w:r w:rsidR="003F109C" w:rsidRPr="00E97936">
        <w:rPr>
          <w:rFonts w:ascii="Arial" w:hAnsi="Arial" w:cs="Arial"/>
        </w:rPr>
        <w:t xml:space="preserve"> </w:t>
      </w:r>
      <w:r w:rsidRPr="00E97936">
        <w:rPr>
          <w:rFonts w:ascii="Arial" w:hAnsi="Arial" w:cs="Arial"/>
        </w:rPr>
        <w:t xml:space="preserve">oraz 8 ustawy z dnia 7 lipca 1994 r. Prawo budowlane </w:t>
      </w:r>
      <w:r w:rsidR="008E32BD" w:rsidRPr="00E97936">
        <w:rPr>
          <w:rFonts w:ascii="Arial" w:hAnsi="Arial" w:cs="Arial"/>
        </w:rPr>
        <w:t xml:space="preserve">(Dz. U. z 2013 r., poz. 1409, z </w:t>
      </w:r>
      <w:proofErr w:type="spellStart"/>
      <w:r w:rsidR="008E32BD" w:rsidRPr="00E97936">
        <w:rPr>
          <w:rFonts w:ascii="Arial" w:hAnsi="Arial" w:cs="Arial"/>
        </w:rPr>
        <w:t>późn</w:t>
      </w:r>
      <w:proofErr w:type="spellEnd"/>
      <w:r w:rsidR="008E32BD" w:rsidRPr="00E97936">
        <w:rPr>
          <w:rFonts w:ascii="Arial" w:hAnsi="Arial" w:cs="Arial"/>
        </w:rPr>
        <w:t>. zm.</w:t>
      </w:r>
      <w:r w:rsidRPr="00E97936">
        <w:rPr>
          <w:rFonts w:ascii="Arial" w:hAnsi="Arial" w:cs="Arial"/>
        </w:rPr>
        <w:t>) mającymi na celu adaptację pomieszczeń do celów realizacji projektu</w:t>
      </w:r>
      <w:r w:rsidRPr="00E97936" w:rsidDel="00022A88">
        <w:rPr>
          <w:rFonts w:ascii="Arial" w:hAnsi="Arial" w:cs="Arial"/>
        </w:rPr>
        <w:t xml:space="preserve"> </w:t>
      </w:r>
      <w:r w:rsidRPr="00E97936">
        <w:rPr>
          <w:rFonts w:ascii="Arial" w:hAnsi="Arial" w:cs="Arial"/>
        </w:rPr>
        <w:t>(maksymalnie do wysokości 10% łącznych kosztów wynajmu lub utrzymania budynków),</w:t>
      </w:r>
    </w:p>
    <w:p w14:paraId="3FDFA75D"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14:paraId="02247C6C"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14:paraId="4CC5E259" w14:textId="77777777"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14:paraId="5E894321" w14:textId="77777777"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14:paraId="52E12ED1" w14:textId="77777777"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48555154"/>
      <w:bookmarkEnd w:id="173"/>
      <w:bookmarkEnd w:id="174"/>
      <w:bookmarkEnd w:id="175"/>
      <w:r w:rsidRPr="004E1211">
        <w:rPr>
          <w:rFonts w:ascii="Arial" w:hAnsi="Arial" w:cs="Arial"/>
          <w:i/>
          <w:color w:val="auto"/>
          <w:sz w:val="24"/>
          <w:szCs w:val="24"/>
        </w:rPr>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14:paraId="23CDDBFF" w14:textId="77777777"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7" w:name="_Toc48555155"/>
      <w:r w:rsidRPr="003F109C">
        <w:rPr>
          <w:rFonts w:ascii="Arial" w:eastAsiaTheme="majorEastAsia" w:hAnsi="Arial" w:cs="Arial"/>
          <w:bCs/>
          <w:i/>
          <w:sz w:val="24"/>
          <w:szCs w:val="24"/>
        </w:rPr>
        <w:t>Dokumentacja niezbędna do przygotowania projektu</w:t>
      </w:r>
      <w:bookmarkEnd w:id="177"/>
    </w:p>
    <w:p w14:paraId="2B7D97D6" w14:textId="77777777"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w:t>
      </w:r>
      <w:r w:rsidRPr="00DC28AF">
        <w:rPr>
          <w:rFonts w:ascii="Arial" w:eastAsia="Times New Roman" w:hAnsi="Arial" w:cs="Times New Roman"/>
          <w:lang w:eastAsia="pl-PL"/>
        </w:rPr>
        <w:t xml:space="preserve">1%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Pr="003F109C">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00DC28AF">
        <w:rPr>
          <w:rFonts w:ascii="Arial" w:eastAsia="Times New Roman" w:hAnsi="Arial" w:cs="Times New Roman"/>
          <w:lang w:eastAsia="pl-PL"/>
        </w:rPr>
        <w:t xml:space="preserve">, </w:t>
      </w:r>
      <w:r w:rsidRPr="003F109C">
        <w:rPr>
          <w:rFonts w:ascii="Arial" w:eastAsia="Times New Roman" w:hAnsi="Arial" w:cs="Times New Roman"/>
          <w:lang w:eastAsia="pl-PL"/>
        </w:rPr>
        <w:t xml:space="preserve">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14:paraId="0C36AA30"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14:paraId="282BA4D1"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14:paraId="2D5EB44D" w14:textId="77777777"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14:paraId="2537C7AA" w14:textId="77777777"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48555156"/>
      <w:r w:rsidRPr="003F109C">
        <w:rPr>
          <w:rFonts w:ascii="Arial" w:eastAsiaTheme="majorEastAsia" w:hAnsi="Arial" w:cs="Arial"/>
          <w:bCs/>
          <w:i/>
          <w:sz w:val="24"/>
          <w:szCs w:val="24"/>
        </w:rPr>
        <w:t>Pozostałe wydatki kwalifikowalne</w:t>
      </w:r>
      <w:bookmarkEnd w:id="178"/>
    </w:p>
    <w:p w14:paraId="67F3887E" w14:textId="77777777"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14:paraId="04C82B69"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w:t>
      </w:r>
      <w:r w:rsidRPr="003F109C">
        <w:rPr>
          <w:rFonts w:ascii="Arial" w:eastAsia="Times New Roman" w:hAnsi="Arial" w:cs="Times New Roman"/>
          <w:lang w:eastAsia="pl-PL"/>
        </w:rPr>
        <w:lastRenderedPageBreak/>
        <w:t xml:space="preserve">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14:paraId="0E360243"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14:paraId="490170C6"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14:paraId="57502AC1"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14:paraId="39850B40" w14:textId="77777777"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14:paraId="400D679F" w14:textId="77777777"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14:paraId="5D4D22A4" w14:textId="77777777"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336CC49" w14:textId="77777777"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14:paraId="1847FD24" w14:textId="77777777" w:rsidR="003F109C" w:rsidRPr="003F109C" w:rsidRDefault="003F109C" w:rsidP="00DC28AF">
      <w:pPr>
        <w:keepNext/>
        <w:numPr>
          <w:ilvl w:val="0"/>
          <w:numId w:val="47"/>
        </w:numPr>
        <w:spacing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DC28AF">
        <w:rPr>
          <w:rFonts w:ascii="Arial" w:eastAsia="Times New Roman" w:hAnsi="Arial" w:cs="Times New Roman"/>
          <w:lang w:eastAsia="pl-PL"/>
        </w:rPr>
        <w:t>sprzętu teleinformatycznego</w:t>
      </w:r>
      <w:r w:rsidRPr="003F109C">
        <w:rPr>
          <w:rFonts w:ascii="Arial" w:eastAsia="Times New Roman" w:hAnsi="Arial" w:cs="Times New Roman"/>
          <w:lang w:eastAsia="pl-PL"/>
        </w:rPr>
        <w:t xml:space="preserve">,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sidRPr="00DC28AF">
        <w:rPr>
          <w:rFonts w:ascii="Arial" w:eastAsia="Times New Roman" w:hAnsi="Arial" w:cs="Times New Roman"/>
          <w:lang w:eastAsia="pl-PL"/>
        </w:rPr>
        <w:t>25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wydatków kwalifikowalnych projektu</w:t>
      </w:r>
      <w:r w:rsidR="00DC28AF">
        <w:rPr>
          <w:rFonts w:ascii="Arial" w:eastAsia="Times New Roman" w:hAnsi="Arial" w:cs="Times New Roman"/>
          <w:lang w:eastAsia="pl-PL"/>
        </w:rPr>
        <w:t xml:space="preserve">, </w:t>
      </w:r>
      <w:r w:rsidR="00DC28AF" w:rsidRPr="00DC28AF">
        <w:rPr>
          <w:rFonts w:ascii="Arial" w:eastAsia="Times New Roman" w:hAnsi="Arial" w:cs="Times New Roman"/>
          <w:lang w:eastAsia="pl-PL"/>
        </w:rPr>
        <w:t xml:space="preserve">o których mowa w punkcie 2 podrozdziału 6.2 </w:t>
      </w:r>
      <w:r w:rsidR="00DC28AF" w:rsidRPr="00DC28AF">
        <w:rPr>
          <w:rFonts w:ascii="Arial" w:eastAsia="Times New Roman" w:hAnsi="Arial" w:cs="Times New Roman"/>
          <w:i/>
          <w:lang w:eastAsia="pl-PL"/>
        </w:rPr>
        <w:t>Wytycznych</w:t>
      </w:r>
      <w:r w:rsidRPr="003F109C">
        <w:rPr>
          <w:rFonts w:ascii="Arial" w:eastAsia="Times New Roman" w:hAnsi="Arial" w:cs="Times New Roman"/>
          <w:lang w:eastAsia="pl-PL"/>
        </w:rPr>
        <w:t>;</w:t>
      </w:r>
    </w:p>
    <w:p w14:paraId="1CC701DB"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14:paraId="199EF5BE"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14:paraId="024642EF"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14:paraId="5C82742F" w14:textId="77777777"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5"/>
      </w:r>
      <w:r w:rsidRPr="003F109C">
        <w:rPr>
          <w:rFonts w:ascii="Arial" w:eastAsia="Times New Roman" w:hAnsi="Arial" w:cs="Times New Roman"/>
          <w:lang w:eastAsia="pl-PL"/>
        </w:rPr>
        <w:t>, w tym w szczególności wydatki związane z:</w:t>
      </w:r>
    </w:p>
    <w:p w14:paraId="13B0131C"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14:paraId="64D9D018"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14:paraId="13110808" w14:textId="77777777"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14:paraId="0F6DD02F"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lastRenderedPageBreak/>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14:paraId="02D8542C" w14:textId="77777777"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14:paraId="4021DF32" w14:textId="77777777"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6E7C5861" w14:textId="77777777"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33578291"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14:paraId="3F38BBEF"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14:paraId="7E8E8FB2" w14:textId="77777777"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14:paraId="3E2B91A1" w14:textId="77777777"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14:paraId="287EB1F8" w14:textId="77777777"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14:paraId="1F7E40D3" w14:textId="77777777"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14:paraId="4989AE4D"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14:paraId="41F09D09"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14:paraId="46C52CAC"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14:paraId="154FAA7D"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14:paraId="2C4C3562" w14:textId="77777777"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14:paraId="02A8BE62" w14:textId="77777777"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1E9C578C"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lastRenderedPageBreak/>
        <w:t>stworzenie i utrzymanie domen (platform) i portali oraz usługi hostingu;</w:t>
      </w:r>
    </w:p>
    <w:p w14:paraId="6ED75433"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14:paraId="55C61E2A" w14:textId="77777777"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14:paraId="2C8011FE" w14:textId="77777777" w:rsidR="003F109C" w:rsidRPr="00AD66AB" w:rsidRDefault="003F109C" w:rsidP="00DC28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w:t>
      </w:r>
      <w:r w:rsidRPr="00DC28AF">
        <w:rPr>
          <w:rFonts w:ascii="Arial" w:eastAsia="Times New Roman" w:hAnsi="Arial" w:cs="Times New Roman"/>
          <w:lang w:eastAsia="pl-PL"/>
        </w:rPr>
        <w:t>informacyjno-promocyjne</w:t>
      </w:r>
      <w:r w:rsidRPr="00AD66AB">
        <w:rPr>
          <w:rFonts w:ascii="Arial" w:eastAsia="Times New Roman" w:hAnsi="Arial" w:cs="Times New Roman"/>
          <w:lang w:eastAsia="pl-PL"/>
        </w:rPr>
        <w:t xml:space="preserve"> w wysokości nieprzekraczającej łącznie </w:t>
      </w:r>
      <w:r w:rsidR="008977BD" w:rsidRPr="00DC28AF">
        <w:rPr>
          <w:rFonts w:ascii="Arial" w:eastAsia="Times New Roman" w:hAnsi="Arial" w:cs="Times New Roman"/>
          <w:lang w:eastAsia="pl-PL"/>
        </w:rPr>
        <w:t>5</w:t>
      </w:r>
      <w:r w:rsidRPr="00DC28AF">
        <w:rPr>
          <w:rFonts w:ascii="Arial" w:eastAsia="Times New Roman" w:hAnsi="Arial" w:cs="Times New Roman"/>
          <w:lang w:eastAsia="pl-PL"/>
        </w:rPr>
        <w:t xml:space="preserve">% </w:t>
      </w:r>
      <w:r w:rsidR="00DC28AF">
        <w:rPr>
          <w:rFonts w:ascii="Arial" w:eastAsia="Times New Roman" w:hAnsi="Arial" w:cs="Times New Roman"/>
          <w:lang w:eastAsia="pl-PL"/>
        </w:rPr>
        <w:t xml:space="preserve">planowanych </w:t>
      </w:r>
      <w:r w:rsidRPr="00DC28AF">
        <w:rPr>
          <w:rFonts w:ascii="Arial" w:eastAsia="Times New Roman" w:hAnsi="Arial" w:cs="Times New Roman"/>
          <w:lang w:eastAsia="pl-PL"/>
        </w:rPr>
        <w:t xml:space="preserve">wydatków </w:t>
      </w:r>
      <w:r w:rsidRPr="00DC28AF">
        <w:rPr>
          <w:rFonts w:ascii="Arial" w:hAnsi="Arial" w:cs="Arial"/>
          <w:lang w:eastAsia="pl-PL"/>
        </w:rPr>
        <w:t>kwalifikowalnych projektu,</w:t>
      </w:r>
      <w:r w:rsidRPr="00AD66AB">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AD66AB">
        <w:rPr>
          <w:rFonts w:ascii="Arial" w:hAnsi="Arial" w:cs="Arial"/>
          <w:lang w:eastAsia="pl-PL"/>
        </w:rPr>
        <w:t xml:space="preserve">w tym w szczególności wydatki związane z: </w:t>
      </w:r>
    </w:p>
    <w:p w14:paraId="483F03DB" w14:textId="77777777"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14:paraId="3483C672"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14:paraId="3E60CDBE" w14:textId="77777777"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14:paraId="22C1D30F" w14:textId="77777777" w:rsidR="003F109C" w:rsidRPr="00580A7E" w:rsidRDefault="003F109C" w:rsidP="00DC28AF">
      <w:pPr>
        <w:pStyle w:val="Akapitzlist"/>
        <w:numPr>
          <w:ilvl w:val="0"/>
          <w:numId w:val="47"/>
        </w:numPr>
        <w:spacing w:before="120" w:after="120" w:line="360" w:lineRule="auto"/>
        <w:jc w:val="both"/>
        <w:outlineLvl w:val="5"/>
        <w:rPr>
          <w:rFonts w:ascii="Arial" w:hAnsi="Arial" w:cs="Arial"/>
          <w:lang w:eastAsia="pl-PL"/>
        </w:rPr>
      </w:pPr>
      <w:r w:rsidRPr="00DC28AF">
        <w:rPr>
          <w:rFonts w:ascii="Arial" w:hAnsi="Arial" w:cs="Arial"/>
          <w:lang w:eastAsia="pl-PL"/>
        </w:rPr>
        <w:t>zarządzanie projektem</w:t>
      </w:r>
      <w:r w:rsidRPr="00580A7E">
        <w:rPr>
          <w:rFonts w:ascii="Arial" w:hAnsi="Arial" w:cs="Arial"/>
          <w:lang w:eastAsia="pl-PL"/>
        </w:rPr>
        <w:t xml:space="preserve">, w wysokości nieprzekraczającej </w:t>
      </w:r>
      <w:r w:rsidRPr="00DC28AF">
        <w:rPr>
          <w:rFonts w:ascii="Arial" w:hAnsi="Arial" w:cs="Arial"/>
          <w:lang w:eastAsia="pl-PL"/>
        </w:rPr>
        <w:t xml:space="preserve">10% </w:t>
      </w:r>
      <w:r w:rsidR="00DC28AF">
        <w:rPr>
          <w:rFonts w:ascii="Arial" w:hAnsi="Arial" w:cs="Arial"/>
          <w:lang w:eastAsia="pl-PL"/>
        </w:rPr>
        <w:t xml:space="preserve">planowanych </w:t>
      </w:r>
      <w:r w:rsidRPr="00DC28AF">
        <w:rPr>
          <w:rFonts w:ascii="Arial" w:hAnsi="Arial" w:cs="Arial"/>
          <w:lang w:eastAsia="pl-PL"/>
        </w:rPr>
        <w:t>wydatków kwalifikowalnych</w:t>
      </w:r>
      <w:r w:rsidRPr="00580A7E">
        <w:rPr>
          <w:rFonts w:ascii="Arial" w:hAnsi="Arial" w:cs="Arial"/>
          <w:lang w:eastAsia="pl-PL"/>
        </w:rPr>
        <w:t xml:space="preserve"> projektu</w:t>
      </w:r>
      <w:r w:rsidR="00DC28AF">
        <w:rPr>
          <w:rFonts w:ascii="Arial" w:hAnsi="Arial" w:cs="Arial"/>
          <w:lang w:eastAsia="pl-PL"/>
        </w:rPr>
        <w:t xml:space="preserve">, </w:t>
      </w:r>
      <w:r w:rsidRPr="00580A7E">
        <w:rPr>
          <w:rFonts w:ascii="Arial" w:hAnsi="Arial" w:cs="Arial"/>
          <w:lang w:eastAsia="pl-PL"/>
        </w:rPr>
        <w:t xml:space="preserve"> </w:t>
      </w:r>
      <w:r w:rsidR="00DC28AF" w:rsidRPr="00DC28AF">
        <w:rPr>
          <w:rFonts w:ascii="Arial" w:hAnsi="Arial" w:cs="Arial"/>
          <w:lang w:eastAsia="pl-PL"/>
        </w:rPr>
        <w:t xml:space="preserve">o których mowa w punkcie 2 podrozdziału 6.2 </w:t>
      </w:r>
      <w:r w:rsidR="00DC28AF" w:rsidRPr="00DC28AF">
        <w:rPr>
          <w:rFonts w:ascii="Arial" w:hAnsi="Arial" w:cs="Arial"/>
          <w:i/>
          <w:lang w:eastAsia="pl-PL"/>
        </w:rPr>
        <w:t>Wytycznych</w:t>
      </w:r>
      <w:r w:rsidR="00DC28AF">
        <w:rPr>
          <w:rFonts w:ascii="Arial" w:hAnsi="Arial" w:cs="Arial"/>
          <w:lang w:eastAsia="pl-PL"/>
        </w:rPr>
        <w:t>,</w:t>
      </w:r>
      <w:r w:rsidR="00DC28AF" w:rsidRPr="00DC28AF">
        <w:rPr>
          <w:rFonts w:ascii="Arial" w:hAnsi="Arial" w:cs="Arial"/>
          <w:lang w:eastAsia="pl-PL"/>
        </w:rPr>
        <w:t xml:space="preserve"> </w:t>
      </w:r>
      <w:r w:rsidRPr="00580A7E">
        <w:rPr>
          <w:rFonts w:ascii="Arial" w:hAnsi="Arial" w:cs="Arial"/>
          <w:lang w:eastAsia="pl-PL"/>
        </w:rPr>
        <w:t>w tym w szczególności wydatki związane z:</w:t>
      </w:r>
    </w:p>
    <w:p w14:paraId="00CAA28C"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14:paraId="78CA7BE5" w14:textId="77777777"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14:paraId="0AFFF263"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14:paraId="18027817"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14:paraId="31C5BFB5" w14:textId="77777777"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14:paraId="0A5842D2" w14:textId="77777777" w:rsidR="003F109C" w:rsidRPr="00DC28AF"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DC28AF">
        <w:rPr>
          <w:rFonts w:ascii="Arial" w:eastAsia="Times New Roman" w:hAnsi="Arial" w:cs="Times New Roman"/>
          <w:lang w:eastAsia="pl-PL"/>
        </w:rPr>
        <w:t xml:space="preserve">koszty pośrednie </w:t>
      </w:r>
      <w:r w:rsidR="00025B7B" w:rsidRPr="00DC28AF">
        <w:rPr>
          <w:rFonts w:ascii="Arial" w:eastAsia="Times New Roman" w:hAnsi="Arial" w:cs="Times New Roman"/>
          <w:lang w:eastAsia="pl-PL"/>
        </w:rPr>
        <w:t xml:space="preserve">rozliczane według stawki ryczałtowej w </w:t>
      </w:r>
      <w:r w:rsidRPr="00DC28AF">
        <w:rPr>
          <w:rFonts w:ascii="Arial" w:eastAsia="Times New Roman" w:hAnsi="Arial" w:cs="Times New Roman"/>
          <w:lang w:eastAsia="pl-PL"/>
        </w:rPr>
        <w:t xml:space="preserve">wysokości </w:t>
      </w:r>
      <w:r w:rsidR="00025B7B" w:rsidRPr="00DC28AF">
        <w:rPr>
          <w:rFonts w:ascii="Arial" w:eastAsia="Times New Roman" w:hAnsi="Arial" w:cs="Times New Roman"/>
          <w:lang w:eastAsia="pl-PL"/>
        </w:rPr>
        <w:t>10</w:t>
      </w:r>
      <w:r w:rsidRPr="00DC28AF">
        <w:rPr>
          <w:rFonts w:ascii="Arial" w:eastAsia="Times New Roman" w:hAnsi="Arial" w:cs="Times New Roman"/>
          <w:lang w:eastAsia="pl-PL"/>
        </w:rPr>
        <w:t xml:space="preserve">% </w:t>
      </w:r>
      <w:r w:rsidR="00025B7B" w:rsidRPr="00DC28AF">
        <w:rPr>
          <w:rFonts w:ascii="Arial" w:eastAsia="Times New Roman" w:hAnsi="Arial" w:cs="Times New Roman"/>
          <w:lang w:eastAsia="pl-PL"/>
        </w:rPr>
        <w:t xml:space="preserve">bezpośrednich kwalifikowalnych kosztów związanych z zaangażowaniem personelu projektu i mogą obejmować wydatki w </w:t>
      </w:r>
      <w:r w:rsidRPr="00DC28AF">
        <w:rPr>
          <w:rFonts w:ascii="Arial" w:eastAsia="Times New Roman" w:hAnsi="Arial" w:cs="Times New Roman"/>
          <w:lang w:eastAsia="pl-PL"/>
        </w:rPr>
        <w:t>szczególności związane z:</w:t>
      </w:r>
    </w:p>
    <w:p w14:paraId="77083160" w14:textId="77777777"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05B2DD5"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14:paraId="14FA04E5"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14:paraId="569A87BA"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14:paraId="0155CFCD" w14:textId="77777777" w:rsidR="003F109C" w:rsidRPr="00DC28AF" w:rsidRDefault="003F109C" w:rsidP="00AA17AF">
      <w:pPr>
        <w:numPr>
          <w:ilvl w:val="1"/>
          <w:numId w:val="49"/>
        </w:numPr>
        <w:spacing w:after="0" w:line="360" w:lineRule="auto"/>
        <w:contextualSpacing/>
        <w:jc w:val="both"/>
        <w:rPr>
          <w:rFonts w:ascii="Arial" w:hAnsi="Arial" w:cs="Arial"/>
        </w:rPr>
      </w:pPr>
      <w:r w:rsidRPr="00DC28AF">
        <w:rPr>
          <w:rFonts w:ascii="Arial" w:hAnsi="Arial" w:cs="Arial"/>
        </w:rPr>
        <w:lastRenderedPageBreak/>
        <w:t xml:space="preserve">robotami budowlanymi, o których mowa w art. 3 pkt 7 oraz 8 ustawy z dnia 7 lipca 1994 r. Prawo budowlane (Dz. U. z 2013 r., poz. 1409, z </w:t>
      </w:r>
      <w:proofErr w:type="spellStart"/>
      <w:r w:rsidRPr="00DC28AF">
        <w:rPr>
          <w:rFonts w:ascii="Arial" w:hAnsi="Arial" w:cs="Arial"/>
        </w:rPr>
        <w:t>późn</w:t>
      </w:r>
      <w:proofErr w:type="spellEnd"/>
      <w:r w:rsidRPr="00DC28AF">
        <w:rPr>
          <w:rFonts w:ascii="Arial" w:hAnsi="Arial" w:cs="Arial"/>
        </w:rPr>
        <w:t>. zm.) mającymi na celu adaptację pomieszczeń do celów realizacji projektu</w:t>
      </w:r>
      <w:r w:rsidRPr="00DC28AF" w:rsidDel="00022A88">
        <w:rPr>
          <w:rFonts w:ascii="Arial" w:hAnsi="Arial" w:cs="Arial"/>
        </w:rPr>
        <w:t xml:space="preserve"> </w:t>
      </w:r>
      <w:r w:rsidRPr="00DC28AF">
        <w:rPr>
          <w:rFonts w:ascii="Arial" w:hAnsi="Arial" w:cs="Arial"/>
        </w:rPr>
        <w:t>(maksymalnie do wysokości 10% łącznych kosztów wynajmu lub utrzymania budynków),</w:t>
      </w:r>
    </w:p>
    <w:p w14:paraId="5411AE28"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14:paraId="455327B2"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226C3F0"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14:paraId="443793B9" w14:textId="77777777"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14:paraId="232AE944" w14:textId="77777777" w:rsidR="00664D3C" w:rsidRDefault="00664D3C" w:rsidP="005E1C2A">
      <w:pPr>
        <w:spacing w:line="360" w:lineRule="auto"/>
        <w:jc w:val="both"/>
        <w:rPr>
          <w:rFonts w:ascii="Arial" w:eastAsia="Calibri" w:hAnsi="Arial" w:cs="Arial"/>
          <w:highlight w:val="yellow"/>
        </w:rPr>
      </w:pPr>
    </w:p>
    <w:p w14:paraId="40438D00" w14:textId="77777777"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79" w:name="_Toc48555157"/>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79"/>
    </w:p>
    <w:p w14:paraId="7A8514C9" w14:textId="77777777"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0" w:name="_Toc48555158"/>
      <w:r w:rsidRPr="00A9253D">
        <w:rPr>
          <w:rFonts w:ascii="Arial" w:eastAsiaTheme="majorEastAsia" w:hAnsi="Arial" w:cs="Arial"/>
          <w:bCs/>
          <w:i/>
          <w:sz w:val="24"/>
          <w:szCs w:val="24"/>
        </w:rPr>
        <w:t>Dokumentacja niezbędna do przygotowania projektu</w:t>
      </w:r>
      <w:bookmarkEnd w:id="180"/>
    </w:p>
    <w:p w14:paraId="5E7B506A" w14:textId="77777777"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w:t>
      </w:r>
      <w:r w:rsidRPr="00A9253D">
        <w:rPr>
          <w:rFonts w:ascii="Arial" w:eastAsia="Times New Roman" w:hAnsi="Arial" w:cs="Times New Roman"/>
          <w:lang w:eastAsia="pl-PL"/>
        </w:rPr>
        <w:t xml:space="preserve"> </w:t>
      </w:r>
      <w:r w:rsidRPr="00396EAB">
        <w:rPr>
          <w:rFonts w:ascii="Arial" w:eastAsia="Times New Roman" w:hAnsi="Arial" w:cs="Times New Roman"/>
          <w:lang w:eastAsia="pl-PL"/>
        </w:rPr>
        <w:t>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w:t>
      </w:r>
      <w:r w:rsidRPr="00A9253D">
        <w:rPr>
          <w:rFonts w:ascii="Arial" w:eastAsia="Times New Roman" w:hAnsi="Arial" w:cs="Times New Roman"/>
          <w:lang w:eastAsia="pl-PL"/>
        </w:rPr>
        <w:t xml:space="preserve"> projektu, </w:t>
      </w:r>
      <w:r w:rsidR="00396EAB" w:rsidRPr="00396EAB">
        <w:rPr>
          <w:rFonts w:ascii="Arial" w:eastAsia="Times New Roman" w:hAnsi="Arial" w:cs="Times New Roman"/>
          <w:lang w:eastAsia="pl-PL"/>
        </w:rPr>
        <w:t xml:space="preserve">o których mowa w punkcie 2 </w:t>
      </w:r>
      <w:r w:rsidR="00396EAB" w:rsidRPr="00396EAB">
        <w:rPr>
          <w:rFonts w:ascii="Arial" w:eastAsia="Times New Roman" w:hAnsi="Arial" w:cs="Times New Roman"/>
          <w:lang w:eastAsia="pl-PL"/>
        </w:rPr>
        <w:lastRenderedPageBreak/>
        <w:t xml:space="preserve">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3BC8D3D7"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2273B713" w14:textId="77777777"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4C4310D2" w14:textId="77777777"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43E9159D" w14:textId="77777777"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14:paraId="5FEF1342" w14:textId="77777777"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48555159"/>
      <w:r w:rsidRPr="00992E3F">
        <w:rPr>
          <w:rFonts w:ascii="Arial" w:eastAsiaTheme="majorEastAsia" w:hAnsi="Arial" w:cs="Arial"/>
          <w:bCs/>
          <w:i/>
          <w:sz w:val="24"/>
          <w:szCs w:val="24"/>
        </w:rPr>
        <w:t>Pozostałe wydatki kwalifikowalne</w:t>
      </w:r>
      <w:bookmarkEnd w:id="181"/>
    </w:p>
    <w:p w14:paraId="71C2A20A" w14:textId="77777777"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14:paraId="52CF5C62" w14:textId="77777777"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7817F417" w14:textId="77777777" w:rsidR="00664D3C" w:rsidRPr="00A9253D" w:rsidRDefault="00664D3C" w:rsidP="00396EAB">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t>
      </w:r>
      <w:r w:rsidR="00DA7A50">
        <w:rPr>
          <w:rFonts w:ascii="Arial" w:eastAsia="Times New Roman" w:hAnsi="Arial" w:cs="Arial"/>
          <w:lang w:eastAsia="pl-PL"/>
        </w:rPr>
        <w:t xml:space="preserve">w wysokości nieprzekraczającej </w:t>
      </w:r>
      <w:r w:rsidR="00DA7A50" w:rsidRPr="00396EAB">
        <w:rPr>
          <w:rFonts w:ascii="Arial" w:eastAsia="Times New Roman" w:hAnsi="Arial" w:cs="Arial"/>
          <w:lang w:eastAsia="pl-PL"/>
        </w:rPr>
        <w:t>10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002E33D7" w:rsidRPr="00396EAB">
        <w:rPr>
          <w:rFonts w:ascii="Arial" w:eastAsia="Times New Roman" w:hAnsi="Arial" w:cs="Arial"/>
          <w:lang w:eastAsia="pl-PL"/>
        </w:rPr>
        <w:t>wydatków kwalifikowalnych projektu</w:t>
      </w:r>
      <w:r w:rsidRPr="00396EAB">
        <w:rPr>
          <w:rFonts w:ascii="Arial" w:eastAsia="Times New Roman" w:hAnsi="Arial" w:cs="Arial"/>
          <w:lang w:eastAsia="pl-PL"/>
        </w:rPr>
        <w:t>,</w:t>
      </w:r>
      <w:r w:rsidRPr="00A9253D">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A9253D">
        <w:rPr>
          <w:rFonts w:ascii="Arial" w:eastAsia="Times New Roman" w:hAnsi="Arial" w:cs="Arial"/>
          <w:lang w:eastAsia="pl-PL"/>
        </w:rPr>
        <w:t>to jest wydatki poniesione na:</w:t>
      </w:r>
    </w:p>
    <w:p w14:paraId="49FC040D" w14:textId="77777777"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64343D90" w14:textId="77777777"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14:paraId="432AAB28"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14:paraId="56F5024F"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14:paraId="1066764E"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14:paraId="45D54D80"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14:paraId="230B0610" w14:textId="77777777"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14:paraId="78F45020" w14:textId="77777777"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lastRenderedPageBreak/>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14:paraId="4FB2E44B" w14:textId="77777777"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1CECF713"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49CF67F9" w14:textId="77777777"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34D48DA8" w14:textId="77777777"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14:paraId="594B2379" w14:textId="77777777"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329CB0B3"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14:paraId="40339167"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14:paraId="155DF61C"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14:paraId="50B753E8"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14:paraId="241ACCEA" w14:textId="77777777"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14:paraId="3333FA7C" w14:textId="77777777"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14:paraId="6C1D39D7"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14:paraId="3840E24B" w14:textId="77777777"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2C363462"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14:paraId="368464F9"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14:paraId="10228857" w14:textId="77777777"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14:paraId="17D529F4" w14:textId="77777777" w:rsidR="006F7548" w:rsidRPr="00396EAB" w:rsidRDefault="006F7548" w:rsidP="00AA17AF">
      <w:pPr>
        <w:pStyle w:val="Akapitzlist"/>
        <w:numPr>
          <w:ilvl w:val="1"/>
          <w:numId w:val="24"/>
        </w:numPr>
        <w:spacing w:before="120" w:after="120" w:line="360" w:lineRule="auto"/>
        <w:jc w:val="both"/>
        <w:rPr>
          <w:rFonts w:ascii="Arial" w:hAnsi="Arial" w:cs="Arial"/>
          <w:lang w:eastAsia="pl-PL"/>
        </w:rPr>
      </w:pPr>
      <w:r w:rsidRPr="00396EAB">
        <w:rPr>
          <w:rFonts w:ascii="Arial" w:hAnsi="Arial" w:cs="Arial"/>
          <w:lang w:eastAsia="pl-PL"/>
        </w:rPr>
        <w:lastRenderedPageBreak/>
        <w:t>koszty pośrednie rozliczane według stawki ryczałtowej w wysokości 10% bezpośrednich kwalifikowalnych kosztów związanych z zaangażowaniem personelu projektu i mogą obejmować wydatki w szczególności związane z:</w:t>
      </w:r>
    </w:p>
    <w:p w14:paraId="67B73FE4"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C1B0E40"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34FEBA31"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B39B6E7"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602A923C" w14:textId="77777777" w:rsidR="006F7548" w:rsidRPr="00396EAB" w:rsidRDefault="006F7548" w:rsidP="00AA17AF">
      <w:pPr>
        <w:pStyle w:val="Akapitzlist"/>
        <w:numPr>
          <w:ilvl w:val="0"/>
          <w:numId w:val="59"/>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5C38EB3A"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0EA4EB56"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67E4FEDB"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571215BD" w14:textId="77777777"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6BD8C900" w14:textId="77777777" w:rsidR="00664D3C" w:rsidRDefault="00664D3C" w:rsidP="005E1C2A">
      <w:pPr>
        <w:spacing w:line="360" w:lineRule="auto"/>
        <w:jc w:val="both"/>
        <w:rPr>
          <w:rFonts w:ascii="Arial" w:eastAsia="Calibri" w:hAnsi="Arial" w:cs="Arial"/>
          <w:highlight w:val="yellow"/>
        </w:rPr>
      </w:pPr>
    </w:p>
    <w:p w14:paraId="76A400EE" w14:textId="77777777"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2" w:name="_Toc488067515"/>
      <w:bookmarkStart w:id="183" w:name="_Toc48555160"/>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2"/>
      <w:r>
        <w:rPr>
          <w:rFonts w:ascii="Arial" w:eastAsiaTheme="majorEastAsia" w:hAnsi="Arial" w:cs="Arial"/>
          <w:b/>
          <w:bCs/>
          <w:i/>
          <w:sz w:val="24"/>
          <w:szCs w:val="24"/>
        </w:rPr>
        <w:t>8</w:t>
      </w:r>
      <w:bookmarkEnd w:id="183"/>
    </w:p>
    <w:p w14:paraId="0CC49516" w14:textId="77777777"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4" w:name="_Toc488067516"/>
      <w:bookmarkStart w:id="185" w:name="_Toc48555161"/>
      <w:r w:rsidRPr="00A9253D">
        <w:rPr>
          <w:rFonts w:ascii="Arial" w:eastAsiaTheme="majorEastAsia" w:hAnsi="Arial" w:cs="Arial"/>
          <w:bCs/>
          <w:i/>
          <w:sz w:val="24"/>
          <w:szCs w:val="24"/>
        </w:rPr>
        <w:t>Dokumentacja niezbędna do przygotowania projektu</w:t>
      </w:r>
      <w:bookmarkEnd w:id="184"/>
      <w:bookmarkEnd w:id="185"/>
    </w:p>
    <w:p w14:paraId="6C9832BF" w14:textId="77777777"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Pr="00396EAB">
        <w:rPr>
          <w:rFonts w:ascii="Arial" w:eastAsia="Times New Roman" w:hAnsi="Arial" w:cs="Times New Roman"/>
          <w:lang w:eastAsia="pl-PL"/>
        </w:rPr>
        <w:t xml:space="preserve">1%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w:t>
      </w:r>
      <w:r w:rsidR="00396EAB" w:rsidRPr="00396EAB">
        <w:rPr>
          <w:rFonts w:ascii="Arial" w:eastAsia="Times New Roman" w:hAnsi="Arial" w:cs="Times New Roman"/>
          <w:lang w:eastAsia="pl-PL"/>
        </w:rPr>
        <w:lastRenderedPageBreak/>
        <w:t xml:space="preserve">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25DFCDB6" w14:textId="77777777"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15E39091" w14:textId="77777777"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562DCF29" w14:textId="77777777"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3671327C" w14:textId="77777777"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6" w:name="_Toc488067517"/>
      <w:bookmarkStart w:id="187" w:name="_Toc48555162"/>
      <w:r w:rsidRPr="00992E3F">
        <w:rPr>
          <w:rFonts w:ascii="Arial" w:eastAsiaTheme="majorEastAsia" w:hAnsi="Arial" w:cs="Arial"/>
          <w:bCs/>
          <w:i/>
          <w:sz w:val="24"/>
          <w:szCs w:val="24"/>
        </w:rPr>
        <w:t>Pozostałe wydatki kwalifikowalne</w:t>
      </w:r>
      <w:bookmarkEnd w:id="186"/>
      <w:bookmarkEnd w:id="187"/>
    </w:p>
    <w:p w14:paraId="2FAA89AD" w14:textId="77777777"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3C708864" w14:textId="77777777"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granty na rzecz </w:t>
      </w:r>
      <w:proofErr w:type="spellStart"/>
      <w:r w:rsidRPr="00396EAB">
        <w:rPr>
          <w:rFonts w:ascii="Arial" w:eastAsia="Times New Roman" w:hAnsi="Arial" w:cs="Arial"/>
          <w:lang w:eastAsia="pl-PL"/>
        </w:rPr>
        <w:t>grantobiorców</w:t>
      </w:r>
      <w:proofErr w:type="spellEnd"/>
      <w:r w:rsidRPr="00396EAB">
        <w:rPr>
          <w:rFonts w:ascii="Arial" w:eastAsia="Times New Roman" w:hAnsi="Arial" w:cs="Arial"/>
          <w:lang w:eastAsia="pl-PL"/>
        </w:rPr>
        <w:t xml:space="preserve"> (w wysokości co najmniej </w:t>
      </w:r>
      <w:r w:rsidR="00DE17BF" w:rsidRPr="00396EAB">
        <w:rPr>
          <w:rFonts w:ascii="Arial" w:eastAsia="Times New Roman" w:hAnsi="Arial" w:cs="Arial"/>
          <w:lang w:eastAsia="pl-PL"/>
        </w:rPr>
        <w:t>80</w:t>
      </w:r>
      <w:r w:rsidRPr="00396EAB">
        <w:rPr>
          <w:rFonts w:ascii="Arial" w:eastAsia="Times New Roman" w:hAnsi="Arial" w:cs="Arial"/>
          <w:lang w:eastAsia="pl-PL"/>
        </w:rPr>
        <w:t>% wartości dofinansowania</w:t>
      </w:r>
      <w:r w:rsidRPr="00A9253D">
        <w:rPr>
          <w:rFonts w:ascii="Arial" w:eastAsia="Times New Roman" w:hAnsi="Arial" w:cs="Arial"/>
          <w:lang w:eastAsia="pl-PL"/>
        </w:rPr>
        <w:t xml:space="preserve">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lastRenderedPageBreak/>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14:paraId="442D364D" w14:textId="77777777"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14:paraId="1588F6E0" w14:textId="77777777"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koszty organizacji szkoleń</w:t>
      </w:r>
      <w:r>
        <w:rPr>
          <w:rFonts w:ascii="Arial" w:eastAsia="Times New Roman" w:hAnsi="Arial" w:cs="Arial"/>
          <w:lang w:eastAsia="pl-PL"/>
        </w:rPr>
        <w:t xml:space="preserve">,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14:paraId="4273AD1E"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w:t>
      </w:r>
      <w:r w:rsidRPr="00396EAB">
        <w:rPr>
          <w:rFonts w:ascii="Arial" w:eastAsia="Times New Roman" w:hAnsi="Arial" w:cs="Arial"/>
          <w:lang w:eastAsia="pl-PL"/>
        </w:rPr>
        <w:t xml:space="preserve">maksymalnie </w:t>
      </w:r>
      <w:r w:rsidR="00DE17BF" w:rsidRPr="00396EAB">
        <w:rPr>
          <w:rFonts w:ascii="Arial" w:eastAsia="Times New Roman" w:hAnsi="Arial" w:cs="Arial"/>
          <w:lang w:eastAsia="pl-PL"/>
        </w:rPr>
        <w:t>5</w:t>
      </w:r>
      <w:r w:rsidRPr="00396EAB">
        <w:rPr>
          <w:rFonts w:ascii="Arial" w:eastAsia="Times New Roman" w:hAnsi="Arial" w:cs="Arial"/>
          <w:lang w:eastAsia="pl-PL"/>
        </w:rPr>
        <w:t>% kwoty grantu,</w:t>
      </w:r>
    </w:p>
    <w:p w14:paraId="6AC52526" w14:textId="77777777"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14:paraId="282F070F" w14:textId="77777777" w:rsidR="001207FE" w:rsidRPr="00396EAB"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sidRPr="00396EAB">
        <w:rPr>
          <w:rFonts w:ascii="Arial" w:eastAsia="Times New Roman" w:hAnsi="Arial" w:cs="Arial"/>
          <w:lang w:eastAsia="pl-PL"/>
        </w:rPr>
        <w:t xml:space="preserve">koszty zarządzania i koszty administracyjne </w:t>
      </w:r>
      <w:proofErr w:type="spellStart"/>
      <w:r w:rsidRPr="00396EAB">
        <w:rPr>
          <w:rFonts w:ascii="Arial" w:eastAsia="Times New Roman" w:hAnsi="Arial" w:cs="Arial"/>
          <w:lang w:eastAsia="pl-PL"/>
        </w:rPr>
        <w:t>grantobiorcy</w:t>
      </w:r>
      <w:proofErr w:type="spellEnd"/>
      <w:r w:rsidRPr="00396EAB">
        <w:rPr>
          <w:rFonts w:ascii="Arial" w:eastAsia="Times New Roman" w:hAnsi="Arial" w:cs="Arial"/>
          <w:lang w:eastAsia="pl-PL"/>
        </w:rPr>
        <w:t xml:space="preserve"> – maksymalnie 20% kwoty grantu.</w:t>
      </w:r>
    </w:p>
    <w:p w14:paraId="2F2EA5CA" w14:textId="77777777"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396EAB">
        <w:rPr>
          <w:rFonts w:ascii="Arial" w:eastAsia="Times New Roman" w:hAnsi="Arial" w:cs="Arial"/>
          <w:lang w:eastAsia="pl-PL"/>
        </w:rPr>
        <w:t>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sidRPr="00396EAB">
        <w:rPr>
          <w:rFonts w:ascii="Arial" w:eastAsia="Times New Roman" w:hAnsi="Arial" w:cs="Arial"/>
          <w:lang w:eastAsia="pl-PL"/>
        </w:rPr>
        <w:t>20</w:t>
      </w:r>
      <w:r w:rsidRPr="00396EAB">
        <w:rPr>
          <w:rFonts w:ascii="Arial" w:eastAsia="Times New Roman" w:hAnsi="Arial" w:cs="Arial"/>
          <w:lang w:eastAsia="pl-PL"/>
        </w:rPr>
        <w:t>% wartości dofinansowania projektu</w:t>
      </w:r>
      <w:r w:rsidRPr="00A9253D">
        <w:rPr>
          <w:rFonts w:ascii="Arial" w:eastAsia="Times New Roman" w:hAnsi="Arial" w:cs="Arial"/>
          <w:lang w:eastAsia="pl-PL"/>
        </w:rPr>
        <w:t>, to jest wydatki poniesione na:</w:t>
      </w:r>
    </w:p>
    <w:p w14:paraId="2B9AF9F8" w14:textId="77777777"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14:paraId="737472C9" w14:textId="77777777"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14:paraId="5564851A" w14:textId="77777777"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14:paraId="0C53087F" w14:textId="77777777"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14:paraId="68799FA4"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14:paraId="1CEE3690"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14:paraId="79AFFFEF" w14:textId="77777777"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14:paraId="6FFA7AEB" w14:textId="77777777"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14:paraId="774A7664" w14:textId="77777777"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7EACBF41"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14:paraId="4432143A" w14:textId="77777777"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14:paraId="503ED966" w14:textId="77777777"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lastRenderedPageBreak/>
        <w:t xml:space="preserve">tworzeniem materiałów informacyjno-promocyjnych dostępnych również dla osób </w:t>
      </w:r>
      <w:r>
        <w:rPr>
          <w:rFonts w:ascii="Arial" w:hAnsi="Arial" w:cs="Arial"/>
          <w:lang w:eastAsia="pl-PL"/>
        </w:rPr>
        <w:t>z niepełnosprawnościami;</w:t>
      </w:r>
    </w:p>
    <w:p w14:paraId="16270037"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14:paraId="713FEF81"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14:paraId="3CD42A8A" w14:textId="77777777"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14:paraId="3270C195" w14:textId="77777777"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14:paraId="2ABF359D" w14:textId="77777777"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14:paraId="0478A2A1" w14:textId="77777777"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14:paraId="23039EC1" w14:textId="77777777"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14:paraId="5CEE28A7" w14:textId="77777777"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14:paraId="379A8701" w14:textId="77777777"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14:paraId="3E3A0043" w14:textId="77777777"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14:paraId="5228EE71" w14:textId="77777777" w:rsidR="001207FE" w:rsidRPr="00396EAB" w:rsidRDefault="001207FE" w:rsidP="000D7C28">
      <w:pPr>
        <w:pStyle w:val="Akapitzlist"/>
        <w:numPr>
          <w:ilvl w:val="1"/>
          <w:numId w:val="82"/>
        </w:numPr>
        <w:spacing w:before="120" w:after="120" w:line="360" w:lineRule="auto"/>
        <w:jc w:val="both"/>
        <w:rPr>
          <w:rFonts w:ascii="Arial" w:hAnsi="Arial" w:cs="Arial"/>
          <w:lang w:eastAsia="pl-PL"/>
        </w:rPr>
      </w:pPr>
      <w:r w:rsidRPr="00396EAB">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396EAB">
        <w:rPr>
          <w:rFonts w:ascii="Arial" w:hAnsi="Arial" w:cs="Arial"/>
          <w:i/>
          <w:lang w:eastAsia="pl-PL"/>
        </w:rPr>
        <w:t>Katalogu</w:t>
      </w:r>
      <w:r w:rsidRPr="00396EAB">
        <w:rPr>
          <w:rFonts w:ascii="Arial" w:hAnsi="Arial" w:cs="Arial"/>
          <w:lang w:eastAsia="pl-PL"/>
        </w:rPr>
        <w:t>. Koszty pośrednie mogą obejmować wydatki w szczególności związane z:</w:t>
      </w:r>
    </w:p>
    <w:p w14:paraId="075058AB" w14:textId="77777777"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0665603"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14:paraId="60FE8C47"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14:paraId="20585BCF"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14:paraId="78C6C9C5" w14:textId="77777777" w:rsidR="001207FE" w:rsidRPr="00396EAB" w:rsidRDefault="001207FE" w:rsidP="000D7C28">
      <w:pPr>
        <w:pStyle w:val="Akapitzlist"/>
        <w:numPr>
          <w:ilvl w:val="0"/>
          <w:numId w:val="85"/>
        </w:numPr>
        <w:spacing w:before="120" w:after="120" w:line="360" w:lineRule="auto"/>
        <w:ind w:left="1264" w:hanging="357"/>
        <w:jc w:val="both"/>
        <w:rPr>
          <w:rFonts w:ascii="Arial" w:hAnsi="Arial" w:cs="Arial"/>
        </w:rPr>
      </w:pPr>
      <w:r w:rsidRPr="00396EAB">
        <w:rPr>
          <w:rFonts w:ascii="Arial" w:hAnsi="Arial" w:cs="Arial"/>
        </w:rPr>
        <w:t xml:space="preserve">robotami budowlanymi, o których mowa w art. 3 pkt 7 oraz 8 ustawy z dnia 7 lipca 1994 r. Prawo budowlane (Dz. U. z 2013 r., poz. 1409, z </w:t>
      </w:r>
      <w:proofErr w:type="spellStart"/>
      <w:r w:rsidRPr="00396EAB">
        <w:rPr>
          <w:rFonts w:ascii="Arial" w:hAnsi="Arial" w:cs="Arial"/>
        </w:rPr>
        <w:t>późn</w:t>
      </w:r>
      <w:proofErr w:type="spellEnd"/>
      <w:r w:rsidRPr="00396EAB">
        <w:rPr>
          <w:rFonts w:ascii="Arial" w:hAnsi="Arial" w:cs="Arial"/>
        </w:rPr>
        <w:t>. zm.) mającymi na celu adaptację pomieszczeń do celów realizacji projektu</w:t>
      </w:r>
      <w:r w:rsidRPr="00396EAB" w:rsidDel="00022A88">
        <w:rPr>
          <w:rFonts w:ascii="Arial" w:hAnsi="Arial" w:cs="Arial"/>
        </w:rPr>
        <w:t xml:space="preserve"> </w:t>
      </w:r>
      <w:r w:rsidRPr="00396EAB">
        <w:rPr>
          <w:rFonts w:ascii="Arial" w:hAnsi="Arial" w:cs="Arial"/>
        </w:rPr>
        <w:t>(maksymalnie do wysokości 10% łącznych kosztów wynajmu lub utrzymania budynków),</w:t>
      </w:r>
    </w:p>
    <w:p w14:paraId="7D3785E5"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lastRenderedPageBreak/>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14:paraId="5618A1CB"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A03CF7A" w14:textId="77777777"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14:paraId="4F3B2FEB" w14:textId="77777777"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14:paraId="2CAA37D8" w14:textId="77777777" w:rsidR="00871C4E" w:rsidRDefault="00871C4E">
      <w:pPr>
        <w:rPr>
          <w:rFonts w:ascii="Arial" w:hAnsi="Arial" w:cs="Arial"/>
        </w:rPr>
      </w:pPr>
      <w:r>
        <w:rPr>
          <w:rFonts w:ascii="Arial" w:hAnsi="Arial" w:cs="Arial"/>
        </w:rPr>
        <w:br w:type="page"/>
      </w:r>
    </w:p>
    <w:p w14:paraId="192D1B69" w14:textId="77777777"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8" w:name="_Toc48555163"/>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bookmarkEnd w:id="188"/>
    </w:p>
    <w:p w14:paraId="728138A0" w14:textId="77777777"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9" w:name="_Toc48555164"/>
      <w:r w:rsidRPr="00A9253D">
        <w:rPr>
          <w:rFonts w:ascii="Arial" w:eastAsiaTheme="majorEastAsia" w:hAnsi="Arial" w:cs="Arial"/>
          <w:bCs/>
          <w:i/>
          <w:sz w:val="24"/>
          <w:szCs w:val="24"/>
        </w:rPr>
        <w:t>Dokumentacja niezbędna do przygotowania projektu</w:t>
      </w:r>
      <w:bookmarkEnd w:id="189"/>
    </w:p>
    <w:p w14:paraId="626635C7" w14:textId="77777777"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396EAB">
        <w:rPr>
          <w:rFonts w:ascii="Arial" w:eastAsia="Times New Roman" w:hAnsi="Arial" w:cs="Times New Roman"/>
          <w:lang w:eastAsia="pl-PL"/>
        </w:rPr>
        <w:t>przygotowaniem projektów</w:t>
      </w:r>
      <w:r w:rsidRPr="00A9253D">
        <w:rPr>
          <w:rFonts w:ascii="Arial" w:eastAsia="Times New Roman" w:hAnsi="Arial" w:cs="Times New Roman"/>
          <w:lang w:eastAsia="pl-PL"/>
        </w:rPr>
        <w:t xml:space="preserve">, w wysokości nieprzekraczającej łącznie </w:t>
      </w:r>
      <w:r w:rsidR="00D147A3" w:rsidRPr="00A97405">
        <w:rPr>
          <w:rFonts w:ascii="Arial" w:eastAsia="Times New Roman" w:hAnsi="Arial" w:cs="Times New Roman"/>
          <w:lang w:eastAsia="pl-PL"/>
        </w:rPr>
        <w:t>2</w:t>
      </w:r>
      <w:r w:rsidRPr="00396EAB">
        <w:rPr>
          <w:rFonts w:ascii="Arial" w:eastAsia="Times New Roman" w:hAnsi="Arial" w:cs="Times New Roman"/>
          <w:lang w:eastAsia="pl-PL"/>
        </w:rPr>
        <w:t xml:space="preserve">% </w:t>
      </w:r>
      <w:r w:rsidR="00396EAB">
        <w:rPr>
          <w:rFonts w:ascii="Arial" w:eastAsia="Times New Roman" w:hAnsi="Arial" w:cs="Times New Roman"/>
          <w:lang w:eastAsia="pl-PL"/>
        </w:rPr>
        <w:t xml:space="preserve">planowanych </w:t>
      </w:r>
      <w:r w:rsidRPr="00396EAB">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396EAB" w:rsidRPr="00396EAB">
        <w:rPr>
          <w:rFonts w:ascii="Arial" w:eastAsia="Times New Roman" w:hAnsi="Arial" w:cs="Times New Roman"/>
          <w:lang w:eastAsia="pl-PL"/>
        </w:rPr>
        <w:t xml:space="preserve">o których mowa w punkcie 2 podrozdziału 6.2 </w:t>
      </w:r>
      <w:r w:rsidR="00396EAB" w:rsidRPr="00396EAB">
        <w:rPr>
          <w:rFonts w:ascii="Arial" w:eastAsia="Times New Roman" w:hAnsi="Arial" w:cs="Times New Roman"/>
          <w:i/>
          <w:lang w:eastAsia="pl-PL"/>
        </w:rPr>
        <w:t>Wytycznych</w:t>
      </w:r>
      <w:r w:rsidR="00396EAB">
        <w:rPr>
          <w:rFonts w:ascii="Arial" w:eastAsia="Times New Roman" w:hAnsi="Arial" w:cs="Times New Roman"/>
          <w:lang w:eastAsia="pl-PL"/>
        </w:rPr>
        <w:t>,</w:t>
      </w:r>
      <w:r w:rsidR="00396EAB" w:rsidRPr="00396EAB">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062A039D"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14D95C3B" w14:textId="77777777"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71B3EDC4"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1EB56A19" w14:textId="77777777"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14:paraId="30B3F828" w14:textId="77777777"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14:paraId="0343DD6B" w14:textId="77777777" w:rsidR="00584B96" w:rsidRPr="007E469E" w:rsidRDefault="00584B96" w:rsidP="00584B96">
      <w:pPr>
        <w:keepNext/>
        <w:tabs>
          <w:tab w:val="num" w:pos="432"/>
        </w:tabs>
        <w:spacing w:before="120" w:after="120" w:line="360" w:lineRule="auto"/>
        <w:ind w:left="432" w:hanging="432"/>
        <w:jc w:val="center"/>
        <w:outlineLvl w:val="0"/>
      </w:pPr>
    </w:p>
    <w:p w14:paraId="5D91FEE7" w14:textId="77777777"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0" w:name="_Toc48555165"/>
      <w:r w:rsidRPr="00992E3F">
        <w:rPr>
          <w:rFonts w:ascii="Arial" w:eastAsiaTheme="majorEastAsia" w:hAnsi="Arial" w:cs="Arial"/>
          <w:bCs/>
          <w:i/>
          <w:sz w:val="24"/>
          <w:szCs w:val="24"/>
        </w:rPr>
        <w:t>Pozostałe wydatki kwalifikowalne</w:t>
      </w:r>
      <w:bookmarkEnd w:id="190"/>
    </w:p>
    <w:p w14:paraId="44ECC421" w14:textId="77777777"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14:paraId="4A2CF929" w14:textId="77777777"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6"/>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14:paraId="3A5F6533" w14:textId="77777777" w:rsidR="00E72962" w:rsidRDefault="00E72962" w:rsidP="006F6129">
      <w:pPr>
        <w:pStyle w:val="Akapit"/>
        <w:numPr>
          <w:ilvl w:val="0"/>
          <w:numId w:val="87"/>
        </w:numPr>
        <w:ind w:left="714" w:hanging="357"/>
        <w:outlineLvl w:val="5"/>
        <w:rPr>
          <w:bCs w:val="0"/>
          <w:szCs w:val="22"/>
        </w:rPr>
      </w:pPr>
      <w:r w:rsidRPr="00920ACF">
        <w:rPr>
          <w:bCs w:val="0"/>
          <w:szCs w:val="22"/>
        </w:rPr>
        <w:lastRenderedPageBreak/>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14:paraId="78BA1E0E" w14:textId="77777777"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14:paraId="171FF8B3" w14:textId="77777777"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14:paraId="40949703" w14:textId="77777777"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14:paraId="1F721978" w14:textId="77777777"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14:paraId="7747E017" w14:textId="77777777" w:rsidR="00D607ED" w:rsidRPr="005D72A8" w:rsidRDefault="00E72962"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działania szkoleniowe dla trenerów kompetencji cyfrowych</w:t>
      </w:r>
      <w:r w:rsidRPr="005D72A8">
        <w:rPr>
          <w:rFonts w:ascii="Arial" w:eastAsia="Times New Roman" w:hAnsi="Arial" w:cs="Arial"/>
          <w:lang w:eastAsia="pl-PL"/>
        </w:rPr>
        <w:t xml:space="preserve">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 xml:space="preserve">związanymi z pracą z osobami niepełnosprawnymi,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r w:rsidR="00FC2AF5" w:rsidRPr="005D72A8">
        <w:rPr>
          <w:rFonts w:ascii="Arial" w:eastAsia="Times New Roman" w:hAnsi="Arial" w:cs="Arial"/>
          <w:lang w:eastAsia="pl-PL"/>
        </w:rPr>
        <w:t>:</w:t>
      </w:r>
    </w:p>
    <w:p w14:paraId="1B6CC7D8" w14:textId="77777777"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14:paraId="373B7C1E"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14:paraId="00154BCA"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14:paraId="4C094366" w14:textId="77777777"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14:paraId="1A6B70AE" w14:textId="77777777"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14:paraId="26CE9569" w14:textId="77777777" w:rsidR="00D607ED" w:rsidRPr="00207AEB" w:rsidRDefault="009D5DAF" w:rsidP="00C45F28">
      <w:pPr>
        <w:pStyle w:val="Akapit"/>
        <w:numPr>
          <w:ilvl w:val="0"/>
          <w:numId w:val="0"/>
        </w:numPr>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14:paraId="5E469A96"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55A5443B"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14:paraId="4037802C" w14:textId="77777777"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14:paraId="2C3CF1AD" w14:textId="77777777" w:rsidR="00D607ED"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w:t>
      </w:r>
      <w:r w:rsidRPr="00396EAB">
        <w:rPr>
          <w:rFonts w:ascii="Arial" w:eastAsia="Times New Roman" w:hAnsi="Arial" w:cs="Arial"/>
          <w:lang w:eastAsia="pl-PL"/>
        </w:rPr>
        <w:t>informacyjno-promocyjne</w:t>
      </w:r>
      <w:r w:rsidRPr="005D72A8">
        <w:rPr>
          <w:rFonts w:ascii="Arial" w:eastAsia="Times New Roman" w:hAnsi="Arial" w:cs="Arial"/>
          <w:lang w:eastAsia="pl-PL"/>
        </w:rPr>
        <w:t xml:space="preserve"> w wysokości nieprzekraczającej łącznie </w:t>
      </w:r>
      <w:r w:rsidR="00415F35" w:rsidRPr="005D72A8">
        <w:rPr>
          <w:rFonts w:ascii="Arial" w:eastAsia="Times New Roman" w:hAnsi="Arial" w:cs="Arial"/>
          <w:lang w:eastAsia="pl-PL"/>
        </w:rPr>
        <w:t>5</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39103D95" w14:textId="77777777"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lastRenderedPageBreak/>
        <w:t>organizowaniem kampanii informacyjnych, promocji w mediach elektronicznych i tradycyjnych</w:t>
      </w:r>
      <w:r>
        <w:rPr>
          <w:bCs w:val="0"/>
          <w:szCs w:val="22"/>
        </w:rPr>
        <w:t>,</w:t>
      </w:r>
    </w:p>
    <w:p w14:paraId="3F175EC3" w14:textId="77777777"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14:paraId="7E9B2C50" w14:textId="77777777"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14:paraId="21FFF239" w14:textId="77777777" w:rsidR="00CA2AA5" w:rsidRPr="00396EAB" w:rsidRDefault="00CA2AA5" w:rsidP="00396EAB">
      <w:pPr>
        <w:pStyle w:val="Akapitzlist"/>
        <w:numPr>
          <w:ilvl w:val="0"/>
          <w:numId w:val="91"/>
        </w:numPr>
        <w:spacing w:line="360" w:lineRule="auto"/>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w:t>
      </w:r>
      <w:r w:rsidRPr="00396EAB">
        <w:rPr>
          <w:rFonts w:ascii="Arial" w:eastAsia="Times New Roman" w:hAnsi="Arial" w:cs="Arial"/>
          <w:lang w:eastAsia="pl-PL"/>
        </w:rPr>
        <w:t>sprzętu teleinformatycznego</w:t>
      </w:r>
      <w:r w:rsidRPr="005D72A8">
        <w:rPr>
          <w:rFonts w:ascii="Arial" w:eastAsia="Times New Roman" w:hAnsi="Arial" w:cs="Arial"/>
          <w:lang w:eastAsia="pl-P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 xml:space="preserve">(i innych formatów), w tym </w:t>
      </w:r>
      <w:r w:rsidRPr="00396EAB">
        <w:rPr>
          <w:rFonts w:ascii="Arial" w:eastAsia="Times New Roman" w:hAnsi="Arial" w:cs="Arial"/>
          <w:lang w:eastAsia="pl-PL"/>
        </w:rPr>
        <w:t>dostosowanego do potrzeb osób niepełnosprawnych, w wysokości nieprzekraczającej łącznie 1</w:t>
      </w:r>
      <w:r w:rsidR="000B2650" w:rsidRPr="00396EAB">
        <w:rPr>
          <w:rFonts w:ascii="Arial" w:eastAsia="Times New Roman" w:hAnsi="Arial" w:cs="Arial"/>
          <w:lang w:eastAsia="pl-PL"/>
        </w:rPr>
        <w:t>0</w:t>
      </w:r>
      <w:r w:rsidRPr="00396EAB">
        <w:rPr>
          <w:rFonts w:ascii="Arial" w:eastAsia="Times New Roman" w:hAnsi="Arial" w:cs="Arial"/>
          <w:lang w:eastAsia="pl-PL"/>
        </w:rPr>
        <w:t xml:space="preserve">%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396EAB">
        <w:rPr>
          <w:rFonts w:ascii="Arial" w:eastAsia="Times New Roman" w:hAnsi="Arial" w:cs="Arial"/>
          <w:lang w:eastAsia="pl-PL"/>
        </w:rPr>
        <w:t>,</w:t>
      </w:r>
      <w:r w:rsidR="00396EAB" w:rsidRPr="00396EAB">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Pr="00396EAB">
        <w:rPr>
          <w:rFonts w:ascii="Arial" w:eastAsia="Times New Roman" w:hAnsi="Arial" w:cs="Arial"/>
          <w:lang w:eastAsia="pl-PL"/>
        </w:rPr>
        <w:t>;</w:t>
      </w:r>
    </w:p>
    <w:p w14:paraId="72FC439B" w14:textId="77777777"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14:paraId="52BA7569" w14:textId="77777777" w:rsidR="005C6309" w:rsidRPr="005D72A8" w:rsidRDefault="005C6309" w:rsidP="00396EAB">
      <w:pPr>
        <w:pStyle w:val="Akapitzlist"/>
        <w:numPr>
          <w:ilvl w:val="0"/>
          <w:numId w:val="91"/>
        </w:numPr>
        <w:spacing w:line="360" w:lineRule="auto"/>
        <w:contextualSpacing w:val="0"/>
        <w:jc w:val="both"/>
        <w:rPr>
          <w:rFonts w:ascii="Arial" w:eastAsia="Times New Roman" w:hAnsi="Arial" w:cs="Arial"/>
          <w:lang w:eastAsia="pl-PL"/>
        </w:rPr>
      </w:pPr>
      <w:r w:rsidRPr="00396EAB">
        <w:rPr>
          <w:rFonts w:ascii="Arial" w:eastAsia="Times New Roman" w:hAnsi="Arial" w:cs="Arial"/>
          <w:lang w:eastAsia="pl-PL"/>
        </w:rPr>
        <w:t>zarządzanie projektem</w:t>
      </w:r>
      <w:r w:rsidRPr="005D72A8">
        <w:rPr>
          <w:rFonts w:ascii="Arial" w:eastAsia="Times New Roman" w:hAnsi="Arial" w:cs="Arial"/>
          <w:lang w:eastAsia="pl-PL"/>
        </w:rPr>
        <w:t xml:space="preserve">, w wysokości nieprzekraczającej </w:t>
      </w:r>
      <w:r w:rsidRPr="00396EAB">
        <w:rPr>
          <w:rFonts w:ascii="Arial" w:eastAsia="Times New Roman" w:hAnsi="Arial" w:cs="Arial"/>
          <w:lang w:eastAsia="pl-PL"/>
        </w:rPr>
        <w:t xml:space="preserve">10% </w:t>
      </w:r>
      <w:r w:rsidR="00396EAB">
        <w:rPr>
          <w:rFonts w:ascii="Arial" w:eastAsia="Times New Roman" w:hAnsi="Arial" w:cs="Arial"/>
          <w:lang w:eastAsia="pl-PL"/>
        </w:rPr>
        <w:t xml:space="preserve">planowanych </w:t>
      </w:r>
      <w:r w:rsidRPr="00396EAB">
        <w:rPr>
          <w:rFonts w:ascii="Arial" w:eastAsia="Times New Roman" w:hAnsi="Arial" w:cs="Arial"/>
          <w:lang w:eastAsia="pl-PL"/>
        </w:rPr>
        <w:t>wydatków kwalifikowalnych projektu</w:t>
      </w:r>
      <w:r w:rsidR="00011768" w:rsidRPr="00396EAB">
        <w:rPr>
          <w:rFonts w:ascii="Arial" w:eastAsia="Times New Roman" w:hAnsi="Arial" w:cs="Arial"/>
          <w:lang w:eastAsia="pl-PL"/>
        </w:rPr>
        <w:t>,</w:t>
      </w:r>
      <w:r w:rsidRPr="005D72A8">
        <w:rPr>
          <w:rFonts w:ascii="Arial" w:eastAsia="Times New Roman" w:hAnsi="Arial" w:cs="Arial"/>
          <w:lang w:eastAsia="pl-PL"/>
        </w:rPr>
        <w:t xml:space="preserve"> </w:t>
      </w:r>
      <w:r w:rsidR="00396EAB" w:rsidRPr="00396EAB">
        <w:rPr>
          <w:rFonts w:ascii="Arial" w:eastAsia="Times New Roman" w:hAnsi="Arial" w:cs="Arial"/>
          <w:lang w:eastAsia="pl-PL"/>
        </w:rPr>
        <w:t xml:space="preserve">o których mowa w punkcie 2 podrozdziału 6.2 </w:t>
      </w:r>
      <w:r w:rsidR="00396EAB" w:rsidRPr="00396EAB">
        <w:rPr>
          <w:rFonts w:ascii="Arial" w:eastAsia="Times New Roman" w:hAnsi="Arial" w:cs="Arial"/>
          <w:i/>
          <w:lang w:eastAsia="pl-PL"/>
        </w:rPr>
        <w:t>Wytycznych</w:t>
      </w:r>
      <w:r w:rsidR="00396EAB">
        <w:rPr>
          <w:rFonts w:ascii="Arial" w:eastAsia="Times New Roman" w:hAnsi="Arial" w:cs="Arial"/>
          <w:lang w:eastAsia="pl-PL"/>
        </w:rPr>
        <w:t>,</w:t>
      </w:r>
      <w:r w:rsidR="00396EAB" w:rsidRPr="00396EAB">
        <w:rPr>
          <w:rFonts w:ascii="Arial" w:eastAsia="Times New Roman" w:hAnsi="Arial" w:cs="Arial"/>
          <w:lang w:eastAsia="pl-PL"/>
        </w:rPr>
        <w:t xml:space="preserve"> </w:t>
      </w:r>
      <w:r w:rsidRPr="005D72A8">
        <w:rPr>
          <w:rFonts w:ascii="Arial" w:eastAsia="Times New Roman" w:hAnsi="Arial" w:cs="Arial"/>
          <w:lang w:eastAsia="pl-PL"/>
        </w:rPr>
        <w:t>w tym w szczególności wydatki związane z:</w:t>
      </w:r>
    </w:p>
    <w:p w14:paraId="563730C2" w14:textId="77777777"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14:paraId="1E5666BC" w14:textId="77777777"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14:paraId="73AFEF1E" w14:textId="77777777"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14:paraId="3F755446" w14:textId="77777777"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14:paraId="132EDD5F" w14:textId="77777777" w:rsidR="00AC0E18" w:rsidRPr="00396EAB"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396EAB">
        <w:rPr>
          <w:rFonts w:ascii="Arial" w:eastAsia="Times New Roman" w:hAnsi="Arial" w:cs="Arial"/>
          <w:lang w:eastAsia="pl-PL"/>
        </w:rPr>
        <w:t>koszty pośrednie rozliczane według stawki ryczałtowej w wysokości 1</w:t>
      </w:r>
      <w:r w:rsidR="00B538DB" w:rsidRPr="00396EAB">
        <w:rPr>
          <w:rFonts w:ascii="Arial" w:eastAsia="Times New Roman" w:hAnsi="Arial" w:cs="Arial"/>
          <w:lang w:eastAsia="pl-PL"/>
        </w:rPr>
        <w:t>0</w:t>
      </w:r>
      <w:r w:rsidRPr="00396EAB">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396EAB">
        <w:rPr>
          <w:rFonts w:ascii="Arial" w:eastAsia="Times New Roman" w:hAnsi="Arial" w:cs="Arial"/>
          <w:lang w:eastAsia="pl-PL"/>
        </w:rPr>
        <w:t>:</w:t>
      </w:r>
    </w:p>
    <w:p w14:paraId="07EF341F"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wynagrodzeniem osób zaliczających się do personelu wsparcia, czyli osób zaangażowanych w obsługę techniczną projektu, w tym obsługę kadrową, prawną, </w:t>
      </w:r>
      <w:r w:rsidRPr="008B46DA">
        <w:rPr>
          <w:rFonts w:ascii="Arial" w:eastAsia="Calibri" w:hAnsi="Arial" w:cs="Arial"/>
        </w:rPr>
        <w:lastRenderedPageBreak/>
        <w:t>administracyjną, sekretariat i kancelarię, księgowość i realizujące także inne działania niezwiązane z merytorycznym wdrażaniem projektu,</w:t>
      </w:r>
    </w:p>
    <w:p w14:paraId="7EAF3BFC"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14:paraId="239D31A1"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14:paraId="6085A35C"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14:paraId="01D8F145" w14:textId="77777777"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7AAC864E" w14:textId="77777777"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14:paraId="47A95EEA" w14:textId="77777777"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14:paraId="47AB1C3C" w14:textId="77777777" w:rsidR="00396EAB" w:rsidRDefault="00232DAE" w:rsidP="005D72A8">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14:paraId="0A6712DA" w14:textId="77777777" w:rsidR="00396EAB" w:rsidRDefault="00396EAB">
      <w:pPr>
        <w:rPr>
          <w:rFonts w:ascii="Arial" w:eastAsia="Calibri" w:hAnsi="Arial" w:cs="Arial"/>
        </w:rPr>
      </w:pPr>
      <w:r>
        <w:rPr>
          <w:rFonts w:ascii="Arial" w:eastAsia="Calibri" w:hAnsi="Arial" w:cs="Arial"/>
        </w:rPr>
        <w:br w:type="page"/>
      </w:r>
    </w:p>
    <w:p w14:paraId="2F4ADBA3" w14:textId="77777777"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1" w:name="_Toc48555166"/>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91"/>
    </w:p>
    <w:p w14:paraId="65D8B6A8" w14:textId="77777777"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14:paraId="45E43EF2"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14:paraId="604FA3AD"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7"/>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6A4714EA"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43FA3285"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14:paraId="7070E62A"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14:paraId="363ACEE5"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14:paraId="092007ED"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14:paraId="2CDCD5AE"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EFE5219"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w:t>
      </w:r>
      <w:r w:rsidRPr="00E6680D">
        <w:rPr>
          <w:rFonts w:ascii="Arial" w:eastAsia="Calibri" w:hAnsi="Arial" w:cs="Arial"/>
        </w:rPr>
        <w:t>sprzętu teleinformatycznego</w:t>
      </w:r>
      <w:r w:rsidRPr="00513FC4">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w:t>
      </w:r>
      <w:r w:rsidRPr="00E6680D">
        <w:rPr>
          <w:rFonts w:ascii="Arial" w:eastAsia="Calibri" w:hAnsi="Arial" w:cs="Arial"/>
        </w:rPr>
        <w:t xml:space="preserve">25% </w:t>
      </w:r>
      <w:r w:rsidR="00E6680D">
        <w:rPr>
          <w:rFonts w:ascii="Arial" w:eastAsia="Calibri" w:hAnsi="Arial" w:cs="Arial"/>
        </w:rPr>
        <w:t xml:space="preserve">planowanych </w:t>
      </w:r>
      <w:r w:rsidRPr="00E6680D">
        <w:rPr>
          <w:rFonts w:ascii="Arial" w:eastAsia="Calibri" w:hAnsi="Arial" w:cs="Arial"/>
        </w:rPr>
        <w:t>wydatków kwalifikowalnych projektu</w:t>
      </w:r>
      <w:r w:rsidR="00E6680D">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Pr="00E6680D">
        <w:rPr>
          <w:rFonts w:ascii="Arial" w:eastAsia="Calibri" w:hAnsi="Arial" w:cs="Arial"/>
        </w:rPr>
        <w:t>;</w:t>
      </w:r>
    </w:p>
    <w:p w14:paraId="6DA05369"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14:paraId="3AACC42D"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14:paraId="10EED4E2"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14:paraId="3569901C"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14:paraId="2DCA49E1"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14:paraId="4481100F"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14:paraId="2651E8B1"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r>
      <w:r w:rsidRPr="00E6680D">
        <w:rPr>
          <w:rFonts w:ascii="Arial" w:eastAsia="Calibri" w:hAnsi="Arial" w:cs="Arial"/>
        </w:rPr>
        <w:t>działania informacyjno-promocyjne</w:t>
      </w:r>
      <w:r w:rsidRPr="00513FC4">
        <w:rPr>
          <w:rFonts w:ascii="Arial" w:eastAsia="Calibri" w:hAnsi="Arial" w:cs="Arial"/>
        </w:rPr>
        <w:t xml:space="preserve"> w wysokości nieprzekraczającej łącznie </w:t>
      </w:r>
      <w:r w:rsidRPr="00E6680D">
        <w:rPr>
          <w:rFonts w:ascii="Arial" w:eastAsia="Calibri" w:hAnsi="Arial" w:cs="Arial"/>
        </w:rPr>
        <w:t xml:space="preserve">1%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14:paraId="2F588E97"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14:paraId="73630AD9"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14:paraId="39A4186D"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w:t>
      </w:r>
      <w:r w:rsidRPr="00E6680D">
        <w:rPr>
          <w:rFonts w:ascii="Arial" w:eastAsia="Calibri" w:hAnsi="Arial" w:cs="Arial"/>
        </w:rPr>
        <w:t xml:space="preserve">10% </w:t>
      </w:r>
      <w:r w:rsidR="00E6680D">
        <w:rPr>
          <w:rFonts w:ascii="Arial" w:eastAsia="Calibri" w:hAnsi="Arial" w:cs="Arial"/>
        </w:rPr>
        <w:t xml:space="preserve">planowanych </w:t>
      </w:r>
      <w:r w:rsidRPr="00E6680D">
        <w:rPr>
          <w:rFonts w:ascii="Arial" w:eastAsia="Calibri" w:hAnsi="Arial" w:cs="Arial"/>
        </w:rPr>
        <w:t>wydatków kwalifikowalnych projektu</w:t>
      </w:r>
      <w:r w:rsidRPr="00513FC4">
        <w:rPr>
          <w:rFonts w:ascii="Arial" w:eastAsia="Calibri" w:hAnsi="Arial" w:cs="Arial"/>
        </w:rPr>
        <w:t xml:space="preserve">, </w:t>
      </w:r>
      <w:r w:rsidR="00E6680D" w:rsidRPr="00E6680D">
        <w:rPr>
          <w:rFonts w:ascii="Arial" w:eastAsia="Calibri" w:hAnsi="Arial" w:cs="Arial"/>
        </w:rPr>
        <w:t xml:space="preserve">o których mowa w punkcie 2 podrozdziału 6.2 </w:t>
      </w:r>
      <w:r w:rsidR="00E6680D" w:rsidRPr="00E6680D">
        <w:rPr>
          <w:rFonts w:ascii="Arial" w:eastAsia="Calibri" w:hAnsi="Arial" w:cs="Arial"/>
          <w:i/>
        </w:rPr>
        <w:t>Wytycznych</w:t>
      </w:r>
      <w:r w:rsidR="00E6680D">
        <w:rPr>
          <w:rFonts w:ascii="Arial" w:eastAsia="Calibri" w:hAnsi="Arial" w:cs="Arial"/>
        </w:rPr>
        <w:t>,</w:t>
      </w:r>
      <w:r w:rsidR="00E6680D" w:rsidRPr="00E6680D">
        <w:rPr>
          <w:rFonts w:ascii="Arial" w:eastAsia="Calibri" w:hAnsi="Arial" w:cs="Arial"/>
        </w:rPr>
        <w:t xml:space="preserve"> </w:t>
      </w:r>
      <w:r w:rsidRPr="00513FC4">
        <w:rPr>
          <w:rFonts w:ascii="Arial" w:eastAsia="Calibri" w:hAnsi="Arial" w:cs="Arial"/>
        </w:rPr>
        <w:t xml:space="preserve">w tym w szczególności wydatki związane z: </w:t>
      </w:r>
    </w:p>
    <w:p w14:paraId="6749CF28"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14:paraId="159D2F44"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14:paraId="4A2AEF3C"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14:paraId="6C28BF17"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14:paraId="7237BD94"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13)</w:t>
      </w:r>
      <w:r w:rsidRPr="00513FC4">
        <w:rPr>
          <w:rFonts w:ascii="Arial" w:eastAsia="Calibri" w:hAnsi="Arial" w:cs="Arial"/>
        </w:rPr>
        <w:tab/>
        <w:t>instrumenty zabezpieczające realizację umowy o dofinansowanie, o ile ich poniesienie wymagane jest przez prawo krajowe lub unijne lub przez IZ POPC;</w:t>
      </w:r>
    </w:p>
    <w:p w14:paraId="5F70CA14"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14:paraId="05055017" w14:textId="77777777"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E6680D">
        <w:rPr>
          <w:rFonts w:ascii="Arial" w:eastAsia="Calibri" w:hAnsi="Arial" w:cs="Arial"/>
        </w:rPr>
        <w:t>15)</w:t>
      </w:r>
      <w:r w:rsidRPr="00E6680D">
        <w:rPr>
          <w:rFonts w:ascii="Arial" w:eastAsia="Calibri" w:hAnsi="Arial" w:cs="Arial"/>
        </w:rPr>
        <w:tab/>
        <w:t>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w:t>
      </w:r>
      <w:r w:rsidRPr="00513FC4">
        <w:rPr>
          <w:rFonts w:ascii="Arial" w:eastAsia="Calibri" w:hAnsi="Arial" w:cs="Arial"/>
        </w:rPr>
        <w:t xml:space="preserve">. Koszty pośrednie mogą obejmować wydatki w szczególności związane z: </w:t>
      </w:r>
    </w:p>
    <w:p w14:paraId="37DE2845"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0BBB575"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14:paraId="1C2D33E8"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14:paraId="0D2CFC10"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14:paraId="11CEAECF"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14:paraId="4114E921"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14:paraId="5A407E17" w14:textId="77777777"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14:paraId="77320FCB" w14:textId="77777777" w:rsidR="00513FC4" w:rsidRDefault="00513FC4" w:rsidP="002736AD">
      <w:pPr>
        <w:autoSpaceDE w:val="0"/>
        <w:autoSpaceDN w:val="0"/>
        <w:adjustRightInd w:val="0"/>
        <w:spacing w:before="120" w:after="120" w:line="360" w:lineRule="auto"/>
        <w:jc w:val="both"/>
        <w:rPr>
          <w:rFonts w:ascii="Arial" w:eastAsia="Calibri" w:hAnsi="Arial" w:cs="Arial"/>
          <w:b/>
          <w:bCs/>
        </w:rPr>
      </w:pPr>
    </w:p>
    <w:p w14:paraId="5694DDF9"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281483C8"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36105FD5"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2D392F7E"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05DFC8B2" w14:textId="77777777" w:rsidR="00663413" w:rsidRDefault="00663413" w:rsidP="002736AD">
      <w:pPr>
        <w:autoSpaceDE w:val="0"/>
        <w:autoSpaceDN w:val="0"/>
        <w:adjustRightInd w:val="0"/>
        <w:spacing w:before="120" w:after="120" w:line="360" w:lineRule="auto"/>
        <w:jc w:val="both"/>
        <w:rPr>
          <w:rFonts w:ascii="Arial" w:eastAsia="Calibri" w:hAnsi="Arial" w:cs="Arial"/>
          <w:b/>
          <w:bCs/>
        </w:rPr>
      </w:pPr>
    </w:p>
    <w:p w14:paraId="752318EC" w14:textId="77777777" w:rsidR="00D607ED" w:rsidRDefault="00D607ED">
      <w:pPr>
        <w:rPr>
          <w:rFonts w:ascii="Arial" w:eastAsia="Calibri" w:hAnsi="Arial" w:cs="Arial"/>
          <w:b/>
          <w:bCs/>
        </w:rPr>
      </w:pPr>
      <w:r>
        <w:rPr>
          <w:rFonts w:ascii="Arial" w:eastAsia="Calibri" w:hAnsi="Arial" w:cs="Arial"/>
          <w:b/>
          <w:bCs/>
        </w:rPr>
        <w:br w:type="page"/>
      </w:r>
    </w:p>
    <w:p w14:paraId="5E8001C8" w14:textId="77777777"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2" w:name="_Toc48555167"/>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2"/>
    </w:p>
    <w:p w14:paraId="6FD12CCC" w14:textId="77777777"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14:paraId="46B07177" w14:textId="77777777"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8"/>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14:paraId="79FDB6AC"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1555D986"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14:paraId="1986B908"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14:paraId="60752918"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14:paraId="09B6589C" w14:textId="77777777"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14:paraId="337218D0" w14:textId="77777777"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B2EA99F" w14:textId="77777777" w:rsidR="008B46DA" w:rsidRPr="00D32D8C"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D32D8C">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w:t>
      </w:r>
      <w:r w:rsidRPr="008B46DA">
        <w:rPr>
          <w:rFonts w:ascii="Arial" w:eastAsia="Calibri" w:hAnsi="Arial" w:cs="Arial"/>
        </w:rPr>
        <w:lastRenderedPageBreak/>
        <w:t xml:space="preserve">łącznie </w:t>
      </w:r>
      <w:r w:rsidRPr="00D32D8C">
        <w:rPr>
          <w:rFonts w:ascii="Arial" w:eastAsia="Calibri" w:hAnsi="Arial" w:cs="Arial"/>
        </w:rPr>
        <w:t xml:space="preserve">25% </w:t>
      </w:r>
      <w:r w:rsidR="00D32D8C">
        <w:rPr>
          <w:rFonts w:ascii="Arial" w:eastAsia="Calibri" w:hAnsi="Arial" w:cs="Arial"/>
        </w:rPr>
        <w:t xml:space="preserve">planowanych </w:t>
      </w:r>
      <w:r w:rsidRPr="00D32D8C">
        <w:rPr>
          <w:rFonts w:ascii="Arial" w:eastAsia="Calibri" w:hAnsi="Arial" w:cs="Arial"/>
        </w:rPr>
        <w:t>wydatków kwalifikowalnych projektu</w:t>
      </w:r>
      <w:r w:rsidR="00D32D8C">
        <w:rPr>
          <w:rFonts w:ascii="Arial" w:eastAsia="Calibri" w:hAnsi="Arial" w:cs="Arial"/>
        </w:rPr>
        <w:t>,</w:t>
      </w:r>
      <w:r w:rsidR="00D32D8C" w:rsidRPr="00D32D8C">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Pr="00D32D8C">
        <w:rPr>
          <w:rFonts w:ascii="Arial" w:eastAsia="Calibri" w:hAnsi="Arial" w:cs="Arial"/>
        </w:rPr>
        <w:t>;</w:t>
      </w:r>
    </w:p>
    <w:p w14:paraId="082E0C3C"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14:paraId="69981A9C" w14:textId="77777777"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14:paraId="0B41B116"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14:paraId="7233475F"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14:paraId="3445F210"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14:paraId="7A640EAD"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14:paraId="6B93EBE5"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 xml:space="preserve">działania informacyjno-promocyjne w wysokości nieprzekraczającej łącznie 1% </w:t>
      </w:r>
      <w:r w:rsidR="00D32D8C">
        <w:rPr>
          <w:rFonts w:ascii="Arial" w:eastAsia="Calibri" w:hAnsi="Arial" w:cs="Arial"/>
        </w:rPr>
        <w:t xml:space="preserve">planowanych </w:t>
      </w:r>
      <w:r w:rsidRPr="00D32D8C">
        <w:rPr>
          <w:rFonts w:ascii="Arial" w:eastAsia="Calibri" w:hAnsi="Arial" w:cs="Arial"/>
        </w:rPr>
        <w:t>wydatków kwalifikowalnych projektu</w:t>
      </w:r>
      <w:r w:rsidRPr="008B46DA">
        <w:rPr>
          <w:rFonts w:ascii="Arial" w:eastAsia="Calibri" w:hAnsi="Arial" w:cs="Arial"/>
        </w:rPr>
        <w:t xml:space="preserve">,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14:paraId="24CDA382"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14:paraId="00067AB0" w14:textId="77777777"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14:paraId="139D57DB" w14:textId="77777777" w:rsidR="008B46DA" w:rsidRPr="008B46DA" w:rsidRDefault="008B46DA" w:rsidP="00D32D8C">
      <w:pPr>
        <w:pStyle w:val="Akapitzlist"/>
        <w:numPr>
          <w:ilvl w:val="0"/>
          <w:numId w:val="61"/>
        </w:numPr>
        <w:autoSpaceDE w:val="0"/>
        <w:autoSpaceDN w:val="0"/>
        <w:adjustRightInd w:val="0"/>
        <w:spacing w:before="120" w:after="120" w:line="360" w:lineRule="auto"/>
        <w:jc w:val="both"/>
        <w:rPr>
          <w:rFonts w:ascii="Arial" w:eastAsia="Calibri" w:hAnsi="Arial" w:cs="Arial"/>
        </w:rPr>
      </w:pPr>
      <w:r w:rsidRPr="00D32D8C">
        <w:rPr>
          <w:rFonts w:ascii="Arial" w:eastAsia="Calibri" w:hAnsi="Arial" w:cs="Arial"/>
        </w:rPr>
        <w:t>zarządzanie projektem</w:t>
      </w:r>
      <w:r w:rsidRPr="008B46DA">
        <w:rPr>
          <w:rFonts w:ascii="Arial" w:eastAsia="Calibri" w:hAnsi="Arial" w:cs="Arial"/>
        </w:rPr>
        <w:t xml:space="preserve">, w wysokości nieprzekraczającej </w:t>
      </w:r>
      <w:r w:rsidRPr="00D32D8C">
        <w:rPr>
          <w:rFonts w:ascii="Arial" w:eastAsia="Calibri" w:hAnsi="Arial" w:cs="Arial"/>
        </w:rPr>
        <w:t xml:space="preserve">10% </w:t>
      </w:r>
      <w:r w:rsidR="00D32D8C">
        <w:rPr>
          <w:rFonts w:ascii="Arial" w:eastAsia="Calibri" w:hAnsi="Arial" w:cs="Arial"/>
        </w:rPr>
        <w:t xml:space="preserve">planowanych </w:t>
      </w:r>
      <w:r w:rsidRPr="00D32D8C">
        <w:rPr>
          <w:rFonts w:ascii="Arial" w:eastAsia="Calibri" w:hAnsi="Arial" w:cs="Arial"/>
        </w:rPr>
        <w:t>wydatków kwalifikowalnych projekt</w:t>
      </w:r>
      <w:r w:rsidRPr="008B46DA">
        <w:rPr>
          <w:rFonts w:ascii="Arial" w:eastAsia="Calibri" w:hAnsi="Arial" w:cs="Arial"/>
        </w:rPr>
        <w:t xml:space="preserve">u, </w:t>
      </w:r>
      <w:r w:rsidR="00D32D8C" w:rsidRPr="00D32D8C">
        <w:rPr>
          <w:rFonts w:ascii="Arial" w:eastAsia="Calibri" w:hAnsi="Arial" w:cs="Arial"/>
        </w:rPr>
        <w:t xml:space="preserve">o których mowa w punkcie 2 podrozdziału 6.2 </w:t>
      </w:r>
      <w:r w:rsidR="00D32D8C" w:rsidRPr="00D32D8C">
        <w:rPr>
          <w:rFonts w:ascii="Arial" w:eastAsia="Calibri" w:hAnsi="Arial" w:cs="Arial"/>
          <w:i/>
        </w:rPr>
        <w:t>Wytycznych</w:t>
      </w:r>
      <w:r w:rsidR="00D32D8C">
        <w:rPr>
          <w:rFonts w:ascii="Arial" w:eastAsia="Calibri" w:hAnsi="Arial" w:cs="Arial"/>
          <w:i/>
        </w:rPr>
        <w:t>,</w:t>
      </w:r>
      <w:r w:rsidR="00D32D8C" w:rsidRPr="00D32D8C">
        <w:rPr>
          <w:rFonts w:ascii="Arial" w:eastAsia="Calibri" w:hAnsi="Arial" w:cs="Arial"/>
        </w:rPr>
        <w:t xml:space="preserve"> </w:t>
      </w:r>
      <w:r w:rsidRPr="008B46DA">
        <w:rPr>
          <w:rFonts w:ascii="Arial" w:eastAsia="Calibri" w:hAnsi="Arial" w:cs="Arial"/>
        </w:rPr>
        <w:t xml:space="preserve">w tym w szczególności wydatki związane z: </w:t>
      </w:r>
    </w:p>
    <w:p w14:paraId="16401C98"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14:paraId="34959E8C" w14:textId="77777777"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14:paraId="6AF03266"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14:paraId="1BCA5D01"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14:paraId="3D5EC335"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14:paraId="7773ABE8"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14:paraId="2B96D373" w14:textId="77777777"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D32D8C">
        <w:rPr>
          <w:rFonts w:ascii="Arial" w:eastAsia="Calibri" w:hAnsi="Arial" w:cs="Arial"/>
        </w:rPr>
        <w:lastRenderedPageBreak/>
        <w:t>koszty pośrednie rozliczane na podstawie faktycznie poniesionych wydatków w wysokości nieprzekraczającej 5% bezpośrednich kwalifikowalnych kosztów projektu albo koszty pośrednie rozliczane</w:t>
      </w:r>
      <w:r w:rsidRPr="008B46DA">
        <w:rPr>
          <w:rFonts w:ascii="Arial" w:eastAsia="Calibri" w:hAnsi="Arial" w:cs="Arial"/>
        </w:rPr>
        <w:t xml:space="preserve"> według </w:t>
      </w:r>
      <w:r w:rsidRPr="00D32D8C">
        <w:rPr>
          <w:rFonts w:ascii="Arial" w:eastAsia="Calibri" w:hAnsi="Arial" w:cs="Arial"/>
        </w:rPr>
        <w:t>stawki ryczałtowej w wysokości 5%</w:t>
      </w:r>
      <w:r w:rsidRPr="008B46DA">
        <w:rPr>
          <w:rFonts w:ascii="Arial" w:eastAsia="Calibri" w:hAnsi="Arial" w:cs="Arial"/>
        </w:rPr>
        <w:t xml:space="preserve"> bezpośrednich kwalifikowalnych kosztów związanych z zaangażowaniem personelu projektu. Koszty pośrednie mogą obejmować wydatki w szczególności związane z: </w:t>
      </w:r>
    </w:p>
    <w:p w14:paraId="543AB978" w14:textId="77777777" w:rsidR="008B46DA" w:rsidRPr="008B46DA" w:rsidRDefault="008B46DA" w:rsidP="00111EF8">
      <w:pPr>
        <w:numPr>
          <w:ilvl w:val="0"/>
          <w:numId w:val="10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BEA1080" w14:textId="77777777" w:rsidR="008B46DA" w:rsidRPr="008B46DA" w:rsidRDefault="008B46DA" w:rsidP="00111EF8">
      <w:pPr>
        <w:numPr>
          <w:ilvl w:val="0"/>
          <w:numId w:val="106"/>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14:paraId="0D87EB86" w14:textId="77777777" w:rsidR="008B46DA" w:rsidRPr="008B46DA" w:rsidRDefault="008B46DA" w:rsidP="00111EF8">
      <w:pPr>
        <w:numPr>
          <w:ilvl w:val="0"/>
          <w:numId w:val="106"/>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14:paraId="3263323F" w14:textId="77777777" w:rsidR="008B46DA" w:rsidRPr="008B46DA" w:rsidRDefault="008B46DA" w:rsidP="00111EF8">
      <w:pPr>
        <w:numPr>
          <w:ilvl w:val="0"/>
          <w:numId w:val="106"/>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14:paraId="228B6811" w14:textId="77777777" w:rsidR="008B46DA" w:rsidRPr="008B46DA" w:rsidRDefault="008B46DA" w:rsidP="00111EF8">
      <w:pPr>
        <w:numPr>
          <w:ilvl w:val="0"/>
          <w:numId w:val="106"/>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59240B19" w14:textId="77777777" w:rsidR="008B46DA" w:rsidRPr="008B46DA" w:rsidRDefault="008B46DA" w:rsidP="00111EF8">
      <w:pPr>
        <w:numPr>
          <w:ilvl w:val="0"/>
          <w:numId w:val="106"/>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14:paraId="56CA9D64" w14:textId="77777777" w:rsidR="00E25BC3" w:rsidRPr="00663413" w:rsidRDefault="008B46DA" w:rsidP="00111EF8">
      <w:pPr>
        <w:numPr>
          <w:ilvl w:val="0"/>
          <w:numId w:val="106"/>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14:paraId="3604E0F7" w14:textId="77777777" w:rsidR="00C87715" w:rsidRDefault="00C87715">
      <w:pPr>
        <w:rPr>
          <w:rFonts w:ascii="Arial" w:hAnsi="Arial" w:cs="Arial"/>
          <w:i/>
          <w:sz w:val="24"/>
          <w:szCs w:val="24"/>
        </w:rPr>
      </w:pPr>
      <w:r>
        <w:rPr>
          <w:rFonts w:ascii="Arial" w:hAnsi="Arial" w:cs="Arial"/>
          <w:i/>
          <w:sz w:val="24"/>
          <w:szCs w:val="24"/>
        </w:rPr>
        <w:br w:type="page"/>
      </w:r>
    </w:p>
    <w:p w14:paraId="74374330" w14:textId="77777777"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3" w:name="_Toc48555168"/>
      <w:r w:rsidRPr="00B90C2B">
        <w:rPr>
          <w:rFonts w:ascii="Arial" w:hAnsi="Arial" w:cs="Arial"/>
          <w:b/>
          <w:i/>
          <w:sz w:val="24"/>
          <w:szCs w:val="24"/>
        </w:rPr>
        <w:lastRenderedPageBreak/>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14:paraId="07197204" w14:textId="77777777"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4" w:name="_Toc48555169"/>
      <w:r w:rsidRPr="005B4A9F">
        <w:rPr>
          <w:rFonts w:ascii="Arial" w:eastAsiaTheme="majorEastAsia" w:hAnsi="Arial" w:cs="Arial"/>
          <w:bCs/>
          <w:i/>
          <w:sz w:val="24"/>
          <w:szCs w:val="24"/>
        </w:rPr>
        <w:t>Dokumentacja niezbędna do przygotowania projektu</w:t>
      </w:r>
      <w:bookmarkEnd w:id="194"/>
    </w:p>
    <w:p w14:paraId="7637B461" w14:textId="77777777"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F60147">
        <w:rPr>
          <w:rFonts w:ascii="Arial" w:eastAsiaTheme="majorEastAsia" w:hAnsi="Arial" w:cs="Arial"/>
          <w:bCs/>
        </w:rPr>
        <w:t>Niezbędne wydatki związane z przygotowaniem projektów</w:t>
      </w:r>
      <w:r w:rsidRPr="005B4A9F">
        <w:rPr>
          <w:rFonts w:ascii="Arial" w:eastAsiaTheme="majorEastAsia" w:hAnsi="Arial" w:cs="Arial"/>
          <w:bCs/>
        </w:rPr>
        <w:t xml:space="preserve">, w wysokości nieprzekraczającej </w:t>
      </w:r>
      <w:r w:rsidRPr="00F60147">
        <w:rPr>
          <w:rFonts w:ascii="Arial" w:eastAsiaTheme="majorEastAsia" w:hAnsi="Arial" w:cs="Arial"/>
          <w:bCs/>
        </w:rPr>
        <w:t xml:space="preserve">łącznie 1% </w:t>
      </w:r>
      <w:r w:rsidR="00F60147">
        <w:rPr>
          <w:rFonts w:ascii="Arial" w:eastAsiaTheme="majorEastAsia" w:hAnsi="Arial" w:cs="Arial"/>
          <w:bCs/>
        </w:rPr>
        <w:t xml:space="preserve">planowanych </w:t>
      </w:r>
      <w:r w:rsidRPr="00F60147">
        <w:rPr>
          <w:rFonts w:ascii="Arial" w:eastAsiaTheme="majorEastAsia" w:hAnsi="Arial" w:cs="Arial"/>
          <w:bCs/>
        </w:rPr>
        <w:t>wydatków kwalifikowalnych projektu</w:t>
      </w:r>
      <w:r w:rsidRPr="005B4A9F">
        <w:rPr>
          <w:rFonts w:ascii="Arial" w:eastAsiaTheme="majorEastAsia" w:hAnsi="Arial" w:cs="Arial"/>
          <w:bCs/>
        </w:rPr>
        <w:t xml:space="preserve">, </w:t>
      </w:r>
      <w:r w:rsidR="00F60147" w:rsidRPr="00F60147">
        <w:rPr>
          <w:rFonts w:ascii="Arial" w:eastAsiaTheme="majorEastAsia" w:hAnsi="Arial" w:cs="Arial"/>
          <w:bCs/>
        </w:rPr>
        <w:t xml:space="preserve">o których mowa w punkcie 2 podrozdziału 6.2 </w:t>
      </w:r>
      <w:r w:rsidR="00F60147" w:rsidRPr="00F60147">
        <w:rPr>
          <w:rFonts w:ascii="Arial" w:eastAsiaTheme="majorEastAsia" w:hAnsi="Arial" w:cs="Arial"/>
          <w:bCs/>
          <w:i/>
        </w:rPr>
        <w:t>Wytycznych</w:t>
      </w:r>
      <w:r w:rsidR="00F60147">
        <w:rPr>
          <w:rFonts w:ascii="Arial" w:eastAsiaTheme="majorEastAsia" w:hAnsi="Arial" w:cs="Arial"/>
          <w:bCs/>
        </w:rPr>
        <w:t>,</w:t>
      </w:r>
      <w:r w:rsidR="00F60147" w:rsidRPr="00F60147">
        <w:rPr>
          <w:rFonts w:ascii="Arial" w:eastAsiaTheme="majorEastAsia" w:hAnsi="Arial" w:cs="Arial"/>
          <w:bCs/>
        </w:rPr>
        <w:t xml:space="preserve"> </w:t>
      </w:r>
      <w:r w:rsidRPr="005B4A9F">
        <w:rPr>
          <w:rFonts w:ascii="Arial" w:eastAsiaTheme="majorEastAsia"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520FDE87" w14:textId="77777777"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14:paraId="45D8D375" w14:textId="77777777"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14:paraId="2A35175B" w14:textId="77777777"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14:paraId="51CDCE75" w14:textId="77777777"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48555170"/>
      <w:r w:rsidRPr="00346674">
        <w:rPr>
          <w:rFonts w:ascii="Arial" w:eastAsiaTheme="majorEastAsia" w:hAnsi="Arial" w:cs="Arial"/>
          <w:bCs/>
          <w:i/>
          <w:sz w:val="24"/>
          <w:szCs w:val="24"/>
        </w:rPr>
        <w:t>Wydatki kwalifikowalne</w:t>
      </w:r>
      <w:bookmarkEnd w:id="195"/>
    </w:p>
    <w:p w14:paraId="5F763485"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14:paraId="54C9C03C"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14:paraId="5AE0A98B"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77D51AFA"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4578CEB9"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14:paraId="469F6A3F"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14:paraId="6CBBC0F6"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14:paraId="79E6818B" w14:textId="77777777"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14:paraId="1B04AC28"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lastRenderedPageBreak/>
        <w:t>Organizacja zajęć w formie kółek lub zajęć pozalekcyjnych dla uczniów, w tym w szczególności wydatki poniesione na:</w:t>
      </w:r>
    </w:p>
    <w:p w14:paraId="1D4D3B59" w14:textId="77777777" w:rsidR="005B4A9F" w:rsidRPr="005B4A9F" w:rsidRDefault="005B4A9F" w:rsidP="00F60147">
      <w:pPr>
        <w:numPr>
          <w:ilvl w:val="0"/>
          <w:numId w:val="74"/>
        </w:numPr>
        <w:autoSpaceDE w:val="0"/>
        <w:autoSpaceDN w:val="0"/>
        <w:adjustRightInd w:val="0"/>
        <w:spacing w:before="120" w:after="120" w:line="360" w:lineRule="auto"/>
        <w:jc w:val="both"/>
        <w:rPr>
          <w:rFonts w:ascii="Arial" w:eastAsia="Calibri" w:hAnsi="Arial" w:cs="Arial"/>
        </w:rPr>
      </w:pPr>
      <w:r w:rsidRPr="00F60147">
        <w:rPr>
          <w:rFonts w:ascii="Arial" w:eastAsia="Calibri" w:hAnsi="Arial" w:cs="Arial"/>
        </w:rPr>
        <w:t>granty na rzecz osób prowadzących koła algorytmiki i programowania rozliczane przez beneficjenta projektu grantowego</w:t>
      </w:r>
      <w:r w:rsidRPr="005B4A9F">
        <w:rPr>
          <w:rFonts w:ascii="Arial" w:eastAsia="Calibri" w:hAnsi="Arial" w:cs="Arial"/>
        </w:rPr>
        <w:t xml:space="preserve"> zgodnie z umową o powierzenie grantu oraz procedurami dotyczącymi realizacji projektu grantowego, </w:t>
      </w:r>
      <w:r w:rsidRPr="00F60147">
        <w:rPr>
          <w:rFonts w:ascii="Arial" w:eastAsia="Calibri" w:hAnsi="Arial" w:cs="Arial"/>
        </w:rPr>
        <w:t xml:space="preserve">w wysokości co najmniej 60% </w:t>
      </w:r>
      <w:r w:rsidR="00F60147">
        <w:rPr>
          <w:rFonts w:ascii="Arial" w:eastAsia="Calibri" w:hAnsi="Arial" w:cs="Arial"/>
        </w:rPr>
        <w:t xml:space="preserve">planowanych </w:t>
      </w:r>
      <w:r w:rsidRPr="00F60147">
        <w:rPr>
          <w:rFonts w:ascii="Arial" w:eastAsia="Calibri" w:hAnsi="Arial" w:cs="Arial"/>
        </w:rPr>
        <w:t>wydatków kwalifikowalnych projektu</w:t>
      </w:r>
      <w:r w:rsidR="00F60147">
        <w:rPr>
          <w:rFonts w:ascii="Arial" w:eastAsia="Calibri" w:hAnsi="Arial" w:cs="Arial"/>
        </w:rPr>
        <w:t xml:space="preserve">, </w:t>
      </w:r>
      <w:r w:rsidR="00F60147" w:rsidRPr="00F60147">
        <w:rPr>
          <w:rFonts w:ascii="Arial" w:eastAsia="Calibri" w:hAnsi="Arial" w:cs="Arial"/>
        </w:rPr>
        <w:t xml:space="preserve">o których mowa w punkcie 2 podrozdziału 6.2 </w:t>
      </w:r>
      <w:r w:rsidR="00F60147" w:rsidRPr="00F60147">
        <w:rPr>
          <w:rFonts w:ascii="Arial" w:eastAsia="Calibri" w:hAnsi="Arial" w:cs="Arial"/>
          <w:i/>
        </w:rPr>
        <w:t>Wytycznych</w:t>
      </w:r>
      <w:r w:rsidRPr="005B4A9F">
        <w:rPr>
          <w:rFonts w:ascii="Arial" w:eastAsia="Calibri" w:hAnsi="Arial" w:cs="Arial"/>
        </w:rPr>
        <w:t xml:space="preserve"> (maksymalna wysokość pojedynczego grantu udzielonego za prowadzenie jednego koła nie może przekroczyć 800 zł w miesiącu); </w:t>
      </w:r>
    </w:p>
    <w:p w14:paraId="36EA7D61"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14:paraId="5CD8C6FB"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14:paraId="035675BC"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14:paraId="26EF6C04" w14:textId="77777777"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14:paraId="4A0F8A34"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14:paraId="5135C1EF"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14:paraId="165DCDE3"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14:paraId="27B02BB3"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14:paraId="2C892847" w14:textId="77777777"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14:paraId="24DAF2C1"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14:paraId="7E9F8A1C"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4982569F"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14:paraId="2841F4BE"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14:paraId="0556F4D8" w14:textId="77777777"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lastRenderedPageBreak/>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14:paraId="73FBB172"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14:paraId="19D35E59"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14:paraId="5CD74097"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tworzeniem i dystrybucją materiałów informacyjno-promocyjnych dostępnych również dla osób niepełnosprawnych;</w:t>
      </w:r>
    </w:p>
    <w:p w14:paraId="48D5CCE7" w14:textId="77777777"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14:paraId="4D2290E9"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14:paraId="421E1010"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14:paraId="165B125A"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14:paraId="3EDBC6AF" w14:textId="77777777"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14:paraId="10620610"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1B8F492A"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14:paraId="62F69052"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14:paraId="280B7F3E"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14:paraId="5C1D451D" w14:textId="77777777"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14:paraId="69F15056" w14:textId="77777777"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14:paraId="69A3D52C" w14:textId="77777777" w:rsidR="005B4A9F" w:rsidRPr="00F60147"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F60147">
        <w:rPr>
          <w:rFonts w:ascii="Arial" w:eastAsia="Calibri" w:hAnsi="Arial" w:cs="Arial"/>
        </w:rPr>
        <w:lastRenderedPageBreak/>
        <w:t xml:space="preserve">Koszty pośrednie rozliczane według stawki ryczałtowej w wysokości 15 % bezpośrednich kwalifikowalnych kosztów związanych z zaangażowaniem personelu projektu. Koszty pośrednie mogą obejmować wydatki </w:t>
      </w:r>
      <w:r w:rsidR="00503625" w:rsidRPr="00F60147">
        <w:rPr>
          <w:rFonts w:ascii="Arial" w:eastAsia="Calibri" w:hAnsi="Arial" w:cs="Arial"/>
        </w:rPr>
        <w:t>w szczególności</w:t>
      </w:r>
      <w:r w:rsidRPr="00F60147">
        <w:rPr>
          <w:rFonts w:ascii="Arial" w:eastAsia="Calibri" w:hAnsi="Arial" w:cs="Arial"/>
        </w:rPr>
        <w:t xml:space="preserve"> związane z: </w:t>
      </w:r>
    </w:p>
    <w:p w14:paraId="4D35E255"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738BF8E"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14:paraId="47197AE9"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14:paraId="378D0BB2"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14:paraId="39067758"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14:paraId="481D2FFA"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14:paraId="22C66ED3" w14:textId="77777777"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14:paraId="319668CC" w14:textId="77777777" w:rsidR="002425E4"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r w:rsidR="002425E4">
        <w:rPr>
          <w:rFonts w:ascii="Arial" w:eastAsia="Calibri" w:hAnsi="Arial" w:cs="Arial"/>
        </w:rPr>
        <w:br w:type="page"/>
      </w:r>
    </w:p>
    <w:p w14:paraId="723F3345" w14:textId="77777777" w:rsidR="002425E4" w:rsidRPr="00E1293B" w:rsidRDefault="002425E4" w:rsidP="002425E4">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6" w:name="_Toc48555171"/>
      <w:r>
        <w:rPr>
          <w:rFonts w:ascii="Arial" w:eastAsiaTheme="majorEastAsia" w:hAnsi="Arial" w:cs="Arial"/>
          <w:b/>
          <w:bCs/>
          <w:i/>
          <w:sz w:val="24"/>
          <w:szCs w:val="24"/>
        </w:rPr>
        <w:lastRenderedPageBreak/>
        <w:t xml:space="preserve">Katalog wydatków kwalifikowalnych w ramach </w:t>
      </w:r>
      <w:r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Pr="00E1293B">
        <w:rPr>
          <w:rFonts w:ascii="Arial" w:eastAsiaTheme="majorEastAsia" w:hAnsi="Arial" w:cs="Arial"/>
          <w:b/>
          <w:bCs/>
          <w:i/>
          <w:sz w:val="24"/>
          <w:szCs w:val="24"/>
        </w:rPr>
        <w:t>POPC.03.02.00-IP.01-00-00</w:t>
      </w:r>
      <w:r>
        <w:rPr>
          <w:rFonts w:ascii="Arial" w:eastAsiaTheme="majorEastAsia" w:hAnsi="Arial" w:cs="Arial"/>
          <w:b/>
          <w:bCs/>
          <w:i/>
          <w:sz w:val="24"/>
          <w:szCs w:val="24"/>
        </w:rPr>
        <w:t>4</w:t>
      </w:r>
      <w:r w:rsidRPr="00E1293B">
        <w:rPr>
          <w:rFonts w:ascii="Arial" w:eastAsiaTheme="majorEastAsia" w:hAnsi="Arial" w:cs="Arial"/>
          <w:b/>
          <w:bCs/>
          <w:i/>
          <w:sz w:val="24"/>
          <w:szCs w:val="24"/>
        </w:rPr>
        <w:t>/1</w:t>
      </w:r>
      <w:r>
        <w:rPr>
          <w:rFonts w:ascii="Arial" w:eastAsiaTheme="majorEastAsia" w:hAnsi="Arial" w:cs="Arial"/>
          <w:b/>
          <w:bCs/>
          <w:i/>
          <w:sz w:val="24"/>
          <w:szCs w:val="24"/>
        </w:rPr>
        <w:t>8</w:t>
      </w:r>
      <w:bookmarkEnd w:id="196"/>
    </w:p>
    <w:p w14:paraId="7D9EE41C" w14:textId="77777777" w:rsidR="002425E4" w:rsidRPr="008B46DA" w:rsidRDefault="002425E4" w:rsidP="002425E4">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14:paraId="53A204BA" w14:textId="77777777" w:rsidR="002425E4" w:rsidRPr="00EB50A1" w:rsidRDefault="002425E4" w:rsidP="00111EF8">
      <w:pPr>
        <w:pStyle w:val="Akapitzlist"/>
        <w:numPr>
          <w:ilvl w:val="0"/>
          <w:numId w:val="92"/>
        </w:numPr>
        <w:autoSpaceDE w:val="0"/>
        <w:autoSpaceDN w:val="0"/>
        <w:adjustRightInd w:val="0"/>
        <w:spacing w:before="120" w:after="120" w:line="360" w:lineRule="auto"/>
        <w:jc w:val="both"/>
        <w:rPr>
          <w:rFonts w:ascii="Arial" w:eastAsia="Calibri" w:hAnsi="Arial" w:cs="Arial"/>
          <w:spacing w:val="-4"/>
        </w:rPr>
      </w:pPr>
      <w:r w:rsidRPr="00EB50A1">
        <w:rPr>
          <w:rFonts w:ascii="Arial" w:eastAsia="Calibri"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9"/>
      </w:r>
      <w:r w:rsidRPr="00EB50A1">
        <w:rPr>
          <w:rFonts w:ascii="Arial" w:eastAsia="Calibri"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99C2578" w14:textId="77777777" w:rsidR="002425E4" w:rsidRPr="008B46DA" w:rsidRDefault="002425E4" w:rsidP="00111EF8">
      <w:pPr>
        <w:numPr>
          <w:ilvl w:val="0"/>
          <w:numId w:val="93"/>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46563486" w14:textId="77777777" w:rsidR="002425E4" w:rsidRPr="008B46DA" w:rsidRDefault="002425E4" w:rsidP="00111EF8">
      <w:pPr>
        <w:numPr>
          <w:ilvl w:val="0"/>
          <w:numId w:val="93"/>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14:paraId="7429E0E7" w14:textId="77777777" w:rsidR="002425E4" w:rsidRPr="008B46DA" w:rsidRDefault="002425E4" w:rsidP="00111EF8">
      <w:pPr>
        <w:numPr>
          <w:ilvl w:val="0"/>
          <w:numId w:val="93"/>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cateringiem </w:t>
      </w:r>
      <w:r w:rsidR="00A5140E">
        <w:rPr>
          <w:rFonts w:ascii="Arial" w:eastAsia="Calibri" w:hAnsi="Arial" w:cs="Arial"/>
        </w:rPr>
        <w:t xml:space="preserve">w trakcie </w:t>
      </w:r>
      <w:r w:rsidRPr="008B46DA">
        <w:rPr>
          <w:rFonts w:ascii="Arial" w:eastAsia="Calibri" w:hAnsi="Arial" w:cs="Arial"/>
        </w:rPr>
        <w:t>stacjonarnych szkole</w:t>
      </w:r>
      <w:r w:rsidR="00A5140E">
        <w:rPr>
          <w:rFonts w:ascii="Arial" w:eastAsia="Calibri" w:hAnsi="Arial" w:cs="Arial"/>
        </w:rPr>
        <w:t>ń</w:t>
      </w:r>
      <w:r w:rsidRPr="008B46DA">
        <w:rPr>
          <w:rFonts w:ascii="Arial" w:eastAsia="Calibri" w:hAnsi="Arial" w:cs="Arial"/>
        </w:rPr>
        <w:t xml:space="preserve"> nauczycieli i innych osób dorosłych, </w:t>
      </w:r>
    </w:p>
    <w:p w14:paraId="05A5F129" w14:textId="77777777" w:rsidR="002425E4" w:rsidRPr="008B46DA" w:rsidRDefault="002425E4" w:rsidP="00111EF8">
      <w:pPr>
        <w:numPr>
          <w:ilvl w:val="0"/>
          <w:numId w:val="93"/>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14:paraId="4A217375" w14:textId="77777777" w:rsidR="002425E4" w:rsidRPr="008B46DA" w:rsidRDefault="002425E4" w:rsidP="00111EF8">
      <w:pPr>
        <w:numPr>
          <w:ilvl w:val="0"/>
          <w:numId w:val="93"/>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zakupem lub wytworzeniem oraz dostarczeniem materiałów dydaktycznych, dostosowanych również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14:paraId="005726E0" w14:textId="77777777" w:rsidR="002425E4" w:rsidRPr="008B46DA" w:rsidRDefault="002425E4" w:rsidP="002425E4">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A7B0AE9" w14:textId="77777777" w:rsidR="002425E4" w:rsidRPr="008B46DA" w:rsidRDefault="002425E4" w:rsidP="00111EF8">
      <w:pPr>
        <w:pStyle w:val="Akapitzlist"/>
        <w:numPr>
          <w:ilvl w:val="0"/>
          <w:numId w:val="94"/>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zakup niezbędnego </w:t>
      </w:r>
      <w:r w:rsidRPr="0027321F">
        <w:rPr>
          <w:rFonts w:ascii="Arial" w:eastAsia="Calibri" w:hAnsi="Arial" w:cs="Arial"/>
        </w:rPr>
        <w:t>sprzętu teleinformatycznego</w:t>
      </w:r>
      <w:r w:rsidRPr="008B46DA">
        <w:rPr>
          <w:rFonts w:ascii="Arial" w:eastAsia="Calibri" w:hAnsi="Arial" w:cs="Arial"/>
        </w:rPr>
        <w:t xml:space="preserve">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w:t>
      </w:r>
      <w:r w:rsidRPr="008B46DA">
        <w:rPr>
          <w:rFonts w:ascii="Arial" w:eastAsia="Calibri" w:hAnsi="Arial" w:cs="Arial"/>
        </w:rPr>
        <w:lastRenderedPageBreak/>
        <w:t xml:space="preserve">innych formatów), w tym dostosowanego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w wysokości nieprzekraczającej łącznie </w:t>
      </w:r>
      <w:r w:rsidRPr="0027321F">
        <w:rPr>
          <w:rFonts w:ascii="Arial" w:eastAsia="Calibri" w:hAnsi="Arial" w:cs="Arial"/>
        </w:rPr>
        <w:t xml:space="preserve">25% </w:t>
      </w:r>
      <w:r w:rsidR="0027321F">
        <w:rPr>
          <w:rFonts w:ascii="Arial" w:eastAsia="Calibri" w:hAnsi="Arial" w:cs="Arial"/>
        </w:rPr>
        <w:t xml:space="preserve">planowanych </w:t>
      </w:r>
      <w:r w:rsidRPr="0027321F">
        <w:rPr>
          <w:rFonts w:ascii="Arial" w:eastAsia="Calibri" w:hAnsi="Arial" w:cs="Arial"/>
        </w:rPr>
        <w:t>wydatków kwalifikowalnych projektu</w:t>
      </w:r>
      <w:r w:rsidR="0027321F">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Pr="008B46DA">
        <w:rPr>
          <w:rFonts w:ascii="Arial" w:eastAsia="Calibri" w:hAnsi="Arial" w:cs="Arial"/>
        </w:rPr>
        <w:t>;</w:t>
      </w:r>
    </w:p>
    <w:p w14:paraId="4D5E5494"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ubezpieczenie sprzętu, o którym mowa w pkt 2, w okresie realizacji projektu;</w:t>
      </w:r>
    </w:p>
    <w:p w14:paraId="36DF8204" w14:textId="77777777" w:rsidR="002425E4" w:rsidRPr="00663413"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na zasadach określonych w podrozdziale 6.12 </w:t>
      </w:r>
      <w:r w:rsidRPr="00663413">
        <w:rPr>
          <w:rFonts w:ascii="Arial" w:eastAsia="Calibri" w:hAnsi="Arial" w:cs="Arial"/>
          <w:i/>
        </w:rPr>
        <w:t>Wytycznych;</w:t>
      </w:r>
    </w:p>
    <w:p w14:paraId="378B9B89"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14:paraId="01DAA693"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stworzenie i utrzymanie domen (platform) i portali oraz usługi hostingu;</w:t>
      </w:r>
    </w:p>
    <w:p w14:paraId="3C34F3AD"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pokrycie kosztów tłumaczeń (np. opracowanie obcojęzycznej wersji stron internetowych);</w:t>
      </w:r>
    </w:p>
    <w:p w14:paraId="5674F603"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ekspertyzy, analizy, opracowania związane z celami projektu;</w:t>
      </w:r>
    </w:p>
    <w:p w14:paraId="600EAA7A" w14:textId="77777777" w:rsidR="002425E4" w:rsidRPr="008B46DA" w:rsidRDefault="002425E4" w:rsidP="00111EF8">
      <w:pPr>
        <w:pStyle w:val="Akapitzlist"/>
        <w:numPr>
          <w:ilvl w:val="0"/>
          <w:numId w:val="95"/>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działania </w:t>
      </w:r>
      <w:r w:rsidRPr="0027321F">
        <w:rPr>
          <w:rFonts w:ascii="Arial" w:eastAsia="Calibri" w:hAnsi="Arial" w:cs="Arial"/>
        </w:rPr>
        <w:t>informacyjno-promocyjne</w:t>
      </w:r>
      <w:r w:rsidRPr="008B46DA">
        <w:rPr>
          <w:rFonts w:ascii="Arial" w:eastAsia="Calibri" w:hAnsi="Arial" w:cs="Arial"/>
        </w:rPr>
        <w:t xml:space="preserve"> w wysokości nieprzekraczającej łącznie 1</w:t>
      </w:r>
      <w:r w:rsidRPr="0027321F">
        <w:rPr>
          <w:rFonts w:ascii="Arial" w:eastAsia="Calibri" w:hAnsi="Arial" w:cs="Arial"/>
        </w:rPr>
        <w:t xml:space="preserve">%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i/>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14:paraId="2DAEFEE9" w14:textId="77777777" w:rsidR="002425E4" w:rsidRPr="008B46DA" w:rsidRDefault="002425E4" w:rsidP="00111EF8">
      <w:pPr>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prowadzeniem promocji w mediach elektronicznych i tradycyjnych,</w:t>
      </w:r>
    </w:p>
    <w:p w14:paraId="2D75FC66" w14:textId="77777777" w:rsidR="002425E4" w:rsidRPr="008B46DA" w:rsidRDefault="002425E4" w:rsidP="00111EF8">
      <w:pPr>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tworzeniem i dystrybucją materiałów informacyjno-promocyjnych dostępnych również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14:paraId="2260A109" w14:textId="77777777" w:rsidR="002425E4" w:rsidRPr="008B46DA" w:rsidRDefault="002425E4" w:rsidP="00111EF8">
      <w:pPr>
        <w:pStyle w:val="Akapitzlist"/>
        <w:numPr>
          <w:ilvl w:val="0"/>
          <w:numId w:val="97"/>
        </w:numPr>
        <w:autoSpaceDE w:val="0"/>
        <w:autoSpaceDN w:val="0"/>
        <w:adjustRightInd w:val="0"/>
        <w:spacing w:before="120" w:after="120" w:line="360" w:lineRule="auto"/>
        <w:jc w:val="both"/>
        <w:rPr>
          <w:rFonts w:ascii="Arial" w:eastAsia="Calibri" w:hAnsi="Arial" w:cs="Arial"/>
        </w:rPr>
      </w:pPr>
      <w:r w:rsidRPr="0027321F">
        <w:rPr>
          <w:rFonts w:ascii="Arial" w:eastAsia="Calibri" w:hAnsi="Arial" w:cs="Arial"/>
        </w:rPr>
        <w:t>zarządzanie projektem</w:t>
      </w:r>
      <w:r w:rsidRPr="008B46DA">
        <w:rPr>
          <w:rFonts w:ascii="Arial" w:eastAsia="Calibri" w:hAnsi="Arial" w:cs="Arial"/>
        </w:rPr>
        <w:t xml:space="preserve">, w wysokości nieprzekraczającej </w:t>
      </w:r>
      <w:r w:rsidRPr="0027321F">
        <w:rPr>
          <w:rFonts w:ascii="Arial" w:eastAsia="Calibri" w:hAnsi="Arial" w:cs="Arial"/>
        </w:rPr>
        <w:t xml:space="preserve">10% </w:t>
      </w:r>
      <w:r w:rsidR="0027321F">
        <w:rPr>
          <w:rFonts w:ascii="Arial" w:eastAsia="Calibri" w:hAnsi="Arial" w:cs="Arial"/>
        </w:rPr>
        <w:t xml:space="preserve">planowanych </w:t>
      </w:r>
      <w:r w:rsidRPr="0027321F">
        <w:rPr>
          <w:rFonts w:ascii="Arial" w:eastAsia="Calibri" w:hAnsi="Arial" w:cs="Arial"/>
        </w:rPr>
        <w:t>wydatków kwalifikowalnych projektu,</w:t>
      </w:r>
      <w:r w:rsidRPr="008B46DA">
        <w:rPr>
          <w:rFonts w:ascii="Arial" w:eastAsia="Calibri" w:hAnsi="Arial" w:cs="Arial"/>
        </w:rPr>
        <w:t xml:space="preserve"> </w:t>
      </w:r>
      <w:r w:rsidR="0027321F" w:rsidRPr="0027321F">
        <w:rPr>
          <w:rFonts w:ascii="Arial" w:eastAsia="Calibri" w:hAnsi="Arial" w:cs="Arial"/>
        </w:rPr>
        <w:t xml:space="preserve">o których mowa w punkcie 2 podrozdziału 6.2 </w:t>
      </w:r>
      <w:r w:rsidR="0027321F" w:rsidRPr="0027321F">
        <w:rPr>
          <w:rFonts w:ascii="Arial" w:eastAsia="Calibri" w:hAnsi="Arial" w:cs="Arial"/>
          <w:i/>
        </w:rPr>
        <w:t>Wytycznych</w:t>
      </w:r>
      <w:r w:rsidR="0027321F">
        <w:rPr>
          <w:rFonts w:ascii="Arial" w:eastAsia="Calibri" w:hAnsi="Arial" w:cs="Arial"/>
        </w:rPr>
        <w:t>,</w:t>
      </w:r>
      <w:r w:rsidR="0027321F" w:rsidRPr="0027321F">
        <w:rPr>
          <w:rFonts w:ascii="Arial" w:eastAsia="Calibri" w:hAnsi="Arial" w:cs="Arial"/>
        </w:rPr>
        <w:t xml:space="preserve"> </w:t>
      </w:r>
      <w:r w:rsidRPr="008B46DA">
        <w:rPr>
          <w:rFonts w:ascii="Arial" w:eastAsia="Calibri" w:hAnsi="Arial" w:cs="Arial"/>
        </w:rPr>
        <w:t xml:space="preserve">w tym w szczególności wydatki związane z: </w:t>
      </w:r>
    </w:p>
    <w:p w14:paraId="700E90C9" w14:textId="77777777" w:rsidR="002425E4" w:rsidRPr="008B46DA" w:rsidRDefault="002425E4" w:rsidP="00111EF8">
      <w:pPr>
        <w:numPr>
          <w:ilvl w:val="0"/>
          <w:numId w:val="98"/>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A5140E">
        <w:rPr>
          <w:rFonts w:ascii="Arial" w:eastAsia="Calibri" w:hAnsi="Arial" w:cs="Arial"/>
        </w:rPr>
        <w:t>ym</w:t>
      </w:r>
      <w:r>
        <w:rPr>
          <w:rFonts w:ascii="Arial" w:eastAsia="Calibri" w:hAnsi="Arial" w:cs="Arial"/>
        </w:rPr>
        <w:t xml:space="preserve"> </w:t>
      </w:r>
      <w:r w:rsidRPr="00663413">
        <w:rPr>
          <w:rFonts w:ascii="Arial" w:eastAsia="Calibri" w:hAnsi="Arial" w:cs="Arial"/>
          <w:i/>
        </w:rPr>
        <w:t>Katalogu</w:t>
      </w:r>
      <w:r>
        <w:rPr>
          <w:rFonts w:ascii="Arial" w:eastAsia="Calibri" w:hAnsi="Arial" w:cs="Arial"/>
        </w:rPr>
        <w:t>,</w:t>
      </w:r>
    </w:p>
    <w:p w14:paraId="79D569E6" w14:textId="77777777" w:rsidR="002425E4" w:rsidRPr="008B46DA" w:rsidRDefault="002425E4" w:rsidP="00111EF8">
      <w:pPr>
        <w:numPr>
          <w:ilvl w:val="0"/>
          <w:numId w:val="98"/>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Pr>
          <w:rFonts w:ascii="Arial" w:eastAsia="Calibri" w:hAnsi="Arial" w:cs="Arial"/>
        </w:rPr>
        <w:t>;</w:t>
      </w:r>
    </w:p>
    <w:p w14:paraId="0B4C9891" w14:textId="77777777" w:rsidR="002425E4" w:rsidRDefault="002425E4" w:rsidP="00111EF8">
      <w:pPr>
        <w:pStyle w:val="Akapitzlist"/>
        <w:numPr>
          <w:ilvl w:val="0"/>
          <w:numId w:val="99"/>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podatek VAT oraz inne podatki, opłaty i obciążenia na zasadach określonych w niniejszy</w:t>
      </w:r>
      <w:r>
        <w:rPr>
          <w:rFonts w:ascii="Arial" w:eastAsia="Calibri" w:hAnsi="Arial" w:cs="Arial"/>
        </w:rPr>
        <w:t>m</w:t>
      </w:r>
      <w:r w:rsidRPr="008B46DA">
        <w:rPr>
          <w:rFonts w:ascii="Arial" w:eastAsia="Calibri" w:hAnsi="Arial" w:cs="Arial"/>
        </w:rPr>
        <w:t xml:space="preserve"> </w:t>
      </w:r>
      <w:r>
        <w:rPr>
          <w:rFonts w:ascii="Arial" w:eastAsia="Calibri" w:hAnsi="Arial" w:cs="Arial"/>
          <w:i/>
        </w:rPr>
        <w:t>Katalogu</w:t>
      </w:r>
      <w:r w:rsidRPr="008B46DA">
        <w:rPr>
          <w:rFonts w:ascii="Arial" w:eastAsia="Calibri" w:hAnsi="Arial" w:cs="Arial"/>
        </w:rPr>
        <w:t>;</w:t>
      </w:r>
    </w:p>
    <w:p w14:paraId="14859778" w14:textId="77777777" w:rsidR="002425E4" w:rsidRDefault="002425E4" w:rsidP="00111EF8">
      <w:pPr>
        <w:pStyle w:val="Akapitzlist"/>
        <w:numPr>
          <w:ilvl w:val="0"/>
          <w:numId w:val="99"/>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wkład niepieniężny, wyłącznie jako pokrycie wkładu własnego beneficjenta, na zasadach określonych w niniejszym </w:t>
      </w:r>
      <w:r w:rsidRPr="00C85E02">
        <w:rPr>
          <w:rFonts w:ascii="Arial" w:eastAsia="Calibri" w:hAnsi="Arial" w:cs="Arial"/>
          <w:i/>
        </w:rPr>
        <w:t>Katalogu</w:t>
      </w:r>
      <w:r w:rsidRPr="00C85E02">
        <w:rPr>
          <w:rFonts w:ascii="Arial" w:eastAsia="Calibri" w:hAnsi="Arial" w:cs="Arial"/>
        </w:rPr>
        <w:t xml:space="preserve"> pod warunkiem wskazania informacji dotyczących poszczególnych pozycji wkładu niepieniężnego we wniosku o dofinansowanie oraz umowie o dofinansowanie;</w:t>
      </w:r>
    </w:p>
    <w:p w14:paraId="64109130" w14:textId="77777777" w:rsidR="002425E4" w:rsidRDefault="002425E4" w:rsidP="00111EF8">
      <w:pPr>
        <w:pStyle w:val="Akapitzlist"/>
        <w:numPr>
          <w:ilvl w:val="0"/>
          <w:numId w:val="99"/>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instrumenty zabezpieczające realizację umowy o dofinansowanie, o ile ich poniesienie wymagane jest przez prawo krajowe lub unijne lub przez IZ POPC;</w:t>
      </w:r>
    </w:p>
    <w:p w14:paraId="6A9EB9EC" w14:textId="77777777" w:rsidR="002425E4" w:rsidRDefault="002425E4" w:rsidP="00111EF8">
      <w:pPr>
        <w:pStyle w:val="Akapitzlist"/>
        <w:numPr>
          <w:ilvl w:val="0"/>
          <w:numId w:val="99"/>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lastRenderedPageBreak/>
        <w:t>usługi bankowe, w tym koszty związane z otwarciem i prowadzeniem odrębnego rachunku bankowego lub subkonta do rachunku bankowego, przeznaczonych do obsługi projektu lub płatności zaliczkowych;</w:t>
      </w:r>
    </w:p>
    <w:p w14:paraId="664F8A9E" w14:textId="77777777" w:rsidR="002425E4" w:rsidRPr="00C85E02" w:rsidRDefault="002425E4" w:rsidP="00111EF8">
      <w:pPr>
        <w:pStyle w:val="Akapitzlist"/>
        <w:numPr>
          <w:ilvl w:val="0"/>
          <w:numId w:val="99"/>
        </w:numPr>
        <w:autoSpaceDE w:val="0"/>
        <w:autoSpaceDN w:val="0"/>
        <w:adjustRightInd w:val="0"/>
        <w:spacing w:before="120" w:after="120" w:line="360" w:lineRule="auto"/>
        <w:ind w:left="709" w:hanging="425"/>
        <w:jc w:val="both"/>
        <w:rPr>
          <w:rFonts w:ascii="Arial" w:eastAsia="Calibri" w:hAnsi="Arial" w:cs="Arial"/>
        </w:rPr>
      </w:pPr>
      <w:r w:rsidRPr="0027321F">
        <w:rPr>
          <w:rFonts w:ascii="Arial" w:eastAsia="Calibri" w:hAnsi="Arial" w:cs="Arial"/>
        </w:rPr>
        <w:t>koszty pośrednie rozliczane według stawki ryczałtowej w wysokości 5% bezpośrednich kwalifikowalnych kosztów związanych z zaangażowaniem personelu projektu.</w:t>
      </w:r>
      <w:r w:rsidRPr="00C85E02">
        <w:rPr>
          <w:rFonts w:ascii="Arial" w:eastAsia="Calibri" w:hAnsi="Arial" w:cs="Arial"/>
        </w:rPr>
        <w:t xml:space="preserve"> Koszty pośrednie mogą obejmować wydatki w szczególności związane z: </w:t>
      </w:r>
    </w:p>
    <w:p w14:paraId="1485C138" w14:textId="77777777" w:rsidR="002425E4" w:rsidRPr="008B46DA"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A523172" w14:textId="77777777" w:rsidR="002425E4" w:rsidRPr="008B46DA"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wynajmem, czynszem lub amortyzacją budynków, </w:t>
      </w:r>
    </w:p>
    <w:p w14:paraId="6E3FD3C7" w14:textId="77777777" w:rsidR="002425E4" w:rsidRPr="008B46DA"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mediów (elektryczność, gaz, ogrzewanie, woda), </w:t>
      </w:r>
    </w:p>
    <w:p w14:paraId="21AC72AE" w14:textId="77777777" w:rsidR="002425E4" w:rsidRPr="008B46DA"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kosztami sprzątania i ochrony pomieszczeń,</w:t>
      </w:r>
    </w:p>
    <w:p w14:paraId="6FB83A93" w14:textId="77777777" w:rsidR="002425E4" w:rsidRPr="008B46DA"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14:paraId="09AC108B" w14:textId="77777777" w:rsidR="002425E4"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ubezpieczeń majątkowych, </w:t>
      </w:r>
    </w:p>
    <w:p w14:paraId="290350C8" w14:textId="77777777" w:rsidR="00F70B18" w:rsidRDefault="002425E4" w:rsidP="00111EF8">
      <w:pPr>
        <w:numPr>
          <w:ilvl w:val="0"/>
          <w:numId w:val="100"/>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zakupem materiałów biurowych</w:t>
      </w:r>
      <w:r w:rsidR="00C85E02">
        <w:rPr>
          <w:rFonts w:ascii="Arial" w:eastAsia="Calibri" w:hAnsi="Arial" w:cs="Arial"/>
        </w:rPr>
        <w:t>.</w:t>
      </w:r>
    </w:p>
    <w:p w14:paraId="7F3EC98A" w14:textId="77777777" w:rsidR="00F70B18" w:rsidRDefault="00F70B18">
      <w:pPr>
        <w:rPr>
          <w:rFonts w:ascii="Arial" w:eastAsia="Calibri" w:hAnsi="Arial" w:cs="Arial"/>
        </w:rPr>
      </w:pPr>
      <w:r>
        <w:rPr>
          <w:rFonts w:ascii="Arial" w:eastAsia="Calibri" w:hAnsi="Arial" w:cs="Arial"/>
        </w:rPr>
        <w:br w:type="page"/>
      </w:r>
    </w:p>
    <w:p w14:paraId="26C6BEE0" w14:textId="77777777" w:rsidR="00951A3F" w:rsidRPr="003125A3" w:rsidRDefault="00951A3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7" w:name="_Toc48555172"/>
      <w:r w:rsidRPr="003125A3">
        <w:rPr>
          <w:rFonts w:ascii="Arial" w:eastAsiaTheme="majorEastAsia" w:hAnsi="Arial" w:cs="Arial"/>
          <w:b/>
          <w:bCs/>
          <w:i/>
          <w:sz w:val="24"/>
          <w:szCs w:val="24"/>
        </w:rPr>
        <w:lastRenderedPageBreak/>
        <w:t>Katalog wydatków kwalifikowalnych w ramach Działania 3.2 Innowacyjne rozwiązania na rzecz aktywizacji cyfrowej dla naboru nr POPC.03.02.00-IP.01-00-005/19</w:t>
      </w:r>
      <w:bookmarkEnd w:id="197"/>
    </w:p>
    <w:p w14:paraId="31956813" w14:textId="77777777" w:rsidR="00951A3F" w:rsidRPr="00951A3F" w:rsidRDefault="00951A3F" w:rsidP="00951A3F">
      <w:pPr>
        <w:autoSpaceDE w:val="0"/>
        <w:autoSpaceDN w:val="0"/>
        <w:adjustRightInd w:val="0"/>
        <w:spacing w:before="120" w:after="120" w:line="360" w:lineRule="auto"/>
        <w:ind w:left="360"/>
        <w:jc w:val="both"/>
        <w:rPr>
          <w:rFonts w:ascii="Calibri" w:eastAsia="Calibri" w:hAnsi="Calibri" w:cs="Times New Roman"/>
        </w:rPr>
      </w:pPr>
      <w:r w:rsidRPr="00951A3F">
        <w:rPr>
          <w:rFonts w:ascii="Arial" w:eastAsia="Calibri" w:hAnsi="Arial" w:cs="Arial"/>
        </w:rPr>
        <w:t>Do wydatków kwalifikowalnych zalicza się wydatki poniesione na:</w:t>
      </w:r>
    </w:p>
    <w:p w14:paraId="4BC66C6E"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spacing w:val="-4"/>
        </w:rPr>
      </w:pPr>
      <w:r w:rsidRPr="00951A3F">
        <w:rPr>
          <w:rFonts w:ascii="Arial" w:eastAsia="Calibri" w:hAnsi="Arial" w:cs="Arial"/>
          <w:spacing w:val="-4"/>
        </w:rPr>
        <w:t xml:space="preserve">działania szkoleniowe dla </w:t>
      </w:r>
      <w:r w:rsidRPr="00951A3F">
        <w:rPr>
          <w:rFonts w:ascii="Arial" w:eastAsia="Calibri" w:hAnsi="Arial" w:cs="Arial"/>
        </w:rPr>
        <w:t>pracowników gminnych samorządowych instytucji kultury</w:t>
      </w:r>
      <w:r w:rsidR="001F5E75">
        <w:rPr>
          <w:rStyle w:val="Odwoanieprzypisudolnego"/>
          <w:rFonts w:ascii="Arial" w:eastAsia="Calibri" w:hAnsi="Arial" w:cs="Arial"/>
        </w:rPr>
        <w:footnoteReference w:id="10"/>
      </w:r>
      <w:r w:rsidRPr="00951A3F">
        <w:rPr>
          <w:rFonts w:ascii="Arial" w:eastAsia="Calibri" w:hAnsi="Arial" w:cs="Arial"/>
        </w:rPr>
        <w:t xml:space="preserve"> </w:t>
      </w:r>
      <w:r w:rsidRPr="00013A74">
        <w:rPr>
          <w:rFonts w:ascii="Arial" w:eastAsia="Calibri" w:hAnsi="Arial" w:cs="Arial"/>
        </w:rPr>
        <w:t xml:space="preserve">oraz </w:t>
      </w:r>
      <w:r w:rsidR="00193B88">
        <w:rPr>
          <w:rFonts w:ascii="Arial" w:eastAsia="Calibri" w:hAnsi="Arial" w:cs="Arial"/>
        </w:rPr>
        <w:t xml:space="preserve">dzieci i młodzieży, tj. </w:t>
      </w:r>
      <w:r w:rsidR="00093B56" w:rsidRPr="007D3616">
        <w:rPr>
          <w:rFonts w:ascii="Arial" w:eastAsia="Calibri" w:hAnsi="Arial" w:cs="Arial"/>
          <w:spacing w:val="-4"/>
        </w:rPr>
        <w:t xml:space="preserve">uczniów </w:t>
      </w:r>
      <w:r w:rsidR="00070A22" w:rsidRPr="00070A22">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6A3C6A" w:rsidRPr="00070A22">
        <w:rPr>
          <w:rFonts w:ascii="Arial" w:eastAsia="Calibri" w:hAnsi="Arial" w:cs="Arial"/>
          <w:spacing w:val="-4"/>
        </w:rPr>
        <w:t xml:space="preserve"> </w:t>
      </w:r>
      <w:r w:rsidRPr="007D3616">
        <w:rPr>
          <w:rFonts w:ascii="Arial" w:eastAsia="Calibri" w:hAnsi="Arial" w:cs="Arial"/>
          <w:spacing w:val="-4"/>
        </w:rPr>
        <w:t xml:space="preserve">rozwijające kompetencje </w:t>
      </w:r>
      <w:r w:rsidR="006A3C6A" w:rsidRPr="00070A22">
        <w:rPr>
          <w:rFonts w:ascii="Arial" w:eastAsia="Calibri" w:hAnsi="Arial" w:cs="Arial"/>
          <w:spacing w:val="-4"/>
        </w:rPr>
        <w:t>cyfrowe</w:t>
      </w:r>
      <w:r w:rsidRPr="00013A74">
        <w:rPr>
          <w:rFonts w:ascii="Arial" w:eastAsia="Calibri" w:hAnsi="Arial" w:cs="Arial"/>
          <w:spacing w:val="-4"/>
        </w:rPr>
        <w:t>,</w:t>
      </w:r>
      <w:r w:rsidRPr="00951A3F">
        <w:rPr>
          <w:rFonts w:ascii="Arial" w:eastAsia="Calibri" w:hAnsi="Arial" w:cs="Arial"/>
          <w:spacing w:val="-4"/>
        </w:rPr>
        <w:t xml:space="preserve"> obejmujące szkolenia stacjonarne </w:t>
      </w:r>
      <w:r w:rsidR="007D3616">
        <w:rPr>
          <w:rFonts w:ascii="Arial" w:eastAsia="Calibri" w:hAnsi="Arial" w:cs="Arial"/>
          <w:spacing w:val="-4"/>
        </w:rPr>
        <w:t>oraz</w:t>
      </w:r>
      <w:r w:rsidRPr="00951A3F">
        <w:rPr>
          <w:rFonts w:ascii="Arial" w:eastAsia="Calibri" w:hAnsi="Arial" w:cs="Arial"/>
          <w:spacing w:val="-4"/>
        </w:rPr>
        <w:t xml:space="preserve"> zajęcia praktyczne, w tym w szczególności wydatki związane z:</w:t>
      </w:r>
    </w:p>
    <w:p w14:paraId="163A9566" w14:textId="77777777" w:rsidR="006A3C6A" w:rsidRPr="006A3C6A" w:rsidRDefault="006A3C6A"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Pr>
          <w:rFonts w:ascii="Arial" w:eastAsia="Calibri" w:hAnsi="Arial" w:cs="Arial"/>
        </w:rPr>
        <w:t xml:space="preserve">pracowników gminnych samorządowych instytucji kultury </w:t>
      </w:r>
      <w:r w:rsidRPr="00951A3F">
        <w:rPr>
          <w:rFonts w:ascii="Arial" w:eastAsia="Calibri" w:hAnsi="Arial" w:cs="Arial"/>
        </w:rPr>
        <w:t>(stawki wynagrodzeń nie mogą być wyższe od powszechnie stosowanych w Polsc</w:t>
      </w:r>
      <w:r>
        <w:rPr>
          <w:rFonts w:ascii="Arial" w:eastAsia="Calibri" w:hAnsi="Arial" w:cs="Arial"/>
        </w:rPr>
        <w:t>e dla danego rodzaju czynności),</w:t>
      </w:r>
    </w:p>
    <w:p w14:paraId="608230EF" w14:textId="77777777" w:rsidR="00951A3F" w:rsidRPr="00B7440F" w:rsidRDefault="00951A3F"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3125A3">
        <w:rPr>
          <w:rFonts w:cs="Arial"/>
          <w:color w:val="000000"/>
        </w:rPr>
        <w:t xml:space="preserve"> </w:t>
      </w:r>
      <w:r w:rsidRPr="00951A3F">
        <w:rPr>
          <w:rFonts w:ascii="Arial" w:eastAsia="Calibri" w:hAnsi="Arial" w:cs="Arial"/>
        </w:rPr>
        <w:t>(stawki wynagrodzeń nie mogą być wyższe od powszechnie stosowanych w Polsc</w:t>
      </w:r>
      <w:r w:rsidR="00B7440F">
        <w:rPr>
          <w:rFonts w:ascii="Arial" w:eastAsia="Calibri" w:hAnsi="Arial" w:cs="Arial"/>
        </w:rPr>
        <w:t>e dla danego rodzaju czynności),</w:t>
      </w:r>
    </w:p>
    <w:p w14:paraId="7D9C3A94" w14:textId="77777777" w:rsidR="00951A3F" w:rsidRPr="00B7440F" w:rsidRDefault="00951A3F"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wynajmem sali i sprzętu audiowizualnego do stacjonarnego szkolenia pracowników gminnych samorządowych instytucji kultury w I etapie szkolenia,</w:t>
      </w:r>
    </w:p>
    <w:p w14:paraId="6D804656" w14:textId="77777777" w:rsidR="00951A3F" w:rsidRPr="00B7440F" w:rsidRDefault="00951A3F"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cateringiem w trakcie stacjonarnych szkoleń pracowników gminnych samorządowych instytucji kultury,</w:t>
      </w:r>
    </w:p>
    <w:p w14:paraId="6D1733C5" w14:textId="77777777" w:rsidR="00951A3F" w:rsidRPr="00B7440F" w:rsidRDefault="00951A3F"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dojazdami i noclegami (maksymalnie do 300 zł za miejsce noclegowe za osobę) pracowników gminnych samorządowych instytucji kultury, trenera oraz dojazdami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xml:space="preserve"> wraz z opiekunami,</w:t>
      </w:r>
    </w:p>
    <w:p w14:paraId="2E2A0760" w14:textId="77777777" w:rsidR="00951A3F" w:rsidRPr="00B7440F" w:rsidRDefault="00951A3F" w:rsidP="00111EF8">
      <w:pPr>
        <w:numPr>
          <w:ilvl w:val="0"/>
          <w:numId w:val="105"/>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lub wytworzeniem oraz dostarczeniem materiałów dydaktycznych, dostosowanych również do potrzeb osób z niepełnosprawnościami.</w:t>
      </w:r>
    </w:p>
    <w:p w14:paraId="1D69BCA1" w14:textId="77777777" w:rsidR="00951A3F" w:rsidRPr="00951A3F" w:rsidRDefault="00951A3F" w:rsidP="00951A3F">
      <w:pPr>
        <w:autoSpaceDE w:val="0"/>
        <w:autoSpaceDN w:val="0"/>
        <w:adjustRightInd w:val="0"/>
        <w:spacing w:before="120" w:after="120" w:line="360" w:lineRule="auto"/>
        <w:ind w:left="360"/>
        <w:jc w:val="both"/>
        <w:rPr>
          <w:rFonts w:ascii="Arial" w:eastAsia="Calibri" w:hAnsi="Arial" w:cs="Arial"/>
        </w:rPr>
      </w:pPr>
      <w:r w:rsidRPr="00951A3F">
        <w:rPr>
          <w:rFonts w:ascii="Arial" w:eastAsia="Calibri" w:hAnsi="Arial" w:cs="Arial"/>
        </w:rPr>
        <w:t xml:space="preserve">Do niekwalifikowalnych wydatków zalicza się wydatki poniesione na: wynajem sali i sprzętu audiowizualnego na szkolenia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catering na szkoleniach uczniów, nagrody finansowe lub rzeczowe dla uczestników szkoleń</w:t>
      </w:r>
      <w:r w:rsidR="006A3C6A">
        <w:rPr>
          <w:rFonts w:ascii="Arial" w:eastAsia="Calibri" w:hAnsi="Arial" w:cs="Arial"/>
        </w:rPr>
        <w:t xml:space="preserve">, </w:t>
      </w:r>
      <w:r w:rsidR="006A3C6A" w:rsidRPr="00A60FC7">
        <w:rPr>
          <w:rFonts w:ascii="Arial" w:eastAsia="Calibri" w:hAnsi="Arial" w:cs="Arial"/>
        </w:rPr>
        <w:t>wynagrodzenia pracowników gminnych samorządowych instytucji kultury</w:t>
      </w:r>
      <w:r w:rsidRPr="00A60FC7">
        <w:rPr>
          <w:rFonts w:ascii="Arial" w:eastAsia="Calibri" w:hAnsi="Arial" w:cs="Arial"/>
        </w:rPr>
        <w:t>.</w:t>
      </w:r>
    </w:p>
    <w:p w14:paraId="7C761C4A"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w:t>
      </w:r>
      <w:r w:rsidR="007D3616">
        <w:rPr>
          <w:rFonts w:ascii="Arial" w:eastAsia="Calibri" w:hAnsi="Arial" w:cs="Arial"/>
        </w:rPr>
        <w:t xml:space="preserve">lub najem </w:t>
      </w:r>
      <w:r w:rsidRPr="00951A3F">
        <w:rPr>
          <w:rFonts w:ascii="Arial" w:eastAsia="Calibri" w:hAnsi="Arial" w:cs="Arial"/>
        </w:rPr>
        <w:t xml:space="preserve">niezbędnego </w:t>
      </w:r>
      <w:r w:rsidRPr="00AA0640">
        <w:rPr>
          <w:rFonts w:ascii="Arial" w:eastAsia="Calibri" w:hAnsi="Arial" w:cs="Arial"/>
        </w:rPr>
        <w:t>sprzętu teleinformatycznego</w:t>
      </w:r>
      <w:r w:rsidRPr="00951A3F">
        <w:rPr>
          <w:rFonts w:ascii="Arial" w:eastAsia="Calibri" w:hAnsi="Arial" w:cs="Arial"/>
        </w:rPr>
        <w:t xml:space="preserve"> </w:t>
      </w:r>
      <w:r w:rsidR="006A3C6A">
        <w:rPr>
          <w:rFonts w:ascii="Arial" w:eastAsia="Calibri" w:hAnsi="Arial" w:cs="Arial"/>
        </w:rPr>
        <w:t xml:space="preserve">(w tym dostosowanego do potrzeb osób z niepełnosprawnościami) </w:t>
      </w:r>
      <w:r w:rsidRPr="00951A3F">
        <w:rPr>
          <w:rFonts w:ascii="Arial" w:eastAsia="Calibri"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edukacyjną </w:t>
      </w:r>
      <w:r w:rsidRPr="00951A3F">
        <w:rPr>
          <w:rFonts w:ascii="Arial" w:eastAsia="Calibri" w:hAnsi="Arial" w:cs="Arial"/>
        </w:rPr>
        <w:lastRenderedPageBreak/>
        <w:t xml:space="preserve">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AA0640">
        <w:rPr>
          <w:rFonts w:ascii="Arial" w:eastAsia="Calibri" w:hAnsi="Arial" w:cs="Arial"/>
        </w:rPr>
        <w:t>30</w:t>
      </w:r>
      <w:r w:rsidRPr="00AA0640">
        <w:rPr>
          <w:rFonts w:ascii="Arial" w:eastAsia="Calibri" w:hAnsi="Arial" w:cs="Arial"/>
        </w:rPr>
        <w:t xml:space="preserve">% </w:t>
      </w:r>
      <w:r w:rsidR="00AA0640">
        <w:rPr>
          <w:rFonts w:ascii="Arial" w:eastAsia="Calibri" w:hAnsi="Arial" w:cs="Arial"/>
        </w:rPr>
        <w:t xml:space="preserve">planowanych </w:t>
      </w:r>
      <w:r w:rsidRPr="00AA0640">
        <w:rPr>
          <w:rFonts w:ascii="Arial" w:eastAsia="Calibri" w:hAnsi="Arial" w:cs="Arial"/>
        </w:rPr>
        <w:t>wydatków kwalifikowalnych projektu</w:t>
      </w:r>
      <w:r w:rsidR="00AA0640">
        <w:rPr>
          <w:rFonts w:ascii="Arial" w:eastAsia="Calibri" w:hAnsi="Arial" w:cs="Arial"/>
        </w:rPr>
        <w:t xml:space="preserve">, </w:t>
      </w:r>
      <w:r w:rsidR="00AA0640" w:rsidRPr="00AA0640">
        <w:rPr>
          <w:rFonts w:ascii="Arial" w:eastAsia="Calibri" w:hAnsi="Arial" w:cs="Arial"/>
        </w:rPr>
        <w:t xml:space="preserve">o których mowa w punkcie 2 podrozdziału 6.2 </w:t>
      </w:r>
      <w:r w:rsidR="00AA0640" w:rsidRPr="00AA0640">
        <w:rPr>
          <w:rFonts w:ascii="Arial" w:eastAsia="Calibri" w:hAnsi="Arial" w:cs="Arial"/>
          <w:i/>
        </w:rPr>
        <w:t>Wytycznych</w:t>
      </w:r>
      <w:r w:rsidRPr="00951A3F">
        <w:rPr>
          <w:rFonts w:ascii="Arial" w:eastAsia="Calibri" w:hAnsi="Arial" w:cs="Arial"/>
        </w:rPr>
        <w:t>;</w:t>
      </w:r>
      <w:r w:rsidR="00590D84">
        <w:rPr>
          <w:rFonts w:ascii="Arial" w:eastAsia="Calibri" w:hAnsi="Arial" w:cs="Arial"/>
        </w:rPr>
        <w:t xml:space="preserve"> </w:t>
      </w:r>
    </w:p>
    <w:p w14:paraId="5A283EBD"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ubezpieczenie sprzętu, o którym mowa w pkt 2, w okresie realizacji projektu;</w:t>
      </w:r>
    </w:p>
    <w:p w14:paraId="54FBBC3D"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najem lub leasing wartości niematerialnych i prawnych, w tym np. oprogramowania komputerowego, w tym również przeznaczonego dla osób </w:t>
      </w:r>
      <w:r w:rsidRPr="00951A3F">
        <w:rPr>
          <w:rFonts w:ascii="Arial" w:eastAsia="Calibri" w:hAnsi="Arial" w:cs="Arial"/>
        </w:rPr>
        <w:br/>
        <w:t xml:space="preserve">z niepełnosprawnościami, na zasadach określonych w podrozdziale 6.12 </w:t>
      </w:r>
      <w:r w:rsidRPr="00951A3F">
        <w:rPr>
          <w:rFonts w:ascii="Arial" w:eastAsia="Calibri" w:hAnsi="Arial" w:cs="Arial"/>
          <w:i/>
        </w:rPr>
        <w:t>Wytycznych;</w:t>
      </w:r>
    </w:p>
    <w:p w14:paraId="5871595C"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pokrycie kosztów amortyzacji środków trwałych i wartości niematerialnych i prawnych na zasadach określonych w podrozdziale 6.12 </w:t>
      </w:r>
      <w:r w:rsidRPr="00951A3F">
        <w:rPr>
          <w:rFonts w:ascii="Arial" w:eastAsia="Calibri" w:hAnsi="Arial" w:cs="Arial"/>
          <w:i/>
        </w:rPr>
        <w:t>Wytycznych</w:t>
      </w:r>
      <w:r w:rsidRPr="00951A3F">
        <w:rPr>
          <w:rFonts w:ascii="Arial" w:eastAsia="Calibri" w:hAnsi="Arial" w:cs="Arial"/>
        </w:rPr>
        <w:t>;</w:t>
      </w:r>
    </w:p>
    <w:p w14:paraId="0F7DF92A"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stworzenie i utrzymanie domen (platform) i portali oraz usługi hostingu;</w:t>
      </w:r>
    </w:p>
    <w:p w14:paraId="6ECC7275"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pokrycie kosztów tłumaczeń (np. opracowanie obcojęzycznej wersji stron internetowych);</w:t>
      </w:r>
    </w:p>
    <w:p w14:paraId="344FE72B"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ekspertyzy, analizy, opracowania związane z celami projektu;</w:t>
      </w:r>
    </w:p>
    <w:p w14:paraId="78642F6A"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 xml:space="preserve">działania informacyjno-promocyjne w wysokości nieprzekraczającej łącznie 5%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14:paraId="367BEAB2" w14:textId="77777777" w:rsidR="00951A3F" w:rsidRPr="00951A3F" w:rsidRDefault="00951A3F" w:rsidP="00111EF8">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prowadzeniem promocji w mediach elektronicznych i tradycyjnych,</w:t>
      </w:r>
    </w:p>
    <w:p w14:paraId="4AE78BCD" w14:textId="77777777" w:rsidR="00951A3F" w:rsidRDefault="00951A3F" w:rsidP="00111EF8">
      <w:pPr>
        <w:numPr>
          <w:ilvl w:val="0"/>
          <w:numId w:val="103"/>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tworzeniem i dystrybucją materiałów informacyjno-promocyjnych dostępnych również dla osób z niepełnosprawnościami</w:t>
      </w:r>
      <w:r w:rsidR="00013A74">
        <w:rPr>
          <w:rFonts w:ascii="Arial" w:eastAsia="Calibri" w:hAnsi="Arial" w:cs="Arial"/>
        </w:rPr>
        <w:t>,</w:t>
      </w:r>
    </w:p>
    <w:p w14:paraId="2FEB08D9" w14:textId="77777777" w:rsidR="00013A74" w:rsidRPr="00951A3F" w:rsidRDefault="00013A74" w:rsidP="00111EF8">
      <w:pPr>
        <w:numPr>
          <w:ilvl w:val="0"/>
          <w:numId w:val="10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organizowaniem seminariów i konferencji promujących efekty projektu (w tym wynajem sali, catering);</w:t>
      </w:r>
    </w:p>
    <w:p w14:paraId="66BF2A59"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t>zarządzanie projektem</w:t>
      </w:r>
      <w:r w:rsidRPr="00951A3F">
        <w:rPr>
          <w:rFonts w:ascii="Arial" w:eastAsia="Calibri" w:hAnsi="Arial" w:cs="Arial"/>
        </w:rPr>
        <w:t xml:space="preserve">, w wysokości nieprzekraczającej </w:t>
      </w:r>
      <w:r w:rsidRPr="009E1CE6">
        <w:rPr>
          <w:rFonts w:ascii="Arial" w:eastAsia="Calibri" w:hAnsi="Arial" w:cs="Arial"/>
        </w:rPr>
        <w:t xml:space="preserve">10% </w:t>
      </w:r>
      <w:r w:rsidR="009E1CE6">
        <w:rPr>
          <w:rFonts w:ascii="Arial" w:eastAsia="Calibri" w:hAnsi="Arial" w:cs="Arial"/>
        </w:rPr>
        <w:t xml:space="preserve">planowanych </w:t>
      </w:r>
      <w:r w:rsidRPr="009E1CE6">
        <w:rPr>
          <w:rFonts w:ascii="Arial" w:eastAsia="Calibri" w:hAnsi="Arial" w:cs="Arial"/>
        </w:rPr>
        <w:t>wydatków kwalifikowalnych projektu,</w:t>
      </w:r>
      <w:r w:rsidRPr="00951A3F">
        <w:rPr>
          <w:rFonts w:ascii="Arial" w:eastAsia="Calibri" w:hAnsi="Arial" w:cs="Arial"/>
        </w:rPr>
        <w:t xml:space="preserve"> </w:t>
      </w:r>
      <w:r w:rsidR="009E1CE6" w:rsidRPr="009E1CE6">
        <w:rPr>
          <w:rFonts w:ascii="Arial" w:eastAsia="Calibri" w:hAnsi="Arial" w:cs="Arial"/>
        </w:rPr>
        <w:t xml:space="preserve">o których mowa w punkcie 2 podrozdziału 6.2 </w:t>
      </w:r>
      <w:r w:rsidR="009E1CE6" w:rsidRPr="009E1CE6">
        <w:rPr>
          <w:rFonts w:ascii="Arial" w:eastAsia="Calibri" w:hAnsi="Arial" w:cs="Arial"/>
          <w:i/>
        </w:rPr>
        <w:t>Wytycznych</w:t>
      </w:r>
      <w:r w:rsidR="009E1CE6">
        <w:rPr>
          <w:rFonts w:ascii="Arial" w:eastAsia="Calibri" w:hAnsi="Arial" w:cs="Arial"/>
        </w:rPr>
        <w:t>,</w:t>
      </w:r>
      <w:r w:rsidR="009E1CE6" w:rsidRPr="009E1CE6">
        <w:rPr>
          <w:rFonts w:ascii="Arial" w:eastAsia="Calibri" w:hAnsi="Arial" w:cs="Arial"/>
        </w:rPr>
        <w:t xml:space="preserve"> </w:t>
      </w:r>
      <w:r w:rsidRPr="00951A3F">
        <w:rPr>
          <w:rFonts w:ascii="Arial" w:eastAsia="Calibri" w:hAnsi="Arial" w:cs="Arial"/>
        </w:rPr>
        <w:t xml:space="preserve">w tym w szczególności wydatki związane z: </w:t>
      </w:r>
    </w:p>
    <w:p w14:paraId="4EC8770A" w14:textId="77777777" w:rsidR="00951A3F" w:rsidRPr="00951A3F" w:rsidRDefault="00951A3F" w:rsidP="00111EF8">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personelu projektu, o którym mowa w niniejszym </w:t>
      </w:r>
      <w:r w:rsidRPr="00B7440F">
        <w:rPr>
          <w:rFonts w:ascii="Arial" w:eastAsia="Calibri" w:hAnsi="Arial" w:cs="Arial"/>
          <w:i/>
        </w:rPr>
        <w:t>Katalogu</w:t>
      </w:r>
      <w:r w:rsidRPr="00951A3F">
        <w:rPr>
          <w:rFonts w:ascii="Arial" w:eastAsia="Calibri" w:hAnsi="Arial" w:cs="Arial"/>
        </w:rPr>
        <w:t>,</w:t>
      </w:r>
    </w:p>
    <w:p w14:paraId="7B8BAB3F" w14:textId="77777777" w:rsidR="00951A3F" w:rsidRPr="00951A3F" w:rsidRDefault="00951A3F" w:rsidP="00111EF8">
      <w:pPr>
        <w:numPr>
          <w:ilvl w:val="0"/>
          <w:numId w:val="104"/>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podróżami służbowymi i noclegami personelu projektu w związku z realizacją projektu;</w:t>
      </w:r>
    </w:p>
    <w:p w14:paraId="38359051"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podatek VAT oraz inne podatki, opłaty i obciążenia na zasadach określonych </w:t>
      </w:r>
      <w:r w:rsidRPr="00951A3F">
        <w:rPr>
          <w:rFonts w:ascii="Arial" w:eastAsia="Calibri" w:hAnsi="Arial" w:cs="Arial"/>
        </w:rPr>
        <w:br/>
        <w:t xml:space="preserve">w niniejszym </w:t>
      </w:r>
      <w:r w:rsidRPr="00951A3F">
        <w:rPr>
          <w:rFonts w:ascii="Arial" w:eastAsia="Calibri" w:hAnsi="Arial" w:cs="Arial"/>
          <w:i/>
        </w:rPr>
        <w:t>Katalogu</w:t>
      </w:r>
      <w:r w:rsidRPr="00951A3F">
        <w:rPr>
          <w:rFonts w:ascii="Arial" w:eastAsia="Calibri" w:hAnsi="Arial" w:cs="Arial"/>
        </w:rPr>
        <w:t>;</w:t>
      </w:r>
    </w:p>
    <w:p w14:paraId="79EE33C9"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instrumenty zabezpieczające realizację umowy o dofinansowanie, o ile ich poniesienie wymagane jest przez prawo krajowe lub unijne lub przez IZ POPC;</w:t>
      </w:r>
    </w:p>
    <w:p w14:paraId="4245A759"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usługi bankowe, w tym koszty związane z otwarciem i prowadzeniem odrębnego rachunku bankowego lub subkonta do rachunku bankowego, przeznaczonych do obsługi projektu lub płatności zaliczkowych;</w:t>
      </w:r>
    </w:p>
    <w:p w14:paraId="0531C898" w14:textId="77777777" w:rsidR="00951A3F" w:rsidRPr="00951A3F" w:rsidRDefault="00951A3F" w:rsidP="00111EF8">
      <w:pPr>
        <w:numPr>
          <w:ilvl w:val="0"/>
          <w:numId w:val="101"/>
        </w:numPr>
        <w:autoSpaceDE w:val="0"/>
        <w:autoSpaceDN w:val="0"/>
        <w:adjustRightInd w:val="0"/>
        <w:spacing w:before="120" w:after="120" w:line="360" w:lineRule="auto"/>
        <w:contextualSpacing/>
        <w:jc w:val="both"/>
        <w:rPr>
          <w:rFonts w:ascii="Arial" w:eastAsia="Calibri" w:hAnsi="Arial" w:cs="Arial"/>
        </w:rPr>
      </w:pPr>
      <w:r w:rsidRPr="009E1CE6">
        <w:rPr>
          <w:rFonts w:ascii="Arial" w:eastAsia="Calibri" w:hAnsi="Arial" w:cs="Arial"/>
        </w:rPr>
        <w:lastRenderedPageBreak/>
        <w:t>koszty pośrednie rozliczane według stawki ryczałtowej w wysokości 15% bezpośrednich kwalifikowalnych kosztów związanych z zaangażowaniem personelu projektu.</w:t>
      </w:r>
      <w:r w:rsidRPr="00951A3F">
        <w:rPr>
          <w:rFonts w:ascii="Arial" w:eastAsia="Calibri" w:hAnsi="Arial" w:cs="Arial"/>
        </w:rPr>
        <w:t xml:space="preserve"> Koszty pośrednie mogą obejmować wydatki w szczególności związane z: </w:t>
      </w:r>
    </w:p>
    <w:p w14:paraId="61E918BA"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6668989"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wynajmem, czynszem lub amortyzacją budynków, </w:t>
      </w:r>
    </w:p>
    <w:p w14:paraId="66B7312C"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mediów (elektryczność, gaz, ogrzewanie, woda), </w:t>
      </w:r>
    </w:p>
    <w:p w14:paraId="1CE64E1C"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kosztami sprzątania i ochrony pomieszczeń,</w:t>
      </w:r>
    </w:p>
    <w:p w14:paraId="4A4F5BF1"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opłatami za telefony, Internet, usługi pocztowe i kurierskie, opłaty skarbowe </w:t>
      </w:r>
      <w:r w:rsidRPr="00951A3F">
        <w:rPr>
          <w:rFonts w:ascii="Arial" w:eastAsia="Calibri" w:hAnsi="Arial" w:cs="Arial"/>
        </w:rPr>
        <w:br/>
        <w:t xml:space="preserve">i notarialne, BHP, </w:t>
      </w:r>
    </w:p>
    <w:p w14:paraId="6187093C"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ubezpieczeń majątkowych, </w:t>
      </w:r>
    </w:p>
    <w:p w14:paraId="147A3717" w14:textId="77777777" w:rsidR="00951A3F" w:rsidRPr="00951A3F" w:rsidRDefault="00951A3F" w:rsidP="00111EF8">
      <w:pPr>
        <w:numPr>
          <w:ilvl w:val="0"/>
          <w:numId w:val="102"/>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materiałów biurowych.</w:t>
      </w:r>
    </w:p>
    <w:p w14:paraId="2FA01D3C" w14:textId="77777777"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eastAsia="Calibri" w:hAnsi="Arial" w:cs="Arial"/>
        </w:rPr>
        <w:br w:type="page"/>
      </w:r>
    </w:p>
    <w:p w14:paraId="2C8E6343" w14:textId="77777777" w:rsidR="008768A5" w:rsidRPr="00EB50A1" w:rsidRDefault="007A1C12" w:rsidP="00501377">
      <w:pPr>
        <w:keepNext/>
        <w:keepLines/>
        <w:numPr>
          <w:ilvl w:val="1"/>
          <w:numId w:val="108"/>
        </w:numPr>
        <w:spacing w:before="240" w:after="60" w:line="360" w:lineRule="auto"/>
        <w:jc w:val="center"/>
        <w:outlineLvl w:val="1"/>
        <w:rPr>
          <w:rFonts w:ascii="Arial" w:hAnsi="Arial" w:cs="Arial"/>
          <w:b/>
          <w:i/>
          <w:sz w:val="24"/>
          <w:szCs w:val="24"/>
        </w:rPr>
      </w:pPr>
      <w:bookmarkStart w:id="198" w:name="_Toc48555173"/>
      <w:r w:rsidRPr="00F70B18">
        <w:rPr>
          <w:rFonts w:ascii="Arial" w:eastAsiaTheme="majorEastAsia" w:hAnsi="Arial" w:cs="Arial"/>
          <w:b/>
          <w:bCs/>
          <w:i/>
          <w:sz w:val="24"/>
          <w:szCs w:val="24"/>
        </w:rPr>
        <w:lastRenderedPageBreak/>
        <w:t xml:space="preserve">Katalog wydatków kwalifikowalnych dla </w:t>
      </w:r>
      <w:r w:rsidR="008768A5" w:rsidRPr="00F70B18">
        <w:rPr>
          <w:rFonts w:ascii="Arial" w:eastAsiaTheme="majorEastAsia" w:hAnsi="Arial" w:cs="Arial"/>
          <w:b/>
          <w:bCs/>
          <w:i/>
          <w:sz w:val="24"/>
          <w:szCs w:val="24"/>
        </w:rPr>
        <w:t>Działani</w:t>
      </w:r>
      <w:r w:rsidRPr="00F70B18">
        <w:rPr>
          <w:rFonts w:ascii="Arial" w:eastAsiaTheme="majorEastAsia" w:hAnsi="Arial" w:cs="Arial"/>
          <w:b/>
          <w:bCs/>
          <w:i/>
          <w:sz w:val="24"/>
          <w:szCs w:val="24"/>
        </w:rPr>
        <w:t>a</w:t>
      </w:r>
      <w:r w:rsidR="008768A5" w:rsidRPr="00F70B18">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8"/>
    </w:p>
    <w:p w14:paraId="6D82BA5C" w14:textId="77777777" w:rsidR="00A9253D" w:rsidRPr="00A9253D" w:rsidRDefault="00A9253D" w:rsidP="00111EF8">
      <w:pPr>
        <w:keepNext/>
        <w:numPr>
          <w:ilvl w:val="0"/>
          <w:numId w:val="107"/>
        </w:numPr>
        <w:spacing w:before="120" w:after="120" w:line="360" w:lineRule="auto"/>
        <w:ind w:left="284"/>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04296">
        <w:rPr>
          <w:rFonts w:ascii="Arial" w:eastAsia="Times New Roman" w:hAnsi="Arial" w:cs="Times New Roman"/>
          <w:i/>
          <w:lang w:eastAsia="pl-PL"/>
        </w:rPr>
        <w:t>Wytycznych</w:t>
      </w:r>
      <w:r w:rsidRPr="00A9253D">
        <w:rPr>
          <w:rFonts w:ascii="Arial" w:eastAsia="Times New Roman" w:hAnsi="Arial" w:cs="Times New Roman"/>
          <w:lang w:eastAsia="pl-PL"/>
        </w:rPr>
        <w:t>.</w:t>
      </w:r>
    </w:p>
    <w:p w14:paraId="4B343E07" w14:textId="77777777" w:rsidR="00A9253D" w:rsidRPr="009E1CE6" w:rsidRDefault="00A9253D" w:rsidP="00111EF8">
      <w:pPr>
        <w:keepNext/>
        <w:numPr>
          <w:ilvl w:val="0"/>
          <w:numId w:val="107"/>
        </w:numPr>
        <w:spacing w:before="120" w:after="120" w:line="360" w:lineRule="auto"/>
        <w:ind w:left="284"/>
        <w:jc w:val="both"/>
        <w:outlineLvl w:val="5"/>
        <w:rPr>
          <w:rFonts w:ascii="Arial" w:eastAsia="Times New Roman" w:hAnsi="Arial" w:cs="Times New Roman"/>
          <w:lang w:eastAsia="pl-PL"/>
        </w:rPr>
      </w:pPr>
      <w:r w:rsidRPr="009E1CE6">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2E3C6DE2" w14:textId="77777777" w:rsidR="00A9253D" w:rsidRPr="00A9253D" w:rsidRDefault="00A9253D" w:rsidP="00501377">
      <w:pPr>
        <w:keepNext/>
        <w:keepLines/>
        <w:numPr>
          <w:ilvl w:val="2"/>
          <w:numId w:val="108"/>
        </w:numPr>
        <w:spacing w:before="240" w:after="60" w:line="360" w:lineRule="auto"/>
        <w:jc w:val="center"/>
        <w:outlineLvl w:val="2"/>
        <w:rPr>
          <w:rFonts w:ascii="Arial" w:eastAsiaTheme="majorEastAsia" w:hAnsi="Arial" w:cs="Arial"/>
          <w:bCs/>
          <w:i/>
          <w:sz w:val="24"/>
          <w:szCs w:val="24"/>
        </w:rPr>
      </w:pPr>
      <w:bookmarkStart w:id="199" w:name="_Toc434850324"/>
      <w:bookmarkStart w:id="200" w:name="_Toc48555174"/>
      <w:r w:rsidRPr="00A9253D">
        <w:rPr>
          <w:rFonts w:ascii="Arial" w:eastAsiaTheme="majorEastAsia" w:hAnsi="Arial" w:cs="Arial"/>
          <w:bCs/>
          <w:i/>
          <w:sz w:val="24"/>
          <w:szCs w:val="24"/>
        </w:rPr>
        <w:t>Dokumentacja niezbędna do przygotowania projektu</w:t>
      </w:r>
      <w:bookmarkEnd w:id="199"/>
      <w:bookmarkEnd w:id="200"/>
    </w:p>
    <w:p w14:paraId="5F503AAF" w14:textId="77777777"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A9253D">
        <w:rPr>
          <w:rFonts w:ascii="Arial" w:eastAsia="Times New Roman" w:hAnsi="Arial" w:cs="Times New Roman"/>
          <w:lang w:eastAsia="pl-PL"/>
        </w:rPr>
        <w:t>, w wysokości nieprzekraczającej łącznie 1</w:t>
      </w:r>
      <w:r w:rsidRPr="009E1CE6">
        <w:rPr>
          <w:rFonts w:ascii="Arial" w:eastAsia="Times New Roman" w:hAnsi="Arial" w:cs="Times New Roman"/>
          <w:lang w:eastAsia="pl-PL"/>
        </w:rPr>
        <w:t xml:space="preserve">%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A9253D">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w:t>
      </w:r>
      <w:r w:rsidR="009E1CE6" w:rsidRPr="009E1CE6">
        <w:rPr>
          <w:rFonts w:ascii="Arial" w:eastAsia="Times New Roman" w:hAnsi="Arial" w:cs="Times New Roman"/>
          <w:lang w:eastAsia="pl-PL"/>
        </w:rPr>
        <w:lastRenderedPageBreak/>
        <w:t xml:space="preserve">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A9253D">
        <w:rPr>
          <w:rFonts w:ascii="Arial" w:eastAsia="Times New Roman" w:hAnsi="Arial" w:cs="Times New Roman"/>
          <w:lang w:eastAsia="pl-PL"/>
        </w:rPr>
        <w:t>poniesione na przygotowanie koniecznych dokumentów, takich jak w szczególności:</w:t>
      </w:r>
    </w:p>
    <w:p w14:paraId="23E845A2" w14:textId="77777777"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14:paraId="20C42D92" w14:textId="77777777"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14:paraId="21150C16" w14:textId="77777777"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14:paraId="3F7D7DDC" w14:textId="77777777" w:rsidR="00A9253D" w:rsidRPr="00A9253D" w:rsidRDefault="00EE3514" w:rsidP="0052241F">
      <w:pPr>
        <w:keepNext/>
        <w:spacing w:before="120" w:after="120" w:line="360" w:lineRule="auto"/>
        <w:ind w:left="142"/>
        <w:jc w:val="both"/>
        <w:outlineLvl w:val="5"/>
        <w:rPr>
          <w:rFonts w:ascii="Arial" w:eastAsia="Times New Roman" w:hAnsi="Arial" w:cs="Times New Roman"/>
          <w:lang w:eastAsia="pl-PL"/>
        </w:rPr>
      </w:pPr>
      <w:r>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Pr>
          <w:rFonts w:ascii="Arial" w:eastAsia="Times New Roman" w:hAnsi="Arial" w:cs="Times New Roman"/>
          <w:lang w:eastAsia="pl-PL"/>
        </w:rPr>
        <w:t xml:space="preserve"> może wyrazić zgodę na przekroczenie limitu.</w:t>
      </w:r>
    </w:p>
    <w:p w14:paraId="4C5240E8" w14:textId="77777777" w:rsidR="00A9253D" w:rsidRPr="007A1C12" w:rsidRDefault="00A9253D" w:rsidP="00501377">
      <w:pPr>
        <w:keepNext/>
        <w:keepLines/>
        <w:numPr>
          <w:ilvl w:val="2"/>
          <w:numId w:val="108"/>
        </w:numPr>
        <w:spacing w:before="240" w:after="60" w:line="360" w:lineRule="auto"/>
        <w:jc w:val="center"/>
        <w:outlineLvl w:val="2"/>
        <w:rPr>
          <w:rFonts w:ascii="Arial" w:eastAsiaTheme="majorEastAsia" w:hAnsi="Arial" w:cs="Arial"/>
          <w:bCs/>
          <w:i/>
          <w:sz w:val="24"/>
          <w:szCs w:val="24"/>
        </w:rPr>
      </w:pPr>
      <w:bookmarkStart w:id="201" w:name="_Toc48555175"/>
      <w:r w:rsidRPr="007A1C12">
        <w:rPr>
          <w:rFonts w:ascii="Arial" w:eastAsiaTheme="majorEastAsia" w:hAnsi="Arial" w:cs="Arial"/>
          <w:bCs/>
          <w:i/>
          <w:sz w:val="24"/>
          <w:szCs w:val="24"/>
        </w:rPr>
        <w:t>Pozostałe wydatki kwalifikowalne</w:t>
      </w:r>
      <w:bookmarkEnd w:id="201"/>
    </w:p>
    <w:p w14:paraId="0A90D1E9" w14:textId="77777777"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14:paraId="70D19203"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32DB6A09" w14:textId="77777777"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w:t>
      </w:r>
      <w:r w:rsidRPr="009E1CE6">
        <w:rPr>
          <w:rFonts w:ascii="Arial" w:eastAsia="Times New Roman" w:hAnsi="Arial" w:cs="Arial"/>
          <w:lang w:eastAsia="pl-PL"/>
        </w:rPr>
        <w:t>funkcjonowaniem beneficjenta projektu grantowego</w:t>
      </w:r>
      <w:r w:rsidRPr="00A9253D">
        <w:rPr>
          <w:rFonts w:ascii="Arial" w:eastAsia="Times New Roman" w:hAnsi="Arial" w:cs="Arial"/>
          <w:lang w:eastAsia="pl-PL"/>
        </w:rPr>
        <w:t xml:space="preserve">, w wysokości nieprzekraczającej </w:t>
      </w:r>
      <w:r w:rsidRPr="009E1CE6">
        <w:rPr>
          <w:rFonts w:ascii="Arial" w:eastAsia="Times New Roman" w:hAnsi="Arial" w:cs="Arial"/>
          <w:lang w:eastAsia="pl-PL"/>
        </w:rPr>
        <w:t>5% wartości dofinansowania projektu</w:t>
      </w:r>
      <w:r w:rsidRPr="00A9253D">
        <w:rPr>
          <w:rFonts w:ascii="Arial" w:eastAsia="Times New Roman" w:hAnsi="Arial" w:cs="Arial"/>
          <w:lang w:eastAsia="pl-PL"/>
        </w:rPr>
        <w:t>, to jest wydatki poniesione na:</w:t>
      </w:r>
    </w:p>
    <w:p w14:paraId="267FB94E"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14:paraId="0CF4BD9B" w14:textId="77777777"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14:paraId="241A95BD"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14:paraId="2AEF3081"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14:paraId="35248B39"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14:paraId="55FDD2B0" w14:textId="77777777"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14:paraId="058880A2" w14:textId="77777777"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14:paraId="60BB8065"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14:paraId="14398FB7" w14:textId="77777777"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14:paraId="7F4B1DF8"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 xml:space="preserve">stworzenie i utrzymanie domen (platform) i portali spełniających wymagania określone w rozporządzeniu Rady Ministrów z dnia 12 kwietnia 2012 r. w sprawie Krajowych Ram </w:t>
      </w:r>
      <w:r w:rsidRPr="00A9253D">
        <w:rPr>
          <w:rFonts w:ascii="Arial" w:hAnsi="Arial" w:cs="Arial"/>
        </w:rPr>
        <w:lastRenderedPageBreak/>
        <w:t>Interoperacyjności, minimalnych wymagań dla rejestrów publicznych i wymiany informacji w postaci elektronicznej oraz minimalnych wymagań dla systemów teleinformatycznych (Dz. U. poz. 526) oraz usługi hostingu,</w:t>
      </w:r>
    </w:p>
    <w:p w14:paraId="7FC99FA9" w14:textId="77777777"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14:paraId="74FF1E3D"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A37F022"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14:paraId="4F0450CC"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14:paraId="739C731B"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14:paraId="53F8BA35"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14:paraId="080C7693" w14:textId="77777777"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14:paraId="612D876B" w14:textId="77777777"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14:paraId="2AB0FF8B" w14:textId="77777777"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14:paraId="63485202"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podróżami służbowymi i noclegami personelu projektu w związku z realizacją projektu,</w:t>
      </w:r>
    </w:p>
    <w:p w14:paraId="687F00BF" w14:textId="77777777"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14:paraId="6B4CA069" w14:textId="77777777"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14:paraId="75B2D41A" w14:textId="77777777"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687FE24D"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14:paraId="0D19A3BB"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14:paraId="2BAAE4CC"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14:paraId="561831DC" w14:textId="77777777"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14:paraId="793DB742"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14:paraId="4FAC6639"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lastRenderedPageBreak/>
        <w:t>usługami drukarskimi,</w:t>
      </w:r>
    </w:p>
    <w:p w14:paraId="23DA6D4E"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0D9FFF96"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14:paraId="4E1CE473"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14:paraId="4574EA24" w14:textId="77777777"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14:paraId="3147432B" w14:textId="77777777" w:rsidR="009F2666" w:rsidRDefault="00EE3514">
      <w:pPr>
        <w:pStyle w:val="Akapitzlist"/>
        <w:keepNext/>
        <w:spacing w:before="120" w:after="120" w:line="360" w:lineRule="auto"/>
        <w:ind w:left="142" w:hanging="360"/>
        <w:jc w:val="both"/>
        <w:outlineLvl w:val="5"/>
        <w:rPr>
          <w:rFonts w:ascii="Arial" w:eastAsia="Times New Roman" w:hAnsi="Arial" w:cs="Times New Roman"/>
          <w:lang w:eastAsia="pl-PL"/>
        </w:rPr>
      </w:pPr>
      <w:r w:rsidRPr="00EE3514">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EE3514">
        <w:rPr>
          <w:rFonts w:ascii="Arial" w:eastAsia="Times New Roman" w:hAnsi="Arial" w:cs="Times New Roman"/>
          <w:lang w:eastAsia="pl-PL"/>
        </w:rPr>
        <w:t xml:space="preserve"> może wyrazić zgodę na przekroczenie limitu.</w:t>
      </w:r>
    </w:p>
    <w:p w14:paraId="15E8852B" w14:textId="77777777" w:rsidR="009F2666" w:rsidRDefault="009F2666">
      <w:pPr>
        <w:rPr>
          <w:rFonts w:ascii="Arial" w:eastAsia="Times New Roman" w:hAnsi="Arial" w:cs="Times New Roman"/>
          <w:lang w:eastAsia="pl-PL"/>
        </w:rPr>
      </w:pPr>
      <w:r>
        <w:rPr>
          <w:rFonts w:ascii="Arial" w:eastAsia="Times New Roman" w:hAnsi="Arial" w:cs="Times New Roman"/>
          <w:lang w:eastAsia="pl-PL"/>
        </w:rPr>
        <w:br w:type="page"/>
      </w:r>
    </w:p>
    <w:p w14:paraId="14496D1C" w14:textId="77777777" w:rsidR="00EE3514" w:rsidRPr="00EE3514" w:rsidRDefault="00EE3514" w:rsidP="00111EF8">
      <w:pPr>
        <w:pStyle w:val="Akapitzlist"/>
        <w:keepNext/>
        <w:spacing w:before="120" w:after="120" w:line="360" w:lineRule="auto"/>
        <w:ind w:left="142" w:hanging="360"/>
        <w:jc w:val="both"/>
        <w:outlineLvl w:val="5"/>
        <w:rPr>
          <w:rFonts w:ascii="Arial" w:eastAsia="Times New Roman" w:hAnsi="Arial" w:cs="Times New Roman"/>
          <w:lang w:eastAsia="pl-PL"/>
        </w:rPr>
      </w:pPr>
    </w:p>
    <w:p w14:paraId="5FEB7E45" w14:textId="77777777" w:rsidR="008768A5" w:rsidRDefault="007A1C12" w:rsidP="00501377">
      <w:pPr>
        <w:keepNext/>
        <w:keepLines/>
        <w:numPr>
          <w:ilvl w:val="1"/>
          <w:numId w:val="108"/>
        </w:numPr>
        <w:spacing w:before="240" w:after="60" w:line="360" w:lineRule="auto"/>
        <w:jc w:val="center"/>
        <w:outlineLvl w:val="1"/>
        <w:rPr>
          <w:rFonts w:ascii="Arial" w:eastAsiaTheme="majorEastAsia" w:hAnsi="Arial" w:cs="Arial"/>
          <w:b/>
          <w:bCs/>
          <w:i/>
          <w:sz w:val="24"/>
          <w:szCs w:val="24"/>
        </w:rPr>
      </w:pPr>
      <w:bookmarkStart w:id="202" w:name="_Toc48555176"/>
      <w:r>
        <w:rPr>
          <w:rFonts w:ascii="Arial" w:eastAsiaTheme="majorEastAsia" w:hAnsi="Arial" w:cs="Arial"/>
          <w:b/>
          <w:bCs/>
          <w:i/>
          <w:sz w:val="24"/>
          <w:szCs w:val="24"/>
        </w:rPr>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202"/>
    </w:p>
    <w:p w14:paraId="6858189F"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14:paraId="16B579C2" w14:textId="77777777"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14:paraId="4B0CD3D4" w14:textId="77777777" w:rsidR="00492003" w:rsidRPr="00492003" w:rsidRDefault="00492003" w:rsidP="00501377">
      <w:pPr>
        <w:keepNext/>
        <w:keepLines/>
        <w:numPr>
          <w:ilvl w:val="2"/>
          <w:numId w:val="108"/>
        </w:numPr>
        <w:spacing w:before="240" w:after="60" w:line="360" w:lineRule="auto"/>
        <w:jc w:val="center"/>
        <w:outlineLvl w:val="2"/>
        <w:rPr>
          <w:rFonts w:ascii="Arial" w:eastAsiaTheme="majorEastAsia" w:hAnsi="Arial" w:cs="Arial"/>
          <w:bCs/>
          <w:i/>
          <w:sz w:val="24"/>
          <w:szCs w:val="24"/>
        </w:rPr>
      </w:pPr>
      <w:bookmarkStart w:id="203" w:name="_Toc467050319"/>
      <w:bookmarkStart w:id="204" w:name="_Toc48555177"/>
      <w:r w:rsidRPr="00492003">
        <w:rPr>
          <w:rFonts w:ascii="Arial" w:eastAsiaTheme="majorEastAsia" w:hAnsi="Arial" w:cs="Arial"/>
          <w:bCs/>
          <w:i/>
          <w:sz w:val="24"/>
          <w:szCs w:val="24"/>
        </w:rPr>
        <w:t>Dokumentacja niezbędna do przygotowania projektu</w:t>
      </w:r>
      <w:bookmarkEnd w:id="203"/>
      <w:bookmarkEnd w:id="204"/>
    </w:p>
    <w:p w14:paraId="46274960" w14:textId="77777777"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Niezbędne wydatki związane z </w:t>
      </w:r>
      <w:r w:rsidRPr="009E1CE6">
        <w:rPr>
          <w:rFonts w:ascii="Arial" w:eastAsia="Times New Roman" w:hAnsi="Arial" w:cs="Times New Roman"/>
          <w:lang w:eastAsia="pl-PL"/>
        </w:rPr>
        <w:t>przygotowaniem projektów</w:t>
      </w:r>
      <w:r w:rsidRPr="00492003">
        <w:rPr>
          <w:rFonts w:ascii="Arial" w:eastAsia="Times New Roman" w:hAnsi="Arial" w:cs="Times New Roman"/>
          <w:lang w:eastAsia="pl-PL"/>
        </w:rPr>
        <w:t xml:space="preserve">, w wysokości nieprzekraczającej łącznie </w:t>
      </w:r>
      <w:r w:rsidRPr="009E1CE6">
        <w:rPr>
          <w:rFonts w:ascii="Arial" w:eastAsia="Times New Roman" w:hAnsi="Arial" w:cs="Times New Roman"/>
          <w:lang w:eastAsia="pl-PL"/>
        </w:rPr>
        <w:t xml:space="preserve">1% </w:t>
      </w:r>
      <w:r w:rsidR="009E1CE6">
        <w:rPr>
          <w:rFonts w:ascii="Arial" w:eastAsia="Times New Roman" w:hAnsi="Arial" w:cs="Times New Roman"/>
          <w:lang w:eastAsia="pl-PL"/>
        </w:rPr>
        <w:t xml:space="preserve">planowanych </w:t>
      </w:r>
      <w:r w:rsidRPr="009E1CE6">
        <w:rPr>
          <w:rFonts w:ascii="Arial" w:eastAsia="Times New Roman" w:hAnsi="Arial" w:cs="Times New Roman"/>
          <w:lang w:eastAsia="pl-PL"/>
        </w:rPr>
        <w:t>wydatków kwalifikowalnych projektu</w:t>
      </w:r>
      <w:r w:rsidRPr="00492003">
        <w:rPr>
          <w:rFonts w:ascii="Arial" w:eastAsia="Times New Roman" w:hAnsi="Arial" w:cs="Times New Roman"/>
          <w:lang w:eastAsia="pl-PL"/>
        </w:rPr>
        <w:t xml:space="preserve">, </w:t>
      </w:r>
      <w:r w:rsidR="009E1CE6" w:rsidRPr="009E1CE6">
        <w:rPr>
          <w:rFonts w:ascii="Arial" w:eastAsia="Times New Roman" w:hAnsi="Arial" w:cs="Times New Roman"/>
          <w:lang w:eastAsia="pl-PL"/>
        </w:rPr>
        <w:t xml:space="preserve">o których mowa w punkcie 2 podrozdziału 6.2 </w:t>
      </w:r>
      <w:r w:rsidR="009E1CE6" w:rsidRPr="009E1CE6">
        <w:rPr>
          <w:rFonts w:ascii="Arial" w:eastAsia="Times New Roman" w:hAnsi="Arial" w:cs="Times New Roman"/>
          <w:i/>
          <w:lang w:eastAsia="pl-PL"/>
        </w:rPr>
        <w:t>Wytycznych</w:t>
      </w:r>
      <w:r w:rsidR="009E1CE6">
        <w:rPr>
          <w:rFonts w:ascii="Arial" w:eastAsia="Times New Roman" w:hAnsi="Arial" w:cs="Times New Roman"/>
          <w:lang w:eastAsia="pl-PL"/>
        </w:rPr>
        <w:t>,</w:t>
      </w:r>
      <w:r w:rsidR="009E1CE6" w:rsidRPr="009E1CE6">
        <w:rPr>
          <w:rFonts w:ascii="Arial" w:eastAsia="Times New Roman" w:hAnsi="Arial" w:cs="Times New Roman"/>
          <w:lang w:eastAsia="pl-PL"/>
        </w:rPr>
        <w:t xml:space="preserve"> </w:t>
      </w:r>
      <w:r w:rsidRPr="00492003">
        <w:rPr>
          <w:rFonts w:ascii="Arial" w:eastAsia="Times New Roman" w:hAnsi="Arial" w:cs="Times New Roman"/>
          <w:lang w:eastAsia="pl-PL"/>
        </w:rPr>
        <w:t>poniesione na przygotowanie dokumentów, których opracowanie jest niezbędne do przygotowania lub realizacji projektu, z wyjątkiem wypełnienia formularza wniosku o dofinansowanie, takich jak w szczególności:</w:t>
      </w:r>
    </w:p>
    <w:p w14:paraId="6C36CE26" w14:textId="77777777"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14:paraId="0D8F85B0" w14:textId="77777777"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14:paraId="56086A68" w14:textId="77777777" w:rsidR="00143E10" w:rsidRDefault="00492003" w:rsidP="00143E10">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14:paraId="1BE6FDD6" w14:textId="77777777" w:rsidR="00143E10" w:rsidRPr="00111EF8" w:rsidRDefault="00143E10" w:rsidP="00111EF8">
      <w:pPr>
        <w:keepNext/>
        <w:spacing w:before="120" w:after="120" w:line="360" w:lineRule="auto"/>
        <w:ind w:left="-142"/>
        <w:jc w:val="both"/>
        <w:outlineLvl w:val="5"/>
        <w:rPr>
          <w:rFonts w:ascii="Arial" w:eastAsia="Times New Roman" w:hAnsi="Arial" w:cs="Times New Roman"/>
          <w:lang w:eastAsia="pl-PL"/>
        </w:rPr>
      </w:pPr>
      <w:r w:rsidRPr="00111EF8">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111EF8">
        <w:rPr>
          <w:rFonts w:ascii="Arial" w:eastAsia="Times New Roman" w:hAnsi="Arial" w:cs="Times New Roman"/>
          <w:lang w:eastAsia="pl-PL"/>
        </w:rPr>
        <w:t xml:space="preserve"> może wyrazić zgodę na przekroczenie limitu.</w:t>
      </w:r>
    </w:p>
    <w:p w14:paraId="07A4BD5B" w14:textId="77777777" w:rsidR="00143E10" w:rsidRPr="00143E10" w:rsidRDefault="00143E10" w:rsidP="004D0037">
      <w:pPr>
        <w:keepNext/>
        <w:spacing w:before="120" w:after="120" w:line="360" w:lineRule="auto"/>
        <w:jc w:val="both"/>
        <w:outlineLvl w:val="5"/>
        <w:rPr>
          <w:rFonts w:ascii="Arial" w:eastAsia="Times New Roman" w:hAnsi="Arial" w:cs="Times New Roman"/>
          <w:lang w:eastAsia="pl-PL"/>
        </w:rPr>
      </w:pPr>
    </w:p>
    <w:p w14:paraId="560111E4" w14:textId="77777777" w:rsidR="00492003" w:rsidRPr="00492003" w:rsidRDefault="00492003" w:rsidP="00501377">
      <w:pPr>
        <w:keepNext/>
        <w:keepLines/>
        <w:numPr>
          <w:ilvl w:val="2"/>
          <w:numId w:val="108"/>
        </w:numPr>
        <w:spacing w:before="240" w:after="60" w:line="360" w:lineRule="auto"/>
        <w:jc w:val="center"/>
        <w:outlineLvl w:val="2"/>
        <w:rPr>
          <w:rFonts w:ascii="Arial" w:eastAsiaTheme="majorEastAsia" w:hAnsi="Arial" w:cs="Arial"/>
          <w:bCs/>
          <w:i/>
          <w:sz w:val="24"/>
          <w:szCs w:val="24"/>
        </w:rPr>
      </w:pPr>
      <w:bookmarkStart w:id="205" w:name="_Toc467050320"/>
      <w:bookmarkStart w:id="206" w:name="_Toc48555178"/>
      <w:r w:rsidRPr="00492003">
        <w:rPr>
          <w:rFonts w:ascii="Arial" w:eastAsiaTheme="majorEastAsia" w:hAnsi="Arial" w:cs="Arial"/>
          <w:bCs/>
          <w:i/>
          <w:sz w:val="24"/>
          <w:szCs w:val="24"/>
        </w:rPr>
        <w:t>Pozostałe wydatki kwalifikowalne</w:t>
      </w:r>
      <w:bookmarkEnd w:id="205"/>
      <w:bookmarkEnd w:id="206"/>
      <w:r w:rsidRPr="00492003">
        <w:rPr>
          <w:rFonts w:ascii="Arial" w:eastAsiaTheme="majorEastAsia" w:hAnsi="Arial" w:cs="Arial"/>
          <w:bCs/>
          <w:i/>
          <w:sz w:val="24"/>
          <w:szCs w:val="24"/>
        </w:rPr>
        <w:t xml:space="preserve">   </w:t>
      </w:r>
    </w:p>
    <w:p w14:paraId="02183CC3" w14:textId="77777777"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14:paraId="76DFABA6"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14:paraId="7DC902F4"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14:paraId="238340F4"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7D5FA348"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14:paraId="59080EC5" w14:textId="77777777"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lastRenderedPageBreak/>
        <w:t>tłumaczenia (np. opracowanie obcojęzycznej wersji stron internetowych);</w:t>
      </w:r>
    </w:p>
    <w:p w14:paraId="252B8119" w14:textId="77777777" w:rsidR="00492003" w:rsidRPr="004D0037" w:rsidRDefault="00492003" w:rsidP="004D0037">
      <w:pPr>
        <w:numPr>
          <w:ilvl w:val="0"/>
          <w:numId w:val="26"/>
        </w:numPr>
        <w:autoSpaceDE w:val="0"/>
        <w:autoSpaceDN w:val="0"/>
        <w:adjustRightInd w:val="0"/>
        <w:spacing w:before="120" w:after="120" w:line="360" w:lineRule="auto"/>
        <w:jc w:val="both"/>
        <w:rPr>
          <w:rFonts w:ascii="Arial" w:eastAsia="Calibri" w:hAnsi="Arial" w:cs="Arial"/>
          <w:bCs/>
        </w:rPr>
      </w:pPr>
      <w:r w:rsidRPr="004D0037">
        <w:rPr>
          <w:rFonts w:ascii="Arial" w:eastAsia="Calibri" w:hAnsi="Arial" w:cs="Arial"/>
          <w:bCs/>
        </w:rPr>
        <w:t xml:space="preserve">zarządzanie projektem, w wysokości nieprzekraczającej 10% </w:t>
      </w:r>
      <w:r w:rsidR="009E1CE6" w:rsidRPr="004D0037">
        <w:rPr>
          <w:rFonts w:ascii="Arial" w:eastAsia="Calibri" w:hAnsi="Arial" w:cs="Arial"/>
          <w:bCs/>
        </w:rPr>
        <w:t xml:space="preserve">planowanych </w:t>
      </w:r>
      <w:r w:rsidRPr="004D0037">
        <w:rPr>
          <w:rFonts w:ascii="Arial" w:eastAsia="Calibri" w:hAnsi="Arial" w:cs="Arial"/>
          <w:bCs/>
        </w:rPr>
        <w:t xml:space="preserve">wydatków kwalifikowalnych projektu, </w:t>
      </w:r>
      <w:r w:rsidR="009E1CE6" w:rsidRPr="004D0037">
        <w:rPr>
          <w:rFonts w:ascii="Arial" w:eastAsia="Calibri" w:hAnsi="Arial" w:cs="Arial"/>
          <w:bCs/>
        </w:rPr>
        <w:t xml:space="preserve">o których mowa w punkcie 2 podrozdziału 6.2 </w:t>
      </w:r>
      <w:r w:rsidR="009E1CE6" w:rsidRPr="004D0037">
        <w:rPr>
          <w:rFonts w:ascii="Arial" w:eastAsia="Calibri" w:hAnsi="Arial" w:cs="Arial"/>
          <w:bCs/>
          <w:i/>
        </w:rPr>
        <w:t>Wytycznych</w:t>
      </w:r>
      <w:r w:rsidR="009E1CE6" w:rsidRPr="004D0037">
        <w:rPr>
          <w:rFonts w:ascii="Arial" w:eastAsia="Calibri" w:hAnsi="Arial" w:cs="Arial"/>
          <w:bCs/>
        </w:rPr>
        <w:t xml:space="preserve">, </w:t>
      </w:r>
      <w:r w:rsidRPr="004D0037">
        <w:rPr>
          <w:rFonts w:ascii="Arial" w:eastAsia="Calibri" w:hAnsi="Arial" w:cs="Arial"/>
          <w:bCs/>
        </w:rPr>
        <w:t>w tym w szczególności wydatki związane z:</w:t>
      </w:r>
    </w:p>
    <w:p w14:paraId="11045448"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14:paraId="6E220A79" w14:textId="77777777"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14:paraId="2AF8A644" w14:textId="77777777" w:rsid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14:paraId="200F3E2B" w14:textId="77777777" w:rsidR="00143E10" w:rsidRPr="00143E10" w:rsidRDefault="00143E10" w:rsidP="004D0037">
      <w:pPr>
        <w:pStyle w:val="Akapitzlist"/>
        <w:keepNext/>
        <w:spacing w:before="120" w:after="120" w:line="360" w:lineRule="auto"/>
        <w:ind w:left="-142"/>
        <w:jc w:val="both"/>
        <w:outlineLvl w:val="5"/>
        <w:rPr>
          <w:rFonts w:ascii="Arial" w:eastAsia="Times New Roman" w:hAnsi="Arial" w:cs="Times New Roman"/>
          <w:lang w:eastAsia="pl-PL"/>
        </w:rPr>
      </w:pPr>
      <w:r w:rsidRPr="00143E10">
        <w:rPr>
          <w:rFonts w:ascii="Arial" w:eastAsia="Times New Roman" w:hAnsi="Arial" w:cs="Times New Roman"/>
          <w:lang w:eastAsia="pl-PL"/>
        </w:rPr>
        <w:t>W szczególnie uzasadnionych przypadkach IP</w:t>
      </w:r>
      <w:r w:rsidR="004D0037">
        <w:rPr>
          <w:rFonts w:ascii="Arial" w:eastAsia="Times New Roman" w:hAnsi="Arial" w:cs="Times New Roman"/>
          <w:lang w:eastAsia="pl-PL"/>
        </w:rPr>
        <w:t>, po uzyskaniu zgody IZ,</w:t>
      </w:r>
      <w:r w:rsidRPr="00143E10">
        <w:rPr>
          <w:rFonts w:ascii="Arial" w:eastAsia="Times New Roman" w:hAnsi="Arial" w:cs="Times New Roman"/>
          <w:lang w:eastAsia="pl-PL"/>
        </w:rPr>
        <w:t xml:space="preserve"> może wyrazić zgodę na przekroczenie limitu.</w:t>
      </w:r>
    </w:p>
    <w:p w14:paraId="03D0CBB2" w14:textId="77777777" w:rsidR="00492003" w:rsidRPr="00492003" w:rsidRDefault="00492003" w:rsidP="004D0037">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14:paraId="7C23177E"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14:paraId="694946F0"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14:paraId="3B33634B"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14:paraId="3D75029F" w14:textId="77777777"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14:paraId="4CF26773" w14:textId="77777777"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faktycznie poniesionych wydatków w wysokości nieprzekraczającej 5% bezpośrednich kwalifikowalnych kosztów projektu albo</w:t>
      </w:r>
      <w:r w:rsidRPr="00492003">
        <w:rPr>
          <w:rFonts w:ascii="Arial" w:eastAsia="Times New Roman" w:hAnsi="Arial" w:cs="Times New Roman"/>
          <w:bCs/>
          <w:lang w:eastAsia="pl-PL"/>
        </w:rPr>
        <w:t xml:space="preserve"> </w:t>
      </w:r>
    </w:p>
    <w:p w14:paraId="0A7790E1" w14:textId="77777777"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9E1CE6">
        <w:rPr>
          <w:rFonts w:ascii="Arial" w:eastAsia="Times New Roman" w:hAnsi="Arial" w:cs="Times New Roman"/>
          <w:bCs/>
          <w:lang w:eastAsia="pl-PL"/>
        </w:rPr>
        <w:t>- według stawki ryczałtowej w wysokości 15% bezpośrednich kwalifikowalnych kosztów związanych z zaangażowaniem personelu projektu.</w:t>
      </w:r>
      <w:r w:rsidRPr="00492003">
        <w:rPr>
          <w:rFonts w:ascii="Arial" w:eastAsia="Times New Roman" w:hAnsi="Arial" w:cs="Times New Roman"/>
          <w:bCs/>
          <w:lang w:eastAsia="pl-PL"/>
        </w:rPr>
        <w:t xml:space="preserve"> </w:t>
      </w:r>
    </w:p>
    <w:p w14:paraId="27FDC302" w14:textId="77777777"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14:paraId="4D2EF134"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CE82AB0"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14:paraId="11BA70C4"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14:paraId="3884C5FA"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14:paraId="58ABD931"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14:paraId="53B810AE"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lastRenderedPageBreak/>
        <w:t xml:space="preserve">usługi bankowe, w tym koszty związane z otwarciem i prowadzeniem wyodrębnionego rachunku bankowego lub subkonta do rachunku bankowego, przeznaczonym do obsługi projektu lub płatności zaliczkowych, </w:t>
      </w:r>
    </w:p>
    <w:p w14:paraId="5764C1EB"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14:paraId="4F7044FD" w14:textId="77777777"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14:paraId="211377FA" w14:textId="77777777"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14:paraId="02EE720A" w14:textId="77777777"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7" w:name="_Toc48555179"/>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7"/>
    </w:p>
    <w:p w14:paraId="1099904D" w14:textId="77777777" w:rsidR="005530C1" w:rsidRPr="00B81671" w:rsidRDefault="005530C1" w:rsidP="005530C1">
      <w:pPr>
        <w:spacing w:after="0" w:line="360" w:lineRule="auto"/>
        <w:ind w:left="426"/>
        <w:jc w:val="both"/>
        <w:rPr>
          <w:rFonts w:ascii="Arial" w:eastAsia="Times New Roman" w:hAnsi="Arial" w:cs="Arial"/>
          <w:lang w:eastAsia="pl-PL"/>
        </w:rPr>
      </w:pPr>
    </w:p>
    <w:p w14:paraId="6E4182F5"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6249EF8E"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97812D8"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1E77D6C4"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14:paraId="7676DF10" w14:textId="77777777"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49585C0D" w14:textId="77777777"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5DD046A6"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1A3325AC"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37390962"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2229BC89"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363295A2"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4DA334BA"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092AAB5A"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4FC3EC3"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1C0098FB" w14:textId="77777777"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5DF99C5D" w14:textId="77777777"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4BF08B0E" w14:textId="77777777" w:rsidR="005530C1" w:rsidRPr="00B81671" w:rsidRDefault="005530C1" w:rsidP="00903FFD">
      <w:pPr>
        <w:spacing w:after="0" w:line="360" w:lineRule="auto"/>
        <w:ind w:left="426"/>
        <w:jc w:val="both"/>
        <w:rPr>
          <w:rFonts w:ascii="Arial" w:eastAsia="Times New Roman" w:hAnsi="Arial" w:cs="Arial"/>
          <w:lang w:eastAsia="pl-PL"/>
        </w:rPr>
      </w:pPr>
    </w:p>
    <w:p w14:paraId="661367CF" w14:textId="77777777" w:rsidR="005530C1" w:rsidRPr="00B81671" w:rsidRDefault="005530C1" w:rsidP="00903FFD">
      <w:pPr>
        <w:spacing w:after="0" w:line="360" w:lineRule="auto"/>
        <w:ind w:left="426"/>
        <w:jc w:val="both"/>
        <w:rPr>
          <w:rFonts w:ascii="Arial" w:eastAsia="Times New Roman" w:hAnsi="Arial" w:cs="Arial"/>
          <w:lang w:eastAsia="pl-PL"/>
        </w:rPr>
      </w:pPr>
    </w:p>
    <w:p w14:paraId="1182543B" w14:textId="77777777" w:rsidR="005530C1" w:rsidRPr="00B81671" w:rsidRDefault="005530C1" w:rsidP="00903FFD">
      <w:pPr>
        <w:spacing w:after="0" w:line="360" w:lineRule="auto"/>
        <w:ind w:left="426"/>
        <w:jc w:val="both"/>
        <w:rPr>
          <w:rFonts w:ascii="Arial" w:eastAsia="Times New Roman" w:hAnsi="Arial" w:cs="Arial"/>
          <w:lang w:eastAsia="pl-PL"/>
        </w:rPr>
      </w:pPr>
    </w:p>
    <w:p w14:paraId="4FE621B7" w14:textId="77777777" w:rsidR="005530C1" w:rsidRPr="00B81671" w:rsidRDefault="005530C1" w:rsidP="00903FFD">
      <w:pPr>
        <w:spacing w:after="0" w:line="360" w:lineRule="auto"/>
        <w:ind w:left="426"/>
        <w:jc w:val="both"/>
        <w:rPr>
          <w:rFonts w:ascii="Arial" w:eastAsia="Times New Roman" w:hAnsi="Arial" w:cs="Arial"/>
          <w:lang w:eastAsia="pl-PL"/>
        </w:rPr>
      </w:pPr>
    </w:p>
    <w:p w14:paraId="4AA851DB" w14:textId="77777777" w:rsidR="00AA41C9" w:rsidRPr="00B81671" w:rsidRDefault="00AA41C9" w:rsidP="001B27A2">
      <w:pPr>
        <w:spacing w:after="0" w:line="360" w:lineRule="auto"/>
        <w:jc w:val="both"/>
        <w:rPr>
          <w:rFonts w:ascii="Arial" w:eastAsia="Calibri" w:hAnsi="Arial" w:cs="Times New Roman"/>
          <w:szCs w:val="20"/>
        </w:rPr>
      </w:pPr>
    </w:p>
    <w:p w14:paraId="3659195F" w14:textId="77777777" w:rsidR="00AA41C9" w:rsidRPr="00B81671" w:rsidRDefault="00AA41C9" w:rsidP="001B27A2">
      <w:pPr>
        <w:spacing w:after="0" w:line="360" w:lineRule="auto"/>
        <w:jc w:val="both"/>
      </w:pPr>
    </w:p>
    <w:p w14:paraId="132F310C" w14:textId="77777777" w:rsidR="007E0407" w:rsidRPr="00B81671" w:rsidRDefault="007E0407">
      <w:r w:rsidRPr="00B81671">
        <w:br w:type="page"/>
      </w:r>
    </w:p>
    <w:p w14:paraId="1479638B" w14:textId="77777777" w:rsidR="007E0407" w:rsidRPr="00B81671" w:rsidRDefault="007E0407" w:rsidP="007E0407">
      <w:pPr>
        <w:spacing w:after="0" w:line="360" w:lineRule="auto"/>
        <w:ind w:left="426"/>
        <w:jc w:val="both"/>
        <w:sectPr w:rsidR="007E0407" w:rsidRPr="00B81671" w:rsidSect="00B90C2B">
          <w:footerReference w:type="default" r:id="rId9"/>
          <w:pgSz w:w="11906" w:h="16838"/>
          <w:pgMar w:top="1417" w:right="1417" w:bottom="1276" w:left="1417" w:header="708" w:footer="708" w:gutter="0"/>
          <w:cols w:space="708"/>
          <w:titlePg/>
          <w:docGrid w:linePitch="360"/>
        </w:sectPr>
      </w:pPr>
    </w:p>
    <w:p w14:paraId="0FEC783B"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8" w:name="_Toc48555180"/>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8"/>
    </w:p>
    <w:p w14:paraId="7DCD33C4" w14:textId="77777777" w:rsidR="0065055F" w:rsidRPr="00B81671" w:rsidRDefault="0065055F" w:rsidP="0065055F">
      <w:pPr>
        <w:spacing w:before="120" w:after="120" w:line="360" w:lineRule="auto"/>
        <w:jc w:val="both"/>
        <w:rPr>
          <w:rFonts w:ascii="Arial" w:eastAsia="MS Mincho" w:hAnsi="Arial" w:cs="Arial"/>
          <w:lang w:eastAsia="ja-JP"/>
        </w:rPr>
      </w:pPr>
    </w:p>
    <w:p w14:paraId="4447D938"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491D41D6" w14:textId="77777777" w:rsidTr="00773FC4">
        <w:tc>
          <w:tcPr>
            <w:tcW w:w="2835" w:type="dxa"/>
            <w:vMerge w:val="restart"/>
            <w:vAlign w:val="center"/>
          </w:tcPr>
          <w:p w14:paraId="13650C4B" w14:textId="77777777"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14:paraId="26954FA5" w14:textId="77777777"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14:paraId="4A7694A2" w14:textId="77777777" w:rsidTr="00773FC4">
        <w:tc>
          <w:tcPr>
            <w:tcW w:w="2835" w:type="dxa"/>
            <w:vMerge/>
            <w:vAlign w:val="center"/>
          </w:tcPr>
          <w:p w14:paraId="027380DE"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24237B20"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00373021" w14:textId="77777777"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14:paraId="603E20A0" w14:textId="77777777"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14:paraId="19DC2EBB" w14:textId="77777777" w:rsidTr="00773FC4">
        <w:trPr>
          <w:trHeight w:val="383"/>
        </w:trPr>
        <w:tc>
          <w:tcPr>
            <w:tcW w:w="2835" w:type="dxa"/>
          </w:tcPr>
          <w:p w14:paraId="4230F26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6AD0344E"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0737AD6"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793C502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04D85575" w14:textId="77777777" w:rsidTr="00773FC4">
        <w:tc>
          <w:tcPr>
            <w:tcW w:w="2835" w:type="dxa"/>
          </w:tcPr>
          <w:p w14:paraId="2EF97CE6" w14:textId="77777777" w:rsidR="0065055F" w:rsidRPr="00B81671" w:rsidRDefault="0065055F" w:rsidP="00773FC4">
            <w:pPr>
              <w:jc w:val="center"/>
              <w:rPr>
                <w:rFonts w:ascii="Arial" w:hAnsi="Arial" w:cs="Arial"/>
                <w:b/>
                <w:sz w:val="20"/>
                <w:szCs w:val="20"/>
              </w:rPr>
            </w:pPr>
          </w:p>
          <w:p w14:paraId="3439498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14C6FFA3"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3149D526"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14:paraId="7882F0D6"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14:paraId="525E405F"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14:paraId="436DA49A" w14:textId="77777777" w:rsidTr="00773FC4">
        <w:trPr>
          <w:trHeight w:val="1536"/>
        </w:trPr>
        <w:tc>
          <w:tcPr>
            <w:tcW w:w="2835" w:type="dxa"/>
          </w:tcPr>
          <w:p w14:paraId="7A530DEA" w14:textId="77777777" w:rsidR="0065055F" w:rsidRPr="00B81671" w:rsidRDefault="0065055F" w:rsidP="00773FC4">
            <w:pPr>
              <w:jc w:val="center"/>
              <w:rPr>
                <w:rFonts w:ascii="Arial" w:hAnsi="Arial" w:cs="Arial"/>
                <w:b/>
                <w:sz w:val="20"/>
                <w:szCs w:val="20"/>
              </w:rPr>
            </w:pPr>
          </w:p>
          <w:p w14:paraId="5F49D4D9"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14:paraId="2E777900"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3869CB9E" w14:textId="77777777" w:rsidR="0065055F" w:rsidRPr="00B81671" w:rsidRDefault="0065055F" w:rsidP="00773FC4">
            <w:pPr>
              <w:rPr>
                <w:rFonts w:ascii="Arial" w:hAnsi="Arial" w:cs="Arial"/>
                <w:b/>
                <w:sz w:val="20"/>
                <w:szCs w:val="20"/>
              </w:rPr>
            </w:pPr>
          </w:p>
          <w:p w14:paraId="4DB54556" w14:textId="77777777"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3E31E562" w14:textId="77777777" w:rsidR="0065055F" w:rsidRPr="00B81671" w:rsidRDefault="0065055F" w:rsidP="00773FC4">
            <w:pPr>
              <w:rPr>
                <w:rFonts w:ascii="Arial" w:hAnsi="Arial" w:cs="Arial"/>
                <w:b/>
                <w:sz w:val="20"/>
                <w:szCs w:val="20"/>
              </w:rPr>
            </w:pPr>
          </w:p>
          <w:p w14:paraId="1B39C515" w14:textId="77777777"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124A805D" w14:textId="77777777" w:rsidR="0065055F" w:rsidRPr="00B81671" w:rsidRDefault="0065055F" w:rsidP="00773FC4">
            <w:pPr>
              <w:rPr>
                <w:rFonts w:ascii="Arial" w:hAnsi="Arial" w:cs="Arial"/>
                <w:b/>
                <w:sz w:val="20"/>
                <w:szCs w:val="20"/>
              </w:rPr>
            </w:pPr>
          </w:p>
          <w:p w14:paraId="4F2B1912" w14:textId="77777777"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14:paraId="530181E3" w14:textId="77777777" w:rsidTr="00773FC4">
        <w:tc>
          <w:tcPr>
            <w:tcW w:w="2835" w:type="dxa"/>
          </w:tcPr>
          <w:p w14:paraId="60507259" w14:textId="77777777" w:rsidR="0065055F" w:rsidRPr="00B81671" w:rsidRDefault="0065055F" w:rsidP="00773FC4">
            <w:pPr>
              <w:jc w:val="center"/>
              <w:rPr>
                <w:rFonts w:ascii="Arial" w:hAnsi="Arial" w:cs="Arial"/>
                <w:b/>
                <w:sz w:val="20"/>
                <w:szCs w:val="20"/>
              </w:rPr>
            </w:pPr>
          </w:p>
          <w:p w14:paraId="093FA856"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14:paraId="6A29A336"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5A6742C1" w14:textId="77777777" w:rsidR="0065055F" w:rsidRPr="00B81671" w:rsidRDefault="0065055F" w:rsidP="00773FC4">
            <w:pPr>
              <w:rPr>
                <w:rFonts w:ascii="Arial" w:hAnsi="Arial" w:cs="Arial"/>
                <w:b/>
                <w:sz w:val="20"/>
                <w:szCs w:val="20"/>
              </w:rPr>
            </w:pPr>
          </w:p>
          <w:p w14:paraId="4678D4C8"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2487E15D" w14:textId="77777777" w:rsidR="0065055F" w:rsidRPr="00B81671" w:rsidRDefault="0065055F" w:rsidP="00773FC4">
            <w:pPr>
              <w:rPr>
                <w:rFonts w:ascii="Arial" w:hAnsi="Arial" w:cs="Arial"/>
                <w:b/>
                <w:sz w:val="20"/>
                <w:szCs w:val="20"/>
              </w:rPr>
            </w:pPr>
          </w:p>
          <w:p w14:paraId="0BDD650F" w14:textId="77777777"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477AB3BC" w14:textId="77777777" w:rsidR="0065055F" w:rsidRPr="00B81671" w:rsidRDefault="0065055F" w:rsidP="00773FC4">
            <w:pPr>
              <w:rPr>
                <w:rFonts w:ascii="Arial" w:hAnsi="Arial" w:cs="Arial"/>
                <w:b/>
                <w:sz w:val="20"/>
                <w:szCs w:val="20"/>
              </w:rPr>
            </w:pPr>
          </w:p>
          <w:p w14:paraId="494E117B" w14:textId="77777777"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14:paraId="7BE0B202" w14:textId="77777777" w:rsidR="007E0407" w:rsidRPr="007E469E" w:rsidRDefault="007E0407" w:rsidP="007E0407">
      <w:pPr>
        <w:spacing w:after="0" w:line="240" w:lineRule="auto"/>
      </w:pPr>
    </w:p>
    <w:p w14:paraId="761A010B"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78AB" w14:textId="77777777" w:rsidR="009856B4" w:rsidRDefault="009856B4" w:rsidP="00045401">
      <w:pPr>
        <w:spacing w:after="0" w:line="240" w:lineRule="auto"/>
      </w:pPr>
      <w:r>
        <w:separator/>
      </w:r>
    </w:p>
  </w:endnote>
  <w:endnote w:type="continuationSeparator" w:id="0">
    <w:p w14:paraId="3002AE85" w14:textId="77777777" w:rsidR="009856B4" w:rsidRDefault="009856B4"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153247"/>
      <w:docPartObj>
        <w:docPartGallery w:val="Page Numbers (Bottom of Page)"/>
        <w:docPartUnique/>
      </w:docPartObj>
    </w:sdtPr>
    <w:sdtEndPr/>
    <w:sdtContent>
      <w:p w14:paraId="3DFCD7F6" w14:textId="77777777" w:rsidR="00404296" w:rsidRDefault="00404296">
        <w:pPr>
          <w:pStyle w:val="Stopka"/>
          <w:jc w:val="right"/>
        </w:pPr>
        <w:r>
          <w:fldChar w:fldCharType="begin"/>
        </w:r>
        <w:r>
          <w:instrText>PAGE   \* MERGEFORMAT</w:instrText>
        </w:r>
        <w:r>
          <w:fldChar w:fldCharType="separate"/>
        </w:r>
        <w:r w:rsidR="00CA790E">
          <w:rPr>
            <w:noProof/>
          </w:rPr>
          <w:t>3</w:t>
        </w:r>
        <w:r>
          <w:fldChar w:fldCharType="end"/>
        </w:r>
      </w:p>
    </w:sdtContent>
  </w:sdt>
  <w:p w14:paraId="27F5BC41" w14:textId="77777777" w:rsidR="00404296" w:rsidRDefault="00404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7B21" w14:textId="77777777" w:rsidR="009856B4" w:rsidRDefault="009856B4" w:rsidP="00045401">
      <w:pPr>
        <w:spacing w:after="0" w:line="240" w:lineRule="auto"/>
      </w:pPr>
      <w:r>
        <w:separator/>
      </w:r>
    </w:p>
  </w:footnote>
  <w:footnote w:type="continuationSeparator" w:id="0">
    <w:p w14:paraId="2B2FC01D" w14:textId="77777777" w:rsidR="009856B4" w:rsidRDefault="009856B4" w:rsidP="00045401">
      <w:pPr>
        <w:spacing w:after="0" w:line="240" w:lineRule="auto"/>
      </w:pPr>
      <w:r>
        <w:continuationSeparator/>
      </w:r>
    </w:p>
  </w:footnote>
  <w:footnote w:id="1">
    <w:p w14:paraId="218AF33A" w14:textId="77777777" w:rsidR="00404296" w:rsidRPr="000E3E65" w:rsidRDefault="00404296"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6AA1BFD9" w14:textId="77777777" w:rsidR="00404296" w:rsidRPr="00C55C98" w:rsidRDefault="00404296"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5A49E87C" w14:textId="77777777" w:rsidR="00404296" w:rsidRPr="00CA1CDE" w:rsidRDefault="00404296"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6068B22A" w14:textId="77777777" w:rsidR="00404296" w:rsidRPr="00904E68" w:rsidRDefault="00404296"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2B87DC49" w14:textId="77777777" w:rsidR="00404296" w:rsidRPr="00E54F04" w:rsidRDefault="00404296">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161AACFF" w14:textId="77777777" w:rsidR="00404296" w:rsidRPr="00904E68" w:rsidRDefault="00404296"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86B6943" w14:textId="77777777" w:rsidR="00404296" w:rsidRPr="005C410E" w:rsidRDefault="00404296"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BB1F2C6" w14:textId="77777777" w:rsidR="00404296" w:rsidRDefault="00404296" w:rsidP="00513FC4">
      <w:pPr>
        <w:pStyle w:val="Tekstprzypisudolnego"/>
      </w:pPr>
    </w:p>
  </w:footnote>
  <w:footnote w:id="8">
    <w:p w14:paraId="24BB820E" w14:textId="77777777" w:rsidR="00404296" w:rsidRPr="005C410E" w:rsidRDefault="00404296"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48790AC2" w14:textId="77777777" w:rsidR="00404296" w:rsidRDefault="00404296" w:rsidP="008B46DA">
      <w:pPr>
        <w:pStyle w:val="Tekstprzypisudolnego"/>
      </w:pPr>
    </w:p>
  </w:footnote>
  <w:footnote w:id="9">
    <w:p w14:paraId="669E8CBD" w14:textId="77777777" w:rsidR="00404296" w:rsidRPr="005C410E" w:rsidRDefault="00404296"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6B8A2DD0" w14:textId="77777777" w:rsidR="00404296" w:rsidRDefault="00404296" w:rsidP="002425E4">
      <w:pPr>
        <w:pStyle w:val="Tekstprzypisudolnego"/>
      </w:pPr>
    </w:p>
  </w:footnote>
  <w:footnote w:id="10">
    <w:p w14:paraId="2F0C67C5" w14:textId="77777777" w:rsidR="00404296" w:rsidRPr="001F5E75" w:rsidRDefault="00404296"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DAC40B3"/>
    <w:multiLevelType w:val="multilevel"/>
    <w:tmpl w:val="53C87B98"/>
    <w:lvl w:ilvl="0">
      <w:start w:val="4"/>
      <w:numFmt w:val="decimal"/>
      <w:lvlText w:val="%1)"/>
      <w:lvlJc w:val="left"/>
      <w:pPr>
        <w:ind w:left="720" w:hanging="360"/>
      </w:pPr>
      <w:rPr>
        <w:rFonts w:hint="default"/>
        <w:b w:val="0"/>
        <w:i w:val="0"/>
        <w:color w:val="000000" w:themeColor="text1"/>
        <w:sz w:val="22"/>
        <w:szCs w:val="22"/>
      </w:rPr>
    </w:lvl>
    <w:lvl w:ilvl="1">
      <w:start w:val="11"/>
      <w:numFmt w:val="decimal"/>
      <w:isLgl/>
      <w:lvlText w:val="%1.%2"/>
      <w:lvlJc w:val="left"/>
      <w:pPr>
        <w:ind w:left="1004" w:hanging="720"/>
      </w:pPr>
      <w:rPr>
        <w:rFonts w:hint="default"/>
        <w:b/>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0"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3"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6"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0"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D3C36"/>
    <w:multiLevelType w:val="multilevel"/>
    <w:tmpl w:val="79682EA0"/>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5E46C47"/>
    <w:multiLevelType w:val="hybridMultilevel"/>
    <w:tmpl w:val="68E20A70"/>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40676"/>
    <w:multiLevelType w:val="multilevel"/>
    <w:tmpl w:val="DB0C13D0"/>
    <w:lvl w:ilvl="0">
      <w:start w:val="9"/>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8"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2"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6"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7"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0"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7"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99"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07"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60"/>
  </w:num>
  <w:num w:numId="3">
    <w:abstractNumId w:val="100"/>
  </w:num>
  <w:num w:numId="4">
    <w:abstractNumId w:val="98"/>
  </w:num>
  <w:num w:numId="5">
    <w:abstractNumId w:val="87"/>
  </w:num>
  <w:num w:numId="6">
    <w:abstractNumId w:val="101"/>
  </w:num>
  <w:num w:numId="7">
    <w:abstractNumId w:val="11"/>
  </w:num>
  <w:num w:numId="8">
    <w:abstractNumId w:val="96"/>
  </w:num>
  <w:num w:numId="9">
    <w:abstractNumId w:val="81"/>
  </w:num>
  <w:num w:numId="10">
    <w:abstractNumId w:val="89"/>
  </w:num>
  <w:num w:numId="11">
    <w:abstractNumId w:val="77"/>
  </w:num>
  <w:num w:numId="12">
    <w:abstractNumId w:val="73"/>
  </w:num>
  <w:num w:numId="13">
    <w:abstractNumId w:val="105"/>
  </w:num>
  <w:num w:numId="14">
    <w:abstractNumId w:val="90"/>
  </w:num>
  <w:num w:numId="15">
    <w:abstractNumId w:val="50"/>
  </w:num>
  <w:num w:numId="16">
    <w:abstractNumId w:val="59"/>
  </w:num>
  <w:num w:numId="17">
    <w:abstractNumId w:val="80"/>
  </w:num>
  <w:num w:numId="18">
    <w:abstractNumId w:val="85"/>
  </w:num>
  <w:num w:numId="19">
    <w:abstractNumId w:val="26"/>
  </w:num>
  <w:num w:numId="20">
    <w:abstractNumId w:val="91"/>
  </w:num>
  <w:num w:numId="21">
    <w:abstractNumId w:val="58"/>
  </w:num>
  <w:num w:numId="22">
    <w:abstractNumId w:val="13"/>
  </w:num>
  <w:num w:numId="23">
    <w:abstractNumId w:val="3"/>
  </w:num>
  <w:num w:numId="24">
    <w:abstractNumId w:val="14"/>
  </w:num>
  <w:num w:numId="25">
    <w:abstractNumId w:val="39"/>
  </w:num>
  <w:num w:numId="26">
    <w:abstractNumId w:val="31"/>
  </w:num>
  <w:num w:numId="27">
    <w:abstractNumId w:val="4"/>
  </w:num>
  <w:num w:numId="28">
    <w:abstractNumId w:val="107"/>
  </w:num>
  <w:num w:numId="29">
    <w:abstractNumId w:val="71"/>
  </w:num>
  <w:num w:numId="30">
    <w:abstractNumId w:val="19"/>
  </w:num>
  <w:num w:numId="31">
    <w:abstractNumId w:val="102"/>
  </w:num>
  <w:num w:numId="32">
    <w:abstractNumId w:val="94"/>
  </w:num>
  <w:num w:numId="33">
    <w:abstractNumId w:val="49"/>
  </w:num>
  <w:num w:numId="34">
    <w:abstractNumId w:val="82"/>
  </w:num>
  <w:num w:numId="35">
    <w:abstractNumId w:val="68"/>
  </w:num>
  <w:num w:numId="36">
    <w:abstractNumId w:val="47"/>
  </w:num>
  <w:num w:numId="37">
    <w:abstractNumId w:val="5"/>
  </w:num>
  <w:num w:numId="38">
    <w:abstractNumId w:val="53"/>
  </w:num>
  <w:num w:numId="39">
    <w:abstractNumId w:val="29"/>
  </w:num>
  <w:num w:numId="40">
    <w:abstractNumId w:val="92"/>
  </w:num>
  <w:num w:numId="41">
    <w:abstractNumId w:val="27"/>
  </w:num>
  <w:num w:numId="42">
    <w:abstractNumId w:val="36"/>
  </w:num>
  <w:num w:numId="43">
    <w:abstractNumId w:val="16"/>
  </w:num>
  <w:num w:numId="44">
    <w:abstractNumId w:val="46"/>
  </w:num>
  <w:num w:numId="45">
    <w:abstractNumId w:val="15"/>
  </w:num>
  <w:num w:numId="46">
    <w:abstractNumId w:val="69"/>
  </w:num>
  <w:num w:numId="47">
    <w:abstractNumId w:val="10"/>
  </w:num>
  <w:num w:numId="48">
    <w:abstractNumId w:val="42"/>
  </w:num>
  <w:num w:numId="49">
    <w:abstractNumId w:val="88"/>
  </w:num>
  <w:num w:numId="50">
    <w:abstractNumId w:val="65"/>
  </w:num>
  <w:num w:numId="51">
    <w:abstractNumId w:val="40"/>
  </w:num>
  <w:num w:numId="52">
    <w:abstractNumId w:val="48"/>
  </w:num>
  <w:num w:numId="53">
    <w:abstractNumId w:val="38"/>
  </w:num>
  <w:num w:numId="54">
    <w:abstractNumId w:val="97"/>
  </w:num>
  <w:num w:numId="55">
    <w:abstractNumId w:val="17"/>
  </w:num>
  <w:num w:numId="56">
    <w:abstractNumId w:val="33"/>
  </w:num>
  <w:num w:numId="57">
    <w:abstractNumId w:val="23"/>
  </w:num>
  <w:num w:numId="58">
    <w:abstractNumId w:val="9"/>
  </w:num>
  <w:num w:numId="59">
    <w:abstractNumId w:val="30"/>
  </w:num>
  <w:num w:numId="60">
    <w:abstractNumId w:val="70"/>
  </w:num>
  <w:num w:numId="61">
    <w:abstractNumId w:val="95"/>
  </w:num>
  <w:num w:numId="62">
    <w:abstractNumId w:val="28"/>
  </w:num>
  <w:num w:numId="63">
    <w:abstractNumId w:val="44"/>
  </w:num>
  <w:num w:numId="64">
    <w:abstractNumId w:val="7"/>
  </w:num>
  <w:num w:numId="65">
    <w:abstractNumId w:val="1"/>
  </w:num>
  <w:num w:numId="66">
    <w:abstractNumId w:val="2"/>
  </w:num>
  <w:num w:numId="67">
    <w:abstractNumId w:val="103"/>
  </w:num>
  <w:num w:numId="68">
    <w:abstractNumId w:val="45"/>
  </w:num>
  <w:num w:numId="69">
    <w:abstractNumId w:val="93"/>
  </w:num>
  <w:num w:numId="70">
    <w:abstractNumId w:val="20"/>
  </w:num>
  <w:num w:numId="71">
    <w:abstractNumId w:val="35"/>
  </w:num>
  <w:num w:numId="72">
    <w:abstractNumId w:val="83"/>
  </w:num>
  <w:num w:numId="73">
    <w:abstractNumId w:val="108"/>
  </w:num>
  <w:num w:numId="74">
    <w:abstractNumId w:val="0"/>
  </w:num>
  <w:num w:numId="75">
    <w:abstractNumId w:val="55"/>
  </w:num>
  <w:num w:numId="76">
    <w:abstractNumId w:val="43"/>
  </w:num>
  <w:num w:numId="77">
    <w:abstractNumId w:val="12"/>
  </w:num>
  <w:num w:numId="78">
    <w:abstractNumId w:val="66"/>
  </w:num>
  <w:num w:numId="79">
    <w:abstractNumId w:val="54"/>
  </w:num>
  <w:num w:numId="80">
    <w:abstractNumId w:val="6"/>
  </w:num>
  <w:num w:numId="81">
    <w:abstractNumId w:val="51"/>
  </w:num>
  <w:num w:numId="82">
    <w:abstractNumId w:val="24"/>
  </w:num>
  <w:num w:numId="83">
    <w:abstractNumId w:val="78"/>
  </w:num>
  <w:num w:numId="84">
    <w:abstractNumId w:val="52"/>
  </w:num>
  <w:num w:numId="85">
    <w:abstractNumId w:val="37"/>
  </w:num>
  <w:num w:numId="86">
    <w:abstractNumId w:val="99"/>
  </w:num>
  <w:num w:numId="87">
    <w:abstractNumId w:val="56"/>
  </w:num>
  <w:num w:numId="88">
    <w:abstractNumId w:val="21"/>
  </w:num>
  <w:num w:numId="89">
    <w:abstractNumId w:val="61"/>
  </w:num>
  <w:num w:numId="90">
    <w:abstractNumId w:val="41"/>
  </w:num>
  <w:num w:numId="91">
    <w:abstractNumId w:val="18"/>
  </w:num>
  <w:num w:numId="92">
    <w:abstractNumId w:val="57"/>
  </w:num>
  <w:num w:numId="93">
    <w:abstractNumId w:val="34"/>
  </w:num>
  <w:num w:numId="94">
    <w:abstractNumId w:val="86"/>
  </w:num>
  <w:num w:numId="95">
    <w:abstractNumId w:val="62"/>
  </w:num>
  <w:num w:numId="96">
    <w:abstractNumId w:val="72"/>
  </w:num>
  <w:num w:numId="97">
    <w:abstractNumId w:val="75"/>
  </w:num>
  <w:num w:numId="98">
    <w:abstractNumId w:val="74"/>
  </w:num>
  <w:num w:numId="99">
    <w:abstractNumId w:val="64"/>
  </w:num>
  <w:num w:numId="100">
    <w:abstractNumId w:val="79"/>
  </w:num>
  <w:num w:numId="101">
    <w:abstractNumId w:val="32"/>
  </w:num>
  <w:num w:numId="102">
    <w:abstractNumId w:val="67"/>
  </w:num>
  <w:num w:numId="103">
    <w:abstractNumId w:val="22"/>
  </w:num>
  <w:num w:numId="104">
    <w:abstractNumId w:val="25"/>
  </w:num>
  <w:num w:numId="105">
    <w:abstractNumId w:val="76"/>
  </w:num>
  <w:num w:numId="106">
    <w:abstractNumId w:val="106"/>
  </w:num>
  <w:num w:numId="107">
    <w:abstractNumId w:val="104"/>
  </w:num>
  <w:num w:numId="108">
    <w:abstractNumId w:val="8"/>
  </w:num>
  <w:num w:numId="109">
    <w:abstractNumId w:val="6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1EF8"/>
    <w:rsid w:val="00114929"/>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75D"/>
    <w:rsid w:val="00207775"/>
    <w:rsid w:val="00207AEB"/>
    <w:rsid w:val="0021005C"/>
    <w:rsid w:val="002115C1"/>
    <w:rsid w:val="002121F0"/>
    <w:rsid w:val="002124AE"/>
    <w:rsid w:val="00212B55"/>
    <w:rsid w:val="00212D11"/>
    <w:rsid w:val="0021350E"/>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377"/>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5D0"/>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0E8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D80"/>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747"/>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0F8"/>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4D"/>
    <w:rsid w:val="00873EC1"/>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407"/>
    <w:rsid w:val="00971F94"/>
    <w:rsid w:val="00972436"/>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6B4"/>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2CE"/>
    <w:rsid w:val="00C874E7"/>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A790E"/>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6D0F"/>
    <w:rsid w:val="00CD7A71"/>
    <w:rsid w:val="00CE068A"/>
    <w:rsid w:val="00CE0735"/>
    <w:rsid w:val="00CE07AA"/>
    <w:rsid w:val="00CE23A6"/>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37B"/>
    <w:rsid w:val="00DF3C0E"/>
    <w:rsid w:val="00DF53DB"/>
    <w:rsid w:val="00DF553E"/>
    <w:rsid w:val="00DF61D4"/>
    <w:rsid w:val="00DF674F"/>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39DA"/>
    <w:rsid w:val="00F540E9"/>
    <w:rsid w:val="00F54420"/>
    <w:rsid w:val="00F55434"/>
    <w:rsid w:val="00F55644"/>
    <w:rsid w:val="00F55A14"/>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B4F6"/>
  <w15:docId w15:val="{F50DAFFB-DACD-4876-BD51-A65DFCD7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BE7-5624-4098-86A0-70AC443D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18994</Words>
  <Characters>113965</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cp:lastModifiedBy>
  <cp:revision>3</cp:revision>
  <cp:lastPrinted>2017-07-21T12:29:00Z</cp:lastPrinted>
  <dcterms:created xsi:type="dcterms:W3CDTF">2020-08-17T09:26:00Z</dcterms:created>
  <dcterms:modified xsi:type="dcterms:W3CDTF">2020-08-17T09:27:00Z</dcterms:modified>
</cp:coreProperties>
</file>