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Pr="0075213C" w:rsidRDefault="00C73911" w:rsidP="00D72FF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outlineLvl w:val="1"/>
        <w:rPr>
          <w:rFonts w:ascii="Arial" w:eastAsia="Calibri" w:hAnsi="Arial" w:cs="Arial"/>
          <w:b/>
          <w:lang w:eastAsia="en-US"/>
        </w:rPr>
      </w:pPr>
    </w:p>
    <w:p w:rsidR="00975A8C" w:rsidRPr="0075213C" w:rsidRDefault="007E5092" w:rsidP="009B683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</w:rPr>
      </w:pPr>
      <w:bookmarkStart w:id="0" w:name="_Toc312064592"/>
      <w:bookmarkStart w:id="1" w:name="_Toc375316637"/>
      <w:bookmarkStart w:id="2" w:name="_Toc412557138"/>
      <w:r w:rsidRPr="0075213C">
        <w:rPr>
          <w:rFonts w:ascii="Arial" w:hAnsi="Arial" w:cs="Arial"/>
          <w:b/>
        </w:rPr>
        <w:t xml:space="preserve">Załącznik </w:t>
      </w:r>
      <w:r w:rsidR="00B435AB" w:rsidRPr="0075213C">
        <w:rPr>
          <w:rFonts w:ascii="Arial" w:hAnsi="Arial" w:cs="Arial"/>
          <w:b/>
        </w:rPr>
        <w:t>10</w:t>
      </w:r>
      <w:bookmarkEnd w:id="0"/>
      <w:bookmarkEnd w:id="1"/>
      <w:bookmarkEnd w:id="2"/>
      <w:r w:rsidR="009B6833">
        <w:rPr>
          <w:rFonts w:ascii="Arial" w:hAnsi="Arial" w:cs="Arial"/>
          <w:b/>
        </w:rPr>
        <w:t xml:space="preserve">. </w:t>
      </w:r>
      <w:bookmarkStart w:id="3" w:name="_GoBack"/>
      <w:bookmarkEnd w:id="3"/>
      <w:r w:rsidR="00975A8C" w:rsidRPr="0075213C">
        <w:rPr>
          <w:rFonts w:ascii="Arial" w:hAnsi="Arial" w:cs="Arial"/>
          <w:b/>
        </w:rPr>
        <w:t>Strategia realizacji projektu grantowego</w:t>
      </w:r>
      <w:r w:rsidR="005E03B0" w:rsidRPr="0075213C">
        <w:rPr>
          <w:rFonts w:ascii="Arial" w:hAnsi="Arial" w:cs="Arial"/>
          <w:b/>
        </w:rPr>
        <w:t xml:space="preserve"> (max. 3</w:t>
      </w:r>
      <w:r w:rsidR="00975A8C" w:rsidRPr="0075213C">
        <w:rPr>
          <w:rFonts w:ascii="Arial" w:hAnsi="Arial" w:cs="Arial"/>
          <w:b/>
        </w:rPr>
        <w:t>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75213C" w:rsidTr="00FD3D5A"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A73A54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Wstępne założenia modelu dostępnej szkoły</w:t>
            </w:r>
          </w:p>
        </w:tc>
      </w:tr>
      <w:tr w:rsidR="00975A8C" w:rsidRPr="0075213C" w:rsidTr="00A666A8">
        <w:tc>
          <w:tcPr>
            <w:tcW w:w="9212" w:type="dxa"/>
            <w:shd w:val="clear" w:color="auto" w:fill="auto"/>
          </w:tcPr>
          <w:p w:rsidR="00D72FF5" w:rsidRPr="0075213C" w:rsidRDefault="00D72FF5" w:rsidP="00D72FF5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Model uwzględniać powinien m.in.:</w:t>
            </w:r>
          </w:p>
          <w:p w:rsidR="00D72FF5" w:rsidRPr="0075213C" w:rsidRDefault="00D72FF5" w:rsidP="00D72FF5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kompleksowe standardy w zakresie dostępności uwzględniające potrzeby uczniów ze wszystkimi rodzajami niepełnosprawności,</w:t>
            </w:r>
          </w:p>
          <w:p w:rsidR="00D72FF5" w:rsidRPr="0075213C" w:rsidRDefault="00D72FF5" w:rsidP="00D72FF5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warunki określania poziomu dojrzałości szkół w zakresie dostępności, w szczególności w ramach audytów dostępności prowadzonych w szczególności w wymiarze architektonicznym, technicznym (np. sprzęt i wyposażenie), organizacyjno-proceduralnym oraz społecznym (kompetencje, umiejętności, budowanie świadomości)</w:t>
            </w:r>
          </w:p>
          <w:p w:rsidR="00D72FF5" w:rsidRPr="0075213C" w:rsidRDefault="00D72FF5" w:rsidP="00D72FF5">
            <w:pPr>
              <w:pStyle w:val="Akapitzlist"/>
              <w:numPr>
                <w:ilvl w:val="0"/>
                <w:numId w:val="10"/>
              </w:numPr>
              <w:spacing w:before="240" w:after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 xml:space="preserve">warunki tworzenia indywidualnych planów poprawy dostępności dla szkół,  uwzględniających standardy dostępności jak i indywidualne potrzeby szkoły. </w:t>
            </w:r>
          </w:p>
          <w:p w:rsidR="006F57F5" w:rsidRPr="0075213C" w:rsidRDefault="004D0D8E" w:rsidP="00D72FF5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Należy uwzględnić opis</w:t>
            </w:r>
            <w:r w:rsidR="006F57F5" w:rsidRPr="0075213C">
              <w:rPr>
                <w:rFonts w:ascii="Arial" w:hAnsi="Arial" w:cs="Arial"/>
              </w:rPr>
              <w:t>:</w:t>
            </w:r>
          </w:p>
          <w:p w:rsidR="006F57F5" w:rsidRPr="0075213C" w:rsidRDefault="006F57F5" w:rsidP="006F57F5">
            <w:pPr>
              <w:pStyle w:val="Akapitzlist"/>
              <w:numPr>
                <w:ilvl w:val="0"/>
                <w:numId w:val="13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źródeł, badań własnych, doświadczeń w zakresie dostępności, z jakich wnioskodawca będzie korzystał opracowując model</w:t>
            </w:r>
          </w:p>
          <w:p w:rsidR="006D7025" w:rsidRPr="0075213C" w:rsidRDefault="004D0D8E" w:rsidP="006F57F5">
            <w:pPr>
              <w:pStyle w:val="Akapitzlist"/>
              <w:numPr>
                <w:ilvl w:val="0"/>
                <w:numId w:val="13"/>
              </w:num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pomysłu na współpracę obu beneficjentów dotyczącą wypracowania wspólnego modelu</w:t>
            </w:r>
          </w:p>
          <w:p w:rsidR="0075213C" w:rsidRPr="0075213C" w:rsidRDefault="0075213C" w:rsidP="0075213C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Należy uwzględnić m.in. materiały zawarte w załączniku nr 11 do regulaminu konkursu</w:t>
            </w:r>
          </w:p>
        </w:tc>
      </w:tr>
      <w:tr w:rsidR="00975A8C" w:rsidRPr="0075213C" w:rsidTr="00FD3D5A"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A73A54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Koncepcja  dotarcia do </w:t>
            </w:r>
            <w:proofErr w:type="spellStart"/>
            <w:r w:rsidRPr="0075213C">
              <w:rPr>
                <w:rFonts w:ascii="Arial" w:hAnsi="Arial" w:cs="Arial"/>
              </w:rPr>
              <w:t>grantobiorców</w:t>
            </w:r>
            <w:proofErr w:type="spellEnd"/>
          </w:p>
        </w:tc>
      </w:tr>
      <w:tr w:rsidR="00975A8C" w:rsidRPr="0075213C" w:rsidTr="00FD3D5A">
        <w:trPr>
          <w:trHeight w:val="735"/>
        </w:trPr>
        <w:tc>
          <w:tcPr>
            <w:tcW w:w="9212" w:type="dxa"/>
            <w:shd w:val="clear" w:color="auto" w:fill="auto"/>
          </w:tcPr>
          <w:p w:rsidR="00EA7926" w:rsidRPr="0075213C" w:rsidRDefault="00401E79" w:rsidP="009B6833">
            <w:pPr>
              <w:spacing w:before="240" w:after="120" w:line="360" w:lineRule="auto"/>
              <w:rPr>
                <w:rFonts w:ascii="Arial" w:hAnsi="Arial" w:cs="Arial"/>
                <w:b/>
              </w:rPr>
            </w:pPr>
            <w:r w:rsidRPr="0075213C">
              <w:rPr>
                <w:rFonts w:ascii="Arial" w:hAnsi="Arial" w:cs="Arial"/>
              </w:rPr>
              <w:t xml:space="preserve">Należy opisać plan komunikacji, sposób dotarcia do potencjalnych </w:t>
            </w:r>
            <w:proofErr w:type="spellStart"/>
            <w:r w:rsidRPr="0075213C">
              <w:rPr>
                <w:rFonts w:ascii="Arial" w:hAnsi="Arial" w:cs="Arial"/>
              </w:rPr>
              <w:t>grantobiorców</w:t>
            </w:r>
            <w:proofErr w:type="spellEnd"/>
            <w:r w:rsidRPr="0075213C">
              <w:rPr>
                <w:rFonts w:ascii="Arial" w:hAnsi="Arial" w:cs="Arial"/>
              </w:rPr>
              <w:t>, z uwzględnieniem kryteriów dotyczących grupy docelowej.</w:t>
            </w:r>
          </w:p>
        </w:tc>
      </w:tr>
      <w:tr w:rsidR="00975A8C" w:rsidRPr="0075213C" w:rsidTr="00FD3D5A">
        <w:trPr>
          <w:trHeight w:val="975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8C68CD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Zasady naboru </w:t>
            </w:r>
            <w:proofErr w:type="spellStart"/>
            <w:r w:rsidRPr="0075213C">
              <w:rPr>
                <w:rFonts w:ascii="Arial" w:hAnsi="Arial" w:cs="Arial"/>
              </w:rPr>
              <w:t>grantobiorców</w:t>
            </w:r>
            <w:proofErr w:type="spellEnd"/>
          </w:p>
        </w:tc>
      </w:tr>
      <w:tr w:rsidR="00975A8C" w:rsidRPr="0075213C" w:rsidTr="00EA7926">
        <w:trPr>
          <w:trHeight w:val="501"/>
        </w:trPr>
        <w:tc>
          <w:tcPr>
            <w:tcW w:w="9212" w:type="dxa"/>
            <w:shd w:val="clear" w:color="auto" w:fill="FFFFFF"/>
          </w:tcPr>
          <w:p w:rsidR="008C68CD" w:rsidRPr="0075213C" w:rsidRDefault="008C68CD" w:rsidP="00D72FF5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lastRenderedPageBreak/>
              <w:t xml:space="preserve">Należy </w:t>
            </w:r>
            <w:r w:rsidR="00B479FD" w:rsidRPr="0075213C">
              <w:rPr>
                <w:rFonts w:ascii="Arial" w:hAnsi="Arial" w:cs="Arial"/>
              </w:rPr>
              <w:t xml:space="preserve">opisać koncepcję naboru </w:t>
            </w:r>
            <w:r w:rsidR="008039EE" w:rsidRPr="0075213C">
              <w:rPr>
                <w:rFonts w:ascii="Arial" w:hAnsi="Arial" w:cs="Arial"/>
              </w:rPr>
              <w:t>która zapewni</w:t>
            </w:r>
            <w:r w:rsidR="00B479FD" w:rsidRPr="0075213C">
              <w:rPr>
                <w:rFonts w:ascii="Arial" w:hAnsi="Arial" w:cs="Arial"/>
              </w:rPr>
              <w:t xml:space="preserve"> spełnienie warunków określonych w regulaminie, w szczególności</w:t>
            </w:r>
          </w:p>
          <w:p w:rsidR="007D3010" w:rsidRPr="0075213C" w:rsidRDefault="008C68CD" w:rsidP="00EB603D">
            <w:pPr>
              <w:pStyle w:val="Akapitzlist"/>
              <w:numPr>
                <w:ilvl w:val="0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Otwarty charakter naboru</w:t>
            </w:r>
            <w:r w:rsidR="007D3010" w:rsidRPr="0075213C">
              <w:rPr>
                <w:rFonts w:ascii="Arial" w:hAnsi="Arial" w:cs="Arial"/>
                <w:sz w:val="24"/>
                <w:szCs w:val="24"/>
              </w:rPr>
              <w:t xml:space="preserve"> dla wszystkich szkół podstawowych</w:t>
            </w:r>
          </w:p>
          <w:p w:rsidR="009A154E" w:rsidRPr="0075213C" w:rsidRDefault="007D3010" w:rsidP="007D3010">
            <w:pPr>
              <w:pStyle w:val="Akapitzlist"/>
              <w:numPr>
                <w:ilvl w:val="0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 xml:space="preserve">Ogólnopolski </w:t>
            </w:r>
            <w:r w:rsidR="00B479FD" w:rsidRPr="0075213C">
              <w:rPr>
                <w:rFonts w:ascii="Arial" w:hAnsi="Arial" w:cs="Arial"/>
                <w:sz w:val="24"/>
                <w:szCs w:val="24"/>
              </w:rPr>
              <w:t>charakter projektu</w:t>
            </w:r>
          </w:p>
          <w:p w:rsidR="00EB603D" w:rsidRPr="0075213C" w:rsidRDefault="00B479FD" w:rsidP="008039EE">
            <w:pPr>
              <w:pStyle w:val="Akapitzlist"/>
              <w:numPr>
                <w:ilvl w:val="0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Kryteria</w:t>
            </w:r>
            <w:r w:rsidR="008C68CD" w:rsidRPr="0075213C">
              <w:rPr>
                <w:rFonts w:ascii="Arial" w:hAnsi="Arial" w:cs="Arial"/>
                <w:sz w:val="24"/>
                <w:szCs w:val="24"/>
              </w:rPr>
              <w:t xml:space="preserve"> wyboru </w:t>
            </w:r>
            <w:proofErr w:type="spellStart"/>
            <w:r w:rsidR="008C68CD" w:rsidRPr="0075213C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="008C68CD" w:rsidRPr="007521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213C" w:rsidRPr="0075213C">
              <w:rPr>
                <w:rFonts w:ascii="Arial" w:hAnsi="Arial" w:cs="Arial"/>
                <w:sz w:val="24"/>
                <w:szCs w:val="24"/>
              </w:rPr>
              <w:t>pozwalające</w:t>
            </w:r>
            <w:r w:rsidRPr="0075213C">
              <w:rPr>
                <w:rFonts w:ascii="Arial" w:hAnsi="Arial" w:cs="Arial"/>
                <w:sz w:val="24"/>
                <w:szCs w:val="24"/>
              </w:rPr>
              <w:t xml:space="preserve"> na przeprowadzenie naboru zgodnie z kryteriami dostępu nr 11 oraz 12 a także </w:t>
            </w:r>
            <w:r w:rsidR="008C68CD" w:rsidRPr="00752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13C">
              <w:rPr>
                <w:rFonts w:ascii="Arial" w:hAnsi="Arial" w:cs="Arial"/>
                <w:sz w:val="24"/>
                <w:szCs w:val="24"/>
              </w:rPr>
              <w:t>preferencje</w:t>
            </w:r>
            <w:r w:rsidR="008C68CD" w:rsidRPr="00752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8CD" w:rsidRPr="0075213C">
              <w:rPr>
                <w:rFonts w:ascii="Arial" w:hAnsi="Arial" w:cs="Arial"/>
                <w:color w:val="000000"/>
                <w:sz w:val="24"/>
                <w:szCs w:val="24"/>
              </w:rPr>
              <w:t>dla organów prowadzących, które biorą lub wzięły udział w realizacji projektów monitoringu Konwencji ONZ o prawach osób niepełnosprawnych w Działaniu 2.6 POWER</w:t>
            </w:r>
            <w:r w:rsidR="0075213C">
              <w:rPr>
                <w:rFonts w:ascii="Arial" w:hAnsi="Arial" w:cs="Arial"/>
                <w:color w:val="000000"/>
                <w:sz w:val="24"/>
                <w:szCs w:val="24"/>
              </w:rPr>
              <w:t xml:space="preserve"> (kryterium nr 4)</w:t>
            </w:r>
            <w:r w:rsidRPr="0075213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5213C" w:rsidRDefault="0075213C" w:rsidP="0075213C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narzędzi wykorzystywanych w trakcie naboru.</w:t>
            </w:r>
          </w:p>
          <w:p w:rsidR="0075213C" w:rsidRPr="0075213C" w:rsidRDefault="0075213C" w:rsidP="0075213C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 wyboru grantów do dofinansowania.</w:t>
            </w:r>
          </w:p>
        </w:tc>
      </w:tr>
      <w:tr w:rsidR="00975A8C" w:rsidRPr="0075213C" w:rsidTr="008039EE">
        <w:trPr>
          <w:trHeight w:val="640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EA7926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Zasady prowadzenia audytu dostępności </w:t>
            </w:r>
          </w:p>
        </w:tc>
      </w:tr>
      <w:tr w:rsidR="00975A8C" w:rsidRPr="0075213C" w:rsidTr="00EA7926">
        <w:trPr>
          <w:trHeight w:val="1367"/>
        </w:trPr>
        <w:tc>
          <w:tcPr>
            <w:tcW w:w="9212" w:type="dxa"/>
            <w:shd w:val="clear" w:color="auto" w:fill="FFFFFF"/>
          </w:tcPr>
          <w:p w:rsidR="00975A8C" w:rsidRPr="0075213C" w:rsidRDefault="00B479FD" w:rsidP="00B479FD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Należy opisać co najmniej: planowany zakres audytu (metodykę), planowane do zaangażowania zasoby ludzkie, techniczne i organizacyjne wnioskodawcy/partnerstwa, harmonogram przeprowadzenia audytów, szacowany czas trwania </w:t>
            </w:r>
            <w:r w:rsidR="0075213C">
              <w:rPr>
                <w:rFonts w:ascii="Arial" w:hAnsi="Arial" w:cs="Arial"/>
              </w:rPr>
              <w:t xml:space="preserve">i koszt </w:t>
            </w:r>
            <w:r w:rsidRPr="0075213C">
              <w:rPr>
                <w:rFonts w:ascii="Arial" w:hAnsi="Arial" w:cs="Arial"/>
              </w:rPr>
              <w:t xml:space="preserve">pojedynczego audytu, sposób koordynacji audytorów. </w:t>
            </w:r>
          </w:p>
        </w:tc>
      </w:tr>
      <w:tr w:rsidR="00975A8C" w:rsidRPr="0075213C" w:rsidTr="008039EE">
        <w:trPr>
          <w:trHeight w:val="837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EA7926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Warunki opracowania indywidualnego planu poprawy dostępności</w:t>
            </w:r>
            <w:r w:rsidR="00A533AB" w:rsidRPr="0075213C">
              <w:rPr>
                <w:rFonts w:ascii="Arial" w:hAnsi="Arial" w:cs="Arial"/>
              </w:rPr>
              <w:t xml:space="preserve"> (IPPD)</w:t>
            </w:r>
          </w:p>
        </w:tc>
      </w:tr>
      <w:tr w:rsidR="00975A8C" w:rsidRPr="0075213C" w:rsidTr="00C34362">
        <w:trPr>
          <w:trHeight w:val="1271"/>
        </w:trPr>
        <w:tc>
          <w:tcPr>
            <w:tcW w:w="9212" w:type="dxa"/>
            <w:shd w:val="clear" w:color="auto" w:fill="FFFFFF"/>
          </w:tcPr>
          <w:p w:rsidR="00D72FF5" w:rsidRPr="0075213C" w:rsidRDefault="008039EE" w:rsidP="008039EE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Należy opisać koncepcję (metodykę) opracowania IPPD, która będzie </w:t>
            </w:r>
            <w:r w:rsidR="00D72FF5" w:rsidRPr="0075213C">
              <w:rPr>
                <w:rFonts w:ascii="Arial" w:hAnsi="Arial" w:cs="Arial"/>
              </w:rPr>
              <w:t xml:space="preserve">uwzględniać </w:t>
            </w:r>
            <w:r w:rsidRPr="0075213C">
              <w:rPr>
                <w:rFonts w:ascii="Arial" w:hAnsi="Arial" w:cs="Arial"/>
              </w:rPr>
              <w:t xml:space="preserve">zarówno </w:t>
            </w:r>
            <w:r w:rsidR="00D72FF5" w:rsidRPr="0075213C">
              <w:rPr>
                <w:rFonts w:ascii="Arial" w:hAnsi="Arial" w:cs="Arial"/>
              </w:rPr>
              <w:t>standardy dostępności</w:t>
            </w:r>
            <w:r w:rsidRPr="0075213C">
              <w:rPr>
                <w:rFonts w:ascii="Arial" w:hAnsi="Arial" w:cs="Arial"/>
              </w:rPr>
              <w:t xml:space="preserve"> oraz wyniki audytu dostępności </w:t>
            </w:r>
            <w:r w:rsidR="00D72FF5" w:rsidRPr="0075213C">
              <w:rPr>
                <w:rFonts w:ascii="Arial" w:hAnsi="Arial" w:cs="Arial"/>
              </w:rPr>
              <w:t>jak i indywidualne potrzeby szkoły</w:t>
            </w:r>
            <w:r w:rsidRPr="0075213C">
              <w:rPr>
                <w:rFonts w:ascii="Arial" w:hAnsi="Arial" w:cs="Arial"/>
              </w:rPr>
              <w:t>.</w:t>
            </w:r>
          </w:p>
          <w:p w:rsidR="00344870" w:rsidRPr="0013701D" w:rsidRDefault="008039EE" w:rsidP="0013701D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Warunki wyboru działań priorytetowych - </w:t>
            </w:r>
            <w:r w:rsidR="00344870" w:rsidRPr="0075213C">
              <w:rPr>
                <w:rFonts w:ascii="Arial" w:hAnsi="Arial" w:cs="Arial"/>
              </w:rPr>
              <w:t xml:space="preserve">IPPD powinien określać zarówno zakres wsparcia w ramach projektu, jak i zakres działań </w:t>
            </w:r>
            <w:proofErr w:type="spellStart"/>
            <w:r w:rsidR="00344870" w:rsidRPr="0075213C">
              <w:rPr>
                <w:rFonts w:ascii="Arial" w:hAnsi="Arial" w:cs="Arial"/>
              </w:rPr>
              <w:t>pozaprojektowych</w:t>
            </w:r>
            <w:proofErr w:type="spellEnd"/>
            <w:r w:rsidR="00344870" w:rsidRPr="0075213C">
              <w:rPr>
                <w:rFonts w:ascii="Arial" w:hAnsi="Arial" w:cs="Arial"/>
              </w:rPr>
              <w:t>, podejmowanych w celu osiągnięcia kolejnych poziomów dojrzałości.</w:t>
            </w:r>
            <w:r w:rsidR="0075213C">
              <w:rPr>
                <w:rFonts w:ascii="Arial" w:hAnsi="Arial" w:cs="Arial"/>
              </w:rPr>
              <w:t xml:space="preserve"> </w:t>
            </w:r>
            <w:r w:rsidR="0013701D">
              <w:rPr>
                <w:rFonts w:ascii="Arial" w:hAnsi="Arial" w:cs="Arial"/>
              </w:rPr>
              <w:t xml:space="preserve">Zgodnie z regulaminem w ramach IPDD </w:t>
            </w:r>
            <w:r w:rsidR="0013701D" w:rsidRPr="0013701D">
              <w:rPr>
                <w:rFonts w:ascii="Arial" w:hAnsi="Arial" w:cs="Arial"/>
              </w:rPr>
              <w:t>wydatki w ramach cross-</w:t>
            </w:r>
            <w:proofErr w:type="spellStart"/>
            <w:r w:rsidR="0013701D" w:rsidRPr="0013701D">
              <w:rPr>
                <w:rFonts w:ascii="Arial" w:hAnsi="Arial" w:cs="Arial"/>
              </w:rPr>
              <w:t>financingu</w:t>
            </w:r>
            <w:proofErr w:type="spellEnd"/>
            <w:r w:rsidR="0013701D" w:rsidRPr="0013701D">
              <w:rPr>
                <w:rFonts w:ascii="Arial" w:hAnsi="Arial" w:cs="Arial"/>
              </w:rPr>
              <w:t xml:space="preserve"> nie przekroczą 50 % wartości grantu a łączna wartość cross-</w:t>
            </w:r>
            <w:proofErr w:type="spellStart"/>
            <w:r w:rsidR="0013701D" w:rsidRPr="0013701D">
              <w:rPr>
                <w:rFonts w:ascii="Arial" w:hAnsi="Arial" w:cs="Arial"/>
              </w:rPr>
              <w:t>financingu</w:t>
            </w:r>
            <w:proofErr w:type="spellEnd"/>
            <w:r w:rsidR="0013701D" w:rsidRPr="0013701D">
              <w:rPr>
                <w:rFonts w:ascii="Arial" w:hAnsi="Arial" w:cs="Arial"/>
              </w:rPr>
              <w:t xml:space="preserve"> i środków trwałych nie przekroczy 60 % </w:t>
            </w:r>
            <w:r w:rsidR="0013701D" w:rsidRPr="0013701D">
              <w:rPr>
                <w:rFonts w:ascii="Arial" w:hAnsi="Arial" w:cs="Arial"/>
              </w:rPr>
              <w:lastRenderedPageBreak/>
              <w:t>wartości grantu.</w:t>
            </w:r>
          </w:p>
          <w:p w:rsidR="008039EE" w:rsidRPr="0075213C" w:rsidRDefault="008039EE" w:rsidP="008039EE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Opis zapewnienia partycypacji grupy docelowej na etapie tworzenia IPPD.</w:t>
            </w:r>
          </w:p>
          <w:p w:rsidR="00DC0676" w:rsidRPr="0075213C" w:rsidRDefault="008039EE" w:rsidP="00D72FF5">
            <w:pPr>
              <w:pStyle w:val="Akapitzlist"/>
              <w:numPr>
                <w:ilvl w:val="0"/>
                <w:numId w:val="11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 xml:space="preserve">Zgodnie z kryterium dostępu nr 17 </w:t>
            </w:r>
            <w:r w:rsidR="00DC0676" w:rsidRPr="0075213C">
              <w:rPr>
                <w:rFonts w:ascii="Arial" w:hAnsi="Arial" w:cs="Arial"/>
                <w:sz w:val="24"/>
                <w:szCs w:val="24"/>
              </w:rPr>
              <w:t>IPPD powinien obejmować: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działania podnoszące świadomość oraz inwestycje w wiedzę, kompetencje i umiejętności nauczycieli i specjalistów w zakresie potrzeb uczniów z niepełnosprawnościami i ze specjalnymi potrzebami edukacyjnymi,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działania podnoszące współpracę szkoły z rodzicami uczniów dzieci ze specjalnymi potrzebami edukacyjnymi,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zaangażowanie kadry wspierającej uczniów o specjalnych potrzebach oraz nauc</w:t>
            </w:r>
            <w:r w:rsidR="008039EE" w:rsidRPr="0075213C">
              <w:rPr>
                <w:rFonts w:ascii="Arial" w:hAnsi="Arial" w:cs="Arial"/>
                <w:sz w:val="24"/>
                <w:szCs w:val="24"/>
              </w:rPr>
              <w:t>zycieli</w:t>
            </w:r>
            <w:r w:rsidRPr="0075213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eliminowanie barier architektonicznych w budynkach szkół, zgodnie ze standardami  dostępności oraz koncepcją uniwersalnego projektowania,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zakup specjalistycznego wyposażenia, spełniającego standardy dostępności, w szczególności dostępnych mebli oraz oświetlenia,</w:t>
            </w:r>
          </w:p>
          <w:p w:rsidR="00DC0676" w:rsidRPr="0075213C" w:rsidRDefault="00DC0676" w:rsidP="00215DD7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zakup lub wypożyczenie specjalistycznego sprzętu wspomagającego np. urządzeń i programów komputerowych do odczytu tekstu, pętli indukcyjnych, itp.</w:t>
            </w:r>
          </w:p>
          <w:p w:rsidR="00975A8C" w:rsidRPr="009B6833" w:rsidRDefault="00DC0676" w:rsidP="00D72FF5">
            <w:pPr>
              <w:pStyle w:val="Akapitzlist"/>
              <w:numPr>
                <w:ilvl w:val="1"/>
                <w:numId w:val="7"/>
              </w:num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5213C">
              <w:rPr>
                <w:rFonts w:ascii="Arial" w:hAnsi="Arial" w:cs="Arial"/>
                <w:sz w:val="24"/>
                <w:szCs w:val="24"/>
              </w:rPr>
              <w:t>lepsze oznaczanie pomieszczeń, ciągów komunikacyjnych, schodów, materiałów dydaktycznych, miejsc zabawy, sportu itp.</w:t>
            </w:r>
          </w:p>
        </w:tc>
      </w:tr>
      <w:tr w:rsidR="00EA7926" w:rsidRPr="0075213C" w:rsidTr="008039EE">
        <w:trPr>
          <w:trHeight w:val="698"/>
        </w:trPr>
        <w:tc>
          <w:tcPr>
            <w:tcW w:w="9212" w:type="dxa"/>
            <w:shd w:val="clear" w:color="auto" w:fill="DBE5F1" w:themeFill="accent1" w:themeFillTint="33"/>
          </w:tcPr>
          <w:p w:rsidR="00EA7926" w:rsidRPr="0075213C" w:rsidRDefault="00EA7926" w:rsidP="008039EE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lastRenderedPageBreak/>
              <w:t>Sposób monitorowania i kontroli grantów</w:t>
            </w:r>
          </w:p>
        </w:tc>
      </w:tr>
      <w:tr w:rsidR="00EA7926" w:rsidRPr="0075213C" w:rsidTr="009B6833">
        <w:trPr>
          <w:trHeight w:val="94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EA7926" w:rsidRPr="0075213C" w:rsidRDefault="008039EE" w:rsidP="00D72FF5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Należy opisać planowane do zaangażowania zasoby ludzkie, techniczne, organizacyjne zapewniające efektywny monitoring grantów. </w:t>
            </w:r>
          </w:p>
          <w:p w:rsidR="00C34362" w:rsidRPr="0075213C" w:rsidRDefault="00C34362" w:rsidP="00D72FF5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C34362" w:rsidRPr="009B6833" w:rsidTr="009B6833">
        <w:trPr>
          <w:trHeight w:val="945"/>
        </w:trPr>
        <w:tc>
          <w:tcPr>
            <w:tcW w:w="9212" w:type="dxa"/>
            <w:shd w:val="clear" w:color="auto" w:fill="DBE5F1" w:themeFill="accent1" w:themeFillTint="33"/>
          </w:tcPr>
          <w:p w:rsidR="00C34362" w:rsidRPr="0075213C" w:rsidRDefault="00A22647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13701D">
              <w:rPr>
                <w:rFonts w:ascii="Arial" w:hAnsi="Arial" w:cs="Arial"/>
              </w:rPr>
              <w:t xml:space="preserve">Metody wspierania </w:t>
            </w:r>
            <w:proofErr w:type="spellStart"/>
            <w:r w:rsidRPr="0013701D">
              <w:rPr>
                <w:rFonts w:ascii="Arial" w:hAnsi="Arial" w:cs="Arial"/>
              </w:rPr>
              <w:t>grantobiorców</w:t>
            </w:r>
            <w:proofErr w:type="spellEnd"/>
            <w:r w:rsidR="00C93BF8" w:rsidRPr="0013701D">
              <w:rPr>
                <w:rFonts w:ascii="Arial" w:hAnsi="Arial" w:cs="Arial"/>
              </w:rPr>
              <w:t>, w tym koncepcja</w:t>
            </w:r>
            <w:r w:rsidRPr="0013701D">
              <w:rPr>
                <w:rFonts w:ascii="Arial" w:hAnsi="Arial" w:cs="Arial"/>
              </w:rPr>
              <w:t xml:space="preserve"> szkoleń dla kadry zarządzającej szkół i organów prowadzących z zakresu dostępności</w:t>
            </w:r>
          </w:p>
        </w:tc>
      </w:tr>
      <w:tr w:rsidR="00C34362" w:rsidRPr="0075213C" w:rsidTr="009B6833">
        <w:trPr>
          <w:trHeight w:val="94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FD3D5A" w:rsidRPr="0075213C" w:rsidRDefault="00FC3C1C" w:rsidP="0013701D">
            <w:pPr>
              <w:spacing w:before="24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eastAsia="Calibri" w:hAnsi="Arial" w:cs="Arial"/>
              </w:rPr>
              <w:lastRenderedPageBreak/>
              <w:t xml:space="preserve">Beneficjent powinien zapewnić </w:t>
            </w:r>
            <w:r w:rsidR="0013701D">
              <w:rPr>
                <w:rFonts w:ascii="Arial" w:eastAsia="Calibri" w:hAnsi="Arial" w:cs="Arial"/>
              </w:rPr>
              <w:t>efektywne i racjonalne</w:t>
            </w:r>
            <w:r w:rsidR="007075A2" w:rsidRPr="0075213C">
              <w:rPr>
                <w:rFonts w:ascii="Arial" w:eastAsia="Calibri" w:hAnsi="Arial" w:cs="Arial"/>
              </w:rPr>
              <w:t xml:space="preserve"> </w:t>
            </w:r>
            <w:r w:rsidRPr="0075213C">
              <w:rPr>
                <w:rFonts w:ascii="Arial" w:eastAsia="Calibri" w:hAnsi="Arial" w:cs="Arial"/>
              </w:rPr>
              <w:t xml:space="preserve">wsparcie </w:t>
            </w:r>
            <w:proofErr w:type="spellStart"/>
            <w:r w:rsidR="0013701D">
              <w:rPr>
                <w:rFonts w:ascii="Arial" w:eastAsia="Calibri" w:hAnsi="Arial" w:cs="Arial"/>
              </w:rPr>
              <w:t>grantobiorców</w:t>
            </w:r>
            <w:proofErr w:type="spellEnd"/>
            <w:r w:rsidRPr="0075213C">
              <w:rPr>
                <w:rFonts w:ascii="Arial" w:eastAsia="Calibri" w:hAnsi="Arial" w:cs="Arial"/>
              </w:rPr>
              <w:t xml:space="preserve"> na każdym etapie </w:t>
            </w:r>
            <w:r w:rsidR="006A079B" w:rsidRPr="0075213C">
              <w:rPr>
                <w:rFonts w:ascii="Arial" w:eastAsia="Calibri" w:hAnsi="Arial" w:cs="Arial"/>
              </w:rPr>
              <w:t xml:space="preserve">pilotażowego </w:t>
            </w:r>
            <w:r w:rsidRPr="0075213C">
              <w:rPr>
                <w:rFonts w:ascii="Arial" w:eastAsia="Calibri" w:hAnsi="Arial" w:cs="Arial"/>
              </w:rPr>
              <w:t>wdrażania</w:t>
            </w:r>
            <w:r w:rsidR="00752155" w:rsidRPr="0075213C">
              <w:rPr>
                <w:rFonts w:ascii="Arial" w:eastAsia="Calibri" w:hAnsi="Arial" w:cs="Arial"/>
              </w:rPr>
              <w:t xml:space="preserve"> modelu dostępnej szkoły</w:t>
            </w:r>
          </w:p>
        </w:tc>
      </w:tr>
      <w:tr w:rsidR="00C34362" w:rsidRPr="0075213C" w:rsidTr="00FD3D5A">
        <w:trPr>
          <w:trHeight w:val="945"/>
        </w:trPr>
        <w:tc>
          <w:tcPr>
            <w:tcW w:w="9212" w:type="dxa"/>
            <w:shd w:val="clear" w:color="auto" w:fill="DBE5F1" w:themeFill="accent1" w:themeFillTint="33"/>
          </w:tcPr>
          <w:p w:rsidR="00C34362" w:rsidRPr="0075213C" w:rsidRDefault="00A22647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13701D">
              <w:rPr>
                <w:rFonts w:ascii="Arial" w:hAnsi="Arial" w:cs="Arial"/>
              </w:rPr>
              <w:t>Metody upowszechniania modelu dostępnej szkoły oraz włączenie wypracowanych rozwiązań do praktyki, w tym zapewnienie trwałości w zakresie realizacji planu poprawy dostępności w dofinansowanych szkołach</w:t>
            </w:r>
          </w:p>
        </w:tc>
      </w:tr>
      <w:tr w:rsidR="00C34362" w:rsidRPr="0075213C" w:rsidTr="00EA7926">
        <w:trPr>
          <w:trHeight w:val="945"/>
        </w:trPr>
        <w:tc>
          <w:tcPr>
            <w:tcW w:w="9212" w:type="dxa"/>
            <w:shd w:val="clear" w:color="auto" w:fill="FFFFFF"/>
          </w:tcPr>
          <w:p w:rsidR="00FD3D5A" w:rsidRPr="0075213C" w:rsidRDefault="0013701D" w:rsidP="0013701D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Należy opisać plan upowszechnienia i włączenia modelu do polityki, z uwzględnieniem wszystkich interesariuszy. Plan powinien uwzględniać kwestie związane z utrzymaniem trwałości modelu dostępnej szkoły, w szczególności kontynuowania  realizacji IPDD po zakończeniu realizacji projektu.  </w:t>
            </w:r>
          </w:p>
        </w:tc>
      </w:tr>
    </w:tbl>
    <w:p w:rsidR="00975A8C" w:rsidRPr="0075213C" w:rsidRDefault="00975A8C" w:rsidP="00D72FF5">
      <w:pPr>
        <w:spacing w:before="120" w:after="120" w:line="360" w:lineRule="auto"/>
        <w:rPr>
          <w:rFonts w:ascii="Arial" w:hAnsi="Arial" w:cs="Arial"/>
        </w:rPr>
      </w:pPr>
    </w:p>
    <w:p w:rsidR="00A533AB" w:rsidRPr="0075213C" w:rsidRDefault="00A533AB" w:rsidP="00D72FF5">
      <w:pPr>
        <w:spacing w:before="120" w:after="120" w:line="360" w:lineRule="auto"/>
        <w:rPr>
          <w:rFonts w:ascii="Arial" w:hAnsi="Arial" w:cs="Arial"/>
        </w:rPr>
      </w:pPr>
    </w:p>
    <w:sectPr w:rsidR="00A533AB" w:rsidRPr="0075213C" w:rsidSect="00FD3D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0E788C4A" wp14:editId="41AAA65C">
          <wp:extent cx="5762625" cy="885825"/>
          <wp:effectExtent l="0" t="0" r="9525" b="9525"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F52"/>
    <w:multiLevelType w:val="hybridMultilevel"/>
    <w:tmpl w:val="103E8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D6927"/>
    <w:multiLevelType w:val="hybridMultilevel"/>
    <w:tmpl w:val="91A8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0A0164"/>
    <w:multiLevelType w:val="hybridMultilevel"/>
    <w:tmpl w:val="04883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7452E"/>
    <w:multiLevelType w:val="hybridMultilevel"/>
    <w:tmpl w:val="7DA8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3C7"/>
    <w:multiLevelType w:val="hybridMultilevel"/>
    <w:tmpl w:val="2C52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39CF"/>
    <w:multiLevelType w:val="hybridMultilevel"/>
    <w:tmpl w:val="D558239E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23F4"/>
    <w:multiLevelType w:val="hybridMultilevel"/>
    <w:tmpl w:val="E828DC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65B80D7C"/>
    <w:multiLevelType w:val="hybridMultilevel"/>
    <w:tmpl w:val="DB260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D1ED9"/>
    <w:rsid w:val="0012215F"/>
    <w:rsid w:val="0013701D"/>
    <w:rsid w:val="00141C47"/>
    <w:rsid w:val="00167C76"/>
    <w:rsid w:val="00174252"/>
    <w:rsid w:val="00174875"/>
    <w:rsid w:val="001930DE"/>
    <w:rsid w:val="00215DD7"/>
    <w:rsid w:val="0023288D"/>
    <w:rsid w:val="0024776B"/>
    <w:rsid w:val="002A1961"/>
    <w:rsid w:val="002A6119"/>
    <w:rsid w:val="003116EF"/>
    <w:rsid w:val="00322750"/>
    <w:rsid w:val="00344870"/>
    <w:rsid w:val="003511A2"/>
    <w:rsid w:val="003C058B"/>
    <w:rsid w:val="00401E79"/>
    <w:rsid w:val="004D0D8E"/>
    <w:rsid w:val="0050154E"/>
    <w:rsid w:val="005429C7"/>
    <w:rsid w:val="00552F65"/>
    <w:rsid w:val="00574C27"/>
    <w:rsid w:val="005B016B"/>
    <w:rsid w:val="005B4FDB"/>
    <w:rsid w:val="005D7B1C"/>
    <w:rsid w:val="005E03B0"/>
    <w:rsid w:val="005E1439"/>
    <w:rsid w:val="006717B8"/>
    <w:rsid w:val="00686482"/>
    <w:rsid w:val="006A079B"/>
    <w:rsid w:val="006A421C"/>
    <w:rsid w:val="006D7025"/>
    <w:rsid w:val="006F15B5"/>
    <w:rsid w:val="006F57F5"/>
    <w:rsid w:val="007027F6"/>
    <w:rsid w:val="007075A2"/>
    <w:rsid w:val="0075213C"/>
    <w:rsid w:val="00752155"/>
    <w:rsid w:val="00755A22"/>
    <w:rsid w:val="007C1629"/>
    <w:rsid w:val="007D3010"/>
    <w:rsid w:val="007E5092"/>
    <w:rsid w:val="007F4FC2"/>
    <w:rsid w:val="008039EE"/>
    <w:rsid w:val="0086166F"/>
    <w:rsid w:val="008B045E"/>
    <w:rsid w:val="008B6DCD"/>
    <w:rsid w:val="008C68CD"/>
    <w:rsid w:val="00901D40"/>
    <w:rsid w:val="009279E6"/>
    <w:rsid w:val="00944EF7"/>
    <w:rsid w:val="009522B0"/>
    <w:rsid w:val="00955BCA"/>
    <w:rsid w:val="00975A8C"/>
    <w:rsid w:val="009A154E"/>
    <w:rsid w:val="009B6833"/>
    <w:rsid w:val="009E4F1B"/>
    <w:rsid w:val="00A128DB"/>
    <w:rsid w:val="00A12C2F"/>
    <w:rsid w:val="00A15E86"/>
    <w:rsid w:val="00A22647"/>
    <w:rsid w:val="00A25014"/>
    <w:rsid w:val="00A533AB"/>
    <w:rsid w:val="00A73A54"/>
    <w:rsid w:val="00A827B9"/>
    <w:rsid w:val="00A83902"/>
    <w:rsid w:val="00AC2951"/>
    <w:rsid w:val="00AE4EBE"/>
    <w:rsid w:val="00B435AB"/>
    <w:rsid w:val="00B479FD"/>
    <w:rsid w:val="00B61238"/>
    <w:rsid w:val="00B959D4"/>
    <w:rsid w:val="00C04CE5"/>
    <w:rsid w:val="00C24EB7"/>
    <w:rsid w:val="00C34362"/>
    <w:rsid w:val="00C364E6"/>
    <w:rsid w:val="00C4113A"/>
    <w:rsid w:val="00C42C75"/>
    <w:rsid w:val="00C45514"/>
    <w:rsid w:val="00C73911"/>
    <w:rsid w:val="00C84405"/>
    <w:rsid w:val="00C93BF8"/>
    <w:rsid w:val="00CD7F94"/>
    <w:rsid w:val="00D029F6"/>
    <w:rsid w:val="00D33586"/>
    <w:rsid w:val="00D3541C"/>
    <w:rsid w:val="00D72FF5"/>
    <w:rsid w:val="00DC0676"/>
    <w:rsid w:val="00DC242B"/>
    <w:rsid w:val="00E56ED5"/>
    <w:rsid w:val="00EA399E"/>
    <w:rsid w:val="00EA7926"/>
    <w:rsid w:val="00EB603D"/>
    <w:rsid w:val="00EC2A70"/>
    <w:rsid w:val="00EC6D8C"/>
    <w:rsid w:val="00F412F9"/>
    <w:rsid w:val="00F57E42"/>
    <w:rsid w:val="00F71F61"/>
    <w:rsid w:val="00F9090D"/>
    <w:rsid w:val="00FC3C1C"/>
    <w:rsid w:val="00FD3D5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49DB-D0B9-4A06-9332-5C5432E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Bartosz Siemiatkowski</cp:lastModifiedBy>
  <cp:revision>35</cp:revision>
  <dcterms:created xsi:type="dcterms:W3CDTF">2015-06-10T08:08:00Z</dcterms:created>
  <dcterms:modified xsi:type="dcterms:W3CDTF">2018-11-07T17:30:00Z</dcterms:modified>
</cp:coreProperties>
</file>